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4.xml" ContentType="application/vnd.openxmlformats-officedocument.drawingml.chartshapes+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5.xml" ContentType="application/vnd.openxmlformats-officedocument.drawingml.chartshapes+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drawings/drawing6.xml" ContentType="application/vnd.openxmlformats-officedocument.drawingml.chartshapes+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drawings/drawing7.xml" ContentType="application/vnd.openxmlformats-officedocument.drawingml.chartshapes+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drawings/drawing8.xml" ContentType="application/vnd.openxmlformats-officedocument.drawingml.chartshapes+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rawings/drawing9.xml" ContentType="application/vnd.openxmlformats-officedocument.drawingml.chartshapes+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drawings/drawing10.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65D2C2" w14:textId="1A486069" w:rsidR="00C807A3" w:rsidRPr="00EF75A4" w:rsidRDefault="006742C0" w:rsidP="00C807A3">
      <w:pPr>
        <w:pStyle w:val="Heading1"/>
        <w:spacing w:line="360" w:lineRule="auto"/>
        <w:rPr>
          <w:rFonts w:cs="Times New Roman"/>
        </w:rPr>
      </w:pPr>
      <w:bookmarkStart w:id="0" w:name="_Ref28531176"/>
      <w:bookmarkStart w:id="1" w:name="_GoBack"/>
      <w:bookmarkEnd w:id="1"/>
      <w:r>
        <w:rPr>
          <w:rFonts w:cs="Times New Roman"/>
        </w:rPr>
        <w:t>Effects of w</w:t>
      </w:r>
      <w:r w:rsidR="00C807A3" w:rsidRPr="00EF75A4">
        <w:rPr>
          <w:rFonts w:cs="Times New Roman"/>
        </w:rPr>
        <w:t>ood ash-based</w:t>
      </w:r>
      <w:r>
        <w:rPr>
          <w:rFonts w:cs="Times New Roman"/>
        </w:rPr>
        <w:t xml:space="preserve"> alkaline treatment</w:t>
      </w:r>
      <w:r w:rsidR="00EF48C5">
        <w:rPr>
          <w:rFonts w:cs="Times New Roman"/>
        </w:rPr>
        <w:t xml:space="preserve"> on nitrogen, carbon, and phosphorus</w:t>
      </w:r>
      <w:r w:rsidR="00C807A3" w:rsidRPr="00EF75A4">
        <w:rPr>
          <w:rFonts w:cs="Times New Roman"/>
        </w:rPr>
        <w:t xml:space="preserve"> availability in food waste and agro-industrial</w:t>
      </w:r>
      <w:r w:rsidR="00EF48C5">
        <w:rPr>
          <w:rFonts w:cs="Times New Roman"/>
        </w:rPr>
        <w:t xml:space="preserve"> waste</w:t>
      </w:r>
      <w:r w:rsidR="00C807A3" w:rsidRPr="00EF75A4">
        <w:rPr>
          <w:rFonts w:cs="Times New Roman"/>
        </w:rPr>
        <w:t xml:space="preserve"> digestates</w:t>
      </w:r>
    </w:p>
    <w:bookmarkEnd w:id="0"/>
    <w:p w14:paraId="28D31739" w14:textId="55BE3408" w:rsidR="00916C5D" w:rsidRDefault="00916C5D" w:rsidP="00C807A3">
      <w:pPr>
        <w:spacing w:line="360" w:lineRule="auto"/>
        <w:contextualSpacing/>
        <w:rPr>
          <w:rFonts w:cs="Times New Roman"/>
        </w:rPr>
      </w:pPr>
      <w:r w:rsidRPr="00EF75A4">
        <w:rPr>
          <w:rFonts w:cs="Times New Roman"/>
        </w:rPr>
        <w:t>Alejandro Moure Abelenda</w:t>
      </w:r>
      <w:r w:rsidRPr="00EF75A4">
        <w:rPr>
          <w:rFonts w:cs="Times New Roman"/>
          <w:vertAlign w:val="superscript"/>
        </w:rPr>
        <w:t>1</w:t>
      </w:r>
      <w:r w:rsidRPr="00EF75A4">
        <w:rPr>
          <w:rFonts w:cs="Times New Roman"/>
        </w:rPr>
        <w:t>, Kirk Semple</w:t>
      </w:r>
      <w:r w:rsidRPr="00EF75A4">
        <w:rPr>
          <w:rFonts w:cs="Times New Roman"/>
          <w:vertAlign w:val="superscript"/>
        </w:rPr>
        <w:t>2</w:t>
      </w:r>
      <w:r w:rsidRPr="00EF75A4">
        <w:rPr>
          <w:rFonts w:cs="Times New Roman"/>
        </w:rPr>
        <w:t xml:space="preserve">, Alfonso </w:t>
      </w:r>
      <w:r w:rsidR="0095695F">
        <w:rPr>
          <w:rFonts w:cs="Times New Roman"/>
        </w:rPr>
        <w:t>Jose Lag-</w:t>
      </w:r>
      <w:r w:rsidRPr="00EF75A4">
        <w:rPr>
          <w:rFonts w:cs="Times New Roman"/>
        </w:rPr>
        <w:t>Brotons</w:t>
      </w:r>
      <w:r w:rsidRPr="00EF75A4">
        <w:rPr>
          <w:rFonts w:cs="Times New Roman"/>
          <w:vertAlign w:val="superscript"/>
        </w:rPr>
        <w:t>2</w:t>
      </w:r>
      <w:r w:rsidRPr="00EF75A4">
        <w:rPr>
          <w:rFonts w:cs="Times New Roman"/>
        </w:rPr>
        <w:t>, Ben</w:t>
      </w:r>
      <w:r w:rsidR="005C5A71">
        <w:rPr>
          <w:rFonts w:cs="Times New Roman"/>
        </w:rPr>
        <w:t xml:space="preserve"> M. J.</w:t>
      </w:r>
      <w:r w:rsidRPr="00EF75A4">
        <w:rPr>
          <w:rFonts w:cs="Times New Roman"/>
        </w:rPr>
        <w:t xml:space="preserve"> Herbert</w:t>
      </w:r>
      <w:r w:rsidRPr="00EF75A4">
        <w:rPr>
          <w:rFonts w:cs="Times New Roman"/>
          <w:vertAlign w:val="superscript"/>
        </w:rPr>
        <w:t>3</w:t>
      </w:r>
      <w:r w:rsidRPr="00EF75A4">
        <w:rPr>
          <w:rFonts w:cs="Times New Roman"/>
        </w:rPr>
        <w:t>, George Aggidis</w:t>
      </w:r>
      <w:r w:rsidRPr="00EF75A4">
        <w:rPr>
          <w:rFonts w:cs="Times New Roman"/>
          <w:vertAlign w:val="superscript"/>
        </w:rPr>
        <w:t>1</w:t>
      </w:r>
      <w:r w:rsidRPr="00EF75A4">
        <w:rPr>
          <w:rFonts w:cs="Times New Roman"/>
        </w:rPr>
        <w:t>, Farid Aiouache</w:t>
      </w:r>
      <w:r w:rsidRPr="00EF75A4">
        <w:rPr>
          <w:rFonts w:cs="Times New Roman"/>
          <w:vertAlign w:val="superscript"/>
        </w:rPr>
        <w:t>1</w:t>
      </w:r>
      <w:r w:rsidR="008C091C">
        <w:rPr>
          <w:rFonts w:cs="Times New Roman"/>
          <w:vertAlign w:val="superscript"/>
        </w:rPr>
        <w:t>*</w:t>
      </w:r>
    </w:p>
    <w:p w14:paraId="6759DC3B" w14:textId="7E458EDB" w:rsidR="00916C5D" w:rsidRPr="00F244EA" w:rsidRDefault="00916C5D" w:rsidP="00C807A3">
      <w:pPr>
        <w:pStyle w:val="ListParagraph"/>
        <w:numPr>
          <w:ilvl w:val="0"/>
          <w:numId w:val="19"/>
        </w:numPr>
        <w:spacing w:line="360" w:lineRule="auto"/>
        <w:rPr>
          <w:rFonts w:cs="Times New Roman"/>
          <w:szCs w:val="20"/>
        </w:rPr>
      </w:pPr>
      <w:r w:rsidRPr="00F244EA">
        <w:rPr>
          <w:rFonts w:cs="Times New Roman"/>
          <w:szCs w:val="20"/>
        </w:rPr>
        <w:t>Department of Engineering, Lancaster University, Lancaster LA1 4YW, UK</w:t>
      </w:r>
    </w:p>
    <w:p w14:paraId="48D78475" w14:textId="77777777" w:rsidR="00916C5D" w:rsidRPr="00F244EA" w:rsidRDefault="00916C5D" w:rsidP="00C807A3">
      <w:pPr>
        <w:pStyle w:val="ListParagraph"/>
        <w:numPr>
          <w:ilvl w:val="0"/>
          <w:numId w:val="19"/>
        </w:numPr>
        <w:spacing w:line="360" w:lineRule="auto"/>
        <w:rPr>
          <w:rFonts w:cs="Times New Roman"/>
          <w:szCs w:val="20"/>
          <w:lang w:val="es-ES"/>
        </w:rPr>
      </w:pPr>
      <w:r w:rsidRPr="00175D17">
        <w:rPr>
          <w:rFonts w:cs="Times New Roman"/>
          <w:szCs w:val="20"/>
          <w:lang w:val="es-ES"/>
        </w:rPr>
        <w:t xml:space="preserve">Lancaster Environmental Centre, Lancaster </w:t>
      </w:r>
      <w:proofErr w:type="spellStart"/>
      <w:r w:rsidRPr="00175D17">
        <w:rPr>
          <w:rFonts w:cs="Times New Roman"/>
          <w:szCs w:val="20"/>
          <w:lang w:val="es-ES"/>
        </w:rPr>
        <w:t>University</w:t>
      </w:r>
      <w:proofErr w:type="spellEnd"/>
      <w:r w:rsidRPr="00175D17">
        <w:rPr>
          <w:rFonts w:cs="Times New Roman"/>
          <w:szCs w:val="20"/>
          <w:lang w:val="es-ES"/>
        </w:rPr>
        <w:t>, L</w:t>
      </w:r>
      <w:r w:rsidRPr="00F244EA">
        <w:rPr>
          <w:rFonts w:cs="Times New Roman"/>
          <w:szCs w:val="20"/>
          <w:lang w:val="es-ES"/>
        </w:rPr>
        <w:t>ancaster, LA1 4YQ, UK</w:t>
      </w:r>
    </w:p>
    <w:p w14:paraId="7DD962C2" w14:textId="1A2B702D" w:rsidR="00916C5D" w:rsidRDefault="00916C5D" w:rsidP="00C807A3">
      <w:pPr>
        <w:pStyle w:val="ListParagraph"/>
        <w:numPr>
          <w:ilvl w:val="0"/>
          <w:numId w:val="19"/>
        </w:numPr>
        <w:spacing w:line="360" w:lineRule="auto"/>
        <w:rPr>
          <w:rFonts w:cs="Times New Roman"/>
          <w:szCs w:val="20"/>
        </w:rPr>
      </w:pPr>
      <w:r w:rsidRPr="00F244EA">
        <w:rPr>
          <w:rFonts w:cs="Times New Roman"/>
          <w:szCs w:val="20"/>
        </w:rPr>
        <w:t xml:space="preserve">Stopford </w:t>
      </w:r>
      <w:r w:rsidR="005C5A71">
        <w:rPr>
          <w:rFonts w:cs="Times New Roman"/>
          <w:szCs w:val="20"/>
        </w:rPr>
        <w:t>Projects Ltd, Lancaster Environment</w:t>
      </w:r>
      <w:r w:rsidRPr="00F244EA">
        <w:rPr>
          <w:rFonts w:cs="Times New Roman"/>
          <w:szCs w:val="20"/>
        </w:rPr>
        <w:t xml:space="preserve"> Centre, Lancaster University, Lancaster, LA1 4YQ, UK</w:t>
      </w:r>
    </w:p>
    <w:p w14:paraId="17310A40" w14:textId="77777777" w:rsidR="008C091C" w:rsidRPr="00F244EA" w:rsidRDefault="008C091C" w:rsidP="008C091C">
      <w:pPr>
        <w:pStyle w:val="ListParagraph"/>
        <w:spacing w:line="360" w:lineRule="auto"/>
        <w:ind w:left="360"/>
        <w:rPr>
          <w:rFonts w:cs="Times New Roman"/>
          <w:szCs w:val="20"/>
        </w:rPr>
      </w:pPr>
    </w:p>
    <w:p w14:paraId="6123ABD9" w14:textId="39EF3F25" w:rsidR="00916C5D" w:rsidRPr="00F244EA" w:rsidRDefault="00916C5D" w:rsidP="00320488">
      <w:pPr>
        <w:pStyle w:val="ListParagraph"/>
        <w:numPr>
          <w:ilvl w:val="0"/>
          <w:numId w:val="20"/>
        </w:numPr>
        <w:spacing w:line="360" w:lineRule="auto"/>
        <w:rPr>
          <w:rFonts w:cs="Times New Roman"/>
          <w:szCs w:val="20"/>
          <w:lang w:val="es-ES"/>
        </w:rPr>
      </w:pPr>
      <w:r w:rsidRPr="00F244EA">
        <w:rPr>
          <w:rFonts w:cs="Times New Roman"/>
          <w:szCs w:val="20"/>
          <w:lang w:val="es-ES"/>
        </w:rPr>
        <w:t>Alejandro Moure Abelenda</w:t>
      </w:r>
      <w:r w:rsidR="00D17D0A">
        <w:rPr>
          <w:rFonts w:cs="Times New Roman"/>
          <w:szCs w:val="20"/>
          <w:lang w:val="es-ES"/>
        </w:rPr>
        <w:t>,</w:t>
      </w:r>
      <w:r w:rsidR="003C6A7A" w:rsidRPr="00F244EA">
        <w:rPr>
          <w:rFonts w:cs="Times New Roman"/>
          <w:szCs w:val="20"/>
          <w:lang w:val="es-ES"/>
        </w:rPr>
        <w:t xml:space="preserve"> </w:t>
      </w:r>
      <w:hyperlink r:id="rId11" w:history="1">
        <w:r w:rsidR="008D3DDD" w:rsidRPr="00770509">
          <w:rPr>
            <w:rStyle w:val="Hyperlink"/>
            <w:lang w:val="es-ES"/>
          </w:rPr>
          <w:t>a.moureabelenda@lancaster.ac.uk</w:t>
        </w:r>
      </w:hyperlink>
      <w:r w:rsidR="008D3DDD">
        <w:rPr>
          <w:lang w:val="es-ES"/>
        </w:rPr>
        <w:t xml:space="preserve">, </w:t>
      </w:r>
      <w:r w:rsidR="00F63FAA" w:rsidRPr="00F244EA">
        <w:rPr>
          <w:rFonts w:cs="Times New Roman"/>
          <w:szCs w:val="20"/>
          <w:lang w:val="es-ES"/>
        </w:rPr>
        <w:t>ORCID: 0000-0002-6583-4626</w:t>
      </w:r>
    </w:p>
    <w:p w14:paraId="380B89C5" w14:textId="7772E56D" w:rsidR="00916C5D" w:rsidRPr="00D17D0A" w:rsidRDefault="00916C5D" w:rsidP="00320488">
      <w:pPr>
        <w:pStyle w:val="ListParagraph"/>
        <w:numPr>
          <w:ilvl w:val="0"/>
          <w:numId w:val="20"/>
        </w:numPr>
        <w:spacing w:line="360" w:lineRule="auto"/>
        <w:rPr>
          <w:rFonts w:cs="Times New Roman"/>
          <w:szCs w:val="20"/>
          <w:lang w:val="es-ES"/>
        </w:rPr>
      </w:pPr>
      <w:r w:rsidRPr="00D17D0A">
        <w:rPr>
          <w:rFonts w:cs="Times New Roman"/>
          <w:szCs w:val="20"/>
          <w:lang w:val="es-ES"/>
        </w:rPr>
        <w:t>Kirk Semple</w:t>
      </w:r>
      <w:r w:rsidR="00F07860" w:rsidRPr="00D17D0A">
        <w:rPr>
          <w:rFonts w:cs="Times New Roman"/>
          <w:szCs w:val="20"/>
          <w:lang w:val="es-ES"/>
        </w:rPr>
        <w:t xml:space="preserve">, </w:t>
      </w:r>
      <w:hyperlink r:id="rId12" w:history="1">
        <w:r w:rsidRPr="00D17D0A">
          <w:rPr>
            <w:rStyle w:val="Hyperlink"/>
            <w:rFonts w:cs="Times New Roman"/>
            <w:szCs w:val="20"/>
            <w:lang w:val="es-ES"/>
          </w:rPr>
          <w:t>k.semple@lancaster.ac.uk</w:t>
        </w:r>
      </w:hyperlink>
      <w:r w:rsidRPr="00D17D0A">
        <w:rPr>
          <w:rFonts w:cs="Times New Roman"/>
          <w:szCs w:val="20"/>
          <w:lang w:val="es-ES"/>
        </w:rPr>
        <w:t>, ORCID: 0000-0002-4046-2037</w:t>
      </w:r>
    </w:p>
    <w:p w14:paraId="23C64C3A" w14:textId="69DCBE33" w:rsidR="00916C5D" w:rsidRPr="00F244EA" w:rsidRDefault="00916C5D" w:rsidP="00320488">
      <w:pPr>
        <w:pStyle w:val="ListParagraph"/>
        <w:numPr>
          <w:ilvl w:val="0"/>
          <w:numId w:val="20"/>
        </w:numPr>
        <w:spacing w:line="360" w:lineRule="auto"/>
        <w:rPr>
          <w:rFonts w:cs="Times New Roman"/>
          <w:szCs w:val="20"/>
        </w:rPr>
      </w:pPr>
      <w:r w:rsidRPr="00731398">
        <w:rPr>
          <w:rFonts w:cs="Times New Roman"/>
          <w:szCs w:val="20"/>
        </w:rPr>
        <w:t>Alfonso</w:t>
      </w:r>
      <w:r w:rsidR="0095695F">
        <w:rPr>
          <w:rFonts w:cs="Times New Roman"/>
          <w:szCs w:val="20"/>
        </w:rPr>
        <w:t xml:space="preserve"> Jose Lag-</w:t>
      </w:r>
      <w:r w:rsidRPr="00F244EA">
        <w:rPr>
          <w:rFonts w:cs="Times New Roman"/>
          <w:szCs w:val="20"/>
        </w:rPr>
        <w:t>Brotons</w:t>
      </w:r>
      <w:r w:rsidR="00F07860" w:rsidRPr="00F244EA">
        <w:rPr>
          <w:rFonts w:cs="Times New Roman"/>
          <w:szCs w:val="20"/>
        </w:rPr>
        <w:t xml:space="preserve">, </w:t>
      </w:r>
      <w:hyperlink r:id="rId13" w:history="1">
        <w:r w:rsidRPr="00F244EA">
          <w:rPr>
            <w:rStyle w:val="Hyperlink"/>
            <w:rFonts w:cs="Times New Roman"/>
            <w:szCs w:val="20"/>
          </w:rPr>
          <w:t>a.lagbrotons@lancaster.ac.uk</w:t>
        </w:r>
      </w:hyperlink>
      <w:r w:rsidRPr="00F244EA">
        <w:rPr>
          <w:rFonts w:cs="Times New Roman"/>
          <w:szCs w:val="20"/>
        </w:rPr>
        <w:t>, ORCID: 0000-0001-9856-2797</w:t>
      </w:r>
    </w:p>
    <w:p w14:paraId="3038EE42" w14:textId="16A44B28" w:rsidR="00916C5D" w:rsidRPr="00F244EA" w:rsidRDefault="00916C5D" w:rsidP="00F07860">
      <w:pPr>
        <w:pStyle w:val="ListParagraph"/>
        <w:numPr>
          <w:ilvl w:val="0"/>
          <w:numId w:val="20"/>
        </w:numPr>
        <w:spacing w:line="360" w:lineRule="auto"/>
        <w:rPr>
          <w:rFonts w:cs="Times New Roman"/>
          <w:szCs w:val="20"/>
        </w:rPr>
      </w:pPr>
      <w:r w:rsidRPr="00F244EA">
        <w:rPr>
          <w:rFonts w:cs="Times New Roman"/>
          <w:szCs w:val="20"/>
        </w:rPr>
        <w:t xml:space="preserve">Ben Herbert, </w:t>
      </w:r>
      <w:hyperlink r:id="rId14" w:history="1">
        <w:r w:rsidRPr="00F244EA">
          <w:rPr>
            <w:rStyle w:val="Hyperlink"/>
            <w:rFonts w:cs="Times New Roman"/>
            <w:szCs w:val="20"/>
          </w:rPr>
          <w:t>ben.herbert@stopford.co.uk</w:t>
        </w:r>
      </w:hyperlink>
      <w:r w:rsidRPr="00F244EA">
        <w:rPr>
          <w:rFonts w:cs="Times New Roman"/>
          <w:szCs w:val="20"/>
        </w:rPr>
        <w:t>, ORCID: 0000-0003-4697-8197</w:t>
      </w:r>
    </w:p>
    <w:p w14:paraId="1E475DA5" w14:textId="6A4CBFD3" w:rsidR="00916C5D" w:rsidRPr="00F244EA" w:rsidRDefault="00916C5D" w:rsidP="00F07860">
      <w:pPr>
        <w:pStyle w:val="ListParagraph"/>
        <w:numPr>
          <w:ilvl w:val="0"/>
          <w:numId w:val="20"/>
        </w:numPr>
        <w:spacing w:line="360" w:lineRule="auto"/>
        <w:rPr>
          <w:rFonts w:cs="Times New Roman"/>
          <w:szCs w:val="20"/>
        </w:rPr>
      </w:pPr>
      <w:r w:rsidRPr="00F244EA">
        <w:rPr>
          <w:rFonts w:cs="Times New Roman"/>
          <w:szCs w:val="20"/>
        </w:rPr>
        <w:t>George Aggidis</w:t>
      </w:r>
      <w:r w:rsidR="00F07860" w:rsidRPr="00F244EA">
        <w:rPr>
          <w:rFonts w:cs="Times New Roman"/>
          <w:szCs w:val="20"/>
        </w:rPr>
        <w:t xml:space="preserve">, </w:t>
      </w:r>
      <w:hyperlink r:id="rId15" w:history="1">
        <w:r w:rsidRPr="00F244EA">
          <w:rPr>
            <w:rStyle w:val="Hyperlink"/>
            <w:rFonts w:cs="Times New Roman"/>
            <w:szCs w:val="20"/>
          </w:rPr>
          <w:t>g.aggidis@lancaster.ac.uk</w:t>
        </w:r>
      </w:hyperlink>
      <w:r w:rsidRPr="00F244EA">
        <w:rPr>
          <w:rFonts w:cs="Times New Roman"/>
          <w:szCs w:val="20"/>
        </w:rPr>
        <w:t>, ORCID: 0000-0002-5175-4529</w:t>
      </w:r>
    </w:p>
    <w:p w14:paraId="1AD4BF9C" w14:textId="4F62EC6D" w:rsidR="00773DAD" w:rsidRPr="008C091C" w:rsidRDefault="008C091C" w:rsidP="00F07860">
      <w:pPr>
        <w:pStyle w:val="ListParagraph"/>
        <w:numPr>
          <w:ilvl w:val="0"/>
          <w:numId w:val="20"/>
        </w:numPr>
        <w:spacing w:line="360" w:lineRule="auto"/>
        <w:rPr>
          <w:rFonts w:cs="Times New Roman"/>
          <w:szCs w:val="20"/>
        </w:rPr>
      </w:pPr>
      <w:r>
        <w:rPr>
          <w:rFonts w:cs="Times New Roman"/>
          <w:szCs w:val="20"/>
        </w:rPr>
        <w:t>*</w:t>
      </w:r>
      <w:r w:rsidR="00916C5D" w:rsidRPr="00F244EA">
        <w:rPr>
          <w:rFonts w:cs="Times New Roman"/>
          <w:szCs w:val="20"/>
        </w:rPr>
        <w:t>Farid Aiouache</w:t>
      </w:r>
      <w:r w:rsidR="00F07860" w:rsidRPr="00F244EA">
        <w:rPr>
          <w:rFonts w:cs="Times New Roman"/>
          <w:szCs w:val="20"/>
        </w:rPr>
        <w:t xml:space="preserve">, </w:t>
      </w:r>
      <w:hyperlink r:id="rId16" w:history="1">
        <w:r w:rsidR="00916C5D" w:rsidRPr="00F244EA">
          <w:rPr>
            <w:rStyle w:val="Hyperlink"/>
            <w:rFonts w:cs="Times New Roman"/>
            <w:szCs w:val="20"/>
          </w:rPr>
          <w:t>f.aiouache@lancaster.ac.uk</w:t>
        </w:r>
      </w:hyperlink>
      <w:r w:rsidR="00916C5D" w:rsidRPr="00F244EA">
        <w:rPr>
          <w:rFonts w:cs="Times New Roman"/>
          <w:szCs w:val="20"/>
        </w:rPr>
        <w:t>, ORCID: 0000-0002-0216-6907</w:t>
      </w:r>
      <w:r>
        <w:rPr>
          <w:rFonts w:cs="Times New Roman"/>
          <w:szCs w:val="20"/>
        </w:rPr>
        <w:t xml:space="preserve"> </w:t>
      </w:r>
      <w:r w:rsidRPr="00F244EA">
        <w:rPr>
          <w:rFonts w:cs="Times New Roman"/>
          <w:szCs w:val="20"/>
          <w:lang w:val="es-ES"/>
        </w:rPr>
        <w:t>(</w:t>
      </w:r>
      <w:proofErr w:type="spellStart"/>
      <w:r w:rsidRPr="00F244EA">
        <w:rPr>
          <w:rFonts w:cs="Times New Roman"/>
          <w:szCs w:val="20"/>
          <w:lang w:val="es-ES"/>
        </w:rPr>
        <w:t>corresponding</w:t>
      </w:r>
      <w:proofErr w:type="spellEnd"/>
      <w:r w:rsidRPr="00F244EA">
        <w:rPr>
          <w:rFonts w:cs="Times New Roman"/>
          <w:szCs w:val="20"/>
          <w:lang w:val="es-ES"/>
        </w:rPr>
        <w:t xml:space="preserve"> autor)</w:t>
      </w:r>
    </w:p>
    <w:p w14:paraId="226D2BCD" w14:textId="3B731E78" w:rsidR="00EE118D" w:rsidRPr="00EF75A4" w:rsidRDefault="00EE118D" w:rsidP="00C807A3">
      <w:pPr>
        <w:pStyle w:val="Heading2"/>
        <w:spacing w:line="360" w:lineRule="auto"/>
        <w:rPr>
          <w:rFonts w:cs="Times New Roman"/>
        </w:rPr>
      </w:pPr>
      <w:r w:rsidRPr="00EF75A4">
        <w:rPr>
          <w:rFonts w:cs="Times New Roman"/>
        </w:rPr>
        <w:t>Abstract</w:t>
      </w:r>
    </w:p>
    <w:p w14:paraId="02E6651B" w14:textId="178D3299" w:rsidR="0065251D" w:rsidRDefault="00960505" w:rsidP="00D33784">
      <w:pPr>
        <w:spacing w:line="360" w:lineRule="auto"/>
      </w:pPr>
      <w:r>
        <w:rPr>
          <w:rFonts w:cs="Times New Roman"/>
        </w:rPr>
        <w:t>H</w:t>
      </w:r>
      <w:r w:rsidR="00E142A4" w:rsidRPr="00EF75A4">
        <w:rPr>
          <w:rFonts w:cs="Times New Roman"/>
        </w:rPr>
        <w:t>andling of</w:t>
      </w:r>
      <w:r w:rsidR="00EF48C5">
        <w:rPr>
          <w:rFonts w:cs="Times New Roman"/>
        </w:rPr>
        <w:t xml:space="preserve"> food waste and</w:t>
      </w:r>
      <w:r w:rsidR="00E142A4" w:rsidRPr="00EF75A4">
        <w:rPr>
          <w:rFonts w:cs="Times New Roman"/>
        </w:rPr>
        <w:t xml:space="preserve"> </w:t>
      </w:r>
      <w:r w:rsidR="00070A55" w:rsidRPr="00EF75A4">
        <w:rPr>
          <w:rFonts w:cs="Times New Roman"/>
        </w:rPr>
        <w:t xml:space="preserve">agro-industrial waste </w:t>
      </w:r>
      <w:proofErr w:type="gramStart"/>
      <w:r w:rsidR="00E142A4" w:rsidRPr="00EF75A4">
        <w:rPr>
          <w:rFonts w:cs="Times New Roman"/>
        </w:rPr>
        <w:t>digestates</w:t>
      </w:r>
      <w:r w:rsidR="001F6D30">
        <w:rPr>
          <w:rFonts w:cs="Times New Roman"/>
        </w:rPr>
        <w:t>,</w:t>
      </w:r>
      <w:r w:rsidR="00E142A4" w:rsidRPr="00EF75A4">
        <w:rPr>
          <w:rFonts w:cs="Times New Roman"/>
        </w:rPr>
        <w:t xml:space="preserve"> and</w:t>
      </w:r>
      <w:proofErr w:type="gramEnd"/>
      <w:r w:rsidR="007F5A56" w:rsidRPr="00EF75A4">
        <w:rPr>
          <w:rFonts w:cs="Times New Roman"/>
        </w:rPr>
        <w:t xml:space="preserve"> fly and</w:t>
      </w:r>
      <w:r w:rsidR="00E142A4" w:rsidRPr="00EF75A4">
        <w:rPr>
          <w:rFonts w:cs="Times New Roman"/>
        </w:rPr>
        <w:t xml:space="preserve"> </w:t>
      </w:r>
      <w:r w:rsidR="00070A55" w:rsidRPr="00EF75A4">
        <w:rPr>
          <w:rFonts w:cs="Times New Roman"/>
        </w:rPr>
        <w:t xml:space="preserve">bottom </w:t>
      </w:r>
      <w:r w:rsidR="00236CF8">
        <w:rPr>
          <w:rFonts w:cs="Times New Roman"/>
        </w:rPr>
        <w:t xml:space="preserve">wood </w:t>
      </w:r>
      <w:r w:rsidR="00E142A4" w:rsidRPr="00EF75A4">
        <w:rPr>
          <w:rFonts w:cs="Times New Roman"/>
        </w:rPr>
        <w:t>ashes represent</w:t>
      </w:r>
      <w:r w:rsidR="002226B6" w:rsidRPr="00EF75A4">
        <w:rPr>
          <w:rFonts w:cs="Times New Roman"/>
        </w:rPr>
        <w:t>s</w:t>
      </w:r>
      <w:r w:rsidR="00E142A4" w:rsidRPr="00EF75A4">
        <w:rPr>
          <w:rFonts w:cs="Times New Roman"/>
        </w:rPr>
        <w:t xml:space="preserve"> an economic a</w:t>
      </w:r>
      <w:r w:rsidR="009F6C2A">
        <w:rPr>
          <w:rFonts w:cs="Times New Roman"/>
        </w:rPr>
        <w:t xml:space="preserve">nd environmental problem for society and </w:t>
      </w:r>
      <w:r w:rsidR="00E142A4" w:rsidRPr="00EF75A4">
        <w:rPr>
          <w:rFonts w:cs="Times New Roman"/>
        </w:rPr>
        <w:t>industries where they are produced</w:t>
      </w:r>
      <w:r w:rsidR="00F130D1" w:rsidRPr="00F130D1">
        <w:rPr>
          <w:rFonts w:cs="Times New Roman"/>
        </w:rPr>
        <w:t xml:space="preserve"> </w:t>
      </w:r>
      <w:r w:rsidR="00F130D1" w:rsidRPr="00B15D61">
        <w:rPr>
          <w:rFonts w:cs="Times New Roman"/>
          <w:b/>
        </w:rPr>
        <w:t>due to the requirement of large capacity storage facilities</w:t>
      </w:r>
      <w:r w:rsidR="009F6C2A" w:rsidRPr="00B15D61">
        <w:rPr>
          <w:rFonts w:cs="Times New Roman"/>
          <w:b/>
        </w:rPr>
        <w:t xml:space="preserve"> with special conditions</w:t>
      </w:r>
      <w:r w:rsidR="00E142A4" w:rsidRPr="00EF75A4">
        <w:rPr>
          <w:rFonts w:cs="Times New Roman"/>
        </w:rPr>
        <w:t xml:space="preserve">. Since both materials contain important nutrients for crops, two </w:t>
      </w:r>
      <w:r w:rsidR="007565E1">
        <w:rPr>
          <w:rFonts w:cs="Times New Roman"/>
        </w:rPr>
        <w:t xml:space="preserve">different </w:t>
      </w:r>
      <w:r w:rsidR="00E142A4" w:rsidRPr="00EF75A4">
        <w:rPr>
          <w:rFonts w:cs="Times New Roman"/>
        </w:rPr>
        <w:t>ble</w:t>
      </w:r>
      <w:r w:rsidR="007565E1">
        <w:rPr>
          <w:rFonts w:cs="Times New Roman"/>
        </w:rPr>
        <w:t>nding combinations were examined</w:t>
      </w:r>
      <w:r w:rsidR="00E142A4" w:rsidRPr="00EF75A4">
        <w:rPr>
          <w:rFonts w:cs="Times New Roman"/>
        </w:rPr>
        <w:t xml:space="preserve"> as potential slow</w:t>
      </w:r>
      <w:r w:rsidR="00A1276B" w:rsidRPr="00175D17">
        <w:rPr>
          <w:rFonts w:cs="Times New Roman"/>
        </w:rPr>
        <w:t>-</w:t>
      </w:r>
      <w:r w:rsidR="00E142A4" w:rsidRPr="00EF75A4">
        <w:rPr>
          <w:rFonts w:cs="Times New Roman"/>
        </w:rPr>
        <w:t>release fertili</w:t>
      </w:r>
      <w:r w:rsidR="008D62C9" w:rsidRPr="002E089B">
        <w:rPr>
          <w:rFonts w:cs="Times New Roman"/>
          <w:b/>
        </w:rPr>
        <w:t>z</w:t>
      </w:r>
      <w:r w:rsidR="00E142A4" w:rsidRPr="00EF75A4">
        <w:rPr>
          <w:rFonts w:cs="Times New Roman"/>
        </w:rPr>
        <w:t>ers</w:t>
      </w:r>
      <w:r w:rsidR="00F130D1">
        <w:rPr>
          <w:rFonts w:cs="Times New Roman"/>
        </w:rPr>
        <w:t xml:space="preserve"> </w:t>
      </w:r>
      <w:r w:rsidR="00F130D1" w:rsidRPr="00B15D61">
        <w:rPr>
          <w:rFonts w:cs="Times New Roman"/>
          <w:b/>
        </w:rPr>
        <w:t>to enhance the circular economy</w:t>
      </w:r>
      <w:r w:rsidR="00E142A4" w:rsidRPr="00EF75A4">
        <w:rPr>
          <w:rFonts w:cs="Times New Roman"/>
        </w:rPr>
        <w:t xml:space="preserve">. </w:t>
      </w:r>
      <w:r w:rsidR="0095695F" w:rsidRPr="00B15D61">
        <w:rPr>
          <w:rFonts w:cs="Times New Roman"/>
        </w:rPr>
        <w:t>H</w:t>
      </w:r>
      <w:r w:rsidR="00E142A4" w:rsidRPr="00B15D61">
        <w:rPr>
          <w:rFonts w:cs="Times New Roman"/>
        </w:rPr>
        <w:t xml:space="preserve">igh </w:t>
      </w:r>
      <w:r w:rsidR="001F6D30" w:rsidRPr="00B15D61">
        <w:rPr>
          <w:rFonts w:cs="Times New Roman"/>
        </w:rPr>
        <w:t>share</w:t>
      </w:r>
      <w:r w:rsidR="00E142A4" w:rsidRPr="00B15D61">
        <w:rPr>
          <w:rFonts w:cs="Times New Roman"/>
        </w:rPr>
        <w:t xml:space="preserve"> of</w:t>
      </w:r>
      <w:r w:rsidR="00E142A4" w:rsidRPr="00EF75A4">
        <w:rPr>
          <w:rFonts w:cs="Times New Roman"/>
        </w:rPr>
        <w:t xml:space="preserve"> </w:t>
      </w:r>
      <w:r w:rsidR="00886DDE" w:rsidRPr="00B15D61">
        <w:rPr>
          <w:rFonts w:cs="Times New Roman"/>
        </w:rPr>
        <w:t xml:space="preserve">biomass </w:t>
      </w:r>
      <w:r w:rsidR="00093BC1" w:rsidRPr="00B15D61">
        <w:rPr>
          <w:rFonts w:cs="Times New Roman"/>
        </w:rPr>
        <w:t>ash</w:t>
      </w:r>
      <w:r w:rsidR="001D627A" w:rsidRPr="00B15D61">
        <w:rPr>
          <w:rFonts w:cs="Times New Roman"/>
        </w:rPr>
        <w:t>es</w:t>
      </w:r>
      <w:r w:rsidR="00E142A4" w:rsidRPr="00B15D61">
        <w:rPr>
          <w:rFonts w:cs="Times New Roman"/>
        </w:rPr>
        <w:t xml:space="preserve"> </w:t>
      </w:r>
      <w:proofErr w:type="gramStart"/>
      <w:r w:rsidR="00093BC1" w:rsidRPr="00B15D61">
        <w:rPr>
          <w:rFonts w:cs="Times New Roman"/>
        </w:rPr>
        <w:t>were</w:t>
      </w:r>
      <w:proofErr w:type="gramEnd"/>
      <w:r w:rsidR="00093BC1" w:rsidRPr="00B15D61">
        <w:rPr>
          <w:rFonts w:cs="Times New Roman"/>
        </w:rPr>
        <w:t xml:space="preserve"> </w:t>
      </w:r>
      <w:r w:rsidR="001F6D30" w:rsidRPr="00B15D61">
        <w:rPr>
          <w:rFonts w:cs="Times New Roman"/>
        </w:rPr>
        <w:t>selected</w:t>
      </w:r>
      <w:r w:rsidR="007F5A56" w:rsidRPr="00B15D61">
        <w:rPr>
          <w:rFonts w:cs="Times New Roman"/>
        </w:rPr>
        <w:t xml:space="preserve"> aiming</w:t>
      </w:r>
      <w:r w:rsidR="00E142A4" w:rsidRPr="00EF75A4">
        <w:rPr>
          <w:rFonts w:cs="Times New Roman"/>
        </w:rPr>
        <w:t xml:space="preserve"> the</w:t>
      </w:r>
      <w:r w:rsidR="00B2647F">
        <w:rPr>
          <w:rFonts w:cs="Times New Roman"/>
        </w:rPr>
        <w:t xml:space="preserve"> </w:t>
      </w:r>
      <w:r w:rsidR="00B2647F" w:rsidRPr="000C2F30">
        <w:rPr>
          <w:rFonts w:cs="Times New Roman"/>
          <w:b/>
        </w:rPr>
        <w:t>chemical</w:t>
      </w:r>
      <w:r w:rsidR="00E142A4" w:rsidRPr="00EF75A4">
        <w:rPr>
          <w:rFonts w:cs="Times New Roman"/>
        </w:rPr>
        <w:t xml:space="preserve"> alkaline stabili</w:t>
      </w:r>
      <w:r w:rsidR="006F29E4">
        <w:rPr>
          <w:rFonts w:cs="Times New Roman"/>
        </w:rPr>
        <w:t>z</w:t>
      </w:r>
      <w:r w:rsidR="00E142A4" w:rsidRPr="00EF75A4">
        <w:rPr>
          <w:rFonts w:cs="Times New Roman"/>
        </w:rPr>
        <w:t>ation of the digestate</w:t>
      </w:r>
      <w:r w:rsidR="00082B67">
        <w:rPr>
          <w:rFonts w:cs="Times New Roman"/>
        </w:rPr>
        <w:t>s</w:t>
      </w:r>
      <w:r w:rsidR="00E142A4" w:rsidRPr="00EF75A4">
        <w:rPr>
          <w:rFonts w:cs="Times New Roman"/>
        </w:rPr>
        <w:t xml:space="preserve">. </w:t>
      </w:r>
      <w:r w:rsidR="00886DDE" w:rsidRPr="00B15D61">
        <w:rPr>
          <w:rFonts w:cs="Times New Roman"/>
        </w:rPr>
        <w:t>T</w:t>
      </w:r>
      <w:r w:rsidR="00B25594" w:rsidRPr="00B15D61">
        <w:rPr>
          <w:rFonts w:cs="Times New Roman"/>
        </w:rPr>
        <w:t xml:space="preserve">he </w:t>
      </w:r>
      <w:r w:rsidR="00082B67" w:rsidRPr="00B15D61">
        <w:rPr>
          <w:rFonts w:cs="Times New Roman"/>
        </w:rPr>
        <w:t>concentration</w:t>
      </w:r>
      <w:r w:rsidR="00D00352" w:rsidRPr="00B15D61">
        <w:rPr>
          <w:rFonts w:cs="Times New Roman"/>
        </w:rPr>
        <w:t>s</w:t>
      </w:r>
      <w:r w:rsidR="00B25594" w:rsidRPr="00B15D61">
        <w:rPr>
          <w:rFonts w:cs="Times New Roman"/>
        </w:rPr>
        <w:t xml:space="preserve"> of nitrogen</w:t>
      </w:r>
      <w:r w:rsidR="00B25594">
        <w:rPr>
          <w:rFonts w:cs="Times New Roman"/>
        </w:rPr>
        <w:t xml:space="preserve">, carbon, and </w:t>
      </w:r>
      <w:r w:rsidR="00B25594" w:rsidRPr="00B15D61">
        <w:rPr>
          <w:rFonts w:cs="Times New Roman"/>
        </w:rPr>
        <w:t xml:space="preserve">phosphorus in the </w:t>
      </w:r>
      <w:r w:rsidR="0040384D" w:rsidRPr="00B15D61">
        <w:rPr>
          <w:rFonts w:cs="Times New Roman"/>
        </w:rPr>
        <w:t>water-soluble extract of the</w:t>
      </w:r>
      <w:r w:rsidR="0040384D">
        <w:rPr>
          <w:rFonts w:cs="Times New Roman"/>
        </w:rPr>
        <w:t xml:space="preserve"> blends</w:t>
      </w:r>
      <w:r w:rsidR="0040384D">
        <w:rPr>
          <w:rFonts w:cs="Times New Roman"/>
          <w:b/>
        </w:rPr>
        <w:t xml:space="preserve">, </w:t>
      </w:r>
      <w:r w:rsidR="0040384D" w:rsidRPr="005A597A">
        <w:rPr>
          <w:rFonts w:cs="Times New Roman"/>
          <w:b/>
        </w:rPr>
        <w:t xml:space="preserve">which was obtained by adding </w:t>
      </w:r>
      <w:r w:rsidR="0040384D">
        <w:rPr>
          <w:rFonts w:cs="Times New Roman"/>
          <w:b/>
        </w:rPr>
        <w:t>ten</w:t>
      </w:r>
      <w:r w:rsidR="0040384D" w:rsidRPr="005A597A">
        <w:rPr>
          <w:rFonts w:cs="Times New Roman"/>
          <w:b/>
        </w:rPr>
        <w:t xml:space="preserve"> parts of </w:t>
      </w:r>
      <w:r w:rsidR="00175D17">
        <w:rPr>
          <w:rFonts w:cs="Times New Roman"/>
          <w:b/>
        </w:rPr>
        <w:t>milli-Q</w:t>
      </w:r>
      <w:r w:rsidR="00175D17">
        <w:rPr>
          <w:rFonts w:ascii="Calibri" w:hAnsi="Calibri" w:cs="Calibri"/>
          <w:b/>
        </w:rPr>
        <w:t>®</w:t>
      </w:r>
      <w:r w:rsidR="0040384D" w:rsidRPr="005A597A">
        <w:rPr>
          <w:rFonts w:cs="Times New Roman"/>
          <w:b/>
        </w:rPr>
        <w:t xml:space="preserve"> per each part of sample and subsequent solid-liquid separation</w:t>
      </w:r>
      <w:r w:rsidR="0040384D">
        <w:rPr>
          <w:rFonts w:cs="Times New Roman"/>
          <w:b/>
        </w:rPr>
        <w:t>,</w:t>
      </w:r>
      <w:r w:rsidR="0040384D">
        <w:rPr>
          <w:rFonts w:cs="Times New Roman"/>
        </w:rPr>
        <w:t xml:space="preserve"> </w:t>
      </w:r>
      <w:r w:rsidR="00886DDE" w:rsidRPr="00EF75A4">
        <w:rPr>
          <w:rFonts w:cs="Times New Roman"/>
        </w:rPr>
        <w:t xml:space="preserve">were </w:t>
      </w:r>
      <w:r w:rsidR="00B25594">
        <w:rPr>
          <w:rFonts w:cs="Times New Roman"/>
        </w:rPr>
        <w:t>measured</w:t>
      </w:r>
      <w:r w:rsidR="008E23D4">
        <w:rPr>
          <w:rFonts w:cs="Times New Roman"/>
        </w:rPr>
        <w:t xml:space="preserve"> during</w:t>
      </w:r>
      <w:r w:rsidR="008D0DF4">
        <w:rPr>
          <w:rFonts w:cs="Times New Roman"/>
        </w:rPr>
        <w:t xml:space="preserve"> a</w:t>
      </w:r>
      <w:r w:rsidR="00E142A4" w:rsidRPr="00EF75A4">
        <w:rPr>
          <w:rFonts w:cs="Times New Roman"/>
        </w:rPr>
        <w:t xml:space="preserve"> </w:t>
      </w:r>
      <w:r w:rsidR="008D0DF4">
        <w:rPr>
          <w:rFonts w:cs="Times New Roman"/>
        </w:rPr>
        <w:t>10-hour</w:t>
      </w:r>
      <w:r w:rsidR="00E142A4" w:rsidRPr="00EF75A4">
        <w:rPr>
          <w:rFonts w:cs="Times New Roman"/>
        </w:rPr>
        <w:t xml:space="preserve"> </w:t>
      </w:r>
      <w:r w:rsidR="00886DDE" w:rsidRPr="00EF75A4">
        <w:rPr>
          <w:rFonts w:cs="Times New Roman"/>
        </w:rPr>
        <w:t>incubation</w:t>
      </w:r>
      <w:r w:rsidR="0020635C">
        <w:rPr>
          <w:rFonts w:cs="Times New Roman"/>
        </w:rPr>
        <w:t xml:space="preserve"> </w:t>
      </w:r>
      <w:r w:rsidR="0020635C" w:rsidRPr="002E089B">
        <w:rPr>
          <w:rFonts w:cs="Times New Roman"/>
          <w:b/>
        </w:rPr>
        <w:t>at 22</w:t>
      </w:r>
      <w:r w:rsidR="00A1276B" w:rsidRPr="002E089B">
        <w:rPr>
          <w:rFonts w:cs="Times New Roman"/>
          <w:b/>
        </w:rPr>
        <w:t xml:space="preserve"> </w:t>
      </w:r>
      <w:r w:rsidR="00A1276B" w:rsidRPr="002E089B">
        <w:rPr>
          <w:rFonts w:ascii="Calibri" w:hAnsi="Calibri" w:cs="Calibri"/>
          <w:b/>
        </w:rPr>
        <w:t>º</w:t>
      </w:r>
      <w:r w:rsidR="00A1276B" w:rsidRPr="002E089B">
        <w:rPr>
          <w:rFonts w:cs="Times New Roman"/>
          <w:b/>
        </w:rPr>
        <w:t>C and 100 rpm</w:t>
      </w:r>
      <w:r w:rsidR="00B25594">
        <w:rPr>
          <w:rFonts w:cs="Times New Roman"/>
        </w:rPr>
        <w:t>.</w:t>
      </w:r>
      <w:r w:rsidR="000E06BE">
        <w:rPr>
          <w:rFonts w:cs="Times New Roman"/>
        </w:rPr>
        <w:t xml:space="preserve"> T</w:t>
      </w:r>
      <w:r w:rsidR="00162D28">
        <w:rPr>
          <w:rFonts w:cs="Times New Roman"/>
        </w:rPr>
        <w:t>he volatiliz</w:t>
      </w:r>
      <w:r w:rsidR="00E142A4" w:rsidRPr="00EF75A4">
        <w:rPr>
          <w:rFonts w:cs="Times New Roman"/>
        </w:rPr>
        <w:t xml:space="preserve">ation </w:t>
      </w:r>
      <w:r w:rsidR="00E142A4" w:rsidRPr="00B15D61">
        <w:rPr>
          <w:rFonts w:cs="Times New Roman"/>
        </w:rPr>
        <w:t xml:space="preserve">of </w:t>
      </w:r>
      <w:r w:rsidR="005A597A" w:rsidRPr="00B15D61">
        <w:rPr>
          <w:rFonts w:cs="Times New Roman"/>
        </w:rPr>
        <w:t>ammonia</w:t>
      </w:r>
      <w:r w:rsidR="00E142A4" w:rsidRPr="00B15D61">
        <w:rPr>
          <w:rFonts w:cs="Times New Roman"/>
        </w:rPr>
        <w:t xml:space="preserve"> was the</w:t>
      </w:r>
      <w:r w:rsidR="00E142A4" w:rsidRPr="00EF75A4">
        <w:rPr>
          <w:rFonts w:cs="Times New Roman"/>
        </w:rPr>
        <w:t xml:space="preserve"> main route </w:t>
      </w:r>
      <w:r w:rsidR="007565E1">
        <w:rPr>
          <w:rFonts w:cs="Times New Roman"/>
        </w:rPr>
        <w:t>o</w:t>
      </w:r>
      <w:r w:rsidR="008E23D4">
        <w:rPr>
          <w:rFonts w:cs="Times New Roman"/>
        </w:rPr>
        <w:t>f lo</w:t>
      </w:r>
      <w:r w:rsidR="007565E1">
        <w:rPr>
          <w:rFonts w:cs="Times New Roman"/>
        </w:rPr>
        <w:t>sing nitrogen</w:t>
      </w:r>
      <w:r w:rsidR="001828B0">
        <w:rPr>
          <w:rFonts w:cs="Times New Roman"/>
        </w:rPr>
        <w:t xml:space="preserve">, with the greatest </w:t>
      </w:r>
      <w:r w:rsidR="007565E1">
        <w:rPr>
          <w:rFonts w:cs="Times New Roman"/>
        </w:rPr>
        <w:t>rate of volatil</w:t>
      </w:r>
      <w:r w:rsidR="008E23D4">
        <w:rPr>
          <w:rFonts w:cs="Times New Roman"/>
        </w:rPr>
        <w:t>i</w:t>
      </w:r>
      <w:r w:rsidR="00162D28">
        <w:rPr>
          <w:rFonts w:cs="Times New Roman"/>
        </w:rPr>
        <w:t>z</w:t>
      </w:r>
      <w:r w:rsidR="007565E1">
        <w:rPr>
          <w:rFonts w:cs="Times New Roman"/>
        </w:rPr>
        <w:t>ation</w:t>
      </w:r>
      <w:r w:rsidR="001828B0">
        <w:rPr>
          <w:rFonts w:cs="Times New Roman"/>
        </w:rPr>
        <w:t xml:space="preserve"> at the time of blending and</w:t>
      </w:r>
      <w:r w:rsidR="00E142A4" w:rsidRPr="00EF75A4">
        <w:rPr>
          <w:rFonts w:cs="Times New Roman"/>
        </w:rPr>
        <w:t xml:space="preserve"> approximately 50 mg NH</w:t>
      </w:r>
      <w:r w:rsidR="00E142A4" w:rsidRPr="00EF75A4">
        <w:rPr>
          <w:rFonts w:cs="Times New Roman"/>
          <w:vertAlign w:val="subscript"/>
        </w:rPr>
        <w:t>3</w:t>
      </w:r>
      <w:r w:rsidR="00E142A4" w:rsidRPr="00EF75A4">
        <w:rPr>
          <w:rFonts w:cs="Times New Roman"/>
        </w:rPr>
        <w:t>-N/kg blend/hour by the end of the i</w:t>
      </w:r>
      <w:r w:rsidR="007F5A56" w:rsidRPr="00EF75A4">
        <w:rPr>
          <w:rFonts w:cs="Times New Roman"/>
        </w:rPr>
        <w:t>ncubation. The</w:t>
      </w:r>
      <w:r w:rsidR="00E142A4" w:rsidRPr="00EF75A4">
        <w:rPr>
          <w:rFonts w:cs="Times New Roman"/>
        </w:rPr>
        <w:t xml:space="preserve"> hydrolysis</w:t>
      </w:r>
      <w:r w:rsidR="007F5A56" w:rsidRPr="00EF75A4">
        <w:rPr>
          <w:rFonts w:cs="Times New Roman"/>
        </w:rPr>
        <w:t xml:space="preserve"> taking place at alkaline pH</w:t>
      </w:r>
      <w:r w:rsidR="00E142A4" w:rsidRPr="00EF75A4">
        <w:rPr>
          <w:rFonts w:cs="Times New Roman"/>
        </w:rPr>
        <w:t xml:space="preserve"> was </w:t>
      </w:r>
      <w:r w:rsidR="007317B0" w:rsidRPr="00EF75A4">
        <w:rPr>
          <w:rFonts w:cs="Times New Roman"/>
        </w:rPr>
        <w:t xml:space="preserve">found </w:t>
      </w:r>
      <w:r w:rsidR="00093BC1">
        <w:rPr>
          <w:rFonts w:cs="Times New Roman"/>
        </w:rPr>
        <w:t>responsible of</w:t>
      </w:r>
      <w:r w:rsidR="00707FB0">
        <w:rPr>
          <w:rFonts w:cs="Times New Roman"/>
        </w:rPr>
        <w:t xml:space="preserve"> the</w:t>
      </w:r>
      <w:r w:rsidR="00E142A4" w:rsidRPr="00EF75A4">
        <w:rPr>
          <w:rFonts w:cs="Times New Roman"/>
        </w:rPr>
        <w:t xml:space="preserve"> conversion</w:t>
      </w:r>
      <w:r w:rsidR="00093BC1">
        <w:rPr>
          <w:rFonts w:cs="Times New Roman"/>
        </w:rPr>
        <w:t xml:space="preserve"> </w:t>
      </w:r>
      <w:r w:rsidR="00707FB0">
        <w:rPr>
          <w:rFonts w:cs="Times New Roman"/>
        </w:rPr>
        <w:t xml:space="preserve">of </w:t>
      </w:r>
      <w:r w:rsidR="00E142A4" w:rsidRPr="00EF75A4">
        <w:rPr>
          <w:rFonts w:cs="Times New Roman"/>
        </w:rPr>
        <w:t xml:space="preserve">organic nitrogen to </w:t>
      </w:r>
      <w:r w:rsidR="0095695F" w:rsidRPr="00B15D61">
        <w:rPr>
          <w:rFonts w:cs="Times New Roman"/>
        </w:rPr>
        <w:t>ammoniacal nitrogen</w:t>
      </w:r>
      <w:r w:rsidR="00E142A4" w:rsidRPr="00B15D61">
        <w:rPr>
          <w:rFonts w:cs="Times New Roman"/>
        </w:rPr>
        <w:t xml:space="preserve"> and</w:t>
      </w:r>
      <w:r w:rsidR="00E142A4" w:rsidRPr="00EF75A4">
        <w:rPr>
          <w:rFonts w:cs="Times New Roman"/>
        </w:rPr>
        <w:t xml:space="preserve"> </w:t>
      </w:r>
      <w:r w:rsidR="00093BC1">
        <w:rPr>
          <w:rFonts w:cs="Times New Roman"/>
        </w:rPr>
        <w:t xml:space="preserve">of </w:t>
      </w:r>
      <w:r w:rsidR="00E142A4" w:rsidRPr="00EF75A4">
        <w:rPr>
          <w:rFonts w:cs="Times New Roman"/>
        </w:rPr>
        <w:t>the increase of the amo</w:t>
      </w:r>
      <w:r w:rsidR="000E06BE">
        <w:rPr>
          <w:rFonts w:cs="Times New Roman"/>
        </w:rPr>
        <w:t xml:space="preserve">unt of </w:t>
      </w:r>
      <w:r w:rsidR="007565E1">
        <w:rPr>
          <w:rFonts w:cs="Times New Roman"/>
        </w:rPr>
        <w:t xml:space="preserve">water-soluble </w:t>
      </w:r>
      <w:r w:rsidR="000E06BE">
        <w:rPr>
          <w:rFonts w:cs="Times New Roman"/>
        </w:rPr>
        <w:t>carbon</w:t>
      </w:r>
      <w:r w:rsidR="00E142A4" w:rsidRPr="00EF75A4">
        <w:rPr>
          <w:rFonts w:cs="Times New Roman"/>
        </w:rPr>
        <w:t xml:space="preserve">, which </w:t>
      </w:r>
      <w:r w:rsidR="00FA5459">
        <w:rPr>
          <w:rFonts w:cs="Times New Roman"/>
        </w:rPr>
        <w:t>rose</w:t>
      </w:r>
      <w:r w:rsidR="00E142A4" w:rsidRPr="00EF75A4">
        <w:rPr>
          <w:rFonts w:cs="Times New Roman"/>
        </w:rPr>
        <w:t xml:space="preserve"> progressively during the </w:t>
      </w:r>
      <w:r w:rsidR="007317B0" w:rsidRPr="00EF75A4">
        <w:rPr>
          <w:rFonts w:cs="Times New Roman"/>
        </w:rPr>
        <w:t>incubation</w:t>
      </w:r>
      <w:r w:rsidR="000E06BE">
        <w:rPr>
          <w:rFonts w:cs="Times New Roman"/>
        </w:rPr>
        <w:t>.</w:t>
      </w:r>
      <w:r w:rsidR="0065251D">
        <w:rPr>
          <w:rFonts w:cs="Times New Roman"/>
        </w:rPr>
        <w:t xml:space="preserve"> The release of CO</w:t>
      </w:r>
      <w:r w:rsidR="0065251D" w:rsidRPr="0065251D">
        <w:rPr>
          <w:rFonts w:cs="Times New Roman"/>
          <w:vertAlign w:val="subscript"/>
        </w:rPr>
        <w:t>2</w:t>
      </w:r>
      <w:r w:rsidR="0065251D">
        <w:rPr>
          <w:rFonts w:cs="Times New Roman"/>
        </w:rPr>
        <w:t xml:space="preserve"> was prevented by the high pH (&gt;</w:t>
      </w:r>
      <w:r w:rsidR="00DB42E6" w:rsidRPr="002E089B">
        <w:rPr>
          <w:rFonts w:cs="Times New Roman"/>
          <w:b/>
        </w:rPr>
        <w:t xml:space="preserve"> </w:t>
      </w:r>
      <w:r w:rsidR="0065251D">
        <w:rPr>
          <w:rFonts w:cs="Times New Roman"/>
        </w:rPr>
        <w:t>10) of the blends.</w:t>
      </w:r>
      <w:r w:rsidR="000E06BE">
        <w:rPr>
          <w:rFonts w:cs="Times New Roman"/>
        </w:rPr>
        <w:t xml:space="preserve"> T</w:t>
      </w:r>
      <w:r w:rsidR="006E78FF">
        <w:rPr>
          <w:rFonts w:cs="Times New Roman"/>
        </w:rPr>
        <w:t xml:space="preserve">he </w:t>
      </w:r>
      <w:r w:rsidR="00BD02E8" w:rsidRPr="00EF75A4">
        <w:rPr>
          <w:rFonts w:cs="Times New Roman"/>
        </w:rPr>
        <w:t xml:space="preserve">drop </w:t>
      </w:r>
      <w:r w:rsidR="006E78FF">
        <w:rPr>
          <w:rFonts w:cs="Times New Roman"/>
        </w:rPr>
        <w:t>in</w:t>
      </w:r>
      <w:r w:rsidR="000E06BE">
        <w:rPr>
          <w:rFonts w:cs="Times New Roman"/>
        </w:rPr>
        <w:t xml:space="preserve"> </w:t>
      </w:r>
      <w:r w:rsidR="006E78FF">
        <w:rPr>
          <w:rFonts w:cs="Times New Roman"/>
        </w:rPr>
        <w:t xml:space="preserve">the </w:t>
      </w:r>
      <w:r w:rsidR="000E06BE">
        <w:rPr>
          <w:rFonts w:cs="Times New Roman"/>
        </w:rPr>
        <w:t>concentration of water-</w:t>
      </w:r>
      <w:r w:rsidR="000E06BE" w:rsidRPr="00B15D61">
        <w:rPr>
          <w:rFonts w:cs="Times New Roman"/>
        </w:rPr>
        <w:t xml:space="preserve">soluble </w:t>
      </w:r>
      <w:r w:rsidR="005A597A" w:rsidRPr="00B15D61">
        <w:rPr>
          <w:rFonts w:cs="Times New Roman"/>
        </w:rPr>
        <w:t>ortho</w:t>
      </w:r>
      <w:r w:rsidR="000E06BE" w:rsidRPr="00B15D61">
        <w:rPr>
          <w:rFonts w:cs="Times New Roman"/>
        </w:rPr>
        <w:t>phosph</w:t>
      </w:r>
      <w:r w:rsidR="002E089B" w:rsidRPr="00B15D61">
        <w:rPr>
          <w:rFonts w:cs="Times New Roman"/>
        </w:rPr>
        <w:t>ate</w:t>
      </w:r>
      <w:r w:rsidR="00AC2263" w:rsidRPr="00B15D61">
        <w:rPr>
          <w:rFonts w:cs="Times New Roman"/>
        </w:rPr>
        <w:t xml:space="preserve"> at the</w:t>
      </w:r>
      <w:r w:rsidR="00AC2263" w:rsidRPr="00EF75A4">
        <w:rPr>
          <w:rFonts w:cs="Times New Roman"/>
        </w:rPr>
        <w:t xml:space="preserve"> time of </w:t>
      </w:r>
      <w:r w:rsidR="00AC2263" w:rsidRPr="00B15D61">
        <w:rPr>
          <w:rFonts w:cs="Times New Roman"/>
        </w:rPr>
        <w:t>preparing the mixtures</w:t>
      </w:r>
      <w:r w:rsidR="005A597A" w:rsidRPr="00B15D61">
        <w:rPr>
          <w:rFonts w:cs="Times New Roman"/>
        </w:rPr>
        <w:t xml:space="preserve"> was</w:t>
      </w:r>
      <w:r w:rsidR="000E06BE" w:rsidRPr="000E06BE">
        <w:rPr>
          <w:rFonts w:cs="Times New Roman"/>
        </w:rPr>
        <w:t xml:space="preserve"> </w:t>
      </w:r>
      <w:r w:rsidR="000E06BE" w:rsidRPr="00EF75A4">
        <w:rPr>
          <w:rFonts w:cs="Times New Roman"/>
        </w:rPr>
        <w:t>driven by adsorption onto the ashes</w:t>
      </w:r>
      <w:r w:rsidR="00E142A4" w:rsidRPr="00EF75A4">
        <w:rPr>
          <w:rFonts w:cs="Times New Roman"/>
        </w:rPr>
        <w:t xml:space="preserve">. </w:t>
      </w:r>
      <w:r w:rsidR="00E568D7">
        <w:rPr>
          <w:rFonts w:cs="Times New Roman"/>
        </w:rPr>
        <w:t xml:space="preserve">The </w:t>
      </w:r>
      <w:r w:rsidR="00093BC1">
        <w:rPr>
          <w:rFonts w:cs="Times New Roman"/>
        </w:rPr>
        <w:t>desorption of</w:t>
      </w:r>
      <w:r w:rsidR="00E568D7">
        <w:rPr>
          <w:rFonts w:cs="Times New Roman"/>
        </w:rPr>
        <w:t xml:space="preserve"> some of the </w:t>
      </w:r>
      <w:r w:rsidR="00EE1260">
        <w:rPr>
          <w:rFonts w:cs="Times New Roman"/>
        </w:rPr>
        <w:t>ortho</w:t>
      </w:r>
      <w:r w:rsidR="00E568D7">
        <w:rPr>
          <w:rFonts w:cs="Times New Roman"/>
        </w:rPr>
        <w:t>phosph</w:t>
      </w:r>
      <w:r w:rsidR="00E568D7" w:rsidRPr="00B15D61">
        <w:rPr>
          <w:rFonts w:cs="Times New Roman"/>
        </w:rPr>
        <w:t>ate</w:t>
      </w:r>
      <w:r w:rsidR="00E568D7">
        <w:rPr>
          <w:rFonts w:cs="Times New Roman"/>
        </w:rPr>
        <w:t xml:space="preserve"> was found to be</w:t>
      </w:r>
      <w:r w:rsidR="00093BC1">
        <w:rPr>
          <w:rFonts w:cs="Times New Roman"/>
        </w:rPr>
        <w:t xml:space="preserve"> inversely</w:t>
      </w:r>
      <w:r w:rsidR="00E568D7">
        <w:rPr>
          <w:rFonts w:cs="Times New Roman"/>
        </w:rPr>
        <w:t xml:space="preserve"> related to the amount of ash</w:t>
      </w:r>
      <w:r w:rsidR="001D627A">
        <w:rPr>
          <w:rFonts w:cs="Times New Roman"/>
        </w:rPr>
        <w:t>es</w:t>
      </w:r>
      <w:r w:rsidR="00093BC1">
        <w:rPr>
          <w:rFonts w:cs="Times New Roman"/>
        </w:rPr>
        <w:t xml:space="preserve"> added</w:t>
      </w:r>
      <w:r w:rsidR="00E568D7">
        <w:rPr>
          <w:rFonts w:cs="Times New Roman"/>
        </w:rPr>
        <w:t xml:space="preserve"> </w:t>
      </w:r>
      <w:r>
        <w:rPr>
          <w:rFonts w:cs="Times New Roman"/>
        </w:rPr>
        <w:t xml:space="preserve">to </w:t>
      </w:r>
      <w:r w:rsidR="00E568D7">
        <w:rPr>
          <w:rFonts w:cs="Times New Roman"/>
        </w:rPr>
        <w:t xml:space="preserve">the </w:t>
      </w:r>
      <w:r w:rsidR="00093BC1">
        <w:rPr>
          <w:rFonts w:cs="Times New Roman"/>
        </w:rPr>
        <w:t>digestate</w:t>
      </w:r>
      <w:r w:rsidR="00A209FA">
        <w:rPr>
          <w:rFonts w:cs="Times New Roman"/>
        </w:rPr>
        <w:t>s</w:t>
      </w:r>
      <w:r w:rsidR="00E568D7">
        <w:rPr>
          <w:rFonts w:cs="Times New Roman"/>
        </w:rPr>
        <w:t>.</w:t>
      </w:r>
    </w:p>
    <w:p w14:paraId="151D9AC6" w14:textId="77777777" w:rsidR="00B03DA0" w:rsidRPr="00EF75A4" w:rsidRDefault="00B03DA0" w:rsidP="00B03DA0">
      <w:pPr>
        <w:pStyle w:val="Heading2"/>
        <w:spacing w:line="360" w:lineRule="auto"/>
        <w:rPr>
          <w:rFonts w:cs="Times New Roman"/>
        </w:rPr>
      </w:pPr>
      <w:r w:rsidRPr="00EF75A4">
        <w:rPr>
          <w:rFonts w:cs="Times New Roman"/>
        </w:rPr>
        <w:t>Keywords</w:t>
      </w:r>
    </w:p>
    <w:p w14:paraId="2BC75D05" w14:textId="6C0EDD94" w:rsidR="00B03DA0" w:rsidRPr="00EF75A4" w:rsidRDefault="008D62C9" w:rsidP="00B03DA0">
      <w:pPr>
        <w:spacing w:line="360" w:lineRule="auto"/>
        <w:rPr>
          <w:rFonts w:cs="Times New Roman"/>
        </w:rPr>
      </w:pPr>
      <w:r>
        <w:rPr>
          <w:rFonts w:cs="Times New Roman"/>
        </w:rPr>
        <w:t>Waste-derived fertiliz</w:t>
      </w:r>
      <w:r w:rsidR="00B03DA0" w:rsidRPr="00EF75A4">
        <w:rPr>
          <w:rFonts w:cs="Times New Roman"/>
        </w:rPr>
        <w:t>er,</w:t>
      </w:r>
      <w:r w:rsidR="00B2647F">
        <w:rPr>
          <w:rFonts w:cs="Times New Roman"/>
        </w:rPr>
        <w:t xml:space="preserve"> </w:t>
      </w:r>
      <w:r w:rsidR="00B2647F" w:rsidRPr="000722BF">
        <w:rPr>
          <w:rFonts w:cs="Times New Roman"/>
          <w:b/>
        </w:rPr>
        <w:t>chemical</w:t>
      </w:r>
      <w:r w:rsidR="006F29E4" w:rsidRPr="000722BF">
        <w:rPr>
          <w:rFonts w:cs="Times New Roman"/>
          <w:b/>
        </w:rPr>
        <w:t xml:space="preserve"> alkaline stabiliz</w:t>
      </w:r>
      <w:r w:rsidR="00AC2053" w:rsidRPr="000722BF">
        <w:rPr>
          <w:rFonts w:cs="Times New Roman"/>
          <w:b/>
        </w:rPr>
        <w:t>ation</w:t>
      </w:r>
      <w:r w:rsidR="00AC2053">
        <w:rPr>
          <w:rFonts w:cs="Times New Roman"/>
        </w:rPr>
        <w:t>,</w:t>
      </w:r>
      <w:r w:rsidR="00162D28">
        <w:rPr>
          <w:rFonts w:cs="Times New Roman"/>
        </w:rPr>
        <w:t xml:space="preserve"> hydrolysis, ammonia volatiliz</w:t>
      </w:r>
      <w:r w:rsidR="00B03DA0" w:rsidRPr="00EF75A4">
        <w:rPr>
          <w:rFonts w:cs="Times New Roman"/>
        </w:rPr>
        <w:t>ation,</w:t>
      </w:r>
      <w:r w:rsidR="00AC2053">
        <w:rPr>
          <w:rFonts w:cs="Times New Roman"/>
        </w:rPr>
        <w:t xml:space="preserve"> </w:t>
      </w:r>
      <w:r w:rsidR="00D00352" w:rsidRPr="00D00352">
        <w:rPr>
          <w:rFonts w:cs="Times New Roman"/>
          <w:b/>
        </w:rPr>
        <w:t>ortho</w:t>
      </w:r>
      <w:r w:rsidR="00AC2053" w:rsidRPr="000722BF">
        <w:rPr>
          <w:rFonts w:cs="Times New Roman"/>
          <w:b/>
        </w:rPr>
        <w:t>pho</w:t>
      </w:r>
      <w:r w:rsidR="00EE1260">
        <w:rPr>
          <w:rFonts w:cs="Times New Roman"/>
          <w:b/>
        </w:rPr>
        <w:t>s</w:t>
      </w:r>
      <w:r w:rsidR="00AC2053" w:rsidRPr="000722BF">
        <w:rPr>
          <w:rFonts w:cs="Times New Roman"/>
          <w:b/>
        </w:rPr>
        <w:t>ph</w:t>
      </w:r>
      <w:r w:rsidR="000722BF" w:rsidRPr="000722BF">
        <w:rPr>
          <w:rFonts w:cs="Times New Roman"/>
          <w:b/>
        </w:rPr>
        <w:t>ate</w:t>
      </w:r>
      <w:r w:rsidR="00B03DA0" w:rsidRPr="00EF75A4">
        <w:rPr>
          <w:rFonts w:cs="Times New Roman"/>
        </w:rPr>
        <w:t xml:space="preserve"> sorption</w:t>
      </w:r>
    </w:p>
    <w:p w14:paraId="0A88C501" w14:textId="60F52660" w:rsidR="00B03DA0" w:rsidRPr="001B3BF2" w:rsidRDefault="00B03DA0" w:rsidP="000E06BE">
      <w:pPr>
        <w:spacing w:line="360" w:lineRule="auto"/>
        <w:rPr>
          <w:rFonts w:cs="Times New Roman"/>
          <w:sz w:val="24"/>
          <w:szCs w:val="24"/>
        </w:rPr>
      </w:pPr>
      <w:r w:rsidRPr="001B3BF2">
        <w:rPr>
          <w:rFonts w:cs="Times New Roman"/>
          <w:sz w:val="24"/>
          <w:szCs w:val="24"/>
        </w:rPr>
        <w:t>Graphical abstract</w:t>
      </w:r>
    </w:p>
    <w:p w14:paraId="085AF971" w14:textId="4D604F33" w:rsidR="00B03DA0" w:rsidRDefault="00162D28" w:rsidP="001B3BF2">
      <w:r>
        <w:object w:dxaOrig="13665" w:dyaOrig="7710" w14:anchorId="71D1D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255pt" o:ole="">
            <v:imagedata r:id="rId17" o:title=""/>
          </v:shape>
          <o:OLEObject Type="Embed" ProgID="Visio.Drawing.15" ShapeID="_x0000_i1025" DrawAspect="Content" ObjectID="_1658636141" r:id="rId18"/>
        </w:object>
      </w:r>
    </w:p>
    <w:p w14:paraId="536E6638" w14:textId="79361C56" w:rsidR="00F244EA" w:rsidRDefault="00F244EA" w:rsidP="00C807A3">
      <w:pPr>
        <w:pStyle w:val="Heading2"/>
        <w:spacing w:line="360" w:lineRule="auto"/>
        <w:rPr>
          <w:rFonts w:cs="Times New Roman"/>
        </w:rPr>
      </w:pPr>
      <w:r>
        <w:rPr>
          <w:rFonts w:cs="Times New Roman"/>
        </w:rPr>
        <w:t>Statement of novelty</w:t>
      </w:r>
    </w:p>
    <w:p w14:paraId="4C967D91" w14:textId="3B6E3783" w:rsidR="00BF64F7" w:rsidRDefault="00AD4AE9" w:rsidP="00BF64F7">
      <w:pPr>
        <w:spacing w:line="360" w:lineRule="auto"/>
      </w:pPr>
      <w:r w:rsidRPr="007667F6">
        <w:t>This</w:t>
      </w:r>
      <w:r w:rsidR="00526B31">
        <w:t xml:space="preserve"> work contribute</w:t>
      </w:r>
      <w:r w:rsidR="00C46620" w:rsidRPr="00DB1714">
        <w:t>d</w:t>
      </w:r>
      <w:r w:rsidR="009F4667" w:rsidRPr="00DB1714">
        <w:t xml:space="preserve"> </w:t>
      </w:r>
      <w:r w:rsidR="009F4667" w:rsidRPr="00062BC3">
        <w:t xml:space="preserve">to the development of the </w:t>
      </w:r>
      <w:r w:rsidR="008B38DF" w:rsidRPr="00B15D61">
        <w:t xml:space="preserve">technology </w:t>
      </w:r>
      <w:r w:rsidR="00C46620" w:rsidRPr="00B15D61">
        <w:t>of</w:t>
      </w:r>
      <w:r w:rsidR="008B38DF" w:rsidRPr="00B15D61">
        <w:t xml:space="preserve"> </w:t>
      </w:r>
      <w:r w:rsidR="00185C03" w:rsidRPr="00B15D61">
        <w:t>alkaline</w:t>
      </w:r>
      <w:r w:rsidR="00185C03">
        <w:rPr>
          <w:b/>
        </w:rPr>
        <w:t xml:space="preserve"> </w:t>
      </w:r>
      <w:r w:rsidR="006F29E4">
        <w:t>stabili</w:t>
      </w:r>
      <w:r w:rsidR="006F29E4" w:rsidRPr="00D00352">
        <w:rPr>
          <w:b/>
        </w:rPr>
        <w:t>z</w:t>
      </w:r>
      <w:r w:rsidR="009F4667" w:rsidRPr="00062BC3">
        <w:t>ation of organic waste</w:t>
      </w:r>
      <w:r w:rsidR="00D71221">
        <w:t>s</w:t>
      </w:r>
      <w:r w:rsidR="009F4667" w:rsidRPr="00062BC3">
        <w:t>.</w:t>
      </w:r>
      <w:r w:rsidR="00C77E58" w:rsidRPr="005B2543">
        <w:rPr>
          <w:b/>
        </w:rPr>
        <w:t xml:space="preserve"> Considering the interrelations between the three levels of stabilization, a</w:t>
      </w:r>
      <w:r w:rsidR="00C77E58">
        <w:rPr>
          <w:b/>
        </w:rPr>
        <w:t xml:space="preserve"> holistic approach was proposed </w:t>
      </w:r>
      <w:r w:rsidR="00C77E58" w:rsidRPr="00B15D61">
        <w:rPr>
          <w:b/>
        </w:rPr>
        <w:t>for the inten</w:t>
      </w:r>
      <w:r w:rsidR="00185C03" w:rsidRPr="00B15D61">
        <w:rPr>
          <w:b/>
        </w:rPr>
        <w:t>sification</w:t>
      </w:r>
      <w:r w:rsidR="00185C03">
        <w:t xml:space="preserve"> of the process of</w:t>
      </w:r>
      <w:r w:rsidR="0009767E">
        <w:t xml:space="preserve"> manufacturing of </w:t>
      </w:r>
      <w:r w:rsidR="00C77E58">
        <w:t>advance</w:t>
      </w:r>
      <w:r w:rsidR="007E7934">
        <w:t>d</w:t>
      </w:r>
      <w:r w:rsidR="00C77E58">
        <w:t xml:space="preserve"> fertilizer</w:t>
      </w:r>
      <w:r w:rsidR="0009767E">
        <w:t>s</w:t>
      </w:r>
      <w:r w:rsidR="00C77E58">
        <w:t>.</w:t>
      </w:r>
      <w:r w:rsidR="00B7523F">
        <w:t xml:space="preserve"> In this way,</w:t>
      </w:r>
      <w:r w:rsidR="00185C03">
        <w:t xml:space="preserve"> </w:t>
      </w:r>
      <w:r w:rsidR="00B7523F">
        <w:t>t</w:t>
      </w:r>
      <w:r w:rsidR="00185C03">
        <w:t xml:space="preserve">he </w:t>
      </w:r>
      <w:r w:rsidR="006C0649">
        <w:t>mixing</w:t>
      </w:r>
      <w:r w:rsidR="00185C03">
        <w:t xml:space="preserve"> ratio</w:t>
      </w:r>
      <w:r w:rsidR="00B7523F">
        <w:t>s</w:t>
      </w:r>
      <w:r w:rsidR="00185C03">
        <w:t xml:space="preserve"> of l</w:t>
      </w:r>
      <w:r w:rsidR="00185C03" w:rsidRPr="00062BC3">
        <w:t>ow-pollutant fly and bottom wood ashes</w:t>
      </w:r>
      <w:r w:rsidR="006C0649">
        <w:t xml:space="preserve"> with </w:t>
      </w:r>
      <w:r w:rsidR="006C0649" w:rsidRPr="00062BC3">
        <w:t>food waste and agro</w:t>
      </w:r>
      <w:r w:rsidR="006C0649">
        <w:t>-</w:t>
      </w:r>
      <w:r w:rsidR="006C0649" w:rsidRPr="00062BC3">
        <w:t xml:space="preserve">industrial </w:t>
      </w:r>
      <w:r w:rsidR="006C0649">
        <w:t xml:space="preserve">waste </w:t>
      </w:r>
      <w:r w:rsidR="006C0649" w:rsidRPr="00062BC3">
        <w:t>digestates</w:t>
      </w:r>
      <w:r w:rsidR="00B7523F">
        <w:t>,</w:t>
      </w:r>
      <w:r w:rsidR="006C0649">
        <w:t xml:space="preserve"> </w:t>
      </w:r>
      <w:r w:rsidR="00B7523F" w:rsidRPr="00B15D61">
        <w:rPr>
          <w:b/>
        </w:rPr>
        <w:t xml:space="preserve">which </w:t>
      </w:r>
      <w:r w:rsidR="006C0649" w:rsidRPr="00B15D61">
        <w:rPr>
          <w:b/>
        </w:rPr>
        <w:t>w</w:t>
      </w:r>
      <w:r w:rsidR="0009767E" w:rsidRPr="00B15D61">
        <w:rPr>
          <w:b/>
        </w:rPr>
        <w:t>ere</w:t>
      </w:r>
      <w:r w:rsidR="006C0649" w:rsidRPr="00B15D61">
        <w:rPr>
          <w:b/>
        </w:rPr>
        <w:t xml:space="preserve"> primarily selected to assess the chemical stability of the blends (i.e. the availability of carbon and nutrients)</w:t>
      </w:r>
      <w:r w:rsidR="00B7523F" w:rsidRPr="00B15D61">
        <w:rPr>
          <w:b/>
        </w:rPr>
        <w:t xml:space="preserve">, also </w:t>
      </w:r>
      <w:r w:rsidR="006C0649" w:rsidRPr="00B15D61">
        <w:rPr>
          <w:b/>
        </w:rPr>
        <w:t>seek positive impacts on biological and physical stabilitie</w:t>
      </w:r>
      <w:r w:rsidR="006C0649" w:rsidRPr="00EB0831">
        <w:rPr>
          <w:b/>
        </w:rPr>
        <w:t>s.</w:t>
      </w:r>
      <w:r w:rsidR="00EF6D95" w:rsidRPr="00EF6D95">
        <w:t xml:space="preserve"> </w:t>
      </w:r>
      <w:r w:rsidR="00EF6D95" w:rsidRPr="00062BC3">
        <w:t xml:space="preserve">In addition to </w:t>
      </w:r>
      <w:r w:rsidR="00EF6D95">
        <w:t xml:space="preserve">reduce </w:t>
      </w:r>
      <w:r w:rsidR="00B91C06">
        <w:t xml:space="preserve">the </w:t>
      </w:r>
      <w:r w:rsidR="00EF6D95">
        <w:t>demand of inorganic fertilizers</w:t>
      </w:r>
      <w:r w:rsidR="00EF6D95" w:rsidRPr="00062BC3">
        <w:t>, t</w:t>
      </w:r>
      <w:r w:rsidR="005F1EF6">
        <w:t>he</w:t>
      </w:r>
      <w:r w:rsidR="00721761">
        <w:t xml:space="preserve"> granules for easy-spreading of nutrient-balanced</w:t>
      </w:r>
      <w:r w:rsidR="005F1EF6">
        <w:t xml:space="preserve"> controlled-release</w:t>
      </w:r>
      <w:r w:rsidR="00BF64F7">
        <w:t xml:space="preserve"> amendent would contain</w:t>
      </w:r>
      <w:r w:rsidR="00B91C06">
        <w:rPr>
          <w:b/>
        </w:rPr>
        <w:t xml:space="preserve"> </w:t>
      </w:r>
      <w:r w:rsidR="00B91C06" w:rsidRPr="00DB1714">
        <w:t>recalcitrant</w:t>
      </w:r>
      <w:r w:rsidR="00EF6D95" w:rsidRPr="00DB1714">
        <w:t xml:space="preserve"> s</w:t>
      </w:r>
      <w:r w:rsidR="00EF6D95">
        <w:t xml:space="preserve">table organic matter </w:t>
      </w:r>
      <w:r w:rsidR="00BF64F7">
        <w:t>to restore the soil as a natural carbon sink.</w:t>
      </w:r>
    </w:p>
    <w:p w14:paraId="21B9392B" w14:textId="45400404" w:rsidR="00EE118D" w:rsidRPr="00EF75A4" w:rsidRDefault="00EE118D" w:rsidP="00C807A3">
      <w:pPr>
        <w:pStyle w:val="Heading2"/>
        <w:spacing w:line="360" w:lineRule="auto"/>
        <w:rPr>
          <w:rFonts w:cs="Times New Roman"/>
        </w:rPr>
      </w:pPr>
      <w:r w:rsidRPr="00EF75A4">
        <w:rPr>
          <w:rFonts w:cs="Times New Roman"/>
        </w:rPr>
        <w:t>Introduction</w:t>
      </w:r>
    </w:p>
    <w:p w14:paraId="686C0466" w14:textId="01C78358" w:rsidR="00AA615A" w:rsidRPr="00EF75A4" w:rsidRDefault="00A93687" w:rsidP="00C807A3">
      <w:pPr>
        <w:spacing w:line="360" w:lineRule="auto"/>
        <w:rPr>
          <w:rFonts w:cs="Times New Roman"/>
        </w:rPr>
      </w:pPr>
      <w:r w:rsidRPr="00EF75A4">
        <w:rPr>
          <w:rFonts w:cs="Times New Roman"/>
        </w:rPr>
        <w:t>The management</w:t>
      </w:r>
      <w:r w:rsidR="00C807A3" w:rsidRPr="00EF75A4">
        <w:rPr>
          <w:rFonts w:cs="Times New Roman"/>
        </w:rPr>
        <w:t xml:space="preserve"> of</w:t>
      </w:r>
      <w:r w:rsidR="00374CE6" w:rsidRPr="00EF75A4">
        <w:rPr>
          <w:rFonts w:cs="Times New Roman"/>
        </w:rPr>
        <w:t xml:space="preserve"> digestate</w:t>
      </w:r>
      <w:r w:rsidR="00DD0906" w:rsidRPr="00EF75A4">
        <w:rPr>
          <w:rFonts w:cs="Times New Roman"/>
        </w:rPr>
        <w:t>s</w:t>
      </w:r>
      <w:r w:rsidR="00C807A3" w:rsidRPr="00EF75A4">
        <w:rPr>
          <w:rFonts w:cs="Times New Roman"/>
        </w:rPr>
        <w:t xml:space="preserve"> and</w:t>
      </w:r>
      <w:r w:rsidR="00432069" w:rsidRPr="00EF75A4">
        <w:rPr>
          <w:rFonts w:cs="Times New Roman"/>
        </w:rPr>
        <w:t xml:space="preserve"> ashes </w:t>
      </w:r>
      <w:r w:rsidR="00374CE6" w:rsidRPr="00EF75A4">
        <w:rPr>
          <w:rFonts w:cs="Times New Roman"/>
        </w:rPr>
        <w:t>represent</w:t>
      </w:r>
      <w:r w:rsidR="00432069" w:rsidRPr="00EF75A4">
        <w:rPr>
          <w:rFonts w:cs="Times New Roman"/>
        </w:rPr>
        <w:t>s</w:t>
      </w:r>
      <w:r w:rsidR="00374CE6" w:rsidRPr="00EF75A4">
        <w:rPr>
          <w:rFonts w:cs="Times New Roman"/>
        </w:rPr>
        <w:t xml:space="preserve"> </w:t>
      </w:r>
      <w:r w:rsidR="00432069" w:rsidRPr="00EF75A4">
        <w:rPr>
          <w:rFonts w:cs="Times New Roman"/>
        </w:rPr>
        <w:t xml:space="preserve">a </w:t>
      </w:r>
      <w:r w:rsidR="00374CE6" w:rsidRPr="00EF75A4">
        <w:rPr>
          <w:rFonts w:cs="Times New Roman"/>
        </w:rPr>
        <w:t>problem for the industries where they are produced.</w:t>
      </w:r>
      <w:r w:rsidR="002C3228" w:rsidRPr="00EF75A4">
        <w:rPr>
          <w:rFonts w:cs="Times New Roman"/>
        </w:rPr>
        <w:t xml:space="preserve"> </w:t>
      </w:r>
      <w:r w:rsidR="001100EB" w:rsidRPr="00EF75A4">
        <w:rPr>
          <w:rFonts w:cs="Times New Roman"/>
        </w:rPr>
        <w:t>Whilst both</w:t>
      </w:r>
      <w:r w:rsidR="00432069" w:rsidRPr="00EF75A4">
        <w:rPr>
          <w:rFonts w:cs="Times New Roman"/>
        </w:rPr>
        <w:t xml:space="preserve"> issues</w:t>
      </w:r>
      <w:r w:rsidR="001100EB" w:rsidRPr="00EF75A4">
        <w:rPr>
          <w:rFonts w:cs="Times New Roman"/>
        </w:rPr>
        <w:t xml:space="preserve"> are</w:t>
      </w:r>
      <w:r w:rsidR="00FC0B94" w:rsidRPr="00EF75A4">
        <w:rPr>
          <w:rFonts w:cs="Times New Roman"/>
        </w:rPr>
        <w:t xml:space="preserve"> operational expenditure</w:t>
      </w:r>
      <w:r w:rsidR="001100EB" w:rsidRPr="00EF75A4">
        <w:rPr>
          <w:rFonts w:cs="Times New Roman"/>
        </w:rPr>
        <w:t xml:space="preserve"> challenges,</w:t>
      </w:r>
      <w:r w:rsidR="00F94415" w:rsidRPr="00EF75A4">
        <w:rPr>
          <w:rFonts w:cs="Times New Roman"/>
        </w:rPr>
        <w:t xml:space="preserve"> for ash</w:t>
      </w:r>
      <w:r w:rsidR="001D627A">
        <w:rPr>
          <w:rFonts w:cs="Times New Roman"/>
        </w:rPr>
        <w:t>es</w:t>
      </w:r>
      <w:r w:rsidR="00F94415" w:rsidRPr="00EF75A4">
        <w:rPr>
          <w:rFonts w:cs="Times New Roman"/>
        </w:rPr>
        <w:t xml:space="preserve"> it is predominantly related to the gate-fee for</w:t>
      </w:r>
      <w:r w:rsidR="00432069" w:rsidRPr="00EF75A4">
        <w:rPr>
          <w:rFonts w:cs="Times New Roman"/>
        </w:rPr>
        <w:t xml:space="preserve"> disposal in landfills. For both</w:t>
      </w:r>
      <w:r w:rsidR="00F94415" w:rsidRPr="00EF75A4">
        <w:rPr>
          <w:rFonts w:cs="Times New Roman"/>
        </w:rPr>
        <w:t xml:space="preserve"> digestates and the ash</w:t>
      </w:r>
      <w:r w:rsidR="00F94415" w:rsidRPr="007A7F3A">
        <w:rPr>
          <w:rFonts w:cs="Times New Roman"/>
          <w:b/>
        </w:rPr>
        <w:t>es</w:t>
      </w:r>
      <w:r w:rsidR="00F94415" w:rsidRPr="00EF75A4">
        <w:rPr>
          <w:rFonts w:cs="Times New Roman"/>
        </w:rPr>
        <w:t>, large spaces with special co</w:t>
      </w:r>
      <w:r w:rsidR="00432069" w:rsidRPr="00EF75A4">
        <w:rPr>
          <w:rFonts w:cs="Times New Roman"/>
        </w:rPr>
        <w:t>nditions (i.e. collection of</w:t>
      </w:r>
      <w:r w:rsidR="00F94415" w:rsidRPr="00EF75A4">
        <w:rPr>
          <w:rFonts w:cs="Times New Roman"/>
        </w:rPr>
        <w:t xml:space="preserve"> gases and leachate) are required for the storage of these waste streams</w:t>
      </w:r>
      <w:r w:rsidR="001412BC">
        <w:rPr>
          <w:rFonts w:cs="Times New Roman"/>
        </w:rPr>
        <w:t xml:space="preserve"> </w:t>
      </w:r>
      <w:r w:rsidR="001412BC">
        <w:rPr>
          <w:rStyle w:val="FootnoteReference"/>
          <w:rFonts w:cs="Times New Roman"/>
        </w:rPr>
        <w:fldChar w:fldCharType="begin" w:fldLock="1"/>
      </w:r>
      <w:r w:rsidR="00D9591F">
        <w:rPr>
          <w:rFonts w:cs="Times New Roman"/>
        </w:rPr>
        <w:instrText>ADDIN CSL_CITATION {"citationItems":[{"id":"ITEM-1","itemData":{"ISSN":"0301018X","author":[{"dropping-particle":"","family":"UK government","given":"","non-dropping-particle":"","parse-names":false,"suffix":""}],"container-title":"Department for Environment, Food &amp; Rural Affairs","id":"ITEM-1","issued":{"date-parts":[["2019"]]},"number-of-pages":"71","title":"Clean air strategy 2019","type":"report"},"uris":["http://www.mendeley.com/documents/?uuid=edbcd9b6-c93a-481f-8afe-2f3228d9510b"]}],"mendeley":{"formattedCitation":"[1]","plainTextFormattedCitation":"[1]","previouslyFormattedCitation":"[1]"},"properties":{"noteIndex":0},"schema":"https://github.com/citation-style-language/schema/raw/master/csl-citation.json"}</w:instrText>
      </w:r>
      <w:r w:rsidR="001412BC">
        <w:rPr>
          <w:rStyle w:val="FootnoteReference"/>
          <w:rFonts w:cs="Times New Roman"/>
        </w:rPr>
        <w:fldChar w:fldCharType="separate"/>
      </w:r>
      <w:r w:rsidR="001D4108" w:rsidRPr="001D4108">
        <w:rPr>
          <w:rFonts w:cs="Times New Roman"/>
          <w:noProof/>
        </w:rPr>
        <w:t>[1]</w:t>
      </w:r>
      <w:r w:rsidR="001412BC">
        <w:rPr>
          <w:rStyle w:val="FootnoteReference"/>
          <w:rFonts w:cs="Times New Roman"/>
        </w:rPr>
        <w:fldChar w:fldCharType="end"/>
      </w:r>
      <w:r w:rsidR="00F94415" w:rsidRPr="00EF75A4">
        <w:rPr>
          <w:rFonts w:cs="Times New Roman"/>
        </w:rPr>
        <w:t xml:space="preserve">. </w:t>
      </w:r>
      <w:r w:rsidR="00356F00">
        <w:rPr>
          <w:rFonts w:cs="Times New Roman"/>
        </w:rPr>
        <w:t>The use of low-pollutant digestates</w:t>
      </w:r>
      <w:r w:rsidR="00E41B2D" w:rsidRPr="00EF75A4">
        <w:rPr>
          <w:rFonts w:cs="Times New Roman"/>
        </w:rPr>
        <w:t xml:space="preserve"> </w:t>
      </w:r>
      <w:r w:rsidR="00470DCD" w:rsidRPr="00EF75A4">
        <w:rPr>
          <w:rFonts w:cs="Times New Roman"/>
        </w:rPr>
        <w:t>as</w:t>
      </w:r>
      <w:r w:rsidR="00432069" w:rsidRPr="00EF75A4">
        <w:rPr>
          <w:rFonts w:cs="Times New Roman"/>
        </w:rPr>
        <w:t xml:space="preserve"> an</w:t>
      </w:r>
      <w:r w:rsidR="00E27E39" w:rsidRPr="00EF75A4">
        <w:rPr>
          <w:rFonts w:cs="Times New Roman"/>
        </w:rPr>
        <w:t xml:space="preserve"> </w:t>
      </w:r>
      <w:r w:rsidR="004B4570" w:rsidRPr="00EF75A4">
        <w:rPr>
          <w:rFonts w:cs="Times New Roman"/>
        </w:rPr>
        <w:t>organic</w:t>
      </w:r>
      <w:r w:rsidR="00432069" w:rsidRPr="00EF75A4">
        <w:rPr>
          <w:rFonts w:cs="Times New Roman"/>
        </w:rPr>
        <w:t xml:space="preserve"> soil</w:t>
      </w:r>
      <w:r w:rsidR="004B4570" w:rsidRPr="00EF75A4">
        <w:rPr>
          <w:rFonts w:cs="Times New Roman"/>
        </w:rPr>
        <w:t xml:space="preserve"> amendment</w:t>
      </w:r>
      <w:r w:rsidR="00A209FA">
        <w:rPr>
          <w:rFonts w:cs="Times New Roman"/>
        </w:rPr>
        <w:t>s</w:t>
      </w:r>
      <w:r w:rsidR="00356F00">
        <w:rPr>
          <w:rFonts w:cs="Times New Roman"/>
        </w:rPr>
        <w:t xml:space="preserve"> is limited because of</w:t>
      </w:r>
      <w:r w:rsidR="00310129">
        <w:rPr>
          <w:rFonts w:cs="Times New Roman"/>
        </w:rPr>
        <w:t xml:space="preserve"> </w:t>
      </w:r>
      <w:r w:rsidR="00310129" w:rsidRPr="00310129">
        <w:rPr>
          <w:rFonts w:cs="Times New Roman"/>
          <w:b/>
        </w:rPr>
        <w:t>transportation</w:t>
      </w:r>
      <w:r w:rsidR="00356F00">
        <w:rPr>
          <w:rFonts w:cs="Times New Roman"/>
          <w:b/>
        </w:rPr>
        <w:t xml:space="preserve"> (due to the moisture content higher than 90%)</w:t>
      </w:r>
      <w:r w:rsidR="00310129">
        <w:rPr>
          <w:rFonts w:cs="Times New Roman"/>
          <w:b/>
        </w:rPr>
        <w:t>,</w:t>
      </w:r>
      <w:r w:rsidR="00310129">
        <w:rPr>
          <w:rFonts w:cs="Times New Roman"/>
        </w:rPr>
        <w:t xml:space="preserve"> the season of application,</w:t>
      </w:r>
      <w:r w:rsidR="000C5C15" w:rsidRPr="00EF75A4">
        <w:rPr>
          <w:rFonts w:cs="Times New Roman"/>
        </w:rPr>
        <w:t xml:space="preserve"> the </w:t>
      </w:r>
      <w:r w:rsidR="00951A9C" w:rsidRPr="00EF75A4">
        <w:rPr>
          <w:rFonts w:cs="Times New Roman"/>
        </w:rPr>
        <w:t>n</w:t>
      </w:r>
      <w:r w:rsidR="004B4570" w:rsidRPr="00EF75A4">
        <w:rPr>
          <w:rFonts w:cs="Times New Roman"/>
        </w:rPr>
        <w:t>itrogen</w:t>
      </w:r>
      <w:r w:rsidR="000C5C15" w:rsidRPr="00EF75A4">
        <w:rPr>
          <w:rFonts w:cs="Times New Roman"/>
        </w:rPr>
        <w:t xml:space="preserve"> </w:t>
      </w:r>
      <w:r w:rsidR="004B4570" w:rsidRPr="00EF75A4">
        <w:rPr>
          <w:rFonts w:cs="Times New Roman"/>
        </w:rPr>
        <w:t>quota</w:t>
      </w:r>
      <w:r w:rsidR="00F95D0E" w:rsidRPr="00EF75A4">
        <w:rPr>
          <w:rFonts w:cs="Times New Roman"/>
        </w:rPr>
        <w:t xml:space="preserve"> </w:t>
      </w:r>
      <w:r w:rsidR="00F95D0E" w:rsidRPr="00EF75A4">
        <w:rPr>
          <w:rFonts w:cs="Times New Roman"/>
        </w:rPr>
        <w:fldChar w:fldCharType="begin" w:fldLock="1"/>
      </w:r>
      <w:r w:rsidR="00D9591F">
        <w:rPr>
          <w:rFonts w:cs="Times New Roman"/>
        </w:rPr>
        <w:instrText>ADDIN CSL_CITATION {"citationItems":[{"id":"ITEM-1","itemData":{"URL":"https://www.daera-ni.gov.uk/articles/nitrates-directive","accessed":{"date-parts":[["2019","2","8"]]},"author":[{"dropping-particle":"","family":"Northern Ireland Department of Agriculture Environment and Rural Affairs","given":"","non-dropping-particle":"","parse-names":false,"suffix":""}],"id":"ITEM-1","issued":{"date-parts":[["2019"]]},"title":"Nitrate Directive partial derogation","type":"webpage"},"uris":["http://www.mendeley.com/documents/?uuid=fda5c14a-8622-4438-a535-4dfa11a21bc4"]}],"mendeley":{"formattedCitation":"[2]","plainTextFormattedCitation":"[2]","previouslyFormattedCitation":"[2]"},"properties":{"noteIndex":0},"schema":"https://github.com/citation-style-language/schema/raw/master/csl-citation.json"}</w:instrText>
      </w:r>
      <w:r w:rsidR="00F95D0E" w:rsidRPr="00EF75A4">
        <w:rPr>
          <w:rFonts w:cs="Times New Roman"/>
          <w:vertAlign w:val="superscript"/>
        </w:rPr>
        <w:fldChar w:fldCharType="separate"/>
      </w:r>
      <w:r w:rsidR="001D4108" w:rsidRPr="001D4108">
        <w:rPr>
          <w:rFonts w:cs="Times New Roman"/>
          <w:noProof/>
        </w:rPr>
        <w:t>[2]</w:t>
      </w:r>
      <w:r w:rsidR="00F95D0E" w:rsidRPr="00EF75A4">
        <w:rPr>
          <w:rFonts w:cs="Times New Roman"/>
        </w:rPr>
        <w:fldChar w:fldCharType="end"/>
      </w:r>
      <w:r w:rsidR="00D8251F" w:rsidRPr="00EF75A4">
        <w:rPr>
          <w:rFonts w:cs="Times New Roman"/>
        </w:rPr>
        <w:t>.</w:t>
      </w:r>
      <w:r w:rsidR="00465352" w:rsidRPr="00EF75A4">
        <w:rPr>
          <w:rFonts w:cs="Times New Roman"/>
        </w:rPr>
        <w:t xml:space="preserve"> </w:t>
      </w:r>
      <w:r w:rsidR="00A209FA">
        <w:rPr>
          <w:rFonts w:cs="Times New Roman"/>
        </w:rPr>
        <w:t>W</w:t>
      </w:r>
      <w:r w:rsidR="008A24C6" w:rsidRPr="00EF75A4">
        <w:rPr>
          <w:rFonts w:cs="Times New Roman"/>
        </w:rPr>
        <w:t>hole digestate</w:t>
      </w:r>
      <w:r w:rsidR="00A209FA">
        <w:rPr>
          <w:rFonts w:cs="Times New Roman"/>
        </w:rPr>
        <w:t xml:space="preserve">s </w:t>
      </w:r>
      <w:r w:rsidR="00A209FA" w:rsidRPr="00481A08">
        <w:rPr>
          <w:rFonts w:cs="Times New Roman"/>
          <w:b/>
        </w:rPr>
        <w:t>(i.e. which have not undergone any solid-liquid separation)</w:t>
      </w:r>
      <w:r w:rsidR="008A24C6" w:rsidRPr="00481A08">
        <w:rPr>
          <w:rFonts w:cs="Times New Roman"/>
          <w:b/>
        </w:rPr>
        <w:t xml:space="preserve"> </w:t>
      </w:r>
      <w:r w:rsidR="00A209FA">
        <w:rPr>
          <w:rFonts w:cs="Times New Roman"/>
        </w:rPr>
        <w:t>are</w:t>
      </w:r>
      <w:r w:rsidR="00A209FA" w:rsidRPr="00EF75A4">
        <w:rPr>
          <w:rFonts w:cs="Times New Roman"/>
        </w:rPr>
        <w:t xml:space="preserve"> </w:t>
      </w:r>
      <w:r w:rsidR="008A24C6" w:rsidRPr="00EF75A4">
        <w:rPr>
          <w:rFonts w:cs="Times New Roman"/>
        </w:rPr>
        <w:t>usually employed when nutrients are expected to be safely stored in the soil or</w:t>
      </w:r>
      <w:r w:rsidR="00432069" w:rsidRPr="00EF75A4">
        <w:rPr>
          <w:rFonts w:cs="Times New Roman"/>
        </w:rPr>
        <w:t xml:space="preserve"> effectively </w:t>
      </w:r>
      <w:r w:rsidR="008A24C6" w:rsidRPr="00EF75A4">
        <w:rPr>
          <w:rFonts w:cs="Times New Roman"/>
        </w:rPr>
        <w:t>u</w:t>
      </w:r>
      <w:r w:rsidR="00432069" w:rsidRPr="00EF75A4">
        <w:rPr>
          <w:rFonts w:cs="Times New Roman"/>
        </w:rPr>
        <w:t>ptaken by the plants</w:t>
      </w:r>
      <w:r w:rsidR="008A24C6" w:rsidRPr="00EF75A4">
        <w:rPr>
          <w:rFonts w:cs="Times New Roman"/>
        </w:rPr>
        <w:t>.</w:t>
      </w:r>
      <w:r w:rsidR="000C72B6" w:rsidRPr="00EF75A4">
        <w:rPr>
          <w:rFonts w:cs="Times New Roman"/>
        </w:rPr>
        <w:t xml:space="preserve"> Organic</w:t>
      </w:r>
      <w:r w:rsidR="00FD2EF0">
        <w:rPr>
          <w:rFonts w:cs="Times New Roman"/>
        </w:rPr>
        <w:t xml:space="preserve"> slow-</w:t>
      </w:r>
      <w:r w:rsidR="008D62C9">
        <w:rPr>
          <w:rFonts w:cs="Times New Roman"/>
        </w:rPr>
        <w:t>release fertiliz</w:t>
      </w:r>
      <w:r w:rsidR="00E92350" w:rsidRPr="00EF75A4">
        <w:rPr>
          <w:rFonts w:cs="Times New Roman"/>
        </w:rPr>
        <w:t xml:space="preserve">ers </w:t>
      </w:r>
      <w:r w:rsidR="004C6A68" w:rsidRPr="00EF75A4">
        <w:rPr>
          <w:rFonts w:cs="Times New Roman"/>
        </w:rPr>
        <w:t xml:space="preserve">are known for </w:t>
      </w:r>
      <w:r w:rsidR="00CE11C6" w:rsidRPr="00EF75A4">
        <w:rPr>
          <w:rFonts w:cs="Times New Roman"/>
        </w:rPr>
        <w:t>hav</w:t>
      </w:r>
      <w:r w:rsidR="004C6A68" w:rsidRPr="00EF75A4">
        <w:rPr>
          <w:rFonts w:cs="Times New Roman"/>
        </w:rPr>
        <w:t>ing</w:t>
      </w:r>
      <w:r w:rsidR="00E92350" w:rsidRPr="00EF75A4">
        <w:rPr>
          <w:rFonts w:cs="Times New Roman"/>
        </w:rPr>
        <w:t xml:space="preserve"> </w:t>
      </w:r>
      <w:r w:rsidR="00EF0D9E" w:rsidRPr="00EF75A4">
        <w:rPr>
          <w:rFonts w:cs="Times New Roman"/>
        </w:rPr>
        <w:t>low nutrient</w:t>
      </w:r>
      <w:r w:rsidR="00E92350" w:rsidRPr="00EF75A4">
        <w:rPr>
          <w:rFonts w:cs="Times New Roman"/>
        </w:rPr>
        <w:t xml:space="preserve"> availability</w:t>
      </w:r>
      <w:r w:rsidR="00EF0D9E" w:rsidRPr="00EF75A4">
        <w:rPr>
          <w:rFonts w:cs="Times New Roman"/>
        </w:rPr>
        <w:t>,</w:t>
      </w:r>
      <w:r w:rsidR="00713762" w:rsidRPr="00EF75A4">
        <w:rPr>
          <w:rFonts w:cs="Times New Roman"/>
        </w:rPr>
        <w:t xml:space="preserve"> which is </w:t>
      </w:r>
      <w:r w:rsidR="004C6A68" w:rsidRPr="00EF75A4">
        <w:rPr>
          <w:rFonts w:cs="Times New Roman"/>
        </w:rPr>
        <w:t xml:space="preserve">typically </w:t>
      </w:r>
      <w:r w:rsidR="00162D28">
        <w:rPr>
          <w:rFonts w:cs="Times New Roman"/>
        </w:rPr>
        <w:t>enough for the utiliz</w:t>
      </w:r>
      <w:r w:rsidR="00E92350" w:rsidRPr="00EF75A4">
        <w:rPr>
          <w:rFonts w:cs="Times New Roman"/>
        </w:rPr>
        <w:t xml:space="preserve">ation by the soil biota </w:t>
      </w:r>
      <w:r w:rsidR="008962FD" w:rsidRPr="00EF75A4">
        <w:rPr>
          <w:rFonts w:cs="Times New Roman"/>
        </w:rPr>
        <w:t>while</w:t>
      </w:r>
      <w:r w:rsidR="00713762" w:rsidRPr="00EF75A4">
        <w:rPr>
          <w:rFonts w:cs="Times New Roman"/>
        </w:rPr>
        <w:t xml:space="preserve"> </w:t>
      </w:r>
      <w:r w:rsidR="00E92350" w:rsidRPr="00EF75A4">
        <w:rPr>
          <w:rFonts w:cs="Times New Roman"/>
        </w:rPr>
        <w:t>prevent</w:t>
      </w:r>
      <w:r w:rsidR="008962FD" w:rsidRPr="00EF75A4">
        <w:rPr>
          <w:rFonts w:cs="Times New Roman"/>
        </w:rPr>
        <w:t>ing</w:t>
      </w:r>
      <w:r w:rsidR="00E92350" w:rsidRPr="00EF75A4">
        <w:rPr>
          <w:rFonts w:cs="Times New Roman"/>
        </w:rPr>
        <w:t xml:space="preserve"> </w:t>
      </w:r>
      <w:r w:rsidR="00EF0D9E" w:rsidRPr="00EF75A4">
        <w:rPr>
          <w:rFonts w:cs="Times New Roman"/>
        </w:rPr>
        <w:t>important</w:t>
      </w:r>
      <w:r w:rsidR="00E92350" w:rsidRPr="00EF75A4">
        <w:rPr>
          <w:rFonts w:cs="Times New Roman"/>
        </w:rPr>
        <w:t xml:space="preserve"> losses due to</w:t>
      </w:r>
      <w:r w:rsidR="00E0037E" w:rsidRPr="00EF75A4">
        <w:rPr>
          <w:rFonts w:cs="Times New Roman"/>
        </w:rPr>
        <w:t xml:space="preserve"> runoff waters and</w:t>
      </w:r>
      <w:r w:rsidR="00E92350" w:rsidRPr="00EF75A4">
        <w:rPr>
          <w:rFonts w:cs="Times New Roman"/>
        </w:rPr>
        <w:t xml:space="preserve"> gas exchange </w:t>
      </w:r>
      <w:r w:rsidR="00E92350" w:rsidRPr="00EF75A4">
        <w:rPr>
          <w:rFonts w:cs="Times New Roman"/>
        </w:rPr>
        <w:fldChar w:fldCharType="begin" w:fldLock="1"/>
      </w:r>
      <w:r w:rsidR="00D9591F">
        <w:rPr>
          <w:rFonts w:cs="Times New Roman"/>
        </w:rPr>
        <w:instrText>ADDIN CSL_CITATION {"citationItems":[{"id":"ITEM-1","itemData":{"DOI":"10.1016/j.aoas.2018.11.001","ISSN":"05701783","abstract":"Polymer nano-composite fertilizer formulation has the potential to enhance nutrient use efficiency. Slow release fertilizer (SRF) composite was formulated by incorporating nano-hydroxyapatite (nano-HA) and water soluble fertilizers (urea, (NH4)2HPO4 and K2SO4) into water hyacinth cellulose-graft-poly(acrylamide) polymer hydrogel. Fourier Transform Infra-red spectra revealed existence of chemical interaction between the monomer, cellulose, urea and nano-HA. The release of nutrients was assessed using laboratory incubation experiment. Significantly higher content of mineral nitrogen (MN) was observed in the first 4 weeks in conventional fertilizer (CF) compared to SRF treatments and the control. MN content in SRF treatments increased considerably between the 8th and 12th week, and declined in the 16th week. The values of potentially mineralizable N estimated using first order kinetics model related well to the observed cumulative MN at 16th week. No significant difference was observed between CF and SRF treatments for available P content in the 2nd week. Significantly higher P content was observed in CF compared to SRF treatment in the 4th week, whereas in the 8th week, some SRFs released significantly higher content than CF. Available P peaked in the 8th week in all the treatments and remained constant at 12th and 16th week. Availability of P in SRFs increased with increased content of soluble P and decreased content of nano-HA. Exchangeable K showed less variation during the incubation period, suggesting short release time. The data revealed reduced chances of leaching losses and toxic effect to the plant roots, as well as synchronized nutrient release and requirement by crops.","author":[{"dropping-particle":"","family":"Rop","given":"Kiplangat","non-dropping-particle":"","parse-names":false,"suffix":""},{"dropping-particle":"","family":"Karuku","given":"George N.","non-dropping-particle":"","parse-names":false,"suffix":""},{"dropping-particle":"","family":"Mbui","given":"Damaris","non-dropping-particle":"","parse-names":false,"suffix":""},{"dropping-particle":"","family":"Michira","given":"Immaculate","non-dropping-particle":"","parse-names":false,"suffix":""},{"dropping-particle":"","family":"Njomo","given":"Njagi","non-dropping-particle":"","parse-names":false,"suffix":""}],"container-title":"Annals of Agricultural Sciences","id":"ITEM-1","issue":"2","issued":{"date-parts":[["2018"]]},"page":"163-172","publisher":"Elsevier B.V.","title":"Formulation of slow release NPK fertilizer (cellulose-graft-poly(acrylamide)/nano-hydroxyapatite/soluble fertilizer) composite and evaluating its N mineralization potential","type":"article-journal","volume":"63"},"uris":["http://www.mendeley.com/documents/?uuid=0e5519fa-7156-4da6-9d5a-520ee1f2b122"]}],"mendeley":{"formattedCitation":"[3]","plainTextFormattedCitation":"[3]","previouslyFormattedCitation":"[3]"},"properties":{"noteIndex":0},"schema":"https://github.com/citation-style-language/schema/raw/master/csl-citation.json"}</w:instrText>
      </w:r>
      <w:r w:rsidR="00E92350" w:rsidRPr="00EF75A4">
        <w:rPr>
          <w:rFonts w:cs="Times New Roman"/>
        </w:rPr>
        <w:fldChar w:fldCharType="separate"/>
      </w:r>
      <w:r w:rsidR="001D4108" w:rsidRPr="001D4108">
        <w:rPr>
          <w:rFonts w:cs="Times New Roman"/>
          <w:noProof/>
        </w:rPr>
        <w:t>[3]</w:t>
      </w:r>
      <w:r w:rsidR="00E92350" w:rsidRPr="00EF75A4">
        <w:rPr>
          <w:rFonts w:cs="Times New Roman"/>
        </w:rPr>
        <w:fldChar w:fldCharType="end"/>
      </w:r>
      <w:r w:rsidR="00E92350" w:rsidRPr="00EF75A4">
        <w:rPr>
          <w:rFonts w:cs="Times New Roman"/>
        </w:rPr>
        <w:t>.</w:t>
      </w:r>
    </w:p>
    <w:p w14:paraId="2B92ECD3" w14:textId="37DE71CA" w:rsidR="002F7E34" w:rsidRDefault="00070B7F" w:rsidP="00C807A3">
      <w:pPr>
        <w:keepNext/>
        <w:spacing w:line="360" w:lineRule="auto"/>
        <w:rPr>
          <w:rFonts w:cs="Times New Roman"/>
          <w:b/>
        </w:rPr>
      </w:pPr>
      <w:r w:rsidRPr="00EF75A4">
        <w:rPr>
          <w:rFonts w:cs="Times New Roman"/>
        </w:rPr>
        <w:t>The</w:t>
      </w:r>
      <w:r w:rsidR="00CA1C33" w:rsidRPr="00EF75A4">
        <w:rPr>
          <w:rFonts w:cs="Times New Roman"/>
        </w:rPr>
        <w:t xml:space="preserve"> use</w:t>
      </w:r>
      <w:r w:rsidR="00432069" w:rsidRPr="00EF75A4">
        <w:rPr>
          <w:rFonts w:cs="Times New Roman"/>
        </w:rPr>
        <w:t xml:space="preserve"> of</w:t>
      </w:r>
      <w:r w:rsidRPr="00EF75A4">
        <w:rPr>
          <w:rFonts w:cs="Times New Roman"/>
        </w:rPr>
        <w:t xml:space="preserve"> ashes</w:t>
      </w:r>
      <w:r w:rsidR="00CA1C33" w:rsidRPr="00EF75A4">
        <w:rPr>
          <w:rFonts w:cs="Times New Roman"/>
        </w:rPr>
        <w:t xml:space="preserve"> as soil </w:t>
      </w:r>
      <w:r w:rsidRPr="00EF75A4">
        <w:rPr>
          <w:rFonts w:cs="Times New Roman"/>
        </w:rPr>
        <w:t>amendment</w:t>
      </w:r>
      <w:r w:rsidR="00CA1C33" w:rsidRPr="00EF75A4">
        <w:rPr>
          <w:rFonts w:cs="Times New Roman"/>
        </w:rPr>
        <w:t xml:space="preserve"> is largely dependent on their nature</w:t>
      </w:r>
      <w:r w:rsidR="00544A6D" w:rsidRPr="00EF75A4">
        <w:rPr>
          <w:rFonts w:cs="Times New Roman"/>
        </w:rPr>
        <w:t>.</w:t>
      </w:r>
      <w:r w:rsidR="005B3D98" w:rsidRPr="00EF75A4">
        <w:rPr>
          <w:rFonts w:cs="Times New Roman"/>
        </w:rPr>
        <w:t xml:space="preserve"> In the UK, only</w:t>
      </w:r>
      <w:r w:rsidR="009B7376" w:rsidRPr="00EF75A4">
        <w:rPr>
          <w:rFonts w:cs="Times New Roman"/>
        </w:rPr>
        <w:t xml:space="preserve"> poultry litter ash can be directly applied to soil</w:t>
      </w:r>
      <w:r w:rsidR="00D23F0E" w:rsidRPr="00EF75A4">
        <w:rPr>
          <w:rFonts w:cs="Times New Roman"/>
        </w:rPr>
        <w:t>,</w:t>
      </w:r>
      <w:r w:rsidR="009B7376" w:rsidRPr="00EF75A4">
        <w:rPr>
          <w:rFonts w:cs="Times New Roman"/>
        </w:rPr>
        <w:t xml:space="preserve"> under the conditions indicate</w:t>
      </w:r>
      <w:r w:rsidR="00D23F0E" w:rsidRPr="00EF75A4">
        <w:rPr>
          <w:rFonts w:cs="Times New Roman"/>
        </w:rPr>
        <w:t>d by the</w:t>
      </w:r>
      <w:r w:rsidR="009B7376" w:rsidRPr="00EF75A4">
        <w:rPr>
          <w:rFonts w:cs="Times New Roman"/>
        </w:rPr>
        <w:t xml:space="preserve"> Quality Protocol </w:t>
      </w:r>
      <w:r w:rsidR="009B7376" w:rsidRPr="00EF75A4">
        <w:rPr>
          <w:rFonts w:cs="Times New Roman"/>
        </w:rPr>
        <w:fldChar w:fldCharType="begin" w:fldLock="1"/>
      </w:r>
      <w:r w:rsidR="00D9591F">
        <w:rPr>
          <w:rFonts w:cs="Times New Roman"/>
        </w:rPr>
        <w:instrText>ADDIN CSL_CITATION {"citationItems":[{"id":"ITEM-1","itemData":{"author":[{"dropping-particle":"","family":"WRAP","given":"","non-dropping-particle":"","parse-names":false,"suffix":""}],"id":"ITEM-1","issued":{"date-parts":[["2012"]]},"title":"Quality Protocol Poultry Litter Ash","type":"report"},"uris":["http://www.mendeley.com/documents/?uuid=437d3f32-7de7-4ead-858c-40681c9c745f"]}],"mendeley":{"formattedCitation":"[4]","plainTextFormattedCitation":"[4]","previouslyFormattedCitation":"[4]"},"properties":{"noteIndex":0},"schema":"https://github.com/citation-style-language/schema/raw/master/csl-citation.json"}</w:instrText>
      </w:r>
      <w:r w:rsidR="009B7376" w:rsidRPr="00EF75A4">
        <w:rPr>
          <w:rFonts w:cs="Times New Roman"/>
          <w:vertAlign w:val="superscript"/>
        </w:rPr>
        <w:fldChar w:fldCharType="separate"/>
      </w:r>
      <w:r w:rsidR="001D4108" w:rsidRPr="001D4108">
        <w:rPr>
          <w:rFonts w:cs="Times New Roman"/>
          <w:noProof/>
        </w:rPr>
        <w:t>[4]</w:t>
      </w:r>
      <w:r w:rsidR="009B7376" w:rsidRPr="00EF75A4">
        <w:rPr>
          <w:rFonts w:cs="Times New Roman"/>
        </w:rPr>
        <w:fldChar w:fldCharType="end"/>
      </w:r>
      <w:r w:rsidR="00D23F0E" w:rsidRPr="00EF75A4">
        <w:rPr>
          <w:rFonts w:cs="Times New Roman"/>
        </w:rPr>
        <w:t>,</w:t>
      </w:r>
      <w:r w:rsidR="002F148A" w:rsidRPr="00EF75A4">
        <w:rPr>
          <w:rFonts w:cs="Times New Roman"/>
        </w:rPr>
        <w:t xml:space="preserve"> due to their low content of pollutants (e.g. heavy metals)</w:t>
      </w:r>
      <w:r w:rsidR="00675CD0" w:rsidRPr="00EF75A4">
        <w:rPr>
          <w:rFonts w:cs="Times New Roman"/>
        </w:rPr>
        <w:t xml:space="preserve">. </w:t>
      </w:r>
      <w:r w:rsidR="005E486E" w:rsidRPr="00EF75A4">
        <w:rPr>
          <w:rFonts w:cs="Times New Roman"/>
        </w:rPr>
        <w:t>On the other hand</w:t>
      </w:r>
      <w:r w:rsidR="00F12AF5" w:rsidRPr="00EF75A4">
        <w:rPr>
          <w:rFonts w:cs="Times New Roman"/>
        </w:rPr>
        <w:t>, t</w:t>
      </w:r>
      <w:r w:rsidR="008D0F01" w:rsidRPr="00EF75A4">
        <w:rPr>
          <w:rFonts w:cs="Times New Roman"/>
        </w:rPr>
        <w:t>he direct use of biomass ash</w:t>
      </w:r>
      <w:r w:rsidR="00103E61">
        <w:rPr>
          <w:rFonts w:cs="Times New Roman"/>
        </w:rPr>
        <w:t>es</w:t>
      </w:r>
      <w:r w:rsidR="008D0F01" w:rsidRPr="00EF75A4">
        <w:rPr>
          <w:rFonts w:cs="Times New Roman"/>
        </w:rPr>
        <w:t xml:space="preserve"> is</w:t>
      </w:r>
      <w:r w:rsidR="00902FC4" w:rsidRPr="00EF75A4">
        <w:rPr>
          <w:rFonts w:cs="Times New Roman"/>
        </w:rPr>
        <w:t xml:space="preserve"> also</w:t>
      </w:r>
      <w:r w:rsidR="006E5B94" w:rsidRPr="00EF75A4">
        <w:rPr>
          <w:rFonts w:cs="Times New Roman"/>
        </w:rPr>
        <w:t xml:space="preserve"> accepted as </w:t>
      </w:r>
      <w:r w:rsidR="002B15CC" w:rsidRPr="00F51F18">
        <w:rPr>
          <w:rFonts w:cs="Times New Roman"/>
          <w:b/>
        </w:rPr>
        <w:t>alkaline and</w:t>
      </w:r>
      <w:r w:rsidR="002B15CC">
        <w:rPr>
          <w:rFonts w:cs="Times New Roman"/>
        </w:rPr>
        <w:t xml:space="preserve"> </w:t>
      </w:r>
      <w:r w:rsidR="006E5B94" w:rsidRPr="00EF75A4">
        <w:rPr>
          <w:rFonts w:cs="Times New Roman"/>
        </w:rPr>
        <w:t>liming agent</w:t>
      </w:r>
      <w:r w:rsidR="002B15CC">
        <w:rPr>
          <w:rFonts w:cs="Times New Roman"/>
        </w:rPr>
        <w:t>,</w:t>
      </w:r>
      <w:r w:rsidR="008D0F01" w:rsidRPr="00EF75A4">
        <w:rPr>
          <w:rFonts w:cs="Times New Roman"/>
        </w:rPr>
        <w:t xml:space="preserve"> and/or as a source of potassium compa</w:t>
      </w:r>
      <w:r w:rsidR="008D62C9">
        <w:rPr>
          <w:rFonts w:cs="Times New Roman"/>
        </w:rPr>
        <w:t>rable to the K chemical fertiliz</w:t>
      </w:r>
      <w:r w:rsidR="008D0F01" w:rsidRPr="00EF75A4">
        <w:rPr>
          <w:rFonts w:cs="Times New Roman"/>
        </w:rPr>
        <w:t>ers</w:t>
      </w:r>
      <w:r w:rsidR="00D43ED4" w:rsidRPr="00EF75A4">
        <w:rPr>
          <w:rFonts w:cs="Times New Roman"/>
        </w:rPr>
        <w:t xml:space="preserve"> </w:t>
      </w:r>
      <w:r w:rsidR="00D43ED4" w:rsidRPr="00EF75A4">
        <w:rPr>
          <w:rFonts w:cs="Times New Roman"/>
        </w:rPr>
        <w:fldChar w:fldCharType="begin" w:fldLock="1"/>
      </w:r>
      <w:r w:rsidR="00D9591F">
        <w:rPr>
          <w:rFonts w:cs="Times New Roman"/>
        </w:rPr>
        <w:instrText>ADDIN CSL_CITATION {"citationItems":[{"id":"ITEM-1","itemData":{"DOI":"10.1016/S0960-8524(00)00043-2","ISSN":"09608524","abstract":"Wood industries and power plants generate enormous quantities of wood ash. Disposal in landfills has been for long a common method for removal. New regulations for conserving the environment have raised the costs of landfill disposal and added to the difficulties for acquiring new sites for disposal. Over a few decades a number of studies have been carried out on the utilization of wood ashes in agriculture and forestry as an alternative method for disposal. Because of their properties and their influence on soil chemistry the utilization of wood ashes is particularly suited for the fertility management of tropical acid soils and forest soils. This review principally focuses on ash from the wood industry and power plants and considers its physical, chemical and mineralogical characteristics, its effect on soil properties, on the availability of nutrient elements and on the growth and chemical composition of crops and trees, as well as its impact on the environment. Copyright © 2001 Elsevier Science Ltd.","author":[{"dropping-particle":"","family":"Demeyer","given":"A.","non-dropping-particle":"","parse-names":false,"suffix":""},{"dropping-particle":"","family":"Voundi Nkana","given":"J. C.","non-dropping-particle":"","parse-names":false,"suffix":""},{"dropping-particle":"","family":"Verloo","given":"M. G.","non-dropping-particle":"","parse-names":false,"suffix":""}],"container-title":"Bioresource Technology","id":"ITEM-1","issue":"3","issued":{"date-parts":[["2001"]]},"page":"287-295","title":"Characteristics of wood ash and influence on soil properties and nutrient uptake: An overview","type":"article-journal","volume":"77"},"uris":["http://www.mendeley.com/documents/?uuid=2888183b-3f5d-46be-9b7e-0e33232197cd"]}],"mendeley":{"formattedCitation":"[5]","plainTextFormattedCitation":"[5]","previouslyFormattedCitation":"[5]"},"properties":{"noteIndex":0},"schema":"https://github.com/citation-style-language/schema/raw/master/csl-citation.json"}</w:instrText>
      </w:r>
      <w:r w:rsidR="00D43ED4" w:rsidRPr="00EF75A4">
        <w:rPr>
          <w:rFonts w:cs="Times New Roman"/>
        </w:rPr>
        <w:fldChar w:fldCharType="separate"/>
      </w:r>
      <w:r w:rsidR="001D4108" w:rsidRPr="001D4108">
        <w:rPr>
          <w:rFonts w:cs="Times New Roman"/>
          <w:noProof/>
        </w:rPr>
        <w:t>[5]</w:t>
      </w:r>
      <w:r w:rsidR="00D43ED4" w:rsidRPr="00EF75A4">
        <w:rPr>
          <w:rFonts w:cs="Times New Roman"/>
        </w:rPr>
        <w:fldChar w:fldCharType="end"/>
      </w:r>
      <w:r w:rsidR="008D0F01" w:rsidRPr="00EF75A4">
        <w:rPr>
          <w:rFonts w:cs="Times New Roman"/>
        </w:rPr>
        <w:t>.</w:t>
      </w:r>
      <w:r w:rsidR="001E428E">
        <w:rPr>
          <w:rFonts w:cs="Times New Roman"/>
        </w:rPr>
        <w:t xml:space="preserve"> </w:t>
      </w:r>
      <w:r w:rsidR="009C3AE1">
        <w:rPr>
          <w:rFonts w:cs="Times New Roman"/>
          <w:b/>
        </w:rPr>
        <w:t>D</w:t>
      </w:r>
      <w:r w:rsidR="001E428E" w:rsidRPr="001E428E">
        <w:rPr>
          <w:rFonts w:cs="Times New Roman"/>
          <w:b/>
        </w:rPr>
        <w:t xml:space="preserve">igestates and </w:t>
      </w:r>
      <w:r w:rsidR="00FF0120">
        <w:rPr>
          <w:rFonts w:cs="Times New Roman"/>
          <w:b/>
        </w:rPr>
        <w:lastRenderedPageBreak/>
        <w:t>ashes could</w:t>
      </w:r>
      <w:r w:rsidR="001E428E" w:rsidRPr="001E428E">
        <w:rPr>
          <w:rFonts w:cs="Times New Roman"/>
          <w:b/>
        </w:rPr>
        <w:t xml:space="preserve"> be combined to improve the handling of these wastes and to enha</w:t>
      </w:r>
      <w:r w:rsidR="00FF0120">
        <w:rPr>
          <w:rFonts w:cs="Times New Roman"/>
          <w:b/>
        </w:rPr>
        <w:t>nce their properties as fertiliz</w:t>
      </w:r>
      <w:r w:rsidR="001E428E" w:rsidRPr="001E428E">
        <w:rPr>
          <w:rFonts w:cs="Times New Roman"/>
          <w:b/>
        </w:rPr>
        <w:t>ers</w:t>
      </w:r>
      <w:r w:rsidR="00204994">
        <w:rPr>
          <w:rFonts w:cs="Times New Roman"/>
          <w:b/>
        </w:rPr>
        <w:t xml:space="preserve"> (e.g. nutrient profile)</w:t>
      </w:r>
      <w:r w:rsidR="001E428E" w:rsidRPr="001E428E">
        <w:rPr>
          <w:rFonts w:cs="Times New Roman"/>
          <w:b/>
        </w:rPr>
        <w:t>.</w:t>
      </w:r>
    </w:p>
    <w:p w14:paraId="2DAC7AFD" w14:textId="028E781C" w:rsidR="00DC35F7" w:rsidRDefault="001820B9" w:rsidP="00C807A3">
      <w:pPr>
        <w:keepNext/>
        <w:spacing w:line="360" w:lineRule="auto"/>
        <w:rPr>
          <w:rFonts w:cs="Times New Roman"/>
          <w:b/>
        </w:rPr>
      </w:pPr>
      <w:r w:rsidRPr="00481A08">
        <w:rPr>
          <w:rFonts w:cs="Times New Roman"/>
          <w:b/>
        </w:rPr>
        <w:t xml:space="preserve">The term stability is applied </w:t>
      </w:r>
      <w:r w:rsidR="007A7F3A">
        <w:rPr>
          <w:rFonts w:cs="Times New Roman"/>
          <w:b/>
        </w:rPr>
        <w:t xml:space="preserve">in </w:t>
      </w:r>
      <w:r w:rsidR="00D338D7" w:rsidRPr="00481A08">
        <w:rPr>
          <w:rFonts w:cs="Times New Roman"/>
          <w:b/>
        </w:rPr>
        <w:t xml:space="preserve">literature </w:t>
      </w:r>
      <w:r w:rsidRPr="00481A08">
        <w:rPr>
          <w:rFonts w:cs="Times New Roman"/>
          <w:b/>
        </w:rPr>
        <w:t>indistinctly to a number of parameters which</w:t>
      </w:r>
      <w:r w:rsidR="00D338D7" w:rsidRPr="00481A08">
        <w:rPr>
          <w:rFonts w:cs="Times New Roman"/>
          <w:b/>
        </w:rPr>
        <w:t xml:space="preserve"> provide</w:t>
      </w:r>
      <w:r w:rsidRPr="00481A08">
        <w:rPr>
          <w:rFonts w:cs="Times New Roman"/>
          <w:b/>
        </w:rPr>
        <w:t xml:space="preserve"> completely different</w:t>
      </w:r>
      <w:r w:rsidR="00D338D7" w:rsidRPr="00481A08">
        <w:rPr>
          <w:rFonts w:cs="Times New Roman"/>
          <w:b/>
        </w:rPr>
        <w:t xml:space="preserve"> information about waste materials</w:t>
      </w:r>
      <w:r w:rsidRPr="00481A08">
        <w:rPr>
          <w:rFonts w:cs="Times New Roman"/>
          <w:b/>
        </w:rPr>
        <w:t xml:space="preserve">. In this </w:t>
      </w:r>
      <w:r w:rsidR="007A7F3A">
        <w:rPr>
          <w:rFonts w:cs="Times New Roman"/>
          <w:b/>
        </w:rPr>
        <w:t>work</w:t>
      </w:r>
      <w:r w:rsidR="00116903">
        <w:rPr>
          <w:rFonts w:cs="Times New Roman"/>
          <w:b/>
        </w:rPr>
        <w:t>, the</w:t>
      </w:r>
      <w:r w:rsidR="00D338D7" w:rsidRPr="00481A08">
        <w:rPr>
          <w:rFonts w:cs="Times New Roman"/>
          <w:b/>
        </w:rPr>
        <w:t xml:space="preserve"> </w:t>
      </w:r>
      <w:r w:rsidRPr="00481A08">
        <w:rPr>
          <w:rFonts w:cs="Times New Roman"/>
          <w:b/>
        </w:rPr>
        <w:t>differen</w:t>
      </w:r>
      <w:r w:rsidR="00116903">
        <w:rPr>
          <w:rFonts w:cs="Times New Roman"/>
          <w:b/>
        </w:rPr>
        <w:t>ces</w:t>
      </w:r>
      <w:r w:rsidRPr="00481A08">
        <w:rPr>
          <w:rFonts w:cs="Times New Roman"/>
          <w:b/>
        </w:rPr>
        <w:t xml:space="preserve"> between </w:t>
      </w:r>
      <w:r w:rsidR="00506999">
        <w:rPr>
          <w:rFonts w:cs="Times New Roman"/>
          <w:b/>
        </w:rPr>
        <w:t xml:space="preserve">biological, </w:t>
      </w:r>
      <w:r w:rsidRPr="00481A08">
        <w:rPr>
          <w:rFonts w:cs="Times New Roman"/>
          <w:b/>
        </w:rPr>
        <w:t>che</w:t>
      </w:r>
      <w:r w:rsidR="00116903">
        <w:rPr>
          <w:rFonts w:cs="Times New Roman"/>
          <w:b/>
        </w:rPr>
        <w:t>mical, and physical stabilities have been established</w:t>
      </w:r>
      <w:r>
        <w:rPr>
          <w:rFonts w:cs="Times New Roman"/>
        </w:rPr>
        <w:t xml:space="preserve">. </w:t>
      </w:r>
      <w:r w:rsidR="009444EC" w:rsidRPr="00EF75A4">
        <w:rPr>
          <w:rFonts w:cs="Times New Roman"/>
        </w:rPr>
        <w:t>The</w:t>
      </w:r>
      <w:r w:rsidR="00B2647F">
        <w:rPr>
          <w:rFonts w:cs="Times New Roman"/>
        </w:rPr>
        <w:t xml:space="preserve"> </w:t>
      </w:r>
      <w:r w:rsidR="00B2647F" w:rsidRPr="00481A08">
        <w:rPr>
          <w:rFonts w:cs="Times New Roman"/>
          <w:b/>
        </w:rPr>
        <w:t>biological</w:t>
      </w:r>
      <w:r w:rsidR="009444EC" w:rsidRPr="00EF75A4">
        <w:rPr>
          <w:rFonts w:cs="Times New Roman"/>
        </w:rPr>
        <w:t xml:space="preserve"> stability</w:t>
      </w:r>
      <w:r w:rsidR="00BD36D8">
        <w:rPr>
          <w:rFonts w:cs="Times New Roman"/>
        </w:rPr>
        <w:t xml:space="preserve"> </w:t>
      </w:r>
      <w:r w:rsidR="00BD36D8">
        <w:rPr>
          <w:rStyle w:val="FootnoteReference"/>
          <w:rFonts w:cs="Times New Roman"/>
        </w:rPr>
        <w:fldChar w:fldCharType="begin" w:fldLock="1"/>
      </w:r>
      <w:r w:rsidR="00BD36D8">
        <w:rPr>
          <w:rFonts w:cs="Times New Roman"/>
        </w:rPr>
        <w:instrText>ADDIN CSL_CITATION {"citationItems":[{"id":"ITEM-1","itemData":{"DOI":"10.1016/j.wasman.2019.03.024","ISSN":"18792456","abstract":"The liquid fraction (LF) of digestate has usually been proposed as a substitute for mineral fertilizers because of the presence of high N content, above all in easily available form (ammonia). The LF was reported to contain about 66% of dry matter from the digestate. This study reports the characterization of the organic carbon (OC) contained in the LF of digestates obtained from full scale plants by screw-press solid/liquid separation, to find out about their organic amendment properties. Results indicate that LF contains stable OC because of the concentration during anaerobic digestion of recalcitrant molecules, and that its biological stability, measured by oxygen uptake rate, was similar to that of compost, i.e. 40 ± 15 mg O 2 g DM −1 20 h −1 and 41.1 ± 5.1 mg O 2 g DM −1 20 h −1 . 13 C NMR indicated that LFs were similar each other and were constituted of recalcitrant Alkyl-C (34.82 ± 5.28% OC) derived from plant and fecal material, Aromatic-C (11.10 ± 2.2% OC) derived from lignin-like structures and O/N-alkyl (44.91 ± 4.87% OC) derived from cellulose/hemicelluloses and protein material. A simple simulation of the real C dosed by using LF as N-fertilizers indicated that amendment properties cannot be ignored. All these results seem to indicate good amendment properties for LFs, contrary to the common opinion.","author":[{"dropping-particle":"","family":"Tambone","given":"Fulvia","non-dropping-particle":"","parse-names":false,"suffix":""},{"dropping-particle":"","family":"Orzi","given":"Valentina","non-dropping-particle":"","parse-names":false,"suffix":""},{"dropping-particle":"","family":"Zilio","given":"Massimo","non-dropping-particle":"","parse-names":false,"suffix":""},{"dropping-particle":"","family":"Adani","given":"Fabrizio","non-dropping-particle":"","parse-names":false,"suffix":""}],"container-title":"Waste Management","id":"ITEM-1","issued":{"date-parts":[["2019"]]},"page":"21-27","publisher":"Elsevier Ltd","title":"Measuring the organic amendment properties of the liquid fraction of digestate","type":"article-journal","volume":"88"},"uris":["http://www.mendeley.com/documents/?uuid=c238b053-8e55-4ee8-870f-48e1233dc4a3"]}],"mendeley":{"formattedCitation":"[6]","plainTextFormattedCitation":"[6]","previouslyFormattedCitation":"[6]"},"properties":{"noteIndex":0},"schema":"https://github.com/citation-style-language/schema/raw/master/csl-citation.json"}</w:instrText>
      </w:r>
      <w:r w:rsidR="00BD36D8">
        <w:rPr>
          <w:rStyle w:val="FootnoteReference"/>
          <w:rFonts w:cs="Times New Roman"/>
        </w:rPr>
        <w:fldChar w:fldCharType="separate"/>
      </w:r>
      <w:r w:rsidR="00BD36D8" w:rsidRPr="00BD36D8">
        <w:rPr>
          <w:rFonts w:cs="Times New Roman"/>
          <w:noProof/>
        </w:rPr>
        <w:t>[6]</w:t>
      </w:r>
      <w:r w:rsidR="00BD36D8">
        <w:rPr>
          <w:rStyle w:val="FootnoteReference"/>
          <w:rFonts w:cs="Times New Roman"/>
        </w:rPr>
        <w:fldChar w:fldCharType="end"/>
      </w:r>
      <w:r w:rsidR="009444EC" w:rsidRPr="00EF75A4">
        <w:rPr>
          <w:rFonts w:cs="Times New Roman"/>
        </w:rPr>
        <w:t xml:space="preserve"> of organic </w:t>
      </w:r>
      <w:r w:rsidR="00AE1396">
        <w:rPr>
          <w:rFonts w:cs="Times New Roman"/>
        </w:rPr>
        <w:t>waste</w:t>
      </w:r>
      <w:r w:rsidR="00AE1396" w:rsidRPr="00EF75A4">
        <w:rPr>
          <w:rFonts w:cs="Times New Roman"/>
        </w:rPr>
        <w:t xml:space="preserve">s </w:t>
      </w:r>
      <w:r w:rsidR="009444EC" w:rsidRPr="00EF75A4">
        <w:rPr>
          <w:rFonts w:cs="Times New Roman"/>
        </w:rPr>
        <w:t>is</w:t>
      </w:r>
      <w:r w:rsidR="002B15CC">
        <w:rPr>
          <w:rFonts w:cs="Times New Roman"/>
        </w:rPr>
        <w:t xml:space="preserve"> a</w:t>
      </w:r>
      <w:r w:rsidR="009444EC" w:rsidRPr="00EF75A4">
        <w:rPr>
          <w:rFonts w:cs="Times New Roman"/>
        </w:rPr>
        <w:t xml:space="preserve"> critical factor when deciding </w:t>
      </w:r>
      <w:r w:rsidR="001B3CDB" w:rsidRPr="00EF75A4">
        <w:rPr>
          <w:rFonts w:cs="Times New Roman"/>
        </w:rPr>
        <w:t>on the land application of th</w:t>
      </w:r>
      <w:r w:rsidR="00B33B04">
        <w:rPr>
          <w:rFonts w:cs="Times New Roman"/>
        </w:rPr>
        <w:t>e</w:t>
      </w:r>
      <w:r w:rsidR="001B3CDB" w:rsidRPr="00EF75A4">
        <w:rPr>
          <w:rFonts w:cs="Times New Roman"/>
        </w:rPr>
        <w:t>s</w:t>
      </w:r>
      <w:r w:rsidR="00B33B04">
        <w:rPr>
          <w:rFonts w:cs="Times New Roman"/>
        </w:rPr>
        <w:t>e</w:t>
      </w:r>
      <w:r w:rsidR="001B3CDB" w:rsidRPr="00EF75A4">
        <w:rPr>
          <w:rFonts w:cs="Times New Roman"/>
        </w:rPr>
        <w:t xml:space="preserve"> material</w:t>
      </w:r>
      <w:r w:rsidR="00B33B04">
        <w:rPr>
          <w:rFonts w:cs="Times New Roman"/>
        </w:rPr>
        <w:t>s</w:t>
      </w:r>
      <w:r w:rsidR="000336CE">
        <w:rPr>
          <w:rFonts w:cs="Times New Roman"/>
        </w:rPr>
        <w:t xml:space="preserve"> </w:t>
      </w:r>
      <w:r w:rsidR="000336CE" w:rsidRPr="00481A08">
        <w:rPr>
          <w:rFonts w:cs="Times New Roman"/>
          <w:b/>
        </w:rPr>
        <w:t>and this parameter is not limited to the pathogen content</w:t>
      </w:r>
      <w:r w:rsidR="001B3CDB" w:rsidRPr="00EF75A4">
        <w:rPr>
          <w:rFonts w:cs="Times New Roman"/>
        </w:rPr>
        <w:t xml:space="preserve">. </w:t>
      </w:r>
      <w:r w:rsidR="00B81A26" w:rsidRPr="00EF75A4">
        <w:rPr>
          <w:rFonts w:cs="Times New Roman"/>
        </w:rPr>
        <w:t>A</w:t>
      </w:r>
      <w:r w:rsidR="00F6786A" w:rsidRPr="00EF75A4">
        <w:rPr>
          <w:rFonts w:cs="Times New Roman"/>
        </w:rPr>
        <w:t>ccording to</w:t>
      </w:r>
      <w:r w:rsidR="00961AAC" w:rsidRPr="00EF75A4">
        <w:rPr>
          <w:rFonts w:cs="Times New Roman"/>
        </w:rPr>
        <w:t xml:space="preserve"> the </w:t>
      </w:r>
      <w:r w:rsidR="00BD36D8">
        <w:rPr>
          <w:rFonts w:cs="Times New Roman"/>
        </w:rPr>
        <w:t xml:space="preserve">UK </w:t>
      </w:r>
      <w:r w:rsidR="00961AAC" w:rsidRPr="00EF75A4">
        <w:rPr>
          <w:rFonts w:cs="Times New Roman"/>
        </w:rPr>
        <w:t>regulations</w:t>
      </w:r>
      <w:r w:rsidR="00021242" w:rsidRPr="00EF75A4">
        <w:rPr>
          <w:rFonts w:cs="Times New Roman"/>
        </w:rPr>
        <w:t>,</w:t>
      </w:r>
      <w:r w:rsidR="00B81A26" w:rsidRPr="00EF75A4">
        <w:rPr>
          <w:rFonts w:cs="Times New Roman"/>
        </w:rPr>
        <w:t xml:space="preserve"> </w:t>
      </w:r>
      <w:r w:rsidR="001B3CDB" w:rsidRPr="00EF75A4">
        <w:rPr>
          <w:rFonts w:cs="Times New Roman"/>
        </w:rPr>
        <w:t>it</w:t>
      </w:r>
      <w:r w:rsidR="00F6786A" w:rsidRPr="00EF75A4">
        <w:rPr>
          <w:rFonts w:cs="Times New Roman"/>
        </w:rPr>
        <w:t xml:space="preserve"> is determined by the</w:t>
      </w:r>
      <w:r w:rsidR="001C33B5" w:rsidRPr="00EF75A4">
        <w:rPr>
          <w:rFonts w:cs="Times New Roman"/>
        </w:rPr>
        <w:t xml:space="preserve"> amount of</w:t>
      </w:r>
      <w:r w:rsidR="00B62C32">
        <w:rPr>
          <w:rFonts w:cs="Times New Roman"/>
        </w:rPr>
        <w:t xml:space="preserve"> carbon mineraliz</w:t>
      </w:r>
      <w:r w:rsidR="005E0BAE" w:rsidRPr="00EF75A4">
        <w:rPr>
          <w:rFonts w:cs="Times New Roman"/>
        </w:rPr>
        <w:t>ed</w:t>
      </w:r>
      <w:r w:rsidR="00F6786A" w:rsidRPr="00EF75A4">
        <w:rPr>
          <w:rFonts w:cs="Times New Roman"/>
        </w:rPr>
        <w:t xml:space="preserve"> as biogas or CO</w:t>
      </w:r>
      <w:r w:rsidR="00F6786A" w:rsidRPr="00EF75A4">
        <w:rPr>
          <w:rFonts w:cs="Times New Roman"/>
          <w:vertAlign w:val="subscript"/>
        </w:rPr>
        <w:t>2</w:t>
      </w:r>
      <w:r w:rsidR="00F6786A" w:rsidRPr="00EF75A4">
        <w:rPr>
          <w:rFonts w:cs="Times New Roman"/>
        </w:rPr>
        <w:t xml:space="preserve"> release</w:t>
      </w:r>
      <w:r w:rsidR="001F5F10" w:rsidRPr="00EF75A4">
        <w:rPr>
          <w:rFonts w:cs="Times New Roman"/>
        </w:rPr>
        <w:t xml:space="preserve"> due to microbial respiration</w:t>
      </w:r>
      <w:r w:rsidR="00D43ED4" w:rsidRPr="00EF75A4">
        <w:rPr>
          <w:rFonts w:cs="Times New Roman"/>
        </w:rPr>
        <w:t>, depend</w:t>
      </w:r>
      <w:r w:rsidR="00087A5D" w:rsidRPr="00EF75A4">
        <w:rPr>
          <w:rFonts w:cs="Times New Roman"/>
        </w:rPr>
        <w:t xml:space="preserve">ing on the methodology used </w:t>
      </w:r>
      <w:r w:rsidR="00087A5D" w:rsidRPr="00EF75A4">
        <w:rPr>
          <w:rFonts w:cs="Times New Roman"/>
        </w:rPr>
        <w:fldChar w:fldCharType="begin" w:fldLock="1"/>
      </w:r>
      <w:r w:rsidR="00BD36D8">
        <w:rPr>
          <w:rFonts w:cs="Times New Roman"/>
        </w:rPr>
        <w:instrText>ADDIN CSL_CITATION {"citationItems":[{"id":"ITEM-1","itemData":{"ISBN":"1844054217","author":[{"dropping-particle":"","family":"Walker","given":"M.","non-dropping-particle":"","parse-names":false,"suffix":""},{"dropping-particle":"","family":"Banks","given":"C.","non-dropping-particle":"","parse-names":false,"suffix":""},{"dropping-particle":"","family":"Heaven","given":"S.","non-dropping-particle":"","parse-names":false,"suffix":""},{"dropping-particle":"","family":"Frederickson","given":"J.","non-dropping-particle":"","parse-names":false,"suffix":""}],"id":"ITEM-1","issue":"January","issued":{"date-parts":[["2010"]]},"title":"Residual biogas potential test for digestates","type":"book"},"uris":["http://www.mendeley.com/documents/?uuid=1be777a1-8dbf-4211-a9e6-be99ab1c8aca"]},{"id":"ITEM-2","itemData":{"DOI":"10.1128/AEM.71.9.4951","ISBN":"058045195X","author":[{"dropping-particle":"","family":"WRAP","given":"","non-dropping-particle":"","parse-names":false,"suffix":""}],"container-title":"British Standards Institution, London, UK","id":"ITEM-2","issued":{"date-parts":[["2011"]]},"title":"PAS 100:2011 Specification for Composted Materials","type":"report"},"uris":["http://www.mendeley.com/documents/?uuid=04413e15-8c70-42ff-a1f3-b6b5eec6a638"]}],"mendeley":{"formattedCitation":"[7,8]","plainTextFormattedCitation":"[7,8]","previouslyFormattedCitation":"[7,8]"},"properties":{"noteIndex":0},"schema":"https://github.com/citation-style-language/schema/raw/master/csl-citation.json"}</w:instrText>
      </w:r>
      <w:r w:rsidR="00087A5D" w:rsidRPr="00EF75A4">
        <w:rPr>
          <w:rFonts w:cs="Times New Roman"/>
          <w:vertAlign w:val="superscript"/>
        </w:rPr>
        <w:fldChar w:fldCharType="separate"/>
      </w:r>
      <w:r w:rsidR="00BD36D8" w:rsidRPr="00BD36D8">
        <w:rPr>
          <w:rFonts w:cs="Times New Roman"/>
          <w:noProof/>
        </w:rPr>
        <w:t>[7,8]</w:t>
      </w:r>
      <w:r w:rsidR="00087A5D" w:rsidRPr="00EF75A4">
        <w:rPr>
          <w:rFonts w:cs="Times New Roman"/>
        </w:rPr>
        <w:fldChar w:fldCharType="end"/>
      </w:r>
      <w:r w:rsidR="00F6786A" w:rsidRPr="00EF75A4">
        <w:rPr>
          <w:rFonts w:cs="Times New Roman"/>
        </w:rPr>
        <w:t>.</w:t>
      </w:r>
      <w:r w:rsidR="004F1B2F">
        <w:rPr>
          <w:rFonts w:cs="Times New Roman"/>
        </w:rPr>
        <w:t xml:space="preserve"> </w:t>
      </w:r>
      <w:r w:rsidR="004F1B2F" w:rsidRPr="00544E23">
        <w:rPr>
          <w:rFonts w:cs="Times New Roman"/>
          <w:b/>
        </w:rPr>
        <w:t xml:space="preserve">Steenari and Lindqvist </w:t>
      </w:r>
      <w:r w:rsidR="004F1B2F" w:rsidRPr="00544E23">
        <w:rPr>
          <w:rFonts w:cs="Times New Roman"/>
          <w:b/>
          <w:lang w:val="es-ES"/>
        </w:rPr>
        <w:fldChar w:fldCharType="begin" w:fldLock="1"/>
      </w:r>
      <w:r w:rsidR="00BD36D8">
        <w:rPr>
          <w:rFonts w:cs="Times New Roman"/>
          <w:b/>
        </w:rPr>
        <w:instrText>ADDIN CSL_CITATION {"citationItems":[{"id":"ITEM-1","itemData":{"DOI":"10.1016/S0961-9534(97)00024-X","ISBN":"0961-9534","ISSN":"09619534","abstract":"A Swedish research program concerning the technical and ecological effects of wood fuel ash recycling to forest biotopes has been on-going for several years. Within this program, a study of the stabilisation of ash by the so-called self-hardening process was carried out. Chemical reactions occurring in the ash materials on water addition and during solidification were identified based on results from chemical analysis, X-ray diffraction, FTIR spectroscopic and scanning electron microscopy analysis. The stability and importance of the individual reaction products are discussed. Some results of practical importance are: alkali metals are to a large extent present as salts dissolved in the pore solution, i.e. the hardened ash should be stored in a way that protects it from rainfall; the dominant wood ash element calcium forms Ca(OH), and subsequently CaCO, during hardening anti storage: ettringite formation binds sulphur and aluminium and contributes to the stability of the ash structure; and phosphorous is bound in apatite and other compounds with low solubilities.","author":[{"dropping-particle":"","family":"Steenari","given":"B. M.","non-dropping-particle":"","parse-names":false,"suffix":""},{"dropping-particle":"","family":"Lindqvist","given":"O.","non-dropping-particle":"","parse-names":false,"suffix":""}],"container-title":"Biomass and Bioenergy","id":"ITEM-1","issue":"1-2","issued":{"date-parts":[["1997"]]},"page":"39-50","title":"Stabilisation of biofuel ashes for recycling to forest soil","type":"article-journal","volume":"13"},"uris":["http://www.mendeley.com/documents/?uuid=3ae4fcb1-4c9c-45b8-9980-348d296cf940"]}],"mendeley":{"formattedCitation":"[9]","plainTextFormattedCitation":"[9]","previouslyFormattedCitation":"[9]"},"properties":{"noteIndex":0},"schema":"https://github.com/citation-style-language/schema/raw/master/csl-citation.json"}</w:instrText>
      </w:r>
      <w:r w:rsidR="004F1B2F" w:rsidRPr="00544E23">
        <w:rPr>
          <w:rFonts w:cs="Times New Roman"/>
          <w:b/>
          <w:lang w:val="es-ES"/>
        </w:rPr>
        <w:fldChar w:fldCharType="separate"/>
      </w:r>
      <w:r w:rsidR="00BD36D8" w:rsidRPr="00BD36D8">
        <w:rPr>
          <w:rFonts w:cs="Times New Roman"/>
          <w:noProof/>
        </w:rPr>
        <w:t>[9]</w:t>
      </w:r>
      <w:r w:rsidR="004F1B2F" w:rsidRPr="00544E23">
        <w:rPr>
          <w:rFonts w:cs="Times New Roman"/>
          <w:b/>
          <w:lang w:val="es-ES"/>
        </w:rPr>
        <w:fldChar w:fldCharType="end"/>
      </w:r>
      <w:r w:rsidR="004F1B2F" w:rsidRPr="00544E23">
        <w:rPr>
          <w:rFonts w:cs="Times New Roman"/>
          <w:b/>
        </w:rPr>
        <w:t xml:space="preserve"> employed the term chemical stabilization of the biomass ashes to refer to the process of self-hardening which is achieved by adding water or other suitable binders. However, since one of the objectives of employing this phenomenon is to improve the mechanical properties of the granules and pellets produced with ashes, in this manuscript </w:t>
      </w:r>
      <w:r w:rsidR="00116903">
        <w:rPr>
          <w:rFonts w:cs="Times New Roman"/>
          <w:b/>
        </w:rPr>
        <w:t>it is</w:t>
      </w:r>
      <w:r w:rsidR="004F1B2F" w:rsidRPr="00544E23">
        <w:rPr>
          <w:rFonts w:cs="Times New Roman"/>
          <w:b/>
        </w:rPr>
        <w:t xml:space="preserve"> regard</w:t>
      </w:r>
      <w:r w:rsidR="00116903">
        <w:rPr>
          <w:rFonts w:cs="Times New Roman"/>
          <w:b/>
        </w:rPr>
        <w:t>ed</w:t>
      </w:r>
      <w:r w:rsidR="004F1B2F" w:rsidRPr="00544E23">
        <w:rPr>
          <w:rFonts w:cs="Times New Roman"/>
          <w:b/>
        </w:rPr>
        <w:t xml:space="preserve"> as physical stabilization</w:t>
      </w:r>
      <w:r w:rsidR="004F1B2F">
        <w:rPr>
          <w:rFonts w:cs="Times New Roman"/>
          <w:b/>
        </w:rPr>
        <w:t xml:space="preserve">. </w:t>
      </w:r>
      <w:r w:rsidR="00CE599D">
        <w:rPr>
          <w:rFonts w:cs="Times New Roman"/>
          <w:b/>
        </w:rPr>
        <w:t>In the present work, t</w:t>
      </w:r>
      <w:r w:rsidR="004F1B2F">
        <w:rPr>
          <w:rFonts w:cs="Times New Roman"/>
          <w:b/>
        </w:rPr>
        <w:t>he te</w:t>
      </w:r>
      <w:r w:rsidR="00116903">
        <w:rPr>
          <w:rFonts w:cs="Times New Roman"/>
          <w:b/>
        </w:rPr>
        <w:t xml:space="preserve">rm chemical stability </w:t>
      </w:r>
      <w:r w:rsidR="004F1B2F">
        <w:rPr>
          <w:rFonts w:cs="Times New Roman"/>
          <w:b/>
        </w:rPr>
        <w:t>refer</w:t>
      </w:r>
      <w:r w:rsidR="00116903">
        <w:rPr>
          <w:rFonts w:cs="Times New Roman"/>
          <w:b/>
        </w:rPr>
        <w:t>s</w:t>
      </w:r>
      <w:r w:rsidR="004F1B2F">
        <w:rPr>
          <w:rFonts w:cs="Times New Roman"/>
          <w:b/>
        </w:rPr>
        <w:t xml:space="preserve"> to how much the composition of the wastes change</w:t>
      </w:r>
      <w:r w:rsidR="007E7934">
        <w:rPr>
          <w:rFonts w:cs="Times New Roman"/>
          <w:b/>
        </w:rPr>
        <w:t>s</w:t>
      </w:r>
      <w:r w:rsidR="004F1B2F">
        <w:rPr>
          <w:rFonts w:cs="Times New Roman"/>
          <w:b/>
        </w:rPr>
        <w:t xml:space="preserve"> overtime.</w:t>
      </w:r>
      <w:r w:rsidR="00D0407F">
        <w:rPr>
          <w:rFonts w:cs="Times New Roman"/>
          <w:b/>
        </w:rPr>
        <w:t xml:space="preserve"> The three types of stabili</w:t>
      </w:r>
      <w:r w:rsidR="00413025">
        <w:rPr>
          <w:rFonts w:cs="Times New Roman"/>
          <w:b/>
        </w:rPr>
        <w:t>ty are interrelated since the availability of the nutrients</w:t>
      </w:r>
      <w:r w:rsidR="006B75E9">
        <w:rPr>
          <w:rFonts w:cs="Times New Roman"/>
          <w:b/>
        </w:rPr>
        <w:t>,</w:t>
      </w:r>
      <w:r w:rsidR="00413025">
        <w:rPr>
          <w:rFonts w:cs="Times New Roman"/>
          <w:b/>
        </w:rPr>
        <w:t xml:space="preserve"> which is </w:t>
      </w:r>
      <w:r w:rsidR="006B75E9">
        <w:rPr>
          <w:rFonts w:cs="Times New Roman"/>
          <w:b/>
        </w:rPr>
        <w:t xml:space="preserve">the </w:t>
      </w:r>
      <w:r w:rsidR="00413025">
        <w:rPr>
          <w:rFonts w:cs="Times New Roman"/>
          <w:b/>
        </w:rPr>
        <w:t xml:space="preserve">key </w:t>
      </w:r>
      <w:r w:rsidR="006B75E9">
        <w:rPr>
          <w:rFonts w:cs="Times New Roman"/>
          <w:b/>
        </w:rPr>
        <w:t xml:space="preserve">parameter </w:t>
      </w:r>
      <w:r w:rsidR="00413025">
        <w:rPr>
          <w:rFonts w:cs="Times New Roman"/>
          <w:b/>
        </w:rPr>
        <w:t xml:space="preserve">for </w:t>
      </w:r>
      <w:r w:rsidR="006B75E9">
        <w:rPr>
          <w:rFonts w:cs="Times New Roman"/>
          <w:b/>
        </w:rPr>
        <w:t>determining</w:t>
      </w:r>
      <w:r w:rsidR="00413025">
        <w:rPr>
          <w:rFonts w:cs="Times New Roman"/>
          <w:b/>
        </w:rPr>
        <w:t xml:space="preserve"> chemical stability, </w:t>
      </w:r>
      <w:r w:rsidR="006B75E9">
        <w:rPr>
          <w:rFonts w:cs="Times New Roman"/>
          <w:b/>
        </w:rPr>
        <w:t>also impact</w:t>
      </w:r>
      <w:r w:rsidR="00F33940">
        <w:rPr>
          <w:rFonts w:cs="Times New Roman"/>
          <w:b/>
        </w:rPr>
        <w:t>s</w:t>
      </w:r>
      <w:r w:rsidR="006B75E9">
        <w:rPr>
          <w:rFonts w:cs="Times New Roman"/>
          <w:b/>
        </w:rPr>
        <w:t xml:space="preserve"> </w:t>
      </w:r>
      <w:r w:rsidR="00E01588">
        <w:rPr>
          <w:rFonts w:cs="Times New Roman"/>
          <w:b/>
        </w:rPr>
        <w:t xml:space="preserve">on </w:t>
      </w:r>
      <w:r w:rsidR="006B75E9">
        <w:rPr>
          <w:rFonts w:cs="Times New Roman"/>
          <w:b/>
        </w:rPr>
        <w:t>the microbial growth and the hardening process.</w:t>
      </w:r>
      <w:r w:rsidR="006B75E9" w:rsidRPr="006B75E9">
        <w:rPr>
          <w:rFonts w:cs="Times New Roman"/>
          <w:b/>
        </w:rPr>
        <w:t xml:space="preserve"> </w:t>
      </w:r>
      <w:r w:rsidR="00D0407F">
        <w:rPr>
          <w:rFonts w:cs="Times New Roman"/>
          <w:b/>
        </w:rPr>
        <w:t xml:space="preserve">A discussion is </w:t>
      </w:r>
      <w:r w:rsidR="00E01588">
        <w:rPr>
          <w:rFonts w:cs="Times New Roman"/>
          <w:b/>
        </w:rPr>
        <w:t>offer</w:t>
      </w:r>
      <w:r w:rsidR="00F33940">
        <w:rPr>
          <w:rFonts w:cs="Times New Roman"/>
          <w:b/>
        </w:rPr>
        <w:t>ed</w:t>
      </w:r>
      <w:r w:rsidR="006B75E9">
        <w:rPr>
          <w:rFonts w:cs="Times New Roman"/>
          <w:b/>
        </w:rPr>
        <w:t xml:space="preserve"> below</w:t>
      </w:r>
      <w:r w:rsidR="00D0407F">
        <w:rPr>
          <w:rFonts w:cs="Times New Roman"/>
          <w:b/>
        </w:rPr>
        <w:t xml:space="preserve"> on</w:t>
      </w:r>
      <w:r w:rsidR="009C3AE1">
        <w:rPr>
          <w:rFonts w:cs="Times New Roman"/>
          <w:b/>
        </w:rPr>
        <w:t xml:space="preserve"> how</w:t>
      </w:r>
      <w:r w:rsidR="006B75E9">
        <w:rPr>
          <w:rFonts w:cs="Times New Roman"/>
          <w:b/>
        </w:rPr>
        <w:t xml:space="preserve"> ashes can be employed to m</w:t>
      </w:r>
      <w:r w:rsidR="009C3AE1">
        <w:rPr>
          <w:rFonts w:cs="Times New Roman"/>
          <w:b/>
        </w:rPr>
        <w:t>aximize the stabilization of</w:t>
      </w:r>
      <w:r w:rsidR="006B75E9">
        <w:rPr>
          <w:rFonts w:cs="Times New Roman"/>
          <w:b/>
        </w:rPr>
        <w:t xml:space="preserve"> </w:t>
      </w:r>
      <w:r w:rsidR="00E4609E">
        <w:rPr>
          <w:rFonts w:cs="Times New Roman"/>
          <w:b/>
        </w:rPr>
        <w:t>digestate</w:t>
      </w:r>
      <w:r w:rsidR="009C3AE1">
        <w:rPr>
          <w:rFonts w:cs="Times New Roman"/>
          <w:b/>
        </w:rPr>
        <w:t>s</w:t>
      </w:r>
      <w:r w:rsidR="006B75E9">
        <w:rPr>
          <w:rFonts w:cs="Times New Roman"/>
          <w:b/>
        </w:rPr>
        <w:t xml:space="preserve"> to produce a </w:t>
      </w:r>
      <w:r w:rsidR="00B62C32">
        <w:rPr>
          <w:rFonts w:cs="Times New Roman"/>
          <w:b/>
        </w:rPr>
        <w:t>novel fertiliz</w:t>
      </w:r>
      <w:r w:rsidR="00E4609E">
        <w:rPr>
          <w:rFonts w:cs="Times New Roman"/>
          <w:b/>
        </w:rPr>
        <w:t>er.</w:t>
      </w:r>
    </w:p>
    <w:p w14:paraId="78BE3FC9" w14:textId="4B012A74" w:rsidR="002A0F9B" w:rsidRPr="00EF75A4" w:rsidRDefault="00E4609E" w:rsidP="002A0F9B">
      <w:pPr>
        <w:keepNext/>
        <w:spacing w:line="360" w:lineRule="auto"/>
        <w:rPr>
          <w:rFonts w:cs="Times New Roman"/>
        </w:rPr>
      </w:pPr>
      <w:r>
        <w:rPr>
          <w:rFonts w:cs="Times New Roman"/>
          <w:b/>
        </w:rPr>
        <w:t>First of all, t</w:t>
      </w:r>
      <w:r w:rsidR="002A0F9B">
        <w:rPr>
          <w:rFonts w:cs="Times New Roman"/>
          <w:b/>
        </w:rPr>
        <w:t xml:space="preserve">here is evidence that </w:t>
      </w:r>
      <w:r w:rsidR="00D33723">
        <w:rPr>
          <w:rFonts w:cs="Times New Roman"/>
          <w:b/>
        </w:rPr>
        <w:t>the use of</w:t>
      </w:r>
      <w:r w:rsidR="00162D28">
        <w:rPr>
          <w:rFonts w:cs="Times New Roman"/>
          <w:b/>
        </w:rPr>
        <w:t xml:space="preserve"> ash</w:t>
      </w:r>
      <w:r w:rsidR="00CA3CE7">
        <w:rPr>
          <w:rFonts w:cs="Times New Roman"/>
          <w:b/>
        </w:rPr>
        <w:t xml:space="preserve"> as source of nutrients</w:t>
      </w:r>
      <w:r w:rsidR="00162D28">
        <w:rPr>
          <w:rFonts w:cs="Times New Roman"/>
          <w:b/>
        </w:rPr>
        <w:t xml:space="preserve"> affect</w:t>
      </w:r>
      <w:r w:rsidR="00CA3CE7">
        <w:rPr>
          <w:rFonts w:cs="Times New Roman"/>
          <w:b/>
        </w:rPr>
        <w:t>s</w:t>
      </w:r>
      <w:r w:rsidR="00162D28">
        <w:rPr>
          <w:rFonts w:cs="Times New Roman"/>
          <w:b/>
        </w:rPr>
        <w:t xml:space="preserve"> the carbon utiliz</w:t>
      </w:r>
      <w:r w:rsidR="002A0F9B">
        <w:rPr>
          <w:rFonts w:cs="Times New Roman"/>
          <w:b/>
        </w:rPr>
        <w:t>ation during the anaerobic digestion (AD) of organic waste</w:t>
      </w:r>
      <w:r w:rsidR="00D33723">
        <w:rPr>
          <w:rFonts w:cs="Times New Roman"/>
          <w:b/>
        </w:rPr>
        <w:t xml:space="preserve"> </w:t>
      </w:r>
      <w:r w:rsidR="00D33723">
        <w:rPr>
          <w:rFonts w:cs="Times New Roman"/>
          <w:b/>
        </w:rPr>
        <w:fldChar w:fldCharType="begin" w:fldLock="1"/>
      </w:r>
      <w:r w:rsidR="00BB33F9">
        <w:rPr>
          <w:rFonts w:cs="Times New Roman"/>
          <w:b/>
        </w:rPr>
        <w:instrText>ADDIN CSL_CITATION {"citationItems":[{"id":"ITEM-1","itemData":{"DOI":"10.1016/j.rser.2015.12.094","ISBN":"7144165186","ISSN":"18790690","PMID":"25651061","abstract":"Anaerobic digestion is a worldwide technology for the treatment of organic waste streams with clear environmental benefits including generation of methane as renewable energy. However, the need to improve process feasibility of existing applications as well as to expand anaerobic digestion to a range of new substrates has raised interest on several intensifications techniques. Among them, the supplementation of inorganic and biological additives has shown good results at improving digesters performance. This manuscript presents a comprehensive review about recent advances in the utilization of inorganic and biological additives. On the one hand, reviewed inorganic additives comprise: (i) macro- (e.g. P, N and S) and micro- (e.g. Fe, Ni, Mo, Co, W and Se) nutrients supplements, (ii) ashes from waste incineration, (iii) compounds able to mitigate ammonia inhibition, and (iv) substances with high biomass immobilization capacity. Among them, iron (Fe0and Fe(III)) has shown particularly promising results, which have been mainly related to their action as electron donor/acceptor and cofactor of key enzymatic activities. On the other hand, reviewed biological additives include: (i) the dosage of microbial inocula with high hydrolytic or methanogenic activity (bioaugmentation), and (ii) the addition of enzymes able to facilitate particulate organic matter solubilization.","author":[{"dropping-particle":"","family":"Romero-Güiza","given":"M. S.","non-dropping-particle":"","parse-names":false,"suffix":""},{"dropping-particle":"","family":"Vila","given":"J.","non-dropping-particle":"","parse-names":false,"suffix":""},{"dropping-particle":"","family":"Mata-Alvarez","given":"J.","non-dropping-particle":"","parse-names":false,"suffix":""},{"dropping-particle":"","family":"Chimenos","given":"J. M.","non-dropping-particle":"","parse-names":false,"suffix":""},{"dropping-particle":"","family":"Astals","given":"S.","non-dropping-particle":"","parse-names":false,"suffix":""}],"container-title":"Renewable and Sustainable Energy Reviews","id":"ITEM-1","issued":{"date-parts":[["2016"]]},"page":"1486-1499","title":"The role of additives on anaerobic digestion: A review","type":"article-journal","volume":"58"},"uris":["http://www.mendeley.com/documents/?uuid=8069ef2e-8db5-4a77-83c9-f86a8c362d20"]}],"mendeley":{"formattedCitation":"[10]","plainTextFormattedCitation":"[10]","previouslyFormattedCitation":"[10]"},"properties":{"noteIndex":0},"schema":"https://github.com/citation-style-language/schema/raw/master/csl-citation.json"}</w:instrText>
      </w:r>
      <w:r w:rsidR="00D33723">
        <w:rPr>
          <w:rFonts w:cs="Times New Roman"/>
          <w:b/>
        </w:rPr>
        <w:fldChar w:fldCharType="separate"/>
      </w:r>
      <w:r w:rsidR="00D33723" w:rsidRPr="00D33723">
        <w:rPr>
          <w:rFonts w:cs="Times New Roman"/>
          <w:noProof/>
        </w:rPr>
        <w:t>[10]</w:t>
      </w:r>
      <w:r w:rsidR="00D33723">
        <w:rPr>
          <w:rFonts w:cs="Times New Roman"/>
          <w:b/>
        </w:rPr>
        <w:fldChar w:fldCharType="end"/>
      </w:r>
      <w:r w:rsidR="002A0F9B">
        <w:rPr>
          <w:rFonts w:cs="Times New Roman"/>
          <w:b/>
        </w:rPr>
        <w:t>.</w:t>
      </w:r>
      <w:r w:rsidR="002A0F9B" w:rsidRPr="00EF75A4">
        <w:rPr>
          <w:rFonts w:cs="Times New Roman"/>
        </w:rPr>
        <w:t xml:space="preserve"> Guerrero et al. </w:t>
      </w:r>
      <w:r w:rsidR="002A0F9B" w:rsidRPr="00EF75A4">
        <w:rPr>
          <w:rFonts w:cs="Times New Roman"/>
        </w:rPr>
        <w:fldChar w:fldCharType="begin" w:fldLock="1"/>
      </w:r>
      <w:r w:rsidR="00BB33F9">
        <w:rPr>
          <w:rFonts w:cs="Times New Roman"/>
        </w:rPr>
        <w:instrText>ADDIN CSL_CITATION {"citationItems":[{"id":"ITEM-1","itemData":{"DOI":"10.2166/ws.2016.055","author":[{"dropping-particle":"","family":"Guerrero","given":"Lorna","non-dropping-particle":"","parse-names":false,"suffix":""},{"dropping-particle":"","family":"Silva","given":"Cristopher","non-dropping-particle":"Da","parse-names":false,"suffix":""},{"dropping-particle":"","family":"Barahona","given":"Andrea","non-dropping-particle":"","parse-names":false,"suffix":""},{"dropping-particle":"","family":"Montalvo","given":"Silvio","non-dropping-particle":"","parse-names":false,"suffix":""},{"dropping-particle":"","family":"Huiliñir","given":"Cesar","non-dropping-particle":"","parse-names":false,"suffix":""},{"dropping-particle":"","family":"Borja","given":"Rafael","non-dropping-particle":"","parse-names":false,"suffix":""},{"dropping-particle":"","family":"Peirano","given":"Clio","non-dropping-particle":"","parse-names":false,"suffix":""},{"dropping-particle":"","family":"Toledo","given":"Mario","non-dropping-particle":"","parse-names":false,"suffix":""},{"dropping-particle":"","family":"Carvajal","given":"Andrea","non-dropping-particle":"","parse-names":false,"suffix":""}],"container-title":"Water Science and Technology","id":"ITEM-1","issue":"7","issued":{"date-parts":[["2019"]]},"page":"1384-1391","title":"Fly ash as stimulant for anaerobic digestion: effect over hydrolytic stage and methane generation rate","type":"article-journal","volume":"80"},"uris":["http://www.mendeley.com/documents/?uuid=4190f8a4-22b4-4f9a-9c7f-0cb6ccf48ae3"]}],"mendeley":{"formattedCitation":"[11]","plainTextFormattedCitation":"[11]","previouslyFormattedCitation":"[11]"},"properties":{"noteIndex":0},"schema":"https://github.com/citation-style-language/schema/raw/master/csl-citation.json"}</w:instrText>
      </w:r>
      <w:r w:rsidR="002A0F9B" w:rsidRPr="00EF75A4">
        <w:rPr>
          <w:rFonts w:cs="Times New Roman"/>
          <w:vertAlign w:val="superscript"/>
        </w:rPr>
        <w:fldChar w:fldCharType="separate"/>
      </w:r>
      <w:r w:rsidR="00D33723" w:rsidRPr="00D33723">
        <w:rPr>
          <w:rFonts w:cs="Times New Roman"/>
          <w:noProof/>
        </w:rPr>
        <w:t>[11]</w:t>
      </w:r>
      <w:r w:rsidR="002A0F9B" w:rsidRPr="00EF75A4">
        <w:rPr>
          <w:rFonts w:cs="Times New Roman"/>
        </w:rPr>
        <w:fldChar w:fldCharType="end"/>
      </w:r>
      <w:r w:rsidR="002A0F9B" w:rsidRPr="00EF75A4">
        <w:rPr>
          <w:rFonts w:cs="Times New Roman"/>
        </w:rPr>
        <w:t xml:space="preserve"> tested doses up to 200 mg of thermoelectric fly ash per litre of digester prepared with 2 g</w:t>
      </w:r>
      <w:r w:rsidR="002A0F9B">
        <w:rPr>
          <w:rFonts w:cs="Times New Roman"/>
        </w:rPr>
        <w:t xml:space="preserve"> of</w:t>
      </w:r>
      <w:r w:rsidR="002A0F9B" w:rsidRPr="00EF75A4">
        <w:rPr>
          <w:rFonts w:cs="Times New Roman"/>
        </w:rPr>
        <w:t xml:space="preserve"> chemical oxygen </w:t>
      </w:r>
      <w:r w:rsidR="002A0F9B" w:rsidRPr="00666E52">
        <w:rPr>
          <w:rFonts w:cs="Times New Roman"/>
        </w:rPr>
        <w:t>demand (COD) of</w:t>
      </w:r>
      <w:r w:rsidR="002A0F9B" w:rsidRPr="00EF75A4">
        <w:rPr>
          <w:rFonts w:cs="Times New Roman"/>
        </w:rPr>
        <w:t xml:space="preserve"> secondary sludge and 2.5 g of volatile suspended solids </w:t>
      </w:r>
      <w:r w:rsidR="002A0F9B">
        <w:rPr>
          <w:rFonts w:cs="Times New Roman"/>
        </w:rPr>
        <w:t>of</w:t>
      </w:r>
      <w:r w:rsidR="002A0F9B" w:rsidRPr="00EF75A4">
        <w:rPr>
          <w:rFonts w:cs="Times New Roman"/>
        </w:rPr>
        <w:t xml:space="preserve"> inoculum. Similarly, Huiliñir et al. </w:t>
      </w:r>
      <w:r w:rsidR="002A0F9B" w:rsidRPr="00EF75A4">
        <w:rPr>
          <w:rFonts w:cs="Times New Roman"/>
        </w:rPr>
        <w:fldChar w:fldCharType="begin" w:fldLock="1"/>
      </w:r>
      <w:r w:rsidR="00BB33F9">
        <w:rPr>
          <w:rFonts w:cs="Times New Roman"/>
        </w:rPr>
        <w:instrText>ADDIN CSL_CITATION {"citationItems":[{"id":"ITEM-1","itemData":{"DOI":"10.1016/j.wasman.2017.03.023","ISSN":"18792456","abstract":"The effect of aerobic pretreatment and fly ash addition on the production of methane from mixed sludge is studied. Three assays with pretreated and not pretreated mixed sludge in the presence of fly ash (concentrations of 0, 10, 25, 50, 250 and 500 mg/L) were run at mesophilic condition. It was found that the combined use of aerobic pretreatment and fly ash addition increases methane production up to 70% when the fly ash concentrations were lower than 50 mg/L, while concentrations higher than 250 mg/L cause up to 11% decrease of methane production. For the anaerobic treatment of mixed sludge without pretreatment, the fly ash improved methane generation at all the concentrations studied, with a maximum of 56%. The removal of volatile solids does not show an improvement compared to the separate use of an aerobic pre-treatment and fly ash addition. Therefore, the combined use of the aerobic pre-treatment and fly ash addition improves only the production of methane.","author":[{"dropping-particle":"","family":"Huiliñir","given":"César","non-dropping-particle":"","parse-names":false,"suffix":""},{"dropping-particle":"","family":"Pinto-Villegas","given":"Paula","non-dropping-particle":"","parse-names":false,"suffix":""},{"dropping-particle":"","family":"Castillo","given":"Alejandra","non-dropping-particle":"","parse-names":false,"suffix":""},{"dropping-particle":"","family":"Montalvo","given":"Silvio","non-dropping-particle":"","parse-names":false,"suffix":""},{"dropping-particle":"","family":"Guerrero","given":"Lorna","non-dropping-particle":"","parse-names":false,"suffix":""}],"container-title":"Waste Management","id":"ITEM-1","issued":{"date-parts":[["2017"]]},"page":"140-148","title":"Biochemical methane potential from sewage sludge: Effect of an aerobic pretreatment and fly ash addition as source of trace elements","type":"article-journal","volume":"64"},"uris":["http://www.mendeley.com/documents/?uuid=9bee123b-5e77-4d20-89bb-c2a360ffad88"]}],"mendeley":{"formattedCitation":"[12]","plainTextFormattedCitation":"[12]","previouslyFormattedCitation":"[12]"},"properties":{"noteIndex":0},"schema":"https://github.com/citation-style-language/schema/raw/master/csl-citation.json"}</w:instrText>
      </w:r>
      <w:r w:rsidR="002A0F9B" w:rsidRPr="00EF75A4">
        <w:rPr>
          <w:rFonts w:cs="Times New Roman"/>
        </w:rPr>
        <w:fldChar w:fldCharType="separate"/>
      </w:r>
      <w:r w:rsidR="00D33723" w:rsidRPr="00D33723">
        <w:rPr>
          <w:rFonts w:cs="Times New Roman"/>
          <w:noProof/>
        </w:rPr>
        <w:t>[12]</w:t>
      </w:r>
      <w:r w:rsidR="002A0F9B" w:rsidRPr="00EF75A4">
        <w:rPr>
          <w:rFonts w:cs="Times New Roman"/>
        </w:rPr>
        <w:fldChar w:fldCharType="end"/>
      </w:r>
      <w:r w:rsidR="002A0F9B" w:rsidRPr="00EF75A4">
        <w:rPr>
          <w:rFonts w:cs="Times New Roman"/>
        </w:rPr>
        <w:t xml:space="preserve"> studied how concentrations of coal fly ash up to 500 mg</w:t>
      </w:r>
      <w:r w:rsidR="002A0F9B">
        <w:rPr>
          <w:rFonts w:cs="Times New Roman"/>
        </w:rPr>
        <w:t>/L</w:t>
      </w:r>
      <w:r w:rsidR="002A0F9B" w:rsidRPr="00EF75A4">
        <w:rPr>
          <w:rFonts w:cs="Times New Roman"/>
        </w:rPr>
        <w:t xml:space="preserve"> would enhance the digestion of sewage sludge</w:t>
      </w:r>
      <w:r w:rsidR="002A0F9B">
        <w:rPr>
          <w:rFonts w:cs="Times New Roman"/>
        </w:rPr>
        <w:t xml:space="preserve"> </w:t>
      </w:r>
      <w:r w:rsidR="002A0F9B" w:rsidRPr="00F35C3F">
        <w:rPr>
          <w:rFonts w:cs="Times New Roman"/>
          <w:b/>
        </w:rPr>
        <w:t xml:space="preserve">in a bioreactor containing 5.87 </w:t>
      </w:r>
      <w:r w:rsidR="002A0F9B" w:rsidRPr="00F35C3F">
        <w:rPr>
          <w:rFonts w:cstheme="minorHAnsi"/>
          <w:b/>
        </w:rPr>
        <w:t>±</w:t>
      </w:r>
      <w:r w:rsidR="002A0F9B" w:rsidRPr="00F35C3F">
        <w:rPr>
          <w:rFonts w:cs="Times New Roman"/>
          <w:b/>
        </w:rPr>
        <w:t xml:space="preserve"> 0.87 g soluble COD/L of substrate and 2.2 </w:t>
      </w:r>
      <w:r w:rsidR="002A0F9B" w:rsidRPr="00F35C3F">
        <w:rPr>
          <w:rFonts w:cstheme="minorHAnsi"/>
          <w:b/>
        </w:rPr>
        <w:t>±</w:t>
      </w:r>
      <w:r w:rsidR="002A0F9B" w:rsidRPr="00F35C3F">
        <w:rPr>
          <w:rFonts w:cs="Times New Roman"/>
          <w:b/>
        </w:rPr>
        <w:t xml:space="preserve"> 0.42 g soluble COD/L of inoculum</w:t>
      </w:r>
      <w:r w:rsidR="002A0F9B" w:rsidRPr="00EF75A4">
        <w:rPr>
          <w:rFonts w:cs="Times New Roman"/>
        </w:rPr>
        <w:t xml:space="preserve">. If these doses were expressed as gram of ash per gram of sewage sludge, they </w:t>
      </w:r>
      <w:r w:rsidR="002A0F9B" w:rsidRPr="00666E52">
        <w:rPr>
          <w:rFonts w:cs="Times New Roman"/>
        </w:rPr>
        <w:t>would be slightly higher because</w:t>
      </w:r>
      <w:r w:rsidR="002A0F9B" w:rsidRPr="00EF75A4">
        <w:rPr>
          <w:rFonts w:cs="Times New Roman"/>
        </w:rPr>
        <w:t xml:space="preserve"> of the water and the inoculum added to carry out the </w:t>
      </w:r>
      <w:r w:rsidR="002A0F9B" w:rsidRPr="00666E52">
        <w:rPr>
          <w:rFonts w:cs="Times New Roman"/>
        </w:rPr>
        <w:t>AD. Nevertheless, the</w:t>
      </w:r>
      <w:r w:rsidR="002A0F9B" w:rsidRPr="00EF75A4">
        <w:rPr>
          <w:rFonts w:cs="Times New Roman"/>
        </w:rPr>
        <w:t xml:space="preserve"> highest doses are associated with</w:t>
      </w:r>
      <w:r w:rsidR="002A0F9B">
        <w:rPr>
          <w:rFonts w:cs="Times New Roman"/>
        </w:rPr>
        <w:t xml:space="preserve"> other type of</w:t>
      </w:r>
      <w:r w:rsidR="002A0F9B" w:rsidRPr="00EF75A4">
        <w:rPr>
          <w:rFonts w:cs="Times New Roman"/>
        </w:rPr>
        <w:t xml:space="preserve"> anaerobic systems</w:t>
      </w:r>
      <w:r w:rsidR="002A0F9B">
        <w:rPr>
          <w:rFonts w:cs="Times New Roman"/>
        </w:rPr>
        <w:t>,</w:t>
      </w:r>
      <w:r w:rsidR="002A0F9B" w:rsidRPr="00EF75A4">
        <w:rPr>
          <w:rFonts w:cs="Times New Roman"/>
        </w:rPr>
        <w:t xml:space="preserve"> such as landfills. Lo et al. </w:t>
      </w:r>
      <w:r w:rsidR="002A0F9B" w:rsidRPr="00EF75A4">
        <w:rPr>
          <w:rFonts w:cs="Times New Roman"/>
        </w:rPr>
        <w:fldChar w:fldCharType="begin" w:fldLock="1"/>
      </w:r>
      <w:r w:rsidR="00BB33F9">
        <w:rPr>
          <w:rFonts w:cs="Times New Roman"/>
        </w:rPr>
        <w:instrText xml:space="preserve">ADDIN CSL_CITATION {"citationItems":[{"id":"ITEM-1","itemData":{"DOI":"10.1016/j.jhazmat.2008.06.028","ISSN":"03043894","abstract":"Municipal solid waste incinerator (MSWI) fly ash has been examined for possible use as landfill interim cover. For this aim, three anaerobic bioreactors, 1.2 m high and 0.2 m in diameter, were used to assess the co-digestion or co-disposal performance of MSW and MSWI fly ash. Two bioreactors contained ratios of 10 and 20 g fly ash per liter of MSW (or 0.2 and 0.4 g g -1 VS, that is, 0.2 and 0.4 g fly ash per gram volatile solids (VS) of MSW). The remaining bioreactor was used as control, without fly ash addition. The results showed that gas production rate was enhanced by the appropriate addition of MSWI fly ash, with a rate of </w:instrText>
      </w:r>
      <w:r w:rsidR="00BB33F9">
        <w:rPr>
          <w:rFonts w:ascii="Cambria Math" w:hAnsi="Cambria Math" w:cs="Cambria Math"/>
        </w:rPr>
        <w:instrText>∼</w:instrText>
      </w:r>
      <w:r w:rsidR="00BB33F9">
        <w:rPr>
          <w:rFonts w:cs="Times New Roman"/>
        </w:rPr>
        <w:instrText xml:space="preserve">6.5 l day -1 kg -1 VS at peak production in the ash-added bioreactors, compared to </w:instrText>
      </w:r>
      <w:r w:rsidR="00BB33F9">
        <w:rPr>
          <w:rFonts w:ascii="Cambria Math" w:hAnsi="Cambria Math" w:cs="Cambria Math"/>
        </w:rPr>
        <w:instrText>∼</w:instrText>
      </w:r>
      <w:r w:rsidR="00BB33F9">
        <w:rPr>
          <w:rFonts w:cs="Times New Roman"/>
        </w:rPr>
        <w:instrText>4 l day -1 kg -1 VS in control. Conductivity, alkali metals and VS in leachate were higher in the fly ash-added bioreactors compared to control. The results show that MSW decomposition was maintained throughout at near-neutral pH and might be improved by release of alkali and trace metals from fly ash. Heavy metals exerted no inhibitory effect on MSW digestion in all three bioreactors. These phenomena indicate that proper amounts of MSWI fly ash, co-disposed or co-digested with MSW, could facilitate bacterial activity, digestion efficiency and gas production rates. © 2008 Elsevier B.V. All rights reserved.","author":[{"dropping-particle":"","family":"Lo","given":"H. M.","non-dropping-particle":"","parse-names":false,"suffix":""},{"dropping-particle":"","family":"Liu","given":"M. H.","non-dropping-particle":"","parse-names":false,"suffix":""},{"dropping-particle":"","family":"Pai","given":"T. Y.","non-dropping-particle":"","parse-names":false,"suffix":""},{"dropping-particle":"","family":"Liu","given":"W. F.","non-dropping-particle":"","parse-names":false,"suffix":""},{"dropping-particle":"","family":"Lin","given":"C. Y.","non-dropping-particle":"","parse-names":false,"suffix":""},{"dropping-particle":"","family":"Wang","given":"S. C.","non-dropping-particle":"","parse-names":false,"suffix":""},{"dropping-particle":"","family":"Banks","given":"C. J.","non-dropping-particle":"","parse-names":false,"suffix":""},{"dropping-particle":"","family":"Hung","given":"C. H.","non-dropping-particle":"","parse-names":false,"suffix":""},{"dropping-particle":"","family":"Chiang","given":"C. F.","non-dropping-particle":"","parse-names":false,"suffix":""},{"dropping-particle":"","family":"Lin","given":"K. C.","non-dropping-particle":"","parse-names":false,"suffix":""},{"dropping-particle":"","family":"Chen","given":"P. H.","non-dropping-particle":"","parse-names":false,"suffix":""},{"dropping-particle":"","family":"Chen","given":"J. K.","non-dropping-particle":"","parse-names":false,"suffix":""},{"dropping-particle":"","family":"Chiu","given":"H. Y.","non-dropping-particle":"","parse-names":false,"suffix":""},{"dropping-particle":"","family":"Su","given":"M. H.","non-dropping-particle":"","parse-names":false,"suffix":""},{"dropping-particle":"","family":"Kurniawan","given":"T. A.","non-dropping-particle":"","parse-names":false,"suffix":""},{"dropping-particle":"","family":"Wu","given":"K. C.","non-dropping-particle":"","parse-names":false,"suffix":""},{"dropping-particle":"","family":"Hsieh","given":"C. Y.","non-dropping-particle":"","parse-names":false,"suffix":""},{"dropping-particle":"","family":"Hsu","given":"H. S.","non-dropping-particle":"","parse-names":false,"suffix":""}],"container-title":"Journal of Hazardous Materials","id":"ITEM-1","issue":"2-3","issued":{"date-parts":[["2009"]]},"page":"1233-1242","title":"Biostabilization assessment of MSW co-disposed with MSWI fly ash in anaerobic bioreactors","type":"article-journal","volume":"162"},"uris":["http://www.mendeley.com/documents/?uuid=2ab33bf4-89e2-4000-b913-b3dbdbf2be51"]}],"mendeley":{"formattedCitation":"[13]","plainTextFormattedCitation":"[13]","previouslyFormattedCitation":"[13]"},"properties":{"noteIndex":0},"schema":"https://github.com/citation-style-language/schema/raw/master/csl-citation.json"}</w:instrText>
      </w:r>
      <w:r w:rsidR="002A0F9B" w:rsidRPr="00EF75A4">
        <w:rPr>
          <w:rFonts w:cs="Times New Roman"/>
        </w:rPr>
        <w:fldChar w:fldCharType="separate"/>
      </w:r>
      <w:r w:rsidR="00D33723" w:rsidRPr="00D33723">
        <w:rPr>
          <w:rFonts w:cs="Times New Roman"/>
          <w:noProof/>
        </w:rPr>
        <w:t>[13]</w:t>
      </w:r>
      <w:r w:rsidR="002A0F9B" w:rsidRPr="00EF75A4">
        <w:rPr>
          <w:rFonts w:cs="Times New Roman"/>
        </w:rPr>
        <w:fldChar w:fldCharType="end"/>
      </w:r>
      <w:r w:rsidR="002A0F9B" w:rsidRPr="00EF75A4">
        <w:rPr>
          <w:rFonts w:cs="Times New Roman"/>
        </w:rPr>
        <w:t xml:space="preserve"> employed up to 20 g of municipal solid waste (MSW) fly ash per kg of MSW (94% moisture) to enhance the biogas production.</w:t>
      </w:r>
    </w:p>
    <w:p w14:paraId="63CCF7FC" w14:textId="1A8EFBE7" w:rsidR="001E428E" w:rsidRDefault="00683E6B" w:rsidP="00C807A3">
      <w:pPr>
        <w:keepNext/>
        <w:spacing w:line="360" w:lineRule="auto"/>
        <w:rPr>
          <w:rFonts w:cs="Times New Roman"/>
          <w:b/>
        </w:rPr>
      </w:pPr>
      <w:r>
        <w:rPr>
          <w:rFonts w:cs="Times New Roman"/>
          <w:b/>
        </w:rPr>
        <w:t xml:space="preserve">Combinations of digestates and </w:t>
      </w:r>
      <w:r w:rsidR="00F1083B">
        <w:rPr>
          <w:rFonts w:cs="Times New Roman"/>
          <w:b/>
        </w:rPr>
        <w:t xml:space="preserve">biomass </w:t>
      </w:r>
      <w:r>
        <w:rPr>
          <w:rFonts w:cs="Times New Roman"/>
          <w:b/>
        </w:rPr>
        <w:t xml:space="preserve">ashes have been also tested </w:t>
      </w:r>
      <w:r w:rsidR="00E0651E">
        <w:rPr>
          <w:rFonts w:cs="Times New Roman"/>
          <w:b/>
        </w:rPr>
        <w:t xml:space="preserve">in the soil </w:t>
      </w:r>
      <w:r w:rsidR="00413025">
        <w:rPr>
          <w:rFonts w:cs="Times New Roman"/>
          <w:b/>
        </w:rPr>
        <w:t xml:space="preserve">to </w:t>
      </w:r>
      <w:r>
        <w:rPr>
          <w:rFonts w:cs="Times New Roman"/>
          <w:b/>
        </w:rPr>
        <w:t xml:space="preserve">assess the </w:t>
      </w:r>
      <w:r w:rsidR="00E0651E">
        <w:rPr>
          <w:rFonts w:cs="Times New Roman"/>
          <w:b/>
        </w:rPr>
        <w:t>biological stability</w:t>
      </w:r>
      <w:r>
        <w:rPr>
          <w:rFonts w:cs="Times New Roman"/>
          <w:b/>
        </w:rPr>
        <w:t xml:space="preserve">. </w:t>
      </w:r>
      <w:r w:rsidR="001E428E" w:rsidRPr="00506999">
        <w:rPr>
          <w:rFonts w:cs="Times New Roman"/>
          <w:b/>
        </w:rPr>
        <w:t xml:space="preserve">Bougnom et al. </w:t>
      </w:r>
      <w:r w:rsidR="001E428E" w:rsidRPr="00506999">
        <w:rPr>
          <w:rStyle w:val="FootnoteReference"/>
          <w:rFonts w:cs="Times New Roman"/>
          <w:b/>
        </w:rPr>
        <w:fldChar w:fldCharType="begin" w:fldLock="1"/>
      </w:r>
      <w:r w:rsidR="00BB33F9">
        <w:rPr>
          <w:rFonts w:cs="Times New Roman"/>
          <w:b/>
        </w:rPr>
        <w:instrText>ADDIN CSL_CITATION {"citationItems":[{"id":"ITEM-1","itemData":{"DOI":"10.1016/j.biombioe.2012.01.017","ISSN":"09619534","abstract":"A field study was conducted to investigate the potential of residues from renewable energy production for fertilizing pastures. Six treatments including manure or biogas sludge, each combined with wood ash at 0, 1 and 3 t ha -1 were applied at the same N equivalent (190 kg N ha -1). Three soil samplings and two cuttings were carried out within one growing season (4 months). Plots amended with biogas sludge had a higher EC and total N, those amended with wood ash at 3 t ha -1 scored higher soil pH, EC and C/N ratio. K concentrations increased in plots amended with biogas sludge. Basal respiration, microbial biomass, metabolic quotient and C mic/C org from the differently treated soils were not influenced neither by the nature of the organic waste nor the amount of wood ash added. The time of sampling (seasonal effects) was found to influence the soil pH, EC and all the microbial parameters. A higher forage yield and lower proportion of leguminous plants was observed for soil treated with anaerobic sludge.It may be concluded that the combination of anaerobic sludge and wood ash has a double positive effect, both on some selected soil chemical parameters as well as on total forage yield. The results obtained need to be confirmed in long term experiments, and the best practice for a combined application still needs to be worked out. © 2012 Elsevier Ltd.","author":[{"dropping-particle":"","family":"Bougnom","given":"B. P.","non-dropping-particle":"","parse-names":false,"suffix":""},{"dropping-particle":"","family":"Niederkofler","given":"C.","non-dropping-particle":"","parse-names":false,"suffix":""},{"dropping-particle":"","family":"Knapp","given":"B. A.","non-dropping-particle":"","parse-names":false,"suffix":""},{"dropping-particle":"","family":"Stimpfl","given":"E.","non-dropping-particle":"","parse-names":false,"suffix":""},{"dropping-particle":"","family":"Insam","given":"H.","non-dropping-particle":"","parse-names":false,"suffix":""}],"container-title":"Biomass and Bioenergy","id":"ITEM-1","issued":{"date-parts":[["2012"]]},"page":"290-295","publisher":"Elsevier Ltd","title":"Residues from renewable energy production: Their value for fertilizing pastures","type":"article-journal","volume":"39"},"uris":["http://www.mendeley.com/documents/?uuid=5f67c3b6-c5f4-471c-a2f3-4fca642ee93f"]}],"mendeley":{"formattedCitation":"[14]","plainTextFormattedCitation":"[14]","previouslyFormattedCitation":"[14]"},"properties":{"noteIndex":0},"schema":"https://github.com/citation-style-language/schema/raw/master/csl-citation.json"}</w:instrText>
      </w:r>
      <w:r w:rsidR="001E428E" w:rsidRPr="00506999">
        <w:rPr>
          <w:rStyle w:val="FootnoteReference"/>
          <w:rFonts w:cs="Times New Roman"/>
          <w:b/>
        </w:rPr>
        <w:fldChar w:fldCharType="separate"/>
      </w:r>
      <w:r w:rsidR="00D33723" w:rsidRPr="00D33723">
        <w:rPr>
          <w:rFonts w:cs="Times New Roman"/>
          <w:noProof/>
        </w:rPr>
        <w:t>[14]</w:t>
      </w:r>
      <w:r w:rsidR="001E428E" w:rsidRPr="00506999">
        <w:rPr>
          <w:rStyle w:val="FootnoteReference"/>
          <w:rFonts w:cs="Times New Roman"/>
          <w:b/>
        </w:rPr>
        <w:fldChar w:fldCharType="end"/>
      </w:r>
      <w:r w:rsidR="001E428E" w:rsidRPr="00506999">
        <w:rPr>
          <w:rFonts w:cs="Times New Roman"/>
          <w:b/>
        </w:rPr>
        <w:t xml:space="preserve"> employed three different rates of wood ash (0, 1, and 3 t/ha) together with manure digestate (67 t/ha) as fertilizer for pastures. They did not found significant difference in terms of carbon assimilation by the microbes in the soil compared to the application of the same doses of ash with undigested manure (74 t/ha). Similarly, Fernández-Delgado et al. </w:t>
      </w:r>
      <w:r w:rsidR="001E428E" w:rsidRPr="00506999">
        <w:rPr>
          <w:rFonts w:cs="Times New Roman"/>
          <w:b/>
        </w:rPr>
        <w:fldChar w:fldCharType="begin" w:fldLock="1"/>
      </w:r>
      <w:r w:rsidR="00BB33F9">
        <w:rPr>
          <w:rFonts w:cs="Times New Roman"/>
          <w:b/>
        </w:rPr>
        <w:instrText>ADDIN CSL_CITATION {"citationItems":[{"id":"ITEM-1","itemData":{"DOI":"10.1007/s00374-012-0747-5","ISSN":"01782762","abstract":"A field study was carried out to evaluate the potential of wood ash as a fertilizer in grassland systems in combination with enriched N organic wastes. Six treatments including manure or digestate, each combined with wood ash at 0, 1, and 3 t ha -1 were spread onto the soil to an amount equivalent to 120 kg N ha -1 . Three soil samplings and one cutting was carried out within one growing season (3 months). A higher pH value was found in manure-treated plots, the pH rise being proportional to the amount of wood ash added. Those plots amended with digestate were characterized by a larger content of total C, NH 4+ , and total P (TP) regardless of the amount of ashes. Microbial activity, assessed by basal respiration and microbial biomass carbon of the differently treated soils, was not affected neither by the nature of the organic waste nor by the amount of wood ash added. However, amending soil with digestate resulted in a more efficient soil microbial community, as shown by the lower values of the metabolic quotient. Such effects were accompanied by a higher percentage of plant cover, particularly of leguminous plants in digestate-treated plots. The time of sampling (seasonal effects) was found to influence the soil pH and electrical conductivity (EC), as well as the nutrient content (total N, NH 4+ , and NO 3- ). Overall, the combined use of wood ash and biogas digestate can constitute an efficient way for the disposal and recycling of both products and additionally, it may constitute an environmentally friendly alternative to mineral fertilizers for acid soils. © 2012 Springer-Verlag Berlin Heidelberg.","author":[{"dropping-particle":"","family":"Fernández-Delgado Juárez","given":"M.","non-dropping-particle":"","parse-names":false,"suffix":""},{"dropping-particle":"","family":"Waldhuber","given":"S.","non-dropping-particle":"","parse-names":false,"suffix":""},{"dropping-particle":"","family":"Knapp","given":"A.","non-dropping-particle":"","parse-names":false,"suffix":""},{"dropping-particle":"","family":"Partl","given":"C.","non-dropping-particle":"","parse-names":false,"suffix":""},{"dropping-particle":"","family":"Gómez-Brandón","given":"M.","non-dropping-particle":"","parse-names":false,"suffix":""},{"dropping-particle":"","family":"Insam","given":"H.","non-dropping-particle":"","parse-names":false,"suffix":""}],"container-title":"Biology and Fertility of Soils","id":"ITEM-1","issue":"5","issued":{"date-parts":[["2013"]]},"page":"575-585","title":"Wood ash effects on chemical and microbiological properties of digestate- and manure-amended soils","type":"article-journal","volume":"49"},"uris":["http://www.mendeley.com/documents/?uuid=c15e7f55-8b38-436b-bb26-dca52108cbbf"]}],"mendeley":{"formattedCitation":"[15]","plainTextFormattedCitation":"[15]","previouslyFormattedCitation":"[15]"},"properties":{"noteIndex":0},"schema":"https://github.com/citation-style-language/schema/raw/master/csl-citation.json"}</w:instrText>
      </w:r>
      <w:r w:rsidR="001E428E" w:rsidRPr="00506999">
        <w:rPr>
          <w:rFonts w:cs="Times New Roman"/>
          <w:b/>
        </w:rPr>
        <w:fldChar w:fldCharType="separate"/>
      </w:r>
      <w:r w:rsidR="00D33723" w:rsidRPr="00D33723">
        <w:rPr>
          <w:rFonts w:cs="Times New Roman"/>
          <w:noProof/>
        </w:rPr>
        <w:t>[15]</w:t>
      </w:r>
      <w:r w:rsidR="001E428E" w:rsidRPr="00506999">
        <w:rPr>
          <w:rFonts w:cs="Times New Roman"/>
          <w:b/>
        </w:rPr>
        <w:fldChar w:fldCharType="end"/>
      </w:r>
      <w:r w:rsidR="001E428E" w:rsidRPr="00506999">
        <w:rPr>
          <w:rFonts w:cs="Times New Roman"/>
          <w:b/>
        </w:rPr>
        <w:t xml:space="preserve"> concluded that the carbon assimilation was not affected by the dose of wood ash (0, 1, and 3 t/ha), but in their study lower losses of carbon due to microbial respiration were found when using the manure digestate (52 t/ha) as organic amendment compared to the undigested cattle manure (41 t/ha).</w:t>
      </w:r>
    </w:p>
    <w:p w14:paraId="74E8D79F" w14:textId="1D16F74D" w:rsidR="00D65E69" w:rsidRPr="002A699E" w:rsidRDefault="00E4609E" w:rsidP="00077E0E">
      <w:pPr>
        <w:keepNext/>
        <w:spacing w:line="360" w:lineRule="auto"/>
        <w:rPr>
          <w:rFonts w:cs="Times New Roman"/>
        </w:rPr>
      </w:pPr>
      <w:r>
        <w:rPr>
          <w:rFonts w:cs="Times New Roman"/>
          <w:b/>
        </w:rPr>
        <w:t xml:space="preserve">The biological stabilization in not limited to </w:t>
      </w:r>
      <w:r w:rsidR="00176AD2">
        <w:rPr>
          <w:rFonts w:cs="Times New Roman"/>
          <w:b/>
        </w:rPr>
        <w:t>improve</w:t>
      </w:r>
      <w:r w:rsidR="00162D28">
        <w:rPr>
          <w:rFonts w:cs="Times New Roman"/>
          <w:b/>
        </w:rPr>
        <w:t xml:space="preserve"> the carbon utiliz</w:t>
      </w:r>
      <w:r>
        <w:rPr>
          <w:rFonts w:cs="Times New Roman"/>
          <w:b/>
        </w:rPr>
        <w:t>ation in the soil but h</w:t>
      </w:r>
      <w:r w:rsidR="00077E0E">
        <w:rPr>
          <w:rFonts w:cs="Times New Roman"/>
          <w:b/>
        </w:rPr>
        <w:t xml:space="preserve">igh doses of ashes could be used </w:t>
      </w:r>
      <w:r w:rsidR="00C37AD3">
        <w:rPr>
          <w:rFonts w:cs="Times New Roman"/>
          <w:b/>
        </w:rPr>
        <w:t>p</w:t>
      </w:r>
      <w:r w:rsidR="00DE1452">
        <w:rPr>
          <w:rFonts w:cs="Times New Roman"/>
          <w:b/>
        </w:rPr>
        <w:t xml:space="preserve">rior to land application, to reduce the </w:t>
      </w:r>
      <w:r w:rsidR="00077E0E">
        <w:rPr>
          <w:rFonts w:cs="Times New Roman"/>
          <w:b/>
        </w:rPr>
        <w:t>number of pathogens</w:t>
      </w:r>
      <w:r w:rsidR="00D23631">
        <w:rPr>
          <w:rFonts w:cs="Times New Roman"/>
          <w:b/>
        </w:rPr>
        <w:t xml:space="preserve"> in the organic waste</w:t>
      </w:r>
      <w:r w:rsidR="00DE1452">
        <w:rPr>
          <w:rFonts w:cs="Times New Roman"/>
          <w:b/>
        </w:rPr>
        <w:t xml:space="preserve">. </w:t>
      </w:r>
      <w:r w:rsidR="00DE1452" w:rsidRPr="00EF75A4">
        <w:rPr>
          <w:rFonts w:cs="Times New Roman"/>
        </w:rPr>
        <w:t>The lime stabi</w:t>
      </w:r>
      <w:r w:rsidR="00DE1452">
        <w:rPr>
          <w:rFonts w:cs="Times New Roman"/>
        </w:rPr>
        <w:t>liz</w:t>
      </w:r>
      <w:r w:rsidR="00DE1452" w:rsidRPr="00EF75A4">
        <w:rPr>
          <w:rFonts w:cs="Times New Roman"/>
        </w:rPr>
        <w:t>ation of liquid sludge is described to occur at pH above 12 wh</w:t>
      </w:r>
      <w:r w:rsidR="009046CA">
        <w:rPr>
          <w:rFonts w:cs="Times New Roman"/>
        </w:rPr>
        <w:t>en it is operated for at least two</w:t>
      </w:r>
      <w:r w:rsidR="00DE1452" w:rsidRPr="00EF75A4">
        <w:rPr>
          <w:rFonts w:cs="Times New Roman"/>
        </w:rPr>
        <w:t xml:space="preserve"> </w:t>
      </w:r>
      <w:r w:rsidR="00DE1452" w:rsidRPr="00EF75A4">
        <w:rPr>
          <w:rFonts w:cs="Times New Roman"/>
        </w:rPr>
        <w:lastRenderedPageBreak/>
        <w:t xml:space="preserve">hours </w:t>
      </w:r>
      <w:r w:rsidR="00DE1452" w:rsidRPr="00EF75A4">
        <w:rPr>
          <w:rFonts w:cs="Times New Roman"/>
        </w:rPr>
        <w:fldChar w:fldCharType="begin" w:fldLock="1"/>
      </w:r>
      <w:r w:rsidR="00BB33F9">
        <w:rPr>
          <w:rFonts w:cs="Times New Roman"/>
        </w:rPr>
        <w:instrText>ADDIN CSL_CITATION {"citationItems":[{"id":"ITEM-1","itemData":{"URL":"https://www.gov.uk/government/publications/sewage-sludge-in-agriculture-code-of-practice/sewage-sludge-in-agriculture-code-of-practice-for-england-wales-and-northern-ireland","author":[{"dropping-particle":"","family":"UK government","given":"","non-dropping-particle":"","parse-names":false,"suffix":""}],"id":"ITEM-1","issued":{"date-parts":[["2018"]]},"title":"Sewage sludge in agriculture: code of practice for England, Wales and Northern Ireland","type":"webpage"},"uris":["http://www.mendeley.com/documents/?uuid=aa67ff83-6bd8-47b4-a932-40facc81de3f"]}],"mendeley":{"formattedCitation":"[16]","plainTextFormattedCitation":"[16]","previouslyFormattedCitation":"[16]"},"properties":{"noteIndex":0},"schema":"https://github.com/citation-style-language/schema/raw/master/csl-citation.json"}</w:instrText>
      </w:r>
      <w:r w:rsidR="00DE1452" w:rsidRPr="00EF75A4">
        <w:rPr>
          <w:rFonts w:cs="Times New Roman"/>
        </w:rPr>
        <w:fldChar w:fldCharType="separate"/>
      </w:r>
      <w:r w:rsidR="00D33723" w:rsidRPr="00D33723">
        <w:rPr>
          <w:rFonts w:cs="Times New Roman"/>
          <w:noProof/>
        </w:rPr>
        <w:t>[16]</w:t>
      </w:r>
      <w:r w:rsidR="00DE1452" w:rsidRPr="00EF75A4">
        <w:rPr>
          <w:rFonts w:cs="Times New Roman"/>
        </w:rPr>
        <w:fldChar w:fldCharType="end"/>
      </w:r>
      <w:r w:rsidR="00D176FC">
        <w:rPr>
          <w:rFonts w:cs="Times New Roman"/>
        </w:rPr>
        <w:t>, for which is required</w:t>
      </w:r>
      <w:r w:rsidR="00F1083B">
        <w:rPr>
          <w:rFonts w:cs="Times New Roman"/>
        </w:rPr>
        <w:t xml:space="preserve"> </w:t>
      </w:r>
      <w:r w:rsidR="00D176FC">
        <w:rPr>
          <w:rFonts w:cs="Times New Roman"/>
        </w:rPr>
        <w:t>a</w:t>
      </w:r>
      <w:r w:rsidR="00DE1452" w:rsidRPr="00EF75A4">
        <w:rPr>
          <w:rFonts w:cs="Times New Roman"/>
        </w:rPr>
        <w:t xml:space="preserve"> dose of 3.9 g Ca(OH)</w:t>
      </w:r>
      <w:r w:rsidR="00DE1452" w:rsidRPr="00EF75A4">
        <w:rPr>
          <w:rFonts w:cs="Times New Roman"/>
          <w:vertAlign w:val="subscript"/>
        </w:rPr>
        <w:t>2</w:t>
      </w:r>
      <w:r w:rsidR="00DE1452" w:rsidRPr="00EF75A4">
        <w:rPr>
          <w:rFonts w:cs="Times New Roman"/>
        </w:rPr>
        <w:t xml:space="preserve"> per kg of sewage sludge</w:t>
      </w:r>
      <w:r w:rsidR="00DE1452">
        <w:rPr>
          <w:rFonts w:cs="Times New Roman"/>
        </w:rPr>
        <w:t xml:space="preserve"> (1.3% solid concentration)</w:t>
      </w:r>
      <w:r w:rsidR="00DE1452" w:rsidRPr="00EF75A4">
        <w:rPr>
          <w:rFonts w:cs="Times New Roman"/>
        </w:rPr>
        <w:t xml:space="preserve"> </w:t>
      </w:r>
      <w:r w:rsidR="00DE1452" w:rsidRPr="00EF75A4">
        <w:rPr>
          <w:rFonts w:cs="Times New Roman"/>
        </w:rPr>
        <w:fldChar w:fldCharType="begin" w:fldLock="1"/>
      </w:r>
      <w:r w:rsidR="00BB33F9">
        <w:rPr>
          <w:rFonts w:cs="Times New Roman"/>
        </w:rPr>
        <w:instrText>ADDIN CSL_CITATION {"citationItems":[{"id":"ITEM-1","itemData":{"author":[{"dropping-particle":"","family":"Metcalf","given":"","non-dropping-particle":"","parse-names":false,"suffix":""},{"dropping-particle":"","family":"Eddy","given":"","non-dropping-particle":"","parse-names":false,"suffix":""},{"dropping-particle":"","family":"AECOM","given":"","non-dropping-particle":"","parse-names":false,"suffix":""}],"chapter-number":"13","container-title":"Wastewater Engineering: Treatment and Resource Recovery","edition":"5th","editor":[{"dropping-particle":"","family":"Tchobanoglous","given":"George","non-dropping-particle":"","parse-names":false,"suffix":""},{"dropping-particle":"","family":"Stensel","given":"H.David","non-dropping-particle":"","parse-names":false,"suffix":""},{"dropping-particle":"","family":"Tsuchihashi","given":"Ryujiro","non-dropping-particle":"","parse-names":false,"suffix":""},{"dropping-particle":"","family":"Burton","given":"Franklin","non-dropping-particle":"","parse-names":false,"suffix":""}],"id":"ITEM-1","issued":{"date-parts":[["2014"]]},"page":"1501 - 1502","publisher":"Mc Graw Hill","publisher-place":"New York","title":"Advanced alkaline stabilisation technologies","type":"chapter"},"uris":["http://www.mendeley.com/documents/?uuid=64bbc411-202d-4eb4-83fc-156858db2fba"]}],"mendeley":{"formattedCitation":"[17]","plainTextFormattedCitation":"[17]","previouslyFormattedCitation":"[17]"},"properties":{"noteIndex":0},"schema":"https://github.com/citation-style-language/schema/raw/master/csl-citation.json"}</w:instrText>
      </w:r>
      <w:r w:rsidR="00DE1452" w:rsidRPr="00EF75A4">
        <w:rPr>
          <w:rFonts w:cs="Times New Roman"/>
        </w:rPr>
        <w:fldChar w:fldCharType="separate"/>
      </w:r>
      <w:r w:rsidR="00D33723" w:rsidRPr="00D33723">
        <w:rPr>
          <w:rFonts w:cs="Times New Roman"/>
          <w:noProof/>
        </w:rPr>
        <w:t>[17]</w:t>
      </w:r>
      <w:r w:rsidR="00DE1452" w:rsidRPr="00EF75A4">
        <w:rPr>
          <w:rFonts w:cs="Times New Roman"/>
        </w:rPr>
        <w:fldChar w:fldCharType="end"/>
      </w:r>
      <w:r w:rsidR="00DE1452" w:rsidRPr="00EF75A4">
        <w:rPr>
          <w:rFonts w:cs="Times New Roman"/>
        </w:rPr>
        <w:t xml:space="preserve">. Jamali et al. </w:t>
      </w:r>
      <w:r w:rsidR="00DE1452" w:rsidRPr="00EF75A4">
        <w:rPr>
          <w:rFonts w:cs="Times New Roman"/>
        </w:rPr>
        <w:fldChar w:fldCharType="begin" w:fldLock="1"/>
      </w:r>
      <w:r w:rsidR="00BB33F9">
        <w:rPr>
          <w:rFonts w:cs="Times New Roman"/>
        </w:rPr>
        <w:instrText>ADDIN CSL_CITATION {"citationItems":[{"id":"ITEM-1","itemData":{"DOI":"10.1016/S1002-0160(08)60008-9","ISSN":"10020160","abstract":"The use of sewage sludge on agricultural land provides an alternative for its disposal. Therefore, the aim of the present study was to evaluate the feasibility of using industrial sewage sludge produced in Pakistan, as an agricultural fertilizer. The agricultural soil amended with 250 g kg-1 sewage sludge with or without lime treatment was used for the growth of the common local grain crop, maize (Zea maize). The mobility of the trace and toxic metals in the sludge samples was assessed by applying a modified BCR sequential extraction procedure. The single extraction procedure was comprised of the application of a mild extractant (CaCl2) and water, for the estimation of the proportion of easily soluble metal fractions. To check the precision of the analytical results, the concentrations of trace and toxic metals in every step of the sequential extraction procedure were summed up and compared with total metal concentrations. The plant-available metal contents, as indicated by the deionized water and 0.01 mol L-1 CaCl2 solution extraction fractions and the exchangeable fraction of the sequential extraction, decreased significantly (P&lt; 0.05) with lime application because of the reduced metal availability at a higher pH, except in the cases of Cd and Cu, whose mobility was slightly increased. Sludge amendment enhanced the dry weight yield of maize and the increase was more obvious for the soil with lime treatment. Liming the sewage sludge reduced the trace and toxic metal contents in the grain tissues, except Cu and Cd, which were below the permissible limits of these metals. The present experiment demonstrates that liming was an important factor in facilitating the growth of maize in sludge-amended soil. © 2008 Soil Science Society of China.","author":[{"dropping-particle":"","family":"Jamali","given":"M. K.","non-dropping-particle":"","parse-names":false,"suffix":""},{"dropping-particle":"","family":"Kazi","given":"T. G.","non-dropping-particle":"","parse-names":false,"suffix":""},{"dropping-particle":"","family":"Arain","given":"M. B.","non-dropping-particle":"","parse-names":false,"suffix":""},{"dropping-particle":"","family":"Afridi","given":"H. I.","non-dropping-particle":"","parse-names":false,"suffix":""},{"dropping-particle":"","family":"Memon","given":"A. R.","non-dropping-particle":"","parse-names":false,"suffix":""},{"dropping-particle":"","family":"Jalbani","given":"N.","non-dropping-particle":"","parse-names":false,"suffix":""},{"dropping-particle":"","family":"SHAH","given":"A.","non-dropping-particle":"","parse-names":false,"suffix":""}],"container-title":"Pedosphere","id":"ITEM-1","issue":"2","issued":{"date-parts":[["2008"]]},"page":"203-213","title":"Use of Sewage Sludge After Liming as Fertilizer for Maize Growth","type":"article-journal","volume":"18"},"uris":["http://www.mendeley.com/documents/?uuid=be3de1ef-86c6-431d-8f73-f6ae1d198185"]}],"mendeley":{"formattedCitation":"[18]","plainTextFormattedCitation":"[18]","previouslyFormattedCitation":"[18]"},"properties":{"noteIndex":0},"schema":"https://github.com/citation-style-language/schema/raw/master/csl-citation.json"}</w:instrText>
      </w:r>
      <w:r w:rsidR="00DE1452" w:rsidRPr="00EF75A4">
        <w:rPr>
          <w:rFonts w:cs="Times New Roman"/>
        </w:rPr>
        <w:fldChar w:fldCharType="separate"/>
      </w:r>
      <w:r w:rsidR="00D33723" w:rsidRPr="00D33723">
        <w:rPr>
          <w:rFonts w:cs="Times New Roman"/>
          <w:noProof/>
        </w:rPr>
        <w:t>[18]</w:t>
      </w:r>
      <w:r w:rsidR="00DE1452" w:rsidRPr="00EF75A4">
        <w:rPr>
          <w:rFonts w:cs="Times New Roman"/>
        </w:rPr>
        <w:fldChar w:fldCharType="end"/>
      </w:r>
      <w:r w:rsidR="00DE1452" w:rsidRPr="00EF75A4">
        <w:rPr>
          <w:rFonts w:cs="Times New Roman"/>
        </w:rPr>
        <w:t xml:space="preserve"> reported a ratio of 50 g CaO per kg sewage sludge, although they only reached a pH 9.1</w:t>
      </w:r>
      <w:r w:rsidR="00DE1452">
        <w:rPr>
          <w:rFonts w:cs="Times New Roman"/>
        </w:rPr>
        <w:t xml:space="preserve"> </w:t>
      </w:r>
      <w:r w:rsidR="00DE1452" w:rsidRPr="00666E52">
        <w:rPr>
          <w:rFonts w:cs="Times New Roman"/>
        </w:rPr>
        <w:t>due to the 25% content of solids. It</w:t>
      </w:r>
      <w:r w:rsidR="00DE1452" w:rsidRPr="00EF75A4">
        <w:rPr>
          <w:rFonts w:cs="Times New Roman"/>
        </w:rPr>
        <w:t xml:space="preserve"> should be noted the moderate (i.e. </w:t>
      </w:r>
      <w:r w:rsidR="0031313E" w:rsidRPr="0031313E">
        <w:rPr>
          <w:rFonts w:cs="Times New Roman"/>
          <w:b/>
        </w:rPr>
        <w:t>~</w:t>
      </w:r>
      <w:r w:rsidR="00963C18">
        <w:rPr>
          <w:rFonts w:cs="Times New Roman"/>
        </w:rPr>
        <w:t xml:space="preserve">18%) calcium content of </w:t>
      </w:r>
      <w:r w:rsidR="00DE1452" w:rsidRPr="00EF75A4">
        <w:rPr>
          <w:rFonts w:cs="Times New Roman"/>
        </w:rPr>
        <w:t>biomass ash</w:t>
      </w:r>
      <w:r w:rsidR="00DE1452">
        <w:rPr>
          <w:rFonts w:cs="Times New Roman"/>
        </w:rPr>
        <w:t>es</w:t>
      </w:r>
      <w:r w:rsidR="00DE1452" w:rsidRPr="00EF75A4">
        <w:rPr>
          <w:rFonts w:cs="Times New Roman"/>
        </w:rPr>
        <w:t xml:space="preserve"> </w:t>
      </w:r>
      <w:r w:rsidR="00DE1452" w:rsidRPr="00EF75A4">
        <w:rPr>
          <w:rFonts w:cs="Times New Roman"/>
        </w:rPr>
        <w:fldChar w:fldCharType="begin" w:fldLock="1"/>
      </w:r>
      <w:r w:rsidR="00DE1452">
        <w:rPr>
          <w:rFonts w:cs="Times New Roman"/>
        </w:rPr>
        <w:instrText>ADDIN CSL_CITATION {"citationItems":[{"id":"ITEM-1","itemData":{"DOI":"10.1016/S0960-8524(00)00043-2","ISSN":"09608524","abstract":"Wood industries and power plants generate enormous quantities of wood ash. Disposal in landfills has been for long a common method for removal. New regulations for conserving the environment have raised the costs of landfill disposal and added to the difficulties for acquiring new sites for disposal. Over a few decades a number of studies have been carried out on the utilization of wood ashes in agriculture and forestry as an alternative method for disposal. Because of their properties and their influence on soil chemistry the utilization of wood ashes is particularly suited for the fertility management of tropical acid soils and forest soils. This review principally focuses on ash from the wood industry and power plants and considers its physical, chemical and mineralogical characteristics, its effect on soil properties, on the availability of nutrient elements and on the growth and chemical composition of crops and trees, as well as its impact on the environment. Copyright © 2001 Elsevier Science Ltd.","author":[{"dropping-particle":"","family":"Demeyer","given":"A.","non-dropping-particle":"","parse-names":false,"suffix":""},{"dropping-particle":"","family":"Voundi Nkana","given":"J. C.","non-dropping-particle":"","parse-names":false,"suffix":""},{"dropping-particle":"","family":"Verloo","given":"M. G.","non-dropping-particle":"","parse-names":false,"suffix":""}],"container-title":"Bioresource Technology","id":"ITEM-1","issue":"3","issued":{"date-parts":[["2001"]]},"page":"287-295","title":"Characteristics of wood ash and influence on soil properties and nutrient uptake: An overview","type":"article-journal","volume":"77"},"uris":["http://www.mendeley.com/documents/?uuid=2888183b-3f5d-46be-9b7e-0e33232197cd"]}],"mendeley":{"formattedCitation":"[5]","plainTextFormattedCitation":"[5]","previouslyFormattedCitation":"[5]"},"properties":{"noteIndex":0},"schema":"https://github.com/citation-style-language/schema/raw/master/csl-citation.json"}</w:instrText>
      </w:r>
      <w:r w:rsidR="00DE1452" w:rsidRPr="00EF75A4">
        <w:rPr>
          <w:rFonts w:cs="Times New Roman"/>
        </w:rPr>
        <w:fldChar w:fldCharType="separate"/>
      </w:r>
      <w:r w:rsidR="00DE1452" w:rsidRPr="001D4108">
        <w:rPr>
          <w:rFonts w:cs="Times New Roman"/>
          <w:noProof/>
        </w:rPr>
        <w:t>[5]</w:t>
      </w:r>
      <w:r w:rsidR="00DE1452" w:rsidRPr="00EF75A4">
        <w:rPr>
          <w:rFonts w:cs="Times New Roman"/>
        </w:rPr>
        <w:fldChar w:fldCharType="end"/>
      </w:r>
      <w:r w:rsidR="00DE1452" w:rsidRPr="00EF75A4">
        <w:rPr>
          <w:rFonts w:cs="Times New Roman"/>
        </w:rPr>
        <w:t xml:space="preserve"> at the time of proposing the amount</w:t>
      </w:r>
      <w:r w:rsidR="00DE1452">
        <w:rPr>
          <w:rFonts w:cs="Times New Roman"/>
        </w:rPr>
        <w:t>s</w:t>
      </w:r>
      <w:r w:rsidR="00DE1452" w:rsidRPr="00EF75A4">
        <w:rPr>
          <w:rFonts w:cs="Times New Roman"/>
        </w:rPr>
        <w:t xml:space="preserve"> </w:t>
      </w:r>
      <w:r w:rsidR="00DE1452" w:rsidRPr="00666E52">
        <w:rPr>
          <w:rFonts w:cs="Times New Roman"/>
        </w:rPr>
        <w:t>of these materials</w:t>
      </w:r>
      <w:r w:rsidR="00DE1452" w:rsidRPr="00EF75A4">
        <w:rPr>
          <w:rFonts w:cs="Times New Roman"/>
        </w:rPr>
        <w:t xml:space="preserve"> to be added to the organic waste</w:t>
      </w:r>
      <w:r w:rsidR="00DE1452">
        <w:rPr>
          <w:rFonts w:cs="Times New Roman"/>
        </w:rPr>
        <w:t>s</w:t>
      </w:r>
      <w:r w:rsidR="00D65E69">
        <w:rPr>
          <w:rFonts w:cs="Times New Roman"/>
        </w:rPr>
        <w:t>.</w:t>
      </w:r>
      <w:r w:rsidR="00077E0E" w:rsidRPr="00EF75A4">
        <w:rPr>
          <w:rFonts w:cs="Times New Roman"/>
        </w:rPr>
        <w:t xml:space="preserve"> Calcium and magnesium are not very soluble that is why the adsorption of the organic matter takes place onto these elements.</w:t>
      </w:r>
      <w:r w:rsidR="002A699E">
        <w:rPr>
          <w:rFonts w:cs="Times New Roman"/>
        </w:rPr>
        <w:t xml:space="preserve"> </w:t>
      </w:r>
      <w:r w:rsidR="002A699E" w:rsidRPr="002A699E">
        <w:rPr>
          <w:rFonts w:cs="Times New Roman"/>
          <w:b/>
        </w:rPr>
        <w:t>Thus the chemical stability also increases because of the lower availability of carbon and nutrients.</w:t>
      </w:r>
    </w:p>
    <w:p w14:paraId="3CC2E023" w14:textId="290EF78B" w:rsidR="00D65E69" w:rsidRPr="00D65E69" w:rsidRDefault="00D65E69" w:rsidP="00077E0E">
      <w:pPr>
        <w:keepNext/>
        <w:spacing w:line="360" w:lineRule="auto"/>
        <w:rPr>
          <w:rFonts w:cs="Times New Roman"/>
        </w:rPr>
      </w:pPr>
      <w:r w:rsidRPr="00544E23">
        <w:rPr>
          <w:rFonts w:cs="Times New Roman"/>
          <w:b/>
        </w:rPr>
        <w:t xml:space="preserve">Fivelman et al </w:t>
      </w:r>
      <w:r w:rsidRPr="00544E23">
        <w:rPr>
          <w:rFonts w:cs="Times New Roman"/>
          <w:b/>
        </w:rPr>
        <w:fldChar w:fldCharType="begin" w:fldLock="1"/>
      </w:r>
      <w:r w:rsidR="00BB33F9">
        <w:rPr>
          <w:rFonts w:cs="Times New Roman"/>
          <w:b/>
        </w:rPr>
        <w:instrText>ADDIN CSL_CITATION {"citationItems":[{"id":"ITEM-1","itemData":{"author":[{"dropping-particle":"","family":"Fivelman","given":"Quinton","non-dropping-particle":"","parse-names":false,"suffix":""}],"id":"ITEM-1","issued":{"date-parts":[["2013"]]},"title":"Granular Fertiliser from Anaerobic Digestate Liquor","type":"report"},"uris":["http://www.mendeley.com/documents/?uuid=ee290713-4320-4313-bd54-a0a6d5ceab08"]}],"mendeley":{"formattedCitation":"[19]","plainTextFormattedCitation":"[19]","previouslyFormattedCitation":"[19]"},"properties":{"noteIndex":0},"schema":"https://github.com/citation-style-language/schema/raw/master/csl-citation.json"}</w:instrText>
      </w:r>
      <w:r w:rsidRPr="00544E23">
        <w:rPr>
          <w:rFonts w:cs="Times New Roman"/>
          <w:b/>
        </w:rPr>
        <w:fldChar w:fldCharType="separate"/>
      </w:r>
      <w:r w:rsidR="00D33723" w:rsidRPr="00D33723">
        <w:rPr>
          <w:rFonts w:cs="Times New Roman"/>
          <w:noProof/>
        </w:rPr>
        <w:t>[19]</w:t>
      </w:r>
      <w:r w:rsidRPr="00544E23">
        <w:rPr>
          <w:rFonts w:cs="Times New Roman"/>
          <w:b/>
        </w:rPr>
        <w:fldChar w:fldCharType="end"/>
      </w:r>
      <w:r w:rsidRPr="00544E23">
        <w:rPr>
          <w:rFonts w:cs="Times New Roman"/>
          <w:b/>
        </w:rPr>
        <w:t xml:space="preserve"> employed the adsorption technology to enhance the solid-liquid separation of the liquid fraction (i.e. liquor) of the digestate (ADFerTech). The main powder adsorbent that they added was dolomite (CaMg(CO</w:t>
      </w:r>
      <w:r w:rsidRPr="00544E23">
        <w:rPr>
          <w:rFonts w:cs="Times New Roman"/>
          <w:b/>
          <w:vertAlign w:val="subscript"/>
        </w:rPr>
        <w:t>3</w:t>
      </w:r>
      <w:r w:rsidRPr="00544E23">
        <w:rPr>
          <w:rFonts w:cs="Times New Roman"/>
          <w:b/>
        </w:rPr>
        <w:t>)</w:t>
      </w:r>
      <w:r w:rsidRPr="00544E23">
        <w:rPr>
          <w:rFonts w:cs="Times New Roman"/>
          <w:b/>
          <w:vertAlign w:val="subscript"/>
        </w:rPr>
        <w:t>2</w:t>
      </w:r>
      <w:r w:rsidRPr="00544E23">
        <w:rPr>
          <w:rFonts w:cs="Times New Roman"/>
          <w:b/>
        </w:rPr>
        <w:t xml:space="preserve">) in doses ranging from 10 to 200 g/L (mixed for 5 min at 20 </w:t>
      </w:r>
      <w:r w:rsidRPr="00544E23">
        <w:rPr>
          <w:rFonts w:ascii="Calibri" w:hAnsi="Calibri" w:cs="Calibri"/>
          <w:b/>
        </w:rPr>
        <w:t>º</w:t>
      </w:r>
      <w:r w:rsidRPr="00544E23">
        <w:rPr>
          <w:rFonts w:cs="Times New Roman"/>
          <w:b/>
        </w:rPr>
        <w:t>C), which was able to retain around 250 mg nitrogen and 300 mg phosphorus per gram of dolomite</w:t>
      </w:r>
      <w:r w:rsidRPr="00CF6DC1">
        <w:rPr>
          <w:rFonts w:cs="Times New Roman"/>
          <w:b/>
        </w:rPr>
        <w:t xml:space="preserve">. </w:t>
      </w:r>
      <w:r w:rsidR="00CF6DC1" w:rsidRPr="00CF6DC1">
        <w:rPr>
          <w:rFonts w:cs="Times New Roman"/>
          <w:b/>
        </w:rPr>
        <w:t>Biomass</w:t>
      </w:r>
      <w:r w:rsidRPr="00EF75A4">
        <w:rPr>
          <w:rFonts w:cs="Times New Roman"/>
        </w:rPr>
        <w:t xml:space="preserve"> ash</w:t>
      </w:r>
      <w:r w:rsidR="00CF6DC1">
        <w:rPr>
          <w:rFonts w:cs="Times New Roman"/>
        </w:rPr>
        <w:t xml:space="preserve">es are a </w:t>
      </w:r>
      <w:r w:rsidR="00CF6DC1" w:rsidRPr="00CF6DC1">
        <w:rPr>
          <w:rFonts w:cs="Times New Roman"/>
          <w:b/>
        </w:rPr>
        <w:t xml:space="preserve">source of magnesium </w:t>
      </w:r>
      <w:r w:rsidR="00CF6DC1">
        <w:rPr>
          <w:rFonts w:cs="Times New Roman"/>
        </w:rPr>
        <w:t>which can be used to decrease</w:t>
      </w:r>
      <w:r w:rsidR="00CF6DC1" w:rsidRPr="00EF75A4">
        <w:rPr>
          <w:rFonts w:cs="Times New Roman"/>
        </w:rPr>
        <w:t xml:space="preserve"> the availability of nutrients like nitrogen and phosphorus</w:t>
      </w:r>
      <w:r w:rsidR="00CF6DC1">
        <w:rPr>
          <w:rFonts w:cs="Times New Roman"/>
        </w:rPr>
        <w:t xml:space="preserve"> in the digestate</w:t>
      </w:r>
      <w:r w:rsidRPr="00EF75A4">
        <w:rPr>
          <w:rFonts w:cs="Times New Roman"/>
        </w:rPr>
        <w:t xml:space="preserve"> </w:t>
      </w:r>
      <w:r w:rsidR="00CF6DC1">
        <w:rPr>
          <w:rFonts w:cs="Times New Roman"/>
        </w:rPr>
        <w:t>due to</w:t>
      </w:r>
      <w:r w:rsidRPr="00EF75A4">
        <w:rPr>
          <w:rFonts w:cs="Times New Roman"/>
        </w:rPr>
        <w:t xml:space="preserve"> the formation of struvite (MgNH</w:t>
      </w:r>
      <w:r w:rsidRPr="00EF75A4">
        <w:rPr>
          <w:rFonts w:cs="Times New Roman"/>
          <w:vertAlign w:val="subscript"/>
        </w:rPr>
        <w:t>4</w:t>
      </w:r>
      <w:r w:rsidRPr="00EF75A4">
        <w:rPr>
          <w:rFonts w:cs="Times New Roman"/>
        </w:rPr>
        <w:t>PO</w:t>
      </w:r>
      <w:r w:rsidRPr="00EF75A4">
        <w:rPr>
          <w:rFonts w:cs="Times New Roman"/>
          <w:vertAlign w:val="subscript"/>
        </w:rPr>
        <w:t>4</w:t>
      </w:r>
      <w:r>
        <w:rPr>
          <w:rFonts w:cs="Times New Roman"/>
        </w:rPr>
        <w:t>*</w:t>
      </w:r>
      <w:r w:rsidRPr="00EF75A4">
        <w:rPr>
          <w:rFonts w:cs="Times New Roman"/>
        </w:rPr>
        <w:t>6H</w:t>
      </w:r>
      <w:r w:rsidRPr="00EF75A4">
        <w:rPr>
          <w:rFonts w:cs="Times New Roman"/>
          <w:vertAlign w:val="subscript"/>
        </w:rPr>
        <w:t>2</w:t>
      </w:r>
      <w:r w:rsidRPr="00EF75A4">
        <w:rPr>
          <w:rFonts w:cs="Times New Roman"/>
        </w:rPr>
        <w:t xml:space="preserve">O). </w:t>
      </w:r>
      <w:r w:rsidRPr="007A7F3A">
        <w:rPr>
          <w:rFonts w:cs="Times New Roman"/>
          <w:b/>
        </w:rPr>
        <w:t>The adsorption is faster than the precipitation and it requires less amount of soluble nutrients.</w:t>
      </w:r>
      <w:r>
        <w:rPr>
          <w:rFonts w:cs="Times New Roman"/>
        </w:rPr>
        <w:t xml:space="preserve"> </w:t>
      </w:r>
      <w:r w:rsidRPr="007A7F3A">
        <w:rPr>
          <w:rFonts w:cs="Times New Roman"/>
          <w:b/>
        </w:rPr>
        <w:t xml:space="preserve">However, these two processes can take place simultaneously in a range of concentrations of the adsorbate </w:t>
      </w:r>
      <w:r w:rsidRPr="007A7F3A">
        <w:rPr>
          <w:rFonts w:cs="Times New Roman"/>
          <w:b/>
        </w:rPr>
        <w:fldChar w:fldCharType="begin" w:fldLock="1"/>
      </w:r>
      <w:r w:rsidR="00BB33F9">
        <w:rPr>
          <w:rFonts w:cs="Times New Roman"/>
          <w:b/>
        </w:rPr>
        <w:instrText>ADDIN CSL_CITATION {"citationItems":[{"id":"ITEM-1","itemData":{"DOI":"10.1016/j.jcis.2012.06.063","ISSN":"00219797","abstract":"The sorption behavior and mechanism of phosphate on monohydrocalcite (CaCO3{dot operator}H2O: MHC) were examined using batch sorption experiments as a function of phosphate concentrations, ionic strengths, temperatures, and reaction times. The mode of PO4 sorption is divisible into three processes depending on the phosphate loading. At low phosphate concentrations, phosphate is removed by coprecipitation of phosphate during the transformation of MHC to calcite. The sorption mode at the low-to-moderate phosphate concentrations is most likely an adsorption process because the sorption isotherm at the conditions can be fitted reasonably with the Langmuir equation. The rapid sorption kinetics at the conditions is also consistent with the adsorption reaction. The adsorption of phosphate on MHC depends strongly on ionic strength, but slightly on temperature. The maximum adsorption capacities of MHC obtained from the regression of the experimental data to the Langmuir equation are higher than those reported for stable calcium carbonate (calcite or aragonite) in any conditions. At high phosphate concentrations, the amount of sorption deviates from the Langmuir isotherm, which can fit the low-to-moderate phosphate concentrations. Speciation-saturation analyses of the reacted solutions at the conditions indicated that the solution compositions which deviate from the Langmuir equation are supersaturated with respect to a certain calcium phosphate. The obtained calcium phosphate is most likely amorphous calcium phosphate (Ca3(PO4)2{dot operator}xH2O). The formation of the calcium phosphate depends strongly on ionic strength, temperature, and reaction times. The solubility of MHC is higher than calcite and aragonite because of its metastability. Therefore, the higher solubility of MHC facilitates the formation of the calcium phosphates more than with calcite and aragonite. © 2012 Elsevier Inc.","author":[{"dropping-particle":"","family":"Yagi","given":"Shintaro","non-dropping-particle":"","parse-names":false,"suffix":""},{"dropping-particle":"","family":"Fukushi","given":"Keisuke","non-dropping-particle":"","parse-names":false,"suffix":""}],"container-title":"Journal of Colloid and Interface Science","id":"ITEM-1","issue":"1","issued":{"date-parts":[["2012"]]},"page":"128-136","publisher":"Elsevier Inc.","title":"Removal of phosphate from solution by adsorption and precipitation of calcium phosphate onto monohydrocalcite","type":"article-journal","volume":"384"},"uris":["http://www.mendeley.com/documents/?uuid=553c6630-594d-42ce-aeff-c4c4e60d49c9"]}],"mendeley":{"formattedCitation":"[20]","plainTextFormattedCitation":"[20]","previouslyFormattedCitation":"[20]"},"properties":{"noteIndex":0},"schema":"https://github.com/citation-style-language/schema/raw/master/csl-citation.json"}</w:instrText>
      </w:r>
      <w:r w:rsidRPr="007A7F3A">
        <w:rPr>
          <w:rFonts w:cs="Times New Roman"/>
          <w:b/>
        </w:rPr>
        <w:fldChar w:fldCharType="separate"/>
      </w:r>
      <w:r w:rsidR="00D33723" w:rsidRPr="00D33723">
        <w:rPr>
          <w:rFonts w:cs="Times New Roman"/>
          <w:noProof/>
        </w:rPr>
        <w:t>[20]</w:t>
      </w:r>
      <w:r w:rsidRPr="007A7F3A">
        <w:rPr>
          <w:rFonts w:cs="Times New Roman"/>
          <w:b/>
        </w:rPr>
        <w:fldChar w:fldCharType="end"/>
      </w:r>
      <w:r w:rsidRPr="007A7F3A">
        <w:rPr>
          <w:rFonts w:cs="Times New Roman"/>
          <w:b/>
        </w:rPr>
        <w:t>. Similarly, the concentration of adsorbent also determines the predominant phenomenon.</w:t>
      </w:r>
      <w:r w:rsidRPr="00EF75A4">
        <w:rPr>
          <w:rFonts w:cs="Times New Roman"/>
        </w:rPr>
        <w:t xml:space="preserve"> Mor et al. </w:t>
      </w:r>
      <w:r w:rsidRPr="00EF75A4">
        <w:rPr>
          <w:rFonts w:cs="Times New Roman"/>
        </w:rPr>
        <w:fldChar w:fldCharType="begin" w:fldLock="1"/>
      </w:r>
      <w:r w:rsidR="00BB33F9">
        <w:rPr>
          <w:rFonts w:cs="Times New Roman"/>
        </w:rPr>
        <w:instrText>ADDIN CSL_CITATION {"citationItems":[{"id":"ITEM-1","itemData":{"DOI":"10.1016/j.jclepro.2016.03.088","ISSN":"09596526","abstract":"Discharge of phosphate into aquatic environment by various human activities such as agricultural runoff, animal waste, sewage, industry and detergents, leads to the deterioration of water quality. Hence, the effective removal of phosphate from wastewater is essentially required. Considering this, the efficiency of locally available agro-waste rice husk was examined in batch mode for the removal of phosphate using synthetic wastewater. Characterization of adsorbent was done using Fourier transform infrared, X-ray fluorescence and X-ray diffraction spectrophotometeric analysis, which indicates the crystalline silica nature and presence of Si-O-Si group. The effect of various parameters i.e. contact time, adsorbent dose, pH and temperature were studied. Up to 89% phosphate removal was achieved at pH 6 using 2 g/L dose in 120 min of contact time. The equilibrium adsorption data shows best fit for the Langmuir isotherm model (R2 = 0.991) and pseudo-second order kinetic model (R2 = 0.978). Thermodynamic parameters (ΔG, ΔH and ΔS) were also calculated and they indicate that adsorption process is exothermic. Scanning electron microscopy reveals the rough surface of absorbent, which may increases the adsorption capacity. Based on the current study, activated rice husk ash offers efficient and cost-effective removal of phosphate from wastewater.","author":[{"dropping-particle":"","family":"Mor","given":"Suman","non-dropping-particle":"","parse-names":false,"suffix":""},{"dropping-particle":"","family":"Chhoden","given":"Kalzang","non-dropping-particle":"","parse-names":false,"suffix":""},{"dropping-particle":"","family":"Ravindra","given":"Khaiwal","non-dropping-particle":"","parse-names":false,"suffix":""}],"container-title":"Journal of Cleaner Production","id":"ITEM-1","issued":{"date-parts":[["2016"]]},"page":"673-680","publisher":"Elsevier Ltd","title":"Application of agro-waste rice husk ash for the removal of phosphate from the wastewater","type":"article-journal","volume":"129"},"uris":["http://www.mendeley.com/documents/?uuid=a5b4bfb8-6084-40a2-b71d-42641df3eb5f"]}],"mendeley":{"formattedCitation":"[21]","plainTextFormattedCitation":"[21]","previouslyFormattedCitation":"[21]"},"properties":{"noteIndex":0},"schema":"https://github.com/citation-style-language/schema/raw/master/csl-citation.json"}</w:instrText>
      </w:r>
      <w:r w:rsidRPr="00EF75A4">
        <w:rPr>
          <w:rFonts w:cs="Times New Roman"/>
          <w:vertAlign w:val="superscript"/>
        </w:rPr>
        <w:fldChar w:fldCharType="separate"/>
      </w:r>
      <w:r w:rsidR="00D33723" w:rsidRPr="00D33723">
        <w:rPr>
          <w:rFonts w:cs="Times New Roman"/>
          <w:noProof/>
        </w:rPr>
        <w:t>[21]</w:t>
      </w:r>
      <w:r w:rsidRPr="00EF75A4">
        <w:rPr>
          <w:rFonts w:cs="Times New Roman"/>
        </w:rPr>
        <w:fldChar w:fldCharType="end"/>
      </w:r>
      <w:r w:rsidRPr="00EF75A4">
        <w:rPr>
          <w:rFonts w:cs="Times New Roman"/>
        </w:rPr>
        <w:t xml:space="preserve"> found</w:t>
      </w:r>
      <w:r>
        <w:rPr>
          <w:rFonts w:cs="Times New Roman"/>
        </w:rPr>
        <w:t xml:space="preserve"> the</w:t>
      </w:r>
      <w:r w:rsidRPr="00EF75A4">
        <w:rPr>
          <w:rFonts w:cs="Times New Roman"/>
        </w:rPr>
        <w:t xml:space="preserve"> greatest adsorption in a 10 m</w:t>
      </w:r>
      <w:r>
        <w:rPr>
          <w:rFonts w:cs="Times New Roman"/>
        </w:rPr>
        <w:t>g</w:t>
      </w:r>
      <w:r w:rsidR="00C810E8" w:rsidRPr="00C810E8">
        <w:rPr>
          <w:rFonts w:cs="Times New Roman"/>
        </w:rPr>
        <w:t xml:space="preserve"> </w:t>
      </w:r>
      <w:r w:rsidR="00C810E8">
        <w:rPr>
          <w:rFonts w:cs="Times New Roman"/>
        </w:rPr>
        <w:t>PO</w:t>
      </w:r>
      <w:r w:rsidR="00C810E8" w:rsidRPr="00D9591F">
        <w:rPr>
          <w:rFonts w:cs="Times New Roman"/>
          <w:vertAlign w:val="subscript"/>
        </w:rPr>
        <w:t>4</w:t>
      </w:r>
      <w:r w:rsidR="00C810E8" w:rsidRPr="00D9591F">
        <w:rPr>
          <w:rFonts w:cs="Times New Roman"/>
          <w:vertAlign w:val="superscript"/>
        </w:rPr>
        <w:t>3-</w:t>
      </w:r>
      <w:r>
        <w:rPr>
          <w:rFonts w:cs="Times New Roman"/>
        </w:rPr>
        <w:t>/L</w:t>
      </w:r>
      <w:r w:rsidRPr="00EF75A4">
        <w:rPr>
          <w:rFonts w:cs="Times New Roman"/>
        </w:rPr>
        <w:t xml:space="preserve"> </w:t>
      </w:r>
      <w:r>
        <w:rPr>
          <w:rFonts w:cs="Times New Roman"/>
        </w:rPr>
        <w:t>synthetic waste</w:t>
      </w:r>
      <w:r w:rsidRPr="00EF75A4">
        <w:rPr>
          <w:rFonts w:cs="Times New Roman"/>
        </w:rPr>
        <w:t>water when using 2 g activated rice husk ash per litre.</w:t>
      </w:r>
      <w:r w:rsidRPr="00D9591F">
        <w:rPr>
          <w:rFonts w:cs="Times New Roman"/>
        </w:rPr>
        <w:t xml:space="preserve"> </w:t>
      </w:r>
      <w:r w:rsidRPr="00506999">
        <w:rPr>
          <w:rFonts w:cs="Times New Roman"/>
          <w:b/>
        </w:rPr>
        <w:t>They tested higher ash doses, up to 4 g/L, but resulted in less PO</w:t>
      </w:r>
      <w:r w:rsidRPr="00506999">
        <w:rPr>
          <w:rFonts w:cs="Times New Roman"/>
          <w:b/>
          <w:vertAlign w:val="subscript"/>
        </w:rPr>
        <w:t>4</w:t>
      </w:r>
      <w:r w:rsidRPr="00506999">
        <w:rPr>
          <w:rFonts w:cs="Times New Roman"/>
          <w:b/>
          <w:vertAlign w:val="superscript"/>
        </w:rPr>
        <w:t>3-</w:t>
      </w:r>
      <w:r w:rsidRPr="00506999">
        <w:rPr>
          <w:rFonts w:cs="Times New Roman"/>
          <w:b/>
        </w:rPr>
        <w:t xml:space="preserve"> removed from the wastewater because of the aggregation of the adsorbent and the consequent decrease in the number of active sites. This fact does not agree with the results of Ma et al. </w:t>
      </w:r>
      <w:r w:rsidRPr="00506999">
        <w:rPr>
          <w:rStyle w:val="FootnoteReference"/>
          <w:rFonts w:cs="Times New Roman"/>
          <w:b/>
        </w:rPr>
        <w:fldChar w:fldCharType="begin" w:fldLock="1"/>
      </w:r>
      <w:r w:rsidR="00BB33F9">
        <w:rPr>
          <w:rFonts w:cs="Times New Roman"/>
          <w:b/>
        </w:rPr>
        <w:instrText>ADDIN CSL_CITATION {"citationItems":[{"id":"ITEM-1","itemData":{"DOI":"10.1016/j.cej.2011.05.027","ISSN":"13858947","abstract":"This paper presents a study of the adsorption of ammonium and phosphate ions from aqueous solution using a new fertilizer controlled release agent (FCRA) which is produced through graft copolymerization with wheat straw, acrylic acid (AA), acrylic amide (AM) and dimethyl diallyl ammonium chloride (DMDAAC). A series of batch experiments were conducted to examine the effects of solution pH, adsorbent dosage, the initial concentration of adsorbate and contact time. The findings indicated that the new fertilizer controlled release agent had a significant effect on the adsorption of ammonium and phosphate ions. The adsorption could reach equilibrium through 4h reaction, and had the best adsorption amount at the pH values from 4 to 8. The adsorption amount increased with the increasing initial concentration of adsorbate. The adsorption amount of NH 4+ decreased with the increasing of adsorbent dosage while the adsorption of PO 43- showed the opposite trend. Kinetic analysis showed that the adsorption of ammonium and phosphate ions on the new fertilizer controlled release agent followed the pseudo-second-order model well. Equilibrium isotherm data of adsorption of NH 4+ were well fitted to the linear Langmuir and Freundlich models, while the data of adsorption of PO 43- were well fitted to the Freundlich model. The desorption experiments also showed that the desorption of NH 4+ and PO 43- on FCRA could reach saturation at the time of 5h and 4h, respectively. And the pH had a large effect on desorption. © 2011 Elsevier B.V.","author":[{"dropping-particle":"","family":"Ma","given":"Zuohao","non-dropping-particle":"","parse-names":false,"suffix":""},{"dropping-particle":"","family":"Li","given":"Qian","non-dropping-particle":"","parse-names":false,"suffix":""},{"dropping-particle":"","family":"Yue","given":"Qinyan","non-dropping-particle":"","parse-names":false,"suffix":""},{"dropping-particle":"","family":"Gao","given":"Baoyu","non-dropping-particle":"","parse-names":false,"suffix":""},{"dropping-particle":"","family":"Li","given":"Wenhong","non-dropping-particle":"","parse-names":false,"suffix":""},{"dropping-particle":"","family":"Xu","given":"Xing","non-dropping-particle":"","parse-names":false,"suffix":""},{"dropping-particle":"","family":"Zhong","given":"Qianqian","non-dropping-particle":"","parse-names":false,"suffix":""}],"container-title":"Chemical Engineering Journal","id":"ITEM-1","issue":"3","issued":{"date-parts":[["2011"]]},"page":"1209-1217","publisher":"Elsevier B.V.","title":"Adsorption removal of ammonium and phosphate from water by fertilizer controlled release agent prepared from wheat straw","type":"article-journal","volume":"171"},"uris":["http://www.mendeley.com/documents/?uuid=5303d728-0271-4aac-a428-9fb0cc7bf493"]}],"mendeley":{"formattedCitation":"[22]","plainTextFormattedCitation":"[22]","previouslyFormattedCitation":"[22]"},"properties":{"noteIndex":0},"schema":"https://github.com/citation-style-language/schema/raw/master/csl-citation.json"}</w:instrText>
      </w:r>
      <w:r w:rsidRPr="00506999">
        <w:rPr>
          <w:rStyle w:val="FootnoteReference"/>
          <w:rFonts w:cs="Times New Roman"/>
          <w:b/>
        </w:rPr>
        <w:fldChar w:fldCharType="separate"/>
      </w:r>
      <w:r w:rsidR="00D33723" w:rsidRPr="00D33723">
        <w:rPr>
          <w:rFonts w:cs="Times New Roman"/>
          <w:noProof/>
        </w:rPr>
        <w:t>[22]</w:t>
      </w:r>
      <w:r w:rsidRPr="00506999">
        <w:rPr>
          <w:rStyle w:val="FootnoteReference"/>
          <w:rFonts w:cs="Times New Roman"/>
          <w:b/>
        </w:rPr>
        <w:fldChar w:fldCharType="end"/>
      </w:r>
      <w:r w:rsidRPr="00506999">
        <w:rPr>
          <w:rFonts w:cs="Times New Roman"/>
          <w:b/>
        </w:rPr>
        <w:t>, who tested concentration of adsorbent (prepared from wheat straw) in doses up to 6 g/L. They found that for a 25 mg</w:t>
      </w:r>
      <w:r w:rsidR="00C810E8" w:rsidRPr="00C810E8">
        <w:rPr>
          <w:rFonts w:cs="Times New Roman"/>
          <w:b/>
        </w:rPr>
        <w:t xml:space="preserve"> </w:t>
      </w:r>
      <w:r w:rsidR="00C810E8" w:rsidRPr="00506999">
        <w:rPr>
          <w:rFonts w:cs="Times New Roman"/>
          <w:b/>
        </w:rPr>
        <w:t>PO</w:t>
      </w:r>
      <w:r w:rsidR="00C810E8" w:rsidRPr="00506999">
        <w:rPr>
          <w:rFonts w:cs="Times New Roman"/>
          <w:b/>
          <w:vertAlign w:val="subscript"/>
        </w:rPr>
        <w:t>4</w:t>
      </w:r>
      <w:r w:rsidR="00C810E8" w:rsidRPr="00506999">
        <w:rPr>
          <w:rFonts w:cs="Times New Roman"/>
          <w:b/>
          <w:vertAlign w:val="superscript"/>
        </w:rPr>
        <w:t>3-</w:t>
      </w:r>
      <w:r w:rsidRPr="00506999">
        <w:rPr>
          <w:rFonts w:cs="Times New Roman"/>
          <w:b/>
        </w:rPr>
        <w:t>/L solution</w:t>
      </w:r>
      <w:r w:rsidR="007E7934">
        <w:rPr>
          <w:rFonts w:cs="Times New Roman"/>
          <w:b/>
        </w:rPr>
        <w:t>,</w:t>
      </w:r>
      <w:r w:rsidRPr="00506999">
        <w:rPr>
          <w:rFonts w:cs="Times New Roman"/>
          <w:b/>
        </w:rPr>
        <w:t xml:space="preserve"> the greatest adsorption was obtained when using the highest dose of adsorbent. However, the adsorption in a 50 mg</w:t>
      </w:r>
      <w:r w:rsidR="00C810E8" w:rsidRPr="00C810E8">
        <w:rPr>
          <w:rFonts w:cs="Times New Roman"/>
          <w:b/>
        </w:rPr>
        <w:t xml:space="preserve"> </w:t>
      </w:r>
      <w:r w:rsidR="00C810E8" w:rsidRPr="00506999">
        <w:rPr>
          <w:rFonts w:cs="Times New Roman"/>
          <w:b/>
        </w:rPr>
        <w:t>NH</w:t>
      </w:r>
      <w:r w:rsidR="00C810E8" w:rsidRPr="00506999">
        <w:rPr>
          <w:rFonts w:cs="Times New Roman"/>
          <w:b/>
          <w:vertAlign w:val="subscript"/>
        </w:rPr>
        <w:t>4</w:t>
      </w:r>
      <w:r w:rsidR="00C810E8" w:rsidRPr="00506999">
        <w:rPr>
          <w:rFonts w:cs="Times New Roman"/>
          <w:b/>
          <w:vertAlign w:val="superscript"/>
        </w:rPr>
        <w:t>+</w:t>
      </w:r>
      <w:r w:rsidRPr="00506999">
        <w:rPr>
          <w:rFonts w:cs="Times New Roman"/>
          <w:b/>
        </w:rPr>
        <w:t>/L solution followed the opposite trend.</w:t>
      </w:r>
    </w:p>
    <w:p w14:paraId="509DAF9F" w14:textId="764CCC18" w:rsidR="008015DD" w:rsidRPr="00EF75A4" w:rsidRDefault="00040C14" w:rsidP="00077E0E">
      <w:pPr>
        <w:keepNext/>
        <w:spacing w:line="360" w:lineRule="auto"/>
        <w:rPr>
          <w:rFonts w:cs="Times New Roman"/>
        </w:rPr>
      </w:pPr>
      <w:r>
        <w:rPr>
          <w:rFonts w:cs="Times New Roman"/>
        </w:rPr>
        <w:t xml:space="preserve">In the soil, the adsorption phenomena could be coupled with the microbial growth to </w:t>
      </w:r>
      <w:r w:rsidR="00B62C32">
        <w:rPr>
          <w:rFonts w:cs="Times New Roman"/>
        </w:rPr>
        <w:t>immobiliz</w:t>
      </w:r>
      <w:r w:rsidR="00A4055F">
        <w:rPr>
          <w:rFonts w:cs="Times New Roman"/>
        </w:rPr>
        <w:t>e the carbon and the nutrients</w:t>
      </w:r>
      <w:r w:rsidR="00B430A5">
        <w:rPr>
          <w:rFonts w:cs="Times New Roman"/>
        </w:rPr>
        <w:t xml:space="preserve"> which further </w:t>
      </w:r>
      <w:r w:rsidR="00444822">
        <w:rPr>
          <w:rFonts w:cs="Times New Roman"/>
        </w:rPr>
        <w:t xml:space="preserve">reduce the leaching and </w:t>
      </w:r>
      <w:r w:rsidR="00B430A5">
        <w:rPr>
          <w:rFonts w:cs="Times New Roman"/>
        </w:rPr>
        <w:t>enhance</w:t>
      </w:r>
      <w:r w:rsidR="00444822">
        <w:rPr>
          <w:rFonts w:cs="Times New Roman"/>
        </w:rPr>
        <w:t xml:space="preserve"> the chemical stability</w:t>
      </w:r>
      <w:r>
        <w:rPr>
          <w:rFonts w:cs="Times New Roman"/>
        </w:rPr>
        <w:t>.</w:t>
      </w:r>
      <w:r w:rsidR="008015DD">
        <w:rPr>
          <w:rFonts w:cs="Times New Roman"/>
        </w:rPr>
        <w:t xml:space="preserve"> </w:t>
      </w:r>
      <w:r w:rsidR="008015DD" w:rsidRPr="00506999">
        <w:rPr>
          <w:rFonts w:cs="Times New Roman"/>
          <w:b/>
        </w:rPr>
        <w:t xml:space="preserve">Insam et al. </w:t>
      </w:r>
      <w:r w:rsidR="008015DD" w:rsidRPr="00506999">
        <w:rPr>
          <w:rFonts w:cs="Times New Roman"/>
          <w:b/>
        </w:rPr>
        <w:fldChar w:fldCharType="begin" w:fldLock="1"/>
      </w:r>
      <w:r w:rsidR="00BB33F9">
        <w:rPr>
          <w:rFonts w:cs="Times New Roman"/>
          <w:b/>
        </w:rPr>
        <w:instrText>ADDIN CSL_CITATION {"citationItems":[{"id":"ITEM-1","itemData":{"ISSN":"00065471","abstract":"Abstract The aim of this study was to investigate if the use of wood ash and sludge, or a combination of them, could change soil microbiological properties and plant growth. A second aim was to determine if high doses of these amendments could create problems in terms of nitrate leaching, and if such problems could be offset by adding a clay mineral, vermiculite. The effect of sludges and ash on soil microbial bulk parameters was found to be small, while the composition of the bacterial community was considerably changed. We were able to demonstrate that an application rate of sludge corresponding to 180 kg N ha-1 was problematic in terms of nitrate leaching and could not be offset by amending with ash or vermiculite. Germination of cress was retarded by sludge and ash addition, however, this effect was partly offset by the addition of vermiculite.","author":[{"dropping-particle":"","family":"Insam","given":"H.","non-dropping-particle":"","parse-names":false,"suffix":""},{"dropping-particle":"","family":"Franke-Whittle","given":"I. H.","non-dropping-particle":"","parse-names":false,"suffix":""},{"dropping-particle":"","family":"Knapp","given":"B. A.","non-dropping-particle":"","parse-names":false,"suffix":""},{"dropping-particle":"","family":"Plank","given":"R.","non-dropping-particle":"","parse-names":false,"suffix":""}],"container-title":"Die Bodenkultur","id":"ITEM-1","issue":"2","issued":{"date-parts":[["2009"]]},"page":"39-51","title":"Use of wood ash and anaerobic sludge for grassland fertilization: Effects on plants and microbes","type":"article-journal","volume":"60"},"uris":["http://www.mendeley.com/documents/?uuid=143b07bb-c843-41c6-8d77-3a9db858cc9f"]}],"mendeley":{"formattedCitation":"[23]","plainTextFormattedCitation":"[23]","previouslyFormattedCitation":"[23]"},"properties":{"noteIndex":0},"schema":"https://github.com/citation-style-language/schema/raw/master/csl-citation.json"}</w:instrText>
      </w:r>
      <w:r w:rsidR="008015DD" w:rsidRPr="00506999">
        <w:rPr>
          <w:rFonts w:cs="Times New Roman"/>
          <w:b/>
        </w:rPr>
        <w:fldChar w:fldCharType="separate"/>
      </w:r>
      <w:r w:rsidR="00D33723" w:rsidRPr="00D33723">
        <w:rPr>
          <w:rFonts w:cs="Times New Roman"/>
          <w:noProof/>
        </w:rPr>
        <w:t>[23]</w:t>
      </w:r>
      <w:r w:rsidR="008015DD" w:rsidRPr="00506999">
        <w:rPr>
          <w:rFonts w:cs="Times New Roman"/>
          <w:b/>
        </w:rPr>
        <w:fldChar w:fldCharType="end"/>
      </w:r>
      <w:r w:rsidR="008015DD" w:rsidRPr="00506999">
        <w:rPr>
          <w:rFonts w:cs="Times New Roman"/>
          <w:b/>
        </w:rPr>
        <w:t xml:space="preserve"> reported that the wood ash tested in three different rates (0, 8.2, and 24.7 t/ha), together with vermiculite (24.6 t/ha), did not reduce the nitrate leaching resulting from the application of 96 t/ha thermophilic digestate (of manure, apple residues, and rice husk) during the fertilization of a 350 kg/ha mixture of seeds (85% grass and 15% legume)</w:t>
      </w:r>
      <w:r w:rsidR="008015DD">
        <w:rPr>
          <w:rFonts w:cs="Times New Roman"/>
        </w:rPr>
        <w:t>.</w:t>
      </w:r>
      <w:r w:rsidR="005F7DF8">
        <w:rPr>
          <w:rFonts w:cs="Times New Roman"/>
        </w:rPr>
        <w:t xml:space="preserve"> </w:t>
      </w:r>
      <w:r>
        <w:rPr>
          <w:rFonts w:cs="Times New Roman"/>
        </w:rPr>
        <w:t>T</w:t>
      </w:r>
      <w:r w:rsidR="008C15A2">
        <w:rPr>
          <w:rFonts w:cs="Times New Roman"/>
        </w:rPr>
        <w:t>he characteriz</w:t>
      </w:r>
      <w:r w:rsidRPr="00EF75A4">
        <w:rPr>
          <w:rFonts w:cs="Times New Roman"/>
        </w:rPr>
        <w:t>ation of the water</w:t>
      </w:r>
      <w:r>
        <w:rPr>
          <w:rFonts w:cs="Times New Roman"/>
        </w:rPr>
        <w:t>-</w:t>
      </w:r>
      <w:r w:rsidRPr="00EF75A4">
        <w:rPr>
          <w:rFonts w:cs="Times New Roman"/>
        </w:rPr>
        <w:t>soluble (WS) extract of the blend</w:t>
      </w:r>
      <w:r w:rsidR="008314B1">
        <w:rPr>
          <w:rFonts w:cs="Times New Roman"/>
        </w:rPr>
        <w:t>s</w:t>
      </w:r>
      <w:r w:rsidR="00B71614">
        <w:rPr>
          <w:rFonts w:cs="Times New Roman"/>
        </w:rPr>
        <w:t xml:space="preserve"> digestate</w:t>
      </w:r>
      <w:r w:rsidR="009B59AA">
        <w:rPr>
          <w:rFonts w:cs="Times New Roman"/>
        </w:rPr>
        <w:t>s</w:t>
      </w:r>
      <w:r w:rsidR="00B71614">
        <w:rPr>
          <w:rFonts w:cs="Times New Roman"/>
        </w:rPr>
        <w:t xml:space="preserve"> and ash</w:t>
      </w:r>
      <w:r w:rsidR="009B59AA">
        <w:rPr>
          <w:rFonts w:cs="Times New Roman"/>
        </w:rPr>
        <w:t>es</w:t>
      </w:r>
      <w:r w:rsidRPr="00EF75A4">
        <w:rPr>
          <w:rFonts w:cs="Times New Roman"/>
        </w:rPr>
        <w:t xml:space="preserve"> before land application</w:t>
      </w:r>
      <w:r>
        <w:rPr>
          <w:rFonts w:cs="Times New Roman"/>
        </w:rPr>
        <w:t xml:space="preserve"> (</w:t>
      </w:r>
      <w:r w:rsidRPr="00506999">
        <w:rPr>
          <w:rFonts w:cs="Times New Roman"/>
          <w:b/>
        </w:rPr>
        <w:t>i.e. without d</w:t>
      </w:r>
      <w:r w:rsidR="00B71614">
        <w:rPr>
          <w:rFonts w:cs="Times New Roman"/>
          <w:b/>
        </w:rPr>
        <w:t>ilution due to elements of</w:t>
      </w:r>
      <w:r w:rsidRPr="00506999">
        <w:rPr>
          <w:rFonts w:cs="Times New Roman"/>
          <w:b/>
        </w:rPr>
        <w:t xml:space="preserve"> soil</w:t>
      </w:r>
      <w:r>
        <w:rPr>
          <w:rFonts w:cs="Times New Roman"/>
        </w:rPr>
        <w:t>)</w:t>
      </w:r>
      <w:r w:rsidR="00FB33C5">
        <w:rPr>
          <w:rFonts w:cs="Times New Roman"/>
        </w:rPr>
        <w:t xml:space="preserve"> would</w:t>
      </w:r>
      <w:r w:rsidRPr="00EF75A4">
        <w:rPr>
          <w:rFonts w:cs="Times New Roman"/>
        </w:rPr>
        <w:t xml:space="preserve"> represents a more conservative scenario </w:t>
      </w:r>
      <w:r>
        <w:rPr>
          <w:rFonts w:cs="Times New Roman"/>
        </w:rPr>
        <w:t>to</w:t>
      </w:r>
      <w:r w:rsidRPr="00EF75A4">
        <w:rPr>
          <w:rFonts w:cs="Times New Roman"/>
        </w:rPr>
        <w:t xml:space="preserve"> assess the readily available nutrients, since mor</w:t>
      </w:r>
      <w:r w:rsidR="008C15A2">
        <w:rPr>
          <w:rFonts w:cs="Times New Roman"/>
        </w:rPr>
        <w:t>e leaching and volatiliz</w:t>
      </w:r>
      <w:r w:rsidRPr="00EF75A4">
        <w:rPr>
          <w:rFonts w:cs="Times New Roman"/>
        </w:rPr>
        <w:t>ation are expected due to</w:t>
      </w:r>
      <w:r w:rsidR="005F7DF8">
        <w:rPr>
          <w:rFonts w:cs="Times New Roman"/>
        </w:rPr>
        <w:t xml:space="preserve"> the </w:t>
      </w:r>
      <w:r w:rsidRPr="00EF75A4">
        <w:rPr>
          <w:rFonts w:cs="Times New Roman"/>
        </w:rPr>
        <w:t>higher concentration of</w:t>
      </w:r>
      <w:r w:rsidR="005F7DF8">
        <w:rPr>
          <w:rFonts w:cs="Times New Roman"/>
        </w:rPr>
        <w:t xml:space="preserve"> carbon and</w:t>
      </w:r>
      <w:r w:rsidRPr="00EF75A4">
        <w:rPr>
          <w:rFonts w:cs="Times New Roman"/>
        </w:rPr>
        <w:t xml:space="preserve"> nutrients</w:t>
      </w:r>
      <w:r w:rsidR="005F7DF8">
        <w:rPr>
          <w:rFonts w:cs="Times New Roman"/>
        </w:rPr>
        <w:t xml:space="preserve"> </w:t>
      </w:r>
      <w:r w:rsidR="00B71614">
        <w:rPr>
          <w:rFonts w:cs="Times New Roman"/>
          <w:b/>
        </w:rPr>
        <w:t>compared to</w:t>
      </w:r>
      <w:r w:rsidR="00B71614" w:rsidRPr="00B71614">
        <w:rPr>
          <w:rFonts w:cs="Times New Roman"/>
          <w:b/>
        </w:rPr>
        <w:t xml:space="preserve"> amended </w:t>
      </w:r>
      <w:r w:rsidR="005F7DF8" w:rsidRPr="00B71614">
        <w:rPr>
          <w:rFonts w:cs="Times New Roman"/>
          <w:b/>
        </w:rPr>
        <w:t>soil</w:t>
      </w:r>
      <w:r w:rsidR="00FB33C5">
        <w:rPr>
          <w:rFonts w:cs="Times New Roman"/>
        </w:rPr>
        <w:t xml:space="preserve">. Furthermore, </w:t>
      </w:r>
      <w:r w:rsidR="008C15A2">
        <w:rPr>
          <w:rFonts w:cs="Times New Roman"/>
        </w:rPr>
        <w:t>the characteriz</w:t>
      </w:r>
      <w:r w:rsidR="00FB33C5">
        <w:rPr>
          <w:rFonts w:cs="Times New Roman"/>
        </w:rPr>
        <w:t>ation of the blend,</w:t>
      </w:r>
      <w:r w:rsidR="005F7DF8">
        <w:rPr>
          <w:rFonts w:cs="Times New Roman"/>
        </w:rPr>
        <w:t xml:space="preserve"> is less subjective to</w:t>
      </w:r>
      <w:r w:rsidR="00FB33C5">
        <w:rPr>
          <w:rFonts w:cs="Times New Roman"/>
        </w:rPr>
        <w:t xml:space="preserve"> decrease the availability of the elements due to microbial</w:t>
      </w:r>
      <w:r w:rsidR="005F7DF8">
        <w:rPr>
          <w:rFonts w:cs="Times New Roman"/>
        </w:rPr>
        <w:t xml:space="preserve"> assimilarion</w:t>
      </w:r>
      <w:r w:rsidR="00B430A5">
        <w:rPr>
          <w:rFonts w:cs="Times New Roman"/>
        </w:rPr>
        <w:t>.</w:t>
      </w:r>
      <w:r w:rsidR="00B430A5" w:rsidRPr="00B430A5">
        <w:rPr>
          <w:rFonts w:cs="Times New Roman"/>
          <w:b/>
        </w:rPr>
        <w:t xml:space="preserve"> </w:t>
      </w:r>
      <w:r w:rsidR="00B430A5" w:rsidRPr="00261ED1">
        <w:rPr>
          <w:rFonts w:cs="Times New Roman"/>
          <w:b/>
        </w:rPr>
        <w:t xml:space="preserve">The assessment of the availability of carbon and nutrients in the blend could provide with key information </w:t>
      </w:r>
      <w:r w:rsidR="00FB33C5">
        <w:rPr>
          <w:rFonts w:cs="Times New Roman"/>
          <w:b/>
        </w:rPr>
        <w:t>to optimize</w:t>
      </w:r>
      <w:r w:rsidR="00B430A5" w:rsidRPr="00261ED1">
        <w:rPr>
          <w:rFonts w:cs="Times New Roman"/>
          <w:b/>
        </w:rPr>
        <w:t xml:space="preserve"> the proc</w:t>
      </w:r>
      <w:r w:rsidR="00FB33C5">
        <w:rPr>
          <w:rFonts w:cs="Times New Roman"/>
          <w:b/>
        </w:rPr>
        <w:t>essing towards minimiz</w:t>
      </w:r>
      <w:r w:rsidR="00B430A5" w:rsidRPr="00261ED1">
        <w:rPr>
          <w:rFonts w:cs="Times New Roman"/>
          <w:b/>
        </w:rPr>
        <w:t xml:space="preserve">ation of resources and better properties of the waste-derived fertilizer. The most common approach in the adsorption studies is to focus on the removal of adsorbate from the WS phase rather than monitoring the change of composition of the adsorbent </w:t>
      </w:r>
      <w:r w:rsidR="00B430A5" w:rsidRPr="00261ED1">
        <w:rPr>
          <w:rFonts w:cs="Times New Roman"/>
          <w:b/>
        </w:rPr>
        <w:fldChar w:fldCharType="begin" w:fldLock="1"/>
      </w:r>
      <w:r w:rsidR="00BB33F9">
        <w:rPr>
          <w:rFonts w:cs="Times New Roman"/>
          <w:b/>
        </w:rPr>
        <w:instrText>ADDIN CSL_CITATION {"citationItems":[{"id":"ITEM-1","itemData":{"DOI":"10.1016/j.jcis.2012.06.063","ISSN":"00219797","abstract":"The sorption behavior and mechanism of phosphate on monohydrocalcite (CaCO3{dot operator}H2O: MHC) were examined using batch sorption experiments as a function of phosphate concentrations, ionic strengths, temperatures, and reaction times. The mode of PO4 sorption is divisible into three processes depending on the phosphate loading. At low phosphate concentrations, phosphate is removed by coprecipitation of phosphate during the transformation of MHC to calcite. The sorption mode at the low-to-moderate phosphate concentrations is most likely an adsorption process because the sorption isotherm at the conditions can be fitted reasonably with the Langmuir equation. The rapid sorption kinetics at the conditions is also consistent with the adsorption reaction. The adsorption of phosphate on MHC depends strongly on ionic strength, but slightly on temperature. The maximum adsorption capacities of MHC obtained from the regression of the experimental data to the Langmuir equation are higher than those reported for stable calcium carbonate (calcite or aragonite) in any conditions. At high phosphate concentrations, the amount of sorption deviates from the Langmuir isotherm, which can fit the low-to-moderate phosphate concentrations. Speciation-saturation analyses of the reacted solutions at the conditions indicated that the solution compositions which deviate from the Langmuir equation are supersaturated with respect to a certain calcium phosphate. The obtained calcium phosphate is most likely amorphous calcium phosphate (Ca3(PO4)2{dot operator}xH2O). The formation of the calcium phosphate depends strongly on ionic strength, temperature, and reaction times. The solubility of MHC is higher than calcite and aragonite because of its metastability. Therefore, the higher solubility of MHC facilitates the formation of the calcium phosphates more than with calcite and aragonite. © 2012 Elsevier Inc.","author":[{"dropping-particle":"","family":"Yagi","given":"Shintaro","non-dropping-particle":"","parse-names":false,"suffix":""},{"dropping-particle":"","family":"Fukushi","given":"Keisuke","non-dropping-particle":"","parse-names":false,"suffix":""}],"container-title":"Journal of Colloid and Interface Science","id":"ITEM-1","issue":"1","issued":{"date-parts":[["2012"]]},"page":"128-136","publisher":"Elsevier Inc.","title":"Removal of phosphate from solution by adsorption and precipitation of calcium phosphate onto monohydrocalcite","type":"article-journal","volume":"384"},"uris":["http://www.mendeley.com/documents/?uuid=553c6630-594d-42ce-aeff-c4c4e60d49c9"]},{"id":"ITEM-2","itemData":{"DOI":"10.1016/j.jclepro.2016.03.088","ISSN":"09596526","abstract":"Discharge of phosphate into aquatic environment by various human activities such as agricultural runoff, animal waste, sewage, industry and detergents, leads to the deterioration of water quality. Hence, the effective removal of phosphate from wastewater is essentially required. Considering this, the efficiency of locally available agro-waste rice husk was examined in batch mode for the removal of phosphate using synthetic wastewater. Characterization of adsorbent was done using Fourier transform infrared, X-ray fluorescence and X-ray diffraction spectrophotometeric analysis, which indicates the crystalline silica nature and presence of Si-O-Si group. The effect of various parameters i.e. contact time, adsorbent dose, pH and temperature were studied. Up to 89% phosphate removal was achieved at pH 6 using 2 g/L dose in 120 min of contact time. The equilibrium adsorption data shows best fit for the Langmuir isotherm model (R2 = 0.991) and pseudo-second order kinetic model (R2 = 0.978). Thermodynamic parameters (ΔG, ΔH and ΔS) were also calculated and they indicate that adsorption process is exothermic. Scanning electron microscopy reveals the rough surface of absorbent, which may increases the adsorption capacity. Based on the current study, activated rice husk ash offers efficient and cost-effective removal of phosphate from wastewater.","author":[{"dropping-particle":"","family":"Mor","given":"Suman","non-dropping-particle":"","parse-names":false,"suffix":""},{"dropping-particle":"","family":"Chhoden","given":"Kalzang","non-dropping-particle":"","parse-names":false,"suffix":""},{"dropping-particle":"","family":"Ravindra","given":"Khaiwal","non-dropping-particle":"","parse-names":false,"suffix":""}],"container-title":"Journal of Cleaner Production","id":"ITEM-2","issued":{"date-parts":[["2016"]]},"page":"673-680","publisher":"Elsevier Ltd","title":"Application of agro-waste rice husk ash for the removal of phosphate from the wastewater","type":"article-journal","volume":"129"},"uris":["http://www.mendeley.com/documents/?uuid=a5b4bfb8-6084-40a2-b71d-42641df3eb5f"]},{"id":"ITEM-3","itemData":{"DOI":"10.1016/j.cej.2011.05.027","ISSN":"13858947","abstract":"This paper presents a study of the adsorption of ammonium and phosphate ions from aqueous solution using a new fertilizer controlled release agent (FCRA) which is produced through graft copolymerization with wheat straw, acrylic acid (AA), acrylic amide (AM) and dimethyl diallyl ammonium chloride (DMDAAC). A series of batch experiments were conducted to examine the effects of solution pH, adsorbent dosage, the initial concentration of adsorbate and contact time. The findings indicated that the new fertilizer controlled release agent had a significant effect on the adsorption of ammonium and phosphate ions. The adsorption could reach equilibrium through 4h reaction, and had the best adsorption amount at the pH values from 4 to 8. The adsorption amount increased with the increasing initial concentration of adsorbate. The adsorption amount of NH 4+ decreased with the increasing of adsorbent dosage while the adsorption of PO 43- showed the opposite trend. Kinetic analysis showed that the adsorption of ammonium and phosphate ions on the new fertilizer controlled release agent followed the pseudo-second-order model well. Equilibrium isotherm data of adsorption of NH 4+ were well fitted to the linear Langmuir and Freundlich models, while the data of adsorption of PO 43- were well fitted to the Freundlich model. The desorption experiments also showed that the desorption of NH 4+ and PO 43- on FCRA could reach saturation at the time of 5h and 4h, respectively. And the pH had a large effect on desorption. © 2011 Elsevier B.V.","author":[{"dropping-particle":"","family":"Ma","given":"Zuohao","non-dropping-particle":"","parse-names":false,"suffix":""},{"dropping-particle":"","family":"Li","given":"Qian","non-dropping-particle":"","parse-names":false,"suffix":""},{"dropping-particle":"","family":"Yue","given":"Qinyan","non-dropping-particle":"","parse-names":false,"suffix":""},{"dropping-particle":"","family":"Gao","given":"Baoyu","non-dropping-particle":"","parse-names":false,"suffix":""},{"dropping-particle":"","family":"Li","given":"Wenhong","non-dropping-particle":"","parse-names":false,"suffix":""},{"dropping-particle":"","family":"Xu","given":"Xing","non-dropping-particle":"","parse-names":false,"suffix":""},{"dropping-particle":"","family":"Zhong","given":"Qianqian","non-dropping-particle":"","parse-names":false,"suffix":""}],"container-title":"Chemical Engineering Journal","id":"ITEM-3","issue":"3","issued":{"date-parts":[["2011"]]},"page":"1209-1217","publisher":"Elsevier B.V.","title":"Adsorption removal of ammonium and phosphate from water by fertilizer controlled release agent prepared from wheat straw","type":"article-journal","volume":"171"},"uris":["http://www.mendeley.com/documents/?uuid=5303d728-0271-4aac-a428-9fb0cc7bf493"]}],"mendeley":{"formattedCitation":"[20–22]","plainTextFormattedCitation":"[20–22]","previouslyFormattedCitation":"[20–22]"},"properties":{"noteIndex":0},"schema":"https://github.com/citation-style-language/schema/raw/master/csl-citation.json"}</w:instrText>
      </w:r>
      <w:r w:rsidR="00B430A5" w:rsidRPr="00261ED1">
        <w:rPr>
          <w:rFonts w:cs="Times New Roman"/>
          <w:b/>
        </w:rPr>
        <w:fldChar w:fldCharType="separate"/>
      </w:r>
      <w:r w:rsidR="00D33723" w:rsidRPr="00D33723">
        <w:rPr>
          <w:rFonts w:cs="Times New Roman"/>
          <w:noProof/>
        </w:rPr>
        <w:t>[20–22]</w:t>
      </w:r>
      <w:r w:rsidR="00B430A5" w:rsidRPr="00261ED1">
        <w:rPr>
          <w:rFonts w:cs="Times New Roman"/>
          <w:b/>
        </w:rPr>
        <w:fldChar w:fldCharType="end"/>
      </w:r>
    </w:p>
    <w:p w14:paraId="4C14885A" w14:textId="5B1C672F" w:rsidR="009C1042" w:rsidRDefault="00685CEC" w:rsidP="004737A7">
      <w:pPr>
        <w:keepNext/>
        <w:spacing w:line="360" w:lineRule="auto"/>
        <w:rPr>
          <w:rFonts w:cs="Times New Roman"/>
        </w:rPr>
      </w:pPr>
      <w:r>
        <w:rPr>
          <w:rFonts w:cs="Times New Roman"/>
        </w:rPr>
        <w:t>D</w:t>
      </w:r>
      <w:r w:rsidRPr="00EF75A4">
        <w:rPr>
          <w:rFonts w:cs="Times New Roman"/>
        </w:rPr>
        <w:t>ose</w:t>
      </w:r>
      <w:r>
        <w:rPr>
          <w:rFonts w:cs="Times New Roman"/>
        </w:rPr>
        <w:t>s</w:t>
      </w:r>
      <w:r w:rsidRPr="00EF75A4">
        <w:rPr>
          <w:rFonts w:cs="Times New Roman"/>
        </w:rPr>
        <w:t xml:space="preserve"> of ash </w:t>
      </w:r>
      <w:r>
        <w:rPr>
          <w:rFonts w:cs="Times New Roman"/>
        </w:rPr>
        <w:t>added to organic waste</w:t>
      </w:r>
      <w:r w:rsidRPr="00EF75A4">
        <w:rPr>
          <w:rFonts w:cs="Times New Roman"/>
        </w:rPr>
        <w:t xml:space="preserve"> resulting </w:t>
      </w:r>
      <w:r>
        <w:rPr>
          <w:rFonts w:cs="Times New Roman"/>
        </w:rPr>
        <w:t>in a pH beyond 13</w:t>
      </w:r>
      <w:r w:rsidRPr="00EF75A4">
        <w:rPr>
          <w:rFonts w:cs="Times New Roman"/>
        </w:rPr>
        <w:t xml:space="preserve"> </w:t>
      </w:r>
      <w:r>
        <w:rPr>
          <w:rFonts w:cs="Times New Roman"/>
        </w:rPr>
        <w:t>lead to</w:t>
      </w:r>
      <w:r w:rsidRPr="00EF75A4">
        <w:rPr>
          <w:rFonts w:cs="Times New Roman"/>
        </w:rPr>
        <w:t xml:space="preserve"> chemical hydrolysis </w:t>
      </w:r>
      <w:r w:rsidRPr="00EF75A4">
        <w:rPr>
          <w:rFonts w:cs="Times New Roman"/>
        </w:rPr>
        <w:fldChar w:fldCharType="begin" w:fldLock="1"/>
      </w:r>
      <w:r w:rsidR="00BB33F9">
        <w:rPr>
          <w:rFonts w:cs="Times New Roman"/>
        </w:rPr>
        <w:instrText>ADDIN CSL_CITATION {"citationItems":[{"id":"ITEM-1","itemData":{"DOI":"10.1016/j.watres.2016.03.007","ISSN":"18792448","abstract":"In this study, we investigated the prevention of enzymatic urea hydrolysis in fresh urine by increasing the pH with calcium hydroxide (Ca(OH) 2 ) powder. The amount of Ca(OH) 2 dissolving in fresh urine depends significantly on the composition of the urine. The different urine compositions used in our simulations showed that between 4.3 and 5.8 g Ca(OH) 2 dissolved in 1 L of urine at 25 °C. At this temperature, the pH at saturation is 12.5 and is far above the pH of 11, which we identified as the upper limit for enzymatic urea hydrolysis. However, temperature has a strong effect on the saturation pH, with higher values being achieved at lower temperatures. Based on our results, we recommend a dosage of 10 g Ca(OH) 2 L -1 of fresh urine to ensure solid Ca(OH) 2 always remains in the urine reactor which ensures sufficiently high pH values. Besides providing sufficient Ca(OH) 2 , the temperature has to be kept in a certain range to prevent chemical urea hydrolysis. At temperatures below 14 °C, the saturation pH is higher than 13, which favors chemical urea hydrolysis. We chose a precautionary upper temperature of 40 °C because the rate of chemical urea hydrolysis increases at higher temperatures but this should be confirmed with kinetic studies. By considering the boundaries for pH and temperature developed in this study, urine can be stabilized effectively with Ca(OH) 2 thereby simplifying later treatment processes or making direct use easier.","author":[{"dropping-particle":"","family":"Randall","given":"Dyllon G.","non-dropping-particle":"","parse-names":false,"suffix":""},{"dropping-particle":"","family":"Krähenbühl","given":"Manuel","non-dropping-particle":"","parse-names":false,"suffix":""},{"dropping-particle":"","family":"Köpping","given":"Isabell","non-dropping-particle":"","parse-names":false,"suffix":""},{"dropping-particle":"","family":"Larsen","given":"Tove A.","non-dropping-particle":"","parse-names":false,"suffix":""},{"dropping-particle":"","family":"Udert","given":"Kai M.","non-dropping-particle":"","parse-names":false,"suffix":""}],"container-title":"Water Research","id":"ITEM-1","issued":{"date-parts":[["2016"]]},"page":"361-369","title":"A novel approach for stabilizing fresh urine by calcium hydroxide addition","type":"article-journal","volume":"95"},"uris":["http://www.mendeley.com/documents/?uuid=60d4a13d-83a3-43a7-9094-d63d20eb0dc9"]}],"mendeley":{"formattedCitation":"[24]","plainTextFormattedCitation":"[24]","previouslyFormattedCitation":"[24]"},"properties":{"noteIndex":0},"schema":"https://github.com/citation-style-language/schema/raw/master/csl-citation.json"}</w:instrText>
      </w:r>
      <w:r w:rsidRPr="00EF75A4">
        <w:rPr>
          <w:rFonts w:cs="Times New Roman"/>
        </w:rPr>
        <w:fldChar w:fldCharType="separate"/>
      </w:r>
      <w:r w:rsidR="00D33723" w:rsidRPr="00D33723">
        <w:rPr>
          <w:rFonts w:cs="Times New Roman"/>
          <w:noProof/>
        </w:rPr>
        <w:t>[24]</w:t>
      </w:r>
      <w:r w:rsidRPr="00EF75A4">
        <w:rPr>
          <w:rFonts w:cs="Times New Roman"/>
        </w:rPr>
        <w:fldChar w:fldCharType="end"/>
      </w:r>
      <w:r>
        <w:rPr>
          <w:rFonts w:cs="Times New Roman"/>
        </w:rPr>
        <w:t xml:space="preserve">, </w:t>
      </w:r>
      <w:r>
        <w:rPr>
          <w:rFonts w:cs="Times New Roman"/>
          <w:b/>
        </w:rPr>
        <w:t>which has a negative impact on the chemical stability to the liquid blend</w:t>
      </w:r>
      <w:r w:rsidRPr="000376E7">
        <w:rPr>
          <w:rFonts w:cs="Times New Roman"/>
          <w:b/>
        </w:rPr>
        <w:t>.</w:t>
      </w:r>
      <w:r w:rsidR="00BC3107" w:rsidRPr="000376E7">
        <w:rPr>
          <w:rFonts w:cs="Times New Roman"/>
          <w:b/>
        </w:rPr>
        <w:t xml:space="preserve"> T</w:t>
      </w:r>
      <w:r w:rsidR="009F50D0" w:rsidRPr="000376E7">
        <w:rPr>
          <w:rFonts w:cs="Times New Roman"/>
          <w:b/>
        </w:rPr>
        <w:t>his</w:t>
      </w:r>
      <w:r w:rsidR="00BC3107" w:rsidRPr="000376E7">
        <w:rPr>
          <w:rFonts w:cs="Times New Roman"/>
          <w:b/>
        </w:rPr>
        <w:t xml:space="preserve"> </w:t>
      </w:r>
      <w:r w:rsidR="009F50D0" w:rsidRPr="000376E7">
        <w:rPr>
          <w:rFonts w:cs="Times New Roman"/>
          <w:b/>
        </w:rPr>
        <w:t>effect</w:t>
      </w:r>
      <w:r w:rsidR="00BC3107" w:rsidRPr="000376E7">
        <w:rPr>
          <w:rFonts w:cs="Times New Roman"/>
          <w:b/>
        </w:rPr>
        <w:t xml:space="preserve"> </w:t>
      </w:r>
      <w:r w:rsidR="009F50D0" w:rsidRPr="000376E7">
        <w:rPr>
          <w:rFonts w:cs="Times New Roman"/>
          <w:b/>
        </w:rPr>
        <w:t>is</w:t>
      </w:r>
      <w:r w:rsidR="00BC3107" w:rsidRPr="000376E7">
        <w:rPr>
          <w:rFonts w:cs="Times New Roman"/>
          <w:b/>
        </w:rPr>
        <w:t xml:space="preserve"> desired for purposes </w:t>
      </w:r>
      <w:r w:rsidR="007E7934">
        <w:rPr>
          <w:rFonts w:cs="Times New Roman"/>
          <w:b/>
        </w:rPr>
        <w:t xml:space="preserve">that are </w:t>
      </w:r>
      <w:r w:rsidR="00BC3107" w:rsidRPr="000376E7">
        <w:rPr>
          <w:rFonts w:cs="Times New Roman"/>
          <w:b/>
        </w:rPr>
        <w:lastRenderedPageBreak/>
        <w:t>different from the production of a fertilizer</w:t>
      </w:r>
      <w:r w:rsidR="00BC3107">
        <w:rPr>
          <w:rFonts w:cs="Times New Roman"/>
        </w:rPr>
        <w:t>.</w:t>
      </w:r>
      <w:r>
        <w:rPr>
          <w:rFonts w:cs="Times New Roman"/>
        </w:rPr>
        <w:t xml:space="preserve"> </w:t>
      </w:r>
      <w:r w:rsidR="00DE768C">
        <w:rPr>
          <w:rFonts w:cs="Times New Roman"/>
        </w:rPr>
        <w:t>C</w:t>
      </w:r>
      <w:r w:rsidR="00DE768C" w:rsidRPr="00EF75A4">
        <w:rPr>
          <w:rFonts w:cs="Times New Roman"/>
        </w:rPr>
        <w:t>oncentration</w:t>
      </w:r>
      <w:r w:rsidR="00DE768C">
        <w:rPr>
          <w:rFonts w:cs="Times New Roman"/>
        </w:rPr>
        <w:t>s</w:t>
      </w:r>
      <w:r w:rsidR="00DE768C" w:rsidRPr="00EF75A4">
        <w:rPr>
          <w:rFonts w:cs="Times New Roman"/>
        </w:rPr>
        <w:t xml:space="preserve"> between 50 and 150 g Ca(OH)</w:t>
      </w:r>
      <w:r w:rsidR="00DE768C" w:rsidRPr="00EF75A4">
        <w:rPr>
          <w:rFonts w:cs="Times New Roman"/>
          <w:vertAlign w:val="subscript"/>
        </w:rPr>
        <w:t>2</w:t>
      </w:r>
      <w:r w:rsidR="00DE768C">
        <w:rPr>
          <w:rFonts w:cs="Times New Roman"/>
        </w:rPr>
        <w:t xml:space="preserve"> per </w:t>
      </w:r>
      <w:r w:rsidR="00DE768C" w:rsidRPr="00EF75A4">
        <w:rPr>
          <w:rFonts w:cs="Times New Roman"/>
        </w:rPr>
        <w:t>kg biomass</w:t>
      </w:r>
      <w:r w:rsidR="00DE768C">
        <w:rPr>
          <w:rFonts w:cs="Times New Roman"/>
        </w:rPr>
        <w:t xml:space="preserve"> (</w:t>
      </w:r>
      <w:r w:rsidR="00DE768C" w:rsidRPr="00506999">
        <w:rPr>
          <w:rFonts w:cs="Times New Roman"/>
          <w:b/>
        </w:rPr>
        <w:t>5 to 20% solid loading</w:t>
      </w:r>
      <w:r w:rsidR="00DE768C">
        <w:rPr>
          <w:rFonts w:cs="Times New Roman"/>
        </w:rPr>
        <w:t>) are</w:t>
      </w:r>
      <w:r w:rsidR="00DE768C" w:rsidRPr="00EF75A4">
        <w:rPr>
          <w:rFonts w:cs="Times New Roman"/>
        </w:rPr>
        <w:t xml:space="preserve"> usually employed </w:t>
      </w:r>
      <w:r w:rsidR="00DE768C">
        <w:rPr>
          <w:rFonts w:cs="Times New Roman"/>
        </w:rPr>
        <w:t>as</w:t>
      </w:r>
      <w:r w:rsidR="00DE768C" w:rsidRPr="00EF75A4">
        <w:rPr>
          <w:rFonts w:cs="Times New Roman"/>
        </w:rPr>
        <w:t xml:space="preserve"> </w:t>
      </w:r>
      <w:r w:rsidR="009D6656">
        <w:rPr>
          <w:rFonts w:cs="Times New Roman"/>
        </w:rPr>
        <w:t xml:space="preserve">caustic </w:t>
      </w:r>
      <w:r w:rsidR="00DE768C" w:rsidRPr="00EF75A4">
        <w:rPr>
          <w:rFonts w:cs="Times New Roman"/>
        </w:rPr>
        <w:t>pre-treatment</w:t>
      </w:r>
      <w:r w:rsidR="00DE768C">
        <w:rPr>
          <w:rFonts w:cs="Times New Roman"/>
        </w:rPr>
        <w:t xml:space="preserve"> </w:t>
      </w:r>
      <w:r w:rsidR="00DE768C" w:rsidRPr="00506999">
        <w:rPr>
          <w:rFonts w:cs="Times New Roman"/>
          <w:b/>
        </w:rPr>
        <w:t>of the bioconversion of lignocellulosic biomass</w:t>
      </w:r>
      <w:r w:rsidR="00821994">
        <w:rPr>
          <w:rFonts w:cs="Times New Roman"/>
          <w:b/>
        </w:rPr>
        <w:t xml:space="preserve"> in the ethanol production</w:t>
      </w:r>
      <w:r w:rsidR="00DE768C" w:rsidRPr="00EF75A4">
        <w:rPr>
          <w:rFonts w:cs="Times New Roman"/>
        </w:rPr>
        <w:t xml:space="preserve"> </w:t>
      </w:r>
      <w:r w:rsidR="00DE768C" w:rsidRPr="00EF75A4">
        <w:rPr>
          <w:rFonts w:cs="Times New Roman"/>
        </w:rPr>
        <w:fldChar w:fldCharType="begin" w:fldLock="1"/>
      </w:r>
      <w:r w:rsidR="00BB33F9">
        <w:rPr>
          <w:rFonts w:cs="Times New Roman"/>
        </w:rPr>
        <w:instrText>ADDIN CSL_CITATION {"citationItems":[{"id":"ITEM-1","itemData":{"DOI":"10.1016/j.biortech.2015.08.085","ISSN":"18732976","abstract":"The native form of lignocellulosic biomass is resistant to enzymatic breakdown. A well-designed pretreatment that can promote enzymatic hydrolysis of biomass with reasonable processing cost is therefore necessary. To this end, a number of different types of pretreatment technologies have been developed with a common goal of making biomass more susceptible to enzymatic saccharification. Among those, a pretreatment method using alkaline reagent has emerged as one of the most viable process options due primarily to its strong pretreatment effect and relatively simple process scheme. The main features of alkaline pretreatment are that it selectively removes lignin without degrading carbohydrates, and increases porosity and surface area, thereby enhancing enzymatic hydrolysis. In this review, the leading alkaline pretreatment technologies are described and their features and comparative performances are discussed from a process viewpoint. Attempts were also made to give insights into the chemical and physical changes of biomass brought about by pretreatment.","author":[{"dropping-particle":"","family":"Kim","given":"Jun Seok","non-dropping-particle":"","parse-names":false,"suffix":""},{"dropping-particle":"","family":"Lee","given":"Y. Y.","non-dropping-particle":"","parse-names":false,"suffix":""},{"dropping-particle":"","family":"Kim","given":"Tae Hyun","non-dropping-particle":"","parse-names":false,"suffix":""}],"container-title":"Bioresource Technology","id":"ITEM-1","issued":{"date-parts":[["2016"]]},"page":"42-48","publisher":"Elsevier Ltd","title":"A review on alkaline pretreatment technology for bioconversion of lignocellulosic biomass","type":"article-journal","volume":"199"},"uris":["http://www.mendeley.com/documents/?uuid=804bece8-8c11-43b4-bf88-a6e6af83a5fc"]}],"mendeley":{"formattedCitation":"[25]","plainTextFormattedCitation":"[25]","previouslyFormattedCitation":"[25]"},"properties":{"noteIndex":0},"schema":"https://github.com/citation-style-language/schema/raw/master/csl-citation.json"}</w:instrText>
      </w:r>
      <w:r w:rsidR="00DE768C" w:rsidRPr="00EF75A4">
        <w:rPr>
          <w:rFonts w:cs="Times New Roman"/>
        </w:rPr>
        <w:fldChar w:fldCharType="separate"/>
      </w:r>
      <w:r w:rsidR="00D33723" w:rsidRPr="00D33723">
        <w:rPr>
          <w:rFonts w:cs="Times New Roman"/>
          <w:noProof/>
        </w:rPr>
        <w:t>[25]</w:t>
      </w:r>
      <w:r w:rsidR="00DE768C" w:rsidRPr="00EF75A4">
        <w:rPr>
          <w:rFonts w:cs="Times New Roman"/>
        </w:rPr>
        <w:fldChar w:fldCharType="end"/>
      </w:r>
      <w:r w:rsidR="00DE768C" w:rsidRPr="00EF75A4">
        <w:rPr>
          <w:rFonts w:cs="Times New Roman"/>
        </w:rPr>
        <w:t>.</w:t>
      </w:r>
      <w:r w:rsidR="008015DD" w:rsidRPr="00EF75A4">
        <w:rPr>
          <w:rFonts w:cs="Times New Roman"/>
        </w:rPr>
        <w:t xml:space="preserve"> </w:t>
      </w:r>
      <w:r w:rsidR="00DE768C" w:rsidRPr="00EF75A4">
        <w:rPr>
          <w:rFonts w:cs="Times New Roman"/>
        </w:rPr>
        <w:t xml:space="preserve">The </w:t>
      </w:r>
      <w:r w:rsidR="008C15A2">
        <w:rPr>
          <w:rFonts w:cs="Times New Roman"/>
        </w:rPr>
        <w:t>solubiliz</w:t>
      </w:r>
      <w:r w:rsidR="00DE768C" w:rsidRPr="00EF75A4">
        <w:rPr>
          <w:rFonts w:cs="Times New Roman"/>
        </w:rPr>
        <w:t>ation of</w:t>
      </w:r>
      <w:r w:rsidR="00F37A0E">
        <w:rPr>
          <w:rFonts w:cs="Times New Roman"/>
        </w:rPr>
        <w:t xml:space="preserve"> organic</w:t>
      </w:r>
      <w:r w:rsidR="00DE768C" w:rsidRPr="00EF75A4">
        <w:rPr>
          <w:rFonts w:cs="Times New Roman"/>
        </w:rPr>
        <w:t xml:space="preserve"> carbon</w:t>
      </w:r>
      <w:r w:rsidR="000376E7">
        <w:rPr>
          <w:rFonts w:cs="Times New Roman"/>
        </w:rPr>
        <w:t xml:space="preserve"> </w:t>
      </w:r>
      <w:r w:rsidR="000376E7" w:rsidRPr="00EF75A4">
        <w:rPr>
          <w:rFonts w:cs="Times New Roman"/>
        </w:rPr>
        <w:fldChar w:fldCharType="begin" w:fldLock="1"/>
      </w:r>
      <w:r w:rsidR="00BB33F9">
        <w:rPr>
          <w:rFonts w:cs="Times New Roman"/>
        </w:rPr>
        <w:instrText>ADDIN CSL_CITATION {"citationItems":[{"id":"ITEM-1","itemData":{"DOI":"10.1111/ejss.12294","ISSN":"13652389","abstract":"© 2015 British Society of Soil Science. Alkaline soil is widely distributed and cultivated throughout the agricultural regions of the world. Organic carbon (OC) concentrations in alkaline soil are often small, partly because of the limitations of a high pH on the productivity of crops and pastures together with the effects of high pH on the chemistry of soil OC. Soil pH is often hypothesized to be a major factor in regulating OC turnover in agricultural soil, but there are few detailed studies on the effects of high pH on carbon cycling in alkaline soil. Sodium, K + , Mg 2+  and Ca 2+  are the major cations in alkaline soil, whereas Cl - , SO42-, HCO3- and CO32- are the major anions. The effect of different combinations of these cations and anions on soil pH and OC is not well described in the literature. The objectives of this study were to evaluate the effect of cations and anions on soil pH and to quantify the dissolution of OC in relation to these changes in pH. The results showed that HCO3- (Na + , K +  and Mg 2+ ) salts and CaCO 3  dominate in the pH range 7.0-8.5, and CO32- salts of Na +  and K +  dominate above pH 8.5. The amount of dissolved OC (DOC) increased significantly as pH increased. Therefore, the presence of large concentrations of HCO3- and CO32- not only increased pH but also promoted the dissolution of soil OC. The concentration of Ca 2+  modified this effect; large concentrations of Ca 2+  increased the adsorption and reduced the concentration of DOC.","author":[{"dropping-particle":"","family":"Tavakkoli","given":"E.","non-dropping-particle":"","parse-names":false,"suffix":""},{"dropping-particle":"","family":"Rengasamy","given":"P.","non-dropping-particle":"","parse-names":false,"suffix":""},{"dropping-particle":"","family":"Smith","given":"E.","non-dropping-particle":"","parse-names":false,"suffix":""},{"dropping-particle":"","family":"Mcdonald","given":"G. K.","non-dropping-particle":"","parse-names":false,"suffix":""}],"container-title":"European Journal of Soil Science","id":"ITEM-1","issue":"6","issued":{"date-parts":[["2015"]]},"page":"1054-1062","title":"The effect of cation-anion interactions on soil pH and solubility of organic carbon","type":"article-journal","volume":"66"},"uris":["http://www.mendeley.com/documents/?uuid=ec88a7d1-37f7-42f1-ae84-1bef9b9508e6"]}],"mendeley":{"formattedCitation":"[26]","plainTextFormattedCitation":"[26]","previouslyFormattedCitation":"[26]"},"properties":{"noteIndex":0},"schema":"https://github.com/citation-style-language/schema/raw/master/csl-citation.json"}</w:instrText>
      </w:r>
      <w:r w:rsidR="000376E7" w:rsidRPr="00EF75A4">
        <w:rPr>
          <w:rFonts w:cs="Times New Roman"/>
        </w:rPr>
        <w:fldChar w:fldCharType="separate"/>
      </w:r>
      <w:r w:rsidR="00D33723" w:rsidRPr="00D33723">
        <w:rPr>
          <w:rFonts w:cs="Times New Roman"/>
          <w:noProof/>
        </w:rPr>
        <w:t>[26]</w:t>
      </w:r>
      <w:r w:rsidR="000376E7" w:rsidRPr="00EF75A4">
        <w:rPr>
          <w:rFonts w:cs="Times New Roman"/>
        </w:rPr>
        <w:fldChar w:fldCharType="end"/>
      </w:r>
      <w:r w:rsidR="00DE768C" w:rsidRPr="00EF75A4">
        <w:rPr>
          <w:rFonts w:cs="Times New Roman"/>
        </w:rPr>
        <w:t xml:space="preserve"> enhance</w:t>
      </w:r>
      <w:r w:rsidR="00A52816">
        <w:rPr>
          <w:rFonts w:cs="Times New Roman"/>
        </w:rPr>
        <w:t>s</w:t>
      </w:r>
      <w:r w:rsidR="00DE768C" w:rsidRPr="00EF75A4">
        <w:rPr>
          <w:rFonts w:cs="Times New Roman"/>
        </w:rPr>
        <w:t xml:space="preserve"> the subsequent fermentation</w:t>
      </w:r>
      <w:r w:rsidR="00B55AAF">
        <w:rPr>
          <w:rFonts w:cs="Times New Roman"/>
        </w:rPr>
        <w:t xml:space="preserve"> </w:t>
      </w:r>
      <w:r w:rsidR="00A52816">
        <w:rPr>
          <w:rFonts w:cs="Times New Roman"/>
        </w:rPr>
        <w:fldChar w:fldCharType="begin" w:fldLock="1"/>
      </w:r>
      <w:r w:rsidR="00BB33F9">
        <w:rPr>
          <w:rFonts w:cs="Times New Roman"/>
        </w:rPr>
        <w:instrText>ADDIN CSL_CITATION {"citationItems":[{"id":"ITEM-1","itemData":{"DOI":"10.1016/j.wasman.2017.03.023","ISSN":"18792456","abstract":"The effect of aerobic pretreatment and fly ash addition on the production of methane from mixed sludge is studied. Three assays with pretreated and not pretreated mixed sludge in the presence of fly ash (concentrations of 0, 10, 25, 50, 250 and 500 mg/L) were run at mesophilic condition. It was found that the combined use of aerobic pretreatment and fly ash addition increases methane production up to 70% when the fly ash concentrations were lower than 50 mg/L, while concentrations higher than 250 mg/L cause up to 11% decrease of methane production. For the anaerobic treatment of mixed sludge without pretreatment, the fly ash improved methane generation at all the concentrations studied, with a maximum of 56%. The removal of volatile solids does not show an improvement compared to the separate use of an aerobic pre-treatment and fly ash addition. Therefore, the combined use of the aerobic pre-treatment and fly ash addition improves only the production of methane.","author":[{"dropping-particle":"","family":"Huiliñir","given":"César","non-dropping-particle":"","parse-names":false,"suffix":""},{"dropping-particle":"","family":"Pinto-Villegas","given":"Paula","non-dropping-particle":"","parse-names":false,"suffix":""},{"dropping-particle":"","family":"Castillo","given":"Alejandra","non-dropping-particle":"","parse-names":false,"suffix":""},{"dropping-particle":"","family":"Montalvo","given":"Silvio","non-dropping-particle":"","parse-names":false,"suffix":""},{"dropping-particle":"","family":"Guerrero","given":"Lorna","non-dropping-particle":"","parse-names":false,"suffix":""}],"container-title":"Waste Management","id":"ITEM-1","issued":{"date-parts":[["2017"]]},"page":"140-148","title":"Biochemical methane potential from sewage sludge: Effect of an aerobic pretreatment and fly ash addition as source of trace elements","type":"article-journal","volume":"64"},"uris":["http://www.mendeley.com/documents/?uuid=9bee123b-5e77-4d20-89bb-c2a360ffad88"]}],"mendeley":{"formattedCitation":"[12]","plainTextFormattedCitation":"[12]","previouslyFormattedCitation":"[12]"},"properties":{"noteIndex":0},"schema":"https://github.com/citation-style-language/schema/raw/master/csl-citation.json"}</w:instrText>
      </w:r>
      <w:r w:rsidR="00A52816">
        <w:rPr>
          <w:rFonts w:cs="Times New Roman"/>
        </w:rPr>
        <w:fldChar w:fldCharType="separate"/>
      </w:r>
      <w:r w:rsidR="00D33723" w:rsidRPr="00D33723">
        <w:rPr>
          <w:rFonts w:cs="Times New Roman"/>
          <w:noProof/>
        </w:rPr>
        <w:t>[12]</w:t>
      </w:r>
      <w:r w:rsidR="00A52816">
        <w:rPr>
          <w:rFonts w:cs="Times New Roman"/>
        </w:rPr>
        <w:fldChar w:fldCharType="end"/>
      </w:r>
      <w:r w:rsidR="00D76873">
        <w:rPr>
          <w:rFonts w:cs="Times New Roman"/>
        </w:rPr>
        <w:t>,</w:t>
      </w:r>
      <w:r w:rsidR="00666C2A">
        <w:rPr>
          <w:rFonts w:cs="Times New Roman"/>
        </w:rPr>
        <w:t xml:space="preserve"> although it is necessary</w:t>
      </w:r>
      <w:r w:rsidR="00C212CA">
        <w:rPr>
          <w:rFonts w:cs="Times New Roman"/>
        </w:rPr>
        <w:t xml:space="preserve"> </w:t>
      </w:r>
      <w:r w:rsidR="00666C2A">
        <w:rPr>
          <w:rFonts w:cs="Times New Roman"/>
        </w:rPr>
        <w:t>the previous</w:t>
      </w:r>
      <w:r w:rsidR="00C212CA">
        <w:rPr>
          <w:rFonts w:cs="Times New Roman"/>
        </w:rPr>
        <w:t xml:space="preserve"> neutraliz</w:t>
      </w:r>
      <w:r w:rsidR="00C212CA" w:rsidRPr="00EF75A4">
        <w:rPr>
          <w:rFonts w:cs="Times New Roman"/>
        </w:rPr>
        <w:t>ation with an acid agent to reach an appropriate pH</w:t>
      </w:r>
      <w:r w:rsidR="00D76873">
        <w:rPr>
          <w:rFonts w:cs="Times New Roman"/>
        </w:rPr>
        <w:t xml:space="preserve"> for microbial activity</w:t>
      </w:r>
      <w:r w:rsidR="008015DD" w:rsidRPr="00EF75A4">
        <w:rPr>
          <w:rFonts w:cs="Times New Roman"/>
        </w:rPr>
        <w:t xml:space="preserve">. </w:t>
      </w:r>
      <w:r w:rsidR="001B1EEF" w:rsidRPr="00A337F5">
        <w:rPr>
          <w:rFonts w:cs="Times New Roman"/>
          <w:b/>
        </w:rPr>
        <w:t>The physical stabilization of the organic waste</w:t>
      </w:r>
      <w:r w:rsidR="00B62C32" w:rsidRPr="00A337F5">
        <w:rPr>
          <w:rFonts w:cs="Times New Roman"/>
          <w:b/>
        </w:rPr>
        <w:t>s to produce a granular fertiliz</w:t>
      </w:r>
      <w:r w:rsidR="001B1EEF" w:rsidRPr="00A337F5">
        <w:rPr>
          <w:rFonts w:cs="Times New Roman"/>
          <w:b/>
        </w:rPr>
        <w:t>er is achieved even with higher doses of ashes</w:t>
      </w:r>
      <w:r w:rsidR="009F50D0" w:rsidRPr="00A337F5">
        <w:rPr>
          <w:rFonts w:cs="Times New Roman"/>
          <w:b/>
        </w:rPr>
        <w:t xml:space="preserve"> </w:t>
      </w:r>
      <w:r w:rsidR="00A3001D" w:rsidRPr="00A337F5">
        <w:rPr>
          <w:rFonts w:cs="Times New Roman"/>
          <w:b/>
        </w:rPr>
        <w:fldChar w:fldCharType="begin" w:fldLock="1"/>
      </w:r>
      <w:r w:rsidR="00BB33F9">
        <w:rPr>
          <w:rFonts w:cs="Times New Roman"/>
          <w:b/>
        </w:rPr>
        <w:instrText>ADDIN CSL_CITATION {"citationItems":[{"id":"ITEM-1","itemData":{"DOI":"10.1007/978-3-319-72371-6_80","ISBN":"978-3-319-72370-9","abstract":"Grasslands are crucial in the surrounding ecosystem. Over the last ﬁve years a share of grasslands in agriculture decreased from 3.32 m ha in 2010 to 3.00 m ha in 2015, contrary to the number of cattle—from 5.86 m LSU in 2013 to 5.96 m LSU in 2015. The cultivation of grasses, legumes or mixtures of grasses positively affects the reproduction of the soil organic matter, where a reproduction coefﬁcient ranges from +0.95 to +2.10. Just to illustrate, the cultivation of cereals— about 0.5; corn—1.1; and roots—1.2. In the carbon dioxide balance the reduction of CO2 in grasslands is estimated to be 7 kg ha−1 h−1. Considering the diminishing area of grasslands, the objective of research was to estimate the quantity of carbon dioxide reduced by grasslands, the potential of unused biomass and the energy potential of grasslands. Those calculations have been conducted for Polish provinces over the last four years. Research estimates that the reduction of CO2 in meadows of grasslands in Poland amounted to 103.3 m Mg in 2016 with an upward trend over the last four years, whereas the potential of unused biomass equalled to 18.3 m Mg with a downward trend. The energy potential of grasslands was estimated for fuels such as briquette (82.4 PJ), torreﬁed biomass (62.5 PJ), and biogas (10.5 PJ) in 2016 with a downward trend over the last four years.","author":[{"dropping-particle":"","family":"Mudryk","given":"Krzysztof","non-dropping-particle":"","parse-names":false,"suffix":""},{"dropping-particle":"","family":"Frączek","given":"Jarosław","non-dropping-particle":"","parse-names":false,"suffix":""},{"dropping-particle":"","family":"Wróbel","given":"Marek","non-dropping-particle":"","parse-names":false,"suffix":""},{"dropping-particle":"","family":"Jewiarz","given":"Marcin","non-dropping-particle":"","parse-names":false,"suffix":""},{"dropping-particle":"","family":"Dziedzic","given":"Krzysztof","non-dropping-particle":"","parse-names":false,"suffix":""}],"container-title":"Renewable Energy Sources: Engineering, Technology, Innovation, Springer","editor":[{"dropping-particle":"","family":"Krzysztof","given":"Mudryk","non-dropping-particle":"","parse-names":false,"suffix":""},{"dropping-particle":"","family":"Sebastian","given":"Werle","non-dropping-particle":"","parse-names":false,"suffix":""}],"id":"ITEM-1","issue":"January","issued":{"date-parts":[["2018"]]},"page":"823-834","publisher":"Springer","title":"Agglomeration of Ash-Based Fertilizer Mixtures from Biomass Combustion and Digestate","type":"chapter"},"uris":["http://www.mendeley.com/documents/?uuid=494710cf-0b49-4b2c-86c4-50e9515523b9"]},{"id":"ITEM-2","itemData":{"DOI":"10.1016/j.jece.2015.12.035","ISSN":"22133437","abstract":"Both the current growth strategy and environmental policies of the European Union (EU) aim to increase the amount of renewable energy and to improve the use of waste streams. This will increase the amount of bio-ash from biomass combustion in the future, thereby increasing the need for its utilization, with fertilizer use the most natural target for bio-ash. Wood ash, in particular, contains all the nutrients that plants need, in almost the correct proportions, excluding nitrogen, which is released into the atmosphere during combustion. Nitrogen could be added to ash fertilizers by co-granulating bio-ash, for example, with sewage sludge. However, co-granulation has not been studied extensively. This study investigated co-granulation of bio-ash with sewage sludge and lime. It measured compressive strengths, neutralizing values, and elemental concentrations of the granules. The concentrations of heavy metals (As, Cd, Cr, Cu, Pb, Ni, and Zn) in the granules were sufficiently low not to prevent their use in forest fertilizer use according to Finnish legislation. Overall, the concentrations of nutrients (Ca, K, and P) were reasonably high. The addition of lime improved the neutralizing capacity of the studied granules, and the addition of sewage sludge increased their nitrogen content. The addition of sewage sludge considerably lowered the compressive strength of the granules, and the addition of lime (slaked lime) did not improve the strength of the granules. From a technical point of view, the co-granulation was very successful.","author":[{"dropping-particle":"","family":"Pesonen","given":"Janne","non-dropping-particle":"","parse-names":false,"suffix":""},{"dropping-particle":"","family":"Kuokkanen","given":"Ville","non-dropping-particle":"","parse-names":false,"suffix":""},{"dropping-particle":"","family":"Kuokkanen","given":"Toivo","non-dropping-particle":"","parse-names":false,"suffix":""},{"dropping-particle":"","family":"Illikainen","given":"Mirja","non-dropping-particle":"","parse-names":false,"suffix":""}],"container-title":"Journal of Environmental Chemical Engineering","id":"ITEM-2","issue":"4","issued":{"date-parts":[["2016"]]},"page":"4817-4821","publisher":"Elsevier B.V.","title":"Co-granulation of bio-ash with sewage sludge and lime for fertilizer use","type":"article-journal","volume":"4"},"uris":["http://www.mendeley.com/documents/?uuid=77ff501e-6c38-446c-8ee1-3550a33c664c"]}],"mendeley":{"formattedCitation":"[27,28]","plainTextFormattedCitation":"[27,28]","previouslyFormattedCitation":"[27,28]"},"properties":{"noteIndex":0},"schema":"https://github.com/citation-style-language/schema/raw/master/csl-citation.json"}</w:instrText>
      </w:r>
      <w:r w:rsidR="00A3001D" w:rsidRPr="00A337F5">
        <w:rPr>
          <w:rFonts w:cs="Times New Roman"/>
          <w:b/>
        </w:rPr>
        <w:fldChar w:fldCharType="separate"/>
      </w:r>
      <w:r w:rsidR="00D33723" w:rsidRPr="00D33723">
        <w:rPr>
          <w:rFonts w:cs="Times New Roman"/>
          <w:noProof/>
        </w:rPr>
        <w:t>[27,28]</w:t>
      </w:r>
      <w:r w:rsidR="00A3001D" w:rsidRPr="00A337F5">
        <w:rPr>
          <w:rFonts w:cs="Times New Roman"/>
          <w:b/>
        </w:rPr>
        <w:fldChar w:fldCharType="end"/>
      </w:r>
      <w:r w:rsidR="0037192D" w:rsidRPr="00A337F5">
        <w:rPr>
          <w:rFonts w:cs="Times New Roman"/>
          <w:b/>
        </w:rPr>
        <w:t>,</w:t>
      </w:r>
      <w:r w:rsidR="001B1EEF" w:rsidRPr="00A337F5">
        <w:rPr>
          <w:rFonts w:cs="Times New Roman"/>
          <w:b/>
        </w:rPr>
        <w:t xml:space="preserve"> but the moisture level </w:t>
      </w:r>
      <w:r w:rsidR="00B80BC0" w:rsidRPr="00A337F5">
        <w:rPr>
          <w:rFonts w:cs="Times New Roman"/>
          <w:b/>
        </w:rPr>
        <w:t xml:space="preserve">of the final pellets </w:t>
      </w:r>
      <w:r w:rsidR="001B1EEF" w:rsidRPr="00A337F5">
        <w:rPr>
          <w:rFonts w:cs="Times New Roman"/>
          <w:b/>
        </w:rPr>
        <w:t xml:space="preserve">should be less than </w:t>
      </w:r>
      <w:r w:rsidR="00032E1A" w:rsidRPr="00A337F5">
        <w:rPr>
          <w:rFonts w:cs="Times New Roman"/>
          <w:b/>
        </w:rPr>
        <w:t xml:space="preserve">around 3% </w:t>
      </w:r>
      <w:r w:rsidR="00F37A0E" w:rsidRPr="00A337F5">
        <w:rPr>
          <w:rFonts w:cs="Times New Roman"/>
          <w:b/>
        </w:rPr>
        <w:fldChar w:fldCharType="begin" w:fldLock="1"/>
      </w:r>
      <w:r w:rsidR="00BB33F9">
        <w:rPr>
          <w:rFonts w:cs="Times New Roman"/>
          <w:b/>
        </w:rPr>
        <w:instrText>ADDIN CSL_CITATION {"citationItems":[{"id":"ITEM-1","itemData":{"author":[{"dropping-particle":"","family":"Fivelman","given":"Quinton","non-dropping-particle":"","parse-names":false,"suffix":""}],"id":"ITEM-1","issued":{"date-parts":[["2013"]]},"title":"Granular Fertiliser from Anaerobic Digestate Liquor","type":"report"},"uris":["http://www.mendeley.com/documents/?uuid=ee290713-4320-4313-bd54-a0a6d5ceab08"]},{"id":"ITEM-2","itemData":{"DOI":"10.1016/j.jece.2015.12.035","ISSN":"22133437","abstract":"Both the current growth strategy and environmental policies of the European Union (EU) aim to increase the amount of renewable energy and to improve the use of waste streams. This will increase the amount of bio-ash from biomass combustion in the future, thereby increasing the need for its utilization, with fertilizer use the most natural target for bio-ash. Wood ash, in particular, contains all the nutrients that plants need, in almost the correct proportions, excluding nitrogen, which is released into the atmosphere during combustion. Nitrogen could be added to ash fertilizers by co-granulating bio-ash, for example, with sewage sludge. However, co-granulation has not been studied extensively. This study investigated co-granulation of bio-ash with sewage sludge and lime. It measured compressive strengths, neutralizing values, and elemental concentrations of the granules. The concentrations of heavy metals (As, Cd, Cr, Cu, Pb, Ni, and Zn) in the granules were sufficiently low not to prevent their use in forest fertilizer use according to Finnish legislation. Overall, the concentrations of nutrients (Ca, K, and P) were reasonably high. The addition of lime improved the neutralizing capacity of the studied granules, and the addition of sewage sludge increased their nitrogen content. The addition of sewage sludge considerably lowered the compressive strength of the granules, and the addition of lime (slaked lime) did not improve the strength of the granules. From a technical point of view, the co-granulation was very successful.","author":[{"dropping-particle":"","family":"Pesonen","given":"Janne","non-dropping-particle":"","parse-names":false,"suffix":""},{"dropping-particle":"","family":"Kuokkanen","given":"Ville","non-dropping-particle":"","parse-names":false,"suffix":""},{"dropping-particle":"","family":"Kuokkanen","given":"Toivo","non-dropping-particle":"","parse-names":false,"suffix":""},{"dropping-particle":"","family":"Illikainen","given":"Mirja","non-dropping-particle":"","parse-names":false,"suffix":""}],"container-title":"Journal of Environmental Chemical Engineering","id":"ITEM-2","issue":"4","issued":{"date-parts":[["2016"]]},"page":"4817-4821","publisher":"Elsevier B.V.","title":"Co-granulation of bio-ash with sewage sludge and lime for fertilizer use","type":"article-journal","volume":"4"},"uris":["http://www.mendeley.com/documents/?uuid=77ff501e-6c38-446c-8ee1-3550a33c664c"]}],"mendeley":{"formattedCitation":"[19,28]","plainTextFormattedCitation":"[19,28]","previouslyFormattedCitation":"[19,28]"},"properties":{"noteIndex":0},"schema":"https://github.com/citation-style-language/schema/raw/master/csl-citation.json"}</w:instrText>
      </w:r>
      <w:r w:rsidR="00F37A0E" w:rsidRPr="00A337F5">
        <w:rPr>
          <w:rFonts w:cs="Times New Roman"/>
          <w:b/>
        </w:rPr>
        <w:fldChar w:fldCharType="separate"/>
      </w:r>
      <w:r w:rsidR="00D33723" w:rsidRPr="00D33723">
        <w:rPr>
          <w:rFonts w:cs="Times New Roman"/>
          <w:noProof/>
        </w:rPr>
        <w:t>[19,28]</w:t>
      </w:r>
      <w:r w:rsidR="00F37A0E" w:rsidRPr="00A337F5">
        <w:rPr>
          <w:rFonts w:cs="Times New Roman"/>
          <w:b/>
        </w:rPr>
        <w:fldChar w:fldCharType="end"/>
      </w:r>
      <w:r w:rsidR="00032E1A" w:rsidRPr="00A337F5">
        <w:rPr>
          <w:rFonts w:cs="Times New Roman"/>
          <w:b/>
        </w:rPr>
        <w:t xml:space="preserve">, which </w:t>
      </w:r>
      <w:r w:rsidR="00685781" w:rsidRPr="00A337F5">
        <w:rPr>
          <w:rFonts w:cs="Times New Roman"/>
          <w:b/>
        </w:rPr>
        <w:t>reduces the extent of the hydrolysi</w:t>
      </w:r>
      <w:r w:rsidR="00032E1A" w:rsidRPr="00A337F5">
        <w:rPr>
          <w:rFonts w:cs="Times New Roman"/>
          <w:b/>
        </w:rPr>
        <w:t>s</w:t>
      </w:r>
      <w:r w:rsidR="00685781" w:rsidRPr="00A337F5">
        <w:rPr>
          <w:rFonts w:cs="Times New Roman"/>
          <w:b/>
        </w:rPr>
        <w:t xml:space="preserve"> of</w:t>
      </w:r>
      <w:r w:rsidR="00032E1A" w:rsidRPr="00A337F5">
        <w:rPr>
          <w:rFonts w:cs="Times New Roman"/>
          <w:b/>
        </w:rPr>
        <w:t xml:space="preserve"> the </w:t>
      </w:r>
      <w:r w:rsidR="009C1042" w:rsidRPr="00A337F5">
        <w:rPr>
          <w:rFonts w:cs="Times New Roman"/>
          <w:b/>
        </w:rPr>
        <w:t>organic matter</w:t>
      </w:r>
      <w:r w:rsidR="00685781" w:rsidRPr="00A337F5">
        <w:rPr>
          <w:rFonts w:cs="Times New Roman"/>
          <w:b/>
        </w:rPr>
        <w:t>.</w:t>
      </w:r>
    </w:p>
    <w:p w14:paraId="79FB12FF" w14:textId="77AFE14F" w:rsidR="00922862" w:rsidRDefault="00161C73" w:rsidP="004737A7">
      <w:pPr>
        <w:keepNext/>
        <w:spacing w:line="360" w:lineRule="auto"/>
        <w:rPr>
          <w:rFonts w:cs="Times New Roman"/>
          <w:b/>
        </w:rPr>
      </w:pPr>
      <w:r w:rsidRPr="00544E23">
        <w:rPr>
          <w:rFonts w:cs="Times New Roman"/>
          <w:b/>
        </w:rPr>
        <w:t xml:space="preserve">Steenari and Lindqvist </w:t>
      </w:r>
      <w:r w:rsidRPr="00544E23">
        <w:rPr>
          <w:rFonts w:cs="Times New Roman"/>
          <w:b/>
          <w:lang w:val="es-ES"/>
        </w:rPr>
        <w:fldChar w:fldCharType="begin" w:fldLock="1"/>
      </w:r>
      <w:r w:rsidR="00BD36D8">
        <w:rPr>
          <w:rFonts w:cs="Times New Roman"/>
          <w:b/>
        </w:rPr>
        <w:instrText>ADDIN CSL_CITATION {"citationItems":[{"id":"ITEM-1","itemData":{"DOI":"10.1016/S0961-9534(97)00024-X","ISBN":"0961-9534","ISSN":"09619534","abstract":"A Swedish research program concerning the technical and ecological effects of wood fuel ash recycling to forest biotopes has been on-going for several years. Within this program, a study of the stabilisation of ash by the so-called self-hardening process was carried out. Chemical reactions occurring in the ash materials on water addition and during solidification were identified based on results from chemical analysis, X-ray diffraction, FTIR spectroscopic and scanning electron microscopy analysis. The stability and importance of the individual reaction products are discussed. Some results of practical importance are: alkali metals are to a large extent present as salts dissolved in the pore solution, i.e. the hardened ash should be stored in a way that protects it from rainfall; the dominant wood ash element calcium forms Ca(OH), and subsequently CaCO, during hardening anti storage: ettringite formation binds sulphur and aluminium and contributes to the stability of the ash structure; and phosphorous is bound in apatite and other compounds with low solubilities.","author":[{"dropping-particle":"","family":"Steenari","given":"B. M.","non-dropping-particle":"","parse-names":false,"suffix":""},{"dropping-particle":"","family":"Lindqvist","given":"O.","non-dropping-particle":"","parse-names":false,"suffix":""}],"container-title":"Biomass and Bioenergy","id":"ITEM-1","issue":"1-2","issued":{"date-parts":[["1997"]]},"page":"39-50","title":"Stabilisation of biofuel ashes for recycling to forest soil","type":"article-journal","volume":"13"},"uris":["http://www.mendeley.com/documents/?uuid=3ae4fcb1-4c9c-45b8-9980-348d296cf940"]}],"mendeley":{"formattedCitation":"[9]","plainTextFormattedCitation":"[9]","previouslyFormattedCitation":"[9]"},"properties":{"noteIndex":0},"schema":"https://github.com/citation-style-language/schema/raw/master/csl-citation.json"}</w:instrText>
      </w:r>
      <w:r w:rsidRPr="00544E23">
        <w:rPr>
          <w:rFonts w:cs="Times New Roman"/>
          <w:b/>
          <w:lang w:val="es-ES"/>
        </w:rPr>
        <w:fldChar w:fldCharType="separate"/>
      </w:r>
      <w:r w:rsidR="00BD36D8" w:rsidRPr="00BD36D8">
        <w:rPr>
          <w:rFonts w:cs="Times New Roman"/>
          <w:noProof/>
        </w:rPr>
        <w:t>[9]</w:t>
      </w:r>
      <w:r w:rsidRPr="00544E23">
        <w:rPr>
          <w:rFonts w:cs="Times New Roman"/>
          <w:b/>
          <w:lang w:val="es-ES"/>
        </w:rPr>
        <w:fldChar w:fldCharType="end"/>
      </w:r>
      <w:r w:rsidRPr="00544E23">
        <w:rPr>
          <w:rFonts w:cs="Times New Roman"/>
          <w:b/>
        </w:rPr>
        <w:t xml:space="preserve"> explained that the </w:t>
      </w:r>
      <w:r w:rsidR="00D55AE6">
        <w:rPr>
          <w:rFonts w:cs="Times New Roman"/>
          <w:b/>
        </w:rPr>
        <w:t>s</w:t>
      </w:r>
      <w:r w:rsidR="00B430A5">
        <w:rPr>
          <w:rFonts w:cs="Times New Roman"/>
          <w:b/>
        </w:rPr>
        <w:t>el</w:t>
      </w:r>
      <w:r w:rsidR="00D55AE6">
        <w:rPr>
          <w:rFonts w:cs="Times New Roman"/>
          <w:b/>
        </w:rPr>
        <w:t>f-hardening</w:t>
      </w:r>
      <w:r w:rsidRPr="00544E23">
        <w:rPr>
          <w:rFonts w:cs="Times New Roman"/>
          <w:b/>
        </w:rPr>
        <w:t xml:space="preserve"> of </w:t>
      </w:r>
      <w:r w:rsidR="00EB5164">
        <w:rPr>
          <w:rFonts w:cs="Times New Roman"/>
          <w:b/>
        </w:rPr>
        <w:t>1 g</w:t>
      </w:r>
      <w:r w:rsidRPr="00544E23">
        <w:rPr>
          <w:rFonts w:cs="Times New Roman"/>
          <w:b/>
        </w:rPr>
        <w:t xml:space="preserve"> of wood ash when adding between 0.3 and 0.5 g of water</w:t>
      </w:r>
      <w:r>
        <w:rPr>
          <w:rFonts w:cs="Times New Roman"/>
          <w:b/>
        </w:rPr>
        <w:t xml:space="preserve"> as binder</w:t>
      </w:r>
      <w:r w:rsidRPr="00544E23">
        <w:rPr>
          <w:rFonts w:cs="Times New Roman"/>
          <w:b/>
        </w:rPr>
        <w:t xml:space="preserve"> depends on a number of on-going reactions which can last from days to months. The hydration of CaO to produce Ca(OH)</w:t>
      </w:r>
      <w:r w:rsidRPr="00544E23">
        <w:rPr>
          <w:rFonts w:cs="Times New Roman"/>
          <w:b/>
          <w:vertAlign w:val="subscript"/>
        </w:rPr>
        <w:t>2</w:t>
      </w:r>
      <w:r w:rsidRPr="00544E23">
        <w:rPr>
          <w:rFonts w:cs="Times New Roman"/>
          <w:b/>
        </w:rPr>
        <w:t xml:space="preserve"> is the main responsible of the </w:t>
      </w:r>
      <w:r w:rsidR="00D55AE6">
        <w:rPr>
          <w:rFonts w:cs="Times New Roman"/>
          <w:b/>
        </w:rPr>
        <w:t>curing</w:t>
      </w:r>
      <w:r w:rsidRPr="00544E23">
        <w:rPr>
          <w:rFonts w:cs="Times New Roman"/>
          <w:b/>
        </w:rPr>
        <w:t xml:space="preserve"> since the subsequent formation of CaCO</w:t>
      </w:r>
      <w:r w:rsidRPr="00544E23">
        <w:rPr>
          <w:rFonts w:cs="Times New Roman"/>
          <w:b/>
          <w:vertAlign w:val="subscript"/>
        </w:rPr>
        <w:t>3</w:t>
      </w:r>
      <w:r w:rsidRPr="00544E23">
        <w:rPr>
          <w:rFonts w:cs="Times New Roman"/>
          <w:b/>
        </w:rPr>
        <w:t xml:space="preserve"> is a much slower reaction due to the mass transfer resistance</w:t>
      </w:r>
      <w:r w:rsidR="004A5B57">
        <w:rPr>
          <w:rFonts w:cs="Times New Roman"/>
          <w:b/>
        </w:rPr>
        <w:t>, which limits</w:t>
      </w:r>
      <w:r w:rsidRPr="00544E23">
        <w:rPr>
          <w:rFonts w:cs="Times New Roman"/>
          <w:b/>
        </w:rPr>
        <w:t xml:space="preserve"> diffusion of CO</w:t>
      </w:r>
      <w:r w:rsidRPr="00544E23">
        <w:rPr>
          <w:rFonts w:cs="Times New Roman"/>
          <w:b/>
          <w:vertAlign w:val="subscript"/>
        </w:rPr>
        <w:t>2</w:t>
      </w:r>
      <w:r w:rsidRPr="00544E23">
        <w:rPr>
          <w:rFonts w:cs="Times New Roman"/>
          <w:b/>
        </w:rPr>
        <w:t xml:space="preserve"> from the atmosphere. In addition</w:t>
      </w:r>
      <w:r>
        <w:rPr>
          <w:rFonts w:cs="Times New Roman"/>
          <w:b/>
        </w:rPr>
        <w:t xml:space="preserve"> to</w:t>
      </w:r>
      <w:r w:rsidRPr="00544E23">
        <w:rPr>
          <w:rFonts w:cs="Times New Roman"/>
          <w:b/>
        </w:rPr>
        <w:t xml:space="preserve"> the solidification, Steenari and Lindqvist </w:t>
      </w:r>
      <w:r w:rsidRPr="00544E23">
        <w:rPr>
          <w:rFonts w:cs="Times New Roman"/>
          <w:b/>
          <w:lang w:val="es-ES"/>
        </w:rPr>
        <w:fldChar w:fldCharType="begin" w:fldLock="1"/>
      </w:r>
      <w:r w:rsidR="00BD36D8">
        <w:rPr>
          <w:rFonts w:cs="Times New Roman"/>
          <w:b/>
        </w:rPr>
        <w:instrText>ADDIN CSL_CITATION {"citationItems":[{"id":"ITEM-1","itemData":{"DOI":"10.1016/S0961-9534(97)00024-X","ISBN":"0961-9534","ISSN":"09619534","abstract":"A Swedish research program concerning the technical and ecological effects of wood fuel ash recycling to forest biotopes has been on-going for several years. Within this program, a study of the stabilisation of ash by the so-called self-hardening process was carried out. Chemical reactions occurring in the ash materials on water addition and during solidification were identified based on results from chemical analysis, X-ray diffraction, FTIR spectroscopic and scanning electron microscopy analysis. The stability and importance of the individual reaction products are discussed. Some results of practical importance are: alkali metals are to a large extent present as salts dissolved in the pore solution, i.e. the hardened ash should be stored in a way that protects it from rainfall; the dominant wood ash element calcium forms Ca(OH), and subsequently CaCO, during hardening anti storage: ettringite formation binds sulphur and aluminium and contributes to the stability of the ash structure; and phosphorous is bound in apatite and other compounds with low solubilities.","author":[{"dropping-particle":"","family":"Steenari","given":"B. M.","non-dropping-particle":"","parse-names":false,"suffix":""},{"dropping-particle":"","family":"Lindqvist","given":"O.","non-dropping-particle":"","parse-names":false,"suffix":""}],"container-title":"Biomass and Bioenergy","id":"ITEM-1","issue":"1-2","issued":{"date-parts":[["1997"]]},"page":"39-50","title":"Stabilisation of biofuel ashes for recycling to forest soil","type":"article-journal","volume":"13"},"uris":["http://www.mendeley.com/documents/?uuid=3ae4fcb1-4c9c-45b8-9980-348d296cf940"]}],"mendeley":{"formattedCitation":"[9]","plainTextFormattedCitation":"[9]","previouslyFormattedCitation":"[9]"},"properties":{"noteIndex":0},"schema":"https://github.com/citation-style-language/schema/raw/master/csl-citation.json"}</w:instrText>
      </w:r>
      <w:r w:rsidRPr="00544E23">
        <w:rPr>
          <w:rFonts w:cs="Times New Roman"/>
          <w:b/>
          <w:lang w:val="es-ES"/>
        </w:rPr>
        <w:fldChar w:fldCharType="separate"/>
      </w:r>
      <w:r w:rsidR="00BD36D8" w:rsidRPr="00BD36D8">
        <w:rPr>
          <w:rFonts w:cs="Times New Roman"/>
          <w:noProof/>
        </w:rPr>
        <w:t>[9]</w:t>
      </w:r>
      <w:r w:rsidRPr="00544E23">
        <w:rPr>
          <w:rFonts w:cs="Times New Roman"/>
          <w:b/>
          <w:lang w:val="es-ES"/>
        </w:rPr>
        <w:fldChar w:fldCharType="end"/>
      </w:r>
      <w:r w:rsidRPr="00544E23">
        <w:rPr>
          <w:rFonts w:cs="Times New Roman"/>
          <w:b/>
        </w:rPr>
        <w:t xml:space="preserve"> claimed that other reason for which the curing of ashes would be necessary </w:t>
      </w:r>
      <w:r w:rsidR="007E7934">
        <w:rPr>
          <w:rFonts w:cs="Times New Roman"/>
          <w:b/>
        </w:rPr>
        <w:t xml:space="preserve">is the presence of </w:t>
      </w:r>
      <w:r w:rsidRPr="00544E23">
        <w:rPr>
          <w:rFonts w:cs="Times New Roman"/>
          <w:b/>
        </w:rPr>
        <w:t>the reactive oxides and soluble salts which might have adverse effect</w:t>
      </w:r>
      <w:r w:rsidR="007E7934">
        <w:rPr>
          <w:rFonts w:cs="Times New Roman"/>
          <w:b/>
        </w:rPr>
        <w:t>s</w:t>
      </w:r>
      <w:r w:rsidRPr="00544E23">
        <w:rPr>
          <w:rFonts w:cs="Times New Roman"/>
          <w:b/>
        </w:rPr>
        <w:t xml:space="preserve"> in plants (e.g. pH shock and burning tissues). Moilanen et al. </w:t>
      </w:r>
      <w:r w:rsidRPr="00544E23">
        <w:rPr>
          <w:rStyle w:val="FootnoteReference"/>
          <w:rFonts w:cs="Times New Roman"/>
          <w:b/>
        </w:rPr>
        <w:fldChar w:fldCharType="begin" w:fldLock="1"/>
      </w:r>
      <w:r w:rsidR="00BB33F9">
        <w:rPr>
          <w:rFonts w:cs="Times New Roman"/>
          <w:b/>
        </w:rPr>
        <w:instrText>ADDIN CSL_CITATION {"citationItems":[{"id":"ITEM-1","itemData":{"DOI":"10.1016/j.foreco.2013.01.021","ISSN":"03781127","abstract":"The effects of granulated and self-hardened wood ash on the nutrient status and stem growth of middle-aged Scots pine (Pinus sylvestris L.) stands were studied at two upland and two peatland sites 13years after ash application. The study sites were located in central Finland and represented different site fertility classes. The treatments consisted of an unfertilized control and two different doses of ash, 3 and 9Mgha-1 (upland sites) or 5 and 15Mgha-1 (peatland sites) on fresh weight basis, with both types of wood ash. All four sites had a similar experimental design following the principles of randomized blocks with four replications.The effect of ash treatments on the stand growth depended on the site type and ash dose. At the nutrient-poor upland site, the ash-induced response in the basal area growth was slightly positive and at the more fertile site slightly negative. However, in all cases the growth response at the upland sites was non-significant. At peatland sites, the ash applications increased stand growth remarkably, and the ash-induced basal area response strengthened with time, especially at the more fertile site. The high application rates resulted in stronger responses than the lower doses at the peatland sites. At the end of the study period, the annual basal area increment on the plots treated with the higher application rate of ash was 1.7-1.8-fold at the nutrient-poor site and 4-5-fold at the more fertile site compared with the control.While the trees in unfertilized control plots of peatland sites had sufficient (Site 3) or even an abundance of (Site 4) available N, they were suffering from severe P and K deficiencies (Site 4) or moderate K deficiency (Site 3). Higher dose of both ash types increased needle K concentrations at both peatland sites and that of P at Site 4 above the deficiency limit. At upland sites no nutrient deficiencies were found. All ash treatments increased needle B concentrations both at upland and peatland sites. © 2013 Elsevier B.V.","author":[{"dropping-particle":"","family":"Moilanen","given":"Mikko","non-dropping-particle":"","parse-names":false,"suffix":""},{"dropping-particle":"","family":"Saarsalmi","given":"Anna","non-dropping-particle":"","parse-names":false,"suffix":""},{"dropping-particle":"","family":"Kukkola","given":"Mikko","non-dropping-particle":"","parse-names":false,"suffix":""},{"dropping-particle":"","family":"Issakainen","given":"Jorma","non-dropping-particle":"","parse-names":false,"suffix":""}],"container-title":"Forest Ecology and Management","id":"ITEM-1","issued":{"date-parts":[["2013"]]},"page":"136-144","title":"Effects of stabilized wood ash on nutrient status and growth of Scots pine - Comparison between uplands and peatlands","type":"article-journal","volume":"295"},"uris":["http://www.mendeley.com/documents/?uuid=1b7641f7-b240-479e-9873-f14bbf4e12d0"]}],"mendeley":{"formattedCitation":"[29]","plainTextFormattedCitation":"[29]","previouslyFormattedCitation":"[29]"},"properties":{"noteIndex":0},"schema":"https://github.com/citation-style-language/schema/raw/master/csl-citation.json"}</w:instrText>
      </w:r>
      <w:r w:rsidRPr="00544E23">
        <w:rPr>
          <w:rStyle w:val="FootnoteReference"/>
          <w:rFonts w:cs="Times New Roman"/>
          <w:b/>
        </w:rPr>
        <w:fldChar w:fldCharType="separate"/>
      </w:r>
      <w:r w:rsidR="00D33723" w:rsidRPr="00D33723">
        <w:rPr>
          <w:rFonts w:cs="Times New Roman"/>
          <w:noProof/>
        </w:rPr>
        <w:t>[29]</w:t>
      </w:r>
      <w:r w:rsidRPr="00544E23">
        <w:rPr>
          <w:rStyle w:val="FootnoteReference"/>
          <w:rFonts w:cs="Times New Roman"/>
          <w:b/>
        </w:rPr>
        <w:fldChar w:fldCharType="end"/>
      </w:r>
      <w:r w:rsidRPr="00544E23">
        <w:rPr>
          <w:rFonts w:cs="Times New Roman"/>
          <w:b/>
        </w:rPr>
        <w:t xml:space="preserve"> studied the use of self-hardened wood ash before and after granulation in the forest. They concluded that the amount of nutrients provided to soil is the most important factor to enhance the tree gro</w:t>
      </w:r>
      <w:r w:rsidR="00162D28">
        <w:rPr>
          <w:rFonts w:cs="Times New Roman"/>
          <w:b/>
        </w:rPr>
        <w:t>wth, despite the lower solubiliz</w:t>
      </w:r>
      <w:r w:rsidRPr="00544E23">
        <w:rPr>
          <w:rFonts w:cs="Times New Roman"/>
          <w:b/>
        </w:rPr>
        <w:t>ation rates of the self-hardened ash and the granulated ash with regard to the untreated powder ash. Thereby, advanced manufacturing (e.g. pelletiz</w:t>
      </w:r>
      <w:r w:rsidR="0062612A">
        <w:rPr>
          <w:rFonts w:cs="Times New Roman"/>
          <w:b/>
        </w:rPr>
        <w:t>ation) is encouraged to make easier</w:t>
      </w:r>
      <w:r w:rsidRPr="00544E23">
        <w:rPr>
          <w:rFonts w:cs="Times New Roman"/>
          <w:b/>
        </w:rPr>
        <w:t xml:space="preserve"> spreading (i.e. prevent the formation of dust during land application) and to avoid excessive leaching of nutrients after land application.</w:t>
      </w:r>
    </w:p>
    <w:p w14:paraId="6F325571" w14:textId="72DECE03" w:rsidR="00773FBA" w:rsidRDefault="00413025" w:rsidP="00847157">
      <w:pPr>
        <w:keepNext/>
        <w:spacing w:line="360" w:lineRule="auto"/>
        <w:rPr>
          <w:rFonts w:cs="Times New Roman"/>
          <w:b/>
        </w:rPr>
      </w:pPr>
      <w:r w:rsidRPr="00544E23">
        <w:rPr>
          <w:rFonts w:cs="Times New Roman"/>
          <w:b/>
          <w:noProof/>
          <w:szCs w:val="24"/>
        </w:rPr>
        <w:t xml:space="preserve">Pesonen et al </w:t>
      </w:r>
      <w:r w:rsidRPr="00544E23">
        <w:rPr>
          <w:rStyle w:val="FootnoteReference"/>
          <w:rFonts w:cs="Times New Roman"/>
          <w:b/>
        </w:rPr>
        <w:fldChar w:fldCharType="begin" w:fldLock="1"/>
      </w:r>
      <w:r w:rsidR="00BB33F9">
        <w:rPr>
          <w:rFonts w:cs="Times New Roman"/>
          <w:b/>
        </w:rPr>
        <w:instrText>ADDIN CSL_CITATION {"citationItems":[{"id":"ITEM-1","itemData":{"DOI":"10.1016/j.jece.2015.12.035","ISSN":"22133437","abstract":"Both the current growth strategy and environmental policies of the European Union (EU) aim to increase the amount of renewable energy and to improve the use of waste streams. This will increase the amount of bio-ash from biomass combustion in the future, thereby increasing the need for its utilization, with fertilizer use the most natural target for bio-ash. Wood ash, in particular, contains all the nutrients that plants need, in almost the correct proportions, excluding nitrogen, which is released into the atmosphere during combustion. Nitrogen could be added to ash fertilizers by co-granulating bio-ash, for example, with sewage sludge. However, co-granulation has not been studied extensively. This study investigated co-granulation of bio-ash with sewage sludge and lime. It measured compressive strengths, neutralizing values, and elemental concentrations of the granules. The concentrations of heavy metals (As, Cd, Cr, Cu, Pb, Ni, and Zn) in the granules were sufficiently low not to prevent their use in forest fertilizer use according to Finnish legislation. Overall, the concentrations of nutrients (Ca, K, and P) were reasonably high. The addition of lime improved the neutralizing capacity of the studied granules, and the addition of sewage sludge increased their nitrogen content. The addition of sewage sludge considerably lowered the compressive strength of the granules, and the addition of lime (slaked lime) did not improve the strength of the granules. From a technical point of view, the co-granulation was very successful.","author":[{"dropping-particle":"","family":"Pesonen","given":"Janne","non-dropping-particle":"","parse-names":false,"suffix":""},{"dropping-particle":"","family":"Kuokkanen","given":"Ville","non-dropping-particle":"","parse-names":false,"suffix":""},{"dropping-particle":"","family":"Kuokkanen","given":"Toivo","non-dropping-particle":"","parse-names":false,"suffix":""},{"dropping-particle":"","family":"Illikainen","given":"Mirja","non-dropping-particle":"","parse-names":false,"suffix":""}],"container-title":"Journal of Environmental Chemical Engineering","id":"ITEM-1","issue":"4","issued":{"date-parts":[["2016"]]},"page":"4817-4821","publisher":"Elsevier B.V.","title":"Co-granulation of bio-ash with sewage sludge and lime for fertilizer use","type":"article-journal","volume":"4"},"uris":["http://www.mendeley.com/documents/?uuid=77ff501e-6c38-446c-8ee1-3550a33c664c"]}],"mendeley":{"formattedCitation":"[28]","plainTextFormattedCitation":"[28]","previouslyFormattedCitation":"[28]"},"properties":{"noteIndex":0},"schema":"https://github.com/citation-style-language/schema/raw/master/csl-citation.json"}</w:instrText>
      </w:r>
      <w:r w:rsidRPr="00544E23">
        <w:rPr>
          <w:rStyle w:val="FootnoteReference"/>
          <w:rFonts w:cs="Times New Roman"/>
          <w:b/>
        </w:rPr>
        <w:fldChar w:fldCharType="separate"/>
      </w:r>
      <w:r w:rsidR="00D33723" w:rsidRPr="00D33723">
        <w:rPr>
          <w:rFonts w:cs="Times New Roman"/>
          <w:bCs/>
          <w:noProof/>
        </w:rPr>
        <w:t>[28]</w:t>
      </w:r>
      <w:r w:rsidRPr="00544E23">
        <w:rPr>
          <w:rStyle w:val="FootnoteReference"/>
          <w:rFonts w:cs="Times New Roman"/>
          <w:b/>
        </w:rPr>
        <w:fldChar w:fldCharType="end"/>
      </w:r>
      <w:r w:rsidRPr="00544E23">
        <w:rPr>
          <w:rFonts w:cs="Times New Roman"/>
          <w:b/>
        </w:rPr>
        <w:t xml:space="preserve"> </w:t>
      </w:r>
      <w:r w:rsidR="00DE768C">
        <w:rPr>
          <w:rFonts w:cs="Times New Roman"/>
          <w:b/>
        </w:rPr>
        <w:t>re</w:t>
      </w:r>
      <w:r w:rsidR="00922862">
        <w:rPr>
          <w:rFonts w:cs="Times New Roman"/>
          <w:b/>
        </w:rPr>
        <w:t>ported the smell of ammonia duri</w:t>
      </w:r>
      <w:r w:rsidR="00F26477">
        <w:rPr>
          <w:rFonts w:cs="Times New Roman"/>
          <w:b/>
        </w:rPr>
        <w:t>ng the granulation of a fertiliz</w:t>
      </w:r>
      <w:r w:rsidR="00922862">
        <w:rPr>
          <w:rFonts w:cs="Times New Roman"/>
          <w:b/>
        </w:rPr>
        <w:t>er</w:t>
      </w:r>
      <w:r w:rsidRPr="00544E23">
        <w:rPr>
          <w:rFonts w:cs="Times New Roman"/>
          <w:b/>
        </w:rPr>
        <w:t xml:space="preserve"> based on b</w:t>
      </w:r>
      <w:r w:rsidR="00922862">
        <w:rPr>
          <w:rFonts w:cs="Times New Roman"/>
          <w:b/>
        </w:rPr>
        <w:t>iomass ash and dewatered sludge</w:t>
      </w:r>
      <w:r w:rsidRPr="00544E23">
        <w:rPr>
          <w:rFonts w:cs="Times New Roman"/>
          <w:b/>
        </w:rPr>
        <w:t>.</w:t>
      </w:r>
      <w:r w:rsidR="00922862">
        <w:rPr>
          <w:rFonts w:cs="Times New Roman"/>
          <w:b/>
        </w:rPr>
        <w:t xml:space="preserve"> </w:t>
      </w:r>
      <w:r w:rsidR="00FE27BB">
        <w:rPr>
          <w:rFonts w:cs="Times New Roman"/>
          <w:b/>
        </w:rPr>
        <w:t>Although t</w:t>
      </w:r>
      <w:r w:rsidR="00922862">
        <w:rPr>
          <w:rFonts w:cs="Times New Roman"/>
          <w:b/>
        </w:rPr>
        <w:t>he</w:t>
      </w:r>
      <w:r w:rsidR="00FE1238">
        <w:rPr>
          <w:rFonts w:cs="Times New Roman"/>
          <w:b/>
        </w:rPr>
        <w:t>y</w:t>
      </w:r>
      <w:r w:rsidR="00922862">
        <w:rPr>
          <w:rFonts w:cs="Times New Roman"/>
          <w:b/>
        </w:rPr>
        <w:t xml:space="preserve"> include</w:t>
      </w:r>
      <w:r w:rsidR="00FE1238">
        <w:rPr>
          <w:rFonts w:cs="Times New Roman"/>
          <w:b/>
        </w:rPr>
        <w:t>d</w:t>
      </w:r>
      <w:r w:rsidR="00922862">
        <w:rPr>
          <w:rFonts w:cs="Times New Roman"/>
          <w:b/>
        </w:rPr>
        <w:t xml:space="preserve"> Ca(OH)</w:t>
      </w:r>
      <w:r w:rsidR="00922862" w:rsidRPr="00922862">
        <w:rPr>
          <w:rFonts w:cs="Times New Roman"/>
          <w:b/>
          <w:vertAlign w:val="subscript"/>
        </w:rPr>
        <w:t>2</w:t>
      </w:r>
      <w:r w:rsidR="00922862">
        <w:rPr>
          <w:rFonts w:cs="Times New Roman"/>
          <w:b/>
        </w:rPr>
        <w:t xml:space="preserve"> in the blends</w:t>
      </w:r>
      <w:r w:rsidR="00FE27BB">
        <w:rPr>
          <w:rFonts w:cs="Times New Roman"/>
          <w:b/>
        </w:rPr>
        <w:t>,</w:t>
      </w:r>
      <w:r w:rsidR="00922862">
        <w:rPr>
          <w:rFonts w:cs="Times New Roman"/>
          <w:b/>
        </w:rPr>
        <w:t xml:space="preserve"> the</w:t>
      </w:r>
      <w:r w:rsidR="00FE1238">
        <w:rPr>
          <w:rFonts w:cs="Times New Roman"/>
          <w:b/>
        </w:rPr>
        <w:t xml:space="preserve"> </w:t>
      </w:r>
      <w:r w:rsidR="00E149F3">
        <w:rPr>
          <w:rFonts w:cs="Times New Roman"/>
          <w:b/>
        </w:rPr>
        <w:t>compressive strength</w:t>
      </w:r>
      <w:r w:rsidR="00FE1238">
        <w:rPr>
          <w:rFonts w:cs="Times New Roman"/>
          <w:b/>
        </w:rPr>
        <w:t xml:space="preserve"> </w:t>
      </w:r>
      <w:r w:rsidR="00E149F3">
        <w:rPr>
          <w:rFonts w:cs="Times New Roman"/>
          <w:b/>
        </w:rPr>
        <w:t>of the</w:t>
      </w:r>
      <w:r w:rsidR="00FE1238">
        <w:rPr>
          <w:rFonts w:cs="Times New Roman"/>
          <w:b/>
        </w:rPr>
        <w:t xml:space="preserve"> granules</w:t>
      </w:r>
      <w:r w:rsidR="00FE27BB">
        <w:rPr>
          <w:rFonts w:cs="Times New Roman"/>
          <w:b/>
        </w:rPr>
        <w:t xml:space="preserve"> did not increase</w:t>
      </w:r>
      <w:r w:rsidR="00922862">
        <w:rPr>
          <w:rFonts w:cs="Times New Roman"/>
          <w:b/>
        </w:rPr>
        <w:t>.</w:t>
      </w:r>
      <w:r w:rsidRPr="00544E23">
        <w:rPr>
          <w:rFonts w:cs="Times New Roman"/>
          <w:b/>
        </w:rPr>
        <w:t xml:space="preserve"> Mudryk et al. </w:t>
      </w:r>
      <w:r w:rsidRPr="00544E23">
        <w:rPr>
          <w:rFonts w:cs="Times New Roman"/>
          <w:b/>
        </w:rPr>
        <w:fldChar w:fldCharType="begin" w:fldLock="1"/>
      </w:r>
      <w:r w:rsidR="00BB33F9">
        <w:rPr>
          <w:rFonts w:cs="Times New Roman"/>
          <w:b/>
        </w:rPr>
        <w:instrText>ADDIN CSL_CITATION {"citationItems":[{"id":"ITEM-1","itemData":{"DOI":"10.1007/978-3-319-72371-6_80","ISBN":"978-3-319-72370-9","abstract":"Grasslands are crucial in the surrounding ecosystem. Over the last ﬁve years a share of grasslands in agriculture decreased from 3.32 m ha in 2010 to 3.00 m ha in 2015, contrary to the number of cattle—from 5.86 m LSU in 2013 to 5.96 m LSU in 2015. The cultivation of grasses, legumes or mixtures of grasses positively affects the reproduction of the soil organic matter, where a reproduction coefﬁcient ranges from +0.95 to +2.10. Just to illustrate, the cultivation of cereals— about 0.5; corn—1.1; and roots—1.2. In the carbon dioxide balance the reduction of CO2 in grasslands is estimated to be 7 kg ha−1 h−1. Considering the diminishing area of grasslands, the objective of research was to estimate the quantity of carbon dioxide reduced by grasslands, the potential of unused biomass and the energy potential of grasslands. Those calculations have been conducted for Polish provinces over the last four years. Research estimates that the reduction of CO2 in meadows of grasslands in Poland amounted to 103.3 m Mg in 2016 with an upward trend over the last four years, whereas the potential of unused biomass equalled to 18.3 m Mg with a downward trend. The energy potential of grasslands was estimated for fuels such as briquette (82.4 PJ), torreﬁed biomass (62.5 PJ), and biogas (10.5 PJ) in 2016 with a downward trend over the last four years.","author":[{"dropping-particle":"","family":"Mudryk","given":"Krzysztof","non-dropping-particle":"","parse-names":false,"suffix":""},{"dropping-particle":"","family":"Frączek","given":"Jarosław","non-dropping-particle":"","parse-names":false,"suffix":""},{"dropping-particle":"","family":"Wróbel","given":"Marek","non-dropping-particle":"","parse-names":false,"suffix":""},{"dropping-particle":"","family":"Jewiarz","given":"Marcin","non-dropping-particle":"","parse-names":false,"suffix":""},{"dropping-particle":"","family":"Dziedzic","given":"Krzysztof","non-dropping-particle":"","parse-names":false,"suffix":""}],"container-title":"Renewable Energy Sources: Engineering, Technology, Innovation, Springer","editor":[{"dropping-particle":"","family":"Krzysztof","given":"Mudryk","non-dropping-particle":"","parse-names":false,"suffix":""},{"dropping-particle":"","family":"Sebastian","given":"Werle","non-dropping-particle":"","parse-names":false,"suffix":""}],"id":"ITEM-1","issue":"January","issued":{"date-parts":[["2018"]]},"page":"823-834","publisher":"Springer","title":"Agglomeration of Ash-Based Fertilizer Mixtures from Biomass Combustion and Digestate","type":"chapter"},"uris":["http://www.mendeley.com/documents/?uuid=494710cf-0b49-4b2c-86c4-50e9515523b9"]}],"mendeley":{"formattedCitation":"[27]","plainTextFormattedCitation":"[27]","previouslyFormattedCitation":"[27]"},"properties":{"noteIndex":0},"schema":"https://github.com/citation-style-language/schema/raw/master/csl-citation.json"}</w:instrText>
      </w:r>
      <w:r w:rsidRPr="00544E23">
        <w:rPr>
          <w:rFonts w:cs="Times New Roman"/>
          <w:b/>
        </w:rPr>
        <w:fldChar w:fldCharType="separate"/>
      </w:r>
      <w:r w:rsidR="00D33723" w:rsidRPr="00D33723">
        <w:rPr>
          <w:rFonts w:cs="Times New Roman"/>
          <w:noProof/>
        </w:rPr>
        <w:t>[27]</w:t>
      </w:r>
      <w:r w:rsidRPr="00544E23">
        <w:rPr>
          <w:rFonts w:cs="Times New Roman"/>
          <w:b/>
        </w:rPr>
        <w:fldChar w:fldCharType="end"/>
      </w:r>
      <w:r w:rsidR="00EB5164">
        <w:rPr>
          <w:rFonts w:cs="Times New Roman"/>
          <w:b/>
        </w:rPr>
        <w:t xml:space="preserve"> assessed three</w:t>
      </w:r>
      <w:r w:rsidRPr="00544E23">
        <w:rPr>
          <w:rFonts w:cs="Times New Roman"/>
          <w:b/>
        </w:rPr>
        <w:t xml:space="preserve"> agglomeration techniques for blends ranging from 0.33 to 3 g of waste wood ash per gram of dewatered digestate, with moisture content of 10%, 15%, and 18% required for binding. Based on the results of Mudryk et al. </w:t>
      </w:r>
      <w:r w:rsidRPr="00544E23">
        <w:rPr>
          <w:rFonts w:cs="Times New Roman"/>
          <w:b/>
        </w:rPr>
        <w:fldChar w:fldCharType="begin" w:fldLock="1"/>
      </w:r>
      <w:r w:rsidR="00BB33F9">
        <w:rPr>
          <w:rFonts w:cs="Times New Roman"/>
          <w:b/>
        </w:rPr>
        <w:instrText>ADDIN CSL_CITATION {"citationItems":[{"id":"ITEM-1","itemData":{"DOI":"10.1007/978-3-319-72371-6_80","ISBN":"978-3-319-72370-9","abstract":"Grasslands are crucial in the surrounding ecosystem. Over the last ﬁve years a share of grasslands in agriculture decreased from 3.32 m ha in 2010 to 3.00 m ha in 2015, contrary to the number of cattle—from 5.86 m LSU in 2013 to 5.96 m LSU in 2015. The cultivation of grasses, legumes or mixtures of grasses positively affects the reproduction of the soil organic matter, where a reproduction coefﬁcient ranges from +0.95 to +2.10. Just to illustrate, the cultivation of cereals— about 0.5; corn—1.1; and roots—1.2. In the carbon dioxide balance the reduction of CO2 in grasslands is estimated to be 7 kg ha−1 h−1. Considering the diminishing area of grasslands, the objective of research was to estimate the quantity of carbon dioxide reduced by grasslands, the potential of unused biomass and the energy potential of grasslands. Those calculations have been conducted for Polish provinces over the last four years. Research estimates that the reduction of CO2 in meadows of grasslands in Poland amounted to 103.3 m Mg in 2016 with an upward trend over the last four years, whereas the potential of unused biomass equalled to 18.3 m Mg with a downward trend. The energy potential of grasslands was estimated for fuels such as briquette (82.4 PJ), torreﬁed biomass (62.5 PJ), and biogas (10.5 PJ) in 2016 with a downward trend over the last four years.","autho</w:instrText>
      </w:r>
      <w:r w:rsidR="00BB33F9" w:rsidRPr="00B461A5">
        <w:rPr>
          <w:rFonts w:cs="Times New Roman"/>
          <w:b/>
          <w:lang w:val="fr-FR"/>
        </w:rPr>
        <w:instrText>r":[{"dropping-particle":"","family":"Mudryk","given":"Krzysztof","non-dropping-particle":"","parse-names":false,"suffix":""},{"dropping-particle":"","family":"Frączek","given":"Jarosław","non-dropping-particle":"","parse-names":false,"suffix":""},{"dropping-particle":"","family":"Wróbel","given":"Marek","non-dropping-particle":"","parse-names":false,"suffix":""},{"dropping-particle":"","family":"Jewiarz","given":"Marcin","non-dropping-particle":"","parse-names":false,"suffix":""},{"dropping-particle":"","family":"Dziedzic","given":"Krzysztof","non-dropping-particle":"","parse-names":false,"suffix":""}],"container-title":"Renewable Energy Sources: Engineering, Technology, Innovation, Springer","editor":[{"dropping-particle":"","family":"Krzysztof","given":"Mudryk","non-dropping-particle":"","parse-names":false,"suffix":""},{"dropping-particle":"","family":"Sebastian","given":"Werle","non-dropping-particle":"","parse-names":false,"suffix":""}],"id":"ITEM-1","issue":"January","issued":{"date-parts":[["2018"]]},"page":"823-834","publisher":"Springer","title":"Agglomeration of Ash-Based Fertilizer Mixtures from Biomass Combustion and Digestate","type":"chapter"},"uris":["http://www.mendeley.com/documents/?uuid=494710cf-0b49-4b2c-86c4-50e9515523b9"]}],"mendeley":{"formattedCitation":"[27]","plainTextFormattedCitation":"[27]","previouslyFormattedCitation":"[27]"},"properties":{"noteIndex":0},"schema":"https://github.com/citation-style-language/schema/raw/master/csl-citation.json"}</w:instrText>
      </w:r>
      <w:r w:rsidRPr="00544E23">
        <w:rPr>
          <w:rFonts w:cs="Times New Roman"/>
          <w:b/>
        </w:rPr>
        <w:fldChar w:fldCharType="separate"/>
      </w:r>
      <w:r w:rsidR="00D33723" w:rsidRPr="00B461A5">
        <w:rPr>
          <w:rFonts w:cs="Times New Roman"/>
          <w:noProof/>
          <w:lang w:val="fr-FR"/>
        </w:rPr>
        <w:t>[27]</w:t>
      </w:r>
      <w:r w:rsidRPr="00544E23">
        <w:rPr>
          <w:rFonts w:cs="Times New Roman"/>
          <w:b/>
        </w:rPr>
        <w:fldChar w:fldCharType="end"/>
      </w:r>
      <w:r w:rsidRPr="00B461A5">
        <w:rPr>
          <w:rFonts w:cs="Times New Roman"/>
          <w:b/>
          <w:lang w:val="fr-FR"/>
        </w:rPr>
        <w:t xml:space="preserve">, </w:t>
      </w:r>
      <w:r w:rsidRPr="00B461A5">
        <w:rPr>
          <w:rFonts w:cs="Times New Roman"/>
          <w:b/>
          <w:noProof/>
          <w:szCs w:val="24"/>
          <w:lang w:val="fr-FR"/>
        </w:rPr>
        <w:t xml:space="preserve">Jewiarz et al. </w:t>
      </w:r>
      <w:r w:rsidRPr="00544E23">
        <w:rPr>
          <w:rStyle w:val="FootnoteReference"/>
          <w:rFonts w:cs="Times New Roman"/>
          <w:b/>
        </w:rPr>
        <w:fldChar w:fldCharType="begin" w:fldLock="1"/>
      </w:r>
      <w:r w:rsidR="00BB33F9" w:rsidRPr="00B461A5">
        <w:rPr>
          <w:rFonts w:cs="Times New Roman"/>
          <w:b/>
          <w:lang w:val="fr-FR"/>
        </w:rPr>
        <w:instrText>ADDIN CSL_CITATION {"citationItems":[{"id":"ITEM-1","itemData":{"DOI":"10.1051/matecconf/201816804004","ISSN":"2261236X","abstract":"Paper presents design process of the prototype line, dedicated for production of fertilizer pellets from digestate-ash mixture. For enrichment of the nutritional characteristics of the final product additives were also used, like urea, elemental sulphur or phosphorite, and special fungal strains from Trichoderma spieces. During this process raw material will be dried (raw digestated), mixed, granulated and packed in one technological line. Presented concept, shows that there is possible to produce high quality fertilizer, from waste materials derrived form Green energy production, what should be one of very interesting ways to develop digestate and ash from biomass combustion.","author":[{"dropping-particle":"","family":"Jewiarz","given":"Marcin","non-dropping-particle":"","parse-names":false,"suffix":""},{"dropping-particle":"","family":"Wróbel","given":"Marek","non-dropping-particle":"","parse-names":false,"suffix":""},{"dropping-particle":"","family":"Fraczek","given":"Jarosław","non-dropping-particle":"","parse-names":false,"suffix":""},{"dropping-particle":"","family":"Mudryk","given":"Krzysztof","non-dropping-particle":"","parse-names":false,"suffix":""},{"dropping-particle":"","family":"Dziedzic","given":"Krzysztof","non-dropping-particle":"","parse-names":false,"suffix":""}],"container-title":"MATEC Web of Conferences","id":"ITEM-1","issued":{"date-parts":[["2018"]]},"page":"1-6","title":"Digestate, ash and Trichoderm based fertilizer-production line concept design","type":"article-journal","volume":"168"},"uris":["http://www.mendeley.com/documents/?uuid=4e5c8dea-db00-4ec9-9082-e07b71e03741"]}],"mendeley":{"formattedCitation":"[30]","plainTextFormattedCitation":"[30]","previouslyFormattedCitation":"[30]"},"properties":{"noteIndex":0},"schema":"https://github.com/citation-style-language/schema/raw/master/csl-citation.json"}</w:instrText>
      </w:r>
      <w:r w:rsidRPr="00544E23">
        <w:rPr>
          <w:rStyle w:val="FootnoteReference"/>
          <w:rFonts w:cs="Times New Roman"/>
          <w:b/>
        </w:rPr>
        <w:fldChar w:fldCharType="separate"/>
      </w:r>
      <w:r w:rsidR="00D33723" w:rsidRPr="00B461A5">
        <w:rPr>
          <w:rFonts w:cs="Times New Roman"/>
          <w:bCs/>
          <w:noProof/>
          <w:lang w:val="fr-FR"/>
        </w:rPr>
        <w:t>[30]</w:t>
      </w:r>
      <w:r w:rsidRPr="00544E23">
        <w:rPr>
          <w:rStyle w:val="FootnoteReference"/>
          <w:rFonts w:cs="Times New Roman"/>
          <w:b/>
        </w:rPr>
        <w:fldChar w:fldCharType="end"/>
      </w:r>
      <w:r w:rsidRPr="00B461A5">
        <w:rPr>
          <w:rFonts w:cs="Times New Roman"/>
          <w:b/>
          <w:lang w:val="fr-FR"/>
        </w:rPr>
        <w:t xml:space="preserve"> proposed the entire process for the production of this granular fertilizer. </w:t>
      </w:r>
      <w:r w:rsidR="00847157" w:rsidRPr="00847157">
        <w:rPr>
          <w:rFonts w:cs="Times New Roman"/>
          <w:b/>
        </w:rPr>
        <w:t>I</w:t>
      </w:r>
      <w:r w:rsidR="00847157">
        <w:rPr>
          <w:rFonts w:cs="Times New Roman"/>
          <w:b/>
        </w:rPr>
        <w:t>n this</w:t>
      </w:r>
      <w:r w:rsidRPr="00544E23">
        <w:rPr>
          <w:rFonts w:cs="Times New Roman"/>
          <w:b/>
        </w:rPr>
        <w:t xml:space="preserve"> process</w:t>
      </w:r>
      <w:r w:rsidR="007E7934">
        <w:rPr>
          <w:rFonts w:cs="Times New Roman"/>
          <w:b/>
        </w:rPr>
        <w:t>,</w:t>
      </w:r>
      <w:r w:rsidRPr="00544E23">
        <w:rPr>
          <w:rFonts w:cs="Times New Roman"/>
          <w:b/>
        </w:rPr>
        <w:t xml:space="preserve"> the combustion o</w:t>
      </w:r>
      <w:r w:rsidR="00FE27BB">
        <w:rPr>
          <w:rFonts w:cs="Times New Roman"/>
          <w:b/>
        </w:rPr>
        <w:t>f biomass</w:t>
      </w:r>
      <w:r w:rsidR="00847157">
        <w:rPr>
          <w:rFonts w:cs="Times New Roman"/>
          <w:b/>
        </w:rPr>
        <w:t xml:space="preserve"> is used</w:t>
      </w:r>
      <w:r w:rsidR="00B461A5">
        <w:rPr>
          <w:rFonts w:cs="Times New Roman"/>
          <w:b/>
        </w:rPr>
        <w:t xml:space="preserve"> to</w:t>
      </w:r>
      <w:r w:rsidR="00FE27BB">
        <w:rPr>
          <w:rFonts w:cs="Times New Roman"/>
          <w:b/>
        </w:rPr>
        <w:t xml:space="preserve"> dry</w:t>
      </w:r>
      <w:r w:rsidR="00FB2BE5">
        <w:rPr>
          <w:rFonts w:cs="Times New Roman"/>
          <w:b/>
        </w:rPr>
        <w:t xml:space="preserve"> up</w:t>
      </w:r>
      <w:r w:rsidR="00FE27BB">
        <w:rPr>
          <w:rFonts w:cs="Times New Roman"/>
          <w:b/>
        </w:rPr>
        <w:t xml:space="preserve"> </w:t>
      </w:r>
      <w:r w:rsidRPr="00544E23">
        <w:rPr>
          <w:rFonts w:cs="Times New Roman"/>
          <w:b/>
        </w:rPr>
        <w:t>the digestate</w:t>
      </w:r>
      <w:r w:rsidR="00FB2BE5">
        <w:rPr>
          <w:rFonts w:cs="Times New Roman"/>
          <w:b/>
        </w:rPr>
        <w:t xml:space="preserve"> until acceptable levels for the subsequent granulation</w:t>
      </w:r>
      <w:r w:rsidR="00FB1266">
        <w:rPr>
          <w:rFonts w:cs="Times New Roman"/>
          <w:b/>
        </w:rPr>
        <w:t xml:space="preserve"> of the blend with the ash</w:t>
      </w:r>
      <w:r w:rsidRPr="00544E23">
        <w:rPr>
          <w:rFonts w:cs="Times New Roman"/>
          <w:b/>
        </w:rPr>
        <w:t>.</w:t>
      </w:r>
      <w:r w:rsidR="00FE27BB">
        <w:rPr>
          <w:rFonts w:cs="Times New Roman"/>
          <w:b/>
        </w:rPr>
        <w:t xml:space="preserve"> Other way of using the ashes to enhance the dewatering of the digestate</w:t>
      </w:r>
      <w:r w:rsidR="00360D72" w:rsidRPr="00360D72">
        <w:rPr>
          <w:rFonts w:cs="Times New Roman"/>
          <w:b/>
          <w:i/>
          <w:sz w:val="16"/>
          <w:szCs w:val="16"/>
        </w:rPr>
        <w:t xml:space="preserve"> </w:t>
      </w:r>
      <w:r w:rsidR="00847157">
        <w:rPr>
          <w:rFonts w:cs="Times New Roman"/>
          <w:b/>
          <w:szCs w:val="20"/>
        </w:rPr>
        <w:t>was tested by</w:t>
      </w:r>
      <w:r w:rsidR="00360D72" w:rsidRPr="00FE27BB">
        <w:rPr>
          <w:rFonts w:cs="Times New Roman"/>
          <w:b/>
          <w:szCs w:val="20"/>
        </w:rPr>
        <w:t xml:space="preserve"> Zheng et al. </w:t>
      </w:r>
      <w:r w:rsidR="00360D72" w:rsidRPr="00FE27BB">
        <w:rPr>
          <w:rStyle w:val="FootnoteReference"/>
          <w:rFonts w:cs="Times New Roman"/>
          <w:b/>
          <w:szCs w:val="20"/>
        </w:rPr>
        <w:fldChar w:fldCharType="begin" w:fldLock="1"/>
      </w:r>
      <w:r w:rsidR="00BB33F9">
        <w:rPr>
          <w:rFonts w:cs="Times New Roman"/>
          <w:b/>
          <w:szCs w:val="20"/>
        </w:rPr>
        <w:instrText>ADDIN CSL_CITATION {"citationItems":[{"id":"ITEM-1","itemData":{"DOI":"10.1016/j.seppur.2016.01.052","ISSN":"18733794","abstract":"In this study, the effects and mechanism of pretreating digestates with cetyltrimethylammonium bromide (CTAB) and coal fly ash (CFA) were investigated. The water content (WC) and specific resistance of filtration (SRF) of the digestates were measured to evaluate the digestate dewaterability. The protein (PN) content, polysaccharide (PS) content, zeta potential and particle size of the digestates were measured to probe the mechanism of pretreatment. The results indicated that the digestate dewatering performance was effectively improved by joint conditioning with CTAB and CFA. For straw digestate (St-digestate), pig manure digestate (PM-digestate), cow dung digestate (CD-digestate) and kitchen waste digestate (KW-digestate), the optimum dosage of CTAB was 50%, 30%, 20% and 50% dry solid (DS) of digestate, respectively, and the optimum dosage of CFA was 100% DS of digestate. Co-conditioning with CTAB and CFA resulted in clear advantages compared to CTAB or CFA conditioning alone for decreasing the WC of digestates. The proposed mechanism is the synergistic effect of CTAB and CFA. CTAB releases extracellular polymeric substances (EPS) and neutralizes charge, and CFA acts as a skeleton builder in the dewatering process to enhance dewaterability. Finally, a green degree method for the environmental assessment of chemical processes was adopted to evaluate digestate dewatering.","author":[{"dropping-particle":"","family":"Zheng","given":"Yangqing","non-dropping-particle":"","parse-names":false,"suffix":""},{"dropping-particle":"","family":"Ke","given":"Lanting","non-dropping-particle":"","parse-names":false,"suffix":""},{"dropping-particle":"","family":"Xia","given":"Dong","non-dropping-particle":"","parse-names":false,"suffix":""},{"dropping-particle":"","family":"Zheng","given":"Yanmei","non-dropping-particle":"","parse-names":false,"suffix":""},{"dropping-particle":"","family":"Wang","given":"Yuanpeng","non-dropping-particle":"","parse-names":false,"suffix":""},{"dropping-particle":"","family":"Li","given":"Heng","non-dropping-particle":"","parse-names":false,"suffix":""},{"dropping-particle":"","family":"Li","given":"Qingbiao","non-dropping-particle":"","parse-names":false,"suffix":""}],"container-title":"Separation and Purification Technology","id":"ITEM-1","issued":{"date-parts":[["2016"]]},"page":"282-289","publisher":"Elsevier B.V.","title":"Enhancement of digestates dewaterability by CTAB combined with CFA pretreatment","type":"article-journal","volume":"163"},"uris":["http://www.mendeley.com/documents/?uuid=14bb094d-84bb-492a-82ac-b2bd351faf1b"]}],"mendeley":{"formattedCitation":"[31]","plainTextFormattedCitation":"[31]","previouslyFormattedCitation":"[31]"},"properties":{"noteIndex":0},"schema":"https://github.com/citation-style-language/schema/raw/master/csl-citation.json"}</w:instrText>
      </w:r>
      <w:r w:rsidR="00360D72" w:rsidRPr="00FE27BB">
        <w:rPr>
          <w:rStyle w:val="FootnoteReference"/>
          <w:rFonts w:cs="Times New Roman"/>
          <w:b/>
          <w:szCs w:val="20"/>
        </w:rPr>
        <w:fldChar w:fldCharType="separate"/>
      </w:r>
      <w:r w:rsidR="00D33723" w:rsidRPr="00D33723">
        <w:rPr>
          <w:rFonts w:cs="Times New Roman"/>
          <w:noProof/>
          <w:szCs w:val="20"/>
        </w:rPr>
        <w:t>[31]</w:t>
      </w:r>
      <w:r w:rsidR="00360D72" w:rsidRPr="00FE27BB">
        <w:rPr>
          <w:rStyle w:val="FootnoteReference"/>
          <w:rFonts w:cs="Times New Roman"/>
          <w:b/>
          <w:szCs w:val="20"/>
        </w:rPr>
        <w:fldChar w:fldCharType="end"/>
      </w:r>
      <w:r w:rsidR="00847157">
        <w:rPr>
          <w:rFonts w:cs="Times New Roman"/>
          <w:b/>
          <w:szCs w:val="20"/>
        </w:rPr>
        <w:t xml:space="preserve">, who </w:t>
      </w:r>
      <w:r w:rsidR="00360D72" w:rsidRPr="00FE27BB">
        <w:rPr>
          <w:rFonts w:cs="Times New Roman"/>
          <w:b/>
          <w:szCs w:val="20"/>
        </w:rPr>
        <w:t>used coal fly ash as physical conditioner to reduce the filter cake compressibility.</w:t>
      </w:r>
      <w:r w:rsidR="00FE27BB" w:rsidRPr="00FE27BB">
        <w:rPr>
          <w:rFonts w:cs="Times New Roman"/>
          <w:b/>
          <w:szCs w:val="20"/>
        </w:rPr>
        <w:t xml:space="preserve"> The</w:t>
      </w:r>
      <w:r w:rsidR="001A071D" w:rsidRPr="00FE27BB">
        <w:rPr>
          <w:rFonts w:cs="Times New Roman"/>
          <w:b/>
          <w:szCs w:val="20"/>
        </w:rPr>
        <w:t>s</w:t>
      </w:r>
      <w:r w:rsidR="00FE27BB" w:rsidRPr="00FE27BB">
        <w:rPr>
          <w:rFonts w:cs="Times New Roman"/>
          <w:b/>
          <w:szCs w:val="20"/>
        </w:rPr>
        <w:t>e</w:t>
      </w:r>
      <w:r w:rsidR="001A071D" w:rsidRPr="00FE27BB">
        <w:rPr>
          <w:rFonts w:cs="Times New Roman"/>
          <w:b/>
          <w:szCs w:val="20"/>
        </w:rPr>
        <w:t xml:space="preserve"> </w:t>
      </w:r>
      <w:r w:rsidR="00FE27BB" w:rsidRPr="00FE27BB">
        <w:rPr>
          <w:rFonts w:cs="Times New Roman"/>
          <w:b/>
          <w:szCs w:val="20"/>
        </w:rPr>
        <w:t>are</w:t>
      </w:r>
      <w:r w:rsidR="001A071D" w:rsidRPr="00FE27BB">
        <w:rPr>
          <w:rFonts w:cs="Times New Roman"/>
          <w:b/>
          <w:szCs w:val="20"/>
        </w:rPr>
        <w:t xml:space="preserve"> example</w:t>
      </w:r>
      <w:r w:rsidR="00FE27BB" w:rsidRPr="00FE27BB">
        <w:rPr>
          <w:rFonts w:cs="Times New Roman"/>
          <w:b/>
          <w:szCs w:val="20"/>
        </w:rPr>
        <w:t>s</w:t>
      </w:r>
      <w:r w:rsidR="00847157">
        <w:rPr>
          <w:rFonts w:cs="Times New Roman"/>
          <w:b/>
          <w:szCs w:val="20"/>
        </w:rPr>
        <w:t xml:space="preserve"> of synergies</w:t>
      </w:r>
      <w:r w:rsidR="001A071D" w:rsidRPr="00FE27BB">
        <w:rPr>
          <w:rFonts w:cs="Times New Roman"/>
          <w:b/>
          <w:szCs w:val="20"/>
        </w:rPr>
        <w:t xml:space="preserve"> which</w:t>
      </w:r>
      <w:r w:rsidR="001A071D">
        <w:rPr>
          <w:rFonts w:cs="Times New Roman"/>
          <w:b/>
        </w:rPr>
        <w:t xml:space="preserve"> need to be </w:t>
      </w:r>
      <w:r w:rsidR="00847157">
        <w:rPr>
          <w:rFonts w:cs="Times New Roman"/>
          <w:b/>
        </w:rPr>
        <w:t>implemented</w:t>
      </w:r>
      <w:r w:rsidR="001A071D">
        <w:rPr>
          <w:rFonts w:cs="Times New Roman"/>
          <w:b/>
        </w:rPr>
        <w:t xml:space="preserve"> to achieve the process intensification because </w:t>
      </w:r>
      <w:r w:rsidR="004737A7">
        <w:rPr>
          <w:rFonts w:cs="Times New Roman"/>
          <w:b/>
        </w:rPr>
        <w:t xml:space="preserve">there is a lack of </w:t>
      </w:r>
      <w:r w:rsidR="00EB5164">
        <w:rPr>
          <w:rFonts w:cs="Times New Roman"/>
          <w:b/>
        </w:rPr>
        <w:t xml:space="preserve">a </w:t>
      </w:r>
      <w:r w:rsidR="004737A7">
        <w:rPr>
          <w:rFonts w:cs="Times New Roman"/>
          <w:b/>
        </w:rPr>
        <w:t>holistic approach when proposing the manufactu</w:t>
      </w:r>
      <w:r w:rsidR="00B62C32">
        <w:rPr>
          <w:rFonts w:cs="Times New Roman"/>
          <w:b/>
        </w:rPr>
        <w:t>ring of the blended fertiliz</w:t>
      </w:r>
      <w:r w:rsidR="00922862">
        <w:rPr>
          <w:rFonts w:cs="Times New Roman"/>
          <w:b/>
        </w:rPr>
        <w:t>er.</w:t>
      </w:r>
    </w:p>
    <w:p w14:paraId="0FA71C7B" w14:textId="05187ABE" w:rsidR="00161C73" w:rsidRDefault="004737A7" w:rsidP="004737A7">
      <w:pPr>
        <w:keepNext/>
        <w:spacing w:line="360" w:lineRule="auto"/>
        <w:rPr>
          <w:rFonts w:cs="Times New Roman"/>
          <w:b/>
        </w:rPr>
      </w:pPr>
      <w:r>
        <w:rPr>
          <w:rFonts w:cs="Times New Roman"/>
        </w:rPr>
        <w:t xml:space="preserve">The aim of </w:t>
      </w:r>
      <w:r w:rsidR="009046CA">
        <w:rPr>
          <w:rFonts w:cs="Times New Roman"/>
        </w:rPr>
        <w:t>the present</w:t>
      </w:r>
      <w:r>
        <w:rPr>
          <w:rFonts w:cs="Times New Roman"/>
        </w:rPr>
        <w:t xml:space="preserve"> </w:t>
      </w:r>
      <w:r w:rsidRPr="00EF75A4">
        <w:rPr>
          <w:rFonts w:cs="Times New Roman"/>
        </w:rPr>
        <w:t>study</w:t>
      </w:r>
      <w:r>
        <w:rPr>
          <w:rFonts w:cs="Times New Roman"/>
        </w:rPr>
        <w:t xml:space="preserve"> was to evaluate </w:t>
      </w:r>
      <w:r w:rsidRPr="00EF75A4">
        <w:rPr>
          <w:rFonts w:cs="Times New Roman"/>
        </w:rPr>
        <w:t xml:space="preserve">how </w:t>
      </w:r>
      <w:r>
        <w:rPr>
          <w:rFonts w:cs="Times New Roman"/>
        </w:rPr>
        <w:t>high doses</w:t>
      </w:r>
      <w:r w:rsidRPr="00EF75A4">
        <w:rPr>
          <w:rFonts w:cs="Times New Roman"/>
        </w:rPr>
        <w:t xml:space="preserve"> of biom</w:t>
      </w:r>
      <w:r w:rsidR="001A071D">
        <w:rPr>
          <w:rFonts w:cs="Times New Roman"/>
        </w:rPr>
        <w:t>ass ashes of wood origin affect</w:t>
      </w:r>
      <w:r w:rsidRPr="00EF75A4">
        <w:rPr>
          <w:rFonts w:cs="Times New Roman"/>
        </w:rPr>
        <w:t xml:space="preserve"> the availability of nitrogen, carbon, and phosphorus in household food debris and post-harvest vegetable waste digestates</w:t>
      </w:r>
      <w:r>
        <w:rPr>
          <w:rFonts w:cs="Times New Roman"/>
        </w:rPr>
        <w:t xml:space="preserve"> to be able to propose further</w:t>
      </w:r>
      <w:r w:rsidR="001A071D">
        <w:rPr>
          <w:rFonts w:cs="Times New Roman"/>
        </w:rPr>
        <w:t xml:space="preserve"> </w:t>
      </w:r>
      <w:r w:rsidR="001A071D">
        <w:rPr>
          <w:rFonts w:cs="Times New Roman"/>
          <w:b/>
        </w:rPr>
        <w:t>connected</w:t>
      </w:r>
      <w:r>
        <w:rPr>
          <w:rFonts w:cs="Times New Roman"/>
        </w:rPr>
        <w:t xml:space="preserve"> processing steps for the production of a novel fertilizer</w:t>
      </w:r>
      <w:r w:rsidRPr="00EF75A4">
        <w:rPr>
          <w:rFonts w:cs="Times New Roman"/>
        </w:rPr>
        <w:t>.</w:t>
      </w:r>
      <w:r>
        <w:rPr>
          <w:rFonts w:cs="Times New Roman"/>
        </w:rPr>
        <w:t xml:space="preserve"> </w:t>
      </w:r>
      <w:r w:rsidRPr="00544E23">
        <w:rPr>
          <w:rFonts w:cs="Times New Roman"/>
          <w:b/>
        </w:rPr>
        <w:t>In this way, the samples were blended without previous dewatering to promote the interaction between the components of the ashes and the diges</w:t>
      </w:r>
      <w:r w:rsidR="00E919B9">
        <w:rPr>
          <w:rFonts w:cs="Times New Roman"/>
          <w:b/>
        </w:rPr>
        <w:t>t</w:t>
      </w:r>
      <w:r w:rsidRPr="00544E23">
        <w:rPr>
          <w:rFonts w:cs="Times New Roman"/>
          <w:b/>
        </w:rPr>
        <w:t>ates. Th</w:t>
      </w:r>
      <w:r w:rsidR="00626D11">
        <w:rPr>
          <w:rFonts w:cs="Times New Roman"/>
          <w:b/>
        </w:rPr>
        <w:t>is allowed</w:t>
      </w:r>
      <w:r w:rsidR="000E1123">
        <w:rPr>
          <w:rFonts w:cs="Times New Roman"/>
          <w:b/>
        </w:rPr>
        <w:t xml:space="preserve"> </w:t>
      </w:r>
      <w:r w:rsidRPr="00544E23">
        <w:rPr>
          <w:rFonts w:cs="Times New Roman"/>
          <w:b/>
        </w:rPr>
        <w:t>focus</w:t>
      </w:r>
      <w:r w:rsidR="000E1123">
        <w:rPr>
          <w:rFonts w:cs="Times New Roman"/>
          <w:b/>
        </w:rPr>
        <w:t>sing</w:t>
      </w:r>
      <w:r w:rsidRPr="00544E23">
        <w:rPr>
          <w:rFonts w:cs="Times New Roman"/>
          <w:b/>
        </w:rPr>
        <w:t xml:space="preserve"> on the initial </w:t>
      </w:r>
      <w:r w:rsidR="000E1123">
        <w:rPr>
          <w:rFonts w:cs="Times New Roman"/>
          <w:b/>
        </w:rPr>
        <w:t>stages</w:t>
      </w:r>
      <w:r w:rsidR="00626D11">
        <w:rPr>
          <w:rFonts w:cs="Times New Roman"/>
          <w:b/>
        </w:rPr>
        <w:t xml:space="preserve"> </w:t>
      </w:r>
      <w:r w:rsidR="000E1123">
        <w:rPr>
          <w:rFonts w:cs="Times New Roman"/>
          <w:b/>
        </w:rPr>
        <w:t>of</w:t>
      </w:r>
      <w:r w:rsidRPr="00544E23">
        <w:rPr>
          <w:rFonts w:cs="Times New Roman"/>
          <w:b/>
        </w:rPr>
        <w:t xml:space="preserve"> the production of a blended fertilizer rather than on the self-hardening and granulation</w:t>
      </w:r>
      <w:r>
        <w:rPr>
          <w:b/>
        </w:rPr>
        <w:t>,</w:t>
      </w:r>
      <w:r w:rsidRPr="00544E23">
        <w:rPr>
          <w:rFonts w:cs="Times New Roman"/>
          <w:b/>
        </w:rPr>
        <w:t xml:space="preserve"> which will be addressed in </w:t>
      </w:r>
      <w:r w:rsidRPr="00544E23">
        <w:rPr>
          <w:rFonts w:cs="Times New Roman"/>
          <w:b/>
        </w:rPr>
        <w:lastRenderedPageBreak/>
        <w:t>future studies. It was expected to identify and potentially take advantage of a</w:t>
      </w:r>
      <w:r w:rsidR="00B62C32">
        <w:rPr>
          <w:rFonts w:cs="Times New Roman"/>
          <w:b/>
        </w:rPr>
        <w:t>ny ongoing phenomenon to minimiz</w:t>
      </w:r>
      <w:r w:rsidRPr="00544E23">
        <w:rPr>
          <w:rFonts w:cs="Times New Roman"/>
          <w:b/>
        </w:rPr>
        <w:t xml:space="preserve">e the cost of isolating carbon and nutrients to produce </w:t>
      </w:r>
      <w:r w:rsidR="00453220">
        <w:rPr>
          <w:rFonts w:cs="Times New Roman"/>
          <w:b/>
        </w:rPr>
        <w:t xml:space="preserve">an </w:t>
      </w:r>
      <w:r w:rsidRPr="00544E23">
        <w:rPr>
          <w:rFonts w:cs="Times New Roman"/>
          <w:b/>
        </w:rPr>
        <w:t>o</w:t>
      </w:r>
      <w:r w:rsidR="00B62C32">
        <w:rPr>
          <w:rFonts w:cs="Times New Roman"/>
          <w:b/>
        </w:rPr>
        <w:t>rganic fertiliz</w:t>
      </w:r>
      <w:r w:rsidR="00453220">
        <w:rPr>
          <w:rFonts w:cs="Times New Roman"/>
          <w:b/>
        </w:rPr>
        <w:t>er</w:t>
      </w:r>
      <w:r w:rsidRPr="00544E23">
        <w:rPr>
          <w:rFonts w:cs="Times New Roman"/>
          <w:b/>
        </w:rPr>
        <w:t>.</w:t>
      </w:r>
    </w:p>
    <w:p w14:paraId="74C25F8C" w14:textId="45ADAABA" w:rsidR="009C78E9" w:rsidRDefault="0066670D" w:rsidP="00C807A3">
      <w:pPr>
        <w:pStyle w:val="Heading2"/>
        <w:spacing w:line="360" w:lineRule="auto"/>
        <w:rPr>
          <w:rFonts w:cs="Times New Roman"/>
        </w:rPr>
      </w:pPr>
      <w:r>
        <w:rPr>
          <w:rFonts w:cs="Times New Roman"/>
        </w:rPr>
        <w:t>Mate</w:t>
      </w:r>
      <w:r w:rsidR="009C78E9">
        <w:rPr>
          <w:rFonts w:cs="Times New Roman"/>
        </w:rPr>
        <w:t>rials and methods</w:t>
      </w:r>
    </w:p>
    <w:p w14:paraId="1BBCB73F" w14:textId="120C165B" w:rsidR="0002488A" w:rsidRPr="00EF75A4" w:rsidRDefault="0002488A" w:rsidP="00C807A3">
      <w:pPr>
        <w:pStyle w:val="Heading2"/>
        <w:spacing w:line="360" w:lineRule="auto"/>
        <w:rPr>
          <w:rFonts w:cs="Times New Roman"/>
        </w:rPr>
      </w:pPr>
      <w:r w:rsidRPr="00EF75A4">
        <w:rPr>
          <w:rFonts w:cs="Times New Roman"/>
        </w:rPr>
        <w:t>Materials</w:t>
      </w:r>
    </w:p>
    <w:p w14:paraId="3571DE6E" w14:textId="6DC9DBE7" w:rsidR="00695A80" w:rsidRPr="00EF75A4" w:rsidRDefault="0002488A" w:rsidP="00C807A3">
      <w:pPr>
        <w:spacing w:line="360" w:lineRule="auto"/>
        <w:rPr>
          <w:rFonts w:cs="Times New Roman"/>
        </w:rPr>
      </w:pPr>
      <w:r w:rsidRPr="00EF75A4">
        <w:rPr>
          <w:rFonts w:cs="Times New Roman"/>
        </w:rPr>
        <w:t>The samples were</w:t>
      </w:r>
      <w:r w:rsidR="00E23A18" w:rsidRPr="00EF75A4">
        <w:rPr>
          <w:rFonts w:cs="Times New Roman"/>
        </w:rPr>
        <w:t xml:space="preserve"> obtained from a variety of sources, including</w:t>
      </w:r>
      <w:r w:rsidRPr="00EF75A4">
        <w:rPr>
          <w:rFonts w:cs="Times New Roman"/>
        </w:rPr>
        <w:t xml:space="preserve"> food waste digestate (FWD), post-harvest vegetable waste digestate (PVWD), woody biomass derived fly ash (WFA)</w:t>
      </w:r>
      <w:r w:rsidR="001562A9" w:rsidRPr="00EF75A4">
        <w:rPr>
          <w:rFonts w:cs="Times New Roman"/>
        </w:rPr>
        <w:t>,</w:t>
      </w:r>
      <w:r w:rsidRPr="00EF75A4">
        <w:rPr>
          <w:rFonts w:cs="Times New Roman"/>
        </w:rPr>
        <w:t xml:space="preserve"> and woody biomass derived bottom ash (WBA).</w:t>
      </w:r>
      <w:r w:rsidR="00D50DD1" w:rsidRPr="00EF75A4">
        <w:rPr>
          <w:rFonts w:cs="Times New Roman"/>
        </w:rPr>
        <w:t xml:space="preserve"> </w:t>
      </w:r>
      <w:r w:rsidR="00B803E6" w:rsidRPr="00EF75A4">
        <w:rPr>
          <w:rFonts w:cs="Times New Roman"/>
        </w:rPr>
        <w:t>The description of each sample from various sourced plants</w:t>
      </w:r>
      <w:r w:rsidR="00401EBC" w:rsidRPr="00EF75A4">
        <w:rPr>
          <w:rFonts w:cs="Times New Roman"/>
        </w:rPr>
        <w:t xml:space="preserve"> is illustrated in </w:t>
      </w:r>
      <w:r w:rsidR="00401EBC" w:rsidRPr="00EF75A4">
        <w:rPr>
          <w:rFonts w:cs="Times New Roman"/>
        </w:rPr>
        <w:fldChar w:fldCharType="begin"/>
      </w:r>
      <w:r w:rsidR="00401EBC" w:rsidRPr="00EF75A4">
        <w:rPr>
          <w:rFonts w:cs="Times New Roman"/>
        </w:rPr>
        <w:instrText xml:space="preserve"> REF _Ref15410162 \h </w:instrText>
      </w:r>
      <w:r w:rsidR="00F91F3C" w:rsidRPr="00EF75A4">
        <w:rPr>
          <w:rFonts w:cs="Times New Roman"/>
        </w:rPr>
        <w:instrText xml:space="preserve"> \* MERGEFORMAT </w:instrText>
      </w:r>
      <w:r w:rsidR="00401EBC" w:rsidRPr="00EF75A4">
        <w:rPr>
          <w:rFonts w:cs="Times New Roman"/>
        </w:rPr>
      </w:r>
      <w:r w:rsidR="00401EBC" w:rsidRPr="00EF75A4">
        <w:rPr>
          <w:rFonts w:cs="Times New Roman"/>
        </w:rPr>
        <w:fldChar w:fldCharType="separate"/>
      </w:r>
      <w:r w:rsidR="00E4647D" w:rsidRPr="00E4647D">
        <w:rPr>
          <w:rFonts w:cs="Times New Roman"/>
        </w:rPr>
        <w:t xml:space="preserve">Table </w:t>
      </w:r>
      <w:r w:rsidR="00E4647D" w:rsidRPr="00E4647D">
        <w:rPr>
          <w:rFonts w:cs="Times New Roman"/>
          <w:noProof/>
        </w:rPr>
        <w:t>1</w:t>
      </w:r>
      <w:r w:rsidR="00401EBC" w:rsidRPr="00EF75A4">
        <w:rPr>
          <w:rFonts w:cs="Times New Roman"/>
        </w:rPr>
        <w:fldChar w:fldCharType="end"/>
      </w:r>
      <w:r w:rsidR="001562A9" w:rsidRPr="00EF75A4">
        <w:rPr>
          <w:rFonts w:cs="Times New Roman"/>
        </w:rPr>
        <w:t>.</w:t>
      </w:r>
      <w:r w:rsidR="00832152">
        <w:rPr>
          <w:rFonts w:cs="Times New Roman"/>
        </w:rPr>
        <w:t xml:space="preserve"> </w:t>
      </w:r>
      <w:r w:rsidR="00832152" w:rsidRPr="00544E23">
        <w:rPr>
          <w:rFonts w:cs="Times New Roman"/>
          <w:b/>
        </w:rPr>
        <w:t xml:space="preserve">The FWD was </w:t>
      </w:r>
      <w:r w:rsidR="00693825" w:rsidRPr="00544E23">
        <w:rPr>
          <w:rFonts w:cs="Times New Roman"/>
          <w:b/>
        </w:rPr>
        <w:t xml:space="preserve">produced </w:t>
      </w:r>
      <w:r w:rsidR="00832152" w:rsidRPr="00544E23">
        <w:rPr>
          <w:rFonts w:cs="Times New Roman"/>
          <w:b/>
        </w:rPr>
        <w:t>in compliance with the PAS 110, thus fulfil</w:t>
      </w:r>
      <w:r w:rsidR="0012078C" w:rsidRPr="00544E23">
        <w:rPr>
          <w:rFonts w:cs="Times New Roman"/>
          <w:b/>
        </w:rPr>
        <w:t>l</w:t>
      </w:r>
      <w:r w:rsidR="00832152" w:rsidRPr="00544E23">
        <w:rPr>
          <w:rFonts w:cs="Times New Roman"/>
          <w:b/>
        </w:rPr>
        <w:t xml:space="preserve">ed the criteria towards the end-of-waste status according to the UK regulations </w:t>
      </w:r>
      <w:r w:rsidR="00832152" w:rsidRPr="00544E23">
        <w:rPr>
          <w:rFonts w:cs="Times New Roman"/>
          <w:b/>
        </w:rPr>
        <w:fldChar w:fldCharType="begin" w:fldLock="1"/>
      </w:r>
      <w:r w:rsidR="00BB33F9">
        <w:rPr>
          <w:rFonts w:cs="Times New Roman"/>
          <w:b/>
        </w:rPr>
        <w:instrText>ADDIN CSL_CITATION {"citationItems":[{"id":"ITEM-1","itemData":{"ISBN":"0580617300","abstract":"Food products, Anaerobic bacteria, Digestive system, Agricultural products, Microorganisms, Microbiology","author":[{"dropping-particle":"","family":"WRAP","given":"","non-dropping-particle":"","parse-names":false,"suffix":""}],"id":"ITEM-1","issued":{"date-parts":[["2014"]]},"title":"PAS 110:2014 Specification for whole digestate, separated liquor and separated fibre derived from the anaerobic digestion of source-segregated biodegradable materials","type":"report"},"uris":["http://www.mendeley.com/documents/?uuid=ee11611d-1c5f-4be6-8aa2-4e89c1728e1a"]}],"mendeley":{"formattedCitation":"[32]","plainTextFormattedCitation":"[32]","previouslyFormattedCitation":"[32]"},"properties":{"noteIndex":0},"schema":"https://github.com/citation-style-language/schema/raw/master/csl-citation.json"}</w:instrText>
      </w:r>
      <w:r w:rsidR="00832152" w:rsidRPr="00544E23">
        <w:rPr>
          <w:rFonts w:cs="Times New Roman"/>
          <w:b/>
        </w:rPr>
        <w:fldChar w:fldCharType="separate"/>
      </w:r>
      <w:r w:rsidR="00D33723" w:rsidRPr="00D33723">
        <w:rPr>
          <w:rFonts w:cs="Times New Roman"/>
          <w:noProof/>
        </w:rPr>
        <w:t>[32]</w:t>
      </w:r>
      <w:r w:rsidR="00832152" w:rsidRPr="00544E23">
        <w:rPr>
          <w:rFonts w:cs="Times New Roman"/>
          <w:b/>
        </w:rPr>
        <w:fldChar w:fldCharType="end"/>
      </w:r>
      <w:r w:rsidR="00832152" w:rsidRPr="00544E23">
        <w:rPr>
          <w:rFonts w:cs="Times New Roman"/>
          <w:b/>
        </w:rPr>
        <w:t>.</w:t>
      </w:r>
      <w:r w:rsidR="00E10E9A" w:rsidRPr="00544E23">
        <w:rPr>
          <w:rFonts w:cs="Times New Roman"/>
          <w:b/>
        </w:rPr>
        <w:t xml:space="preserve"> It is important to highlight that </w:t>
      </w:r>
      <w:r w:rsidR="00064A4C" w:rsidRPr="00544E23">
        <w:rPr>
          <w:rFonts w:cs="Times New Roman"/>
          <w:b/>
        </w:rPr>
        <w:t>the compos</w:t>
      </w:r>
      <w:r w:rsidR="0012078C" w:rsidRPr="00544E23">
        <w:rPr>
          <w:rFonts w:cs="Times New Roman"/>
          <w:b/>
        </w:rPr>
        <w:t>i</w:t>
      </w:r>
      <w:r w:rsidR="00064A4C" w:rsidRPr="00544E23">
        <w:rPr>
          <w:rFonts w:cs="Times New Roman"/>
          <w:b/>
        </w:rPr>
        <w:t xml:space="preserve">tion of the FWD </w:t>
      </w:r>
      <w:r w:rsidR="006D36FE" w:rsidRPr="00544E23">
        <w:rPr>
          <w:rFonts w:cs="Times New Roman"/>
          <w:b/>
        </w:rPr>
        <w:t>wa</w:t>
      </w:r>
      <w:r w:rsidR="00064A4C" w:rsidRPr="00544E23">
        <w:rPr>
          <w:rFonts w:cs="Times New Roman"/>
          <w:b/>
        </w:rPr>
        <w:t>s variable due to the different foods consumed during the different seasons of the year. Similarly</w:t>
      </w:r>
      <w:r w:rsidR="00E10E9A" w:rsidRPr="00544E23">
        <w:rPr>
          <w:rFonts w:cs="Times New Roman"/>
          <w:b/>
        </w:rPr>
        <w:t>,</w:t>
      </w:r>
      <w:r w:rsidR="00064A4C" w:rsidRPr="00544E23">
        <w:rPr>
          <w:rFonts w:cs="Times New Roman"/>
          <w:b/>
        </w:rPr>
        <w:t xml:space="preserve"> </w:t>
      </w:r>
      <w:r w:rsidR="00E10E9A" w:rsidRPr="00544E23">
        <w:rPr>
          <w:rFonts w:cs="Times New Roman"/>
          <w:b/>
        </w:rPr>
        <w:t>the</w:t>
      </w:r>
      <w:r w:rsidR="00F33CC0" w:rsidRPr="00544E23">
        <w:rPr>
          <w:rFonts w:cs="Times New Roman"/>
          <w:b/>
        </w:rPr>
        <w:t xml:space="preserve"> maize wa</w:t>
      </w:r>
      <w:r w:rsidR="00064A4C" w:rsidRPr="00544E23">
        <w:rPr>
          <w:rFonts w:cs="Times New Roman"/>
          <w:b/>
        </w:rPr>
        <w:t>s only fed from October to June</w:t>
      </w:r>
      <w:r w:rsidR="00832152" w:rsidRPr="00544E23">
        <w:rPr>
          <w:rFonts w:cs="Times New Roman"/>
          <w:b/>
        </w:rPr>
        <w:t xml:space="preserve"> as</w:t>
      </w:r>
      <w:r w:rsidR="00E10E9A" w:rsidRPr="00544E23">
        <w:rPr>
          <w:rFonts w:cs="Times New Roman"/>
          <w:b/>
        </w:rPr>
        <w:t xml:space="preserve"> plant feedstock </w:t>
      </w:r>
      <w:r w:rsidR="00F33CC0" w:rsidRPr="00544E23">
        <w:rPr>
          <w:rFonts w:cs="Times New Roman"/>
          <w:b/>
        </w:rPr>
        <w:t>for the preparation of the PVWD</w:t>
      </w:r>
      <w:r w:rsidR="00E10E9A" w:rsidRPr="00544E23">
        <w:rPr>
          <w:rFonts w:cs="Times New Roman"/>
          <w:b/>
        </w:rPr>
        <w:t xml:space="preserve">. </w:t>
      </w:r>
      <w:r w:rsidR="0012078C" w:rsidRPr="00544E23">
        <w:rPr>
          <w:rFonts w:cs="Times New Roman"/>
          <w:b/>
        </w:rPr>
        <w:t>The sampling of the digestates and the ashes took place on September 2016.</w:t>
      </w:r>
    </w:p>
    <w:p w14:paraId="07456141" w14:textId="439079D3" w:rsidR="001562A9" w:rsidRPr="00EF75A4" w:rsidRDefault="001562A9" w:rsidP="00C807A3">
      <w:pPr>
        <w:spacing w:line="360" w:lineRule="auto"/>
        <w:jc w:val="both"/>
        <w:rPr>
          <w:rFonts w:cs="Times New Roman"/>
        </w:rPr>
      </w:pPr>
      <w:r w:rsidRPr="00EF75A4">
        <w:rPr>
          <w:rFonts w:cs="Times New Roman"/>
        </w:rPr>
        <w:t xml:space="preserve">Each digestate sample consisted on 5 kg of material, which </w:t>
      </w:r>
      <w:r w:rsidR="00AC192B">
        <w:rPr>
          <w:rFonts w:cs="Times New Roman"/>
        </w:rPr>
        <w:t>was</w:t>
      </w:r>
      <w:r w:rsidRPr="00EF75A4">
        <w:rPr>
          <w:rFonts w:cs="Times New Roman"/>
        </w:rPr>
        <w:t xml:space="preserve"> sourced at the end of the process line </w:t>
      </w:r>
      <w:r w:rsidR="00356791">
        <w:rPr>
          <w:rFonts w:cs="Times New Roman"/>
        </w:rPr>
        <w:t>of</w:t>
      </w:r>
      <w:r w:rsidRPr="00EF75A4">
        <w:rPr>
          <w:rFonts w:cs="Times New Roman"/>
        </w:rPr>
        <w:t xml:space="preserve"> the AD plant</w:t>
      </w:r>
      <w:r w:rsidR="00356791">
        <w:rPr>
          <w:rFonts w:cs="Times New Roman"/>
        </w:rPr>
        <w:t xml:space="preserve"> with a</w:t>
      </w:r>
      <w:r w:rsidRPr="00EF75A4">
        <w:rPr>
          <w:rFonts w:cs="Times New Roman"/>
        </w:rPr>
        <w:t xml:space="preserve"> j</w:t>
      </w:r>
      <w:r w:rsidRPr="009B18E5">
        <w:rPr>
          <w:rFonts w:cs="Times New Roman"/>
        </w:rPr>
        <w:t>erry can</w:t>
      </w:r>
      <w:r w:rsidR="00253146" w:rsidRPr="009B18E5">
        <w:rPr>
          <w:rFonts w:cs="Times New Roman"/>
        </w:rPr>
        <w:t>. Cooling down of the samples was</w:t>
      </w:r>
      <w:r w:rsidRPr="009B18E5">
        <w:rPr>
          <w:rFonts w:cs="Times New Roman"/>
        </w:rPr>
        <w:t xml:space="preserve"> allowed</w:t>
      </w:r>
      <w:r w:rsidR="00253146" w:rsidRPr="009B18E5">
        <w:rPr>
          <w:rFonts w:cs="Times New Roman"/>
        </w:rPr>
        <w:t xml:space="preserve"> before</w:t>
      </w:r>
      <w:r w:rsidRPr="009B18E5">
        <w:rPr>
          <w:rFonts w:cs="Times New Roman"/>
        </w:rPr>
        <w:t xml:space="preserve"> plac</w:t>
      </w:r>
      <w:r w:rsidR="00253146" w:rsidRPr="009B18E5">
        <w:rPr>
          <w:rFonts w:cs="Times New Roman"/>
        </w:rPr>
        <w:t>ing them</w:t>
      </w:r>
      <w:r w:rsidRPr="009B18E5">
        <w:rPr>
          <w:rFonts w:cs="Times New Roman"/>
        </w:rPr>
        <w:t xml:space="preserve"> in suitable containers with ice for their transport</w:t>
      </w:r>
      <w:r w:rsidR="00741170" w:rsidRPr="009B18E5">
        <w:rPr>
          <w:rFonts w:cs="Times New Roman"/>
        </w:rPr>
        <w:t xml:space="preserve"> by courier</w:t>
      </w:r>
      <w:r w:rsidRPr="009B18E5">
        <w:rPr>
          <w:rFonts w:cs="Times New Roman"/>
        </w:rPr>
        <w:t xml:space="preserve">. Once received </w:t>
      </w:r>
      <w:r w:rsidR="00083175" w:rsidRPr="009B18E5">
        <w:rPr>
          <w:rFonts w:cs="Times New Roman"/>
        </w:rPr>
        <w:t>by</w:t>
      </w:r>
      <w:r w:rsidR="00960990" w:rsidRPr="009B18E5">
        <w:rPr>
          <w:rFonts w:cs="Times New Roman"/>
        </w:rPr>
        <w:t xml:space="preserve"> the staff</w:t>
      </w:r>
      <w:r w:rsidRPr="009B18E5">
        <w:rPr>
          <w:rFonts w:cs="Times New Roman"/>
        </w:rPr>
        <w:t xml:space="preserve"> </w:t>
      </w:r>
      <w:r w:rsidR="00960990" w:rsidRPr="009B18E5">
        <w:rPr>
          <w:rFonts w:cs="Times New Roman"/>
        </w:rPr>
        <w:t xml:space="preserve">of </w:t>
      </w:r>
      <w:r w:rsidRPr="009B18E5">
        <w:rPr>
          <w:rFonts w:cs="Times New Roman"/>
        </w:rPr>
        <w:t>Lancaster University,</w:t>
      </w:r>
      <w:r w:rsidR="00BD73C4" w:rsidRPr="009B18E5">
        <w:rPr>
          <w:rFonts w:cs="Times New Roman"/>
        </w:rPr>
        <w:t xml:space="preserve"> the</w:t>
      </w:r>
      <w:r w:rsidRPr="009B18E5">
        <w:rPr>
          <w:rFonts w:cs="Times New Roman"/>
        </w:rPr>
        <w:t xml:space="preserve"> samples were </w:t>
      </w:r>
      <w:r w:rsidR="00AC192B" w:rsidRPr="009B18E5">
        <w:rPr>
          <w:rFonts w:cs="Times New Roman"/>
        </w:rPr>
        <w:t xml:space="preserve">stored </w:t>
      </w:r>
      <w:r w:rsidRPr="009B18E5">
        <w:rPr>
          <w:rFonts w:cs="Times New Roman"/>
        </w:rPr>
        <w:t>in a cold room (&lt;</w:t>
      </w:r>
      <w:r w:rsidR="00E84659" w:rsidRPr="009B18E5">
        <w:rPr>
          <w:rFonts w:cs="Times New Roman"/>
        </w:rPr>
        <w:t xml:space="preserve"> </w:t>
      </w:r>
      <w:r w:rsidRPr="009B18E5">
        <w:rPr>
          <w:rFonts w:cs="Times New Roman"/>
        </w:rPr>
        <w:t>4</w:t>
      </w:r>
      <w:r w:rsidR="005640D2" w:rsidRPr="009B18E5">
        <w:rPr>
          <w:rFonts w:cs="Times New Roman"/>
        </w:rPr>
        <w:t xml:space="preserve"> º</w:t>
      </w:r>
      <w:r w:rsidRPr="009B18E5">
        <w:rPr>
          <w:rFonts w:cs="Times New Roman"/>
        </w:rPr>
        <w:t>C)</w:t>
      </w:r>
      <w:r w:rsidR="00620A18" w:rsidRPr="009B18E5">
        <w:rPr>
          <w:rFonts w:cs="Times New Roman"/>
        </w:rPr>
        <w:t xml:space="preserve"> until further use</w:t>
      </w:r>
      <w:r w:rsidRPr="009B18E5">
        <w:rPr>
          <w:rFonts w:cs="Times New Roman"/>
        </w:rPr>
        <w:t>.</w:t>
      </w:r>
      <w:r w:rsidR="00620A18" w:rsidRPr="009B18E5">
        <w:rPr>
          <w:rFonts w:cs="Times New Roman"/>
        </w:rPr>
        <w:t xml:space="preserve"> Th</w:t>
      </w:r>
      <w:r w:rsidR="000C3A25" w:rsidRPr="009B18E5">
        <w:rPr>
          <w:rFonts w:cs="Times New Roman"/>
        </w:rPr>
        <w:t>ese</w:t>
      </w:r>
      <w:r w:rsidR="00620A18" w:rsidRPr="009B18E5">
        <w:rPr>
          <w:rFonts w:cs="Times New Roman"/>
        </w:rPr>
        <w:t xml:space="preserve"> w</w:t>
      </w:r>
      <w:r w:rsidR="000C3A25" w:rsidRPr="009B18E5">
        <w:rPr>
          <w:rFonts w:cs="Times New Roman"/>
        </w:rPr>
        <w:t>ere</w:t>
      </w:r>
      <w:r w:rsidR="00620A18" w:rsidRPr="009B18E5">
        <w:rPr>
          <w:rFonts w:cs="Times New Roman"/>
        </w:rPr>
        <w:t xml:space="preserve"> considered “fresh”</w:t>
      </w:r>
      <w:r w:rsidR="00BC31C7" w:rsidRPr="009B18E5">
        <w:rPr>
          <w:rFonts w:cs="Times New Roman"/>
        </w:rPr>
        <w:t xml:space="preserve"> sample</w:t>
      </w:r>
      <w:r w:rsidR="000C3A25" w:rsidRPr="009B18E5">
        <w:rPr>
          <w:rFonts w:cs="Times New Roman"/>
        </w:rPr>
        <w:t>s</w:t>
      </w:r>
      <w:r w:rsidR="00BC31C7" w:rsidRPr="009B18E5">
        <w:rPr>
          <w:rFonts w:cs="Times New Roman"/>
        </w:rPr>
        <w:t>.</w:t>
      </w:r>
      <w:r w:rsidRPr="009B18E5">
        <w:rPr>
          <w:rFonts w:cs="Times New Roman"/>
        </w:rPr>
        <w:t xml:space="preserve"> </w:t>
      </w:r>
      <w:r w:rsidR="00EE5C1B" w:rsidRPr="009B18E5">
        <w:rPr>
          <w:rFonts w:cs="Times New Roman"/>
        </w:rPr>
        <w:t>A</w:t>
      </w:r>
      <w:r w:rsidRPr="009B18E5">
        <w:rPr>
          <w:rFonts w:cs="Times New Roman"/>
        </w:rPr>
        <w:t xml:space="preserve"> subsample</w:t>
      </w:r>
      <w:r w:rsidR="000C3A25" w:rsidRPr="009B18E5">
        <w:rPr>
          <w:rFonts w:cs="Times New Roman"/>
        </w:rPr>
        <w:t xml:space="preserve"> of each digestate</w:t>
      </w:r>
      <w:r w:rsidRPr="009B18E5">
        <w:rPr>
          <w:rFonts w:cs="Times New Roman"/>
        </w:rPr>
        <w:t xml:space="preserve"> was sent out external</w:t>
      </w:r>
      <w:r w:rsidR="004D747B" w:rsidRPr="009B18E5">
        <w:rPr>
          <w:rFonts w:cs="Times New Roman"/>
        </w:rPr>
        <w:t>ly</w:t>
      </w:r>
      <w:r w:rsidRPr="009B18E5">
        <w:rPr>
          <w:rFonts w:cs="Times New Roman"/>
        </w:rPr>
        <w:t xml:space="preserve"> </w:t>
      </w:r>
      <w:r w:rsidR="004D747B" w:rsidRPr="009B18E5">
        <w:rPr>
          <w:rFonts w:cs="Times New Roman"/>
        </w:rPr>
        <w:t>to</w:t>
      </w:r>
      <w:r w:rsidR="00083175" w:rsidRPr="009B18E5">
        <w:rPr>
          <w:rFonts w:cs="Times New Roman"/>
        </w:rPr>
        <w:t xml:space="preserve"> Natural Resource Management (NRM) certified laboratory</w:t>
      </w:r>
      <w:r w:rsidRPr="009B18E5">
        <w:rPr>
          <w:rFonts w:cs="Times New Roman"/>
        </w:rPr>
        <w:t xml:space="preserve"> for determination of </w:t>
      </w:r>
      <w:r w:rsidRPr="00EF75A4">
        <w:rPr>
          <w:rFonts w:cs="Times New Roman"/>
        </w:rPr>
        <w:t>complementary analyses (</w:t>
      </w:r>
      <w:r w:rsidR="00083175" w:rsidRPr="00EF75A4">
        <w:rPr>
          <w:rFonts w:cs="Times New Roman"/>
        </w:rPr>
        <w:t>nitrogen, phosphorus, and trace elements</w:t>
      </w:r>
      <w:r w:rsidRPr="00EF75A4">
        <w:rPr>
          <w:rFonts w:cs="Times New Roman"/>
        </w:rPr>
        <w:t>)</w:t>
      </w:r>
      <w:r w:rsidR="005640D2" w:rsidRPr="00EF75A4">
        <w:rPr>
          <w:rFonts w:cs="Times New Roman"/>
        </w:rPr>
        <w:t>.</w:t>
      </w:r>
    </w:p>
    <w:p w14:paraId="1EA17DB4" w14:textId="34487213" w:rsidR="001562A9" w:rsidRPr="009B18E5" w:rsidRDefault="001562A9" w:rsidP="00C807A3">
      <w:pPr>
        <w:spacing w:line="360" w:lineRule="auto"/>
        <w:rPr>
          <w:rFonts w:cs="Times New Roman"/>
        </w:rPr>
      </w:pPr>
      <w:r w:rsidRPr="009B18E5">
        <w:rPr>
          <w:rFonts w:cs="Times New Roman"/>
        </w:rPr>
        <w:t>Each a</w:t>
      </w:r>
      <w:r w:rsidR="009E72E1" w:rsidRPr="009B18E5">
        <w:rPr>
          <w:rFonts w:cs="Times New Roman"/>
        </w:rPr>
        <w:t>sh sample received consisted of</w:t>
      </w:r>
      <w:r w:rsidRPr="009B18E5">
        <w:rPr>
          <w:rFonts w:cs="Times New Roman"/>
        </w:rPr>
        <w:t xml:space="preserve"> 10 kg of material, which was sent by the producer</w:t>
      </w:r>
      <w:r w:rsidR="00A50866" w:rsidRPr="009B18E5">
        <w:rPr>
          <w:rFonts w:cs="Times New Roman"/>
        </w:rPr>
        <w:t xml:space="preserve"> in</w:t>
      </w:r>
      <w:r w:rsidR="00B62C32" w:rsidRPr="009B18E5">
        <w:rPr>
          <w:rFonts w:cs="Times New Roman"/>
        </w:rPr>
        <w:t xml:space="preserve"> a sealed plastic box to minimiz</w:t>
      </w:r>
      <w:r w:rsidR="00A50866" w:rsidRPr="009B18E5">
        <w:rPr>
          <w:rFonts w:cs="Times New Roman"/>
        </w:rPr>
        <w:t>e the contact with the open atmosphere</w:t>
      </w:r>
      <w:r w:rsidRPr="009B18E5">
        <w:rPr>
          <w:rFonts w:cs="Times New Roman"/>
        </w:rPr>
        <w:t xml:space="preserve">. </w:t>
      </w:r>
      <w:r w:rsidR="000C3A25" w:rsidRPr="009B18E5">
        <w:rPr>
          <w:rFonts w:cs="Times New Roman"/>
        </w:rPr>
        <w:t>Once at the university,</w:t>
      </w:r>
      <w:r w:rsidRPr="009B18E5">
        <w:rPr>
          <w:rFonts w:cs="Times New Roman"/>
        </w:rPr>
        <w:t xml:space="preserve"> each sample </w:t>
      </w:r>
      <w:r w:rsidR="000C3A25" w:rsidRPr="009B18E5">
        <w:rPr>
          <w:rFonts w:cs="Times New Roman"/>
        </w:rPr>
        <w:t>w</w:t>
      </w:r>
      <w:r w:rsidRPr="009B18E5">
        <w:rPr>
          <w:rFonts w:cs="Times New Roman"/>
        </w:rPr>
        <w:t>a</w:t>
      </w:r>
      <w:r w:rsidR="000C3A25" w:rsidRPr="009B18E5">
        <w:rPr>
          <w:rFonts w:cs="Times New Roman"/>
        </w:rPr>
        <w:t>s</w:t>
      </w:r>
      <w:r w:rsidR="00960990" w:rsidRPr="009B18E5">
        <w:rPr>
          <w:rFonts w:cs="Times New Roman"/>
        </w:rPr>
        <w:t xml:space="preserve"> </w:t>
      </w:r>
      <w:r w:rsidRPr="009B18E5">
        <w:rPr>
          <w:rFonts w:cs="Times New Roman"/>
        </w:rPr>
        <w:t>milled</w:t>
      </w:r>
      <w:r w:rsidR="00960990" w:rsidRPr="009B18E5">
        <w:rPr>
          <w:rFonts w:cs="Times New Roman"/>
        </w:rPr>
        <w:t xml:space="preserve"> </w:t>
      </w:r>
      <w:r w:rsidRPr="009B18E5">
        <w:rPr>
          <w:rFonts w:cs="Times New Roman"/>
        </w:rPr>
        <w:t>to pass a 1 mm mesh</w:t>
      </w:r>
      <w:r w:rsidR="00C62719" w:rsidRPr="009B18E5">
        <w:rPr>
          <w:rFonts w:cs="Times New Roman"/>
        </w:rPr>
        <w:t>, sieved,</w:t>
      </w:r>
      <w:r w:rsidRPr="009B18E5">
        <w:rPr>
          <w:rFonts w:cs="Times New Roman"/>
        </w:rPr>
        <w:t xml:space="preserve"> and placed in zip</w:t>
      </w:r>
      <w:r w:rsidR="0048307F" w:rsidRPr="009B18E5">
        <w:rPr>
          <w:rFonts w:cs="Times New Roman"/>
        </w:rPr>
        <w:t xml:space="preserve"> </w:t>
      </w:r>
      <w:r w:rsidRPr="009B18E5">
        <w:rPr>
          <w:rFonts w:cs="Times New Roman"/>
        </w:rPr>
        <w:t>bags</w:t>
      </w:r>
      <w:r w:rsidR="000C3A25" w:rsidRPr="009B18E5">
        <w:rPr>
          <w:rFonts w:cs="Times New Roman"/>
        </w:rPr>
        <w:t xml:space="preserve"> which were</w:t>
      </w:r>
      <w:r w:rsidRPr="009B18E5">
        <w:rPr>
          <w:rFonts w:cs="Times New Roman"/>
        </w:rPr>
        <w:t xml:space="preserve"> left under room temperature until further use</w:t>
      </w:r>
      <w:r w:rsidR="009E72E1" w:rsidRPr="009B18E5">
        <w:rPr>
          <w:rFonts w:cs="Times New Roman"/>
        </w:rPr>
        <w:t>. Th</w:t>
      </w:r>
      <w:r w:rsidR="00BD73C4" w:rsidRPr="009B18E5">
        <w:rPr>
          <w:rFonts w:cs="Times New Roman"/>
        </w:rPr>
        <w:t>ese</w:t>
      </w:r>
      <w:r w:rsidR="009E72E1" w:rsidRPr="009B18E5">
        <w:rPr>
          <w:rFonts w:cs="Times New Roman"/>
        </w:rPr>
        <w:t xml:space="preserve"> </w:t>
      </w:r>
      <w:r w:rsidR="00BD73C4" w:rsidRPr="009B18E5">
        <w:rPr>
          <w:rFonts w:cs="Times New Roman"/>
        </w:rPr>
        <w:t xml:space="preserve">were </w:t>
      </w:r>
      <w:r w:rsidR="009E72E1" w:rsidRPr="009B18E5">
        <w:rPr>
          <w:rFonts w:cs="Times New Roman"/>
        </w:rPr>
        <w:t>considered</w:t>
      </w:r>
      <w:r w:rsidR="00620A18" w:rsidRPr="009B18E5">
        <w:rPr>
          <w:rFonts w:cs="Times New Roman"/>
        </w:rPr>
        <w:t xml:space="preserve"> “fresh” sample</w:t>
      </w:r>
      <w:r w:rsidR="00BD73C4" w:rsidRPr="009B18E5">
        <w:rPr>
          <w:rFonts w:cs="Times New Roman"/>
        </w:rPr>
        <w:t>s</w:t>
      </w:r>
      <w:r w:rsidR="00381CA6" w:rsidRPr="009B18E5">
        <w:rPr>
          <w:rFonts w:cs="Times New Roman"/>
        </w:rPr>
        <w:t>.</w:t>
      </w:r>
    </w:p>
    <w:p w14:paraId="5FB5F998" w14:textId="39E2F90A" w:rsidR="0002488A" w:rsidRPr="006616F6" w:rsidRDefault="0002488A" w:rsidP="00C807A3">
      <w:pPr>
        <w:pStyle w:val="Caption"/>
        <w:keepNext/>
        <w:spacing w:line="360" w:lineRule="auto"/>
        <w:jc w:val="center"/>
        <w:rPr>
          <w:rFonts w:cs="Times New Roman"/>
          <w:i w:val="0"/>
        </w:rPr>
      </w:pPr>
      <w:bookmarkStart w:id="2" w:name="_Ref15410162"/>
      <w:r w:rsidRPr="006616F6">
        <w:rPr>
          <w:rFonts w:cs="Times New Roman"/>
          <w:b/>
          <w:i w:val="0"/>
        </w:rPr>
        <w:t xml:space="preserve">Table </w:t>
      </w:r>
      <w:r w:rsidRPr="006616F6">
        <w:rPr>
          <w:rFonts w:cs="Times New Roman"/>
          <w:b/>
          <w:i w:val="0"/>
          <w:noProof/>
        </w:rPr>
        <w:fldChar w:fldCharType="begin"/>
      </w:r>
      <w:r w:rsidRPr="006616F6">
        <w:rPr>
          <w:rFonts w:cs="Times New Roman"/>
          <w:b/>
          <w:i w:val="0"/>
          <w:noProof/>
        </w:rPr>
        <w:instrText xml:space="preserve"> SEQ Table \* ARABIC </w:instrText>
      </w:r>
      <w:r w:rsidRPr="006616F6">
        <w:rPr>
          <w:rFonts w:cs="Times New Roman"/>
          <w:b/>
          <w:i w:val="0"/>
          <w:noProof/>
        </w:rPr>
        <w:fldChar w:fldCharType="separate"/>
      </w:r>
      <w:r w:rsidR="003A1700">
        <w:rPr>
          <w:rFonts w:cs="Times New Roman"/>
          <w:b/>
          <w:i w:val="0"/>
          <w:noProof/>
        </w:rPr>
        <w:t>1</w:t>
      </w:r>
      <w:r w:rsidRPr="006616F6">
        <w:rPr>
          <w:rFonts w:cs="Times New Roman"/>
          <w:b/>
          <w:i w:val="0"/>
          <w:noProof/>
        </w:rPr>
        <w:fldChar w:fldCharType="end"/>
      </w:r>
      <w:bookmarkEnd w:id="2"/>
      <w:r w:rsidRPr="006616F6">
        <w:rPr>
          <w:rFonts w:cs="Times New Roman"/>
          <w:i w:val="0"/>
        </w:rPr>
        <w:t xml:space="preserve"> Description of the samples</w:t>
      </w:r>
      <w:r w:rsidR="00AD4AE9">
        <w:rPr>
          <w:rFonts w:cs="Times New Roman"/>
          <w:i w:val="0"/>
        </w:rPr>
        <w:t xml:space="preserve"> used in this study</w:t>
      </w:r>
    </w:p>
    <w:tbl>
      <w:tblPr>
        <w:tblStyle w:val="TableGrid"/>
        <w:tblW w:w="9129" w:type="dxa"/>
        <w:tblLook w:val="04A0" w:firstRow="1" w:lastRow="0" w:firstColumn="1" w:lastColumn="0" w:noHBand="0" w:noVBand="1"/>
      </w:tblPr>
      <w:tblGrid>
        <w:gridCol w:w="1629"/>
        <w:gridCol w:w="7500"/>
      </w:tblGrid>
      <w:tr w:rsidR="0002488A" w:rsidRPr="00EF75A4" w14:paraId="6B097F9E" w14:textId="77777777" w:rsidTr="0002462A">
        <w:tc>
          <w:tcPr>
            <w:tcW w:w="1629" w:type="dxa"/>
          </w:tcPr>
          <w:p w14:paraId="633514B5" w14:textId="77777777" w:rsidR="0002488A" w:rsidRPr="00EF75A4" w:rsidRDefault="0002488A" w:rsidP="00C807A3">
            <w:pPr>
              <w:keepNext/>
              <w:spacing w:line="360" w:lineRule="auto"/>
              <w:rPr>
                <w:rFonts w:cs="Times New Roman"/>
              </w:rPr>
            </w:pPr>
            <w:r w:rsidRPr="00EF75A4">
              <w:rPr>
                <w:rFonts w:cs="Times New Roman"/>
              </w:rPr>
              <w:t>Sample</w:t>
            </w:r>
          </w:p>
        </w:tc>
        <w:tc>
          <w:tcPr>
            <w:tcW w:w="7500" w:type="dxa"/>
          </w:tcPr>
          <w:p w14:paraId="06685174" w14:textId="6F4BF36A" w:rsidR="0002488A" w:rsidRPr="00EF75A4" w:rsidRDefault="0002488A" w:rsidP="00C807A3">
            <w:pPr>
              <w:keepNext/>
              <w:spacing w:line="360" w:lineRule="auto"/>
              <w:rPr>
                <w:rFonts w:cs="Times New Roman"/>
              </w:rPr>
            </w:pPr>
            <w:r w:rsidRPr="00EF75A4">
              <w:rPr>
                <w:rFonts w:cs="Times New Roman"/>
              </w:rPr>
              <w:t>Plant</w:t>
            </w:r>
            <w:r w:rsidR="00E10E9A">
              <w:rPr>
                <w:rFonts w:cs="Times New Roman"/>
              </w:rPr>
              <w:t xml:space="preserve"> and</w:t>
            </w:r>
            <w:r w:rsidRPr="00EF75A4">
              <w:rPr>
                <w:rFonts w:cs="Times New Roman"/>
              </w:rPr>
              <w:t xml:space="preserve"> feedstock composition</w:t>
            </w:r>
          </w:p>
        </w:tc>
      </w:tr>
      <w:tr w:rsidR="0002488A" w:rsidRPr="00EF75A4" w14:paraId="67BB7051" w14:textId="77777777" w:rsidTr="0002462A">
        <w:tc>
          <w:tcPr>
            <w:tcW w:w="1629" w:type="dxa"/>
          </w:tcPr>
          <w:p w14:paraId="6671BE3E" w14:textId="77777777" w:rsidR="0002488A" w:rsidRPr="00EF75A4" w:rsidRDefault="0002488A" w:rsidP="00C807A3">
            <w:pPr>
              <w:keepNext/>
              <w:spacing w:line="360" w:lineRule="auto"/>
              <w:rPr>
                <w:rFonts w:cs="Times New Roman"/>
              </w:rPr>
            </w:pPr>
            <w:r w:rsidRPr="00EF75A4">
              <w:rPr>
                <w:rFonts w:cs="Times New Roman"/>
              </w:rPr>
              <w:t>FWD</w:t>
            </w:r>
          </w:p>
        </w:tc>
        <w:tc>
          <w:tcPr>
            <w:tcW w:w="7500" w:type="dxa"/>
          </w:tcPr>
          <w:p w14:paraId="349C3574" w14:textId="22DF221C" w:rsidR="0002488A" w:rsidRPr="00EF75A4" w:rsidRDefault="00DF7D4B" w:rsidP="00C807A3">
            <w:pPr>
              <w:keepNext/>
              <w:spacing w:line="360" w:lineRule="auto"/>
              <w:rPr>
                <w:rFonts w:cs="Times New Roman"/>
              </w:rPr>
            </w:pPr>
            <w:r w:rsidRPr="00EF75A4">
              <w:rPr>
                <w:rFonts w:cs="Times New Roman"/>
              </w:rPr>
              <w:t>17600 t/year s</w:t>
            </w:r>
            <w:r w:rsidR="0002488A" w:rsidRPr="00EF75A4">
              <w:rPr>
                <w:rFonts w:cs="Times New Roman"/>
              </w:rPr>
              <w:t>ource segregated food waste (mainly household)</w:t>
            </w:r>
            <w:r w:rsidRPr="00EF75A4">
              <w:rPr>
                <w:rFonts w:cs="Times New Roman"/>
              </w:rPr>
              <w:t xml:space="preserve"> </w:t>
            </w:r>
          </w:p>
        </w:tc>
      </w:tr>
      <w:tr w:rsidR="0002488A" w:rsidRPr="00EF75A4" w14:paraId="6FFAD23B" w14:textId="77777777" w:rsidTr="0002462A">
        <w:tc>
          <w:tcPr>
            <w:tcW w:w="1629" w:type="dxa"/>
          </w:tcPr>
          <w:p w14:paraId="1CD0B0B7" w14:textId="77777777" w:rsidR="0002488A" w:rsidRPr="00EF75A4" w:rsidRDefault="0002488A" w:rsidP="00C807A3">
            <w:pPr>
              <w:keepNext/>
              <w:spacing w:line="360" w:lineRule="auto"/>
              <w:rPr>
                <w:rFonts w:cs="Times New Roman"/>
              </w:rPr>
            </w:pPr>
            <w:r w:rsidRPr="00EF75A4">
              <w:rPr>
                <w:rFonts w:cs="Times New Roman"/>
              </w:rPr>
              <w:t>PVWD</w:t>
            </w:r>
          </w:p>
        </w:tc>
        <w:tc>
          <w:tcPr>
            <w:tcW w:w="7500" w:type="dxa"/>
          </w:tcPr>
          <w:p w14:paraId="0D18156E" w14:textId="0D0FE9A6" w:rsidR="0002488A" w:rsidRPr="00EF75A4" w:rsidRDefault="00D50DD1" w:rsidP="00C807A3">
            <w:pPr>
              <w:keepNext/>
              <w:spacing w:line="360" w:lineRule="auto"/>
              <w:rPr>
                <w:rFonts w:cs="Times New Roman"/>
              </w:rPr>
            </w:pPr>
            <w:r w:rsidRPr="00EF75A4">
              <w:rPr>
                <w:rFonts w:cs="Times New Roman"/>
              </w:rPr>
              <w:t xml:space="preserve">Maize Silage(10000 t/year), </w:t>
            </w:r>
            <w:r w:rsidR="00F95A88">
              <w:rPr>
                <w:rFonts w:cs="Times New Roman"/>
              </w:rPr>
              <w:t>v</w:t>
            </w:r>
            <w:r w:rsidR="0002488A" w:rsidRPr="00EF75A4">
              <w:rPr>
                <w:rFonts w:cs="Times New Roman"/>
              </w:rPr>
              <w:t>egetables waste(5000 t/year) , sweet-corn waste (15000 tons per year)</w:t>
            </w:r>
            <w:r w:rsidR="00F95A88">
              <w:rPr>
                <w:rFonts w:cs="Times New Roman"/>
              </w:rPr>
              <w:t>,</w:t>
            </w:r>
            <w:r w:rsidR="0002488A" w:rsidRPr="00EF75A4">
              <w:rPr>
                <w:rFonts w:cs="Times New Roman"/>
              </w:rPr>
              <w:t xml:space="preserve"> </w:t>
            </w:r>
            <w:r w:rsidR="00F95A88">
              <w:rPr>
                <w:rFonts w:cs="Times New Roman"/>
              </w:rPr>
              <w:t>a</w:t>
            </w:r>
            <w:r w:rsidR="0002488A" w:rsidRPr="00EF75A4">
              <w:rPr>
                <w:rFonts w:cs="Times New Roman"/>
              </w:rPr>
              <w:t>erobically treated food waste (10000 t/year),</w:t>
            </w:r>
            <w:r w:rsidR="00F95A88">
              <w:rPr>
                <w:rFonts w:cs="Times New Roman"/>
              </w:rPr>
              <w:t xml:space="preserve"> and</w:t>
            </w:r>
            <w:r w:rsidR="0002488A" w:rsidRPr="00EF75A4">
              <w:rPr>
                <w:rFonts w:cs="Times New Roman"/>
              </w:rPr>
              <w:t xml:space="preserve"> other biodegradable sludge (2000 t/year)</w:t>
            </w:r>
          </w:p>
        </w:tc>
      </w:tr>
      <w:tr w:rsidR="0002488A" w:rsidRPr="00EF75A4" w14:paraId="54681265" w14:textId="77777777" w:rsidTr="0002462A">
        <w:tc>
          <w:tcPr>
            <w:tcW w:w="1629" w:type="dxa"/>
          </w:tcPr>
          <w:p w14:paraId="04602742" w14:textId="77777777" w:rsidR="0002488A" w:rsidRPr="00EF75A4" w:rsidRDefault="0002488A" w:rsidP="00C807A3">
            <w:pPr>
              <w:keepNext/>
              <w:spacing w:line="360" w:lineRule="auto"/>
              <w:rPr>
                <w:rFonts w:cs="Times New Roman"/>
              </w:rPr>
            </w:pPr>
            <w:r w:rsidRPr="00EF75A4">
              <w:rPr>
                <w:rFonts w:cs="Times New Roman"/>
              </w:rPr>
              <w:t>WFA and WBA</w:t>
            </w:r>
          </w:p>
        </w:tc>
        <w:tc>
          <w:tcPr>
            <w:tcW w:w="7500" w:type="dxa"/>
          </w:tcPr>
          <w:p w14:paraId="77CED256" w14:textId="087CF001" w:rsidR="0002488A" w:rsidRPr="00EF75A4" w:rsidRDefault="0002488A" w:rsidP="00D93957">
            <w:pPr>
              <w:keepNext/>
              <w:spacing w:line="360" w:lineRule="auto"/>
              <w:rPr>
                <w:rFonts w:cs="Times New Roman"/>
              </w:rPr>
            </w:pPr>
            <w:r w:rsidRPr="00EF75A4">
              <w:rPr>
                <w:rFonts w:cs="Times New Roman"/>
              </w:rPr>
              <w:t>Virgin wood bark and chipped timber (</w:t>
            </w:r>
            <w:r w:rsidR="00F95A88">
              <w:rPr>
                <w:rFonts w:cs="Times New Roman"/>
              </w:rPr>
              <w:t xml:space="preserve">generally </w:t>
            </w:r>
            <w:r w:rsidRPr="00EF75A4">
              <w:rPr>
                <w:rFonts w:cs="Times New Roman"/>
              </w:rPr>
              <w:t xml:space="preserve">85% </w:t>
            </w:r>
            <w:r w:rsidR="00F95A88">
              <w:rPr>
                <w:rFonts w:cs="Times New Roman"/>
              </w:rPr>
              <w:t>s</w:t>
            </w:r>
            <w:r w:rsidRPr="00EF75A4">
              <w:rPr>
                <w:rFonts w:cs="Times New Roman"/>
              </w:rPr>
              <w:t>itka spruce</w:t>
            </w:r>
            <w:r w:rsidR="00B803E6" w:rsidRPr="00EF75A4">
              <w:rPr>
                <w:rFonts w:cs="Times New Roman"/>
              </w:rPr>
              <w:t xml:space="preserve"> </w:t>
            </w:r>
            <w:r w:rsidRPr="00EF75A4">
              <w:rPr>
                <w:rFonts w:cs="Times New Roman"/>
              </w:rPr>
              <w:t xml:space="preserve">and 15% </w:t>
            </w:r>
            <w:r w:rsidR="00F95A88">
              <w:rPr>
                <w:rFonts w:cs="Times New Roman"/>
              </w:rPr>
              <w:t>l</w:t>
            </w:r>
            <w:r w:rsidRPr="00EF75A4">
              <w:rPr>
                <w:rFonts w:cs="Times New Roman"/>
              </w:rPr>
              <w:t>arch</w:t>
            </w:r>
            <w:r w:rsidR="00D93957">
              <w:rPr>
                <w:rFonts w:cs="Times New Roman"/>
              </w:rPr>
              <w:t>,</w:t>
            </w:r>
            <w:r w:rsidR="00F95A88">
              <w:rPr>
                <w:rFonts w:cs="Times New Roman"/>
              </w:rPr>
              <w:t xml:space="preserve"> but the</w:t>
            </w:r>
            <w:r w:rsidRPr="00EF75A4">
              <w:rPr>
                <w:rFonts w:cs="Times New Roman"/>
              </w:rPr>
              <w:t xml:space="preserve"> </w:t>
            </w:r>
            <w:r w:rsidR="00D93957">
              <w:rPr>
                <w:rFonts w:cs="Times New Roman"/>
              </w:rPr>
              <w:t xml:space="preserve">blending </w:t>
            </w:r>
            <w:r w:rsidRPr="00EF75A4">
              <w:rPr>
                <w:rFonts w:cs="Times New Roman"/>
              </w:rPr>
              <w:t>ratio depende</w:t>
            </w:r>
            <w:r w:rsidR="00D93957">
              <w:rPr>
                <w:rFonts w:cs="Times New Roman"/>
              </w:rPr>
              <w:t>d</w:t>
            </w:r>
            <w:r w:rsidRPr="00EF75A4">
              <w:rPr>
                <w:rFonts w:cs="Times New Roman"/>
              </w:rPr>
              <w:t xml:space="preserve"> on</w:t>
            </w:r>
            <w:r w:rsidR="00D93957">
              <w:rPr>
                <w:rFonts w:cs="Times New Roman"/>
              </w:rPr>
              <w:t xml:space="preserve"> the</w:t>
            </w:r>
            <w:r w:rsidRPr="00EF75A4">
              <w:rPr>
                <w:rFonts w:cs="Times New Roman"/>
              </w:rPr>
              <w:t xml:space="preserve"> availability</w:t>
            </w:r>
            <w:r w:rsidR="00D93957">
              <w:rPr>
                <w:rFonts w:cs="Times New Roman"/>
              </w:rPr>
              <w:t xml:space="preserve"> of these materials</w:t>
            </w:r>
            <w:r w:rsidRPr="00EF75A4">
              <w:rPr>
                <w:rFonts w:cs="Times New Roman"/>
              </w:rPr>
              <w:t>)</w:t>
            </w:r>
            <w:r w:rsidR="00427DFF" w:rsidRPr="00EF75A4">
              <w:rPr>
                <w:rFonts w:cs="Times New Roman"/>
              </w:rPr>
              <w:t xml:space="preserve"> to produce 256 t/year</w:t>
            </w:r>
            <w:r w:rsidR="00B47F6C">
              <w:rPr>
                <w:rFonts w:cs="Times New Roman"/>
              </w:rPr>
              <w:t xml:space="preserve"> of</w:t>
            </w:r>
            <w:r w:rsidR="00427DFF" w:rsidRPr="00EF75A4">
              <w:rPr>
                <w:rFonts w:cs="Times New Roman"/>
              </w:rPr>
              <w:t xml:space="preserve"> WFA and 295 t/year</w:t>
            </w:r>
            <w:r w:rsidR="00B47F6C">
              <w:rPr>
                <w:rFonts w:cs="Times New Roman"/>
              </w:rPr>
              <w:t xml:space="preserve"> of</w:t>
            </w:r>
            <w:r w:rsidR="00427DFF" w:rsidRPr="00EF75A4">
              <w:rPr>
                <w:rFonts w:cs="Times New Roman"/>
              </w:rPr>
              <w:t xml:space="preserve"> WBA</w:t>
            </w:r>
          </w:p>
        </w:tc>
      </w:tr>
    </w:tbl>
    <w:p w14:paraId="3198EED7" w14:textId="64899DEC" w:rsidR="00F52F04" w:rsidRDefault="00F52F04" w:rsidP="00C807A3">
      <w:pPr>
        <w:spacing w:line="360" w:lineRule="auto"/>
        <w:rPr>
          <w:rFonts w:cs="Times New Roman"/>
        </w:rPr>
      </w:pPr>
    </w:p>
    <w:p w14:paraId="32FF6FD8" w14:textId="6650A735" w:rsidR="00F52F04" w:rsidRPr="00E95424" w:rsidRDefault="00F52F04" w:rsidP="00F52F04">
      <w:pPr>
        <w:spacing w:line="360" w:lineRule="auto"/>
        <w:rPr>
          <w:rFonts w:cs="Times New Roman"/>
          <w:b/>
        </w:rPr>
      </w:pPr>
      <w:r w:rsidRPr="00E95424">
        <w:rPr>
          <w:rFonts w:cs="Times New Roman"/>
          <w:b/>
        </w:rPr>
        <w:t>The samples were blended in order to achieve ash</w:t>
      </w:r>
      <w:r w:rsidR="001A1875" w:rsidRPr="00E95424">
        <w:rPr>
          <w:rFonts w:cs="Times New Roman"/>
          <w:b/>
        </w:rPr>
        <w:t>es</w:t>
      </w:r>
      <w:r w:rsidR="00B461A5">
        <w:rPr>
          <w:rFonts w:cs="Times New Roman"/>
          <w:b/>
        </w:rPr>
        <w:t>-to-</w:t>
      </w:r>
      <w:r w:rsidRPr="00E95424">
        <w:rPr>
          <w:rFonts w:cs="Times New Roman"/>
          <w:b/>
        </w:rPr>
        <w:t>digestate</w:t>
      </w:r>
      <w:r w:rsidR="001A1875" w:rsidRPr="00E95424">
        <w:rPr>
          <w:rFonts w:cs="Times New Roman"/>
          <w:b/>
        </w:rPr>
        <w:t>s</w:t>
      </w:r>
      <w:r w:rsidRPr="00E95424">
        <w:rPr>
          <w:rFonts w:cs="Times New Roman"/>
          <w:b/>
        </w:rPr>
        <w:t xml:space="preserve"> ratios of 1:4.6 and 1:2.3 (</w:t>
      </w:r>
      <w:r w:rsidR="008A300C" w:rsidRPr="00E95424">
        <w:rPr>
          <w:rFonts w:cs="Times New Roman"/>
          <w:b/>
        </w:rPr>
        <w:fldChar w:fldCharType="begin"/>
      </w:r>
      <w:r w:rsidR="008A300C" w:rsidRPr="00E95424">
        <w:rPr>
          <w:rFonts w:cs="Times New Roman"/>
          <w:b/>
        </w:rPr>
        <w:instrText xml:space="preserve"> REF _Ref44759134 \h  \* MERGEFORMAT </w:instrText>
      </w:r>
      <w:r w:rsidR="008A300C" w:rsidRPr="00E95424">
        <w:rPr>
          <w:rFonts w:cs="Times New Roman"/>
          <w:b/>
        </w:rPr>
      </w:r>
      <w:r w:rsidR="008A300C" w:rsidRPr="00E95424">
        <w:rPr>
          <w:rFonts w:cs="Times New Roman"/>
          <w:b/>
        </w:rPr>
        <w:fldChar w:fldCharType="separate"/>
      </w:r>
      <w:r w:rsidR="008A300C" w:rsidRPr="00E95424">
        <w:rPr>
          <w:b/>
        </w:rPr>
        <w:t xml:space="preserve">Table </w:t>
      </w:r>
      <w:r w:rsidR="008A300C" w:rsidRPr="00E95424">
        <w:rPr>
          <w:b/>
          <w:noProof/>
        </w:rPr>
        <w:t>2</w:t>
      </w:r>
      <w:r w:rsidR="008A300C" w:rsidRPr="00E95424">
        <w:rPr>
          <w:rFonts w:cs="Times New Roman"/>
          <w:b/>
        </w:rPr>
        <w:fldChar w:fldCharType="end"/>
      </w:r>
      <w:r w:rsidRPr="00E95424">
        <w:rPr>
          <w:rFonts w:cs="Times New Roman"/>
          <w:b/>
        </w:rPr>
        <w:fldChar w:fldCharType="begin"/>
      </w:r>
      <w:r w:rsidRPr="00E95424">
        <w:rPr>
          <w:rFonts w:cs="Times New Roman"/>
          <w:b/>
        </w:rPr>
        <w:instrText xml:space="preserve"> REF _Ref13331821 \h  \* MERGEFORMAT </w:instrText>
      </w:r>
      <w:r w:rsidRPr="00E95424">
        <w:rPr>
          <w:rFonts w:cs="Times New Roman"/>
          <w:b/>
        </w:rPr>
      </w:r>
      <w:r w:rsidRPr="00E95424">
        <w:rPr>
          <w:rFonts w:cs="Times New Roman"/>
          <w:b/>
        </w:rPr>
        <w:fldChar w:fldCharType="end"/>
      </w:r>
      <w:r w:rsidRPr="00E95424">
        <w:rPr>
          <w:rFonts w:cs="Times New Roman"/>
          <w:b/>
        </w:rPr>
        <w:t>). Usually</w:t>
      </w:r>
      <w:r w:rsidR="008A300C" w:rsidRPr="00E95424">
        <w:rPr>
          <w:rFonts w:cs="Times New Roman"/>
          <w:b/>
        </w:rPr>
        <w:t>,</w:t>
      </w:r>
      <w:r w:rsidRPr="00E95424">
        <w:rPr>
          <w:rFonts w:cs="Times New Roman"/>
          <w:b/>
        </w:rPr>
        <w:t xml:space="preserve"> alkaline </w:t>
      </w:r>
      <w:r w:rsidR="006F29E4" w:rsidRPr="00E95424">
        <w:rPr>
          <w:rFonts w:cs="Times New Roman"/>
          <w:b/>
        </w:rPr>
        <w:t>stabiliz</w:t>
      </w:r>
      <w:r w:rsidRPr="00E95424">
        <w:rPr>
          <w:rFonts w:cs="Times New Roman"/>
          <w:b/>
        </w:rPr>
        <w:t xml:space="preserve">ation requires </w:t>
      </w:r>
      <w:r w:rsidR="0064150D" w:rsidRPr="00E95424">
        <w:rPr>
          <w:rFonts w:cs="Times New Roman"/>
          <w:b/>
        </w:rPr>
        <w:t>a ratio of</w:t>
      </w:r>
      <w:r w:rsidRPr="00E95424">
        <w:rPr>
          <w:rFonts w:cs="Times New Roman"/>
          <w:b/>
        </w:rPr>
        <w:t xml:space="preserve"> g Ca(OH)</w:t>
      </w:r>
      <w:r w:rsidRPr="00E95424">
        <w:rPr>
          <w:rFonts w:cs="Times New Roman"/>
          <w:b/>
          <w:vertAlign w:val="subscript"/>
        </w:rPr>
        <w:t>2</w:t>
      </w:r>
      <w:r w:rsidRPr="00E95424">
        <w:rPr>
          <w:rFonts w:cs="Times New Roman"/>
          <w:b/>
        </w:rPr>
        <w:t>/g solid</w:t>
      </w:r>
      <w:r w:rsidR="0064150D" w:rsidRPr="00E95424">
        <w:rPr>
          <w:rFonts w:cs="Times New Roman"/>
          <w:b/>
        </w:rPr>
        <w:t xml:space="preserve"> of 1:10</w:t>
      </w:r>
      <w:r w:rsidRPr="00E95424">
        <w:rPr>
          <w:rFonts w:cs="Times New Roman"/>
          <w:b/>
        </w:rPr>
        <w:t xml:space="preserve"> </w:t>
      </w:r>
      <w:r w:rsidRPr="00E95424">
        <w:rPr>
          <w:rFonts w:cs="Times New Roman"/>
          <w:b/>
        </w:rPr>
        <w:fldChar w:fldCharType="begin" w:fldLock="1"/>
      </w:r>
      <w:r w:rsidR="00BB33F9">
        <w:rPr>
          <w:rFonts w:cs="Times New Roman"/>
          <w:b/>
        </w:rPr>
        <w:instrText>ADDIN CSL_CITATION {"citationItems":[{"id":"ITEM-1","itemData":{"DOI":"10.1016/j.biortech.2015.08.085","ISSN":"18732976","abstract":"The native form of lignocellulosic biomass is resistant to enzymatic breakdown. A well-designed pretreatment that can promote enzymatic hydrolysis of biomass with reasonable processing cost is therefore necessary. To this end, a number of different types of pretreatment technologies have been developed with a common goal of making biomass more susceptible to enzymatic saccharification. Among those, a pretreatment method using alkaline reagent has emerged as one of the most viable process options due primarily to its strong pretreatment effect and relatively simple process scheme. The main features of alkaline pretreatment are that it selectively removes lignin without degrading carbohydrates, and increases porosity and surface area, thereby enhancing enzymatic hydrolysis. In this review, the leading alkaline pretreatment technologies are described and their features and comparative performances are discussed from a process viewpoint. Attempts were also made to give insights into the chemical and physical changes of biomass brought about by pretreatment.","author":[{"dropping-particle":"","family":"Kim","given":"Jun Seok","non-dropping-particle":"","parse-names":false,"suffix":""},{"dropping-particle":"","family":"Lee","given":"Y. Y.","non-dropping-particle":"","parse-names":false,"suffix":""},{"dropping-particle":"","family":"Kim","given":"Tae Hyun","non-dropping-particle":"","parse-names":false,"suffix":""}],"container-title":"Bioresource Technology","id":"ITEM-1","issued":{"date-parts":[["2016"]]},"page":"42-48","publisher":"Elsevier Ltd","title":"A review on alkaline pretreatment technology for bioconversion of lignocellulosic biomass","type":"article-journal","volume":"199"},"uris":["http://www.mendeley.com/documents/?uuid=804bece8-8c11-43b4-bf88-a6e6af83a5fc"]}],"mendeley":{"formattedCitation":"[25]","plainTextFormattedCitation":"[25]","previouslyFormattedCitation":"[25]"},"properties":{"noteIndex":0},"schema":"https://github.com/citation-style-language/schema/raw/master/csl-citation.json"}</w:instrText>
      </w:r>
      <w:r w:rsidRPr="00E95424">
        <w:rPr>
          <w:rFonts w:cs="Times New Roman"/>
          <w:b/>
        </w:rPr>
        <w:fldChar w:fldCharType="separate"/>
      </w:r>
      <w:r w:rsidR="00D33723" w:rsidRPr="00D33723">
        <w:rPr>
          <w:rFonts w:cs="Times New Roman"/>
          <w:noProof/>
        </w:rPr>
        <w:t>[25]</w:t>
      </w:r>
      <w:r w:rsidRPr="00E95424">
        <w:rPr>
          <w:rFonts w:cs="Times New Roman"/>
          <w:b/>
        </w:rPr>
        <w:fldChar w:fldCharType="end"/>
      </w:r>
      <w:r w:rsidRPr="00E95424">
        <w:rPr>
          <w:rFonts w:cs="Times New Roman"/>
          <w:b/>
        </w:rPr>
        <w:t xml:space="preserve">. It should be noted the </w:t>
      </w:r>
      <w:r w:rsidR="00E95424">
        <w:rPr>
          <w:rFonts w:cs="Times New Roman"/>
          <w:b/>
        </w:rPr>
        <w:t>significant amount (~10%)</w:t>
      </w:r>
      <w:r w:rsidRPr="00E95424">
        <w:rPr>
          <w:rFonts w:cs="Times New Roman"/>
          <w:b/>
        </w:rPr>
        <w:t xml:space="preserve"> of Ca present</w:t>
      </w:r>
      <w:r w:rsidR="008A300C" w:rsidRPr="00E95424">
        <w:rPr>
          <w:rFonts w:cs="Times New Roman"/>
          <w:b/>
        </w:rPr>
        <w:t>ed</w:t>
      </w:r>
      <w:r w:rsidRPr="00E95424">
        <w:rPr>
          <w:rFonts w:cs="Times New Roman"/>
          <w:b/>
        </w:rPr>
        <w:t xml:space="preserve"> in the wood ashes (</w:t>
      </w:r>
      <w:r w:rsidR="00D7561C" w:rsidRPr="00E95424">
        <w:rPr>
          <w:rFonts w:cs="Times New Roman"/>
          <w:b/>
        </w:rPr>
        <w:t>Online resource 1</w:t>
      </w:r>
      <w:r w:rsidRPr="00E95424">
        <w:rPr>
          <w:rFonts w:cs="Times New Roman"/>
          <w:b/>
        </w:rPr>
        <w:t>) and the low dry matter of the digestates (</w:t>
      </w:r>
      <w:r w:rsidR="00F1383A" w:rsidRPr="00E95424">
        <w:rPr>
          <w:rFonts w:cs="Times New Roman"/>
          <w:b/>
        </w:rPr>
        <w:fldChar w:fldCharType="begin"/>
      </w:r>
      <w:r w:rsidR="00F1383A" w:rsidRPr="00E95424">
        <w:rPr>
          <w:rFonts w:cs="Times New Roman"/>
          <w:b/>
        </w:rPr>
        <w:instrText xml:space="preserve"> REF _Ref44759336 \h  \* MERGEFORMAT </w:instrText>
      </w:r>
      <w:r w:rsidR="00F1383A" w:rsidRPr="00E95424">
        <w:rPr>
          <w:rFonts w:cs="Times New Roman"/>
          <w:b/>
        </w:rPr>
      </w:r>
      <w:r w:rsidR="00F1383A" w:rsidRPr="00E95424">
        <w:rPr>
          <w:rFonts w:cs="Times New Roman"/>
          <w:b/>
        </w:rPr>
        <w:fldChar w:fldCharType="separate"/>
      </w:r>
      <w:r w:rsidR="00B42460" w:rsidRPr="00E95424">
        <w:rPr>
          <w:rFonts w:cs="Times New Roman"/>
          <w:b/>
        </w:rPr>
        <w:t xml:space="preserve">Table </w:t>
      </w:r>
      <w:r w:rsidR="00B42460" w:rsidRPr="00E95424">
        <w:rPr>
          <w:rFonts w:cs="Times New Roman"/>
          <w:b/>
          <w:noProof/>
        </w:rPr>
        <w:t>3</w:t>
      </w:r>
      <w:r w:rsidR="00F1383A" w:rsidRPr="00E95424">
        <w:rPr>
          <w:rFonts w:cs="Times New Roman"/>
          <w:b/>
        </w:rPr>
        <w:fldChar w:fldCharType="end"/>
      </w:r>
      <w:r w:rsidRPr="00E95424">
        <w:rPr>
          <w:rFonts w:cs="Times New Roman"/>
          <w:b/>
        </w:rPr>
        <w:fldChar w:fldCharType="begin"/>
      </w:r>
      <w:r w:rsidRPr="00E95424">
        <w:rPr>
          <w:rFonts w:cs="Times New Roman"/>
          <w:b/>
        </w:rPr>
        <w:instrText xml:space="preserve"> REF _Ref13331821 \h  \* MERGEFORMAT </w:instrText>
      </w:r>
      <w:r w:rsidRPr="00E95424">
        <w:rPr>
          <w:rFonts w:cs="Times New Roman"/>
          <w:b/>
        </w:rPr>
      </w:r>
      <w:r w:rsidRPr="00E95424">
        <w:rPr>
          <w:rFonts w:cs="Times New Roman"/>
          <w:b/>
        </w:rPr>
        <w:fldChar w:fldCharType="end"/>
      </w:r>
      <w:r w:rsidRPr="00E95424">
        <w:rPr>
          <w:rFonts w:cs="Times New Roman"/>
          <w:b/>
        </w:rPr>
        <w:t>)</w:t>
      </w:r>
      <w:r w:rsidR="003049E1" w:rsidRPr="00E95424">
        <w:rPr>
          <w:rFonts w:cs="Times New Roman"/>
          <w:b/>
        </w:rPr>
        <w:t xml:space="preserve"> when comparing the blending ratios</w:t>
      </w:r>
      <w:r w:rsidRPr="00E95424">
        <w:rPr>
          <w:rFonts w:cs="Times New Roman"/>
          <w:b/>
        </w:rPr>
        <w:t>.</w:t>
      </w:r>
      <w:r w:rsidR="008D1A8E">
        <w:rPr>
          <w:rFonts w:cs="Times New Roman"/>
          <w:b/>
        </w:rPr>
        <w:t xml:space="preserve"> Both blends have a nutrient profile around C/N/P:10/1/1 (</w:t>
      </w:r>
      <w:r w:rsidR="008D1A8E" w:rsidRPr="008D1A8E">
        <w:rPr>
          <w:rFonts w:cs="Times New Roman"/>
          <w:b/>
        </w:rPr>
        <w:fldChar w:fldCharType="begin"/>
      </w:r>
      <w:r w:rsidR="008D1A8E" w:rsidRPr="008D1A8E">
        <w:rPr>
          <w:rFonts w:cs="Times New Roman"/>
          <w:b/>
        </w:rPr>
        <w:instrText xml:space="preserve"> REF _Ref44759336 \h  \* MERGEFORMAT </w:instrText>
      </w:r>
      <w:r w:rsidR="008D1A8E" w:rsidRPr="008D1A8E">
        <w:rPr>
          <w:rFonts w:cs="Times New Roman"/>
          <w:b/>
        </w:rPr>
      </w:r>
      <w:r w:rsidR="008D1A8E" w:rsidRPr="008D1A8E">
        <w:rPr>
          <w:rFonts w:cs="Times New Roman"/>
          <w:b/>
        </w:rPr>
        <w:fldChar w:fldCharType="separate"/>
      </w:r>
      <w:r w:rsidR="008D1A8E" w:rsidRPr="008D1A8E">
        <w:rPr>
          <w:rFonts w:cs="Times New Roman"/>
          <w:b/>
        </w:rPr>
        <w:t xml:space="preserve">Table </w:t>
      </w:r>
      <w:r w:rsidR="008D1A8E" w:rsidRPr="008D1A8E">
        <w:rPr>
          <w:rFonts w:cs="Times New Roman"/>
          <w:b/>
          <w:noProof/>
        </w:rPr>
        <w:t>3</w:t>
      </w:r>
      <w:r w:rsidR="008D1A8E" w:rsidRPr="008D1A8E">
        <w:rPr>
          <w:rFonts w:cs="Times New Roman"/>
          <w:b/>
        </w:rPr>
        <w:fldChar w:fldCharType="end"/>
      </w:r>
      <w:r w:rsidR="008D1A8E">
        <w:rPr>
          <w:rFonts w:cs="Times New Roman"/>
          <w:b/>
        </w:rPr>
        <w:t xml:space="preserve">), </w:t>
      </w:r>
      <w:r w:rsidR="0006015A">
        <w:rPr>
          <w:rFonts w:cs="Times New Roman"/>
          <w:b/>
        </w:rPr>
        <w:t>hence</w:t>
      </w:r>
      <w:r w:rsidR="008D1A8E">
        <w:rPr>
          <w:rFonts w:cs="Times New Roman"/>
          <w:b/>
        </w:rPr>
        <w:t xml:space="preserve"> low carbon mineralization would be expected after land </w:t>
      </w:r>
      <w:r w:rsidR="008D1A8E">
        <w:rPr>
          <w:rFonts w:cs="Times New Roman"/>
          <w:b/>
        </w:rPr>
        <w:lastRenderedPageBreak/>
        <w:t>application.</w:t>
      </w:r>
      <w:r w:rsidRPr="00E95424">
        <w:rPr>
          <w:rFonts w:cs="Times New Roman"/>
          <w:b/>
        </w:rPr>
        <w:t xml:space="preserve"> The ashes were used directly without any prior treatment/activation to enhance the sorption process.</w:t>
      </w:r>
    </w:p>
    <w:p w14:paraId="054B2686" w14:textId="0132D5D4" w:rsidR="003A1700" w:rsidRPr="00E95424" w:rsidRDefault="003A1700" w:rsidP="00A762D0">
      <w:pPr>
        <w:pStyle w:val="Caption"/>
        <w:keepNext/>
        <w:spacing w:line="360" w:lineRule="auto"/>
        <w:rPr>
          <w:b/>
        </w:rPr>
      </w:pPr>
      <w:bookmarkStart w:id="3" w:name="_Ref44759134"/>
      <w:r w:rsidRPr="00E95424">
        <w:rPr>
          <w:b/>
          <w:i w:val="0"/>
        </w:rPr>
        <w:t xml:space="preserve">Table </w:t>
      </w:r>
      <w:r w:rsidRPr="00E95424">
        <w:rPr>
          <w:b/>
          <w:i w:val="0"/>
        </w:rPr>
        <w:fldChar w:fldCharType="begin"/>
      </w:r>
      <w:r w:rsidRPr="00E95424">
        <w:rPr>
          <w:b/>
          <w:i w:val="0"/>
        </w:rPr>
        <w:instrText xml:space="preserve"> SEQ Table \* ARABIC </w:instrText>
      </w:r>
      <w:r w:rsidRPr="00E95424">
        <w:rPr>
          <w:b/>
          <w:i w:val="0"/>
        </w:rPr>
        <w:fldChar w:fldCharType="separate"/>
      </w:r>
      <w:r w:rsidRPr="00E95424">
        <w:rPr>
          <w:b/>
          <w:i w:val="0"/>
          <w:noProof/>
        </w:rPr>
        <w:t>2</w:t>
      </w:r>
      <w:r w:rsidRPr="00E95424">
        <w:rPr>
          <w:b/>
          <w:i w:val="0"/>
        </w:rPr>
        <w:fldChar w:fldCharType="end"/>
      </w:r>
      <w:bookmarkEnd w:id="3"/>
      <w:r w:rsidR="001E3AF5" w:rsidRPr="00E95424">
        <w:rPr>
          <w:b/>
          <w:i w:val="0"/>
        </w:rPr>
        <w:t xml:space="preserve"> </w:t>
      </w:r>
      <w:r w:rsidR="00C1048C" w:rsidRPr="00E95424">
        <w:rPr>
          <w:b/>
          <w:i w:val="0"/>
        </w:rPr>
        <w:t xml:space="preserve">Mass percentage (wt.%) of </w:t>
      </w:r>
      <w:r w:rsidR="00A762D0" w:rsidRPr="00E95424">
        <w:rPr>
          <w:b/>
          <w:i w:val="0"/>
        </w:rPr>
        <w:t xml:space="preserve">each </w:t>
      </w:r>
      <w:r w:rsidR="00C1048C" w:rsidRPr="00E95424">
        <w:rPr>
          <w:b/>
          <w:i w:val="0"/>
        </w:rPr>
        <w:t>fresh sample for the p</w:t>
      </w:r>
      <w:r w:rsidR="001E3AF5" w:rsidRPr="00E95424">
        <w:rPr>
          <w:b/>
          <w:i w:val="0"/>
        </w:rPr>
        <w:t>reparation of approximate</w:t>
      </w:r>
      <w:r w:rsidR="00C1048C" w:rsidRPr="00E95424">
        <w:rPr>
          <w:b/>
          <w:i w:val="0"/>
        </w:rPr>
        <w:t>ly</w:t>
      </w:r>
      <w:r w:rsidR="001E3AF5" w:rsidRPr="00E95424">
        <w:rPr>
          <w:b/>
          <w:i w:val="0"/>
        </w:rPr>
        <w:t xml:space="preserve"> 3 g of each blend</w:t>
      </w:r>
    </w:p>
    <w:tbl>
      <w:tblPr>
        <w:tblStyle w:val="TableGrid"/>
        <w:tblW w:w="0" w:type="auto"/>
        <w:jc w:val="center"/>
        <w:tblLook w:val="04A0" w:firstRow="1" w:lastRow="0" w:firstColumn="1" w:lastColumn="0" w:noHBand="0" w:noVBand="1"/>
      </w:tblPr>
      <w:tblGrid>
        <w:gridCol w:w="2094"/>
        <w:gridCol w:w="944"/>
        <w:gridCol w:w="944"/>
      </w:tblGrid>
      <w:tr w:rsidR="003A1700" w:rsidRPr="00E95424" w14:paraId="084B88FD" w14:textId="77777777" w:rsidTr="00AF7577">
        <w:trPr>
          <w:jc w:val="center"/>
        </w:trPr>
        <w:tc>
          <w:tcPr>
            <w:tcW w:w="1894" w:type="dxa"/>
          </w:tcPr>
          <w:p w14:paraId="4A2995BF" w14:textId="77777777" w:rsidR="003A1700" w:rsidRPr="00E95424" w:rsidRDefault="003A1700" w:rsidP="00A96AB5">
            <w:pPr>
              <w:rPr>
                <w:b/>
              </w:rPr>
            </w:pPr>
            <w:r w:rsidRPr="00E95424">
              <w:rPr>
                <w:b/>
              </w:rPr>
              <w:t>Sample</w:t>
            </w:r>
          </w:p>
        </w:tc>
        <w:tc>
          <w:tcPr>
            <w:tcW w:w="944" w:type="dxa"/>
          </w:tcPr>
          <w:p w14:paraId="3862A8EA" w14:textId="77777777" w:rsidR="003A1700" w:rsidRPr="00E95424" w:rsidRDefault="003A1700" w:rsidP="00A96AB5">
            <w:pPr>
              <w:rPr>
                <w:b/>
              </w:rPr>
            </w:pPr>
            <w:r w:rsidRPr="00E95424">
              <w:rPr>
                <w:b/>
              </w:rPr>
              <w:t>Blend 1</w:t>
            </w:r>
          </w:p>
        </w:tc>
        <w:tc>
          <w:tcPr>
            <w:tcW w:w="944" w:type="dxa"/>
          </w:tcPr>
          <w:p w14:paraId="3BF6DB65" w14:textId="77777777" w:rsidR="003A1700" w:rsidRPr="00E95424" w:rsidRDefault="003A1700" w:rsidP="00A96AB5">
            <w:pPr>
              <w:rPr>
                <w:b/>
              </w:rPr>
            </w:pPr>
            <w:r w:rsidRPr="00E95424">
              <w:rPr>
                <w:b/>
              </w:rPr>
              <w:t>Blend 2</w:t>
            </w:r>
          </w:p>
        </w:tc>
      </w:tr>
      <w:tr w:rsidR="003A1700" w:rsidRPr="00E95424" w14:paraId="5EC8562F" w14:textId="77777777" w:rsidTr="00AF7577">
        <w:trPr>
          <w:jc w:val="center"/>
        </w:trPr>
        <w:tc>
          <w:tcPr>
            <w:tcW w:w="1894" w:type="dxa"/>
          </w:tcPr>
          <w:p w14:paraId="54D2F679" w14:textId="73E10304" w:rsidR="003A1700" w:rsidRPr="00E95424" w:rsidRDefault="003A1700" w:rsidP="00A96AB5">
            <w:pPr>
              <w:rPr>
                <w:b/>
              </w:rPr>
            </w:pPr>
            <w:r w:rsidRPr="00E95424">
              <w:rPr>
                <w:b/>
              </w:rPr>
              <w:t>FWD</w:t>
            </w:r>
            <w:r w:rsidR="001E3AF5" w:rsidRPr="00E95424">
              <w:rPr>
                <w:b/>
              </w:rPr>
              <w:t>/(wt.%)</w:t>
            </w:r>
          </w:p>
        </w:tc>
        <w:tc>
          <w:tcPr>
            <w:tcW w:w="944" w:type="dxa"/>
          </w:tcPr>
          <w:p w14:paraId="3C467260" w14:textId="77777777" w:rsidR="003A1700" w:rsidRPr="00E95424" w:rsidRDefault="003A1700" w:rsidP="00A96AB5">
            <w:pPr>
              <w:rPr>
                <w:b/>
              </w:rPr>
            </w:pPr>
            <w:r w:rsidRPr="00E95424">
              <w:rPr>
                <w:b/>
              </w:rPr>
              <w:t>68.3</w:t>
            </w:r>
          </w:p>
        </w:tc>
        <w:tc>
          <w:tcPr>
            <w:tcW w:w="944" w:type="dxa"/>
          </w:tcPr>
          <w:p w14:paraId="759E8E5C" w14:textId="77777777" w:rsidR="003A1700" w:rsidRPr="00E95424" w:rsidRDefault="003A1700" w:rsidP="00A96AB5">
            <w:pPr>
              <w:rPr>
                <w:b/>
              </w:rPr>
            </w:pPr>
            <w:r w:rsidRPr="00E95424">
              <w:rPr>
                <w:b/>
              </w:rPr>
              <w:t>0</w:t>
            </w:r>
          </w:p>
        </w:tc>
      </w:tr>
      <w:tr w:rsidR="003A1700" w:rsidRPr="00E95424" w14:paraId="24861009" w14:textId="77777777" w:rsidTr="00AF7577">
        <w:trPr>
          <w:jc w:val="center"/>
        </w:trPr>
        <w:tc>
          <w:tcPr>
            <w:tcW w:w="1894" w:type="dxa"/>
          </w:tcPr>
          <w:p w14:paraId="469F1F2B" w14:textId="287BFFC3" w:rsidR="003A1700" w:rsidRPr="00E95424" w:rsidRDefault="003A1700" w:rsidP="00A96AB5">
            <w:pPr>
              <w:rPr>
                <w:b/>
              </w:rPr>
            </w:pPr>
            <w:r w:rsidRPr="00E95424">
              <w:rPr>
                <w:b/>
              </w:rPr>
              <w:t>PVWD</w:t>
            </w:r>
            <w:r w:rsidR="001E3AF5" w:rsidRPr="00E95424">
              <w:rPr>
                <w:b/>
              </w:rPr>
              <w:t>/(wt</w:t>
            </w:r>
            <w:r w:rsidR="00FB0BC0" w:rsidRPr="00E95424">
              <w:rPr>
                <w:b/>
              </w:rPr>
              <w:t>.</w:t>
            </w:r>
            <w:r w:rsidR="001E3AF5" w:rsidRPr="00E95424">
              <w:rPr>
                <w:b/>
              </w:rPr>
              <w:t>%)</w:t>
            </w:r>
          </w:p>
        </w:tc>
        <w:tc>
          <w:tcPr>
            <w:tcW w:w="944" w:type="dxa"/>
          </w:tcPr>
          <w:p w14:paraId="617B8325" w14:textId="77777777" w:rsidR="003A1700" w:rsidRPr="00E95424" w:rsidRDefault="003A1700" w:rsidP="00A96AB5">
            <w:pPr>
              <w:rPr>
                <w:b/>
              </w:rPr>
            </w:pPr>
            <w:r w:rsidRPr="00E95424">
              <w:rPr>
                <w:b/>
              </w:rPr>
              <w:t>13.9</w:t>
            </w:r>
          </w:p>
        </w:tc>
        <w:tc>
          <w:tcPr>
            <w:tcW w:w="944" w:type="dxa"/>
          </w:tcPr>
          <w:p w14:paraId="5A630A11" w14:textId="77777777" w:rsidR="003A1700" w:rsidRPr="00E95424" w:rsidRDefault="003A1700" w:rsidP="00A96AB5">
            <w:pPr>
              <w:rPr>
                <w:b/>
              </w:rPr>
            </w:pPr>
            <w:r w:rsidRPr="00E95424">
              <w:rPr>
                <w:b/>
              </w:rPr>
              <w:t>69.3</w:t>
            </w:r>
          </w:p>
        </w:tc>
      </w:tr>
      <w:tr w:rsidR="003A1700" w:rsidRPr="00E95424" w14:paraId="06B47A73" w14:textId="77777777" w:rsidTr="00AF7577">
        <w:trPr>
          <w:jc w:val="center"/>
        </w:trPr>
        <w:tc>
          <w:tcPr>
            <w:tcW w:w="1894" w:type="dxa"/>
          </w:tcPr>
          <w:p w14:paraId="4621E549" w14:textId="4B837B32" w:rsidR="003A1700" w:rsidRPr="00E95424" w:rsidRDefault="003A1700" w:rsidP="00A96AB5">
            <w:pPr>
              <w:rPr>
                <w:b/>
              </w:rPr>
            </w:pPr>
            <w:r w:rsidRPr="00E95424">
              <w:rPr>
                <w:b/>
              </w:rPr>
              <w:t>WFA</w:t>
            </w:r>
            <w:r w:rsidR="001E3AF5" w:rsidRPr="00E95424">
              <w:rPr>
                <w:b/>
              </w:rPr>
              <w:t>/(wt.%)</w:t>
            </w:r>
          </w:p>
        </w:tc>
        <w:tc>
          <w:tcPr>
            <w:tcW w:w="944" w:type="dxa"/>
          </w:tcPr>
          <w:p w14:paraId="1D660E51" w14:textId="77777777" w:rsidR="003A1700" w:rsidRPr="00E95424" w:rsidRDefault="003A1700" w:rsidP="00A96AB5">
            <w:pPr>
              <w:rPr>
                <w:b/>
              </w:rPr>
            </w:pPr>
            <w:r w:rsidRPr="00E95424">
              <w:rPr>
                <w:b/>
              </w:rPr>
              <w:t>17.8</w:t>
            </w:r>
          </w:p>
        </w:tc>
        <w:tc>
          <w:tcPr>
            <w:tcW w:w="944" w:type="dxa"/>
          </w:tcPr>
          <w:p w14:paraId="6F40095F" w14:textId="77777777" w:rsidR="003A1700" w:rsidRPr="00E95424" w:rsidRDefault="003A1700" w:rsidP="00A96AB5">
            <w:pPr>
              <w:rPr>
                <w:b/>
              </w:rPr>
            </w:pPr>
            <w:r w:rsidRPr="00E95424">
              <w:rPr>
                <w:b/>
              </w:rPr>
              <w:t>15.0</w:t>
            </w:r>
          </w:p>
        </w:tc>
      </w:tr>
      <w:tr w:rsidR="003A1700" w:rsidRPr="00E95424" w14:paraId="77E9DBC9" w14:textId="77777777" w:rsidTr="00AF7577">
        <w:trPr>
          <w:jc w:val="center"/>
        </w:trPr>
        <w:tc>
          <w:tcPr>
            <w:tcW w:w="1894" w:type="dxa"/>
          </w:tcPr>
          <w:p w14:paraId="54CA47D9" w14:textId="10293929" w:rsidR="003A1700" w:rsidRPr="00E95424" w:rsidRDefault="003A1700" w:rsidP="00A96AB5">
            <w:pPr>
              <w:rPr>
                <w:b/>
              </w:rPr>
            </w:pPr>
            <w:r w:rsidRPr="00E95424">
              <w:rPr>
                <w:b/>
              </w:rPr>
              <w:t>WBA</w:t>
            </w:r>
            <w:r w:rsidR="001E3AF5" w:rsidRPr="00E95424">
              <w:rPr>
                <w:b/>
              </w:rPr>
              <w:t>/(wt.%)</w:t>
            </w:r>
          </w:p>
        </w:tc>
        <w:tc>
          <w:tcPr>
            <w:tcW w:w="944" w:type="dxa"/>
          </w:tcPr>
          <w:p w14:paraId="6F3320E7" w14:textId="77777777" w:rsidR="003A1700" w:rsidRPr="00E95424" w:rsidRDefault="003A1700" w:rsidP="00A96AB5">
            <w:pPr>
              <w:rPr>
                <w:b/>
              </w:rPr>
            </w:pPr>
            <w:r w:rsidRPr="00E95424">
              <w:rPr>
                <w:b/>
              </w:rPr>
              <w:t>0</w:t>
            </w:r>
          </w:p>
        </w:tc>
        <w:tc>
          <w:tcPr>
            <w:tcW w:w="944" w:type="dxa"/>
          </w:tcPr>
          <w:p w14:paraId="17822C4A" w14:textId="77777777" w:rsidR="003A1700" w:rsidRPr="00E95424" w:rsidRDefault="003A1700" w:rsidP="00A96AB5">
            <w:pPr>
              <w:rPr>
                <w:b/>
              </w:rPr>
            </w:pPr>
            <w:r w:rsidRPr="00E95424">
              <w:rPr>
                <w:b/>
              </w:rPr>
              <w:t>15.7</w:t>
            </w:r>
          </w:p>
        </w:tc>
      </w:tr>
      <w:tr w:rsidR="003A1700" w:rsidRPr="00E95424" w14:paraId="162EDF58" w14:textId="77777777" w:rsidTr="00AF7577">
        <w:trPr>
          <w:jc w:val="center"/>
        </w:trPr>
        <w:tc>
          <w:tcPr>
            <w:tcW w:w="1894" w:type="dxa"/>
          </w:tcPr>
          <w:p w14:paraId="61A1A41B" w14:textId="494BECCF" w:rsidR="003A1700" w:rsidRPr="00E95424" w:rsidRDefault="008A300C" w:rsidP="00A96AB5">
            <w:pPr>
              <w:rPr>
                <w:b/>
              </w:rPr>
            </w:pPr>
            <w:r w:rsidRPr="00E95424">
              <w:rPr>
                <w:b/>
              </w:rPr>
              <w:t>Ash</w:t>
            </w:r>
            <w:r w:rsidR="001A1875" w:rsidRPr="00E95424">
              <w:rPr>
                <w:b/>
              </w:rPr>
              <w:t>es</w:t>
            </w:r>
            <w:r w:rsidRPr="00E95424">
              <w:rPr>
                <w:b/>
              </w:rPr>
              <w:t>:</w:t>
            </w:r>
            <w:r w:rsidR="003A1700" w:rsidRPr="00E95424">
              <w:rPr>
                <w:b/>
              </w:rPr>
              <w:t>Digestate</w:t>
            </w:r>
            <w:r w:rsidR="001A1875" w:rsidRPr="00E95424">
              <w:rPr>
                <w:b/>
              </w:rPr>
              <w:t>s</w:t>
            </w:r>
            <w:r w:rsidR="003A1700" w:rsidRPr="00E95424">
              <w:rPr>
                <w:b/>
              </w:rPr>
              <w:t>/(g/g)</w:t>
            </w:r>
          </w:p>
        </w:tc>
        <w:tc>
          <w:tcPr>
            <w:tcW w:w="944" w:type="dxa"/>
          </w:tcPr>
          <w:p w14:paraId="112183D7" w14:textId="77777777" w:rsidR="003A1700" w:rsidRPr="00E95424" w:rsidRDefault="003A1700" w:rsidP="00A96AB5">
            <w:pPr>
              <w:rPr>
                <w:b/>
              </w:rPr>
            </w:pPr>
            <w:r w:rsidRPr="00E95424">
              <w:rPr>
                <w:b/>
              </w:rPr>
              <w:t>1:4.6</w:t>
            </w:r>
          </w:p>
        </w:tc>
        <w:tc>
          <w:tcPr>
            <w:tcW w:w="944" w:type="dxa"/>
          </w:tcPr>
          <w:p w14:paraId="4DCB9563" w14:textId="77777777" w:rsidR="003A1700" w:rsidRPr="00E95424" w:rsidRDefault="003A1700" w:rsidP="00A96AB5">
            <w:pPr>
              <w:rPr>
                <w:b/>
              </w:rPr>
            </w:pPr>
            <w:r w:rsidRPr="00E95424">
              <w:rPr>
                <w:b/>
              </w:rPr>
              <w:t>1:2.3</w:t>
            </w:r>
          </w:p>
        </w:tc>
      </w:tr>
    </w:tbl>
    <w:p w14:paraId="2913D19E" w14:textId="77777777" w:rsidR="005307CB" w:rsidRDefault="005307CB" w:rsidP="00C807A3">
      <w:pPr>
        <w:spacing w:line="360" w:lineRule="auto"/>
        <w:contextualSpacing/>
        <w:rPr>
          <w:rFonts w:cs="Times New Roman"/>
        </w:rPr>
      </w:pPr>
    </w:p>
    <w:p w14:paraId="723B3A1A" w14:textId="152BE345" w:rsidR="00B41EBF" w:rsidRPr="00EF75A4" w:rsidRDefault="00A801A7" w:rsidP="00EF75A4">
      <w:pPr>
        <w:pStyle w:val="Heading2"/>
      </w:pPr>
      <w:r w:rsidRPr="00EF75A4">
        <w:t>Method</w:t>
      </w:r>
      <w:r w:rsidR="009C78E9">
        <w:t>s</w:t>
      </w:r>
    </w:p>
    <w:p w14:paraId="57603782" w14:textId="5EE11BE9" w:rsidR="00337B52" w:rsidRPr="009B18E5" w:rsidRDefault="00AD4AE9" w:rsidP="005B4D5C">
      <w:pPr>
        <w:spacing w:line="360" w:lineRule="auto"/>
        <w:rPr>
          <w:rFonts w:cs="Times New Roman"/>
        </w:rPr>
      </w:pPr>
      <w:r w:rsidRPr="009B18E5">
        <w:rPr>
          <w:rFonts w:cs="Times New Roman"/>
        </w:rPr>
        <w:t>The preparation of the 3 g</w:t>
      </w:r>
      <w:r w:rsidR="00D7570E" w:rsidRPr="009B18E5">
        <w:rPr>
          <w:rFonts w:cs="Times New Roman"/>
        </w:rPr>
        <w:t xml:space="preserve"> of each mixture was done in 50-mL Corning® flasks (</w:t>
      </w:r>
      <w:r w:rsidR="00D7570E" w:rsidRPr="009B18E5">
        <w:rPr>
          <w:rFonts w:cs="Times New Roman"/>
        </w:rPr>
        <w:fldChar w:fldCharType="begin"/>
      </w:r>
      <w:r w:rsidR="00D7570E" w:rsidRPr="009B18E5">
        <w:rPr>
          <w:rFonts w:cs="Times New Roman"/>
        </w:rPr>
        <w:instrText xml:space="preserve"> REF _Ref488793596 \h </w:instrText>
      </w:r>
      <w:r w:rsidR="00F91F3C" w:rsidRPr="009B18E5">
        <w:rPr>
          <w:rFonts w:cs="Times New Roman"/>
        </w:rPr>
        <w:instrText xml:space="preserve"> \* MERGEFORMAT </w:instrText>
      </w:r>
      <w:r w:rsidR="00D7570E" w:rsidRPr="009B18E5">
        <w:rPr>
          <w:rFonts w:cs="Times New Roman"/>
        </w:rPr>
      </w:r>
      <w:r w:rsidR="00D7570E" w:rsidRPr="009B18E5">
        <w:rPr>
          <w:rFonts w:cs="Times New Roman"/>
        </w:rPr>
        <w:fldChar w:fldCharType="separate"/>
      </w:r>
      <w:r w:rsidR="00E4647D" w:rsidRPr="009B18E5">
        <w:rPr>
          <w:rFonts w:cs="Times New Roman"/>
        </w:rPr>
        <w:t>Fig.</w:t>
      </w:r>
      <w:r w:rsidR="00E4647D" w:rsidRPr="009B18E5">
        <w:rPr>
          <w:rFonts w:cs="Times New Roman"/>
          <w:noProof/>
        </w:rPr>
        <w:t xml:space="preserve"> 1</w:t>
      </w:r>
      <w:r w:rsidR="00D7570E" w:rsidRPr="009B18E5">
        <w:rPr>
          <w:rFonts w:cs="Times New Roman"/>
        </w:rPr>
        <w:fldChar w:fldCharType="end"/>
      </w:r>
      <w:r w:rsidR="00D7570E" w:rsidRPr="009B18E5">
        <w:rPr>
          <w:rFonts w:cs="Times New Roman"/>
        </w:rPr>
        <w:t>)</w:t>
      </w:r>
      <w:r w:rsidR="002C6139" w:rsidRPr="009B18E5">
        <w:rPr>
          <w:rFonts w:cs="Times New Roman"/>
        </w:rPr>
        <w:t xml:space="preserve"> by</w:t>
      </w:r>
      <w:r w:rsidR="00D7570E" w:rsidRPr="009B18E5">
        <w:rPr>
          <w:rFonts w:cs="Times New Roman"/>
        </w:rPr>
        <w:t xml:space="preserve"> following the weight percentages shown in </w:t>
      </w:r>
      <w:r w:rsidR="001E3AF5" w:rsidRPr="009B18E5">
        <w:rPr>
          <w:rFonts w:cs="Times New Roman"/>
        </w:rPr>
        <w:fldChar w:fldCharType="begin"/>
      </w:r>
      <w:r w:rsidR="001E3AF5" w:rsidRPr="009B18E5">
        <w:rPr>
          <w:rFonts w:cs="Times New Roman"/>
        </w:rPr>
        <w:instrText xml:space="preserve"> REF _Ref44759134 \h  \* MERGEFORMAT </w:instrText>
      </w:r>
      <w:r w:rsidR="001E3AF5" w:rsidRPr="009B18E5">
        <w:rPr>
          <w:rFonts w:cs="Times New Roman"/>
        </w:rPr>
      </w:r>
      <w:r w:rsidR="001E3AF5" w:rsidRPr="009B18E5">
        <w:rPr>
          <w:rFonts w:cs="Times New Roman"/>
        </w:rPr>
        <w:fldChar w:fldCharType="separate"/>
      </w:r>
      <w:r w:rsidR="001E3AF5" w:rsidRPr="009B18E5">
        <w:rPr>
          <w:iCs/>
        </w:rPr>
        <w:t xml:space="preserve">Table </w:t>
      </w:r>
      <w:r w:rsidR="001E3AF5" w:rsidRPr="009B18E5">
        <w:rPr>
          <w:iCs/>
          <w:noProof/>
        </w:rPr>
        <w:t>2</w:t>
      </w:r>
      <w:r w:rsidR="001E3AF5" w:rsidRPr="009B18E5">
        <w:rPr>
          <w:rFonts w:cs="Times New Roman"/>
        </w:rPr>
        <w:fldChar w:fldCharType="end"/>
      </w:r>
      <w:r w:rsidR="00D7570E" w:rsidRPr="009B18E5">
        <w:rPr>
          <w:rFonts w:cs="Times New Roman"/>
        </w:rPr>
        <w:fldChar w:fldCharType="begin"/>
      </w:r>
      <w:r w:rsidR="00D7570E" w:rsidRPr="009B18E5">
        <w:rPr>
          <w:rFonts w:cs="Times New Roman"/>
        </w:rPr>
        <w:instrText xml:space="preserve"> REF _Ref13331821 \h </w:instrText>
      </w:r>
      <w:r w:rsidR="00F91F3C" w:rsidRPr="009B18E5">
        <w:rPr>
          <w:rFonts w:cs="Times New Roman"/>
        </w:rPr>
        <w:instrText xml:space="preserve"> \* MERGEFORMAT </w:instrText>
      </w:r>
      <w:r w:rsidR="00D7570E" w:rsidRPr="009B18E5">
        <w:rPr>
          <w:rFonts w:cs="Times New Roman"/>
        </w:rPr>
      </w:r>
      <w:r w:rsidR="00D7570E" w:rsidRPr="009B18E5">
        <w:rPr>
          <w:rFonts w:cs="Times New Roman"/>
        </w:rPr>
        <w:fldChar w:fldCharType="end"/>
      </w:r>
      <w:r w:rsidR="00D7570E" w:rsidRPr="009B18E5">
        <w:rPr>
          <w:rFonts w:cs="Times New Roman"/>
        </w:rPr>
        <w:t>.</w:t>
      </w:r>
      <w:r w:rsidR="00A7303D" w:rsidRPr="009B18E5">
        <w:rPr>
          <w:rFonts w:cs="Times New Roman"/>
        </w:rPr>
        <w:t xml:space="preserve"> Therefore, </w:t>
      </w:r>
      <w:r w:rsidR="00F50C65" w:rsidRPr="009B18E5">
        <w:rPr>
          <w:rFonts w:cs="Times New Roman"/>
        </w:rPr>
        <w:t xml:space="preserve">the closed system had </w:t>
      </w:r>
      <w:r w:rsidR="00A7303D" w:rsidRPr="009B18E5">
        <w:rPr>
          <w:rFonts w:cs="Times New Roman"/>
        </w:rPr>
        <w:t>a</w:t>
      </w:r>
      <w:r w:rsidR="00FC2742" w:rsidRPr="009B18E5">
        <w:rPr>
          <w:rFonts w:cs="Times New Roman"/>
        </w:rPr>
        <w:t xml:space="preserve"> </w:t>
      </w:r>
      <w:r w:rsidR="00A7303D" w:rsidRPr="009B18E5">
        <w:rPr>
          <w:rFonts w:cs="Times New Roman"/>
        </w:rPr>
        <w:t xml:space="preserve">headspace of </w:t>
      </w:r>
      <w:r w:rsidR="004001FC" w:rsidRPr="009B18E5">
        <w:rPr>
          <w:rFonts w:cs="Times New Roman"/>
        </w:rPr>
        <w:t>~</w:t>
      </w:r>
      <w:r w:rsidR="0064533C" w:rsidRPr="009B18E5">
        <w:rPr>
          <w:rFonts w:cs="Times New Roman"/>
        </w:rPr>
        <w:t xml:space="preserve">47 </w:t>
      </w:r>
      <w:r w:rsidR="00572BBE" w:rsidRPr="009B18E5">
        <w:rPr>
          <w:rFonts w:cs="Times New Roman"/>
        </w:rPr>
        <w:t xml:space="preserve">mL </w:t>
      </w:r>
      <w:r w:rsidR="0064533C" w:rsidRPr="009B18E5">
        <w:rPr>
          <w:rFonts w:cs="Times New Roman"/>
        </w:rPr>
        <w:t>which</w:t>
      </w:r>
      <w:r w:rsidR="00572BBE" w:rsidRPr="009B18E5">
        <w:rPr>
          <w:rFonts w:cs="Times New Roman"/>
        </w:rPr>
        <w:t xml:space="preserve"> allowed </w:t>
      </w:r>
      <w:r w:rsidR="0064533C" w:rsidRPr="009B18E5">
        <w:rPr>
          <w:rFonts w:cs="Times New Roman"/>
        </w:rPr>
        <w:t xml:space="preserve">the </w:t>
      </w:r>
      <w:r w:rsidR="00A7303D" w:rsidRPr="009B18E5">
        <w:rPr>
          <w:rFonts w:cs="Times New Roman"/>
        </w:rPr>
        <w:t>gas e</w:t>
      </w:r>
      <w:r w:rsidR="00572BBE" w:rsidRPr="009B18E5">
        <w:rPr>
          <w:rFonts w:cs="Times New Roman"/>
        </w:rPr>
        <w:t>xchange of the blends during</w:t>
      </w:r>
      <w:r w:rsidR="00A7303D" w:rsidRPr="009B18E5">
        <w:rPr>
          <w:rFonts w:cs="Times New Roman"/>
        </w:rPr>
        <w:t xml:space="preserve"> incubation.</w:t>
      </w:r>
      <w:r w:rsidR="00C12AD9" w:rsidRPr="009B18E5">
        <w:rPr>
          <w:rFonts w:cs="Times New Roman"/>
        </w:rPr>
        <w:t xml:space="preserve"> </w:t>
      </w:r>
      <w:r w:rsidR="00337B52" w:rsidRPr="009B18E5">
        <w:rPr>
          <w:rFonts w:cs="Times New Roman"/>
        </w:rPr>
        <w:t xml:space="preserve">The factors assessed </w:t>
      </w:r>
      <w:r w:rsidR="004A11C6" w:rsidRPr="009B18E5">
        <w:rPr>
          <w:rFonts w:cs="Times New Roman"/>
        </w:rPr>
        <w:t>in the experiments</w:t>
      </w:r>
      <w:r w:rsidR="009B7248" w:rsidRPr="009B18E5">
        <w:rPr>
          <w:rFonts w:cs="Times New Roman"/>
        </w:rPr>
        <w:t xml:space="preserve"> </w:t>
      </w:r>
      <w:r w:rsidR="00337B52" w:rsidRPr="009B18E5">
        <w:rPr>
          <w:rFonts w:cs="Times New Roman"/>
        </w:rPr>
        <w:t>were</w:t>
      </w:r>
      <w:r w:rsidR="009B7248" w:rsidRPr="009B18E5">
        <w:rPr>
          <w:rFonts w:cs="Times New Roman"/>
        </w:rPr>
        <w:t>; (a)</w:t>
      </w:r>
      <w:r w:rsidR="00337B52" w:rsidRPr="009B18E5">
        <w:rPr>
          <w:rFonts w:cs="Times New Roman"/>
        </w:rPr>
        <w:t xml:space="preserve"> the type of bl</w:t>
      </w:r>
      <w:r w:rsidR="009B7248" w:rsidRPr="009B18E5">
        <w:rPr>
          <w:rFonts w:cs="Times New Roman"/>
        </w:rPr>
        <w:t>end (composition of blend 1 and blend 2</w:t>
      </w:r>
      <w:r w:rsidR="00337B52" w:rsidRPr="009B18E5">
        <w:rPr>
          <w:rFonts w:cs="Times New Roman"/>
        </w:rPr>
        <w:t xml:space="preserve"> shown in</w:t>
      </w:r>
      <w:r w:rsidR="002A6DE9" w:rsidRPr="009B18E5">
        <w:rPr>
          <w:rFonts w:cs="Times New Roman"/>
        </w:rPr>
        <w:t xml:space="preserve"> </w:t>
      </w:r>
      <w:r w:rsidR="001E3AF5" w:rsidRPr="009B18E5">
        <w:rPr>
          <w:rFonts w:cs="Times New Roman"/>
        </w:rPr>
        <w:fldChar w:fldCharType="begin"/>
      </w:r>
      <w:r w:rsidR="001E3AF5" w:rsidRPr="009B18E5">
        <w:rPr>
          <w:rFonts w:cs="Times New Roman"/>
        </w:rPr>
        <w:instrText xml:space="preserve"> REF _Ref44759336 \h  \* MERGEFORMAT </w:instrText>
      </w:r>
      <w:r w:rsidR="001E3AF5" w:rsidRPr="009B18E5">
        <w:rPr>
          <w:rFonts w:cs="Times New Roman"/>
        </w:rPr>
      </w:r>
      <w:r w:rsidR="001E3AF5" w:rsidRPr="009B18E5">
        <w:rPr>
          <w:rFonts w:cs="Times New Roman"/>
        </w:rPr>
        <w:fldChar w:fldCharType="separate"/>
      </w:r>
      <w:r w:rsidR="001E3AF5" w:rsidRPr="009B18E5">
        <w:rPr>
          <w:rFonts w:cs="Times New Roman"/>
        </w:rPr>
        <w:t xml:space="preserve">Table </w:t>
      </w:r>
      <w:r w:rsidR="001E3AF5" w:rsidRPr="009B18E5">
        <w:rPr>
          <w:rFonts w:cs="Times New Roman"/>
          <w:noProof/>
        </w:rPr>
        <w:t>3</w:t>
      </w:r>
      <w:r w:rsidR="001E3AF5" w:rsidRPr="009B18E5">
        <w:rPr>
          <w:rFonts w:cs="Times New Roman"/>
        </w:rPr>
        <w:fldChar w:fldCharType="end"/>
      </w:r>
      <w:r w:rsidR="002A6DE9" w:rsidRPr="009B18E5">
        <w:rPr>
          <w:rFonts w:cs="Times New Roman"/>
        </w:rPr>
        <w:fldChar w:fldCharType="begin"/>
      </w:r>
      <w:r w:rsidR="002A6DE9" w:rsidRPr="009B18E5">
        <w:rPr>
          <w:rFonts w:cs="Times New Roman"/>
        </w:rPr>
        <w:instrText xml:space="preserve"> REF _Ref13331821 \h </w:instrText>
      </w:r>
      <w:r w:rsidR="00F91F3C" w:rsidRPr="009B18E5">
        <w:rPr>
          <w:rFonts w:cs="Times New Roman"/>
        </w:rPr>
        <w:instrText xml:space="preserve"> \* MERGEFORMAT </w:instrText>
      </w:r>
      <w:r w:rsidR="002A6DE9" w:rsidRPr="009B18E5">
        <w:rPr>
          <w:rFonts w:cs="Times New Roman"/>
        </w:rPr>
      </w:r>
      <w:r w:rsidR="002A6DE9" w:rsidRPr="009B18E5">
        <w:rPr>
          <w:rFonts w:cs="Times New Roman"/>
        </w:rPr>
        <w:fldChar w:fldCharType="end"/>
      </w:r>
      <w:r w:rsidR="00337B52" w:rsidRPr="009B18E5">
        <w:rPr>
          <w:rFonts w:cs="Times New Roman"/>
        </w:rPr>
        <w:t xml:space="preserve">), </w:t>
      </w:r>
      <w:r w:rsidR="009B7248" w:rsidRPr="009B18E5">
        <w:rPr>
          <w:rFonts w:cs="Times New Roman"/>
        </w:rPr>
        <w:t xml:space="preserve">and (b) </w:t>
      </w:r>
      <w:r w:rsidR="00337B52" w:rsidRPr="009B18E5">
        <w:rPr>
          <w:rFonts w:cs="Times New Roman"/>
        </w:rPr>
        <w:t>the length of the incubation at 22 °</w:t>
      </w:r>
      <w:r w:rsidR="009B7248" w:rsidRPr="009B18E5">
        <w:rPr>
          <w:rFonts w:cs="Times New Roman"/>
        </w:rPr>
        <w:t>C (0, 0.5, 1, 3, 6 and 10</w:t>
      </w:r>
      <w:r w:rsidR="00337B52" w:rsidRPr="009B18E5">
        <w:rPr>
          <w:rFonts w:cs="Times New Roman"/>
        </w:rPr>
        <w:t xml:space="preserve"> hours</w:t>
      </w:r>
      <w:r w:rsidR="005B4D5C" w:rsidRPr="009B18E5">
        <w:rPr>
          <w:rFonts w:cs="Times New Roman"/>
        </w:rPr>
        <w:t>). Under such working conditions and incubation time</w:t>
      </w:r>
      <w:r w:rsidR="00E1529D" w:rsidRPr="009B18E5">
        <w:rPr>
          <w:rFonts w:cs="Times New Roman"/>
        </w:rPr>
        <w:t>,</w:t>
      </w:r>
      <w:r w:rsidR="00F97F10" w:rsidRPr="009B18E5">
        <w:rPr>
          <w:rFonts w:cs="Times New Roman"/>
        </w:rPr>
        <w:t xml:space="preserve"> </w:t>
      </w:r>
      <w:r w:rsidR="005B4D5C" w:rsidRPr="009B18E5">
        <w:rPr>
          <w:rFonts w:cs="Times New Roman"/>
        </w:rPr>
        <w:t xml:space="preserve">the changes in the composition of the blend because of </w:t>
      </w:r>
      <w:r w:rsidR="00F97F10" w:rsidRPr="009B18E5">
        <w:rPr>
          <w:rFonts w:cs="Times New Roman"/>
        </w:rPr>
        <w:t>the microbial activity</w:t>
      </w:r>
      <w:r w:rsidR="005B4D5C" w:rsidRPr="009B18E5">
        <w:rPr>
          <w:rFonts w:cs="Times New Roman"/>
        </w:rPr>
        <w:t xml:space="preserve"> were assumed to be negligible compared to the physico-chemical phenomena</w:t>
      </w:r>
      <w:r w:rsidR="00337B52" w:rsidRPr="009B18E5">
        <w:rPr>
          <w:rFonts w:cs="Times New Roman"/>
        </w:rPr>
        <w:t>.</w:t>
      </w:r>
      <w:r w:rsidR="002A6DE9" w:rsidRPr="009B18E5">
        <w:rPr>
          <w:rFonts w:cs="Times New Roman"/>
        </w:rPr>
        <w:t xml:space="preserve"> </w:t>
      </w:r>
      <w:r w:rsidR="00AC6F8A">
        <w:rPr>
          <w:rFonts w:cs="Times New Roman"/>
        </w:rPr>
        <w:t>Up to sixteen</w:t>
      </w:r>
      <w:r w:rsidR="00E30B0F" w:rsidRPr="009B18E5">
        <w:rPr>
          <w:rFonts w:cs="Times New Roman"/>
        </w:rPr>
        <w:t xml:space="preserve"> repetitions in</w:t>
      </w:r>
      <w:r w:rsidR="0059478C" w:rsidRPr="009B18E5">
        <w:rPr>
          <w:rFonts w:cs="Times New Roman"/>
        </w:rPr>
        <w:t xml:space="preserve"> each of the </w:t>
      </w:r>
      <w:r w:rsidR="00AC6F8A">
        <w:rPr>
          <w:rFonts w:cs="Times New Roman"/>
        </w:rPr>
        <w:t>twelve</w:t>
      </w:r>
      <w:r w:rsidR="0059478C" w:rsidRPr="009B18E5">
        <w:rPr>
          <w:rFonts w:cs="Times New Roman"/>
        </w:rPr>
        <w:t xml:space="preserve"> </w:t>
      </w:r>
      <w:r w:rsidR="002A6DE9" w:rsidRPr="009B18E5">
        <w:rPr>
          <w:rFonts w:cs="Times New Roman"/>
        </w:rPr>
        <w:t>conditions (i.e</w:t>
      </w:r>
      <w:r w:rsidR="00AC6F8A">
        <w:rPr>
          <w:rFonts w:cs="Times New Roman"/>
        </w:rPr>
        <w:t>. two blends and six</w:t>
      </w:r>
      <w:r w:rsidR="002A6DE9" w:rsidRPr="009B18E5">
        <w:rPr>
          <w:rFonts w:cs="Times New Roman"/>
        </w:rPr>
        <w:t xml:space="preserve"> incubation times) were done.</w:t>
      </w:r>
    </w:p>
    <w:p w14:paraId="4ED3E83D" w14:textId="328FC6F9" w:rsidR="00515FDE" w:rsidRPr="009B18E5" w:rsidRDefault="00311F0F" w:rsidP="00C807A3">
      <w:pPr>
        <w:spacing w:line="360" w:lineRule="auto"/>
        <w:rPr>
          <w:rFonts w:cs="Times New Roman"/>
        </w:rPr>
      </w:pPr>
      <w:r w:rsidRPr="009B18E5">
        <w:rPr>
          <w:rFonts w:cs="Times New Roman"/>
        </w:rPr>
        <w:t xml:space="preserve">The assessment of the WS fraction of each material was considered since most of the short-term physico-chemical transformation would be reflected in this phase and also because </w:t>
      </w:r>
      <w:r w:rsidR="000A6836" w:rsidRPr="009B18E5">
        <w:rPr>
          <w:rFonts w:cs="Times New Roman"/>
        </w:rPr>
        <w:t>wa</w:t>
      </w:r>
      <w:r w:rsidRPr="009B18E5">
        <w:rPr>
          <w:rFonts w:cs="Times New Roman"/>
        </w:rPr>
        <w:t>s the phase w</w:t>
      </w:r>
      <w:r w:rsidR="00572BBE" w:rsidRPr="009B18E5">
        <w:rPr>
          <w:rFonts w:cs="Times New Roman"/>
        </w:rPr>
        <w:t>h</w:t>
      </w:r>
      <w:r w:rsidRPr="009B18E5">
        <w:rPr>
          <w:rFonts w:cs="Times New Roman"/>
        </w:rPr>
        <w:t>ere risks (e.g. nutrients leaching) c</w:t>
      </w:r>
      <w:r w:rsidR="000A6836" w:rsidRPr="009B18E5">
        <w:rPr>
          <w:rFonts w:cs="Times New Roman"/>
        </w:rPr>
        <w:t>ould</w:t>
      </w:r>
      <w:r w:rsidRPr="009B18E5">
        <w:rPr>
          <w:rFonts w:cs="Times New Roman"/>
        </w:rPr>
        <w:t xml:space="preserve"> be better understood </w:t>
      </w:r>
      <w:r w:rsidRPr="009B18E5" w:rsidDel="000D4564">
        <w:rPr>
          <w:rFonts w:cs="Times New Roman"/>
        </w:rPr>
        <w:fldChar w:fldCharType="begin" w:fldLock="1"/>
      </w:r>
      <w:r w:rsidR="00BB33F9">
        <w:rPr>
          <w:rFonts w:cs="Times New Roman"/>
        </w:rPr>
        <w:instrText>ADDIN CSL_CITATION {"citationItems":[{"id":"ITEM-1","itemData":{"author":[{"dropping-particle":"","family":"Schwab","given":"P.","non-dropping-particle":"","parse-names":false,"suffix":""}],"chapter-number":"12","container-title":"Handbook of soil sciences: properties and processes","edition":"2nd","editor":[{"dropping-particle":"","family":"Huang","given":"P. M.","non-dropping-particle":"","parse-names":false,"suffix":""},{"dropping-particle":"","family":"Li","given":"Y.","non-dropping-particle":"","parse-names":false,"suffix":""},{"dropping-particle":"","family":"Sumner","given":"M. E.","non-dropping-particle":"","parse-names":false,"suffix":""}],"id":"ITEM-1","issued":{"date-parts":[["2012"]]},"page":"353-376","publisher":"CRC Press","publisher-place":"Boca Raton, Florida","title":"Soil solution","type":"chapter"},"uris":["http://www.mendeley.com/documents/?uuid=b2170972-1388-47c9-906f-da35d2b96eef"]}],"mendeley":{"formattedCitation":"[33]","plainTextFormattedCitation":"[33]","previouslyFormattedCitation":"[33]"},"properties":{"noteIndex":0},"schema":"https://github.com/citation-style-language/schema/raw/master/csl-citation.json"}</w:instrText>
      </w:r>
      <w:r w:rsidRPr="009B18E5" w:rsidDel="000D4564">
        <w:rPr>
          <w:rFonts w:cs="Times New Roman"/>
          <w:vertAlign w:val="superscript"/>
        </w:rPr>
        <w:fldChar w:fldCharType="separate"/>
      </w:r>
      <w:r w:rsidR="00D33723" w:rsidRPr="00D33723">
        <w:rPr>
          <w:rFonts w:cs="Times New Roman"/>
          <w:noProof/>
        </w:rPr>
        <w:t>[33]</w:t>
      </w:r>
      <w:r w:rsidRPr="009B18E5" w:rsidDel="000D4564">
        <w:rPr>
          <w:rFonts w:cs="Times New Roman"/>
        </w:rPr>
        <w:fldChar w:fldCharType="end"/>
      </w:r>
      <w:r w:rsidRPr="009B18E5">
        <w:rPr>
          <w:rFonts w:cs="Times New Roman"/>
        </w:rPr>
        <w:t xml:space="preserve">. </w:t>
      </w:r>
      <w:r w:rsidR="00337B52" w:rsidRPr="009B18E5">
        <w:rPr>
          <w:rFonts w:cs="Times New Roman"/>
        </w:rPr>
        <w:t>The parameters measured were</w:t>
      </w:r>
      <w:r w:rsidR="009475F6" w:rsidRPr="009B18E5">
        <w:rPr>
          <w:rFonts w:cs="Times New Roman"/>
        </w:rPr>
        <w:t xml:space="preserve"> the pH, EC</w:t>
      </w:r>
      <w:r w:rsidR="00337B52" w:rsidRPr="009B18E5">
        <w:rPr>
          <w:rFonts w:cs="Times New Roman"/>
        </w:rPr>
        <w:t xml:space="preserve">, </w:t>
      </w:r>
      <w:r w:rsidR="0033345E" w:rsidRPr="009B18E5">
        <w:rPr>
          <w:rFonts w:cs="Times New Roman"/>
        </w:rPr>
        <w:t xml:space="preserve">concentrations of </w:t>
      </w:r>
      <w:r w:rsidR="000E648D" w:rsidRPr="009B18E5">
        <w:rPr>
          <w:rFonts w:cs="Times New Roman"/>
        </w:rPr>
        <w:t xml:space="preserve">ammonium and </w:t>
      </w:r>
      <w:r w:rsidR="00337B52" w:rsidRPr="009B18E5">
        <w:rPr>
          <w:rFonts w:cs="Times New Roman"/>
        </w:rPr>
        <w:t>am</w:t>
      </w:r>
      <w:r w:rsidR="00117FD1" w:rsidRPr="009B18E5">
        <w:rPr>
          <w:rFonts w:cs="Times New Roman"/>
        </w:rPr>
        <w:t>monia</w:t>
      </w:r>
      <w:r w:rsidR="00FF2B5D" w:rsidRPr="009B18E5">
        <w:rPr>
          <w:rFonts w:cs="Times New Roman"/>
        </w:rPr>
        <w:t xml:space="preserve"> (</w:t>
      </w:r>
      <w:r w:rsidR="000D6D6D" w:rsidRPr="009B18E5">
        <w:rPr>
          <w:rFonts w:cs="Times New Roman"/>
        </w:rPr>
        <w:t xml:space="preserve">WS </w:t>
      </w:r>
      <w:r w:rsidR="000E648D" w:rsidRPr="009B18E5">
        <w:rPr>
          <w:rFonts w:cs="Times New Roman"/>
        </w:rPr>
        <w:t>NH</w:t>
      </w:r>
      <w:r w:rsidR="000E648D" w:rsidRPr="009B18E5">
        <w:rPr>
          <w:rFonts w:cs="Times New Roman"/>
          <w:vertAlign w:val="subscript"/>
        </w:rPr>
        <w:t>4</w:t>
      </w:r>
      <w:r w:rsidR="000E648D" w:rsidRPr="009B18E5">
        <w:rPr>
          <w:rFonts w:cs="Times New Roman"/>
          <w:vertAlign w:val="superscript"/>
        </w:rPr>
        <w:t>+</w:t>
      </w:r>
      <w:r w:rsidR="007F0023" w:rsidRPr="009B18E5">
        <w:rPr>
          <w:rFonts w:cs="Times New Roman"/>
        </w:rPr>
        <w:t xml:space="preserve"> &amp;</w:t>
      </w:r>
      <w:r w:rsidR="006B2E88" w:rsidRPr="009B18E5">
        <w:rPr>
          <w:rFonts w:cs="Times New Roman"/>
        </w:rPr>
        <w:t xml:space="preserve"> WS</w:t>
      </w:r>
      <w:r w:rsidR="007F0023" w:rsidRPr="009B18E5">
        <w:rPr>
          <w:rFonts w:cs="Times New Roman"/>
        </w:rPr>
        <w:t xml:space="preserve"> </w:t>
      </w:r>
      <w:r w:rsidR="00FF2B5D" w:rsidRPr="009B18E5">
        <w:rPr>
          <w:rFonts w:cs="Times New Roman"/>
        </w:rPr>
        <w:t>NH</w:t>
      </w:r>
      <w:r w:rsidR="00117FD1" w:rsidRPr="009B18E5">
        <w:rPr>
          <w:rFonts w:cs="Times New Roman"/>
          <w:vertAlign w:val="subscript"/>
        </w:rPr>
        <w:t>3</w:t>
      </w:r>
      <w:r w:rsidR="00FF2B5D" w:rsidRPr="009B18E5">
        <w:rPr>
          <w:rFonts w:cs="Times New Roman"/>
        </w:rPr>
        <w:t>)</w:t>
      </w:r>
      <w:r w:rsidR="00E00B0F" w:rsidRPr="009B18E5">
        <w:rPr>
          <w:rFonts w:cs="Times New Roman"/>
        </w:rPr>
        <w:t>, nitrate</w:t>
      </w:r>
      <w:r w:rsidR="00D37ED9" w:rsidRPr="009B18E5">
        <w:rPr>
          <w:rFonts w:cs="Times New Roman"/>
        </w:rPr>
        <w:t xml:space="preserve"> and nitrite</w:t>
      </w:r>
      <w:r w:rsidR="00FF2B5D" w:rsidRPr="009B18E5">
        <w:rPr>
          <w:rFonts w:cs="Times New Roman"/>
        </w:rPr>
        <w:t xml:space="preserve"> (</w:t>
      </w:r>
      <w:r w:rsidR="000D6D6D" w:rsidRPr="009B18E5">
        <w:rPr>
          <w:rFonts w:cs="Times New Roman"/>
        </w:rPr>
        <w:t xml:space="preserve">WS </w:t>
      </w:r>
      <w:r w:rsidR="00FF2B5D" w:rsidRPr="009B18E5">
        <w:rPr>
          <w:rFonts w:cs="Times New Roman"/>
        </w:rPr>
        <w:t>NO</w:t>
      </w:r>
      <w:r w:rsidR="00FF2B5D" w:rsidRPr="009B18E5">
        <w:rPr>
          <w:rFonts w:cs="Times New Roman"/>
          <w:vertAlign w:val="subscript"/>
        </w:rPr>
        <w:t>3</w:t>
      </w:r>
      <w:r w:rsidR="00FF2B5D" w:rsidRPr="009B18E5">
        <w:rPr>
          <w:rFonts w:cs="Times New Roman"/>
          <w:vertAlign w:val="superscript"/>
        </w:rPr>
        <w:t>-</w:t>
      </w:r>
      <w:r w:rsidR="006B2E88" w:rsidRPr="009B18E5">
        <w:rPr>
          <w:rFonts w:cs="Times New Roman"/>
        </w:rPr>
        <w:t xml:space="preserve"> &amp; WS </w:t>
      </w:r>
      <w:r w:rsidR="00D37ED9" w:rsidRPr="009B18E5">
        <w:rPr>
          <w:rFonts w:cs="Times New Roman"/>
        </w:rPr>
        <w:t>NO</w:t>
      </w:r>
      <w:r w:rsidR="00D37ED9" w:rsidRPr="009B18E5">
        <w:rPr>
          <w:rFonts w:cs="Times New Roman"/>
          <w:vertAlign w:val="subscript"/>
        </w:rPr>
        <w:t>2</w:t>
      </w:r>
      <w:r w:rsidR="00D37ED9" w:rsidRPr="009B18E5">
        <w:rPr>
          <w:rFonts w:cs="Times New Roman"/>
          <w:vertAlign w:val="superscript"/>
        </w:rPr>
        <w:t>-</w:t>
      </w:r>
      <w:r w:rsidR="00FF2B5D" w:rsidRPr="009B18E5">
        <w:rPr>
          <w:rFonts w:cs="Times New Roman"/>
        </w:rPr>
        <w:t>)</w:t>
      </w:r>
      <w:r w:rsidR="00E00B0F" w:rsidRPr="009B18E5">
        <w:rPr>
          <w:rFonts w:cs="Times New Roman"/>
        </w:rPr>
        <w:t xml:space="preserve">, </w:t>
      </w:r>
      <w:r w:rsidR="00C70058" w:rsidRPr="009B18E5">
        <w:rPr>
          <w:rFonts w:cs="Times New Roman"/>
        </w:rPr>
        <w:t>ortho</w:t>
      </w:r>
      <w:r w:rsidR="0092130A" w:rsidRPr="009B18E5">
        <w:rPr>
          <w:rFonts w:cs="Times New Roman"/>
        </w:rPr>
        <w:t>phosphate</w:t>
      </w:r>
      <w:r w:rsidR="00FF2B5D" w:rsidRPr="009B18E5">
        <w:rPr>
          <w:rFonts w:cs="Times New Roman"/>
        </w:rPr>
        <w:t xml:space="preserve"> (</w:t>
      </w:r>
      <w:r w:rsidR="000D6D6D" w:rsidRPr="009B18E5">
        <w:rPr>
          <w:rFonts w:cs="Times New Roman"/>
        </w:rPr>
        <w:t xml:space="preserve">WS </w:t>
      </w:r>
      <w:r w:rsidR="00FF2B5D" w:rsidRPr="009B18E5">
        <w:rPr>
          <w:rFonts w:cs="Times New Roman"/>
        </w:rPr>
        <w:t>PO</w:t>
      </w:r>
      <w:r w:rsidR="00FF2B5D" w:rsidRPr="009B18E5">
        <w:rPr>
          <w:rFonts w:cs="Times New Roman"/>
          <w:vertAlign w:val="subscript"/>
        </w:rPr>
        <w:t>4</w:t>
      </w:r>
      <w:r w:rsidR="00FF2B5D" w:rsidRPr="009B18E5">
        <w:rPr>
          <w:rFonts w:cs="Times New Roman"/>
          <w:vertAlign w:val="superscript"/>
        </w:rPr>
        <w:t>3-</w:t>
      </w:r>
      <w:r w:rsidR="00FF2B5D" w:rsidRPr="009B18E5">
        <w:rPr>
          <w:rFonts w:cs="Times New Roman"/>
        </w:rPr>
        <w:t>)</w:t>
      </w:r>
      <w:r w:rsidR="00E00B0F" w:rsidRPr="009B18E5">
        <w:rPr>
          <w:rFonts w:cs="Times New Roman"/>
        </w:rPr>
        <w:t>,</w:t>
      </w:r>
      <w:r w:rsidR="000D6D6D" w:rsidRPr="009B18E5">
        <w:rPr>
          <w:rFonts w:cs="Times New Roman"/>
        </w:rPr>
        <w:t xml:space="preserve"> total nitrogen (WS </w:t>
      </w:r>
      <w:r w:rsidRPr="009B18E5">
        <w:rPr>
          <w:rFonts w:cs="Times New Roman"/>
        </w:rPr>
        <w:t>T</w:t>
      </w:r>
      <w:r w:rsidR="000D6D6D" w:rsidRPr="009B18E5">
        <w:rPr>
          <w:rFonts w:cs="Times New Roman"/>
        </w:rPr>
        <w:t>N)</w:t>
      </w:r>
      <w:r w:rsidRPr="009B18E5">
        <w:rPr>
          <w:rFonts w:cs="Times New Roman"/>
        </w:rPr>
        <w:t>,</w:t>
      </w:r>
      <w:r w:rsidR="000D6D6D" w:rsidRPr="009B18E5">
        <w:rPr>
          <w:rFonts w:cs="Times New Roman"/>
        </w:rPr>
        <w:t xml:space="preserve"> and</w:t>
      </w:r>
      <w:r w:rsidR="00E00B0F" w:rsidRPr="009B18E5">
        <w:rPr>
          <w:rFonts w:cs="Times New Roman"/>
        </w:rPr>
        <w:t xml:space="preserve"> total carbon (</w:t>
      </w:r>
      <w:r w:rsidRPr="009B18E5">
        <w:rPr>
          <w:rFonts w:cs="Times New Roman"/>
        </w:rPr>
        <w:t>WS TC)</w:t>
      </w:r>
      <w:r w:rsidR="0092130A" w:rsidRPr="009B18E5">
        <w:rPr>
          <w:rFonts w:cs="Times New Roman"/>
        </w:rPr>
        <w:t>.</w:t>
      </w:r>
      <w:r w:rsidR="00CC711D" w:rsidRPr="009B18E5">
        <w:rPr>
          <w:rFonts w:cs="Times New Roman"/>
        </w:rPr>
        <w:t xml:space="preserve"> </w:t>
      </w:r>
      <w:r w:rsidR="00337B52" w:rsidRPr="009B18E5">
        <w:rPr>
          <w:rFonts w:cs="Times New Roman"/>
        </w:rPr>
        <w:t>Two steps were required</w:t>
      </w:r>
      <w:r w:rsidR="00391208" w:rsidRPr="009B18E5">
        <w:rPr>
          <w:rFonts w:cs="Times New Roman"/>
        </w:rPr>
        <w:t xml:space="preserve"> for the isolation of the WS extract</w:t>
      </w:r>
      <w:r w:rsidR="00337B52" w:rsidRPr="009B18E5">
        <w:rPr>
          <w:rFonts w:cs="Times New Roman"/>
        </w:rPr>
        <w:t xml:space="preserve"> (</w:t>
      </w:r>
      <w:r w:rsidR="00337B52" w:rsidRPr="009B18E5">
        <w:rPr>
          <w:rFonts w:cs="Times New Roman"/>
        </w:rPr>
        <w:fldChar w:fldCharType="begin"/>
      </w:r>
      <w:r w:rsidR="00337B52" w:rsidRPr="009B18E5">
        <w:rPr>
          <w:rFonts w:cs="Times New Roman"/>
        </w:rPr>
        <w:instrText xml:space="preserve"> REF _Ref488793596 \h </w:instrText>
      </w:r>
      <w:r w:rsidR="00F91F3C" w:rsidRPr="009B18E5">
        <w:rPr>
          <w:rFonts w:cs="Times New Roman"/>
        </w:rPr>
        <w:instrText xml:space="preserve"> \* MERGEFORMAT </w:instrText>
      </w:r>
      <w:r w:rsidR="00337B52" w:rsidRPr="009B18E5">
        <w:rPr>
          <w:rFonts w:cs="Times New Roman"/>
        </w:rPr>
      </w:r>
      <w:r w:rsidR="00337B52" w:rsidRPr="009B18E5">
        <w:rPr>
          <w:rFonts w:cs="Times New Roman"/>
        </w:rPr>
        <w:fldChar w:fldCharType="separate"/>
      </w:r>
      <w:r w:rsidR="00E4647D" w:rsidRPr="009B18E5">
        <w:rPr>
          <w:rFonts w:cs="Times New Roman"/>
        </w:rPr>
        <w:t>Fig.</w:t>
      </w:r>
      <w:r w:rsidR="00E4647D" w:rsidRPr="009B18E5">
        <w:rPr>
          <w:rFonts w:cs="Times New Roman"/>
          <w:noProof/>
        </w:rPr>
        <w:t xml:space="preserve"> 1</w:t>
      </w:r>
      <w:r w:rsidR="00337B52" w:rsidRPr="009B18E5">
        <w:rPr>
          <w:rFonts w:cs="Times New Roman"/>
        </w:rPr>
        <w:fldChar w:fldCharType="end"/>
      </w:r>
      <w:r w:rsidR="00B04E2B" w:rsidRPr="009B18E5">
        <w:rPr>
          <w:rFonts w:cs="Times New Roman"/>
        </w:rPr>
        <w:t>).</w:t>
      </w:r>
    </w:p>
    <w:p w14:paraId="0505B7B5" w14:textId="482F6492" w:rsidR="00AC5704" w:rsidRDefault="008C34C3" w:rsidP="00C807A3">
      <w:pPr>
        <w:spacing w:line="360" w:lineRule="auto"/>
        <w:rPr>
          <w:rFonts w:cs="Times New Roman"/>
        </w:rPr>
      </w:pPr>
      <w:r>
        <w:rPr>
          <w:rFonts w:cs="Times New Roman"/>
          <w:noProof/>
          <w:lang w:eastAsia="en-GB"/>
        </w:rPr>
        <w:drawing>
          <wp:inline distT="0" distB="0" distL="0" distR="0" wp14:anchorId="1181EBF8" wp14:editId="3C09347D">
            <wp:extent cx="5647055" cy="30137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47055" cy="3013710"/>
                    </a:xfrm>
                    <a:prstGeom prst="rect">
                      <a:avLst/>
                    </a:prstGeom>
                    <a:noFill/>
                    <a:ln>
                      <a:noFill/>
                    </a:ln>
                  </pic:spPr>
                </pic:pic>
              </a:graphicData>
            </a:graphic>
          </wp:inline>
        </w:drawing>
      </w:r>
    </w:p>
    <w:p w14:paraId="4C2D596E" w14:textId="7B0E257E" w:rsidR="00337B52" w:rsidRPr="006616F6" w:rsidRDefault="00B10070" w:rsidP="00C807A3">
      <w:pPr>
        <w:pStyle w:val="Caption"/>
        <w:keepNext/>
        <w:spacing w:line="360" w:lineRule="auto"/>
        <w:jc w:val="center"/>
        <w:rPr>
          <w:rFonts w:cs="Times New Roman"/>
          <w:i w:val="0"/>
        </w:rPr>
      </w:pPr>
      <w:bookmarkStart w:id="4" w:name="_Ref488793596"/>
      <w:r w:rsidRPr="006616F6">
        <w:rPr>
          <w:rFonts w:cs="Times New Roman"/>
          <w:b/>
          <w:i w:val="0"/>
        </w:rPr>
        <w:lastRenderedPageBreak/>
        <w:t>Fig.</w:t>
      </w:r>
      <w:r w:rsidR="00337B52" w:rsidRPr="006616F6">
        <w:rPr>
          <w:rFonts w:cs="Times New Roman"/>
          <w:b/>
          <w:i w:val="0"/>
        </w:rPr>
        <w:t xml:space="preserve"> </w:t>
      </w:r>
      <w:r w:rsidR="00337B52" w:rsidRPr="006616F6">
        <w:rPr>
          <w:rFonts w:cs="Times New Roman"/>
          <w:b/>
          <w:i w:val="0"/>
          <w:noProof/>
        </w:rPr>
        <w:fldChar w:fldCharType="begin"/>
      </w:r>
      <w:r w:rsidR="00337B52" w:rsidRPr="006616F6">
        <w:rPr>
          <w:rFonts w:cs="Times New Roman"/>
          <w:b/>
          <w:i w:val="0"/>
          <w:noProof/>
        </w:rPr>
        <w:instrText xml:space="preserve"> SEQ Figure \* ARABIC </w:instrText>
      </w:r>
      <w:r w:rsidR="00337B52" w:rsidRPr="006616F6">
        <w:rPr>
          <w:rFonts w:cs="Times New Roman"/>
          <w:b/>
          <w:i w:val="0"/>
          <w:noProof/>
        </w:rPr>
        <w:fldChar w:fldCharType="separate"/>
      </w:r>
      <w:r w:rsidR="00E4647D">
        <w:rPr>
          <w:rFonts w:cs="Times New Roman"/>
          <w:b/>
          <w:i w:val="0"/>
          <w:noProof/>
        </w:rPr>
        <w:t>1</w:t>
      </w:r>
      <w:r w:rsidR="00337B52" w:rsidRPr="006616F6">
        <w:rPr>
          <w:rFonts w:cs="Times New Roman"/>
          <w:b/>
          <w:i w:val="0"/>
          <w:noProof/>
        </w:rPr>
        <w:fldChar w:fldCharType="end"/>
      </w:r>
      <w:bookmarkEnd w:id="4"/>
      <w:r w:rsidR="00337B52" w:rsidRPr="006616F6">
        <w:rPr>
          <w:rFonts w:cs="Times New Roman"/>
          <w:i w:val="0"/>
        </w:rPr>
        <w:t xml:space="preserve"> Stepwise methodology fo</w:t>
      </w:r>
      <w:r w:rsidR="008C15A2">
        <w:rPr>
          <w:rFonts w:cs="Times New Roman"/>
          <w:i w:val="0"/>
        </w:rPr>
        <w:t>r the characteriz</w:t>
      </w:r>
      <w:r w:rsidR="00C365D4" w:rsidRPr="006616F6">
        <w:rPr>
          <w:rFonts w:cs="Times New Roman"/>
          <w:i w:val="0"/>
        </w:rPr>
        <w:t>ation of the W</w:t>
      </w:r>
      <w:r w:rsidR="00337B52" w:rsidRPr="006616F6">
        <w:rPr>
          <w:rFonts w:cs="Times New Roman"/>
          <w:i w:val="0"/>
        </w:rPr>
        <w:t>S extract of the blends</w:t>
      </w:r>
    </w:p>
    <w:p w14:paraId="7BEF71BB" w14:textId="355ECA19" w:rsidR="00CC711D" w:rsidRPr="00EF75A4" w:rsidRDefault="00337B52" w:rsidP="00C807A3">
      <w:pPr>
        <w:spacing w:line="360" w:lineRule="auto"/>
        <w:rPr>
          <w:rFonts w:cs="Times New Roman"/>
        </w:rPr>
      </w:pPr>
      <w:r w:rsidRPr="00EF75A4">
        <w:rPr>
          <w:rFonts w:cs="Times New Roman"/>
        </w:rPr>
        <w:t xml:space="preserve">The procedures available in </w:t>
      </w:r>
      <w:r w:rsidRPr="00DE0779">
        <w:rPr>
          <w:rFonts w:cs="Times New Roman"/>
        </w:rPr>
        <w:t xml:space="preserve">the literature for the </w:t>
      </w:r>
      <w:r w:rsidR="00B72F4A" w:rsidRPr="00DE0779">
        <w:rPr>
          <w:rFonts w:cs="Times New Roman"/>
        </w:rPr>
        <w:t>determination of pH and</w:t>
      </w:r>
      <w:r w:rsidRPr="00DE0779">
        <w:rPr>
          <w:rFonts w:cs="Times New Roman"/>
        </w:rPr>
        <w:t xml:space="preserve"> EC mainly differ in the dilution ratio used</w:t>
      </w:r>
      <w:r w:rsidR="00B618BF" w:rsidRPr="00DE0779">
        <w:rPr>
          <w:rFonts w:cs="Times New Roman"/>
        </w:rPr>
        <w:t xml:space="preserve"> (</w:t>
      </w:r>
      <w:r w:rsidR="00353057" w:rsidRPr="00DE0779">
        <w:rPr>
          <w:rFonts w:cs="Times New Roman"/>
        </w:rPr>
        <w:t>O</w:t>
      </w:r>
      <w:r w:rsidR="00D7561C" w:rsidRPr="00DE0779">
        <w:rPr>
          <w:rFonts w:cs="Times New Roman"/>
        </w:rPr>
        <w:t>nline resource 2</w:t>
      </w:r>
      <w:r w:rsidR="00B618BF" w:rsidRPr="00DE0779">
        <w:rPr>
          <w:rFonts w:cs="Times New Roman"/>
        </w:rPr>
        <w:t>)</w:t>
      </w:r>
      <w:r w:rsidR="00E70BC9" w:rsidRPr="00DE0779">
        <w:rPr>
          <w:rFonts w:cs="Times New Roman"/>
        </w:rPr>
        <w:t>.</w:t>
      </w:r>
      <w:r w:rsidR="00B72F4A" w:rsidRPr="00DE0779">
        <w:rPr>
          <w:rFonts w:cs="Times New Roman"/>
        </w:rPr>
        <w:t xml:space="preserve"> The values of pH and</w:t>
      </w:r>
      <w:r w:rsidR="006E2331" w:rsidRPr="00DE0779">
        <w:rPr>
          <w:rFonts w:cs="Times New Roman"/>
        </w:rPr>
        <w:t xml:space="preserve"> EC are generally reported for the lea</w:t>
      </w:r>
      <w:r w:rsidR="00AA0D15" w:rsidRPr="00DE0779">
        <w:rPr>
          <w:rFonts w:cs="Times New Roman"/>
        </w:rPr>
        <w:t>chate</w:t>
      </w:r>
      <w:r w:rsidR="006128AF" w:rsidRPr="00DE0779">
        <w:rPr>
          <w:rFonts w:cs="Times New Roman"/>
        </w:rPr>
        <w:t>s</w:t>
      </w:r>
      <w:r w:rsidR="006E2331" w:rsidRPr="00DE0779">
        <w:rPr>
          <w:rFonts w:cs="Times New Roman"/>
        </w:rPr>
        <w:t>.</w:t>
      </w:r>
      <w:r w:rsidR="00E70BC9" w:rsidRPr="00DE0779">
        <w:rPr>
          <w:rFonts w:cs="Times New Roman"/>
        </w:rPr>
        <w:t xml:space="preserve"> </w:t>
      </w:r>
      <w:r w:rsidR="001A1875" w:rsidRPr="00DE0779">
        <w:rPr>
          <w:rFonts w:cs="Times New Roman"/>
        </w:rPr>
        <w:t xml:space="preserve">The digestate </w:t>
      </w:r>
      <w:r w:rsidR="00372255" w:rsidRPr="00DE0779">
        <w:rPr>
          <w:rFonts w:cs="Times New Roman"/>
        </w:rPr>
        <w:t>s</w:t>
      </w:r>
      <w:r w:rsidR="00E94F95" w:rsidRPr="00DE0779">
        <w:rPr>
          <w:rFonts w:cs="Times New Roman"/>
        </w:rPr>
        <w:t>amples</w:t>
      </w:r>
      <w:r w:rsidR="000D4564" w:rsidRPr="00DE0779">
        <w:rPr>
          <w:rFonts w:cs="Times New Roman"/>
        </w:rPr>
        <w:t xml:space="preserve"> </w:t>
      </w:r>
      <w:r w:rsidR="001A1875" w:rsidRPr="00DE0779">
        <w:rPr>
          <w:rFonts w:cs="Times New Roman"/>
        </w:rPr>
        <w:t xml:space="preserve">did </w:t>
      </w:r>
      <w:r w:rsidR="000D4564" w:rsidRPr="00DE0779">
        <w:rPr>
          <w:rFonts w:cs="Times New Roman"/>
        </w:rPr>
        <w:t>not require</w:t>
      </w:r>
      <w:r w:rsidR="00E94F95" w:rsidRPr="00DE0779">
        <w:rPr>
          <w:rFonts w:cs="Times New Roman"/>
        </w:rPr>
        <w:t xml:space="preserve"> add</w:t>
      </w:r>
      <w:r w:rsidR="00B72F4A" w:rsidRPr="00DE0779">
        <w:rPr>
          <w:rFonts w:cs="Times New Roman"/>
        </w:rPr>
        <w:t>ition of water for the measurement of pH and</w:t>
      </w:r>
      <w:r w:rsidR="00E94F95" w:rsidRPr="00DE0779">
        <w:rPr>
          <w:rFonts w:cs="Times New Roman"/>
        </w:rPr>
        <w:t xml:space="preserve"> EC </w:t>
      </w:r>
      <w:r w:rsidR="00E94F95" w:rsidRPr="00DE0779">
        <w:rPr>
          <w:rFonts w:cs="Times New Roman"/>
        </w:rPr>
        <w:fldChar w:fldCharType="begin" w:fldLock="1"/>
      </w:r>
      <w:r w:rsidR="00BB33F9">
        <w:rPr>
          <w:rFonts w:cs="Times New Roman"/>
        </w:rPr>
        <w:instrText>ADDIN CSL_CITATION {"citationItems":[{"id":"ITEM-1","itemData":{"DOI":"10.1016/j.agee.2011.03.007","ISBN":"0167-8809","ISSN":"01678809","abstract":"The optimisation of digestate recycling as fertilisers, based on both environmental and agricultural criteria, requires an evaluation of the effects on C and N dynamics in soil. In the present paper, six digestates from several anaerobic co-digestion experiments, using pig or cattle slurry as the main substrate, were evaluated in short-term incubations in soil.Digestate properties such as dissolved organic-C (DOC), biochemical oxygen demand (BOD) and digestate organic-C mineralised in the soil during the first 7 days represented properly the digestate biodegradability. These, together with their ratios with respect to the total nitrogen (TN) concentration in the digestate, were reliable parameters with respect to defining the C and N dynamics in the soil and hence the N-fertiliser potential of the digested materials. Therefore, highly biodegradable digested materials, represented in the present study by digestates from cattle slurry-glycerine mixtures were not suitable for agricultural use as they caused a high CO 2-C production and led to N-immobilisation and/or denitrification after their application to soil. Contrastingly, for less biodegradable digested materials (BOD 5d&lt;6.0gO 2L -1 fresh weight, DOC&lt;5.5gL -1 fresh weight and DOC/TN&lt;1.5), less CO 2-C was evolved and ammonium was rapidly nitrified in soil-being an available N source for crops. ?? 2011 Elsevier B.V.","author":[{"dropping-particle":"","family":"Alburquerque","given":"J. A.","non-dropping-particle":"","parse-names":false,"suffix":""},{"dropping-particle":"","family":"la Fuente","given":"Carlos","non-dropping-particle":"de","parse-names":false,"suffix":""},{"dropping-particle":"","family":"Bernal","given":"María Pilar","non-dropping-particle":"","parse-names":false,"suffix":""}],"container-title":"Agriculture, Ecosystems and Environment","id":"ITEM-1","issued":{"date-parts":[["2012"]]},"page":"15-22","publisher":"Elsevier B.V.","title":"Chemical properties of anaerobic digestates affecting C and N dynamics in amended soils","type":"article-journal","volume":"160"},"uris":["http://www.mendeley.com/documents/?uuid=b33c0a3e-1000-47d9-9880-cae246807252"]}],"mendeley":{"formattedCitation":"[34]","plainTextFormattedCitation":"[34]","previouslyFormattedCitation":"[34]"},"properties":{"noteIndex":0},"schema":"https://github.com/citation-style-language/schema/raw/master/csl-citation.json"}</w:instrText>
      </w:r>
      <w:r w:rsidR="00E94F95" w:rsidRPr="00DE0779">
        <w:rPr>
          <w:rFonts w:cs="Times New Roman"/>
          <w:vertAlign w:val="superscript"/>
        </w:rPr>
        <w:fldChar w:fldCharType="separate"/>
      </w:r>
      <w:r w:rsidR="00D33723" w:rsidRPr="00D33723">
        <w:rPr>
          <w:rFonts w:cs="Times New Roman"/>
          <w:noProof/>
        </w:rPr>
        <w:t>[34]</w:t>
      </w:r>
      <w:r w:rsidR="00E94F95" w:rsidRPr="00DE0779">
        <w:rPr>
          <w:rFonts w:cs="Times New Roman"/>
        </w:rPr>
        <w:fldChar w:fldCharType="end"/>
      </w:r>
      <w:r w:rsidR="007F78DC" w:rsidRPr="00DE0779">
        <w:rPr>
          <w:rFonts w:cs="Times New Roman"/>
        </w:rPr>
        <w:t xml:space="preserve"> </w:t>
      </w:r>
      <w:r w:rsidR="000D4564" w:rsidRPr="00DE0779">
        <w:rPr>
          <w:rFonts w:cs="Times New Roman"/>
        </w:rPr>
        <w:t xml:space="preserve">but it was </w:t>
      </w:r>
      <w:r w:rsidR="008B6D4A" w:rsidRPr="00DE0779">
        <w:rPr>
          <w:rFonts w:cs="Times New Roman"/>
        </w:rPr>
        <w:t>perform</w:t>
      </w:r>
      <w:r w:rsidR="000D4564" w:rsidRPr="00DE0779">
        <w:rPr>
          <w:rFonts w:cs="Times New Roman"/>
        </w:rPr>
        <w:t xml:space="preserve">ed </w:t>
      </w:r>
      <w:r w:rsidR="00AF12BC" w:rsidRPr="00DE0779">
        <w:rPr>
          <w:rFonts w:cs="Times New Roman"/>
        </w:rPr>
        <w:t>t</w:t>
      </w:r>
      <w:r w:rsidR="001A1875" w:rsidRPr="00DE0779">
        <w:rPr>
          <w:rFonts w:cs="Times New Roman"/>
        </w:rPr>
        <w:t>o match the procedure</w:t>
      </w:r>
      <w:r w:rsidR="008C15A2" w:rsidRPr="00DE0779">
        <w:rPr>
          <w:rFonts w:cs="Times New Roman"/>
        </w:rPr>
        <w:t xml:space="preserve"> employed for the characteriz</w:t>
      </w:r>
      <w:r w:rsidR="00AF12BC" w:rsidRPr="00DE0779">
        <w:rPr>
          <w:rFonts w:cs="Times New Roman"/>
        </w:rPr>
        <w:t xml:space="preserve">ation of </w:t>
      </w:r>
      <w:r w:rsidR="001A1875" w:rsidRPr="00DE0779">
        <w:rPr>
          <w:rFonts w:cs="Times New Roman"/>
        </w:rPr>
        <w:t xml:space="preserve">the </w:t>
      </w:r>
      <w:r w:rsidR="00AF12BC" w:rsidRPr="00DE0779">
        <w:rPr>
          <w:rFonts w:cs="Times New Roman"/>
        </w:rPr>
        <w:t>ashes</w:t>
      </w:r>
      <w:r w:rsidR="002B7700" w:rsidRPr="00DE0779">
        <w:rPr>
          <w:rFonts w:cs="Times New Roman"/>
        </w:rPr>
        <w:t>.</w:t>
      </w:r>
      <w:r w:rsidR="00E2226D" w:rsidRPr="00DE0779">
        <w:rPr>
          <w:rFonts w:cs="Times New Roman"/>
        </w:rPr>
        <w:t xml:space="preserve"> </w:t>
      </w:r>
      <w:r w:rsidR="00BE0DDC" w:rsidRPr="00DE0779">
        <w:rPr>
          <w:rFonts w:cs="Times New Roman"/>
        </w:rPr>
        <w:t>I</w:t>
      </w:r>
      <w:r w:rsidR="00E2226D" w:rsidRPr="00DE0779">
        <w:rPr>
          <w:rFonts w:cs="Times New Roman"/>
        </w:rPr>
        <w:t>n agreement with the procedure used by NRM</w:t>
      </w:r>
      <w:r w:rsidR="00C42FE6" w:rsidRPr="00DE0779">
        <w:rPr>
          <w:rFonts w:cs="Times New Roman"/>
        </w:rPr>
        <w:t xml:space="preserve"> laboratory</w:t>
      </w:r>
      <w:r w:rsidR="002B7700" w:rsidRPr="00DE0779">
        <w:rPr>
          <w:rFonts w:cs="Times New Roman"/>
        </w:rPr>
        <w:t>, the WS extract was prepared following a sample-to-extractant (S:E) ratio of 1</w:t>
      </w:r>
      <w:r w:rsidR="00BE0DDC" w:rsidRPr="00DE0779">
        <w:rPr>
          <w:rFonts w:cs="Times New Roman"/>
        </w:rPr>
        <w:t>0 parts of extractant</w:t>
      </w:r>
      <w:r w:rsidR="002B7700" w:rsidRPr="00DE0779">
        <w:rPr>
          <w:rFonts w:cs="Times New Roman"/>
        </w:rPr>
        <w:t xml:space="preserve"> per each part of sample (1:10)</w:t>
      </w:r>
      <w:r w:rsidR="00E2226D" w:rsidRPr="00DE0779">
        <w:rPr>
          <w:rFonts w:cs="Times New Roman"/>
        </w:rPr>
        <w:t>.</w:t>
      </w:r>
      <w:r w:rsidR="006128AF" w:rsidRPr="00DE0779">
        <w:rPr>
          <w:rFonts w:cs="Times New Roman"/>
        </w:rPr>
        <w:t xml:space="preserve"> </w:t>
      </w:r>
      <w:r w:rsidR="00CC711D" w:rsidRPr="00DE0779">
        <w:rPr>
          <w:rFonts w:cs="Times New Roman"/>
        </w:rPr>
        <w:t xml:space="preserve">In this way, after the incubation, each </w:t>
      </w:r>
      <w:r w:rsidR="00BE0DDC" w:rsidRPr="00DE0779">
        <w:rPr>
          <w:rFonts w:cs="Times New Roman"/>
        </w:rPr>
        <w:t>blend</w:t>
      </w:r>
      <w:r w:rsidR="00CC711D" w:rsidRPr="00DE0779">
        <w:rPr>
          <w:rFonts w:cs="Times New Roman"/>
        </w:rPr>
        <w:t xml:space="preserve"> of 3 g was mixed with 30 mL of</w:t>
      </w:r>
      <w:r w:rsidR="00BE0DDC" w:rsidRPr="00DE0779">
        <w:rPr>
          <w:rFonts w:cs="Times New Roman"/>
        </w:rPr>
        <w:t xml:space="preserve"> ultrapure</w:t>
      </w:r>
      <w:r w:rsidR="00CC711D" w:rsidRPr="00DE0779">
        <w:rPr>
          <w:rFonts w:cs="Times New Roman"/>
        </w:rPr>
        <w:t xml:space="preserve"> milli-Q water.</w:t>
      </w:r>
      <w:r w:rsidR="00AD70DA" w:rsidRPr="00DE0779">
        <w:rPr>
          <w:rFonts w:cs="Times New Roman"/>
        </w:rPr>
        <w:t xml:space="preserve"> The 50-mL tubes were</w:t>
      </w:r>
      <w:r w:rsidR="00AD70DA" w:rsidRPr="00EF75A4">
        <w:rPr>
          <w:rFonts w:cs="Times New Roman"/>
        </w:rPr>
        <w:t xml:space="preserve"> placed</w:t>
      </w:r>
      <w:r w:rsidR="009F3AD3" w:rsidRPr="00EF75A4">
        <w:rPr>
          <w:rFonts w:cs="Times New Roman"/>
        </w:rPr>
        <w:t xml:space="preserve"> horizontally in the </w:t>
      </w:r>
      <w:r w:rsidR="00CC711D" w:rsidRPr="00EF75A4">
        <w:rPr>
          <w:rFonts w:cs="Times New Roman"/>
        </w:rPr>
        <w:t>r</w:t>
      </w:r>
      <w:r w:rsidR="009F3AD3" w:rsidRPr="00EF75A4">
        <w:rPr>
          <w:rFonts w:cs="Times New Roman"/>
        </w:rPr>
        <w:t>otary shaker</w:t>
      </w:r>
      <w:r w:rsidR="00CC711D" w:rsidRPr="00EF75A4">
        <w:rPr>
          <w:rFonts w:cs="Times New Roman"/>
        </w:rPr>
        <w:t xml:space="preserve"> for 1 hour at 100 rpm. Finally, the lixiviation </w:t>
      </w:r>
      <w:r w:rsidR="00955362" w:rsidRPr="00EF75A4">
        <w:rPr>
          <w:rFonts w:cs="Times New Roman"/>
        </w:rPr>
        <w:t>wa</w:t>
      </w:r>
      <w:r w:rsidR="00CC711D" w:rsidRPr="00EF75A4">
        <w:rPr>
          <w:rFonts w:cs="Times New Roman"/>
        </w:rPr>
        <w:t xml:space="preserve">s </w:t>
      </w:r>
      <w:r w:rsidR="00806D74" w:rsidRPr="00EF75A4">
        <w:rPr>
          <w:rFonts w:cs="Times New Roman"/>
        </w:rPr>
        <w:t>achieved</w:t>
      </w:r>
      <w:r w:rsidR="00CC711D" w:rsidRPr="00EF75A4">
        <w:rPr>
          <w:rFonts w:cs="Times New Roman"/>
        </w:rPr>
        <w:t xml:space="preserve"> </w:t>
      </w:r>
      <w:r w:rsidR="00806D74" w:rsidRPr="00EF75A4">
        <w:rPr>
          <w:rFonts w:cs="Times New Roman"/>
        </w:rPr>
        <w:t>via centrifugation for</w:t>
      </w:r>
      <w:r w:rsidR="00CC711D" w:rsidRPr="00EF75A4">
        <w:rPr>
          <w:rFonts w:cs="Times New Roman"/>
        </w:rPr>
        <w:t xml:space="preserve"> 5 min </w:t>
      </w:r>
      <w:r w:rsidR="00877A9A" w:rsidRPr="00EF75A4">
        <w:rPr>
          <w:rFonts w:cs="Times New Roman"/>
        </w:rPr>
        <w:t xml:space="preserve">at </w:t>
      </w:r>
      <w:r w:rsidR="00CC711D" w:rsidRPr="00EF75A4">
        <w:rPr>
          <w:rFonts w:cs="Times New Roman"/>
        </w:rPr>
        <w:t>4000 rpm</w:t>
      </w:r>
      <w:r w:rsidR="00C47D71" w:rsidRPr="00EF75A4">
        <w:rPr>
          <w:rFonts w:cs="Times New Roman"/>
        </w:rPr>
        <w:t xml:space="preserve"> and </w:t>
      </w:r>
      <w:r w:rsidR="00877A9A" w:rsidRPr="00EF75A4">
        <w:rPr>
          <w:rFonts w:cs="Times New Roman"/>
        </w:rPr>
        <w:t xml:space="preserve">subsequently filtered </w:t>
      </w:r>
      <w:r w:rsidR="00B148DA" w:rsidRPr="00EF75A4">
        <w:rPr>
          <w:rFonts w:cs="Times New Roman"/>
        </w:rPr>
        <w:t xml:space="preserve">down </w:t>
      </w:r>
      <w:r w:rsidR="00877A9A" w:rsidRPr="00EF75A4">
        <w:rPr>
          <w:rFonts w:cs="Times New Roman"/>
        </w:rPr>
        <w:t xml:space="preserve">to pass </w:t>
      </w:r>
      <w:r w:rsidR="00027D34" w:rsidRPr="00EF75A4">
        <w:rPr>
          <w:rFonts w:cs="Times New Roman"/>
        </w:rPr>
        <w:t>3</w:t>
      </w:r>
      <w:r w:rsidR="00391208" w:rsidRPr="00EF75A4">
        <w:rPr>
          <w:rFonts w:cs="Times New Roman"/>
        </w:rPr>
        <w:t xml:space="preserve"> </w:t>
      </w:r>
      <w:r w:rsidR="00B148DA" w:rsidRPr="00EF75A4">
        <w:rPr>
          <w:rFonts w:cs="Times New Roman"/>
        </w:rPr>
        <w:t>µm</w:t>
      </w:r>
      <w:r w:rsidR="00CC711D" w:rsidRPr="00EF75A4">
        <w:rPr>
          <w:rFonts w:cs="Times New Roman"/>
        </w:rPr>
        <w:t>.</w:t>
      </w:r>
      <w:r w:rsidR="00025060">
        <w:rPr>
          <w:rFonts w:cs="Times New Roman"/>
        </w:rPr>
        <w:t xml:space="preserve"> </w:t>
      </w:r>
      <w:r w:rsidR="00025060" w:rsidRPr="002D7D38">
        <w:rPr>
          <w:rFonts w:cs="Times New Roman"/>
          <w:b/>
        </w:rPr>
        <w:t>Unlike the other parameters measured in the WS extract</w:t>
      </w:r>
      <w:r w:rsidR="008C15A2">
        <w:rPr>
          <w:rFonts w:cs="Times New Roman"/>
          <w:b/>
        </w:rPr>
        <w:t xml:space="preserve"> for the initial characteriz</w:t>
      </w:r>
      <w:r w:rsidR="00025060" w:rsidRPr="002D7D38">
        <w:rPr>
          <w:rFonts w:cs="Times New Roman"/>
          <w:b/>
        </w:rPr>
        <w:t>ation (</w:t>
      </w:r>
      <w:r w:rsidR="002D7D38" w:rsidRPr="002D7D38">
        <w:rPr>
          <w:rFonts w:cs="Times New Roman"/>
          <w:b/>
        </w:rPr>
        <w:fldChar w:fldCharType="begin"/>
      </w:r>
      <w:r w:rsidR="002D7D38" w:rsidRPr="002D7D38">
        <w:rPr>
          <w:rFonts w:cs="Times New Roman"/>
          <w:b/>
        </w:rPr>
        <w:instrText xml:space="preserve"> REF _Ref44759336 \h  \* MERGEFORMAT </w:instrText>
      </w:r>
      <w:r w:rsidR="002D7D38" w:rsidRPr="002D7D38">
        <w:rPr>
          <w:rFonts w:cs="Times New Roman"/>
          <w:b/>
        </w:rPr>
      </w:r>
      <w:r w:rsidR="002D7D38" w:rsidRPr="002D7D38">
        <w:rPr>
          <w:rFonts w:cs="Times New Roman"/>
          <w:b/>
        </w:rPr>
        <w:fldChar w:fldCharType="separate"/>
      </w:r>
      <w:r w:rsidR="002D7D38" w:rsidRPr="002D7D38">
        <w:rPr>
          <w:rFonts w:cs="Times New Roman"/>
          <w:b/>
        </w:rPr>
        <w:t xml:space="preserve">Table </w:t>
      </w:r>
      <w:r w:rsidR="002D7D38" w:rsidRPr="002D7D38">
        <w:rPr>
          <w:rFonts w:cs="Times New Roman"/>
          <w:b/>
          <w:noProof/>
        </w:rPr>
        <w:t>3</w:t>
      </w:r>
      <w:r w:rsidR="002D7D38" w:rsidRPr="002D7D38">
        <w:rPr>
          <w:rFonts w:cs="Times New Roman"/>
          <w:b/>
        </w:rPr>
        <w:fldChar w:fldCharType="end"/>
      </w:r>
      <w:r w:rsidR="00025060" w:rsidRPr="002D7D38">
        <w:rPr>
          <w:rFonts w:cs="Times New Roman"/>
          <w:b/>
        </w:rPr>
        <w:t>)</w:t>
      </w:r>
      <w:r w:rsidR="002D7D38" w:rsidRPr="002D7D38">
        <w:rPr>
          <w:rFonts w:cs="Times New Roman"/>
          <w:b/>
        </w:rPr>
        <w:t>,</w:t>
      </w:r>
      <w:r w:rsidR="00025060" w:rsidRPr="002D7D38">
        <w:rPr>
          <w:rFonts w:cs="Times New Roman"/>
          <w:b/>
        </w:rPr>
        <w:t xml:space="preserve"> the pH and the EC of the samples were measured in the WS extract of the samples generated using a S:E ratio 1:5 (i.e. 1 part of sample and 5 parts of ultrapure milli-Q water)</w:t>
      </w:r>
      <w:r w:rsidR="002D7D38" w:rsidRPr="002D7D38">
        <w:rPr>
          <w:rFonts w:cs="Times New Roman"/>
          <w:b/>
        </w:rPr>
        <w:t xml:space="preserve"> rather than a S:E ratio 1:10</w:t>
      </w:r>
      <w:r w:rsidR="00025060" w:rsidRPr="0018194F">
        <w:rPr>
          <w:rFonts w:cs="Times New Roman"/>
        </w:rPr>
        <w:t>.</w:t>
      </w:r>
    </w:p>
    <w:p w14:paraId="2B60728C" w14:textId="2491B0B7" w:rsidR="00457E55" w:rsidRDefault="004C37C4" w:rsidP="00C807A3">
      <w:pPr>
        <w:spacing w:line="360" w:lineRule="auto"/>
        <w:rPr>
          <w:rFonts w:cs="Times New Roman"/>
        </w:rPr>
      </w:pPr>
      <w:r w:rsidRPr="00E95424">
        <w:rPr>
          <w:rFonts w:cs="Times New Roman"/>
          <w:b/>
        </w:rPr>
        <w:t>The measurement of the pH and the EC of the WS extracts of the blends were done with a Mettler Toledo</w:t>
      </w:r>
      <w:r w:rsidRPr="00E95424">
        <w:rPr>
          <w:rFonts w:ascii="Calibri" w:hAnsi="Calibri" w:cs="Calibri"/>
          <w:b/>
        </w:rPr>
        <w:t>®</w:t>
      </w:r>
      <w:r w:rsidRPr="00E95424">
        <w:rPr>
          <w:rFonts w:cs="Times New Roman"/>
          <w:b/>
        </w:rPr>
        <w:t xml:space="preserve"> Seven Compact</w:t>
      </w:r>
      <w:r w:rsidRPr="00E95424">
        <w:rPr>
          <w:rFonts w:cs="Times New Roman"/>
          <w:b/>
          <w:vertAlign w:val="superscript"/>
        </w:rPr>
        <w:t>TM</w:t>
      </w:r>
      <w:r w:rsidRPr="00E95424">
        <w:rPr>
          <w:rFonts w:cs="Times New Roman"/>
          <w:b/>
        </w:rPr>
        <w:t xml:space="preserve"> S220 pH/Ion meter and a Jenway</w:t>
      </w:r>
      <w:r w:rsidRPr="00E95424">
        <w:rPr>
          <w:rFonts w:ascii="Calibri" w:hAnsi="Calibri" w:cs="Calibri"/>
          <w:b/>
        </w:rPr>
        <w:t>®</w:t>
      </w:r>
      <w:r w:rsidRPr="00E95424">
        <w:rPr>
          <w:rFonts w:cs="Times New Roman"/>
          <w:b/>
        </w:rPr>
        <w:t xml:space="preserve"> 4510 bench conductivity/total dissolved solids meter, respectively</w:t>
      </w:r>
      <w:r>
        <w:rPr>
          <w:rFonts w:cs="Times New Roman"/>
        </w:rPr>
        <w:t xml:space="preserve">. </w:t>
      </w:r>
      <w:r w:rsidR="00863DC3" w:rsidRPr="00EF75A4">
        <w:rPr>
          <w:rFonts w:cs="Times New Roman"/>
        </w:rPr>
        <w:t xml:space="preserve">The </w:t>
      </w:r>
      <w:r>
        <w:rPr>
          <w:rFonts w:cs="Times New Roman"/>
        </w:rPr>
        <w:t>determination</w:t>
      </w:r>
      <w:r w:rsidRPr="00EF75A4">
        <w:rPr>
          <w:rFonts w:cs="Times New Roman"/>
        </w:rPr>
        <w:t xml:space="preserve"> </w:t>
      </w:r>
      <w:r w:rsidR="00863DC3" w:rsidRPr="00EF75A4">
        <w:rPr>
          <w:rFonts w:cs="Times New Roman"/>
        </w:rPr>
        <w:t>of the concentrations of</w:t>
      </w:r>
      <w:r w:rsidR="003F4AE7" w:rsidRPr="00EF75A4">
        <w:rPr>
          <w:rFonts w:cs="Times New Roman"/>
        </w:rPr>
        <w:t xml:space="preserve"> WS</w:t>
      </w:r>
      <w:r w:rsidR="00863DC3" w:rsidRPr="00EF75A4">
        <w:rPr>
          <w:rFonts w:cs="Times New Roman"/>
        </w:rPr>
        <w:t xml:space="preserve"> </w:t>
      </w:r>
      <w:r w:rsidR="000E648D" w:rsidRPr="00EF75A4">
        <w:rPr>
          <w:rFonts w:cs="Times New Roman"/>
        </w:rPr>
        <w:t>NH</w:t>
      </w:r>
      <w:r w:rsidR="000E648D" w:rsidRPr="00EF75A4">
        <w:rPr>
          <w:rFonts w:cs="Times New Roman"/>
          <w:vertAlign w:val="subscript"/>
        </w:rPr>
        <w:t>4</w:t>
      </w:r>
      <w:r w:rsidR="000E648D" w:rsidRPr="00EF75A4">
        <w:rPr>
          <w:rFonts w:cs="Times New Roman"/>
          <w:vertAlign w:val="superscript"/>
        </w:rPr>
        <w:t>+</w:t>
      </w:r>
      <w:r w:rsidR="007F0023">
        <w:rPr>
          <w:rFonts w:cs="Times New Roman"/>
        </w:rPr>
        <w:t xml:space="preserve"> &amp;</w:t>
      </w:r>
      <w:r w:rsidR="00A5475E">
        <w:rPr>
          <w:rFonts w:cs="Times New Roman"/>
        </w:rPr>
        <w:t xml:space="preserve"> WS</w:t>
      </w:r>
      <w:r w:rsidR="007F0023">
        <w:rPr>
          <w:rFonts w:cs="Times New Roman"/>
        </w:rPr>
        <w:t xml:space="preserve"> </w:t>
      </w:r>
      <w:r w:rsidR="00863DC3" w:rsidRPr="00EF75A4">
        <w:rPr>
          <w:rFonts w:cs="Times New Roman"/>
        </w:rPr>
        <w:t>NH</w:t>
      </w:r>
      <w:r w:rsidR="000E648D" w:rsidRPr="00EF75A4">
        <w:rPr>
          <w:rFonts w:cs="Times New Roman"/>
          <w:vertAlign w:val="subscript"/>
        </w:rPr>
        <w:t>3</w:t>
      </w:r>
      <w:r w:rsidR="007D61C7" w:rsidRPr="00EF75A4">
        <w:rPr>
          <w:rFonts w:cs="Times New Roman"/>
        </w:rPr>
        <w:t xml:space="preserve"> </w:t>
      </w:r>
      <w:r w:rsidR="0071256F">
        <w:rPr>
          <w:rFonts w:cs="Times New Roman"/>
        </w:rPr>
        <w:t xml:space="preserve">(methods </w:t>
      </w:r>
      <w:r w:rsidR="00C70311">
        <w:rPr>
          <w:rFonts w:cs="Times New Roman"/>
        </w:rPr>
        <w:t>DIN 38406 and ISO/DIN 11732</w:t>
      </w:r>
      <w:r w:rsidR="0071256F">
        <w:rPr>
          <w:rFonts w:cs="Times New Roman"/>
        </w:rPr>
        <w:t>)</w:t>
      </w:r>
      <w:r w:rsidR="00C70311">
        <w:rPr>
          <w:rFonts w:cs="Times New Roman"/>
        </w:rPr>
        <w:t>,</w:t>
      </w:r>
      <w:r w:rsidR="007D61C7" w:rsidRPr="00EF75A4">
        <w:rPr>
          <w:rFonts w:cs="Times New Roman"/>
        </w:rPr>
        <w:t xml:space="preserve"> WS</w:t>
      </w:r>
      <w:r w:rsidR="00863DC3" w:rsidRPr="00EF75A4">
        <w:rPr>
          <w:rFonts w:cs="Times New Roman"/>
        </w:rPr>
        <w:t xml:space="preserve"> NO</w:t>
      </w:r>
      <w:r w:rsidR="00863DC3" w:rsidRPr="00EF75A4">
        <w:rPr>
          <w:rFonts w:cs="Times New Roman"/>
          <w:vertAlign w:val="subscript"/>
        </w:rPr>
        <w:t>3</w:t>
      </w:r>
      <w:r w:rsidR="00863DC3" w:rsidRPr="00EF75A4">
        <w:rPr>
          <w:rFonts w:cs="Times New Roman"/>
          <w:vertAlign w:val="superscript"/>
        </w:rPr>
        <w:t>-</w:t>
      </w:r>
      <w:r w:rsidR="007F0023">
        <w:rPr>
          <w:rFonts w:cs="Times New Roman"/>
        </w:rPr>
        <w:t xml:space="preserve"> &amp; </w:t>
      </w:r>
      <w:r w:rsidR="006B2E88">
        <w:rPr>
          <w:rFonts w:cs="Times New Roman"/>
        </w:rPr>
        <w:t xml:space="preserve">WS </w:t>
      </w:r>
      <w:r w:rsidR="00D37ED9" w:rsidRPr="00EF75A4">
        <w:rPr>
          <w:rFonts w:cs="Times New Roman"/>
        </w:rPr>
        <w:t>NO</w:t>
      </w:r>
      <w:r w:rsidR="00D37ED9" w:rsidRPr="00EF75A4">
        <w:rPr>
          <w:rFonts w:cs="Times New Roman"/>
          <w:vertAlign w:val="subscript"/>
        </w:rPr>
        <w:t>2</w:t>
      </w:r>
      <w:r w:rsidR="00D37ED9" w:rsidRPr="00EF75A4">
        <w:rPr>
          <w:rFonts w:cs="Times New Roman"/>
          <w:vertAlign w:val="superscript"/>
        </w:rPr>
        <w:t>-</w:t>
      </w:r>
      <w:r w:rsidR="00863DC3" w:rsidRPr="00EF75A4">
        <w:rPr>
          <w:rFonts w:cs="Times New Roman"/>
        </w:rPr>
        <w:t xml:space="preserve"> </w:t>
      </w:r>
      <w:r w:rsidR="007D61C7" w:rsidRPr="00EF75A4">
        <w:rPr>
          <w:rFonts w:cs="Times New Roman"/>
        </w:rPr>
        <w:t>(methods DIN 38405 and ISO/DIS 13395), and WS</w:t>
      </w:r>
      <w:r w:rsidR="00863DC3" w:rsidRPr="00EF75A4">
        <w:rPr>
          <w:rFonts w:cs="Times New Roman"/>
        </w:rPr>
        <w:t xml:space="preserve"> PO</w:t>
      </w:r>
      <w:r w:rsidR="00863DC3" w:rsidRPr="00EF75A4">
        <w:rPr>
          <w:rFonts w:cs="Times New Roman"/>
          <w:vertAlign w:val="subscript"/>
        </w:rPr>
        <w:t>4</w:t>
      </w:r>
      <w:r w:rsidR="00863DC3" w:rsidRPr="00EF75A4">
        <w:rPr>
          <w:rFonts w:cs="Times New Roman"/>
          <w:vertAlign w:val="superscript"/>
        </w:rPr>
        <w:t>3-</w:t>
      </w:r>
      <w:r w:rsidR="00863DC3" w:rsidRPr="00EF75A4">
        <w:rPr>
          <w:rFonts w:cs="Times New Roman"/>
        </w:rPr>
        <w:t xml:space="preserve"> </w:t>
      </w:r>
      <w:r w:rsidR="007D61C7" w:rsidRPr="00EF75A4">
        <w:rPr>
          <w:rFonts w:cs="Times New Roman"/>
        </w:rPr>
        <w:t xml:space="preserve">(methods DIN/EN/ISO 15681-2) </w:t>
      </w:r>
      <w:r w:rsidR="002D7EBF">
        <w:rPr>
          <w:rFonts w:cs="Times New Roman"/>
        </w:rPr>
        <w:t>was done with the Autoanalyz</w:t>
      </w:r>
      <w:r w:rsidR="00863DC3" w:rsidRPr="00EF75A4">
        <w:rPr>
          <w:rFonts w:cs="Times New Roman"/>
        </w:rPr>
        <w:t>er</w:t>
      </w:r>
      <w:r w:rsidR="00B148DA" w:rsidRPr="00EF75A4">
        <w:rPr>
          <w:rFonts w:cs="Times New Roman"/>
        </w:rPr>
        <w:t xml:space="preserve"> (</w:t>
      </w:r>
      <w:r w:rsidR="00863DC3" w:rsidRPr="00EF75A4">
        <w:rPr>
          <w:rFonts w:cs="Times New Roman"/>
        </w:rPr>
        <w:t>AA3, SEAL analytica</w:t>
      </w:r>
      <w:r w:rsidR="00B148DA" w:rsidRPr="00EF75A4">
        <w:rPr>
          <w:rFonts w:cs="Times New Roman"/>
        </w:rPr>
        <w:t>l)</w:t>
      </w:r>
      <w:r w:rsidR="0001124E" w:rsidRPr="00EF75A4">
        <w:rPr>
          <w:rFonts w:cs="Times New Roman"/>
        </w:rPr>
        <w:t>, by</w:t>
      </w:r>
      <w:r w:rsidR="00B148DA" w:rsidRPr="00EF75A4">
        <w:rPr>
          <w:rFonts w:cs="Times New Roman"/>
        </w:rPr>
        <w:t xml:space="preserve"> </w:t>
      </w:r>
      <w:r w:rsidR="0001124E" w:rsidRPr="00EF75A4">
        <w:rPr>
          <w:rFonts w:cs="Times New Roman"/>
        </w:rPr>
        <w:t>u</w:t>
      </w:r>
      <w:r w:rsidR="009875EC" w:rsidRPr="00EF75A4">
        <w:rPr>
          <w:rFonts w:cs="Times New Roman"/>
        </w:rPr>
        <w:t>sing t</w:t>
      </w:r>
      <w:r w:rsidR="002F3FDE" w:rsidRPr="00EF75A4">
        <w:rPr>
          <w:rFonts w:cs="Times New Roman"/>
        </w:rPr>
        <w:t>he colorimetr</w:t>
      </w:r>
      <w:r w:rsidR="00200CB2" w:rsidRPr="00EF75A4">
        <w:rPr>
          <w:rFonts w:cs="Times New Roman"/>
        </w:rPr>
        <w:t>y</w:t>
      </w:r>
      <w:r w:rsidR="002F3FDE" w:rsidRPr="00EF75A4">
        <w:rPr>
          <w:rFonts w:cs="Times New Roman"/>
        </w:rPr>
        <w:t xml:space="preserve"> based on the salicylate</w:t>
      </w:r>
      <w:r w:rsidR="00CE03C4" w:rsidRPr="00EF75A4">
        <w:rPr>
          <w:rFonts w:cs="Times New Roman"/>
        </w:rPr>
        <w:t>, hydrazine</w:t>
      </w:r>
      <w:r w:rsidR="00844169" w:rsidRPr="00EF75A4">
        <w:rPr>
          <w:rFonts w:cs="Times New Roman"/>
        </w:rPr>
        <w:t>, and</w:t>
      </w:r>
      <w:r w:rsidR="002F3FDE" w:rsidRPr="00EF75A4">
        <w:rPr>
          <w:rFonts w:cs="Times New Roman"/>
        </w:rPr>
        <w:t xml:space="preserve"> molybdate </w:t>
      </w:r>
      <w:r w:rsidR="009875EC" w:rsidRPr="00EF75A4">
        <w:rPr>
          <w:rFonts w:cs="Times New Roman"/>
        </w:rPr>
        <w:t>reactions</w:t>
      </w:r>
      <w:r w:rsidR="00CE03C4" w:rsidRPr="00EF75A4">
        <w:rPr>
          <w:rFonts w:cs="Times New Roman"/>
        </w:rPr>
        <w:t>, respectively</w:t>
      </w:r>
      <w:r w:rsidR="009875EC" w:rsidRPr="00EF75A4">
        <w:rPr>
          <w:rFonts w:cs="Times New Roman"/>
        </w:rPr>
        <w:t>. On the other hand</w:t>
      </w:r>
      <w:r w:rsidR="00863DC3" w:rsidRPr="00EF75A4">
        <w:rPr>
          <w:rFonts w:cs="Times New Roman"/>
        </w:rPr>
        <w:t>, the</w:t>
      </w:r>
      <w:r w:rsidR="000E742D" w:rsidRPr="00EF75A4">
        <w:rPr>
          <w:rFonts w:cs="Times New Roman"/>
        </w:rPr>
        <w:t xml:space="preserve"> concentrations of</w:t>
      </w:r>
      <w:r w:rsidR="003F4AE7" w:rsidRPr="00EF75A4">
        <w:rPr>
          <w:rFonts w:cs="Times New Roman"/>
        </w:rPr>
        <w:t xml:space="preserve"> WS</w:t>
      </w:r>
      <w:r w:rsidR="00A61FDB" w:rsidRPr="00EF75A4">
        <w:rPr>
          <w:rFonts w:cs="Times New Roman"/>
        </w:rPr>
        <w:t xml:space="preserve"> </w:t>
      </w:r>
      <w:r w:rsidR="00B01133" w:rsidRPr="00EF75A4">
        <w:rPr>
          <w:rFonts w:cs="Times New Roman"/>
        </w:rPr>
        <w:t>T</w:t>
      </w:r>
      <w:r w:rsidR="00A61FDB" w:rsidRPr="00EF75A4">
        <w:rPr>
          <w:rFonts w:cs="Times New Roman"/>
        </w:rPr>
        <w:t>N and</w:t>
      </w:r>
      <w:r w:rsidR="006A4C1A">
        <w:rPr>
          <w:rFonts w:cs="Times New Roman"/>
        </w:rPr>
        <w:t xml:space="preserve"> WS</w:t>
      </w:r>
      <w:r w:rsidR="00A61FDB" w:rsidRPr="00EF75A4">
        <w:rPr>
          <w:rFonts w:cs="Times New Roman"/>
        </w:rPr>
        <w:t xml:space="preserve"> </w:t>
      </w:r>
      <w:r w:rsidR="00B01133" w:rsidRPr="00EF75A4">
        <w:rPr>
          <w:rFonts w:cs="Times New Roman"/>
        </w:rPr>
        <w:t>T</w:t>
      </w:r>
      <w:r w:rsidR="00A61FDB" w:rsidRPr="00EF75A4">
        <w:rPr>
          <w:rFonts w:cs="Times New Roman"/>
        </w:rPr>
        <w:t>C</w:t>
      </w:r>
      <w:r w:rsidR="00863DC3" w:rsidRPr="00EF75A4">
        <w:rPr>
          <w:rFonts w:cs="Times New Roman"/>
        </w:rPr>
        <w:t xml:space="preserve"> </w:t>
      </w:r>
      <w:r w:rsidR="009875EC" w:rsidRPr="00EF75A4">
        <w:rPr>
          <w:rFonts w:cs="Times New Roman"/>
        </w:rPr>
        <w:t xml:space="preserve">were measured </w:t>
      </w:r>
      <w:r w:rsidR="00863DC3" w:rsidRPr="00EF75A4">
        <w:rPr>
          <w:rFonts w:cs="Times New Roman"/>
        </w:rPr>
        <w:t>with the TOC</w:t>
      </w:r>
      <w:r w:rsidR="003F4AE7" w:rsidRPr="00EF75A4">
        <w:rPr>
          <w:rFonts w:cs="Times New Roman"/>
        </w:rPr>
        <w:t>-L</w:t>
      </w:r>
      <w:r w:rsidR="00863DC3" w:rsidRPr="00EF75A4">
        <w:rPr>
          <w:rFonts w:cs="Times New Roman"/>
        </w:rPr>
        <w:t xml:space="preserve"> Shimadzu</w:t>
      </w:r>
      <w:r w:rsidR="009875EC" w:rsidRPr="00EF75A4">
        <w:rPr>
          <w:rFonts w:cs="Times New Roman"/>
        </w:rPr>
        <w:t xml:space="preserve"> via combustion of the sample and </w:t>
      </w:r>
      <w:r w:rsidR="000F22AA" w:rsidRPr="00EF75A4">
        <w:rPr>
          <w:rFonts w:cs="Times New Roman"/>
        </w:rPr>
        <w:t>detection</w:t>
      </w:r>
      <w:r w:rsidR="009875EC" w:rsidRPr="00EF75A4">
        <w:rPr>
          <w:rFonts w:cs="Times New Roman"/>
        </w:rPr>
        <w:t xml:space="preserve"> of CO</w:t>
      </w:r>
      <w:r w:rsidR="009875EC" w:rsidRPr="00EF75A4">
        <w:rPr>
          <w:rFonts w:cs="Times New Roman"/>
          <w:vertAlign w:val="subscript"/>
        </w:rPr>
        <w:t>2</w:t>
      </w:r>
      <w:r w:rsidR="009875EC" w:rsidRPr="00EF75A4">
        <w:rPr>
          <w:rFonts w:cs="Times New Roman"/>
        </w:rPr>
        <w:t xml:space="preserve"> and NO</w:t>
      </w:r>
      <w:r w:rsidR="0001124E" w:rsidRPr="00EF75A4">
        <w:rPr>
          <w:rFonts w:cs="Times New Roman"/>
        </w:rPr>
        <w:t xml:space="preserve"> gases</w:t>
      </w:r>
      <w:r w:rsidR="00A5475E">
        <w:rPr>
          <w:rFonts w:cs="Times New Roman"/>
        </w:rPr>
        <w:t>.</w:t>
      </w:r>
      <w:r w:rsidR="00457E55" w:rsidRPr="0018194F">
        <w:rPr>
          <w:rFonts w:cs="Times New Roman"/>
        </w:rPr>
        <w:t xml:space="preserve"> </w:t>
      </w:r>
      <w:r w:rsidR="00457E55" w:rsidRPr="00025060">
        <w:rPr>
          <w:rFonts w:cs="Times New Roman"/>
          <w:b/>
        </w:rPr>
        <w:t>The TC of all the samples</w:t>
      </w:r>
      <w:r w:rsidR="00025060" w:rsidRPr="00025060">
        <w:rPr>
          <w:rFonts w:cs="Times New Roman"/>
          <w:b/>
        </w:rPr>
        <w:t xml:space="preserve"> and the TN of the ashes</w:t>
      </w:r>
      <w:r w:rsidR="00457E55" w:rsidRPr="00025060">
        <w:rPr>
          <w:rFonts w:cs="Times New Roman"/>
          <w:b/>
        </w:rPr>
        <w:t xml:space="preserve"> (</w:t>
      </w:r>
      <w:r w:rsidR="00457E55" w:rsidRPr="00025060">
        <w:rPr>
          <w:rFonts w:cs="Times New Roman"/>
          <w:b/>
        </w:rPr>
        <w:fldChar w:fldCharType="begin"/>
      </w:r>
      <w:r w:rsidR="00457E55" w:rsidRPr="00025060">
        <w:rPr>
          <w:rFonts w:cs="Times New Roman"/>
          <w:b/>
        </w:rPr>
        <w:instrText xml:space="preserve"> REF _Ref44759336 \h  \* MERGEFORMAT </w:instrText>
      </w:r>
      <w:r w:rsidR="00457E55" w:rsidRPr="00025060">
        <w:rPr>
          <w:rFonts w:cs="Times New Roman"/>
          <w:b/>
        </w:rPr>
      </w:r>
      <w:r w:rsidR="00457E55" w:rsidRPr="00025060">
        <w:rPr>
          <w:rFonts w:cs="Times New Roman"/>
          <w:b/>
        </w:rPr>
        <w:fldChar w:fldCharType="separate"/>
      </w:r>
      <w:r w:rsidR="00457E55" w:rsidRPr="00025060">
        <w:rPr>
          <w:rFonts w:cs="Times New Roman"/>
          <w:b/>
        </w:rPr>
        <w:t xml:space="preserve">Table </w:t>
      </w:r>
      <w:r w:rsidR="00457E55" w:rsidRPr="00025060">
        <w:rPr>
          <w:rFonts w:cs="Times New Roman"/>
          <w:b/>
          <w:noProof/>
        </w:rPr>
        <w:t>3</w:t>
      </w:r>
      <w:r w:rsidR="00457E55" w:rsidRPr="00025060">
        <w:rPr>
          <w:rFonts w:cs="Times New Roman"/>
          <w:b/>
        </w:rPr>
        <w:fldChar w:fldCharType="end"/>
      </w:r>
      <w:r w:rsidR="00457E55" w:rsidRPr="00025060">
        <w:rPr>
          <w:rFonts w:cs="Times New Roman"/>
          <w:b/>
        </w:rPr>
        <w:t>)</w:t>
      </w:r>
      <w:r w:rsidR="00025060" w:rsidRPr="00025060">
        <w:rPr>
          <w:rFonts w:cs="Times New Roman"/>
          <w:b/>
        </w:rPr>
        <w:t xml:space="preserve"> were</w:t>
      </w:r>
      <w:r w:rsidR="00457E55" w:rsidRPr="00025060">
        <w:rPr>
          <w:rFonts w:cs="Times New Roman"/>
          <w:b/>
        </w:rPr>
        <w:t xml:space="preserve"> measured in the elemental analyser (Elementar vario EL cube) in dried and ground samples. For the digestates, it was considered that there was no losses of carbon during the drying at 105 ºC.</w:t>
      </w:r>
      <w:r w:rsidR="00DC7AE0">
        <w:rPr>
          <w:rFonts w:cs="Times New Roman"/>
          <w:b/>
        </w:rPr>
        <w:t xml:space="preserve"> The TN</w:t>
      </w:r>
      <w:r w:rsidR="00025060" w:rsidRPr="00025060">
        <w:rPr>
          <w:rFonts w:cs="Times New Roman"/>
          <w:b/>
        </w:rPr>
        <w:t xml:space="preserve"> of the digestates together with the total phosphorus (TP) of all the samples were determined by the NRM laboratory. The estimated expanded uncertainty calculated as per the NORTEST 537 method was 10% for th</w:t>
      </w:r>
      <w:r w:rsidR="00246A96">
        <w:rPr>
          <w:rFonts w:cs="Times New Roman"/>
          <w:b/>
        </w:rPr>
        <w:t>e values provided by NRM</w:t>
      </w:r>
      <w:r w:rsidR="00025060" w:rsidRPr="00025060">
        <w:rPr>
          <w:rFonts w:cs="Times New Roman"/>
          <w:b/>
        </w:rPr>
        <w:t>.</w:t>
      </w:r>
    </w:p>
    <w:p w14:paraId="33C7209E" w14:textId="19DD2979" w:rsidR="00B618BF" w:rsidRPr="00EF75A4" w:rsidRDefault="00B618BF" w:rsidP="00C807A3">
      <w:pPr>
        <w:spacing w:line="360" w:lineRule="auto"/>
        <w:rPr>
          <w:rFonts w:cs="Times New Roman"/>
        </w:rPr>
      </w:pPr>
      <w:r w:rsidRPr="00EF75A4">
        <w:rPr>
          <w:rFonts w:cs="Times New Roman"/>
        </w:rPr>
        <w:t xml:space="preserve">In order to </w:t>
      </w:r>
      <w:r w:rsidR="00EC5DC1" w:rsidRPr="00EF75A4">
        <w:rPr>
          <w:rFonts w:cs="Times New Roman"/>
        </w:rPr>
        <w:t>build the mass balance for the nitrogen</w:t>
      </w:r>
      <w:r w:rsidRPr="00EF75A4">
        <w:rPr>
          <w:rFonts w:cs="Times New Roman"/>
        </w:rPr>
        <w:t>, the theoretical TN of the blends at time zero (</w:t>
      </w:r>
      <w:r w:rsidR="001E3AF5" w:rsidRPr="001E3AF5">
        <w:rPr>
          <w:rFonts w:cs="Times New Roman"/>
        </w:rPr>
        <w:fldChar w:fldCharType="begin"/>
      </w:r>
      <w:r w:rsidR="001E3AF5" w:rsidRPr="005C3EAB">
        <w:rPr>
          <w:rFonts w:cs="Times New Roman"/>
        </w:rPr>
        <w:instrText xml:space="preserve"> REF _Ref44759336 \h  \* MERGEFORMAT </w:instrText>
      </w:r>
      <w:r w:rsidR="001E3AF5" w:rsidRPr="001E3AF5">
        <w:rPr>
          <w:rFonts w:cs="Times New Roman"/>
        </w:rPr>
      </w:r>
      <w:r w:rsidR="001E3AF5" w:rsidRPr="001E3AF5">
        <w:rPr>
          <w:rFonts w:cs="Times New Roman"/>
        </w:rPr>
        <w:fldChar w:fldCharType="separate"/>
      </w:r>
      <w:r w:rsidR="001E3AF5" w:rsidRPr="005C3EAB">
        <w:rPr>
          <w:rFonts w:cs="Times New Roman"/>
        </w:rPr>
        <w:t xml:space="preserve">Table </w:t>
      </w:r>
      <w:r w:rsidR="001E3AF5" w:rsidRPr="005C3EAB">
        <w:rPr>
          <w:rFonts w:cs="Times New Roman"/>
          <w:noProof/>
        </w:rPr>
        <w:t>3</w:t>
      </w:r>
      <w:r w:rsidR="001E3AF5" w:rsidRPr="001E3AF5">
        <w:rPr>
          <w:rFonts w:cs="Times New Roman"/>
        </w:rPr>
        <w:fldChar w:fldCharType="end"/>
      </w:r>
      <w:r w:rsidRPr="00EF75A4">
        <w:rPr>
          <w:rFonts w:cs="Times New Roman"/>
        </w:rPr>
        <w:fldChar w:fldCharType="begin"/>
      </w:r>
      <w:r w:rsidRPr="00EF75A4">
        <w:rPr>
          <w:rFonts w:cs="Times New Roman"/>
        </w:rPr>
        <w:instrText xml:space="preserve"> REF _Ref13331821 \h </w:instrText>
      </w:r>
      <w:r w:rsidR="00F91F3C" w:rsidRPr="00EF75A4">
        <w:rPr>
          <w:rFonts w:cs="Times New Roman"/>
        </w:rPr>
        <w:instrText xml:space="preserve"> \* MERGEFORMAT </w:instrText>
      </w:r>
      <w:r w:rsidRPr="00EF75A4">
        <w:rPr>
          <w:rFonts w:cs="Times New Roman"/>
        </w:rPr>
      </w:r>
      <w:r w:rsidRPr="00EF75A4">
        <w:rPr>
          <w:rFonts w:cs="Times New Roman"/>
        </w:rPr>
        <w:fldChar w:fldCharType="end"/>
      </w:r>
      <w:r w:rsidRPr="00EF75A4">
        <w:rPr>
          <w:rFonts w:cs="Times New Roman"/>
        </w:rPr>
        <w:t>) was divided into the TN of the blend (TN</w:t>
      </w:r>
      <w:r w:rsidRPr="00EF75A4">
        <w:rPr>
          <w:rFonts w:cs="Times New Roman"/>
          <w:vertAlign w:val="subscript"/>
        </w:rPr>
        <w:t>blend</w:t>
      </w:r>
      <w:r w:rsidRPr="00EF75A4">
        <w:rPr>
          <w:rFonts w:cs="Times New Roman"/>
        </w:rPr>
        <w:t>), ammonia nitrogen gas lost (NH</w:t>
      </w:r>
      <w:r w:rsidRPr="00EF75A4">
        <w:rPr>
          <w:rFonts w:cs="Times New Roman"/>
          <w:vertAlign w:val="subscript"/>
        </w:rPr>
        <w:t>3</w:t>
      </w:r>
      <w:r w:rsidRPr="00EF75A4">
        <w:rPr>
          <w:rFonts w:cs="Times New Roman"/>
        </w:rPr>
        <w:t>-N), and nitrous oxide nitrogen gas lost (N</w:t>
      </w:r>
      <w:r w:rsidRPr="00EF75A4">
        <w:rPr>
          <w:rFonts w:cs="Times New Roman"/>
          <w:vertAlign w:val="subscript"/>
        </w:rPr>
        <w:t>2</w:t>
      </w:r>
      <w:r w:rsidRPr="00EF75A4">
        <w:rPr>
          <w:rFonts w:cs="Times New Roman"/>
        </w:rPr>
        <w:t>O-N). Furthermore, the TN</w:t>
      </w:r>
      <w:r w:rsidRPr="00EF75A4">
        <w:rPr>
          <w:rFonts w:cs="Times New Roman"/>
          <w:vertAlign w:val="subscript"/>
        </w:rPr>
        <w:t>blend</w:t>
      </w:r>
      <w:r w:rsidRPr="00EF75A4">
        <w:rPr>
          <w:rFonts w:cs="Times New Roman"/>
        </w:rPr>
        <w:t xml:space="preserve"> was divided into</w:t>
      </w:r>
      <w:r w:rsidR="00474113" w:rsidRPr="00EF75A4">
        <w:rPr>
          <w:rFonts w:cs="Times New Roman"/>
        </w:rPr>
        <w:t xml:space="preserve"> water</w:t>
      </w:r>
      <w:r w:rsidR="00CE671F">
        <w:rPr>
          <w:rFonts w:cs="Times New Roman"/>
        </w:rPr>
        <w:t>-</w:t>
      </w:r>
      <w:r w:rsidR="00474113" w:rsidRPr="00EF75A4">
        <w:rPr>
          <w:rFonts w:cs="Times New Roman"/>
        </w:rPr>
        <w:t>insoluble</w:t>
      </w:r>
      <w:r w:rsidRPr="00EF75A4">
        <w:rPr>
          <w:rFonts w:cs="Times New Roman"/>
        </w:rPr>
        <w:t xml:space="preserve"> </w:t>
      </w:r>
      <w:r w:rsidR="00474113" w:rsidRPr="00EF75A4">
        <w:rPr>
          <w:rFonts w:cs="Times New Roman"/>
        </w:rPr>
        <w:t>(</w:t>
      </w:r>
      <w:r w:rsidRPr="00EF75A4">
        <w:rPr>
          <w:rFonts w:cs="Times New Roman"/>
        </w:rPr>
        <w:t>WI</w:t>
      </w:r>
      <w:r w:rsidR="00474113" w:rsidRPr="00EF75A4">
        <w:rPr>
          <w:rFonts w:cs="Times New Roman"/>
        </w:rPr>
        <w:t>)</w:t>
      </w:r>
      <w:r w:rsidRPr="00EF75A4">
        <w:rPr>
          <w:rFonts w:cs="Times New Roman"/>
        </w:rPr>
        <w:t xml:space="preserve"> </w:t>
      </w:r>
      <w:r w:rsidR="00A07B3C" w:rsidRPr="00EF75A4">
        <w:rPr>
          <w:rFonts w:cs="Times New Roman"/>
        </w:rPr>
        <w:t>T</w:t>
      </w:r>
      <w:r w:rsidRPr="00EF75A4">
        <w:rPr>
          <w:rFonts w:cs="Times New Roman"/>
        </w:rPr>
        <w:t xml:space="preserve">N and WS </w:t>
      </w:r>
      <w:r w:rsidR="00A07B3C" w:rsidRPr="00EF75A4">
        <w:rPr>
          <w:rFonts w:cs="Times New Roman"/>
        </w:rPr>
        <w:t>T</w:t>
      </w:r>
      <w:r w:rsidRPr="00EF75A4">
        <w:rPr>
          <w:rFonts w:cs="Times New Roman"/>
        </w:rPr>
        <w:t xml:space="preserve">N. It is important to highlight that although the WI </w:t>
      </w:r>
      <w:r w:rsidR="00173BBE">
        <w:rPr>
          <w:rFonts w:cs="Times New Roman"/>
        </w:rPr>
        <w:t>T</w:t>
      </w:r>
      <w:r w:rsidRPr="00EF75A4">
        <w:rPr>
          <w:rFonts w:cs="Times New Roman"/>
        </w:rPr>
        <w:t>N</w:t>
      </w:r>
      <w:r w:rsidR="00ED4883">
        <w:rPr>
          <w:rFonts w:cs="Times New Roman"/>
          <w:vertAlign w:val="subscript"/>
        </w:rPr>
        <w:t xml:space="preserve"> org</w:t>
      </w:r>
      <w:r w:rsidRPr="00EF75A4">
        <w:rPr>
          <w:rFonts w:cs="Times New Roman"/>
        </w:rPr>
        <w:t xml:space="preserve"> of the digestate</w:t>
      </w:r>
      <w:r w:rsidR="00CE14D1">
        <w:rPr>
          <w:rFonts w:cs="Times New Roman"/>
        </w:rPr>
        <w:t>s</w:t>
      </w:r>
      <w:r w:rsidRPr="00EF75A4">
        <w:rPr>
          <w:rFonts w:cs="Times New Roman"/>
        </w:rPr>
        <w:t xml:space="preserve"> </w:t>
      </w:r>
      <w:r w:rsidR="00E57FCD" w:rsidRPr="00EF75A4">
        <w:rPr>
          <w:rFonts w:cs="Times New Roman"/>
        </w:rPr>
        <w:t>present</w:t>
      </w:r>
      <w:r w:rsidR="00E57FCD">
        <w:rPr>
          <w:rFonts w:cs="Times New Roman"/>
        </w:rPr>
        <w:t>ed</w:t>
      </w:r>
      <w:r w:rsidR="00E57FCD" w:rsidRPr="00EF75A4">
        <w:rPr>
          <w:rFonts w:cs="Times New Roman"/>
        </w:rPr>
        <w:t xml:space="preserve"> </w:t>
      </w:r>
      <w:r w:rsidRPr="00EF75A4">
        <w:rPr>
          <w:rFonts w:cs="Times New Roman"/>
        </w:rPr>
        <w:t>different availability (i.e. d</w:t>
      </w:r>
      <w:r w:rsidR="00162D28">
        <w:rPr>
          <w:rFonts w:cs="Times New Roman"/>
        </w:rPr>
        <w:t>ifferent solubiliz</w:t>
      </w:r>
      <w:r w:rsidRPr="00EF75A4">
        <w:rPr>
          <w:rFonts w:cs="Times New Roman"/>
        </w:rPr>
        <w:t xml:space="preserve">ation rates) than the WI </w:t>
      </w:r>
      <w:r w:rsidR="00173BBE">
        <w:rPr>
          <w:rFonts w:cs="Times New Roman"/>
        </w:rPr>
        <w:t>T</w:t>
      </w:r>
      <w:r w:rsidRPr="00EF75A4">
        <w:rPr>
          <w:rFonts w:cs="Times New Roman"/>
        </w:rPr>
        <w:t xml:space="preserve">N of </w:t>
      </w:r>
      <w:r w:rsidRPr="00B30C97">
        <w:rPr>
          <w:rFonts w:cs="Times New Roman"/>
        </w:rPr>
        <w:t xml:space="preserve">the ashes, </w:t>
      </w:r>
      <w:r w:rsidR="00B92398" w:rsidRPr="00B30C97">
        <w:rPr>
          <w:rFonts w:cs="Times New Roman"/>
        </w:rPr>
        <w:t>this</w:t>
      </w:r>
      <w:r w:rsidR="00A6161F" w:rsidRPr="00B30C97">
        <w:rPr>
          <w:rFonts w:cs="Times New Roman"/>
        </w:rPr>
        <w:t xml:space="preserve"> distintion was</w:t>
      </w:r>
      <w:r w:rsidR="00B92398" w:rsidRPr="00B30C97">
        <w:rPr>
          <w:rFonts w:cs="Times New Roman"/>
        </w:rPr>
        <w:t xml:space="preserve"> not</w:t>
      </w:r>
      <w:r w:rsidR="00A6161F" w:rsidRPr="00B30C97">
        <w:rPr>
          <w:rFonts w:cs="Times New Roman"/>
        </w:rPr>
        <w:t xml:space="preserve"> considered in </w:t>
      </w:r>
      <w:r w:rsidR="009046CA" w:rsidRPr="00B30C97">
        <w:rPr>
          <w:rFonts w:cs="Times New Roman"/>
        </w:rPr>
        <w:t>the present</w:t>
      </w:r>
      <w:r w:rsidR="00A6161F" w:rsidRPr="00B30C97">
        <w:rPr>
          <w:rFonts w:cs="Times New Roman"/>
        </w:rPr>
        <w:t xml:space="preserve"> study</w:t>
      </w:r>
      <w:r w:rsidRPr="00B30C97">
        <w:rPr>
          <w:rFonts w:cs="Times New Roman"/>
        </w:rPr>
        <w:t>. With</w:t>
      </w:r>
      <w:r w:rsidRPr="00EF75A4">
        <w:rPr>
          <w:rFonts w:cs="Times New Roman"/>
        </w:rPr>
        <w:t xml:space="preserve"> regard to the WS </w:t>
      </w:r>
      <w:r w:rsidR="00A07B3C" w:rsidRPr="00EF75A4">
        <w:rPr>
          <w:rFonts w:cs="Times New Roman"/>
        </w:rPr>
        <w:t>T</w:t>
      </w:r>
      <w:r w:rsidRPr="00EF75A4">
        <w:rPr>
          <w:rFonts w:cs="Times New Roman"/>
        </w:rPr>
        <w:t>N, the following fractions were considered as the fate of the nitrogen in the WS extract:</w:t>
      </w:r>
      <w:r w:rsidR="00A5475E" w:rsidRPr="00A5475E">
        <w:rPr>
          <w:rFonts w:cs="Times New Roman"/>
        </w:rPr>
        <w:t xml:space="preserve"> </w:t>
      </w:r>
      <w:r w:rsidR="00A5475E" w:rsidRPr="00EF75A4">
        <w:rPr>
          <w:rFonts w:cs="Times New Roman"/>
        </w:rPr>
        <w:t>WS organic nitrogen</w:t>
      </w:r>
      <w:r w:rsidRPr="00EF75A4">
        <w:rPr>
          <w:rFonts w:cs="Times New Roman"/>
        </w:rPr>
        <w:t xml:space="preserve"> </w:t>
      </w:r>
      <w:r w:rsidR="00A5475E">
        <w:rPr>
          <w:rFonts w:cs="Times New Roman"/>
        </w:rPr>
        <w:t>(</w:t>
      </w:r>
      <w:r w:rsidRPr="00EF75A4">
        <w:rPr>
          <w:rFonts w:cs="Times New Roman"/>
        </w:rPr>
        <w:t>WS N</w:t>
      </w:r>
      <w:r w:rsidRPr="00EF75A4">
        <w:rPr>
          <w:rFonts w:cs="Times New Roman"/>
          <w:vertAlign w:val="subscript"/>
        </w:rPr>
        <w:t>org</w:t>
      </w:r>
      <w:r w:rsidR="00A5475E">
        <w:rPr>
          <w:rFonts w:cs="Times New Roman"/>
        </w:rPr>
        <w:t>),</w:t>
      </w:r>
      <w:r w:rsidRPr="00EF75A4">
        <w:rPr>
          <w:rFonts w:cs="Times New Roman"/>
        </w:rPr>
        <w:t xml:space="preserve"> ammoniacal nitrogen (</w:t>
      </w:r>
      <w:r w:rsidR="00A5475E">
        <w:rPr>
          <w:rFonts w:cs="Times New Roman"/>
        </w:rPr>
        <w:t xml:space="preserve">WS </w:t>
      </w:r>
      <w:r w:rsidRPr="00EF75A4">
        <w:rPr>
          <w:rFonts w:cs="Times New Roman"/>
        </w:rPr>
        <w:t>NH</w:t>
      </w:r>
      <w:r w:rsidRPr="00EF75A4">
        <w:rPr>
          <w:rFonts w:cs="Times New Roman"/>
          <w:vertAlign w:val="subscript"/>
        </w:rPr>
        <w:t>4</w:t>
      </w:r>
      <w:r w:rsidRPr="00EF75A4">
        <w:rPr>
          <w:rFonts w:cs="Times New Roman"/>
          <w:vertAlign w:val="superscript"/>
        </w:rPr>
        <w:t>+</w:t>
      </w:r>
      <w:r w:rsidRPr="00EF75A4">
        <w:rPr>
          <w:rFonts w:cs="Times New Roman"/>
        </w:rPr>
        <w:t>-N), and nitric nitrogen (</w:t>
      </w:r>
      <w:r w:rsidR="00A5475E">
        <w:rPr>
          <w:rFonts w:cs="Times New Roman"/>
        </w:rPr>
        <w:t xml:space="preserve">WS </w:t>
      </w:r>
      <w:r w:rsidRPr="00EF75A4">
        <w:rPr>
          <w:rFonts w:cs="Times New Roman"/>
        </w:rPr>
        <w:t>NO</w:t>
      </w:r>
      <w:r w:rsidRPr="00EF75A4">
        <w:rPr>
          <w:rFonts w:cs="Times New Roman"/>
          <w:vertAlign w:val="subscript"/>
        </w:rPr>
        <w:t>3</w:t>
      </w:r>
      <w:r w:rsidRPr="00EF75A4">
        <w:rPr>
          <w:rFonts w:cs="Times New Roman"/>
          <w:vertAlign w:val="superscript"/>
        </w:rPr>
        <w:t>-</w:t>
      </w:r>
      <w:r w:rsidRPr="00EF75A4">
        <w:rPr>
          <w:rFonts w:cs="Times New Roman"/>
        </w:rPr>
        <w:t>-N).</w:t>
      </w:r>
      <w:r w:rsidR="00634DFC" w:rsidRPr="00634DFC">
        <w:rPr>
          <w:rFonts w:cs="Times New Roman"/>
        </w:rPr>
        <w:t xml:space="preserve"> </w:t>
      </w:r>
      <w:r w:rsidR="00634DFC">
        <w:rPr>
          <w:rFonts w:cs="Times New Roman"/>
        </w:rPr>
        <w:t>T</w:t>
      </w:r>
      <w:r w:rsidR="00634DFC" w:rsidRPr="00EF75A4">
        <w:rPr>
          <w:rFonts w:cs="Times New Roman"/>
        </w:rPr>
        <w:t>he</w:t>
      </w:r>
      <w:r w:rsidR="002F0949">
        <w:rPr>
          <w:rFonts w:cs="Times New Roman"/>
        </w:rPr>
        <w:t xml:space="preserve"> </w:t>
      </w:r>
      <w:r w:rsidR="00634DFC" w:rsidRPr="00EF75A4">
        <w:rPr>
          <w:rFonts w:cs="Times New Roman"/>
        </w:rPr>
        <w:t>WS N</w:t>
      </w:r>
      <w:r w:rsidR="00634DFC" w:rsidRPr="00EF75A4">
        <w:rPr>
          <w:rFonts w:cs="Times New Roman"/>
          <w:vertAlign w:val="subscript"/>
        </w:rPr>
        <w:t>org</w:t>
      </w:r>
      <w:r w:rsidR="00634DFC" w:rsidRPr="00EF75A4">
        <w:rPr>
          <w:rFonts w:cs="Times New Roman"/>
        </w:rPr>
        <w:t xml:space="preserve"> was calculated as the difference between the WS TN and the sum of WS NH</w:t>
      </w:r>
      <w:r w:rsidR="00634DFC" w:rsidRPr="00EF75A4">
        <w:rPr>
          <w:rFonts w:cs="Times New Roman"/>
          <w:vertAlign w:val="subscript"/>
        </w:rPr>
        <w:t>4</w:t>
      </w:r>
      <w:r w:rsidR="00634DFC" w:rsidRPr="00EF75A4">
        <w:rPr>
          <w:rFonts w:cs="Times New Roman"/>
          <w:vertAlign w:val="superscript"/>
        </w:rPr>
        <w:t>+</w:t>
      </w:r>
      <w:r w:rsidR="00634DFC" w:rsidRPr="00EF75A4">
        <w:rPr>
          <w:rFonts w:cs="Times New Roman"/>
        </w:rPr>
        <w:t>-N and WS NO</w:t>
      </w:r>
      <w:r w:rsidR="00634DFC" w:rsidRPr="00EF75A4">
        <w:rPr>
          <w:rFonts w:cs="Times New Roman"/>
          <w:vertAlign w:val="subscript"/>
        </w:rPr>
        <w:t>3</w:t>
      </w:r>
      <w:r w:rsidR="00634DFC" w:rsidRPr="00EF75A4">
        <w:rPr>
          <w:rFonts w:cs="Times New Roman"/>
          <w:vertAlign w:val="superscript"/>
        </w:rPr>
        <w:t>-</w:t>
      </w:r>
      <w:r w:rsidR="00634DFC" w:rsidRPr="00EF75A4">
        <w:rPr>
          <w:rFonts w:cs="Times New Roman"/>
        </w:rPr>
        <w:t xml:space="preserve">-N </w:t>
      </w:r>
      <w:r w:rsidR="00634DFC" w:rsidRPr="00EF75A4">
        <w:rPr>
          <w:rFonts w:cs="Times New Roman"/>
        </w:rPr>
        <w:fldChar w:fldCharType="begin" w:fldLock="1"/>
      </w:r>
      <w:r w:rsidR="00BB33F9">
        <w:rPr>
          <w:rFonts w:cs="Times New Roman"/>
        </w:rPr>
        <w:instrText>ADDIN CSL_CITATION {"citationItems":[{"id":"ITEM-1","itemData":{"DOI":"10.2175/106143007x221454","ISSN":"1061-4303","PMID":"18605379","abstract":"The research objective was to assess dissolved organic nitrogen (DON) bioavailability in wastewater effluents from a pilot-scale nitrification plant and a laboratory-scale total nitrogen (TN) removal plant. The DON bioavailability was assessed using a 14-day bioassay protocol containing bacterial and algal inocula. Nitrogen species, dissolved organic carbon, chlorophyll a, and biomass (as total suspended solids and culturable cell counts) concentrations were measured to assess DON bioavailability. The results showed an increase in algal chlorophyll a concentration, with a concurrent increase in algal biomass over time; increased bacterial counts and a decrease in DON concentration over time; and increased carbon-to-nitrogen ratio at the end of the 14-day bioassay, indicating effluent DON bioavailability to algae and bacteria. Approximately 18 to 61% of the initial DON in low-total-nitrogen wastewater effluent (TN = 4 to 5 mg/L) sample was bioavailable. The results show that bacteria and algae uptake and release DON during their growth.","author":[{"dropping-particle":"","family":"Urgun-Demirtas","given":"Meltem","non-dropping-particle":"","parse-names":false,"suffix":""},{"dropping-particle":"","family":"Sattayatewa","given":"Chakkrid","non-dropping-particle":"","parse-names":false,"suffix":""},{"dropping-particle":"","family":"Pagilla","given":"Krishna R.","non-dropping-particle":"","parse-names":false,"suffix":""}],"container-title":"Water Environment Research","id":"ITEM-1","issue":"5","issued":{"date-parts":[["2008"]]},"page":"397-406","title":"Bioavailability of Dissolved Organic Nitrogen in Treated Effluents","type":"article-journal","volume":"80"},"uris":["http://www.mendeley.com/documents/?uuid=7cb5eb8e-3c45-4f0e-8ce5-12786168f8f4"]}],"mendeley":{"formattedCitation":"[35]","plainTextFormattedCitation":"[35]","previouslyFormattedCitation":"[35]"},"properties":{"noteIndex":0},"schema":"https://github.com/citation-style-language/schema/raw/master/csl-citation.json"}</w:instrText>
      </w:r>
      <w:r w:rsidR="00634DFC" w:rsidRPr="00EF75A4">
        <w:rPr>
          <w:rFonts w:cs="Times New Roman"/>
          <w:vertAlign w:val="superscript"/>
        </w:rPr>
        <w:fldChar w:fldCharType="separate"/>
      </w:r>
      <w:r w:rsidR="00D33723" w:rsidRPr="00D33723">
        <w:rPr>
          <w:rFonts w:cs="Times New Roman"/>
          <w:noProof/>
        </w:rPr>
        <w:t>[35]</w:t>
      </w:r>
      <w:r w:rsidR="00634DFC" w:rsidRPr="00EF75A4">
        <w:rPr>
          <w:rFonts w:cs="Times New Roman"/>
        </w:rPr>
        <w:fldChar w:fldCharType="end"/>
      </w:r>
      <w:r w:rsidR="00634DFC" w:rsidRPr="00EF75A4">
        <w:rPr>
          <w:rFonts w:cs="Times New Roman"/>
        </w:rPr>
        <w:t>.</w:t>
      </w:r>
      <w:r w:rsidRPr="00EF75A4">
        <w:rPr>
          <w:rFonts w:cs="Times New Roman"/>
        </w:rPr>
        <w:t xml:space="preserve"> It should be noted that the </w:t>
      </w:r>
      <w:r w:rsidR="00A5475E">
        <w:rPr>
          <w:rFonts w:cs="Times New Roman"/>
        </w:rPr>
        <w:t xml:space="preserve">WS </w:t>
      </w:r>
      <w:r w:rsidRPr="00EF75A4">
        <w:rPr>
          <w:rFonts w:cs="Times New Roman"/>
        </w:rPr>
        <w:t>NH</w:t>
      </w:r>
      <w:r w:rsidRPr="00EF75A4">
        <w:rPr>
          <w:rFonts w:cs="Times New Roman"/>
          <w:vertAlign w:val="subscript"/>
        </w:rPr>
        <w:t>4</w:t>
      </w:r>
      <w:r w:rsidRPr="00EF75A4">
        <w:rPr>
          <w:rFonts w:cs="Times New Roman"/>
          <w:vertAlign w:val="superscript"/>
        </w:rPr>
        <w:t>+</w:t>
      </w:r>
      <w:r w:rsidR="00AD76FE" w:rsidRPr="00EF75A4">
        <w:rPr>
          <w:rFonts w:cs="Times New Roman"/>
        </w:rPr>
        <w:t>-N represented</w:t>
      </w:r>
      <w:r w:rsidR="00E57FCD">
        <w:rPr>
          <w:rFonts w:cs="Times New Roman"/>
        </w:rPr>
        <w:t xml:space="preserve"> the nitrogen contained in</w:t>
      </w:r>
      <w:r w:rsidRPr="00EF75A4">
        <w:rPr>
          <w:rFonts w:cs="Times New Roman"/>
        </w:rPr>
        <w:t xml:space="preserve"> both </w:t>
      </w:r>
      <w:r w:rsidR="00AD76FE" w:rsidRPr="00EF75A4">
        <w:rPr>
          <w:rFonts w:cs="Times New Roman"/>
        </w:rPr>
        <w:t>aqueous species</w:t>
      </w:r>
      <w:r w:rsidR="008C63B9" w:rsidRPr="008C63B9">
        <w:rPr>
          <w:rFonts w:cs="Times New Roman"/>
        </w:rPr>
        <w:t xml:space="preserve"> </w:t>
      </w:r>
      <w:r w:rsidR="008C63B9" w:rsidRPr="00EF75A4">
        <w:rPr>
          <w:rFonts w:cs="Times New Roman"/>
        </w:rPr>
        <w:t>WS NH</w:t>
      </w:r>
      <w:r w:rsidR="008C63B9" w:rsidRPr="00EF75A4">
        <w:rPr>
          <w:rFonts w:cs="Times New Roman"/>
          <w:vertAlign w:val="subscript"/>
        </w:rPr>
        <w:t>4</w:t>
      </w:r>
      <w:r w:rsidR="008C63B9" w:rsidRPr="00EF75A4">
        <w:rPr>
          <w:rFonts w:cs="Times New Roman"/>
          <w:vertAlign w:val="superscript"/>
        </w:rPr>
        <w:t>+</w:t>
      </w:r>
      <w:r w:rsidR="008C63B9">
        <w:rPr>
          <w:rFonts w:cs="Times New Roman"/>
        </w:rPr>
        <w:t xml:space="preserve"> &amp; WS </w:t>
      </w:r>
      <w:r w:rsidR="008C63B9" w:rsidRPr="00EF75A4">
        <w:rPr>
          <w:rFonts w:cs="Times New Roman"/>
        </w:rPr>
        <w:t>NH</w:t>
      </w:r>
      <w:r w:rsidR="008C63B9" w:rsidRPr="00EF75A4">
        <w:rPr>
          <w:rFonts w:cs="Times New Roman"/>
          <w:vertAlign w:val="subscript"/>
        </w:rPr>
        <w:t>3</w:t>
      </w:r>
      <w:r w:rsidRPr="00EF75A4">
        <w:rPr>
          <w:rFonts w:cs="Times New Roman"/>
        </w:rPr>
        <w:t xml:space="preserve"> </w:t>
      </w:r>
      <w:r w:rsidR="008C63B9">
        <w:rPr>
          <w:rFonts w:cs="Times New Roman"/>
        </w:rPr>
        <w:t xml:space="preserve">(i.e. </w:t>
      </w:r>
      <w:r w:rsidRPr="00EF75A4">
        <w:rPr>
          <w:rFonts w:cs="Times New Roman"/>
        </w:rPr>
        <w:t>NH</w:t>
      </w:r>
      <w:r w:rsidRPr="00EF75A4">
        <w:rPr>
          <w:rFonts w:cs="Times New Roman"/>
          <w:vertAlign w:val="subscript"/>
        </w:rPr>
        <w:t>4</w:t>
      </w:r>
      <w:r w:rsidRPr="00EF75A4">
        <w:rPr>
          <w:rFonts w:cs="Times New Roman"/>
          <w:vertAlign w:val="superscript"/>
        </w:rPr>
        <w:t>+</w:t>
      </w:r>
      <w:r w:rsidRPr="00EF75A4">
        <w:rPr>
          <w:rFonts w:cs="Times New Roman"/>
          <w:vertAlign w:val="subscript"/>
        </w:rPr>
        <w:t>aq</w:t>
      </w:r>
      <w:r w:rsidRPr="00EF75A4">
        <w:rPr>
          <w:rFonts w:cs="Times New Roman"/>
        </w:rPr>
        <w:t xml:space="preserve"> and NH</w:t>
      </w:r>
      <w:r w:rsidR="00880107">
        <w:rPr>
          <w:rFonts w:cs="Times New Roman"/>
          <w:vertAlign w:val="subscript"/>
        </w:rPr>
        <w:t>3</w:t>
      </w:r>
      <w:r w:rsidR="00145169">
        <w:rPr>
          <w:rFonts w:cs="Times New Roman"/>
          <w:vertAlign w:val="subscript"/>
        </w:rPr>
        <w:t xml:space="preserve"> aq</w:t>
      </w:r>
      <w:r w:rsidR="008C63B9">
        <w:rPr>
          <w:rFonts w:cs="Times New Roman"/>
        </w:rPr>
        <w:t>),</w:t>
      </w:r>
      <w:r w:rsidRPr="00EF75A4">
        <w:rPr>
          <w:rFonts w:cs="Times New Roman"/>
        </w:rPr>
        <w:t xml:space="preserve"> while NH</w:t>
      </w:r>
      <w:r w:rsidRPr="00EF75A4">
        <w:rPr>
          <w:rFonts w:cs="Times New Roman"/>
          <w:vertAlign w:val="subscript"/>
        </w:rPr>
        <w:t>3</w:t>
      </w:r>
      <w:r w:rsidRPr="00EF75A4">
        <w:rPr>
          <w:rFonts w:cs="Times New Roman"/>
        </w:rPr>
        <w:t>-N st</w:t>
      </w:r>
      <w:r w:rsidR="00AD76FE" w:rsidRPr="00EF75A4">
        <w:rPr>
          <w:rFonts w:cs="Times New Roman"/>
        </w:rPr>
        <w:t>ood</w:t>
      </w:r>
      <w:r w:rsidRPr="00EF75A4">
        <w:rPr>
          <w:rFonts w:cs="Times New Roman"/>
        </w:rPr>
        <w:t xml:space="preserve"> for</w:t>
      </w:r>
      <w:r w:rsidR="00AD76FE" w:rsidRPr="00EF75A4">
        <w:rPr>
          <w:rFonts w:cs="Times New Roman"/>
        </w:rPr>
        <w:t xml:space="preserve"> the</w:t>
      </w:r>
      <w:r w:rsidR="00E57FCD">
        <w:rPr>
          <w:rFonts w:cs="Times New Roman"/>
        </w:rPr>
        <w:t xml:space="preserve"> ammoniacal nitrogen</w:t>
      </w:r>
      <w:r w:rsidR="00AD76FE" w:rsidRPr="00EF75A4">
        <w:rPr>
          <w:rFonts w:cs="Times New Roman"/>
        </w:rPr>
        <w:t xml:space="preserve"> gas form</w:t>
      </w:r>
      <w:r w:rsidRPr="00EF75A4">
        <w:rPr>
          <w:rFonts w:cs="Times New Roman"/>
        </w:rPr>
        <w:t xml:space="preserve"> </w:t>
      </w:r>
      <w:r w:rsidR="00AD76FE" w:rsidRPr="00EF75A4">
        <w:rPr>
          <w:rFonts w:cs="Times New Roman"/>
        </w:rPr>
        <w:t>(</w:t>
      </w:r>
      <w:r w:rsidRPr="00EF75A4">
        <w:rPr>
          <w:rFonts w:cs="Times New Roman"/>
        </w:rPr>
        <w:t>NH</w:t>
      </w:r>
      <w:r w:rsidRPr="00EF75A4">
        <w:rPr>
          <w:rFonts w:cs="Times New Roman"/>
          <w:vertAlign w:val="subscript"/>
        </w:rPr>
        <w:t>3 gas</w:t>
      </w:r>
      <w:r w:rsidR="00AD76FE" w:rsidRPr="00EF75A4">
        <w:rPr>
          <w:rFonts w:cs="Times New Roman"/>
        </w:rPr>
        <w:t>)</w:t>
      </w:r>
      <w:r w:rsidRPr="00EF75A4">
        <w:rPr>
          <w:rFonts w:cs="Times New Roman"/>
        </w:rPr>
        <w:t xml:space="preserve"> that has been lost b</w:t>
      </w:r>
      <w:r w:rsidR="00162D28">
        <w:rPr>
          <w:rFonts w:cs="Times New Roman"/>
        </w:rPr>
        <w:t>y volatiliz</w:t>
      </w:r>
      <w:r w:rsidRPr="00EF75A4">
        <w:rPr>
          <w:rFonts w:cs="Times New Roman"/>
        </w:rPr>
        <w:t>ation.</w:t>
      </w:r>
      <w:r w:rsidR="00FA50BA" w:rsidRPr="00FA50BA">
        <w:rPr>
          <w:rFonts w:cs="Times New Roman"/>
        </w:rPr>
        <w:t xml:space="preserve"> </w:t>
      </w:r>
      <w:r w:rsidR="00FA50BA" w:rsidRPr="00E95424">
        <w:rPr>
          <w:rFonts w:cs="Times New Roman"/>
          <w:b/>
        </w:rPr>
        <w:t>A widely used procedure is the calculation of the NH</w:t>
      </w:r>
      <w:r w:rsidR="00FA50BA" w:rsidRPr="00E95424">
        <w:rPr>
          <w:rFonts w:cs="Times New Roman"/>
          <w:b/>
          <w:vertAlign w:val="subscript"/>
        </w:rPr>
        <w:t>3</w:t>
      </w:r>
      <w:r w:rsidR="00B96B31">
        <w:rPr>
          <w:rFonts w:cs="Times New Roman"/>
          <w:b/>
          <w:vertAlign w:val="subscript"/>
        </w:rPr>
        <w:t xml:space="preserve"> aq</w:t>
      </w:r>
      <w:r w:rsidR="00162D28">
        <w:rPr>
          <w:rFonts w:cs="Times New Roman"/>
          <w:b/>
        </w:rPr>
        <w:t xml:space="preserve"> volatiliz</w:t>
      </w:r>
      <w:r w:rsidR="00FA50BA" w:rsidRPr="00E95424">
        <w:rPr>
          <w:rFonts w:cs="Times New Roman"/>
          <w:b/>
        </w:rPr>
        <w:t>ation based on the decrease of the concentration of NH</w:t>
      </w:r>
      <w:r w:rsidR="00FA50BA" w:rsidRPr="00E95424">
        <w:rPr>
          <w:rFonts w:cs="Times New Roman"/>
          <w:b/>
          <w:vertAlign w:val="subscript"/>
        </w:rPr>
        <w:t>4</w:t>
      </w:r>
      <w:r w:rsidR="00FA50BA" w:rsidRPr="00E95424">
        <w:rPr>
          <w:rFonts w:cs="Times New Roman"/>
          <w:b/>
          <w:vertAlign w:val="superscript"/>
        </w:rPr>
        <w:t>+</w:t>
      </w:r>
      <w:r w:rsidR="00FA50BA" w:rsidRPr="00E95424">
        <w:rPr>
          <w:rFonts w:cs="Times New Roman"/>
          <w:b/>
        </w:rPr>
        <w:t xml:space="preserve">-N in the </w:t>
      </w:r>
      <w:r w:rsidR="00A84292" w:rsidRPr="00E95424">
        <w:rPr>
          <w:rFonts w:cs="Times New Roman"/>
          <w:b/>
        </w:rPr>
        <w:t>digestate</w:t>
      </w:r>
      <w:r w:rsidR="00981923" w:rsidRPr="00E95424">
        <w:rPr>
          <w:rFonts w:cs="Times New Roman"/>
          <w:b/>
        </w:rPr>
        <w:t>s</w:t>
      </w:r>
      <w:r w:rsidR="00A84292" w:rsidRPr="00E95424">
        <w:rPr>
          <w:rFonts w:cs="Times New Roman"/>
          <w:b/>
        </w:rPr>
        <w:t xml:space="preserve"> </w:t>
      </w:r>
      <w:r w:rsidR="00FA50BA" w:rsidRPr="00E95424">
        <w:rPr>
          <w:rFonts w:cs="Times New Roman"/>
          <w:b/>
        </w:rPr>
        <w:fldChar w:fldCharType="begin" w:fldLock="1"/>
      </w:r>
      <w:r w:rsidR="00BB33F9">
        <w:rPr>
          <w:rFonts w:cs="Times New Roman"/>
          <w:b/>
        </w:rPr>
        <w:instrText>ADDIN CSL_CITATION {"citationItems":[{"id":"ITEM-1","itemData":{"DOI":"10.2134/jeq2008.0211","ISSN":"0047-2425","abstract":"Strong acid solutions have been widely used in acid traps to determine concentrations of ammonia in ambient air or exhaust air stream. A literature survey indicates the method has a long history and a wide variation in use. T rough a series of studies, this paper examines several factors including volume of the acid, depth of the acid, and airflow rate; that might affect the efficiency of sulfuric acid traps and recommends steps researchers and other users may take to ensure reliable results from this method. The results from these series of studies indicate: (i) an inverse relationship between the efficiency of the acid traps and the amount of ammonia to be trapped even when the capacity of the acid trap is excessively greater than the maximum theoretical stoichiometric capacity needed to dissolve all of the ammonia, (ii) for the same volume of acid, the efficiency of the acid trap increased with the acid depth but overall, the efficiency at any given acid depth decreased as the amount of ammonia through the trap increased, and (iii) at the two airflow rates examined in this study (0.5 and 1.0 L/ min) the efficiency of the acid traps decreased at similar rates as the concentration of ammonia in the sample air increased but the efficiency of the trap was signifi cantly higher at the lower airflow rate. To obtain reliable measurements from this method, therefore, multi-point calibrations within the entire range of target measurements is recommended to provide accurate corrections of the measurements. Copyright © 2009 by the American Society of Agronomy, Corp Science Society of America, and soil Science of America. All right reserved.","author":[{"dropping-particle":"","family":"Ndegwa","given":"P. M.","non-dropping-particle":"","parse-names":false,"suffix":""},{"dropping-particle":"","family":"Vaddella","given":"V. K.","non-dropping-particle":"","parse-names":false,"suffix":""},{"dropping-particle":"","family":"Hristov","given":"A. N.","non-dropping-particle":"","parse-names":false,"suffix":""},{"dropping-particle":"","family":"Joo","given":"H. S.","non-dropping-particle":"","parse-names":false,"suffix":""}],"container-title":"Journal of Environmental Quality","id":"ITEM-1","issue":"2","issued":{"date-parts":[["2009"]]},"page":"647-653","title":"Measuring Concentrations of Ammonia in Ambient Air or Exhaust Air Stream using Acid Traps","type":"article-journal","volume":"38"},"uris":["http://www.mendeley.com/documents/?uuid=a1b27c0a-cfb6-4407-8f29-78ffea2af302"]},{"id":"ITEM-2","itemData":{"DOI":"10.1016/j.wasman.2009.08.012","ISBN":"0956-053X","ISSN":"0956053X","PMID":"19781929","abstract":"Anaerobic digestion (AD) is becoming increasingly popular for treating organic waste. The methane produced can be burned to generate electricity and the digestate, which is high in mineral nitrogen, can be used as a fertiliser. In this paper we evaluate potential losses of ammonia via volatilisation from food waste anaerobic digestate using a closed chamber system equipped with a sulphuric acid trap. Ammonia losses represent a pollution source and, over long periods could reduce the agronomic value of the digestate. Observed ammonia losses from the experimental system were linear with time. A simple non-steady-state partitioning model was developed to represent the process. After calibration, the model was able to describe the behaviour of ammonia in the digestate and in the trap very well. The average rate of volatilisation was approximately 5.2gNm-2week-1. The model was used to extrapolate the findings of the laboratory study to a number of AD storage scenarios. The simulations highlight that open storage of digestate could result in significant losses of ammonia to the atmosphere. Losses are predicted to be relatively minor from covered facilities, particularly if depth to surface area ratio is high. ?? 2009 Elsevier Ltd.","author":[{"dropping-particle":"","family":"Whelan","given":"M. J.","non-dropping-particle":"","parse-names":false,"suffix":""},{"dropping-particle":"","family":"Everitt","given":"T.","non-dropping-particle":"","parse-names":false,"suffix":""},{"dropping-particle":"","family":"Villa","given":"R.","non-dropping-particle":"","parse-names":false,"suffix":""}],"container-title":"Waste Management","id":"ITEM-2","issue":"10","issued":{"date-parts":[["2010"]]},"page":"1808-1812","publisher":"Elsevier Ltd","title":"A mass transfer model of ammonia volatilisation from anaerobic digestate","type":"article-journal","volume":"30"},"uris":["http://www.mendeley.com/documents/?uuid=4c33747e-e572-4761-a5b4-aef68bc06313"]}],"mendeley":{"formattedCitation":"[36,37]","plainTextFormattedCitation":"[36,37]","previouslyFormattedCitation":"[36,37]"},"properties":{"noteIndex":0},"schema":"https://github.com/citation-style-language/schema/raw/master/csl-citation.json"}</w:instrText>
      </w:r>
      <w:r w:rsidR="00FA50BA" w:rsidRPr="00E95424">
        <w:rPr>
          <w:rFonts w:cs="Times New Roman"/>
          <w:b/>
        </w:rPr>
        <w:fldChar w:fldCharType="separate"/>
      </w:r>
      <w:r w:rsidR="00D33723" w:rsidRPr="00D33723">
        <w:rPr>
          <w:rFonts w:cs="Times New Roman"/>
          <w:noProof/>
        </w:rPr>
        <w:t>[36,37]</w:t>
      </w:r>
      <w:r w:rsidR="00FA50BA" w:rsidRPr="00E95424">
        <w:rPr>
          <w:rFonts w:cs="Times New Roman"/>
          <w:b/>
        </w:rPr>
        <w:fldChar w:fldCharType="end"/>
      </w:r>
      <w:r w:rsidR="00FA50BA">
        <w:rPr>
          <w:rFonts w:cs="Times New Roman"/>
        </w:rPr>
        <w:t>.</w:t>
      </w:r>
      <w:r w:rsidR="00FA50BA" w:rsidRPr="00EF75A4">
        <w:rPr>
          <w:rFonts w:cs="Times New Roman"/>
        </w:rPr>
        <w:t xml:space="preserve"> </w:t>
      </w:r>
      <w:r w:rsidR="00FA50BA">
        <w:rPr>
          <w:rFonts w:cs="Times New Roman"/>
        </w:rPr>
        <w:t xml:space="preserve">In </w:t>
      </w:r>
      <w:r w:rsidR="009046CA">
        <w:rPr>
          <w:rFonts w:cs="Times New Roman"/>
        </w:rPr>
        <w:t>the present</w:t>
      </w:r>
      <w:r w:rsidR="00FA50BA">
        <w:rPr>
          <w:rFonts w:cs="Times New Roman"/>
        </w:rPr>
        <w:t xml:space="preserve"> study,</w:t>
      </w:r>
      <w:r w:rsidRPr="00EF75A4">
        <w:rPr>
          <w:rFonts w:cs="Times New Roman"/>
        </w:rPr>
        <w:t xml:space="preserve"> </w:t>
      </w:r>
      <w:r w:rsidR="00FA50BA">
        <w:rPr>
          <w:rFonts w:cs="Times New Roman"/>
        </w:rPr>
        <w:t>t</w:t>
      </w:r>
      <w:r w:rsidRPr="00EF75A4">
        <w:rPr>
          <w:rFonts w:cs="Times New Roman"/>
        </w:rPr>
        <w:t>he increase in the formation of NH</w:t>
      </w:r>
      <w:r w:rsidRPr="00EF75A4">
        <w:rPr>
          <w:rFonts w:cs="Times New Roman"/>
          <w:vertAlign w:val="subscript"/>
        </w:rPr>
        <w:t>3 gas</w:t>
      </w:r>
      <w:r w:rsidRPr="00EF75A4">
        <w:rPr>
          <w:rFonts w:cs="Times New Roman"/>
        </w:rPr>
        <w:t xml:space="preserve"> </w:t>
      </w:r>
      <w:r w:rsidR="00434133" w:rsidRPr="00EF75A4">
        <w:rPr>
          <w:rFonts w:cs="Times New Roman"/>
        </w:rPr>
        <w:t xml:space="preserve">was </w:t>
      </w:r>
      <w:r w:rsidRPr="00EF75A4">
        <w:rPr>
          <w:rFonts w:cs="Times New Roman"/>
        </w:rPr>
        <w:t>account</w:t>
      </w:r>
      <w:r w:rsidR="00434133" w:rsidRPr="00EF75A4">
        <w:rPr>
          <w:rFonts w:cs="Times New Roman"/>
        </w:rPr>
        <w:t>ed</w:t>
      </w:r>
      <w:r w:rsidR="00222EC7" w:rsidRPr="00EF75A4">
        <w:rPr>
          <w:rFonts w:cs="Times New Roman"/>
        </w:rPr>
        <w:t xml:space="preserve"> for</w:t>
      </w:r>
      <w:r w:rsidRPr="00EF75A4">
        <w:rPr>
          <w:rFonts w:cs="Times New Roman"/>
        </w:rPr>
        <w:t xml:space="preserve"> the decrease in all t</w:t>
      </w:r>
      <w:r w:rsidR="00F629F0" w:rsidRPr="00EF75A4">
        <w:rPr>
          <w:rFonts w:cs="Times New Roman"/>
        </w:rPr>
        <w:t>he other forms of nitrogen</w:t>
      </w:r>
      <w:r w:rsidRPr="00EF75A4">
        <w:rPr>
          <w:rFonts w:cs="Times New Roman"/>
        </w:rPr>
        <w:t xml:space="preserve">, with the exception of </w:t>
      </w:r>
      <w:r w:rsidR="002F0949">
        <w:rPr>
          <w:rFonts w:cs="Times New Roman"/>
        </w:rPr>
        <w:t xml:space="preserve">WS </w:t>
      </w:r>
      <w:r w:rsidRPr="00EF75A4">
        <w:rPr>
          <w:rFonts w:cs="Times New Roman"/>
        </w:rPr>
        <w:t>NO</w:t>
      </w:r>
      <w:r w:rsidR="002F0949">
        <w:rPr>
          <w:rFonts w:cs="Times New Roman"/>
          <w:vertAlign w:val="subscript"/>
        </w:rPr>
        <w:t>3</w:t>
      </w:r>
      <w:r w:rsidRPr="00EF75A4">
        <w:rPr>
          <w:rFonts w:cs="Times New Roman"/>
          <w:vertAlign w:val="superscript"/>
        </w:rPr>
        <w:t>-</w:t>
      </w:r>
      <w:r w:rsidR="002F0949">
        <w:rPr>
          <w:rFonts w:cs="Times New Roman"/>
        </w:rPr>
        <w:t xml:space="preserve"> &amp; WS </w:t>
      </w:r>
      <w:r w:rsidRPr="00EF75A4">
        <w:rPr>
          <w:rFonts w:cs="Times New Roman"/>
        </w:rPr>
        <w:t>NO</w:t>
      </w:r>
      <w:r w:rsidR="002F0949">
        <w:rPr>
          <w:rFonts w:cs="Times New Roman"/>
          <w:vertAlign w:val="subscript"/>
        </w:rPr>
        <w:t>2</w:t>
      </w:r>
      <w:r w:rsidRPr="00EF75A4">
        <w:rPr>
          <w:rFonts w:cs="Times New Roman"/>
          <w:vertAlign w:val="superscript"/>
        </w:rPr>
        <w:t>-</w:t>
      </w:r>
      <w:r w:rsidRPr="00EF75A4">
        <w:rPr>
          <w:rFonts w:cs="Times New Roman"/>
        </w:rPr>
        <w:t xml:space="preserve">, </w:t>
      </w:r>
      <w:r w:rsidR="001C24DC" w:rsidRPr="00EF75A4">
        <w:rPr>
          <w:rFonts w:cs="Times New Roman"/>
        </w:rPr>
        <w:t>for which</w:t>
      </w:r>
      <w:r w:rsidR="00434133" w:rsidRPr="00EF75A4">
        <w:rPr>
          <w:rFonts w:cs="Times New Roman"/>
        </w:rPr>
        <w:t xml:space="preserve"> the decrease wa</w:t>
      </w:r>
      <w:r w:rsidRPr="00EF75A4">
        <w:rPr>
          <w:rFonts w:cs="Times New Roman"/>
        </w:rPr>
        <w:t>s expressed as an increase of the N</w:t>
      </w:r>
      <w:r w:rsidRPr="00EF75A4">
        <w:rPr>
          <w:rFonts w:cs="Times New Roman"/>
          <w:vertAlign w:val="subscript"/>
        </w:rPr>
        <w:t>2</w:t>
      </w:r>
      <w:r w:rsidRPr="00EF75A4">
        <w:rPr>
          <w:rFonts w:cs="Times New Roman"/>
        </w:rPr>
        <w:t>O</w:t>
      </w:r>
      <w:r w:rsidR="00ED4883" w:rsidRPr="00ED4883">
        <w:rPr>
          <w:rFonts w:cs="Times New Roman"/>
          <w:vertAlign w:val="subscript"/>
        </w:rPr>
        <w:t xml:space="preserve"> </w:t>
      </w:r>
      <w:r w:rsidR="00ED4883">
        <w:rPr>
          <w:rFonts w:cs="Times New Roman"/>
          <w:vertAlign w:val="subscript"/>
        </w:rPr>
        <w:t>gas</w:t>
      </w:r>
      <w:r w:rsidRPr="00EF75A4">
        <w:rPr>
          <w:rFonts w:cs="Times New Roman"/>
        </w:rPr>
        <w:t>.</w:t>
      </w:r>
      <w:r w:rsidR="00C72A66">
        <w:rPr>
          <w:rFonts w:cs="Times New Roman"/>
        </w:rPr>
        <w:t xml:space="preserve"> </w:t>
      </w:r>
      <w:r w:rsidR="00FA50BA">
        <w:rPr>
          <w:rFonts w:cs="Times New Roman"/>
        </w:rPr>
        <w:t xml:space="preserve">In this way, </w:t>
      </w:r>
      <w:r w:rsidR="00C72A66">
        <w:rPr>
          <w:rFonts w:cs="Times New Roman"/>
        </w:rPr>
        <w:t>t</w:t>
      </w:r>
      <w:r w:rsidR="00932384" w:rsidRPr="00EF75A4">
        <w:rPr>
          <w:rFonts w:cs="Times New Roman"/>
        </w:rPr>
        <w:t xml:space="preserve">he rate of </w:t>
      </w:r>
      <w:r w:rsidR="004B4DE3" w:rsidRPr="00EF75A4">
        <w:rPr>
          <w:rFonts w:cs="Times New Roman"/>
        </w:rPr>
        <w:lastRenderedPageBreak/>
        <w:t>formation</w:t>
      </w:r>
      <w:r w:rsidR="00932384" w:rsidRPr="00EF75A4">
        <w:rPr>
          <w:rFonts w:cs="Times New Roman"/>
        </w:rPr>
        <w:t xml:space="preserve"> of NH</w:t>
      </w:r>
      <w:r w:rsidR="00932384" w:rsidRPr="00EF75A4">
        <w:rPr>
          <w:rFonts w:cs="Times New Roman"/>
          <w:vertAlign w:val="subscript"/>
        </w:rPr>
        <w:t>3</w:t>
      </w:r>
      <w:r w:rsidR="00692851">
        <w:rPr>
          <w:rFonts w:cs="Times New Roman"/>
        </w:rPr>
        <w:t>-</w:t>
      </w:r>
      <w:r w:rsidR="00932384" w:rsidRPr="00EF75A4">
        <w:rPr>
          <w:rFonts w:cs="Times New Roman"/>
        </w:rPr>
        <w:t>N during the incubation of the samples was calculated based on reduction of the TN</w:t>
      </w:r>
      <w:r w:rsidR="00932384" w:rsidRPr="00EF75A4">
        <w:rPr>
          <w:rFonts w:cs="Times New Roman"/>
          <w:vertAlign w:val="subscript"/>
        </w:rPr>
        <w:t>blend</w:t>
      </w:r>
      <w:r w:rsidR="00932384" w:rsidRPr="00EF75A4">
        <w:rPr>
          <w:rFonts w:cs="Times New Roman"/>
        </w:rPr>
        <w:t xml:space="preserve"> for both blends, since the variation in the concentration of the NH</w:t>
      </w:r>
      <w:r w:rsidR="00932384" w:rsidRPr="00EF75A4">
        <w:rPr>
          <w:rFonts w:cs="Times New Roman"/>
          <w:vertAlign w:val="subscript"/>
        </w:rPr>
        <w:t>4</w:t>
      </w:r>
      <w:r w:rsidR="00932384" w:rsidRPr="00EF75A4">
        <w:rPr>
          <w:rFonts w:cs="Times New Roman"/>
          <w:vertAlign w:val="superscript"/>
        </w:rPr>
        <w:t>+</w:t>
      </w:r>
      <w:r w:rsidR="001C24DC" w:rsidRPr="00EF75A4">
        <w:rPr>
          <w:rFonts w:cs="Times New Roman"/>
        </w:rPr>
        <w:t>-N wa</w:t>
      </w:r>
      <w:r w:rsidR="00932384" w:rsidRPr="00EF75A4">
        <w:rPr>
          <w:rFonts w:cs="Times New Roman"/>
        </w:rPr>
        <w:t>s not representative</w:t>
      </w:r>
      <w:r w:rsidR="00AD0E78">
        <w:rPr>
          <w:rFonts w:cs="Times New Roman"/>
        </w:rPr>
        <w:t xml:space="preserve"> of the </w:t>
      </w:r>
      <w:r w:rsidR="00ED4883">
        <w:rPr>
          <w:rFonts w:cs="Times New Roman"/>
        </w:rPr>
        <w:t>nitrogen</w:t>
      </w:r>
      <w:r w:rsidR="00AD0E78">
        <w:rPr>
          <w:rFonts w:cs="Times New Roman"/>
        </w:rPr>
        <w:t xml:space="preserve"> lost because of the</w:t>
      </w:r>
      <w:r w:rsidR="00932384" w:rsidRPr="00EF75A4">
        <w:rPr>
          <w:rFonts w:cs="Times New Roman"/>
        </w:rPr>
        <w:t xml:space="preserve"> pool</w:t>
      </w:r>
      <w:r w:rsidR="00AD0E78">
        <w:rPr>
          <w:rFonts w:cs="Times New Roman"/>
        </w:rPr>
        <w:t xml:space="preserve"> of both WS</w:t>
      </w:r>
      <w:r w:rsidR="00CC4ED9">
        <w:rPr>
          <w:rFonts w:cs="Times New Roman"/>
        </w:rPr>
        <w:t xml:space="preserve"> </w:t>
      </w:r>
      <w:r w:rsidR="00CC4ED9" w:rsidRPr="00EF75A4">
        <w:rPr>
          <w:rFonts w:cs="Times New Roman"/>
        </w:rPr>
        <w:t>N</w:t>
      </w:r>
      <w:r w:rsidR="00CC4ED9" w:rsidRPr="00EF75A4">
        <w:rPr>
          <w:rFonts w:cs="Times New Roman"/>
          <w:vertAlign w:val="subscript"/>
        </w:rPr>
        <w:t>org</w:t>
      </w:r>
      <w:r w:rsidR="00AD0E78">
        <w:rPr>
          <w:rFonts w:cs="Times New Roman"/>
        </w:rPr>
        <w:t xml:space="preserve"> and WI </w:t>
      </w:r>
      <w:r w:rsidR="00AD0E78" w:rsidRPr="00EF75A4">
        <w:rPr>
          <w:rFonts w:cs="Times New Roman"/>
        </w:rPr>
        <w:t>N</w:t>
      </w:r>
      <w:r w:rsidR="00AD0E78" w:rsidRPr="00EF75A4">
        <w:rPr>
          <w:rFonts w:cs="Times New Roman"/>
          <w:vertAlign w:val="subscript"/>
        </w:rPr>
        <w:t>org</w:t>
      </w:r>
      <w:r w:rsidR="00932384" w:rsidRPr="00EF75A4">
        <w:rPr>
          <w:rFonts w:cs="Times New Roman"/>
        </w:rPr>
        <w:t>.</w:t>
      </w:r>
      <w:r w:rsidR="00FA50BA">
        <w:rPr>
          <w:rFonts w:cs="Times New Roman"/>
        </w:rPr>
        <w:t xml:space="preserve"> </w:t>
      </w:r>
      <w:r w:rsidR="00FA50BA" w:rsidRPr="00E95424">
        <w:rPr>
          <w:rFonts w:cs="Times New Roman"/>
          <w:b/>
        </w:rPr>
        <w:t xml:space="preserve">The approach of Ukwuani and Tao </w:t>
      </w:r>
      <w:r w:rsidR="00FA50BA" w:rsidRPr="00E95424">
        <w:rPr>
          <w:rFonts w:cs="Times New Roman"/>
          <w:b/>
        </w:rPr>
        <w:fldChar w:fldCharType="begin" w:fldLock="1"/>
      </w:r>
      <w:r w:rsidR="00BB33F9">
        <w:rPr>
          <w:rFonts w:cs="Times New Roman"/>
          <w:b/>
        </w:rPr>
        <w:instrText>ADDIN CSL_CITATION {"citationItems":[{"id":"ITEM-1","itemData":{"DOI":"10.1016/j.watres.2016.09.054","ISSN":"18792448","abstract":"To prevent acetoclastic methanogens from ammonia inhibition in anaerobic digestion of protein-rich substrates, ammonia needs to be removed or recovered from digestate. This paper presents an innovative ammonia recovery process that couples vacuum thermal stripping with acid absorption. Ammonia is stripped out of digestate boiling at a temperature below the normal boiling point due to vacuum. Stripped ammonia is absorbed to a sulfuric acid solution, forming ammonium sulfate crystals as a marketable product. Three common types of digestate were found to have boiling point temperature-vacuum curves similar to water. Seven combinations of boiling temperature and vacuum (50 °C 16.6 kPa, 58 °C 20.0 kPa, 65 °C 25.1 kPa, 70 °C 33.6 kPa, 80 °C 54.0 kPa, 90 °C 74.2 kPa, and 100 °C 101.3 kPa) were tested for batch stripping of ammonia in dairy manure digestate. 93.3–99.9% of ammonia was stripped in 3 h. The Lewis-Whitman model fitted ammonia stripping process well. Ammonia mass transfer coefficient was significantly higher at boiling temperature 65–100 °C and vacuum pressure 25.1–101.3 kPa than 50–58 °C and 16.6–20.0 kPa. The low ammonia saturation concentrations (0–24 mg N/L) suggested a large driving force to strip ammonia. The optimum boiling point temperature – vacuum pressure for ammonia recovery in a recirculation line of a mesophilic digester was 65 °C and 25.1 kPa, at which the ammonia mass transfer coefficient was as high as 37.3 mm/h. Installation of a demister and liquid trap could avoid negative effects of higher stripping temperature and stronger vacuum on formation of ammonium sulfate crystals. Pilot tests demonstrated that high-purity ammonium sulfate crystals could be produced by controlling sulfuric acid content and maintaining acid solution saturated with ammonium sulfate. Although volatile organic compounds such as cyclohexene were found in the final acid solutions, no volatile organic compounds were found in the recovered crystals.","author":[{"dropping-particle":"","family":"Ukwuani","given":"Anayo T.","non-dropping-particle":"","parse-names":false,"suffix":""},{"dropping-particle":"","family":"Tao","given":"Wendong","non-dropping-particle":"","parse-names":false,"suffix":""}],"container-title":"Water Research","id":"ITEM-1","issued":{"date-parts":[["2016"]]},"page":"108-115","publisher":"Elsevier Ltd","title":"Developing a vacuum thermal stripping – acid absorption process for ammonia recovery from anaerobic digester effluent","type":"article-journal","volume":"106"},"uris":["http://www.mendeley.com/documents/?uuid=fc6168fc-9dd1-4b8a-a0f6-88e62fd6319a"]}],"mendeley":{"formattedCitation":"[38]","plainTextFormattedCitation":"[38]","previouslyFormattedCitation":"[38]"},"properties":{"noteIndex":0},"schema":"https://github.com/citation-style-language/schema/raw/master/csl-citation.json"}</w:instrText>
      </w:r>
      <w:r w:rsidR="00FA50BA" w:rsidRPr="00E95424">
        <w:rPr>
          <w:rFonts w:cs="Times New Roman"/>
          <w:b/>
        </w:rPr>
        <w:fldChar w:fldCharType="separate"/>
      </w:r>
      <w:r w:rsidR="00D33723" w:rsidRPr="00D33723">
        <w:rPr>
          <w:rFonts w:cs="Times New Roman"/>
          <w:noProof/>
        </w:rPr>
        <w:t>[38]</w:t>
      </w:r>
      <w:r w:rsidR="00FA50BA" w:rsidRPr="00E95424">
        <w:rPr>
          <w:rFonts w:cs="Times New Roman"/>
          <w:b/>
        </w:rPr>
        <w:fldChar w:fldCharType="end"/>
      </w:r>
      <w:r w:rsidR="00FA50BA" w:rsidRPr="00E95424">
        <w:rPr>
          <w:rFonts w:cs="Times New Roman"/>
          <w:b/>
        </w:rPr>
        <w:t xml:space="preserve"> to this problem was to begin the calculation of the NH</w:t>
      </w:r>
      <w:r w:rsidR="00FA50BA" w:rsidRPr="00E95424">
        <w:rPr>
          <w:rFonts w:cs="Times New Roman"/>
          <w:b/>
          <w:vertAlign w:val="subscript"/>
        </w:rPr>
        <w:t>3</w:t>
      </w:r>
      <w:r w:rsidR="00B62C32">
        <w:rPr>
          <w:rFonts w:cs="Times New Roman"/>
          <w:b/>
        </w:rPr>
        <w:t>-N volatiliz</w:t>
      </w:r>
      <w:r w:rsidR="00FA50BA" w:rsidRPr="00E95424">
        <w:rPr>
          <w:rFonts w:cs="Times New Roman"/>
          <w:b/>
        </w:rPr>
        <w:t>ed once the WS NH</w:t>
      </w:r>
      <w:r w:rsidR="00FA50BA" w:rsidRPr="00E95424">
        <w:rPr>
          <w:rFonts w:cs="Times New Roman"/>
          <w:b/>
          <w:vertAlign w:val="subscript"/>
        </w:rPr>
        <w:t>4</w:t>
      </w:r>
      <w:r w:rsidR="00FA50BA" w:rsidRPr="00E95424">
        <w:rPr>
          <w:rFonts w:cs="Times New Roman"/>
          <w:b/>
          <w:vertAlign w:val="superscript"/>
        </w:rPr>
        <w:t>+</w:t>
      </w:r>
      <w:r w:rsidR="00FA50BA" w:rsidRPr="00E95424">
        <w:rPr>
          <w:rFonts w:cs="Times New Roman"/>
          <w:b/>
        </w:rPr>
        <w:t>-N has started to decrease. In their study about the development of a vaccum thermal stripping up, the WS NH</w:t>
      </w:r>
      <w:r w:rsidR="00FA50BA" w:rsidRPr="00E95424">
        <w:rPr>
          <w:rFonts w:cs="Times New Roman"/>
          <w:b/>
          <w:vertAlign w:val="subscript"/>
        </w:rPr>
        <w:t>4</w:t>
      </w:r>
      <w:r w:rsidR="00FA50BA" w:rsidRPr="00E95424">
        <w:rPr>
          <w:rFonts w:cs="Times New Roman"/>
          <w:b/>
          <w:vertAlign w:val="superscript"/>
        </w:rPr>
        <w:t>+</w:t>
      </w:r>
      <w:r w:rsidR="00FA50BA" w:rsidRPr="00E95424">
        <w:rPr>
          <w:rFonts w:cs="Times New Roman"/>
          <w:b/>
        </w:rPr>
        <w:t xml:space="preserve">-N increased during </w:t>
      </w:r>
      <w:r w:rsidR="00E95424">
        <w:rPr>
          <w:rFonts w:cs="Times New Roman"/>
          <w:b/>
        </w:rPr>
        <w:t xml:space="preserve">the first hour of heating up </w:t>
      </w:r>
      <w:r w:rsidR="00FA50BA" w:rsidRPr="00E95424">
        <w:rPr>
          <w:rFonts w:cs="Times New Roman"/>
          <w:b/>
        </w:rPr>
        <w:t>the digestates and the content of the WS NH</w:t>
      </w:r>
      <w:r w:rsidR="00FA50BA" w:rsidRPr="00E95424">
        <w:rPr>
          <w:rFonts w:cs="Times New Roman"/>
          <w:b/>
          <w:vertAlign w:val="subscript"/>
        </w:rPr>
        <w:t>4</w:t>
      </w:r>
      <w:r w:rsidR="00FA50BA" w:rsidRPr="00E95424">
        <w:rPr>
          <w:rFonts w:cs="Times New Roman"/>
          <w:b/>
          <w:vertAlign w:val="superscript"/>
        </w:rPr>
        <w:t>+</w:t>
      </w:r>
      <w:r w:rsidR="00FA50BA" w:rsidRPr="00E95424">
        <w:rPr>
          <w:rFonts w:cs="Times New Roman"/>
          <w:b/>
        </w:rPr>
        <w:t>-N started to decrease progressively once reached the desired temperature for the next 4 hours which lasted the for ammonia stripping.</w:t>
      </w:r>
    </w:p>
    <w:p w14:paraId="6374838D" w14:textId="10F62585" w:rsidR="00EF75A4" w:rsidRPr="00EF75A4" w:rsidRDefault="00730071" w:rsidP="00C807A3">
      <w:pPr>
        <w:spacing w:line="360" w:lineRule="auto"/>
        <w:rPr>
          <w:rFonts w:cs="Times New Roman"/>
        </w:rPr>
      </w:pPr>
      <w:r w:rsidRPr="00EF75A4">
        <w:rPr>
          <w:rFonts w:cs="Times New Roman"/>
        </w:rPr>
        <w:t>Whether the</w:t>
      </w:r>
      <w:r w:rsidR="00B618BF" w:rsidRPr="00EF75A4">
        <w:rPr>
          <w:rFonts w:cs="Times New Roman"/>
        </w:rPr>
        <w:t xml:space="preserve"> experimental</w:t>
      </w:r>
      <w:r w:rsidRPr="00EF75A4">
        <w:rPr>
          <w:rFonts w:cs="Times New Roman"/>
        </w:rPr>
        <w:t xml:space="preserve"> results were </w:t>
      </w:r>
      <w:r w:rsidRPr="00463B39">
        <w:rPr>
          <w:rFonts w:cs="Times New Roman"/>
        </w:rPr>
        <w:t xml:space="preserve">referred to the </w:t>
      </w:r>
      <w:r w:rsidR="00926330" w:rsidRPr="00463B39">
        <w:rPr>
          <w:rFonts w:cs="Times New Roman"/>
        </w:rPr>
        <w:t xml:space="preserve">S:E ratio 1:10 </w:t>
      </w:r>
      <w:r w:rsidR="00913928" w:rsidRPr="00463B39">
        <w:rPr>
          <w:rFonts w:cs="Times New Roman"/>
        </w:rPr>
        <w:t>WS</w:t>
      </w:r>
      <w:r w:rsidR="00E5761C" w:rsidRPr="00EF75A4">
        <w:rPr>
          <w:rFonts w:cs="Times New Roman"/>
        </w:rPr>
        <w:t xml:space="preserve"> extract</w:t>
      </w:r>
      <w:r w:rsidRPr="00EF75A4">
        <w:rPr>
          <w:rFonts w:cs="Times New Roman"/>
        </w:rPr>
        <w:t xml:space="preserve"> (</w:t>
      </w:r>
      <w:r w:rsidR="00C53816">
        <w:rPr>
          <w:rFonts w:cs="Times New Roman"/>
        </w:rPr>
        <w:t>i.e. no units for</w:t>
      </w:r>
      <w:r w:rsidR="00E5761C" w:rsidRPr="00EF75A4">
        <w:rPr>
          <w:rFonts w:cs="Times New Roman"/>
        </w:rPr>
        <w:t xml:space="preserve"> </w:t>
      </w:r>
      <w:r w:rsidRPr="00EF75A4">
        <w:rPr>
          <w:rFonts w:cs="Times New Roman"/>
        </w:rPr>
        <w:t>pH and</w:t>
      </w:r>
      <w:r w:rsidR="00E5761C" w:rsidRPr="00EF75A4">
        <w:rPr>
          <w:rFonts w:cs="Times New Roman"/>
        </w:rPr>
        <w:t xml:space="preserve"> dS/m for</w:t>
      </w:r>
      <w:r w:rsidRPr="00EF75A4">
        <w:rPr>
          <w:rFonts w:cs="Times New Roman"/>
        </w:rPr>
        <w:t xml:space="preserve"> EC) or were expressed in terms of the fresh base (</w:t>
      </w:r>
      <w:r w:rsidR="00E5761C" w:rsidRPr="00EF75A4">
        <w:rPr>
          <w:rFonts w:cs="Times New Roman"/>
        </w:rPr>
        <w:t xml:space="preserve">i.e. mg of </w:t>
      </w:r>
      <w:r w:rsidRPr="00EF75A4">
        <w:rPr>
          <w:rFonts w:cs="Times New Roman"/>
        </w:rPr>
        <w:t>WS NH</w:t>
      </w:r>
      <w:r w:rsidRPr="00EF75A4">
        <w:rPr>
          <w:rFonts w:cs="Times New Roman"/>
          <w:vertAlign w:val="subscript"/>
        </w:rPr>
        <w:t>4</w:t>
      </w:r>
      <w:r w:rsidRPr="00EF75A4">
        <w:rPr>
          <w:rFonts w:cs="Times New Roman"/>
          <w:vertAlign w:val="superscript"/>
        </w:rPr>
        <w:t>+</w:t>
      </w:r>
      <w:r w:rsidR="007F0023">
        <w:rPr>
          <w:rFonts w:cs="Times New Roman"/>
        </w:rPr>
        <w:t xml:space="preserve"> &amp;</w:t>
      </w:r>
      <w:r w:rsidR="00AD0E78">
        <w:rPr>
          <w:rFonts w:cs="Times New Roman"/>
        </w:rPr>
        <w:t xml:space="preserve"> WS</w:t>
      </w:r>
      <w:r w:rsidR="007F0023">
        <w:rPr>
          <w:rFonts w:cs="Times New Roman"/>
        </w:rPr>
        <w:t xml:space="preserve"> </w:t>
      </w:r>
      <w:r w:rsidRPr="00EF75A4">
        <w:rPr>
          <w:rFonts w:cs="Times New Roman"/>
        </w:rPr>
        <w:t>NH</w:t>
      </w:r>
      <w:r w:rsidRPr="00EF75A4">
        <w:rPr>
          <w:rFonts w:cs="Times New Roman"/>
          <w:vertAlign w:val="subscript"/>
        </w:rPr>
        <w:t>3</w:t>
      </w:r>
      <w:r w:rsidRPr="00EF75A4">
        <w:rPr>
          <w:rFonts w:cs="Times New Roman"/>
        </w:rPr>
        <w:t xml:space="preserve">, </w:t>
      </w:r>
      <w:r w:rsidR="00E5761C" w:rsidRPr="00EF75A4">
        <w:rPr>
          <w:rFonts w:cs="Times New Roman"/>
        </w:rPr>
        <w:t xml:space="preserve">WS </w:t>
      </w:r>
      <w:r w:rsidRPr="00EF75A4">
        <w:rPr>
          <w:rFonts w:cs="Times New Roman"/>
        </w:rPr>
        <w:t>NO</w:t>
      </w:r>
      <w:r w:rsidRPr="00EF75A4">
        <w:rPr>
          <w:rFonts w:cs="Times New Roman"/>
          <w:vertAlign w:val="subscript"/>
        </w:rPr>
        <w:t>3</w:t>
      </w:r>
      <w:r w:rsidRPr="00EF75A4">
        <w:rPr>
          <w:rFonts w:cs="Times New Roman"/>
          <w:vertAlign w:val="superscript"/>
        </w:rPr>
        <w:t>-</w:t>
      </w:r>
      <w:r w:rsidR="00AD0E78">
        <w:rPr>
          <w:rFonts w:cs="Times New Roman"/>
        </w:rPr>
        <w:t xml:space="preserve"> &amp; WS </w:t>
      </w:r>
      <w:r w:rsidRPr="00EF75A4">
        <w:rPr>
          <w:rFonts w:cs="Times New Roman"/>
        </w:rPr>
        <w:t>NO</w:t>
      </w:r>
      <w:r w:rsidRPr="00EF75A4">
        <w:rPr>
          <w:rFonts w:cs="Times New Roman"/>
          <w:vertAlign w:val="subscript"/>
        </w:rPr>
        <w:t>2</w:t>
      </w:r>
      <w:r w:rsidRPr="00EF75A4">
        <w:rPr>
          <w:rFonts w:cs="Times New Roman"/>
          <w:vertAlign w:val="superscript"/>
        </w:rPr>
        <w:t>-</w:t>
      </w:r>
      <w:r w:rsidRPr="00EF75A4">
        <w:rPr>
          <w:rFonts w:cs="Times New Roman"/>
        </w:rPr>
        <w:t xml:space="preserve">, </w:t>
      </w:r>
      <w:r w:rsidR="00E5761C" w:rsidRPr="00EF75A4">
        <w:rPr>
          <w:rFonts w:cs="Times New Roman"/>
        </w:rPr>
        <w:t xml:space="preserve">WS </w:t>
      </w:r>
      <w:r w:rsidRPr="00EF75A4">
        <w:rPr>
          <w:rFonts w:cs="Times New Roman"/>
        </w:rPr>
        <w:t>PO</w:t>
      </w:r>
      <w:r w:rsidRPr="00EF75A4">
        <w:rPr>
          <w:rFonts w:cs="Times New Roman"/>
          <w:vertAlign w:val="subscript"/>
        </w:rPr>
        <w:t>4</w:t>
      </w:r>
      <w:r w:rsidRPr="00EF75A4">
        <w:rPr>
          <w:rFonts w:cs="Times New Roman"/>
          <w:vertAlign w:val="superscript"/>
        </w:rPr>
        <w:t>3-</w:t>
      </w:r>
      <w:r w:rsidR="00B01133" w:rsidRPr="00EF75A4">
        <w:rPr>
          <w:rFonts w:cs="Times New Roman"/>
        </w:rPr>
        <w:t xml:space="preserve">, </w:t>
      </w:r>
      <w:r w:rsidR="00E5761C" w:rsidRPr="00EF75A4">
        <w:rPr>
          <w:rFonts w:cs="Times New Roman"/>
        </w:rPr>
        <w:t xml:space="preserve">WS </w:t>
      </w:r>
      <w:r w:rsidR="00B01133" w:rsidRPr="00EF75A4">
        <w:rPr>
          <w:rFonts w:cs="Times New Roman"/>
        </w:rPr>
        <w:t xml:space="preserve">TN, and </w:t>
      </w:r>
      <w:r w:rsidR="00E5761C" w:rsidRPr="00EF75A4">
        <w:rPr>
          <w:rFonts w:cs="Times New Roman"/>
        </w:rPr>
        <w:t xml:space="preserve">WS </w:t>
      </w:r>
      <w:r w:rsidR="00B01133" w:rsidRPr="00EF75A4">
        <w:rPr>
          <w:rFonts w:cs="Times New Roman"/>
        </w:rPr>
        <w:t>TC</w:t>
      </w:r>
      <w:r w:rsidR="00E5761C" w:rsidRPr="00EF75A4">
        <w:rPr>
          <w:rFonts w:cs="Times New Roman"/>
        </w:rPr>
        <w:t>, per kg fresh blend</w:t>
      </w:r>
      <w:r w:rsidR="006A04F1" w:rsidRPr="00EF75A4">
        <w:rPr>
          <w:rFonts w:cs="Times New Roman"/>
        </w:rPr>
        <w:t>)</w:t>
      </w:r>
      <w:r w:rsidRPr="00EF75A4">
        <w:rPr>
          <w:rFonts w:cs="Times New Roman"/>
        </w:rPr>
        <w:t xml:space="preserve">, the average value of all the measurements in each condition and the standard deviation were </w:t>
      </w:r>
      <w:r w:rsidRPr="00463B39">
        <w:rPr>
          <w:rFonts w:cs="Times New Roman"/>
        </w:rPr>
        <w:t>calculated.</w:t>
      </w:r>
      <w:r w:rsidR="00460C9C" w:rsidRPr="00463B39">
        <w:rPr>
          <w:rFonts w:cs="Times New Roman"/>
        </w:rPr>
        <w:t xml:space="preserve"> The</w:t>
      </w:r>
      <w:r w:rsidR="00607EB2" w:rsidRPr="00463B39">
        <w:rPr>
          <w:rFonts w:cs="Times New Roman"/>
        </w:rPr>
        <w:t xml:space="preserve"> procedure for the</w:t>
      </w:r>
      <w:r w:rsidR="00460C9C" w:rsidRPr="00463B39">
        <w:rPr>
          <w:rFonts w:cs="Times New Roman"/>
        </w:rPr>
        <w:t xml:space="preserve"> calculation of the concentration of WS s</w:t>
      </w:r>
      <w:r w:rsidR="00441415" w:rsidRPr="00463B39">
        <w:rPr>
          <w:rFonts w:cs="Times New Roman"/>
        </w:rPr>
        <w:t>pecies in the fresh samples is o</w:t>
      </w:r>
      <w:r w:rsidR="00460C9C" w:rsidRPr="00463B39">
        <w:rPr>
          <w:rFonts w:cs="Times New Roman"/>
        </w:rPr>
        <w:t>n the Online resource 3.</w:t>
      </w:r>
      <w:r w:rsidRPr="00463B39">
        <w:rPr>
          <w:rFonts w:cs="Times New Roman"/>
        </w:rPr>
        <w:t xml:space="preserve"> The</w:t>
      </w:r>
      <w:r w:rsidRPr="00EF75A4">
        <w:rPr>
          <w:rFonts w:cs="Times New Roman"/>
        </w:rPr>
        <w:t xml:space="preserve"> single factor analysis of variance (</w:t>
      </w:r>
      <w:r w:rsidR="007E5620" w:rsidRPr="00EF75A4">
        <w:rPr>
          <w:rFonts w:cs="Times New Roman"/>
        </w:rPr>
        <w:t>p</w:t>
      </w:r>
      <w:r w:rsidRPr="00EF75A4">
        <w:rPr>
          <w:rFonts w:cs="Times New Roman"/>
        </w:rPr>
        <w:t xml:space="preserve">=0.05) was performed with MS excel </w:t>
      </w:r>
      <w:r w:rsidR="004F4AD8" w:rsidRPr="00EF75A4">
        <w:rPr>
          <w:rFonts w:cs="Times New Roman"/>
        </w:rPr>
        <w:t>to decide whether the measure parameters remained constant during the incubation period.</w:t>
      </w:r>
    </w:p>
    <w:p w14:paraId="7BA68290" w14:textId="1E1D01DD" w:rsidR="009D3210" w:rsidRPr="00EF75A4" w:rsidRDefault="00A801A7" w:rsidP="00C807A3">
      <w:pPr>
        <w:pStyle w:val="Heading2"/>
        <w:spacing w:line="360" w:lineRule="auto"/>
        <w:rPr>
          <w:rFonts w:cs="Times New Roman"/>
        </w:rPr>
      </w:pPr>
      <w:r w:rsidRPr="00EF75A4">
        <w:rPr>
          <w:rFonts w:cs="Times New Roman"/>
        </w:rPr>
        <w:t>Results and discussions</w:t>
      </w:r>
    </w:p>
    <w:p w14:paraId="4C6DC228" w14:textId="4A41DBCB" w:rsidR="00CC4ED9" w:rsidRDefault="008C15A2" w:rsidP="00C807A3">
      <w:pPr>
        <w:pStyle w:val="Heading3"/>
        <w:spacing w:line="360" w:lineRule="auto"/>
      </w:pPr>
      <w:r>
        <w:t>Initial characteriz</w:t>
      </w:r>
      <w:r w:rsidR="00CC4ED9">
        <w:t>ation</w:t>
      </w:r>
    </w:p>
    <w:p w14:paraId="04B8FC0A" w14:textId="00F39E11" w:rsidR="00440A77" w:rsidRPr="00713E31" w:rsidRDefault="008C15A2" w:rsidP="00607EB2">
      <w:pPr>
        <w:keepNext/>
        <w:spacing w:line="360" w:lineRule="auto"/>
        <w:rPr>
          <w:rFonts w:cs="Times New Roman"/>
        </w:rPr>
      </w:pPr>
      <w:r w:rsidRPr="00713E31">
        <w:rPr>
          <w:rFonts w:cs="Times New Roman"/>
        </w:rPr>
        <w:t>The characteriz</w:t>
      </w:r>
      <w:r w:rsidR="00CB79C7" w:rsidRPr="00713E31">
        <w:rPr>
          <w:rFonts w:cs="Times New Roman"/>
        </w:rPr>
        <w:t xml:space="preserve">ation of the samples, in terms of the parameters concerning </w:t>
      </w:r>
      <w:r w:rsidR="009046CA" w:rsidRPr="00713E31">
        <w:rPr>
          <w:rFonts w:cs="Times New Roman"/>
        </w:rPr>
        <w:t>the present</w:t>
      </w:r>
      <w:r w:rsidR="00CB79C7" w:rsidRPr="00713E31">
        <w:rPr>
          <w:rFonts w:cs="Times New Roman"/>
        </w:rPr>
        <w:t xml:space="preserve"> </w:t>
      </w:r>
      <w:r w:rsidR="009046CA" w:rsidRPr="00713E31">
        <w:rPr>
          <w:rFonts w:cs="Times New Roman"/>
        </w:rPr>
        <w:t>work</w:t>
      </w:r>
      <w:r w:rsidR="00CB79C7" w:rsidRPr="00713E31">
        <w:rPr>
          <w:rFonts w:cs="Times New Roman"/>
        </w:rPr>
        <w:t xml:space="preserve">, is shown in </w:t>
      </w:r>
      <w:r w:rsidR="001E3AF5" w:rsidRPr="00713E31">
        <w:rPr>
          <w:rFonts w:cs="Times New Roman"/>
        </w:rPr>
        <w:fldChar w:fldCharType="begin"/>
      </w:r>
      <w:r w:rsidR="001E3AF5" w:rsidRPr="00713E31">
        <w:rPr>
          <w:rFonts w:cs="Times New Roman"/>
        </w:rPr>
        <w:instrText xml:space="preserve"> REF _Ref44759336 \h  \* MERGEFORMAT </w:instrText>
      </w:r>
      <w:r w:rsidR="001E3AF5" w:rsidRPr="00713E31">
        <w:rPr>
          <w:rFonts w:cs="Times New Roman"/>
        </w:rPr>
      </w:r>
      <w:r w:rsidR="001E3AF5" w:rsidRPr="00713E31">
        <w:rPr>
          <w:rFonts w:cs="Times New Roman"/>
        </w:rPr>
        <w:fldChar w:fldCharType="separate"/>
      </w:r>
      <w:r w:rsidR="001E3AF5" w:rsidRPr="00713E31">
        <w:rPr>
          <w:rFonts w:cs="Times New Roman"/>
        </w:rPr>
        <w:t xml:space="preserve">Table </w:t>
      </w:r>
      <w:r w:rsidR="001E3AF5" w:rsidRPr="00713E31">
        <w:rPr>
          <w:rFonts w:cs="Times New Roman"/>
          <w:noProof/>
        </w:rPr>
        <w:t>3</w:t>
      </w:r>
      <w:r w:rsidR="001E3AF5" w:rsidRPr="00713E31">
        <w:rPr>
          <w:rFonts w:cs="Times New Roman"/>
        </w:rPr>
        <w:fldChar w:fldCharType="end"/>
      </w:r>
      <w:r w:rsidR="00CB79C7" w:rsidRPr="00713E31">
        <w:rPr>
          <w:rFonts w:cs="Times New Roman"/>
        </w:rPr>
        <w:fldChar w:fldCharType="begin"/>
      </w:r>
      <w:r w:rsidR="00CB79C7" w:rsidRPr="00713E31">
        <w:rPr>
          <w:rFonts w:cs="Times New Roman"/>
        </w:rPr>
        <w:instrText xml:space="preserve"> REF _Ref13331821 \h  \* MERGEFORMAT </w:instrText>
      </w:r>
      <w:r w:rsidR="00CB79C7" w:rsidRPr="00713E31">
        <w:rPr>
          <w:rFonts w:cs="Times New Roman"/>
        </w:rPr>
      </w:r>
      <w:r w:rsidR="00CB79C7" w:rsidRPr="00713E31">
        <w:rPr>
          <w:rFonts w:cs="Times New Roman"/>
        </w:rPr>
        <w:fldChar w:fldCharType="end"/>
      </w:r>
      <w:r w:rsidR="00CB79C7" w:rsidRPr="00713E31">
        <w:rPr>
          <w:rFonts w:cs="Times New Roman"/>
        </w:rPr>
        <w:t>.</w:t>
      </w:r>
      <w:r w:rsidR="00440A77" w:rsidRPr="00713E31">
        <w:rPr>
          <w:rFonts w:cs="Times New Roman"/>
        </w:rPr>
        <w:t xml:space="preserve"> While the values for the samples were determi</w:t>
      </w:r>
      <w:r w:rsidRPr="00713E31">
        <w:rPr>
          <w:rFonts w:cs="Times New Roman"/>
        </w:rPr>
        <w:t>ned empirically, the characteriz</w:t>
      </w:r>
      <w:r w:rsidR="00440A77" w:rsidRPr="00713E31">
        <w:rPr>
          <w:rFonts w:cs="Times New Roman"/>
        </w:rPr>
        <w:t xml:space="preserve">ation of the blends at time zero was estimated based on the data of each sample and their </w:t>
      </w:r>
      <w:r w:rsidR="00F0744A" w:rsidRPr="00713E31">
        <w:rPr>
          <w:rFonts w:cs="Times New Roman"/>
        </w:rPr>
        <w:t>share</w:t>
      </w:r>
      <w:r w:rsidR="00440A77" w:rsidRPr="00713E31">
        <w:rPr>
          <w:rFonts w:cs="Times New Roman"/>
        </w:rPr>
        <w:t xml:space="preserve"> in each blend (</w:t>
      </w:r>
      <w:r w:rsidR="00440A77" w:rsidRPr="00713E31">
        <w:rPr>
          <w:rFonts w:cs="Times New Roman"/>
        </w:rPr>
        <w:fldChar w:fldCharType="begin"/>
      </w:r>
      <w:r w:rsidR="00440A77" w:rsidRPr="00713E31">
        <w:rPr>
          <w:rFonts w:cs="Times New Roman"/>
        </w:rPr>
        <w:instrText xml:space="preserve"> REF _Ref44759134 \h  \* MERGEFORMAT </w:instrText>
      </w:r>
      <w:r w:rsidR="00440A77" w:rsidRPr="00713E31">
        <w:rPr>
          <w:rFonts w:cs="Times New Roman"/>
        </w:rPr>
      </w:r>
      <w:r w:rsidR="00440A77" w:rsidRPr="00713E31">
        <w:rPr>
          <w:rFonts w:cs="Times New Roman"/>
        </w:rPr>
        <w:fldChar w:fldCharType="separate"/>
      </w:r>
      <w:r w:rsidR="00440A77" w:rsidRPr="00713E31">
        <w:t xml:space="preserve">Table </w:t>
      </w:r>
      <w:r w:rsidR="00440A77" w:rsidRPr="00713E31">
        <w:rPr>
          <w:noProof/>
        </w:rPr>
        <w:t>2</w:t>
      </w:r>
      <w:r w:rsidR="00440A77" w:rsidRPr="00713E31">
        <w:rPr>
          <w:rFonts w:cs="Times New Roman"/>
        </w:rPr>
        <w:fldChar w:fldCharType="end"/>
      </w:r>
      <w:r w:rsidR="00440A77" w:rsidRPr="00713E31">
        <w:rPr>
          <w:rFonts w:cs="Times New Roman"/>
        </w:rPr>
        <w:t>).</w:t>
      </w:r>
    </w:p>
    <w:p w14:paraId="4E3CE8AD" w14:textId="54429860" w:rsidR="00CB79C7" w:rsidRPr="00713E31" w:rsidRDefault="00CB79C7" w:rsidP="00607EB2">
      <w:pPr>
        <w:keepNext/>
        <w:spacing w:line="360" w:lineRule="auto"/>
        <w:rPr>
          <w:rFonts w:cs="Times New Roman"/>
        </w:rPr>
      </w:pPr>
      <w:r w:rsidRPr="00713E31">
        <w:rPr>
          <w:rFonts w:cs="Times New Roman"/>
        </w:rPr>
        <w:t xml:space="preserve">The digestates were </w:t>
      </w:r>
      <w:r w:rsidR="00B42460" w:rsidRPr="00713E31">
        <w:rPr>
          <w:rFonts w:cs="Times New Roman"/>
        </w:rPr>
        <w:t>the main source of nitrogen</w:t>
      </w:r>
      <w:r w:rsidRPr="00713E31">
        <w:rPr>
          <w:rFonts w:cs="Times New Roman"/>
        </w:rPr>
        <w:t xml:space="preserve"> in the blends. </w:t>
      </w:r>
      <w:r w:rsidR="003B4413" w:rsidRPr="00713E31">
        <w:rPr>
          <w:rFonts w:cs="Times New Roman"/>
        </w:rPr>
        <w:t>The NH</w:t>
      </w:r>
      <w:r w:rsidR="003B4413" w:rsidRPr="00713E31">
        <w:rPr>
          <w:rFonts w:cs="Times New Roman"/>
          <w:vertAlign w:val="subscript"/>
        </w:rPr>
        <w:t>4</w:t>
      </w:r>
      <w:r w:rsidR="003B4413" w:rsidRPr="00713E31">
        <w:rPr>
          <w:rFonts w:cs="Times New Roman"/>
          <w:vertAlign w:val="superscript"/>
        </w:rPr>
        <w:t>+</w:t>
      </w:r>
      <w:r w:rsidR="003B4413" w:rsidRPr="00713E31">
        <w:rPr>
          <w:rFonts w:cs="Times New Roman"/>
        </w:rPr>
        <w:t>-N</w:t>
      </w:r>
      <w:r w:rsidRPr="00713E31">
        <w:rPr>
          <w:rFonts w:cs="Times New Roman"/>
        </w:rPr>
        <w:t xml:space="preserve">, which was higher in the FWD because of the higher protein content, was an important contributor to the electric conductivity (EC) </w:t>
      </w:r>
      <w:r w:rsidRPr="00713E31">
        <w:rPr>
          <w:rFonts w:cs="Times New Roman"/>
        </w:rPr>
        <w:fldChar w:fldCharType="begin" w:fldLock="1"/>
      </w:r>
      <w:r w:rsidR="00BB33F9">
        <w:rPr>
          <w:rFonts w:cs="Times New Roman"/>
        </w:rPr>
        <w:instrText>ADDIN CSL_CITATION {"citationItems":[{"id":"ITEM-1","itemData":{"DOI":"10.1134/S0036023609020193","ISSN":"00360236","abstract":"The electrical conductivity (EC) of the ammonia-water system was studied in the concentration range 0.1-10 mol/L ammonia and the temperature range 15-60°C. The maximal EC of aqueous ammonia at a given temperature is proposed as the parameter for generalizing experimental results. The normalized EC was calculated as the ratio of the EC of aqueous ammonia of a given concentration to the maximal EC at a given temperature. Over the ranges of the concentrations and temperatures studied, all normalized ECs fall on one curve. The EC activation energy was analyzed as a function of ammonia concentration and temperature. © 2009 Pleiades Publishing, Ltd.","author":[{"dropping-particle":"V.","family":"Shcherbakov","given":"V.","non-dropping-particle":"","parse-names":false,"suffix":""},{"dropping-particle":"","family":"Artemkina","given":"Yu M.","non-dropping-particle":"","parse-names":false,"suffix":""},{"dropping-particle":"","family":"Ponomareva","given":"T. N.","non-dropping-particle":"","parse-names":false,"suffix":""},{"dropping-particle":"","family":"Kirillov","given":"A. D.","non-dropping-particle":"","parse-names":false,"suffix":""}],"container-title":"Russian Journal of Inorganic Chemistry","id":"ITEM-1","issue":"2","issued":{"date-parts":[["2009"]]},"page":"277-279","title":"Electrical conductivity of the ammonia-water system","type":"article-journal","volume":"54"},"uris":["http://www.mendeley.com/documents/?uuid=f767405e-21db-4e4d-a381-62504410c0ca"]}],"mendeley":{"formattedCitation":"[39]","plainTextFormattedCitation":"[39]","previouslyFormattedCitation":"[39]"},"properties":{"noteIndex":0},"schema":"https://github.com/citation-style-language/schema/raw/master/csl-citation.json"}</w:instrText>
      </w:r>
      <w:r w:rsidRPr="00713E31">
        <w:rPr>
          <w:rFonts w:cs="Times New Roman"/>
          <w:vertAlign w:val="superscript"/>
        </w:rPr>
        <w:fldChar w:fldCharType="separate"/>
      </w:r>
      <w:r w:rsidR="00D33723" w:rsidRPr="00D33723">
        <w:rPr>
          <w:rFonts w:cs="Times New Roman"/>
          <w:noProof/>
        </w:rPr>
        <w:t>[39]</w:t>
      </w:r>
      <w:r w:rsidRPr="00713E31">
        <w:rPr>
          <w:rFonts w:cs="Times New Roman"/>
        </w:rPr>
        <w:fldChar w:fldCharType="end"/>
      </w:r>
      <w:r w:rsidRPr="00713E31">
        <w:rPr>
          <w:rFonts w:cs="Times New Roman"/>
        </w:rPr>
        <w:t>, together with other elements (</w:t>
      </w:r>
      <w:r w:rsidR="00D7561C" w:rsidRPr="00713E31">
        <w:rPr>
          <w:rFonts w:cs="Times New Roman"/>
        </w:rPr>
        <w:t xml:space="preserve">Online resource </w:t>
      </w:r>
      <w:r w:rsidR="00460C9C" w:rsidRPr="00713E31">
        <w:rPr>
          <w:rFonts w:cs="Times New Roman"/>
        </w:rPr>
        <w:t>4</w:t>
      </w:r>
      <w:r w:rsidRPr="00713E31">
        <w:rPr>
          <w:rFonts w:cs="Times New Roman"/>
        </w:rPr>
        <w:t>), such as sodium (Na</w:t>
      </w:r>
      <w:r w:rsidRPr="00713E31">
        <w:rPr>
          <w:rFonts w:cs="Times New Roman"/>
          <w:vertAlign w:val="superscript"/>
        </w:rPr>
        <w:t>+</w:t>
      </w:r>
      <w:r w:rsidRPr="00713E31">
        <w:rPr>
          <w:rFonts w:cs="Times New Roman"/>
        </w:rPr>
        <w:t>)</w:t>
      </w:r>
      <w:r w:rsidR="00C5295E" w:rsidRPr="00713E31">
        <w:rPr>
          <w:rFonts w:cs="Times New Roman"/>
        </w:rPr>
        <w:t>.</w:t>
      </w:r>
      <w:r w:rsidRPr="00713E31">
        <w:rPr>
          <w:rFonts w:cs="Times New Roman"/>
        </w:rPr>
        <w:t xml:space="preserve"> </w:t>
      </w:r>
      <w:r w:rsidR="00C5295E" w:rsidRPr="00713E31">
        <w:rPr>
          <w:rFonts w:cs="Times New Roman"/>
        </w:rPr>
        <w:t>Although there was no significant difference between</w:t>
      </w:r>
      <w:r w:rsidRPr="00713E31">
        <w:rPr>
          <w:rFonts w:cs="Times New Roman"/>
        </w:rPr>
        <w:t xml:space="preserve"> the pH</w:t>
      </w:r>
      <w:r w:rsidR="00441415" w:rsidRPr="00713E31">
        <w:rPr>
          <w:rFonts w:cs="Times New Roman"/>
        </w:rPr>
        <w:t xml:space="preserve"> values</w:t>
      </w:r>
      <w:r w:rsidRPr="00713E31">
        <w:rPr>
          <w:rFonts w:cs="Times New Roman"/>
        </w:rPr>
        <w:t xml:space="preserve"> of </w:t>
      </w:r>
      <w:r w:rsidR="00C5295E" w:rsidRPr="00713E31">
        <w:rPr>
          <w:rFonts w:cs="Times New Roman"/>
        </w:rPr>
        <w:t xml:space="preserve">the </w:t>
      </w:r>
      <w:r w:rsidRPr="00713E31">
        <w:rPr>
          <w:rFonts w:cs="Times New Roman"/>
        </w:rPr>
        <w:t>digestates</w:t>
      </w:r>
      <w:r w:rsidR="00C5295E" w:rsidRPr="00713E31">
        <w:rPr>
          <w:rFonts w:cs="Times New Roman"/>
        </w:rPr>
        <w:t xml:space="preserve">, it was expected that the FWD </w:t>
      </w:r>
      <w:r w:rsidR="00441415" w:rsidRPr="00713E31">
        <w:rPr>
          <w:rFonts w:cs="Times New Roman"/>
        </w:rPr>
        <w:t>would have</w:t>
      </w:r>
      <w:r w:rsidR="00C5295E" w:rsidRPr="00713E31">
        <w:rPr>
          <w:rFonts w:cs="Times New Roman"/>
        </w:rPr>
        <w:t xml:space="preserve"> greater buffer capacity </w:t>
      </w:r>
      <w:r w:rsidR="00B308CE" w:rsidRPr="00713E31">
        <w:rPr>
          <w:rFonts w:cs="Times New Roman"/>
        </w:rPr>
        <w:t xml:space="preserve">to prevent the increase of the pH when adding the ashes </w:t>
      </w:r>
      <w:r w:rsidR="00C5295E" w:rsidRPr="00713E31">
        <w:rPr>
          <w:rFonts w:cs="Times New Roman"/>
        </w:rPr>
        <w:t>because of the greater content of NH</w:t>
      </w:r>
      <w:r w:rsidR="00C5295E" w:rsidRPr="00713E31">
        <w:rPr>
          <w:rFonts w:cs="Times New Roman"/>
          <w:vertAlign w:val="subscript"/>
        </w:rPr>
        <w:t>4</w:t>
      </w:r>
      <w:r w:rsidR="00C5295E" w:rsidRPr="00713E31">
        <w:rPr>
          <w:rFonts w:cs="Times New Roman"/>
          <w:vertAlign w:val="superscript"/>
        </w:rPr>
        <w:t>+</w:t>
      </w:r>
      <w:r w:rsidR="00C5295E" w:rsidRPr="00713E31">
        <w:rPr>
          <w:rFonts w:cs="Times New Roman"/>
        </w:rPr>
        <w:t>-N</w:t>
      </w:r>
      <w:r w:rsidR="000352C7" w:rsidRPr="00713E31">
        <w:rPr>
          <w:rFonts w:cs="Times New Roman"/>
        </w:rPr>
        <w:t xml:space="preserve"> (Equation </w:t>
      </w:r>
      <w:r w:rsidR="000352C7" w:rsidRPr="00713E31">
        <w:rPr>
          <w:rFonts w:cs="Times New Roman"/>
        </w:rPr>
        <w:fldChar w:fldCharType="begin"/>
      </w:r>
      <w:r w:rsidR="000352C7" w:rsidRPr="00713E31">
        <w:rPr>
          <w:rFonts w:cs="Times New Roman"/>
        </w:rPr>
        <w:instrText xml:space="preserve"> REF _Ref37527982 \h  \* MERGEFORMAT </w:instrText>
      </w:r>
      <w:r w:rsidR="000352C7" w:rsidRPr="00713E31">
        <w:rPr>
          <w:rFonts w:cs="Times New Roman"/>
        </w:rPr>
      </w:r>
      <w:r w:rsidR="000352C7" w:rsidRPr="00713E31">
        <w:rPr>
          <w:rFonts w:cs="Times New Roman"/>
        </w:rPr>
        <w:fldChar w:fldCharType="separate"/>
      </w:r>
      <w:r w:rsidR="000352C7" w:rsidRPr="00713E31">
        <w:rPr>
          <w:rFonts w:cs="Times New Roman"/>
        </w:rPr>
        <w:t>(</w:t>
      </w:r>
      <w:r w:rsidR="000352C7" w:rsidRPr="00713E31">
        <w:rPr>
          <w:rFonts w:cs="Times New Roman"/>
          <w:noProof/>
        </w:rPr>
        <w:t>1)</w:t>
      </w:r>
      <w:r w:rsidR="000352C7" w:rsidRPr="00713E31">
        <w:rPr>
          <w:rFonts w:cs="Times New Roman"/>
        </w:rPr>
        <w:fldChar w:fldCharType="end"/>
      </w:r>
      <w:r w:rsidR="000352C7" w:rsidRPr="00713E31">
        <w:rPr>
          <w:rFonts w:cs="Times New Roman"/>
        </w:rPr>
        <w:t>)</w:t>
      </w:r>
      <w:r w:rsidR="00B308CE" w:rsidRPr="00713E31">
        <w:rPr>
          <w:rFonts w:cs="Times New Roman"/>
        </w:rPr>
        <w:t>.</w:t>
      </w:r>
    </w:p>
    <w:p w14:paraId="11B719DB" w14:textId="1307513B" w:rsidR="00CB79C7" w:rsidRDefault="00CB79C7" w:rsidP="00CB79C7">
      <w:pPr>
        <w:spacing w:line="360" w:lineRule="auto"/>
        <w:rPr>
          <w:rFonts w:cs="Times New Roman"/>
          <w:b/>
        </w:rPr>
      </w:pPr>
      <w:r w:rsidRPr="00713E31">
        <w:rPr>
          <w:rFonts w:cs="Times New Roman"/>
        </w:rPr>
        <w:t xml:space="preserve">The ashes were the main source of </w:t>
      </w:r>
      <w:r w:rsidR="00F7301A" w:rsidRPr="00713E31">
        <w:rPr>
          <w:rFonts w:cs="Times New Roman"/>
        </w:rPr>
        <w:t xml:space="preserve">(insoluble) </w:t>
      </w:r>
      <w:r w:rsidR="00025060" w:rsidRPr="00713E31">
        <w:rPr>
          <w:rFonts w:cs="Times New Roman"/>
        </w:rPr>
        <w:t>TP</w:t>
      </w:r>
      <w:r w:rsidRPr="00713E31">
        <w:rPr>
          <w:rFonts w:cs="Times New Roman"/>
        </w:rPr>
        <w:t xml:space="preserve"> </w:t>
      </w:r>
      <w:r w:rsidR="00177B32" w:rsidRPr="00713E31">
        <w:rPr>
          <w:rFonts w:cs="Times New Roman"/>
        </w:rPr>
        <w:t>and they</w:t>
      </w:r>
      <w:r w:rsidR="00340FF3" w:rsidRPr="00713E31">
        <w:rPr>
          <w:rFonts w:cs="Times New Roman"/>
        </w:rPr>
        <w:t xml:space="preserve"> were</w:t>
      </w:r>
      <w:r w:rsidR="00177B32" w:rsidRPr="00713E31">
        <w:rPr>
          <w:rFonts w:cs="Times New Roman"/>
        </w:rPr>
        <w:t xml:space="preserve"> also </w:t>
      </w:r>
      <w:r w:rsidR="00340FF3" w:rsidRPr="00713E31">
        <w:rPr>
          <w:rFonts w:cs="Times New Roman"/>
        </w:rPr>
        <w:t>loa</w:t>
      </w:r>
      <w:r w:rsidR="00177B32" w:rsidRPr="00713E31">
        <w:rPr>
          <w:rFonts w:cs="Times New Roman"/>
        </w:rPr>
        <w:t>ded with</w:t>
      </w:r>
      <w:r w:rsidRPr="00713E31">
        <w:rPr>
          <w:rFonts w:cs="Times New Roman"/>
        </w:rPr>
        <w:t xml:space="preserve"> alkali and alkali</w:t>
      </w:r>
      <w:r w:rsidR="00B9164D" w:rsidRPr="00713E31">
        <w:rPr>
          <w:rFonts w:cs="Times New Roman"/>
        </w:rPr>
        <w:t xml:space="preserve">ne </w:t>
      </w:r>
      <w:r w:rsidRPr="00713E31">
        <w:rPr>
          <w:rFonts w:cs="Times New Roman"/>
        </w:rPr>
        <w:t>earth metals (</w:t>
      </w:r>
      <w:r w:rsidR="00D7561C" w:rsidRPr="00713E31">
        <w:rPr>
          <w:rFonts w:cs="Times New Roman"/>
        </w:rPr>
        <w:t xml:space="preserve">Online resource </w:t>
      </w:r>
      <w:r w:rsidR="0030614D" w:rsidRPr="00713E31">
        <w:rPr>
          <w:rFonts w:cs="Times New Roman"/>
        </w:rPr>
        <w:t>1</w:t>
      </w:r>
      <w:r w:rsidRPr="00713E31">
        <w:rPr>
          <w:rFonts w:cs="Times New Roman"/>
        </w:rPr>
        <w:t>), which confer</w:t>
      </w:r>
      <w:r w:rsidR="00FE7194" w:rsidRPr="00713E31">
        <w:rPr>
          <w:rFonts w:cs="Times New Roman"/>
        </w:rPr>
        <w:t>ed</w:t>
      </w:r>
      <w:r w:rsidRPr="00713E31">
        <w:rPr>
          <w:rFonts w:cs="Times New Roman"/>
        </w:rPr>
        <w:t xml:space="preserve"> </w:t>
      </w:r>
      <w:r w:rsidR="00441415" w:rsidRPr="00713E31">
        <w:rPr>
          <w:rFonts w:cs="Times New Roman"/>
        </w:rPr>
        <w:t>them</w:t>
      </w:r>
      <w:r w:rsidRPr="00713E31">
        <w:rPr>
          <w:rFonts w:cs="Times New Roman"/>
        </w:rPr>
        <w:t xml:space="preserve"> high pH.</w:t>
      </w:r>
      <w:r w:rsidR="00EA77E9" w:rsidRPr="00713E31">
        <w:rPr>
          <w:rFonts w:cs="Times New Roman"/>
        </w:rPr>
        <w:t xml:space="preserve"> It should be noted that less than 1% of the phosphorus contained in the ashes</w:t>
      </w:r>
      <w:r w:rsidR="00651A4E" w:rsidRPr="00713E31">
        <w:rPr>
          <w:rFonts w:cs="Times New Roman"/>
        </w:rPr>
        <w:t xml:space="preserve"> wa</w:t>
      </w:r>
      <w:r w:rsidR="00E6334F" w:rsidRPr="00713E31">
        <w:rPr>
          <w:rFonts w:cs="Times New Roman"/>
        </w:rPr>
        <w:t>s soluble (</w:t>
      </w:r>
      <w:r w:rsidR="00E6334F" w:rsidRPr="00713E31">
        <w:rPr>
          <w:rFonts w:cs="Times New Roman"/>
        </w:rPr>
        <w:fldChar w:fldCharType="begin"/>
      </w:r>
      <w:r w:rsidR="00E6334F" w:rsidRPr="00713E31">
        <w:rPr>
          <w:rFonts w:cs="Times New Roman"/>
        </w:rPr>
        <w:instrText xml:space="preserve"> REF _Ref44759336 \h  \* MERGEFORMAT </w:instrText>
      </w:r>
      <w:r w:rsidR="00E6334F" w:rsidRPr="00713E31">
        <w:rPr>
          <w:rFonts w:cs="Times New Roman"/>
        </w:rPr>
      </w:r>
      <w:r w:rsidR="00E6334F" w:rsidRPr="00713E31">
        <w:rPr>
          <w:rFonts w:cs="Times New Roman"/>
        </w:rPr>
        <w:fldChar w:fldCharType="separate"/>
      </w:r>
      <w:r w:rsidR="00E6334F" w:rsidRPr="00713E31">
        <w:rPr>
          <w:rFonts w:cs="Times New Roman"/>
        </w:rPr>
        <w:t xml:space="preserve">Table </w:t>
      </w:r>
      <w:r w:rsidR="00E6334F" w:rsidRPr="00713E31">
        <w:rPr>
          <w:rFonts w:cs="Times New Roman"/>
          <w:noProof/>
        </w:rPr>
        <w:t>3</w:t>
      </w:r>
      <w:r w:rsidR="00E6334F" w:rsidRPr="00713E31">
        <w:rPr>
          <w:rFonts w:cs="Times New Roman"/>
        </w:rPr>
        <w:fldChar w:fldCharType="end"/>
      </w:r>
      <w:r w:rsidR="00E6334F" w:rsidRPr="00713E31">
        <w:rPr>
          <w:rFonts w:cs="Times New Roman"/>
        </w:rPr>
        <w:t xml:space="preserve">) because </w:t>
      </w:r>
      <w:r w:rsidR="00651A4E" w:rsidRPr="00713E31">
        <w:rPr>
          <w:rFonts w:cs="Times New Roman"/>
        </w:rPr>
        <w:t>it wa</w:t>
      </w:r>
      <w:r w:rsidR="00E6334F" w:rsidRPr="00713E31">
        <w:rPr>
          <w:rFonts w:cs="Times New Roman"/>
        </w:rPr>
        <w:t xml:space="preserve">s in the form of insoluble </w:t>
      </w:r>
      <w:r w:rsidR="00651A4E" w:rsidRPr="00713E31">
        <w:rPr>
          <w:rFonts w:cs="Times New Roman"/>
        </w:rPr>
        <w:t xml:space="preserve">calcium </w:t>
      </w:r>
      <w:r w:rsidR="00E6334F" w:rsidRPr="00713E31">
        <w:rPr>
          <w:rFonts w:cs="Times New Roman"/>
        </w:rPr>
        <w:t>compounds</w:t>
      </w:r>
      <w:r w:rsidR="00651A4E" w:rsidRPr="00713E31">
        <w:rPr>
          <w:rFonts w:cs="Times New Roman"/>
        </w:rPr>
        <w:t>,</w:t>
      </w:r>
      <w:r w:rsidR="00E6334F" w:rsidRPr="00713E31">
        <w:rPr>
          <w:rFonts w:cs="Times New Roman"/>
        </w:rPr>
        <w:t xml:space="preserve"> such as hydroxyapatite (Ca</w:t>
      </w:r>
      <w:r w:rsidR="00E6334F" w:rsidRPr="00713E31">
        <w:rPr>
          <w:rFonts w:cs="Times New Roman"/>
          <w:vertAlign w:val="subscript"/>
        </w:rPr>
        <w:t>5</w:t>
      </w:r>
      <w:r w:rsidR="00E6334F" w:rsidRPr="00713E31">
        <w:rPr>
          <w:rFonts w:cs="Times New Roman"/>
        </w:rPr>
        <w:t>(PO</w:t>
      </w:r>
      <w:r w:rsidR="00E6334F" w:rsidRPr="00713E31">
        <w:rPr>
          <w:rFonts w:cs="Times New Roman"/>
          <w:vertAlign w:val="subscript"/>
        </w:rPr>
        <w:t>4</w:t>
      </w:r>
      <w:r w:rsidR="00E6334F" w:rsidRPr="00713E31">
        <w:rPr>
          <w:rFonts w:cs="Times New Roman"/>
        </w:rPr>
        <w:t>)</w:t>
      </w:r>
      <w:r w:rsidR="00E6334F" w:rsidRPr="00713E31">
        <w:rPr>
          <w:rFonts w:cs="Times New Roman"/>
          <w:vertAlign w:val="subscript"/>
        </w:rPr>
        <w:t>3</w:t>
      </w:r>
      <w:r w:rsidR="00E6334F" w:rsidRPr="00713E31">
        <w:rPr>
          <w:rFonts w:cs="Times New Roman"/>
        </w:rPr>
        <w:t xml:space="preserve">OH) </w:t>
      </w:r>
      <w:r w:rsidR="00651A4E" w:rsidRPr="00713E31">
        <w:rPr>
          <w:rFonts w:cs="Times New Roman"/>
        </w:rPr>
        <w:fldChar w:fldCharType="begin" w:fldLock="1"/>
      </w:r>
      <w:r w:rsidR="00BD36D8">
        <w:rPr>
          <w:rFonts w:cs="Times New Roman"/>
        </w:rPr>
        <w:instrText>ADDIN CSL_CITATION {"citationItems":[{"id":"ITEM-1","itemData":{"DOI":"10.1016/S0961-9534(97)00024-X","ISBN":"0961-9534","ISSN":"09619534","abstract":"A Swedish research program concerning the technical and ecological effects of wood fuel ash recycling to forest biotopes has been on-going for several years. Within this program, a study of the stabilisation of ash by the so-called self-hardening process was carried out. Chemical reactions occurring in the ash materials on water addition and during solidification were identified based on results from chemical analysis, X-ray diffraction, FTIR spectroscopic and scanning electron microscopy analysis. The stability and importance of the individual reaction products are discussed. Some results of practical importance are: alkali metals are to a large extent present as salts dissolved in the pore solution, i.e. the hardened ash should be stored in a way that protects it from rainfall; the dominant wood ash element calcium forms Ca(OH), and subsequently CaCO, during hardening anti storage: ettringite formation binds sulphur and aluminium and contributes to the stability of the ash structure; and phosphorous is bound in apatite and other compounds with low solubilities.","author":[{"dropping-particle":"","family":"Steenari","given":"B. M.","non-dropping-particle":"","parse-names":false,"suffix":""},{"dropping-particle":"","family":"Lindqvist","given":"O.","non-dropping-particle":"","parse-names":false,"suffix":""}],"container-title":"Biomass and Bioenergy","id":"ITEM-1","issue":"1-2","issued":{"date-parts":[["1997"]]},"page":"39-50","title":"Stabilisation of biofuel ashes for recycling to forest soil","type":"article-journal","volume":"13"},"uris":["http://www.mendeley.com/documents/?uuid=3ae4fcb1-4c9c-45b8-9980-348d296cf940"]}],"mendeley":{"formattedCitation":"[9]","plainTextFormattedCitation":"[9]","previouslyFormattedCitation":"[9]"},"properties":{"noteIndex":0},"schema":"https://github.com/citation-style-language/schema/raw/master/csl-citation.json"}</w:instrText>
      </w:r>
      <w:r w:rsidR="00651A4E" w:rsidRPr="00713E31">
        <w:rPr>
          <w:rFonts w:cs="Times New Roman"/>
        </w:rPr>
        <w:fldChar w:fldCharType="separate"/>
      </w:r>
      <w:r w:rsidR="00BD36D8" w:rsidRPr="00BD36D8">
        <w:rPr>
          <w:rFonts w:cs="Times New Roman"/>
          <w:noProof/>
        </w:rPr>
        <w:t>[9]</w:t>
      </w:r>
      <w:r w:rsidR="00651A4E" w:rsidRPr="00713E31">
        <w:rPr>
          <w:rFonts w:cs="Times New Roman"/>
        </w:rPr>
        <w:fldChar w:fldCharType="end"/>
      </w:r>
      <w:r w:rsidR="00E6334F" w:rsidRPr="00713E31">
        <w:rPr>
          <w:rFonts w:cs="Times New Roman"/>
        </w:rPr>
        <w:t>.</w:t>
      </w:r>
      <w:r w:rsidRPr="00713E31">
        <w:rPr>
          <w:rFonts w:cs="Times New Roman"/>
        </w:rPr>
        <w:t xml:space="preserve"> The fate of most of the phytotoxic elements, such as heavy metals</w:t>
      </w:r>
      <w:r w:rsidR="005C1EE2" w:rsidRPr="00713E31">
        <w:rPr>
          <w:rFonts w:cs="Times New Roman"/>
        </w:rPr>
        <w:t xml:space="preserve"> (e.g. As, Cd, Pb, and Zn </w:t>
      </w:r>
      <w:r w:rsidR="005C1EE2" w:rsidRPr="00713E31">
        <w:rPr>
          <w:rFonts w:cs="Times New Roman"/>
        </w:rPr>
        <w:fldChar w:fldCharType="begin" w:fldLock="1"/>
      </w:r>
      <w:r w:rsidR="00BD36D8">
        <w:rPr>
          <w:rFonts w:cs="Times New Roman"/>
        </w:rPr>
        <w:instrText>ADDIN CSL_CITATION {"citationItems":[{"id":"ITEM-1","itemData":{"DOI":"10.1016/S0961-9534(97)00024-X","ISBN":"0961-9534","ISSN":"09619534","abstract":"A Swedish research program concerning the technical and ecological effects of wood fuel ash recycling to forest biotopes has been on-going for several years. Within this program, a study of the stabilisation of ash by the so-called self-hardening process was carried out. Chemical reactions occurring in the ash materials on water addition and during solidification were identified based on results from chemical analysis, X-ray diffraction, FTIR spectroscopic and scanning electron microscopy analysis. The stability and importance of the individual reaction products are discussed. Some results of practical importance are: alkali metals are to a large extent present as salts dissolved in the pore solution, i.e. the hardened ash should be stored in a way that protects it from rainfall; the dominant wood ash element calcium forms Ca(OH), and subsequently CaCO, during hardening anti storage: ettringite formation binds sulphur and aluminium and contributes to the stability of the ash structure; and phosphorous is bound in apatite and other compounds with low solubilities.","author":[{"dropping-particle":"","family":"Steenari","given":"B. M.","non-dropping-particle":"","parse-names":false,"suffix":""},{"dropping-particle":"","family":"Lindqvist","given":"O.","non-dropping-particle":"","parse-names":false,"suffix":""}],"container-title":"Biomass and Bioenergy","id":"ITEM-1","issue":"1-2","issued":{"date-parts":[["1997"]]},"page":"39-50","title":"Stabilisation of biofuel ashes for recycling to forest soil","type":"article-journal","volume":"13"},"uris":["http://www.mendeley.com/documents/?uuid=3ae4fcb1-4c9c-45b8-9980-348d296cf940"]}],"mendeley":{"formattedCitation":"[9]","plainTextFormattedCitation":"[9]","previouslyFormattedCitation":"[9]"},"properties":{"noteIndex":0},"schema":"https://github.com/citation-style-language/schema/raw/master/csl-citation.json"}</w:instrText>
      </w:r>
      <w:r w:rsidR="005C1EE2" w:rsidRPr="00713E31">
        <w:rPr>
          <w:rFonts w:cs="Times New Roman"/>
        </w:rPr>
        <w:fldChar w:fldCharType="separate"/>
      </w:r>
      <w:r w:rsidR="00BD36D8" w:rsidRPr="00BD36D8">
        <w:rPr>
          <w:rFonts w:cs="Times New Roman"/>
          <w:noProof/>
        </w:rPr>
        <w:t>[9]</w:t>
      </w:r>
      <w:r w:rsidR="005C1EE2" w:rsidRPr="00713E31">
        <w:rPr>
          <w:rFonts w:cs="Times New Roman"/>
        </w:rPr>
        <w:fldChar w:fldCharType="end"/>
      </w:r>
      <w:r w:rsidR="005C1EE2" w:rsidRPr="00713E31">
        <w:rPr>
          <w:rFonts w:cs="Times New Roman"/>
        </w:rPr>
        <w:t>)</w:t>
      </w:r>
      <w:r w:rsidRPr="00713E31">
        <w:rPr>
          <w:rFonts w:cs="Times New Roman"/>
        </w:rPr>
        <w:t>, usually are the finer fractions of ash</w:t>
      </w:r>
      <w:r w:rsidR="00075D07" w:rsidRPr="00713E31">
        <w:rPr>
          <w:rFonts w:cs="Times New Roman"/>
        </w:rPr>
        <w:t>es</w:t>
      </w:r>
      <w:r w:rsidRPr="00713E31">
        <w:rPr>
          <w:rFonts w:cs="Times New Roman"/>
        </w:rPr>
        <w:t xml:space="preserve">. The reason could be that the fly ash account </w:t>
      </w:r>
      <w:r w:rsidR="00FD1448" w:rsidRPr="00713E31">
        <w:rPr>
          <w:rFonts w:cs="Times New Roman"/>
        </w:rPr>
        <w:t>for most</w:t>
      </w:r>
      <w:r w:rsidRPr="00713E31">
        <w:rPr>
          <w:rFonts w:cs="Times New Roman"/>
        </w:rPr>
        <w:t xml:space="preserve"> ash</w:t>
      </w:r>
      <w:r w:rsidR="00CE14D1" w:rsidRPr="00713E31">
        <w:rPr>
          <w:rFonts w:cs="Times New Roman"/>
        </w:rPr>
        <w:t>es</w:t>
      </w:r>
      <w:r w:rsidR="005D39C7" w:rsidRPr="00713E31">
        <w:rPr>
          <w:rFonts w:cs="Times New Roman"/>
        </w:rPr>
        <w:t xml:space="preserve"> (around 80%)</w:t>
      </w:r>
      <w:r w:rsidRPr="00713E31">
        <w:rPr>
          <w:rFonts w:cs="Times New Roman"/>
        </w:rPr>
        <w:t xml:space="preserve"> generated during combustion</w:t>
      </w:r>
      <w:r w:rsidR="00FD1448" w:rsidRPr="00713E31">
        <w:rPr>
          <w:rFonts w:cs="Times New Roman"/>
        </w:rPr>
        <w:t>, although the exact mass distribution depends on the type of incinerator</w:t>
      </w:r>
      <w:r w:rsidR="005D39C7" w:rsidRPr="00713E31">
        <w:rPr>
          <w:rFonts w:cs="Times New Roman"/>
        </w:rPr>
        <w:t xml:space="preserve"> </w:t>
      </w:r>
      <w:r w:rsidR="003E4C1D" w:rsidRPr="00713E31">
        <w:rPr>
          <w:rFonts w:cs="Times New Roman"/>
        </w:rPr>
        <w:fldChar w:fldCharType="begin" w:fldLock="1"/>
      </w:r>
      <w:r w:rsidR="00BD36D8">
        <w:rPr>
          <w:rFonts w:cs="Times New Roman"/>
        </w:rPr>
        <w:instrText>ADDIN CSL_CITATION {"citationItems":[{"id":"ITEM-1","itemData":{"DOI":"10.1016/S0961-9534(97)00024-X","ISBN":"0961-9534","ISSN":"09619534","abstract":"A Swedish research program concerning the technical and ecological effects of wood fuel ash recycling to forest biotopes has been on-going for several years. Within this program, a study of the stabilisation of ash by the so-called self-hardening process was carried out. Chemical reactions occurring in the ash materials on water addition and during solidification were identified based on results from chemical analysis, X-ray diffraction, FTIR spectroscopic and scanning electron microscopy analysis. The stability and importance of the individual reaction products are discussed. Some results of practical importance are: alkali metals are to a large extent present as salts dissolved in the pore solution, i.e. the hardened ash should be stored in a way that protects it from rainfall; the dominant wood ash element calcium forms Ca(OH), and subsequently CaCO, during hardening anti storage: ettringite formation binds sulphur and aluminium and contributes to the stability of the ash structure; and phosphorous is bound in apatite and other compounds with low solubilities.","author":[{"dropping-particle":"","family":"Steenari","given":"B. M.","non-dropping-particle":"","parse-names":false,"suffix":""},{"dropping-particle":"","family":"Lindqvist","given":"O.","non-dropping-particle":"","parse-names":false,"suffix":""}],"container-title":"Biomass and Bioenergy","id":"ITEM-1","issue":"1-2","issued":{"date-parts":[["1997"]]},"page":"39-50","title":"Stabilisation of biofuel ashes for recycling to forest soil","type":"article-journal","volume":"13"},"uris":["http://www.mendeley.com/documents/?uuid=3ae4fcb1-4c9c-45b8-9980-348d296cf940"]}],"mendeley":{"formattedCitation":"[9]","plainTextFormattedCitation":"[9]","previouslyFormattedCitation":"[9]"},"properties":{"noteIndex":0},"schema":"https://github.com/citation-style-language/schema/raw/master/csl-citation.json"}</w:instrText>
      </w:r>
      <w:r w:rsidR="003E4C1D" w:rsidRPr="00713E31">
        <w:rPr>
          <w:rFonts w:cs="Times New Roman"/>
        </w:rPr>
        <w:fldChar w:fldCharType="separate"/>
      </w:r>
      <w:r w:rsidR="00BD36D8" w:rsidRPr="00BD36D8">
        <w:rPr>
          <w:rFonts w:cs="Times New Roman"/>
          <w:noProof/>
        </w:rPr>
        <w:t>[9]</w:t>
      </w:r>
      <w:r w:rsidR="003E4C1D" w:rsidRPr="00713E31">
        <w:rPr>
          <w:rFonts w:cs="Times New Roman"/>
        </w:rPr>
        <w:fldChar w:fldCharType="end"/>
      </w:r>
      <w:r w:rsidRPr="00713E31">
        <w:rPr>
          <w:rFonts w:cs="Times New Roman"/>
        </w:rPr>
        <w:t>. It is important to highlight that there are different fractions of fly ash, each separated at different stages (e.g. cyclone</w:t>
      </w:r>
      <w:r w:rsidR="00A10D66" w:rsidRPr="00713E31">
        <w:rPr>
          <w:rFonts w:cs="Times New Roman"/>
        </w:rPr>
        <w:t xml:space="preserve"> ash</w:t>
      </w:r>
      <w:r w:rsidRPr="00713E31">
        <w:rPr>
          <w:rFonts w:cs="Times New Roman"/>
        </w:rPr>
        <w:t>, electrostatic precipitator</w:t>
      </w:r>
      <w:r w:rsidR="00A10D66" w:rsidRPr="00713E31">
        <w:rPr>
          <w:rFonts w:cs="Times New Roman"/>
        </w:rPr>
        <w:t xml:space="preserve"> ash</w:t>
      </w:r>
      <w:r w:rsidRPr="00713E31">
        <w:rPr>
          <w:rFonts w:cs="Times New Roman"/>
        </w:rPr>
        <w:t>,</w:t>
      </w:r>
      <w:r w:rsidR="00A10D66" w:rsidRPr="00713E31">
        <w:rPr>
          <w:rFonts w:cs="Times New Roman"/>
        </w:rPr>
        <w:t xml:space="preserve"> filter ash</w:t>
      </w:r>
      <w:r w:rsidR="00317E0C" w:rsidRPr="00713E31">
        <w:rPr>
          <w:rFonts w:cs="Times New Roman"/>
        </w:rPr>
        <w:t>,</w:t>
      </w:r>
      <w:r w:rsidRPr="00713E31">
        <w:rPr>
          <w:rFonts w:cs="Times New Roman"/>
        </w:rPr>
        <w:t xml:space="preserve"> etc.</w:t>
      </w:r>
      <w:r w:rsidR="00A10D66" w:rsidRPr="00713E31">
        <w:rPr>
          <w:rFonts w:cs="Times New Roman"/>
        </w:rPr>
        <w:t xml:space="preserve"> </w:t>
      </w:r>
      <w:r w:rsidR="00A10D66" w:rsidRPr="00713E31">
        <w:rPr>
          <w:rFonts w:cs="Times New Roman"/>
        </w:rPr>
        <w:fldChar w:fldCharType="begin" w:fldLock="1"/>
      </w:r>
      <w:r w:rsidR="00BD36D8">
        <w:rPr>
          <w:rFonts w:cs="Times New Roman"/>
        </w:rPr>
        <w:instrText>ADDIN CSL_CITATION {"citationItems":[{"id":"ITEM-1","itemData":{"DOI":"10.1016/S0961-9534(97)00024-X","ISBN":"0961-9534","ISSN":"09619534","abstract":"A Swedish research program concerning the technical and ecological effects of wood fuel ash recycling to forest biotopes has been on-going for several years. Within this program, a study of the stabilisation of ash by the so-called self-hardening process was carried out. Chemical reactions occurring in the ash materials on water addition and during solidification were identified based on results from chemical analysis, X-ray diffraction, FTIR spectroscopic and scanning electron microscopy analysis. The stability and importance of the individual reaction products are discussed. Some results of practical importance are: alkali metals are to a large extent present as salts dissolved in the pore solution, i.e. the hardened ash should be stored in a way that protects it from rainfall; the dominant wood ash element calcium forms Ca(OH), and subsequently CaCO, during hardening anti storage: ettringite formation binds sulphur and aluminium and contributes to the stability of the ash structure; and phosphorous is bound in apatite and other compounds with low solubilities.","author":[{"dropping-particle":"","family":"Steenari","given":"B. M.","non-dropping-particle":"","parse-names":false,"suffix":""},{"dropping-particle":"","family":"Lindqvist","given":"O.","non-dropping-particle":"","parse-names":false,"suffix":""}],"container-title":"Biomass and Bioenergy","id":"ITEM-1","issue":"1-2","issued":{"date-parts":[["1997"]]},"page":"39-50","title":"Stabilisation of biofuel ashes for recycling to forest soil","type":"article-journal","volume":"13"},"uris":["http://www.mendeley.com/documents/?uuid=3ae4fcb1-4c9c-45b8-9980-348d296cf940"]}],"mendeley":{"formattedCitation":"[9]","plainTextFormattedCitation":"[9]","previouslyFormattedCitation":"[9]"},"properties":{"noteIndex":0},"schema":"https://github.com/citation-style-language/schema/raw/master/csl-citation.json"}</w:instrText>
      </w:r>
      <w:r w:rsidR="00A10D66" w:rsidRPr="00713E31">
        <w:rPr>
          <w:rFonts w:cs="Times New Roman"/>
        </w:rPr>
        <w:fldChar w:fldCharType="separate"/>
      </w:r>
      <w:r w:rsidR="00BD36D8" w:rsidRPr="00BD36D8">
        <w:rPr>
          <w:rFonts w:cs="Times New Roman"/>
          <w:noProof/>
        </w:rPr>
        <w:t>[9]</w:t>
      </w:r>
      <w:r w:rsidR="00A10D66" w:rsidRPr="00713E31">
        <w:rPr>
          <w:rFonts w:cs="Times New Roman"/>
        </w:rPr>
        <w:fldChar w:fldCharType="end"/>
      </w:r>
      <w:r w:rsidRPr="00713E31">
        <w:rPr>
          <w:rFonts w:cs="Times New Roman"/>
        </w:rPr>
        <w:t xml:space="preserve">) of the flue gas treatment system, depending on the particle size. </w:t>
      </w:r>
      <w:r w:rsidRPr="00F276F5">
        <w:rPr>
          <w:rFonts w:cs="Times New Roman"/>
          <w:b/>
        </w:rPr>
        <w:t xml:space="preserve">The ashes employed in </w:t>
      </w:r>
      <w:r w:rsidR="009046CA" w:rsidRPr="00F276F5">
        <w:rPr>
          <w:rFonts w:cs="Times New Roman"/>
          <w:b/>
        </w:rPr>
        <w:t>the present work</w:t>
      </w:r>
      <w:r w:rsidRPr="00F276F5">
        <w:rPr>
          <w:rFonts w:cs="Times New Roman"/>
          <w:b/>
        </w:rPr>
        <w:t xml:space="preserve"> were generated in a grate combustion chamber, </w:t>
      </w:r>
      <w:r w:rsidR="00256AE2" w:rsidRPr="00F276F5">
        <w:rPr>
          <w:rFonts w:cs="Times New Roman"/>
          <w:b/>
        </w:rPr>
        <w:t>thereby</w:t>
      </w:r>
      <w:r w:rsidRPr="00F276F5">
        <w:rPr>
          <w:rFonts w:cs="Times New Roman"/>
          <w:b/>
        </w:rPr>
        <w:t xml:space="preserve"> the bottom ash represented the main fraction (</w:t>
      </w:r>
      <w:r w:rsidRPr="00F276F5">
        <w:rPr>
          <w:rFonts w:cs="Times New Roman"/>
          <w:b/>
        </w:rPr>
        <w:fldChar w:fldCharType="begin"/>
      </w:r>
      <w:r w:rsidRPr="00F276F5">
        <w:rPr>
          <w:rFonts w:cs="Times New Roman"/>
          <w:b/>
        </w:rPr>
        <w:instrText xml:space="preserve"> REF _Ref15410162 \h  \* MERGEFORMAT </w:instrText>
      </w:r>
      <w:r w:rsidRPr="00F276F5">
        <w:rPr>
          <w:rFonts w:cs="Times New Roman"/>
          <w:b/>
        </w:rPr>
      </w:r>
      <w:r w:rsidRPr="00F276F5">
        <w:rPr>
          <w:rFonts w:cs="Times New Roman"/>
          <w:b/>
        </w:rPr>
        <w:fldChar w:fldCharType="separate"/>
      </w:r>
      <w:r w:rsidR="001E3AF5" w:rsidRPr="00F276F5">
        <w:rPr>
          <w:rFonts w:cs="Times New Roman"/>
          <w:b/>
        </w:rPr>
        <w:t xml:space="preserve">Table </w:t>
      </w:r>
      <w:r w:rsidR="001E3AF5" w:rsidRPr="00F276F5">
        <w:rPr>
          <w:rFonts w:cs="Times New Roman"/>
          <w:b/>
          <w:noProof/>
        </w:rPr>
        <w:t>1</w:t>
      </w:r>
      <w:r w:rsidRPr="00F276F5">
        <w:rPr>
          <w:rFonts w:cs="Times New Roman"/>
          <w:b/>
        </w:rPr>
        <w:fldChar w:fldCharType="end"/>
      </w:r>
      <w:r w:rsidRPr="00F276F5">
        <w:rPr>
          <w:rFonts w:cs="Times New Roman"/>
          <w:b/>
        </w:rPr>
        <w:t xml:space="preserve">) and more pollutants could end up in the WBA. </w:t>
      </w:r>
      <w:r w:rsidR="00FE08C6" w:rsidRPr="00F276F5">
        <w:rPr>
          <w:rFonts w:cs="Times New Roman"/>
          <w:b/>
        </w:rPr>
        <w:t>The samples of b</w:t>
      </w:r>
      <w:r w:rsidRPr="00F276F5">
        <w:rPr>
          <w:rFonts w:cs="Times New Roman"/>
          <w:b/>
        </w:rPr>
        <w:t>oth ashes were collected on the same day, but the WFA presented more surface area, which</w:t>
      </w:r>
      <w:r w:rsidR="00177B32" w:rsidRPr="00F276F5">
        <w:rPr>
          <w:rFonts w:cs="Times New Roman"/>
          <w:b/>
        </w:rPr>
        <w:t xml:space="preserve"> made it more reactive </w:t>
      </w:r>
      <w:r w:rsidR="00177B32" w:rsidRPr="00F276F5">
        <w:rPr>
          <w:rStyle w:val="FootnoteReference"/>
          <w:rFonts w:cs="Times New Roman"/>
          <w:b/>
        </w:rPr>
        <w:fldChar w:fldCharType="begin" w:fldLock="1"/>
      </w:r>
      <w:r w:rsidR="00BB33F9">
        <w:rPr>
          <w:rFonts w:cs="Times New Roman"/>
          <w:b/>
        </w:rPr>
        <w:instrText>ADDIN CSL_CITATION {"citationItems":[{"id":"ITEM-1","itemData":{"DOI":"10.1016/j.wasman.2008.06.023","ISBN":"0956-053X","ISSN":"0956053X","PMID":"18715775","abstract":"This research was conducted to compare geopolymers made from fly ash and ground bottom ash. Sodium hydroxide (NaOH) and sodium silicate (Na2SiO3) solutions were used as activators. A mass ratio of 1.5 Na2SiO3/NaOH and three concentrations of NaOH (5, 10, and 15 M) were used; the geopolymers were cured at 65 °C for 48 h. A Fourier transform infrared spectrometer (FT-IR), differential scanning calorimeter (DSC), and scanning electron microscope (SEM) were used on the geopolymer pastes. Geopolymer mortars were also prepared in order to investigate compressive strength. The results show that both fly ash and bottom ash can be utilized as source materials for the production of geopolymers. The properties of the geopolymers are dependent on source materials and the NaOH concentration. Fly ash is more reactive and produces a higher degree of geopolymerization in comparison with bottom ash. The moderate NaOH concentration of 10 M is found to be suitable and gives fly ash and bottom ash geopolymer mortars with compressive strengths of 35 and 18 MPa. © 2008 Elsevier Ltd. All rights reserved.","author":[{"dropping-particle":"","family":"Chindaprasirt","given":"Prinya","non-dropping-particle":"","parse-names":false,"suffix":""},{"dropping-particle":"","family":"Jaturapitakkul","given":"Chai","non-dropping-particle":"","parse-names":false,"suffix":""},{"dropping-particle":"","family":"Chalee","given":"Wichian","non-dropping-particle":"","parse-names":false,"suffix":""},{"dropping-particle":"","family":"Rattanasak","given":"Ubolluk","non-dropping-particle":"","parse-names":false,"suffix":""}],"container-title":"Waste Management","id":"ITEM-1","issue":"2","issued":{"date-parts":[["2009"]]},"page":"539-543","title":"Comparative study on the characteristics of fly ash and bottom ash geopolymers","type":"article-journal","volume":"29"},"uris":["http://www.mendeley.com/documents/?uuid=a6a1d5b8-9831-438d-8f15-5881637d1ead"]}],"mendeley":{"formattedCitation":"[40]","plainTextFormattedCitation":"[40]","previouslyFormattedCitation":"[40]"},"properties":{"noteIndex":0},"schema":"https://github.com/citation-style-language/schema/raw/master/csl-citation.json"}</w:instrText>
      </w:r>
      <w:r w:rsidR="00177B32" w:rsidRPr="00F276F5">
        <w:rPr>
          <w:rStyle w:val="FootnoteReference"/>
          <w:rFonts w:cs="Times New Roman"/>
          <w:b/>
        </w:rPr>
        <w:fldChar w:fldCharType="separate"/>
      </w:r>
      <w:r w:rsidR="00D33723" w:rsidRPr="00D33723">
        <w:rPr>
          <w:rFonts w:cs="Times New Roman"/>
          <w:noProof/>
        </w:rPr>
        <w:t>[40]</w:t>
      </w:r>
      <w:r w:rsidR="00177B32" w:rsidRPr="00F276F5">
        <w:rPr>
          <w:rStyle w:val="FootnoteReference"/>
          <w:rFonts w:cs="Times New Roman"/>
          <w:b/>
        </w:rPr>
        <w:fldChar w:fldCharType="end"/>
      </w:r>
      <w:r w:rsidR="00177B32" w:rsidRPr="00F276F5">
        <w:rPr>
          <w:rFonts w:cs="Times New Roman"/>
          <w:b/>
        </w:rPr>
        <w:t xml:space="preserve"> and</w:t>
      </w:r>
      <w:r w:rsidR="00543B5B" w:rsidRPr="00F276F5">
        <w:rPr>
          <w:rFonts w:cs="Times New Roman"/>
          <w:b/>
        </w:rPr>
        <w:t xml:space="preserve"> fostered faster kinetic</w:t>
      </w:r>
      <w:r w:rsidRPr="00F276F5">
        <w:rPr>
          <w:rFonts w:cs="Times New Roman"/>
          <w:b/>
        </w:rPr>
        <w:t xml:space="preserve"> and greater extent of the water sorption during the storage. This could be the reason for which the </w:t>
      </w:r>
      <w:r w:rsidRPr="00F276F5">
        <w:rPr>
          <w:rFonts w:cs="Times New Roman"/>
          <w:b/>
        </w:rPr>
        <w:lastRenderedPageBreak/>
        <w:t>WFA had higher moisture content (i.e. lower dry matter) than t</w:t>
      </w:r>
      <w:r w:rsidR="00162D28" w:rsidRPr="00F276F5">
        <w:rPr>
          <w:rFonts w:cs="Times New Roman"/>
          <w:b/>
        </w:rPr>
        <w:t>he WBA. Similarly, the neutraliz</w:t>
      </w:r>
      <w:r w:rsidRPr="00F276F5">
        <w:rPr>
          <w:rFonts w:cs="Times New Roman"/>
          <w:b/>
        </w:rPr>
        <w:t xml:space="preserve">ation and carbonation, that took place during storage, were enhanced in the WFA, leading to a greater total carbon (TC) and lower pH </w:t>
      </w:r>
      <w:r w:rsidR="00862696" w:rsidRPr="00F276F5">
        <w:rPr>
          <w:rFonts w:cs="Times New Roman"/>
          <w:b/>
        </w:rPr>
        <w:t>of</w:t>
      </w:r>
      <w:r w:rsidRPr="00F276F5">
        <w:rPr>
          <w:rFonts w:cs="Times New Roman"/>
          <w:b/>
        </w:rPr>
        <w:t xml:space="preserve"> the WFA compared to</w:t>
      </w:r>
      <w:r w:rsidR="00B47F6C" w:rsidRPr="00F276F5">
        <w:rPr>
          <w:rFonts w:cs="Times New Roman"/>
          <w:b/>
        </w:rPr>
        <w:t xml:space="preserve"> the</w:t>
      </w:r>
      <w:r w:rsidRPr="00F276F5">
        <w:rPr>
          <w:rFonts w:cs="Times New Roman"/>
          <w:b/>
        </w:rPr>
        <w:t xml:space="preserve"> WBA (</w:t>
      </w:r>
      <w:r w:rsidR="001E3AF5" w:rsidRPr="00F276F5">
        <w:rPr>
          <w:rFonts w:cs="Times New Roman"/>
          <w:b/>
        </w:rPr>
        <w:fldChar w:fldCharType="begin"/>
      </w:r>
      <w:r w:rsidR="001E3AF5" w:rsidRPr="00F276F5">
        <w:rPr>
          <w:rFonts w:cs="Times New Roman"/>
          <w:b/>
        </w:rPr>
        <w:instrText xml:space="preserve"> REF _Ref44759336 \h  \* MERGEFORMAT </w:instrText>
      </w:r>
      <w:r w:rsidR="001E3AF5" w:rsidRPr="00F276F5">
        <w:rPr>
          <w:rFonts w:cs="Times New Roman"/>
          <w:b/>
        </w:rPr>
      </w:r>
      <w:r w:rsidR="001E3AF5" w:rsidRPr="00F276F5">
        <w:rPr>
          <w:rFonts w:cs="Times New Roman"/>
          <w:b/>
        </w:rPr>
        <w:fldChar w:fldCharType="separate"/>
      </w:r>
      <w:r w:rsidR="001E3AF5" w:rsidRPr="00F276F5">
        <w:rPr>
          <w:rFonts w:cs="Times New Roman"/>
          <w:b/>
        </w:rPr>
        <w:t xml:space="preserve">Table </w:t>
      </w:r>
      <w:r w:rsidR="001E3AF5" w:rsidRPr="00F276F5">
        <w:rPr>
          <w:rFonts w:cs="Times New Roman"/>
          <w:b/>
          <w:noProof/>
        </w:rPr>
        <w:t>3</w:t>
      </w:r>
      <w:r w:rsidR="001E3AF5" w:rsidRPr="00F276F5">
        <w:rPr>
          <w:rFonts w:cs="Times New Roman"/>
          <w:b/>
        </w:rPr>
        <w:fldChar w:fldCharType="end"/>
      </w:r>
      <w:r w:rsidRPr="00F276F5">
        <w:rPr>
          <w:rFonts w:cs="Times New Roman"/>
          <w:b/>
        </w:rPr>
        <w:fldChar w:fldCharType="begin"/>
      </w:r>
      <w:r w:rsidRPr="00F276F5">
        <w:rPr>
          <w:rFonts w:cs="Times New Roman"/>
          <w:b/>
        </w:rPr>
        <w:instrText xml:space="preserve"> REF _Ref13331821 \h  \* MERGEFORMAT </w:instrText>
      </w:r>
      <w:r w:rsidRPr="00F276F5">
        <w:rPr>
          <w:rFonts w:cs="Times New Roman"/>
          <w:b/>
        </w:rPr>
      </w:r>
      <w:r w:rsidRPr="00F276F5">
        <w:rPr>
          <w:rFonts w:cs="Times New Roman"/>
          <w:b/>
        </w:rPr>
        <w:fldChar w:fldCharType="end"/>
      </w:r>
      <w:r w:rsidRPr="00F276F5">
        <w:rPr>
          <w:rFonts w:cs="Times New Roman"/>
          <w:b/>
        </w:rPr>
        <w:t>).</w:t>
      </w:r>
      <w:r w:rsidR="002D7D38" w:rsidRPr="00F276F5">
        <w:rPr>
          <w:rFonts w:cs="Times New Roman"/>
          <w:b/>
        </w:rPr>
        <w:t xml:space="preserve"> </w:t>
      </w:r>
      <w:r w:rsidR="002D7D38" w:rsidRPr="009B6321">
        <w:rPr>
          <w:rFonts w:cs="Times New Roman"/>
          <w:b/>
        </w:rPr>
        <w:t>Values with an uncertainty greater than 10%, such as the TC of the WBA, are explained by the heterogeneity of the samples.</w:t>
      </w:r>
    </w:p>
    <w:p w14:paraId="04F2BFA1" w14:textId="77777777" w:rsidR="001903D5" w:rsidRPr="00F276F5" w:rsidRDefault="001903D5" w:rsidP="001903D5">
      <w:pPr>
        <w:spacing w:line="360" w:lineRule="auto"/>
        <w:rPr>
          <w:rFonts w:cs="Times New Roman"/>
          <w:b/>
        </w:rPr>
      </w:pPr>
      <w:r w:rsidRPr="00F276F5">
        <w:rPr>
          <w:rFonts w:cs="Times New Roman"/>
          <w:b/>
        </w:rPr>
        <w:t>It could be possible that the WBA was cooled down via quenching, as this fraction was reported by the producer as wet ash (</w:t>
      </w:r>
      <w:r w:rsidRPr="00F276F5">
        <w:rPr>
          <w:rFonts w:cs="Times New Roman"/>
          <w:b/>
        </w:rPr>
        <w:fldChar w:fldCharType="begin"/>
      </w:r>
      <w:r w:rsidRPr="00F276F5">
        <w:rPr>
          <w:rFonts w:cs="Times New Roman"/>
          <w:b/>
        </w:rPr>
        <w:instrText xml:space="preserve"> REF _Ref15410162 \h  \* MERGEFORMAT </w:instrText>
      </w:r>
      <w:r w:rsidRPr="00F276F5">
        <w:rPr>
          <w:rFonts w:cs="Times New Roman"/>
          <w:b/>
        </w:rPr>
      </w:r>
      <w:r w:rsidRPr="00F276F5">
        <w:rPr>
          <w:rFonts w:cs="Times New Roman"/>
          <w:b/>
        </w:rPr>
        <w:fldChar w:fldCharType="separate"/>
      </w:r>
      <w:r w:rsidRPr="00F276F5">
        <w:rPr>
          <w:rFonts w:cs="Times New Roman"/>
          <w:b/>
        </w:rPr>
        <w:t xml:space="preserve">Table </w:t>
      </w:r>
      <w:r w:rsidRPr="00F276F5">
        <w:rPr>
          <w:rFonts w:cs="Times New Roman"/>
          <w:b/>
          <w:noProof/>
        </w:rPr>
        <w:t>1</w:t>
      </w:r>
      <w:r w:rsidRPr="00F276F5">
        <w:rPr>
          <w:rFonts w:cs="Times New Roman"/>
          <w:b/>
        </w:rPr>
        <w:fldChar w:fldCharType="end"/>
      </w:r>
      <w:r w:rsidRPr="00F276F5">
        <w:rPr>
          <w:rFonts w:cs="Times New Roman"/>
          <w:b/>
        </w:rPr>
        <w:t>), and was subsequently dried. Firstly, adding water to the WBA promoted hydration and in this process the alkalinity of the WBA decreased because the oxides of the alkaline metals were converted to hydroxides. Secondly, the alkalinity was further reduced because of the lower mass transfer resistance of the atmospheric CO</w:t>
      </w:r>
      <w:r w:rsidRPr="00F276F5">
        <w:rPr>
          <w:rFonts w:cs="Times New Roman"/>
          <w:b/>
          <w:vertAlign w:val="subscript"/>
        </w:rPr>
        <w:t>2</w:t>
      </w:r>
      <w:r w:rsidRPr="00F276F5">
        <w:rPr>
          <w:rFonts w:cs="Times New Roman"/>
          <w:b/>
        </w:rPr>
        <w:t xml:space="preserve"> towards the alkaline aqueous solution, leading to the formation of carbonates </w:t>
      </w:r>
      <w:r w:rsidRPr="00F276F5">
        <w:rPr>
          <w:rStyle w:val="FootnoteReference"/>
          <w:rFonts w:cs="Times New Roman"/>
          <w:b/>
        </w:rPr>
        <w:fldChar w:fldCharType="begin" w:fldLock="1"/>
      </w:r>
      <w:r w:rsidRPr="00F276F5">
        <w:rPr>
          <w:rFonts w:cs="Times New Roman"/>
          <w:b/>
        </w:rPr>
        <w:instrText>ADDIN CSL_CITATION {"citationItems":[{"id":"ITEM-1","itemData":{"DOI":"10.1016/S0961-9534(97)00024-X","ISBN":"0961-9534","ISSN":"09619534","abstract":"A Swedish research program concerning the technical and ecological effects of wood fuel ash recycling to forest biotopes has been on-going for several years. Within this program, a study of the stabilisation of ash by the so-called self-hardening process was carried out. Chemical reactions occurring in the ash materials on water addition and during solidification were identified based on results from chemical analysis, X-ray diffraction, FTIR spectroscopic and scanning electron microscopy analysis. The stability and importance of the individual reaction products are discussed. Some results of practical importance are: alkali metals are to a large extent present as salts dissolved in the pore solution, i.e. the hardened ash should be stored in a way that protects it from rainfall; the dominant wood ash element calcium forms Ca(OH), and subsequently CaCO, during hardening anti storage: ettringite formation binds sulphur and aluminium and contributes to the stability of the ash structure; and phosphorous is bound in apatite and other compounds with low solubilities.","author":[{"dropping-particle":"","family":"Steenari","given":"B. M.","non-dropping-particle":"","parse-names":false,"suffix":""},{"dropping-particle":"","family":"Lindqvist","given":"O.","non-dropping-particle":"","parse-names":false,"suffix":""}],"container-title":"Biomass and Bioenergy","id":"ITEM-1","issue":"1-2","issued":{"date-parts":[["1997"]]},"page":"39-50","title":"Stabilisation of biofuel ashes for recycling to forest soil","type":"article-journal","volume":"13"},"uris":["http://www.mendeley.com/documents/?uuid=3ae4fcb1-4c9c-45b8-9980-348d296cf940"]}],"mendeley":{"formattedCitation":"[9]","plainTextFormattedCitation":"[9]","previouslyFormattedCitation":"[9]"},"properties":{"noteIndex":0},"schema":"https://github.com/citation-style-language/schema/raw/master/csl-citation.json"}</w:instrText>
      </w:r>
      <w:r w:rsidRPr="00F276F5">
        <w:rPr>
          <w:rStyle w:val="FootnoteReference"/>
          <w:rFonts w:cs="Times New Roman"/>
          <w:b/>
        </w:rPr>
        <w:fldChar w:fldCharType="separate"/>
      </w:r>
      <w:r w:rsidRPr="00F276F5">
        <w:rPr>
          <w:rFonts w:cs="Times New Roman"/>
          <w:b/>
          <w:noProof/>
        </w:rPr>
        <w:t>[9]</w:t>
      </w:r>
      <w:r w:rsidRPr="00F276F5">
        <w:rPr>
          <w:rStyle w:val="FootnoteReference"/>
          <w:rFonts w:cs="Times New Roman"/>
          <w:b/>
        </w:rPr>
        <w:fldChar w:fldCharType="end"/>
      </w:r>
      <w:r w:rsidRPr="00F276F5">
        <w:rPr>
          <w:rFonts w:cs="Times New Roman"/>
          <w:b/>
        </w:rPr>
        <w:t xml:space="preserve">. Thirdly, the drying at high temperature decreased the moisture content, restored the alkalinity (because of the decomposition of carbonates and even hydroxides) </w:t>
      </w:r>
      <w:r w:rsidRPr="00F276F5">
        <w:rPr>
          <w:rFonts w:cs="Times New Roman"/>
          <w:b/>
        </w:rPr>
        <w:fldChar w:fldCharType="begin" w:fldLock="1"/>
      </w:r>
      <w:r w:rsidRPr="00F276F5">
        <w:rPr>
          <w:rFonts w:cs="Times New Roman"/>
          <w:b/>
        </w:rPr>
        <w:instrText>ADDIN CSL_CITATION {"citationItems":[{"id":"ITEM-1","itemData":{"DOI":"10.1016/S0960-8524(00)00043-2","ISSN":"09608524","abstract":"Wood industries and power plants generate enormous quantities of wood ash. Disposal in landfills has been for long a common method for removal. New regulations for conserving the environment have raised the costs of landfill disposal and added to the difficulties for acquiring new sites for disposal. Over a few decades a number of studies have been carried out on the utilization of wood ashes in agriculture and forestry as an alternative method for disposal. Because of their properties and their influence on soil chemistry the utilization of wood ashes is particularly suited for the fertility management of tropical acid soils and forest soils. This review principally focuses on ash from the wood industry and power plants and considers its physical, chemical and mineralogical characteristics, its effect on soil properties, on the availability of nutrient elements and on the growth and chemical composition of crops and trees, as well as its impact on the environment. Copyright © 2001 Elsevier Science Ltd.","author":[{"dropping-particle":"","family":"Demeyer","given":"A.","non-dropping-particle":"","parse-names":false,"suffix":""},{"dropping-particle":"","family":"Voundi Nkana","given":"J. C.","non-dropping-particle":"","parse-names":false,"suffix":""},{"dropping-particle":"","family":"Verloo","given":"M. G.","non-dropping-particle":"","parse-names":false,"suffix":""}],"container-title":"Bioresource Technology","id":"ITEM-1","issue":"3","issued":{"date-parts":[["2001"]]},"page":"287-295","title":"Characteristics of wood ash and influence on soil properties and nutrient uptake: An overview","type":"article-journal","volume":"77"},"uris":["http://www.mendeley.com/documents/?uuid=2888183b-3f5d-46be-9b7e-0e33232197cd"]}],"mendeley":{"formattedCitation":"[5]","plainTextFormattedCitation":"[5]","previouslyFormattedCitation":"[5]"},"properties":{"noteIndex":0},"schema":"https://github.com/citation-style-language/schema/raw/master/csl-citation.json"}</w:instrText>
      </w:r>
      <w:r w:rsidRPr="00F276F5">
        <w:rPr>
          <w:rFonts w:cs="Times New Roman"/>
          <w:b/>
        </w:rPr>
        <w:fldChar w:fldCharType="separate"/>
      </w:r>
      <w:r w:rsidRPr="00F276F5">
        <w:rPr>
          <w:rFonts w:cs="Times New Roman"/>
          <w:b/>
          <w:noProof/>
        </w:rPr>
        <w:t>[5]</w:t>
      </w:r>
      <w:r w:rsidRPr="00F276F5">
        <w:rPr>
          <w:rFonts w:cs="Times New Roman"/>
          <w:b/>
        </w:rPr>
        <w:fldChar w:fldCharType="end"/>
      </w:r>
      <w:r w:rsidRPr="00F276F5">
        <w:rPr>
          <w:rFonts w:cs="Times New Roman"/>
          <w:b/>
        </w:rPr>
        <w:t>, and would be responsible of the clumping and formation of greater particle size compared to the WFA.</w:t>
      </w:r>
    </w:p>
    <w:p w14:paraId="1F864A33" w14:textId="5AD1D404" w:rsidR="00C70D30" w:rsidRPr="006644DD" w:rsidRDefault="00CB79C7" w:rsidP="00CB79C7">
      <w:pPr>
        <w:spacing w:line="360" w:lineRule="auto"/>
        <w:rPr>
          <w:rFonts w:cs="Times New Roman"/>
          <w:b/>
        </w:rPr>
      </w:pPr>
      <w:r w:rsidRPr="006644DD">
        <w:rPr>
          <w:rFonts w:cs="Times New Roman"/>
          <w:b/>
        </w:rPr>
        <w:t xml:space="preserve">The EC of the ashes was measured following the same procedure as for the digestates, in the </w:t>
      </w:r>
      <w:r w:rsidR="00926330" w:rsidRPr="006644DD">
        <w:rPr>
          <w:rFonts w:cs="Times New Roman"/>
          <w:b/>
        </w:rPr>
        <w:t xml:space="preserve">S:E ratio </w:t>
      </w:r>
      <w:r w:rsidRPr="006644DD">
        <w:rPr>
          <w:rFonts w:cs="Times New Roman"/>
          <w:b/>
        </w:rPr>
        <w:t>1:5 WS extract (</w:t>
      </w:r>
      <w:r w:rsidR="001E3AF5" w:rsidRPr="006644DD">
        <w:rPr>
          <w:rFonts w:cs="Times New Roman"/>
          <w:b/>
        </w:rPr>
        <w:fldChar w:fldCharType="begin"/>
      </w:r>
      <w:r w:rsidR="001E3AF5" w:rsidRPr="006644DD">
        <w:rPr>
          <w:rFonts w:cs="Times New Roman"/>
          <w:b/>
        </w:rPr>
        <w:instrText xml:space="preserve"> REF _Ref44759336 \h  \* MERGEFORMAT </w:instrText>
      </w:r>
      <w:r w:rsidR="001E3AF5" w:rsidRPr="006644DD">
        <w:rPr>
          <w:rFonts w:cs="Times New Roman"/>
          <w:b/>
        </w:rPr>
      </w:r>
      <w:r w:rsidR="001E3AF5" w:rsidRPr="006644DD">
        <w:rPr>
          <w:rFonts w:cs="Times New Roman"/>
          <w:b/>
        </w:rPr>
        <w:fldChar w:fldCharType="separate"/>
      </w:r>
      <w:r w:rsidR="001E3AF5" w:rsidRPr="006644DD">
        <w:rPr>
          <w:rFonts w:cs="Times New Roman"/>
          <w:b/>
        </w:rPr>
        <w:t xml:space="preserve">Table </w:t>
      </w:r>
      <w:r w:rsidR="001E3AF5" w:rsidRPr="006644DD">
        <w:rPr>
          <w:rFonts w:cs="Times New Roman"/>
          <w:b/>
          <w:noProof/>
        </w:rPr>
        <w:t>3</w:t>
      </w:r>
      <w:r w:rsidR="001E3AF5" w:rsidRPr="006644DD">
        <w:rPr>
          <w:rFonts w:cs="Times New Roman"/>
          <w:b/>
        </w:rPr>
        <w:fldChar w:fldCharType="end"/>
      </w:r>
      <w:r w:rsidR="00C70D30" w:rsidRPr="006644DD">
        <w:rPr>
          <w:rFonts w:cs="Times New Roman"/>
          <w:b/>
        </w:rPr>
        <w:t xml:space="preserve">). </w:t>
      </w:r>
      <w:r w:rsidR="006644DD" w:rsidRPr="006644DD">
        <w:rPr>
          <w:rFonts w:cs="Times New Roman"/>
          <w:b/>
        </w:rPr>
        <w:t>T</w:t>
      </w:r>
      <w:r w:rsidR="00C70D30" w:rsidRPr="006644DD">
        <w:rPr>
          <w:rFonts w:cs="Times New Roman"/>
          <w:b/>
        </w:rPr>
        <w:t>he higher content of potassium (K</w:t>
      </w:r>
      <w:r w:rsidR="00C70D30" w:rsidRPr="006644DD">
        <w:rPr>
          <w:rFonts w:cs="Times New Roman"/>
          <w:b/>
          <w:vertAlign w:val="superscript"/>
        </w:rPr>
        <w:t>+</w:t>
      </w:r>
      <w:r w:rsidR="00C70D30" w:rsidRPr="006644DD">
        <w:rPr>
          <w:rFonts w:cs="Times New Roman"/>
          <w:b/>
        </w:rPr>
        <w:t xml:space="preserve">) explained the higher conductivity of the WBA in spite of its lower moisture content (Online resource 1). According to </w:t>
      </w:r>
      <w:r w:rsidR="00C70D30" w:rsidRPr="006644DD">
        <w:rPr>
          <w:rFonts w:cs="Times New Roman"/>
          <w:b/>
          <w:noProof/>
          <w:szCs w:val="24"/>
        </w:rPr>
        <w:t>Karoline</w:t>
      </w:r>
      <w:r w:rsidR="00C70D30" w:rsidRPr="006644DD">
        <w:rPr>
          <w:rFonts w:cs="Times New Roman"/>
          <w:b/>
        </w:rPr>
        <w:t xml:space="preserve"> </w:t>
      </w:r>
      <w:r w:rsidR="00C70D30" w:rsidRPr="006644DD">
        <w:rPr>
          <w:rFonts w:cs="Times New Roman"/>
          <w:b/>
        </w:rPr>
        <w:fldChar w:fldCharType="begin" w:fldLock="1"/>
      </w:r>
      <w:r w:rsidR="00BB33F9">
        <w:rPr>
          <w:rFonts w:cs="Times New Roman"/>
          <w:b/>
        </w:rPr>
        <w:instrText>ADDIN CSL_CITATION {"citationItems":[{"id":"ITEM-1","itemData":{"author":[{"dropping-particle":"","family":"Karoline","given":"Kehrer","non-dropping-particle":"","parse-names":false,"suffix":""}],"id":"ITEM-1","issue":"November","issued":{"date-parts":[["2012"]]},"publisher":"University of Natural Resources and Life Sciences, Vienna","title":"Chemistry of wood ash leachates and the filter effect of soil columns on leachate composition","type":"thesis"},"uris":["http://www.mendeley.com/documents/?uuid=efa140b0-ec6a-4051-87e0-384be554afdb"]}],"mendeley":{"formattedCitation":"[41]","plainTextFormattedCitation":"[41]","previouslyFormattedCitation":"[41]"},"properties":{"noteIndex":0},"schema":"https://github.com/citation-style-language/schema/raw/master/csl-citation.json"}</w:instrText>
      </w:r>
      <w:r w:rsidR="00C70D30" w:rsidRPr="006644DD">
        <w:rPr>
          <w:rFonts w:cs="Times New Roman"/>
          <w:b/>
        </w:rPr>
        <w:fldChar w:fldCharType="separate"/>
      </w:r>
      <w:r w:rsidR="00D33723" w:rsidRPr="00D33723">
        <w:rPr>
          <w:rFonts w:cs="Times New Roman"/>
          <w:noProof/>
        </w:rPr>
        <w:t>[41]</w:t>
      </w:r>
      <w:r w:rsidR="00C70D30" w:rsidRPr="006644DD">
        <w:rPr>
          <w:rFonts w:cs="Times New Roman"/>
          <w:b/>
        </w:rPr>
        <w:fldChar w:fldCharType="end"/>
      </w:r>
      <w:r w:rsidR="00C70D30" w:rsidRPr="006644DD">
        <w:rPr>
          <w:rFonts w:cs="Times New Roman"/>
          <w:b/>
        </w:rPr>
        <w:t xml:space="preserve"> sulfate (SO</w:t>
      </w:r>
      <w:r w:rsidR="00C70D30" w:rsidRPr="006644DD">
        <w:rPr>
          <w:rFonts w:cs="Times New Roman"/>
          <w:b/>
          <w:vertAlign w:val="subscript"/>
        </w:rPr>
        <w:t>4</w:t>
      </w:r>
      <w:r w:rsidR="00C70D30" w:rsidRPr="006644DD">
        <w:rPr>
          <w:rFonts w:cs="Times New Roman"/>
          <w:b/>
          <w:vertAlign w:val="superscript"/>
        </w:rPr>
        <w:t>2-</w:t>
      </w:r>
      <w:r w:rsidR="00C70D30" w:rsidRPr="006644DD">
        <w:rPr>
          <w:rFonts w:cs="Times New Roman"/>
          <w:b/>
        </w:rPr>
        <w:t>), chloride (Cl</w:t>
      </w:r>
      <w:r w:rsidR="00C70D30" w:rsidRPr="006644DD">
        <w:rPr>
          <w:rFonts w:cs="Times New Roman"/>
          <w:b/>
          <w:vertAlign w:val="superscript"/>
        </w:rPr>
        <w:t>-</w:t>
      </w:r>
      <w:r w:rsidR="00C70D30" w:rsidRPr="006644DD">
        <w:rPr>
          <w:rFonts w:cs="Times New Roman"/>
          <w:b/>
        </w:rPr>
        <w:t>), and PO</w:t>
      </w:r>
      <w:r w:rsidR="00C70D30" w:rsidRPr="006644DD">
        <w:rPr>
          <w:rFonts w:cs="Times New Roman"/>
          <w:b/>
          <w:vertAlign w:val="subscript"/>
        </w:rPr>
        <w:t>4</w:t>
      </w:r>
      <w:r w:rsidR="00C70D30" w:rsidRPr="006644DD">
        <w:rPr>
          <w:rFonts w:cs="Times New Roman"/>
          <w:b/>
          <w:vertAlign w:val="superscript"/>
        </w:rPr>
        <w:t>3-</w:t>
      </w:r>
      <w:r w:rsidR="00C70D30" w:rsidRPr="006644DD">
        <w:rPr>
          <w:rFonts w:cs="Times New Roman"/>
          <w:b/>
        </w:rPr>
        <w:t xml:space="preserve"> were the main anions provided by the wood ash. While the low WS PO</w:t>
      </w:r>
      <w:r w:rsidR="00C70D30" w:rsidRPr="006644DD">
        <w:rPr>
          <w:rFonts w:cs="Times New Roman"/>
          <w:b/>
          <w:vertAlign w:val="subscript"/>
        </w:rPr>
        <w:t>4</w:t>
      </w:r>
      <w:r w:rsidR="00C70D30" w:rsidRPr="006644DD">
        <w:rPr>
          <w:rFonts w:cs="Times New Roman"/>
          <w:b/>
          <w:vertAlign w:val="superscript"/>
        </w:rPr>
        <w:t>3-</w:t>
      </w:r>
      <w:r w:rsidR="00C70D30" w:rsidRPr="006644DD">
        <w:rPr>
          <w:rFonts w:cs="Times New Roman"/>
          <w:b/>
        </w:rPr>
        <w:t xml:space="preserve"> in the ashes of the present study (</w:t>
      </w:r>
      <w:r w:rsidR="00C70D30" w:rsidRPr="006644DD">
        <w:rPr>
          <w:rFonts w:cs="Times New Roman"/>
          <w:b/>
        </w:rPr>
        <w:fldChar w:fldCharType="begin"/>
      </w:r>
      <w:r w:rsidR="00C70D30" w:rsidRPr="006644DD">
        <w:rPr>
          <w:rFonts w:cs="Times New Roman"/>
          <w:b/>
        </w:rPr>
        <w:instrText xml:space="preserve"> REF _Ref44759336 \h  \* MERGEFORMAT </w:instrText>
      </w:r>
      <w:r w:rsidR="00C70D30" w:rsidRPr="006644DD">
        <w:rPr>
          <w:rFonts w:cs="Times New Roman"/>
          <w:b/>
        </w:rPr>
      </w:r>
      <w:r w:rsidR="00C70D30" w:rsidRPr="006644DD">
        <w:rPr>
          <w:rFonts w:cs="Times New Roman"/>
          <w:b/>
        </w:rPr>
        <w:fldChar w:fldCharType="separate"/>
      </w:r>
      <w:r w:rsidR="00C70D30" w:rsidRPr="006644DD">
        <w:rPr>
          <w:rFonts w:cs="Times New Roman"/>
          <w:b/>
        </w:rPr>
        <w:t xml:space="preserve">Table </w:t>
      </w:r>
      <w:r w:rsidR="00C70D30" w:rsidRPr="006644DD">
        <w:rPr>
          <w:rFonts w:cs="Times New Roman"/>
          <w:b/>
          <w:noProof/>
        </w:rPr>
        <w:t>3</w:t>
      </w:r>
      <w:r w:rsidR="00C70D30" w:rsidRPr="006644DD">
        <w:rPr>
          <w:rFonts w:cs="Times New Roman"/>
          <w:b/>
        </w:rPr>
        <w:fldChar w:fldCharType="end"/>
      </w:r>
      <w:r w:rsidR="00C70D30" w:rsidRPr="006644DD">
        <w:rPr>
          <w:rFonts w:cs="Times New Roman"/>
          <w:b/>
        </w:rPr>
        <w:t>) was associated with the low solubility of calcium (Ca</w:t>
      </w:r>
      <w:r w:rsidR="00C70D30" w:rsidRPr="006644DD">
        <w:rPr>
          <w:rFonts w:cs="Times New Roman"/>
          <w:b/>
          <w:vertAlign w:val="superscript"/>
        </w:rPr>
        <w:t>2+</w:t>
      </w:r>
      <w:r w:rsidR="00C70D30" w:rsidRPr="006644DD">
        <w:rPr>
          <w:rFonts w:cs="Times New Roman"/>
          <w:b/>
        </w:rPr>
        <w:t>) and magnesium (Mg</w:t>
      </w:r>
      <w:r w:rsidR="00C70D30" w:rsidRPr="006644DD">
        <w:rPr>
          <w:rFonts w:cs="Times New Roman"/>
          <w:b/>
          <w:vertAlign w:val="superscript"/>
        </w:rPr>
        <w:t>2+</w:t>
      </w:r>
      <w:r w:rsidR="00C70D30" w:rsidRPr="006644DD">
        <w:rPr>
          <w:rFonts w:cs="Times New Roman"/>
          <w:b/>
        </w:rPr>
        <w:t>), the SO</w:t>
      </w:r>
      <w:r w:rsidR="00C70D30" w:rsidRPr="006644DD">
        <w:rPr>
          <w:rFonts w:cs="Times New Roman"/>
          <w:b/>
          <w:vertAlign w:val="subscript"/>
        </w:rPr>
        <w:t>4</w:t>
      </w:r>
      <w:r w:rsidR="00C70D30" w:rsidRPr="006644DD">
        <w:rPr>
          <w:rFonts w:cs="Times New Roman"/>
          <w:b/>
          <w:vertAlign w:val="superscript"/>
        </w:rPr>
        <w:t>2-</w:t>
      </w:r>
      <w:r w:rsidR="00C70D30" w:rsidRPr="006644DD">
        <w:rPr>
          <w:rFonts w:cs="Times New Roman"/>
          <w:b/>
        </w:rPr>
        <w:t xml:space="preserve"> and the Cl</w:t>
      </w:r>
      <w:r w:rsidR="00C70D30" w:rsidRPr="006644DD">
        <w:rPr>
          <w:rFonts w:cs="Times New Roman"/>
          <w:b/>
          <w:vertAlign w:val="superscript"/>
        </w:rPr>
        <w:t>-</w:t>
      </w:r>
      <w:r w:rsidR="00C70D30" w:rsidRPr="006644DD">
        <w:rPr>
          <w:rFonts w:cs="Times New Roman"/>
          <w:b/>
        </w:rPr>
        <w:t xml:space="preserve"> were the counter ions associated with the potassium, The postassium salts are very soluble and are rarely related to the hardening phenomenon, with the exception of K</w:t>
      </w:r>
      <w:r w:rsidR="00C70D30" w:rsidRPr="006644DD">
        <w:rPr>
          <w:rFonts w:cs="Times New Roman"/>
          <w:b/>
          <w:vertAlign w:val="subscript"/>
        </w:rPr>
        <w:t>2</w:t>
      </w:r>
      <w:r w:rsidR="00C70D30" w:rsidRPr="006644DD">
        <w:rPr>
          <w:rFonts w:cs="Times New Roman"/>
          <w:b/>
        </w:rPr>
        <w:t>Ca(SO</w:t>
      </w:r>
      <w:r w:rsidR="00C70D30" w:rsidRPr="006644DD">
        <w:rPr>
          <w:rFonts w:cs="Times New Roman"/>
          <w:b/>
          <w:vertAlign w:val="subscript"/>
        </w:rPr>
        <w:t>4</w:t>
      </w:r>
      <w:r w:rsidR="00C70D30" w:rsidRPr="006644DD">
        <w:rPr>
          <w:rFonts w:cs="Times New Roman"/>
          <w:b/>
        </w:rPr>
        <w:t>)</w:t>
      </w:r>
      <w:r w:rsidR="00C70D30" w:rsidRPr="006644DD">
        <w:rPr>
          <w:rFonts w:cs="Times New Roman"/>
          <w:b/>
          <w:vertAlign w:val="subscript"/>
        </w:rPr>
        <w:t>2</w:t>
      </w:r>
      <w:r w:rsidR="00C70D30" w:rsidRPr="006644DD">
        <w:rPr>
          <w:rFonts w:cs="Times New Roman"/>
          <w:b/>
        </w:rPr>
        <w:t>*H</w:t>
      </w:r>
      <w:r w:rsidR="00C70D30" w:rsidRPr="006644DD">
        <w:rPr>
          <w:rFonts w:cs="Times New Roman"/>
          <w:b/>
          <w:vertAlign w:val="subscript"/>
        </w:rPr>
        <w:t>2</w:t>
      </w:r>
      <w:r w:rsidR="00C70D30" w:rsidRPr="006644DD">
        <w:rPr>
          <w:rFonts w:cs="Times New Roman"/>
          <w:b/>
        </w:rPr>
        <w:t xml:space="preserve">O </w:t>
      </w:r>
      <w:r w:rsidR="00C70D30" w:rsidRPr="006644DD">
        <w:rPr>
          <w:rFonts w:cs="Times New Roman"/>
          <w:b/>
        </w:rPr>
        <w:fldChar w:fldCharType="begin" w:fldLock="1"/>
      </w:r>
      <w:r w:rsidR="00C70D30" w:rsidRPr="006644DD">
        <w:rPr>
          <w:rFonts w:cs="Times New Roman"/>
          <w:b/>
        </w:rPr>
        <w:instrText>ADDIN CSL_CITATION {"citationItems":[{"id":"ITEM-1","itemData":{"DOI":"10.1016/S0961-9534(97)00024-X","ISBN":"0961-9534","ISSN":"09619534","abstract":"A Swedish research program concerning the technical and ecological effects of wood fuel ash recycling to forest biotopes has been on-going for several years. Within this program, a study of the stabilisation of ash by the so-called self-hardening process was carried out. Chemical reactions occurring in the ash materials on water addition and during solidification were identified based on results from chemical analysis, X-ray diffraction, FTIR spectroscopic and scanning electron microscopy analysis. The stability and importance of the individual reaction products are discussed. Some results of practical importance are: alkali metals are to a large extent present as salts dissolved in the pore solution, i.e. the hardened ash should be stored in a way that protects it from rainfall; the dominant wood ash element calcium forms Ca(OH), and subsequently CaCO, during hardening anti storage: ettringite formation binds sulphur and aluminium and contributes to the stability of the ash structure; and phosphorous is bound in apatite and other compounds with low solubilities.","author":[{"dropping-particle":"","family":"Steenari","given":"B. M.","non-dropping-particle":"","parse-names":false,"suffix":""},{"dropping-particle":"","family":"Lindqvist","given":"O.","non-dropping-particle":"","parse-names":false,"suffix":""}],"container-title":"Biomass and Bioenergy","id":"ITEM-1","issue":"1-2","issued":{"date-parts":[["1997"]]},"page":"39-50","title":"Stabilisation of biofuel ashes for recycling to forest soil","type":"article-journal","volume":"13"},"uris":["http://www.mendeley.com/documents/?uuid=3ae4fcb1-4c9c-45b8-9980-348d296cf940"]}],"mendeley":{"formattedCitation":"[9]","plainTextFormattedCitation":"[9]","previouslyFormattedCitation":"[9]"},"properties":{"noteIndex":0},"schema":"https://github.com/citation-style-language/schema/raw/master/csl-citation.json"}</w:instrText>
      </w:r>
      <w:r w:rsidR="00C70D30" w:rsidRPr="006644DD">
        <w:rPr>
          <w:rFonts w:cs="Times New Roman"/>
          <w:b/>
        </w:rPr>
        <w:fldChar w:fldCharType="separate"/>
      </w:r>
      <w:r w:rsidR="00C70D30" w:rsidRPr="006644DD">
        <w:rPr>
          <w:rFonts w:cs="Times New Roman"/>
          <w:b/>
          <w:noProof/>
        </w:rPr>
        <w:t>[9]</w:t>
      </w:r>
      <w:r w:rsidR="00C70D30" w:rsidRPr="006644DD">
        <w:rPr>
          <w:rFonts w:cs="Times New Roman"/>
          <w:b/>
        </w:rPr>
        <w:fldChar w:fldCharType="end"/>
      </w:r>
      <w:r w:rsidR="00C70D30" w:rsidRPr="006644DD">
        <w:rPr>
          <w:rFonts w:cs="Times New Roman"/>
          <w:b/>
        </w:rPr>
        <w:t xml:space="preserve">. </w:t>
      </w:r>
      <w:r w:rsidRPr="006644DD">
        <w:rPr>
          <w:rFonts w:cs="Times New Roman"/>
          <w:b/>
        </w:rPr>
        <w:t>Generally, the EC of the ashes increases with the moisture content but beyond the water sorption saturation level, which correspo</w:t>
      </w:r>
      <w:r w:rsidR="00B72832" w:rsidRPr="006644DD">
        <w:rPr>
          <w:rFonts w:cs="Times New Roman"/>
          <w:b/>
        </w:rPr>
        <w:t>nds to a S</w:t>
      </w:r>
      <w:r w:rsidR="00926330" w:rsidRPr="006644DD">
        <w:rPr>
          <w:rFonts w:cs="Times New Roman"/>
          <w:b/>
        </w:rPr>
        <w:t>:</w:t>
      </w:r>
      <w:r w:rsidR="00B72832" w:rsidRPr="006644DD">
        <w:rPr>
          <w:rFonts w:cs="Times New Roman"/>
          <w:b/>
        </w:rPr>
        <w:t>E</w:t>
      </w:r>
      <w:r w:rsidR="00926330" w:rsidRPr="006644DD">
        <w:rPr>
          <w:rFonts w:cs="Times New Roman"/>
          <w:b/>
        </w:rPr>
        <w:t xml:space="preserve"> ratio</w:t>
      </w:r>
      <w:r w:rsidRPr="006644DD">
        <w:rPr>
          <w:rFonts w:cs="Times New Roman"/>
          <w:b/>
        </w:rPr>
        <w:t xml:space="preserve"> of 1:0.4 </w:t>
      </w:r>
      <w:r w:rsidRPr="006644DD">
        <w:rPr>
          <w:rFonts w:cs="Times New Roman"/>
          <w:b/>
        </w:rPr>
        <w:fldChar w:fldCharType="begin" w:fldLock="1"/>
      </w:r>
      <w:r w:rsidR="00BB33F9">
        <w:rPr>
          <w:rFonts w:cs="Times New Roman"/>
          <w:b/>
        </w:rPr>
        <w:instrText>ADDIN CSL_CITATION {"citationItems":[{"id":"ITEM-1","itemData":{"DOI":"10.1016/j.cemconres.2004.09.008","ISSN":"00088846","abstract":"It is necessary to establish the material design system for the utilization of large amounts of fly ash as blended cement instead of disposing of it as a waste. Cement blended with fly ash is also required as a countermeasure to reduce the amount of CO2 generation. In this study, the influences of the glass content and the basicity of glass phase on the hydration of fly ash cement were clarified and hydration over a long curing time was characterized. Two kinds of fly ash with different glass content, one with 38.2% and another with 76.6%, were used. The hydration ratio of fly ash was increased by increasing the glass content in fly ash in the specimens cured for 270 days. When the glass content of fly ash is low, the basicity of glass phase tends to decrease. Reactivity of fly ash is controlled by the basicity of the glass phase in fly ash during a period from 28 to 270 days. However, at an age of 360 days, the reaction ratios of fly ash show almost identical values with different glass contents. Fly ash also affected the hydration of cement clinker minerals in fly ash cement. While the hydration of alite was accelerated, that of belite was retarded at a late stage. © 2004 Elsevier Ltd. All rights reserved.","author":[{"dropping-particle":"","family":"Sakai","given":"Etsuo","non-dropping-particle":"","parse-names":false,"suffix":""},{"dropping-particle":"","family":"Miyahara","given":"Shigeyoshi","non-dropping-particle":"","parse-names":false,"suffix":""},{"dropping-particle":"","family":"Ohsawa","given":"Shigenari","non-dropping-particle":"","parse-names":false,"suffix":""},{"dropping-particle":"","family":"Lee","given":"Seung Heun","non-dropping-particle":"","parse-names":false,"suffix":""},{"dropping-particle":"","family":"Daimon","given":"Masaki","non-dropping-particle":"","parse-names":false,"suffix":""}],"container-title":"Cement and Concrete Research","id":"ITEM-1","issue":"6","issued":{"date-parts":[["2005"]]},"page":"1135-1140","title":"Hydration of fly ash cement","type":"article-journal","volume":"35"},"uris":["http://www.mendeley.com/documents/?uuid=1b0c91f2-0dd1-4921-8b90-ecb39b2f3223"]},{"id":"ITEM-2","itemData":{"DOI":"10.1617/14108","ISSN":"13595997","abstract":"The electrical resistivity method was used for measuring the electrical resistivity of cement paste incorporating with fly ash. The study found that the bulk electrical resistivity ρ(t) was a function of the solution electrical resistivity ρ0(t) and porosity Φ. A two-component model was proposed, in which ρ(t) was dominated by ρ0(t) at the early period of hydration and dominated by Φ at a later period. The porosity formation curve was derived from the 2-point method. A logarithmic equation ρ(t) =K*ln(t/t0) was proposed to express the electrical resistivity development with time after hardening, where K represents the rate of hydration, and the pastes with fly ash had a lower K. The setting times and compressive strengths were tested and the results were compared with the electrical properties. © 2004 RILEM. All rights reserved.","author":[{"dropping-particle":"","family":"Wei","given":"X.","non-dropping-particle":"","parse-names":false,"suffix":""},{"dropping-particle":"","family":"Li","given":"Z.","non-dropping-particle":"","parse-names":false,"suffix":""}],"container-title":"Materials and Structures/Materiaux et Constructions","id":"ITEM-2","issue":"277","issued":{"date-parts":[["2005"]]},"page":"411-417","title":"Study on hydration of Portland cement with fly ash using electrical measurement","type":"article-journal","volume":"38"},"uris":["http://www.mendeley.com/documents/?uuid=9b1f78b7-2d91-4b0b-9199-caf53d4ea334"]}],"mendeley":{"formattedCitation":"[42,43]","plainTextFormattedCitation":"[42,43]","previouslyFormattedCitation":"[42,43]"},"properties":{"noteIndex":0},"schema":"https://github.com/citation-style-language/schema/raw/master/csl-citation.json"}</w:instrText>
      </w:r>
      <w:r w:rsidRPr="006644DD">
        <w:rPr>
          <w:rFonts w:cs="Times New Roman"/>
          <w:b/>
          <w:vertAlign w:val="superscript"/>
        </w:rPr>
        <w:fldChar w:fldCharType="separate"/>
      </w:r>
      <w:r w:rsidR="00D33723" w:rsidRPr="00D33723">
        <w:rPr>
          <w:rFonts w:cs="Times New Roman"/>
          <w:noProof/>
        </w:rPr>
        <w:t>[42,43]</w:t>
      </w:r>
      <w:r w:rsidRPr="006644DD">
        <w:rPr>
          <w:rFonts w:cs="Times New Roman"/>
          <w:b/>
        </w:rPr>
        <w:fldChar w:fldCharType="end"/>
      </w:r>
      <w:r w:rsidRPr="006644DD">
        <w:rPr>
          <w:rFonts w:cs="Times New Roman"/>
          <w:b/>
        </w:rPr>
        <w:t>, the EC decreases because of the dilution effect and the lack compaction</w:t>
      </w:r>
      <w:r w:rsidR="008304EC" w:rsidRPr="006644DD">
        <w:rPr>
          <w:rFonts w:cs="Times New Roman"/>
          <w:b/>
        </w:rPr>
        <w:t>. T</w:t>
      </w:r>
      <w:r w:rsidR="008974C3" w:rsidRPr="006644DD">
        <w:rPr>
          <w:rFonts w:cs="Times New Roman"/>
          <w:b/>
        </w:rPr>
        <w:t>h</w:t>
      </w:r>
      <w:r w:rsidR="003F6F18" w:rsidRPr="006644DD">
        <w:rPr>
          <w:rFonts w:cs="Times New Roman"/>
          <w:b/>
        </w:rPr>
        <w:t>erefore</w:t>
      </w:r>
      <w:r w:rsidR="005E2DC2" w:rsidRPr="006644DD">
        <w:rPr>
          <w:rFonts w:cs="Times New Roman"/>
          <w:b/>
        </w:rPr>
        <w:t>,</w:t>
      </w:r>
      <w:r w:rsidR="008304EC" w:rsidRPr="006644DD">
        <w:rPr>
          <w:rFonts w:cs="Times New Roman"/>
          <w:b/>
        </w:rPr>
        <w:t xml:space="preserve"> the level of </w:t>
      </w:r>
      <w:r w:rsidR="00693759">
        <w:rPr>
          <w:rFonts w:cs="Times New Roman"/>
          <w:b/>
        </w:rPr>
        <w:t>self-</w:t>
      </w:r>
      <w:r w:rsidR="001610D3" w:rsidRPr="006644DD">
        <w:rPr>
          <w:rFonts w:cs="Times New Roman"/>
          <w:b/>
        </w:rPr>
        <w:t>hardening</w:t>
      </w:r>
      <w:r w:rsidR="008304EC" w:rsidRPr="006644DD">
        <w:rPr>
          <w:rFonts w:cs="Times New Roman"/>
          <w:b/>
        </w:rPr>
        <w:t xml:space="preserve"> </w:t>
      </w:r>
      <w:r w:rsidR="003F7416" w:rsidRPr="006644DD">
        <w:rPr>
          <w:rFonts w:cs="Times New Roman"/>
          <w:b/>
        </w:rPr>
        <w:t xml:space="preserve">of the </w:t>
      </w:r>
      <w:r w:rsidR="00956BA5" w:rsidRPr="006644DD">
        <w:rPr>
          <w:rFonts w:cs="Times New Roman"/>
          <w:b/>
        </w:rPr>
        <w:t>ashes</w:t>
      </w:r>
      <w:r w:rsidR="008304EC" w:rsidRPr="006644DD">
        <w:rPr>
          <w:rFonts w:cs="Times New Roman"/>
          <w:b/>
        </w:rPr>
        <w:t xml:space="preserve"> did not impact</w:t>
      </w:r>
      <w:r w:rsidR="00441415" w:rsidRPr="006644DD">
        <w:rPr>
          <w:rFonts w:cs="Times New Roman"/>
          <w:b/>
        </w:rPr>
        <w:t>ed o</w:t>
      </w:r>
      <w:r w:rsidR="008304EC" w:rsidRPr="006644DD">
        <w:rPr>
          <w:rFonts w:cs="Times New Roman"/>
          <w:b/>
        </w:rPr>
        <w:t>n</w:t>
      </w:r>
      <w:r w:rsidR="00956BA5" w:rsidRPr="006644DD">
        <w:rPr>
          <w:rFonts w:cs="Times New Roman"/>
          <w:b/>
        </w:rPr>
        <w:t xml:space="preserve"> the measurement of the EC</w:t>
      </w:r>
      <w:r w:rsidR="006644DD" w:rsidRPr="006644DD">
        <w:rPr>
          <w:rFonts w:cs="Times New Roman"/>
          <w:b/>
        </w:rPr>
        <w:t>, which was determined by the amount of mobile ions</w:t>
      </w:r>
      <w:r w:rsidR="00C70D30" w:rsidRPr="006644DD">
        <w:rPr>
          <w:rFonts w:cs="Times New Roman"/>
          <w:b/>
        </w:rPr>
        <w:t>.</w:t>
      </w:r>
    </w:p>
    <w:p w14:paraId="78B4B33F" w14:textId="77777777" w:rsidR="00CB79C7" w:rsidRPr="00713E31" w:rsidRDefault="00CB79C7" w:rsidP="00CB79C7">
      <w:pPr>
        <w:spacing w:line="360" w:lineRule="auto"/>
        <w:rPr>
          <w:rFonts w:cs="Times New Roman"/>
        </w:rPr>
        <w:sectPr w:rsidR="00CB79C7" w:rsidRPr="00713E31" w:rsidSect="00C807A3">
          <w:footerReference w:type="default" r:id="rId20"/>
          <w:pgSz w:w="11906" w:h="16838"/>
          <w:pgMar w:top="1440" w:right="1440" w:bottom="1440" w:left="1440" w:header="708" w:footer="708" w:gutter="0"/>
          <w:cols w:space="708"/>
          <w:docGrid w:linePitch="360"/>
        </w:sectPr>
      </w:pPr>
    </w:p>
    <w:p w14:paraId="474D7671" w14:textId="16D86732" w:rsidR="00CB79C7" w:rsidRPr="00713E31" w:rsidRDefault="00CB79C7" w:rsidP="00CB79C7">
      <w:pPr>
        <w:pStyle w:val="Caption"/>
        <w:keepNext/>
        <w:spacing w:line="360" w:lineRule="auto"/>
        <w:rPr>
          <w:rFonts w:cs="Times New Roman"/>
          <w:i w:val="0"/>
        </w:rPr>
      </w:pPr>
      <w:bookmarkStart w:id="5" w:name="_Ref44759336"/>
      <w:r w:rsidRPr="00713E31">
        <w:rPr>
          <w:rFonts w:cs="Times New Roman"/>
          <w:b/>
          <w:i w:val="0"/>
        </w:rPr>
        <w:lastRenderedPageBreak/>
        <w:t xml:space="preserve">Table </w:t>
      </w:r>
      <w:r w:rsidRPr="00713E31">
        <w:rPr>
          <w:rFonts w:cs="Times New Roman"/>
          <w:b/>
          <w:i w:val="0"/>
          <w:noProof/>
        </w:rPr>
        <w:fldChar w:fldCharType="begin"/>
      </w:r>
      <w:r w:rsidRPr="00713E31">
        <w:rPr>
          <w:rFonts w:cs="Times New Roman"/>
          <w:b/>
          <w:i w:val="0"/>
          <w:noProof/>
        </w:rPr>
        <w:instrText xml:space="preserve"> SEQ Table \* ARABIC </w:instrText>
      </w:r>
      <w:r w:rsidRPr="00713E31">
        <w:rPr>
          <w:rFonts w:cs="Times New Roman"/>
          <w:b/>
          <w:i w:val="0"/>
          <w:noProof/>
        </w:rPr>
        <w:fldChar w:fldCharType="separate"/>
      </w:r>
      <w:r w:rsidR="003A1700" w:rsidRPr="00713E31">
        <w:rPr>
          <w:rFonts w:cs="Times New Roman"/>
          <w:b/>
          <w:i w:val="0"/>
          <w:noProof/>
        </w:rPr>
        <w:t>3</w:t>
      </w:r>
      <w:r w:rsidRPr="00713E31">
        <w:rPr>
          <w:rFonts w:cs="Times New Roman"/>
          <w:b/>
          <w:i w:val="0"/>
          <w:noProof/>
        </w:rPr>
        <w:fldChar w:fldCharType="end"/>
      </w:r>
      <w:bookmarkEnd w:id="5"/>
      <w:r w:rsidRPr="00713E31">
        <w:rPr>
          <w:rFonts w:cs="Times New Roman"/>
          <w:i w:val="0"/>
        </w:rPr>
        <w:t xml:space="preserve"> Ch</w:t>
      </w:r>
      <w:r w:rsidR="008C15A2" w:rsidRPr="00713E31">
        <w:rPr>
          <w:rFonts w:cs="Times New Roman"/>
          <w:i w:val="0"/>
        </w:rPr>
        <w:t>aracteriz</w:t>
      </w:r>
      <w:r w:rsidR="004A7056">
        <w:rPr>
          <w:rFonts w:cs="Times New Roman"/>
          <w:i w:val="0"/>
        </w:rPr>
        <w:t>ation of the four samples and the two</w:t>
      </w:r>
      <w:r w:rsidRPr="00713E31">
        <w:rPr>
          <w:rFonts w:cs="Times New Roman"/>
          <w:i w:val="0"/>
        </w:rPr>
        <w:t xml:space="preserve"> type of blends evaluated in terms of the relevant parameters for </w:t>
      </w:r>
      <w:r w:rsidR="003B39FD" w:rsidRPr="00713E31">
        <w:rPr>
          <w:rFonts w:cs="Times New Roman"/>
          <w:i w:val="0"/>
        </w:rPr>
        <w:t>this</w:t>
      </w:r>
      <w:r w:rsidRPr="00713E31">
        <w:rPr>
          <w:rFonts w:cs="Times New Roman"/>
          <w:i w:val="0"/>
        </w:rPr>
        <w:t xml:space="preserve"> study. The average and standard deviation (n=3) for all the measurements are expressed in fresh weight</w:t>
      </w:r>
    </w:p>
    <w:tbl>
      <w:tblPr>
        <w:tblStyle w:val="TableGrid"/>
        <w:tblW w:w="13099" w:type="dxa"/>
        <w:jc w:val="center"/>
        <w:tblLayout w:type="fixed"/>
        <w:tblLook w:val="04A0" w:firstRow="1" w:lastRow="0" w:firstColumn="1" w:lastColumn="0" w:noHBand="0" w:noVBand="1"/>
      </w:tblPr>
      <w:tblGrid>
        <w:gridCol w:w="2881"/>
        <w:gridCol w:w="1734"/>
        <w:gridCol w:w="1634"/>
        <w:gridCol w:w="1764"/>
        <w:gridCol w:w="1834"/>
        <w:gridCol w:w="1626"/>
        <w:gridCol w:w="1626"/>
      </w:tblGrid>
      <w:tr w:rsidR="00660A97" w:rsidRPr="00713E31" w14:paraId="555836BE" w14:textId="77777777" w:rsidTr="008872B9">
        <w:trPr>
          <w:trHeight w:hRule="exact" w:val="283"/>
          <w:jc w:val="center"/>
        </w:trPr>
        <w:tc>
          <w:tcPr>
            <w:tcW w:w="2881" w:type="dxa"/>
          </w:tcPr>
          <w:p w14:paraId="01C59EF4" w14:textId="77777777" w:rsidR="00CB79C7" w:rsidRPr="00713E31" w:rsidRDefault="00CB79C7" w:rsidP="00CB79C7">
            <w:pPr>
              <w:keepNext/>
              <w:spacing w:line="360" w:lineRule="auto"/>
              <w:rPr>
                <w:rFonts w:cs="Times New Roman"/>
                <w:szCs w:val="20"/>
              </w:rPr>
            </w:pPr>
            <w:r w:rsidRPr="00713E31">
              <w:rPr>
                <w:rFonts w:cs="Times New Roman"/>
                <w:szCs w:val="20"/>
              </w:rPr>
              <w:t>Sample</w:t>
            </w:r>
          </w:p>
        </w:tc>
        <w:tc>
          <w:tcPr>
            <w:tcW w:w="1734" w:type="dxa"/>
          </w:tcPr>
          <w:p w14:paraId="156F9836" w14:textId="77777777" w:rsidR="00CB79C7" w:rsidRPr="00713E31" w:rsidRDefault="00CB79C7" w:rsidP="00CB79C7">
            <w:pPr>
              <w:keepNext/>
              <w:spacing w:line="360" w:lineRule="auto"/>
              <w:rPr>
                <w:rFonts w:cs="Times New Roman"/>
                <w:szCs w:val="20"/>
              </w:rPr>
            </w:pPr>
            <w:r w:rsidRPr="00713E31">
              <w:rPr>
                <w:rFonts w:cs="Times New Roman"/>
                <w:szCs w:val="20"/>
              </w:rPr>
              <w:t>FWD</w:t>
            </w:r>
          </w:p>
        </w:tc>
        <w:tc>
          <w:tcPr>
            <w:tcW w:w="1634" w:type="dxa"/>
          </w:tcPr>
          <w:p w14:paraId="752F117B" w14:textId="77777777" w:rsidR="00CB79C7" w:rsidRPr="00713E31" w:rsidRDefault="00CB79C7" w:rsidP="00CB79C7">
            <w:pPr>
              <w:keepNext/>
              <w:spacing w:line="360" w:lineRule="auto"/>
              <w:rPr>
                <w:rFonts w:cs="Times New Roman"/>
                <w:szCs w:val="20"/>
              </w:rPr>
            </w:pPr>
            <w:r w:rsidRPr="00713E31">
              <w:rPr>
                <w:rFonts w:cs="Times New Roman"/>
                <w:szCs w:val="20"/>
              </w:rPr>
              <w:t>PVWD</w:t>
            </w:r>
          </w:p>
        </w:tc>
        <w:tc>
          <w:tcPr>
            <w:tcW w:w="1764" w:type="dxa"/>
          </w:tcPr>
          <w:p w14:paraId="29BE7F91" w14:textId="77777777" w:rsidR="00CB79C7" w:rsidRPr="00713E31" w:rsidRDefault="00CB79C7" w:rsidP="00CB79C7">
            <w:pPr>
              <w:keepNext/>
              <w:spacing w:line="360" w:lineRule="auto"/>
              <w:rPr>
                <w:rFonts w:cs="Times New Roman"/>
                <w:szCs w:val="20"/>
              </w:rPr>
            </w:pPr>
            <w:r w:rsidRPr="00713E31">
              <w:rPr>
                <w:rFonts w:cs="Times New Roman"/>
                <w:szCs w:val="20"/>
              </w:rPr>
              <w:t>WFA</w:t>
            </w:r>
          </w:p>
        </w:tc>
        <w:tc>
          <w:tcPr>
            <w:tcW w:w="1834" w:type="dxa"/>
          </w:tcPr>
          <w:p w14:paraId="0C30961A" w14:textId="77777777" w:rsidR="00CB79C7" w:rsidRPr="00713E31" w:rsidRDefault="00CB79C7" w:rsidP="00CB79C7">
            <w:pPr>
              <w:keepNext/>
              <w:spacing w:line="360" w:lineRule="auto"/>
              <w:rPr>
                <w:rFonts w:cs="Times New Roman"/>
                <w:szCs w:val="20"/>
              </w:rPr>
            </w:pPr>
            <w:r w:rsidRPr="00713E31">
              <w:rPr>
                <w:rFonts w:cs="Times New Roman"/>
                <w:szCs w:val="20"/>
              </w:rPr>
              <w:t>WBA</w:t>
            </w:r>
          </w:p>
        </w:tc>
        <w:tc>
          <w:tcPr>
            <w:tcW w:w="1626" w:type="dxa"/>
          </w:tcPr>
          <w:p w14:paraId="3EFB0E4E" w14:textId="77777777" w:rsidR="00CB79C7" w:rsidRPr="00713E31" w:rsidRDefault="00CB79C7" w:rsidP="00CB79C7">
            <w:pPr>
              <w:keepNext/>
              <w:spacing w:line="360" w:lineRule="auto"/>
              <w:rPr>
                <w:rFonts w:cs="Times New Roman"/>
                <w:szCs w:val="20"/>
              </w:rPr>
            </w:pPr>
            <w:r w:rsidRPr="00713E31">
              <w:rPr>
                <w:rFonts w:cs="Times New Roman"/>
                <w:szCs w:val="20"/>
              </w:rPr>
              <w:t>Blend 1</w:t>
            </w:r>
          </w:p>
        </w:tc>
        <w:tc>
          <w:tcPr>
            <w:tcW w:w="1626" w:type="dxa"/>
          </w:tcPr>
          <w:p w14:paraId="40609C47" w14:textId="77777777" w:rsidR="00CB79C7" w:rsidRPr="00713E31" w:rsidRDefault="00CB79C7" w:rsidP="00CB79C7">
            <w:pPr>
              <w:keepNext/>
              <w:spacing w:line="360" w:lineRule="auto"/>
              <w:rPr>
                <w:rFonts w:cs="Times New Roman"/>
                <w:szCs w:val="20"/>
              </w:rPr>
            </w:pPr>
            <w:r w:rsidRPr="00713E31">
              <w:rPr>
                <w:rFonts w:cs="Times New Roman"/>
                <w:szCs w:val="20"/>
              </w:rPr>
              <w:t>Blend 2</w:t>
            </w:r>
          </w:p>
        </w:tc>
      </w:tr>
      <w:tr w:rsidR="00660A97" w:rsidRPr="00713E31" w14:paraId="3FE2D65D" w14:textId="77777777" w:rsidTr="008872B9">
        <w:trPr>
          <w:trHeight w:hRule="exact" w:val="283"/>
          <w:jc w:val="center"/>
        </w:trPr>
        <w:tc>
          <w:tcPr>
            <w:tcW w:w="2881" w:type="dxa"/>
          </w:tcPr>
          <w:p w14:paraId="343906E4" w14:textId="77777777" w:rsidR="00CB79C7" w:rsidRPr="00713E31" w:rsidRDefault="00CB79C7" w:rsidP="00CB79C7">
            <w:pPr>
              <w:keepNext/>
              <w:spacing w:line="360" w:lineRule="auto"/>
              <w:rPr>
                <w:rFonts w:cs="Times New Roman"/>
                <w:szCs w:val="20"/>
              </w:rPr>
            </w:pPr>
            <w:r w:rsidRPr="00713E31">
              <w:rPr>
                <w:rFonts w:cs="Times New Roman"/>
                <w:szCs w:val="20"/>
                <w:vertAlign w:val="superscript"/>
              </w:rPr>
              <w:t>a</w:t>
            </w:r>
            <w:r w:rsidRPr="00713E31">
              <w:rPr>
                <w:rFonts w:cs="Times New Roman"/>
                <w:szCs w:val="20"/>
              </w:rPr>
              <w:t xml:space="preserve"> pH</w:t>
            </w:r>
          </w:p>
        </w:tc>
        <w:tc>
          <w:tcPr>
            <w:tcW w:w="1734" w:type="dxa"/>
          </w:tcPr>
          <w:p w14:paraId="0ACA39F0" w14:textId="77777777" w:rsidR="00CB79C7" w:rsidRPr="00713E31" w:rsidRDefault="00CB79C7" w:rsidP="00CB79C7">
            <w:pPr>
              <w:keepNext/>
              <w:spacing w:line="360" w:lineRule="auto"/>
              <w:jc w:val="center"/>
              <w:rPr>
                <w:rFonts w:cs="Times New Roman"/>
                <w:szCs w:val="20"/>
              </w:rPr>
            </w:pPr>
            <w:r w:rsidRPr="00713E31">
              <w:rPr>
                <w:rFonts w:cs="Times New Roman"/>
                <w:szCs w:val="20"/>
              </w:rPr>
              <w:t>8.8 ± 0.0</w:t>
            </w:r>
          </w:p>
        </w:tc>
        <w:tc>
          <w:tcPr>
            <w:tcW w:w="1634" w:type="dxa"/>
          </w:tcPr>
          <w:p w14:paraId="0B1D6F40" w14:textId="77777777" w:rsidR="00CB79C7" w:rsidRPr="00713E31" w:rsidRDefault="00CB79C7" w:rsidP="00CB79C7">
            <w:pPr>
              <w:keepNext/>
              <w:spacing w:line="360" w:lineRule="auto"/>
              <w:jc w:val="center"/>
              <w:rPr>
                <w:rFonts w:cs="Times New Roman"/>
                <w:szCs w:val="20"/>
              </w:rPr>
            </w:pPr>
            <w:r w:rsidRPr="00713E31">
              <w:rPr>
                <w:rFonts w:cs="Times New Roman"/>
                <w:szCs w:val="20"/>
              </w:rPr>
              <w:t>8.8 ± 0.0</w:t>
            </w:r>
          </w:p>
        </w:tc>
        <w:tc>
          <w:tcPr>
            <w:tcW w:w="1764" w:type="dxa"/>
          </w:tcPr>
          <w:p w14:paraId="0341B389" w14:textId="77777777" w:rsidR="00CB79C7" w:rsidRPr="00713E31" w:rsidRDefault="00CB79C7" w:rsidP="00CB79C7">
            <w:pPr>
              <w:keepNext/>
              <w:spacing w:line="360" w:lineRule="auto"/>
              <w:jc w:val="center"/>
              <w:rPr>
                <w:rFonts w:cs="Times New Roman"/>
                <w:szCs w:val="20"/>
              </w:rPr>
            </w:pPr>
            <w:r w:rsidRPr="00713E31">
              <w:rPr>
                <w:rFonts w:cs="Times New Roman"/>
                <w:szCs w:val="20"/>
              </w:rPr>
              <w:t>12.9 ± 0.0</w:t>
            </w:r>
          </w:p>
        </w:tc>
        <w:tc>
          <w:tcPr>
            <w:tcW w:w="1834" w:type="dxa"/>
          </w:tcPr>
          <w:p w14:paraId="0A91349D" w14:textId="77777777" w:rsidR="00CB79C7" w:rsidRPr="00713E31" w:rsidRDefault="00CB79C7" w:rsidP="00CB79C7">
            <w:pPr>
              <w:keepNext/>
              <w:spacing w:line="360" w:lineRule="auto"/>
              <w:jc w:val="center"/>
              <w:rPr>
                <w:rFonts w:cs="Times New Roman"/>
                <w:szCs w:val="20"/>
              </w:rPr>
            </w:pPr>
            <w:r w:rsidRPr="00713E31">
              <w:rPr>
                <w:rFonts w:cs="Times New Roman"/>
                <w:szCs w:val="20"/>
              </w:rPr>
              <w:t>13.4 ± 0.0</w:t>
            </w:r>
          </w:p>
        </w:tc>
        <w:tc>
          <w:tcPr>
            <w:tcW w:w="1626" w:type="dxa"/>
          </w:tcPr>
          <w:p w14:paraId="7F9C1418" w14:textId="77777777" w:rsidR="00CB79C7" w:rsidRPr="00713E31" w:rsidRDefault="00CB79C7" w:rsidP="00CB79C7">
            <w:pPr>
              <w:keepNext/>
              <w:spacing w:line="360" w:lineRule="auto"/>
              <w:jc w:val="center"/>
              <w:rPr>
                <w:rFonts w:cs="Times New Roman"/>
                <w:szCs w:val="20"/>
              </w:rPr>
            </w:pPr>
            <w:r w:rsidRPr="00713E31">
              <w:rPr>
                <w:rFonts w:cs="Times New Roman"/>
                <w:szCs w:val="20"/>
              </w:rPr>
              <w:t>9.5 ± 0.0</w:t>
            </w:r>
          </w:p>
        </w:tc>
        <w:tc>
          <w:tcPr>
            <w:tcW w:w="1626" w:type="dxa"/>
          </w:tcPr>
          <w:p w14:paraId="21BBE23C" w14:textId="77777777" w:rsidR="00CB79C7" w:rsidRPr="00713E31" w:rsidRDefault="00CB79C7" w:rsidP="00CB79C7">
            <w:pPr>
              <w:keepNext/>
              <w:spacing w:line="360" w:lineRule="auto"/>
              <w:jc w:val="center"/>
              <w:rPr>
                <w:rFonts w:cs="Times New Roman"/>
                <w:szCs w:val="20"/>
              </w:rPr>
            </w:pPr>
            <w:r w:rsidRPr="00713E31">
              <w:rPr>
                <w:rFonts w:cs="Times New Roman"/>
                <w:szCs w:val="20"/>
              </w:rPr>
              <w:t>10.2 ± 0.0</w:t>
            </w:r>
          </w:p>
        </w:tc>
      </w:tr>
      <w:tr w:rsidR="00660A97" w:rsidRPr="00713E31" w14:paraId="68E73252" w14:textId="77777777" w:rsidTr="008872B9">
        <w:trPr>
          <w:trHeight w:hRule="exact" w:val="283"/>
          <w:jc w:val="center"/>
        </w:trPr>
        <w:tc>
          <w:tcPr>
            <w:tcW w:w="2881" w:type="dxa"/>
          </w:tcPr>
          <w:p w14:paraId="7C467AF5" w14:textId="77777777" w:rsidR="00CB79C7" w:rsidRPr="00713E31" w:rsidRDefault="00CB79C7" w:rsidP="00CB79C7">
            <w:pPr>
              <w:keepNext/>
              <w:spacing w:line="360" w:lineRule="auto"/>
              <w:rPr>
                <w:rFonts w:cs="Times New Roman"/>
                <w:szCs w:val="20"/>
              </w:rPr>
            </w:pPr>
            <w:r w:rsidRPr="00713E31">
              <w:rPr>
                <w:rFonts w:cs="Times New Roman"/>
                <w:szCs w:val="20"/>
                <w:vertAlign w:val="superscript"/>
              </w:rPr>
              <w:t>a</w:t>
            </w:r>
            <w:r w:rsidRPr="00713E31">
              <w:rPr>
                <w:rFonts w:cs="Times New Roman"/>
                <w:szCs w:val="20"/>
              </w:rPr>
              <w:t xml:space="preserve"> EC</w:t>
            </w:r>
          </w:p>
        </w:tc>
        <w:tc>
          <w:tcPr>
            <w:tcW w:w="1734" w:type="dxa"/>
          </w:tcPr>
          <w:p w14:paraId="36E80CA7" w14:textId="77777777" w:rsidR="00CB79C7" w:rsidRPr="00713E31" w:rsidRDefault="00CB79C7" w:rsidP="00CB79C7">
            <w:pPr>
              <w:keepNext/>
              <w:spacing w:line="360" w:lineRule="auto"/>
              <w:jc w:val="center"/>
              <w:rPr>
                <w:rFonts w:cs="Times New Roman"/>
                <w:szCs w:val="20"/>
              </w:rPr>
            </w:pPr>
            <w:r w:rsidRPr="00713E31">
              <w:rPr>
                <w:rFonts w:cs="Times New Roman"/>
                <w:szCs w:val="20"/>
              </w:rPr>
              <w:t>8.6 ± 0.1</w:t>
            </w:r>
          </w:p>
        </w:tc>
        <w:tc>
          <w:tcPr>
            <w:tcW w:w="1634" w:type="dxa"/>
          </w:tcPr>
          <w:p w14:paraId="7F3A420C" w14:textId="7E7211CA" w:rsidR="00CB79C7" w:rsidRPr="00713E31" w:rsidRDefault="00A65198" w:rsidP="00CB79C7">
            <w:pPr>
              <w:keepNext/>
              <w:spacing w:line="360" w:lineRule="auto"/>
              <w:jc w:val="center"/>
              <w:rPr>
                <w:rFonts w:cs="Times New Roman"/>
                <w:szCs w:val="20"/>
              </w:rPr>
            </w:pPr>
            <w:r>
              <w:rPr>
                <w:rFonts w:cs="Times New Roman"/>
                <w:szCs w:val="20"/>
              </w:rPr>
              <w:t xml:space="preserve">2.4 </w:t>
            </w:r>
            <w:r w:rsidR="00CB79C7" w:rsidRPr="00713E31">
              <w:rPr>
                <w:rFonts w:cs="Times New Roman"/>
                <w:szCs w:val="20"/>
              </w:rPr>
              <w:t>± 0.0</w:t>
            </w:r>
          </w:p>
        </w:tc>
        <w:tc>
          <w:tcPr>
            <w:tcW w:w="1764" w:type="dxa"/>
          </w:tcPr>
          <w:p w14:paraId="7904CF53" w14:textId="77777777" w:rsidR="00CB79C7" w:rsidRPr="00713E31" w:rsidRDefault="00CB79C7" w:rsidP="00CB79C7">
            <w:pPr>
              <w:keepNext/>
              <w:spacing w:line="360" w:lineRule="auto"/>
              <w:jc w:val="center"/>
              <w:rPr>
                <w:rFonts w:cs="Times New Roman"/>
                <w:szCs w:val="20"/>
              </w:rPr>
            </w:pPr>
            <w:r w:rsidRPr="00713E31">
              <w:rPr>
                <w:rFonts w:cs="Times New Roman"/>
                <w:szCs w:val="20"/>
              </w:rPr>
              <w:t>20.6 ± 0.6</w:t>
            </w:r>
          </w:p>
        </w:tc>
        <w:tc>
          <w:tcPr>
            <w:tcW w:w="1834" w:type="dxa"/>
          </w:tcPr>
          <w:p w14:paraId="4892A4DA" w14:textId="77777777" w:rsidR="00CB79C7" w:rsidRPr="00713E31" w:rsidRDefault="00CB79C7" w:rsidP="00CB79C7">
            <w:pPr>
              <w:keepNext/>
              <w:spacing w:line="360" w:lineRule="auto"/>
              <w:jc w:val="center"/>
              <w:rPr>
                <w:rFonts w:cs="Times New Roman"/>
                <w:szCs w:val="20"/>
              </w:rPr>
            </w:pPr>
            <w:r w:rsidRPr="00713E31">
              <w:rPr>
                <w:rFonts w:cs="Times New Roman"/>
                <w:szCs w:val="20"/>
              </w:rPr>
              <w:t>57.9 ± 1.0</w:t>
            </w:r>
          </w:p>
        </w:tc>
        <w:tc>
          <w:tcPr>
            <w:tcW w:w="1626" w:type="dxa"/>
          </w:tcPr>
          <w:p w14:paraId="3CCB2938" w14:textId="77777777" w:rsidR="00CB79C7" w:rsidRPr="00713E31" w:rsidRDefault="00CB79C7" w:rsidP="00CB79C7">
            <w:pPr>
              <w:keepNext/>
              <w:spacing w:line="360" w:lineRule="auto"/>
              <w:jc w:val="center"/>
              <w:rPr>
                <w:rFonts w:cs="Times New Roman"/>
                <w:szCs w:val="20"/>
              </w:rPr>
            </w:pPr>
            <w:r w:rsidRPr="00713E31">
              <w:rPr>
                <w:rFonts w:cs="Times New Roman"/>
                <w:szCs w:val="20"/>
              </w:rPr>
              <w:t>9.9 ± 0.2</w:t>
            </w:r>
          </w:p>
        </w:tc>
        <w:tc>
          <w:tcPr>
            <w:tcW w:w="1626" w:type="dxa"/>
          </w:tcPr>
          <w:p w14:paraId="58F92401" w14:textId="77777777" w:rsidR="00CB79C7" w:rsidRPr="00713E31" w:rsidRDefault="00CB79C7" w:rsidP="00CB79C7">
            <w:pPr>
              <w:keepNext/>
              <w:spacing w:line="360" w:lineRule="auto"/>
              <w:jc w:val="center"/>
              <w:rPr>
                <w:rFonts w:cs="Times New Roman"/>
                <w:szCs w:val="20"/>
              </w:rPr>
            </w:pPr>
            <w:r w:rsidRPr="00713E31">
              <w:rPr>
                <w:rFonts w:cs="Times New Roman"/>
                <w:szCs w:val="20"/>
              </w:rPr>
              <w:t>13.8 ± 0.2</w:t>
            </w:r>
          </w:p>
        </w:tc>
      </w:tr>
      <w:tr w:rsidR="00660A97" w:rsidRPr="00713E31" w14:paraId="745F33DA" w14:textId="77777777" w:rsidTr="008872B9">
        <w:trPr>
          <w:trHeight w:hRule="exact" w:val="283"/>
          <w:jc w:val="center"/>
        </w:trPr>
        <w:tc>
          <w:tcPr>
            <w:tcW w:w="2881" w:type="dxa"/>
          </w:tcPr>
          <w:p w14:paraId="08826C94" w14:textId="77777777" w:rsidR="00CB79C7" w:rsidRPr="00713E31" w:rsidRDefault="00CB79C7" w:rsidP="00CB79C7">
            <w:pPr>
              <w:keepNext/>
              <w:spacing w:line="360" w:lineRule="auto"/>
              <w:rPr>
                <w:rFonts w:cs="Times New Roman"/>
                <w:szCs w:val="20"/>
              </w:rPr>
            </w:pPr>
            <w:r w:rsidRPr="00713E31">
              <w:rPr>
                <w:rFonts w:cs="Times New Roman"/>
                <w:szCs w:val="20"/>
              </w:rPr>
              <w:t>Dry matter/(wt.%)</w:t>
            </w:r>
          </w:p>
        </w:tc>
        <w:tc>
          <w:tcPr>
            <w:tcW w:w="1734" w:type="dxa"/>
          </w:tcPr>
          <w:p w14:paraId="0E8C15C0" w14:textId="77777777" w:rsidR="00CB79C7" w:rsidRPr="00713E31" w:rsidRDefault="00CB79C7" w:rsidP="00CB79C7">
            <w:pPr>
              <w:keepNext/>
              <w:spacing w:line="360" w:lineRule="auto"/>
              <w:jc w:val="center"/>
              <w:rPr>
                <w:rFonts w:cs="Times New Roman"/>
                <w:szCs w:val="20"/>
              </w:rPr>
            </w:pPr>
            <w:r w:rsidRPr="00713E31">
              <w:rPr>
                <w:rFonts w:cs="Times New Roman"/>
                <w:szCs w:val="20"/>
              </w:rPr>
              <w:t>6.3 ± 0.5</w:t>
            </w:r>
          </w:p>
        </w:tc>
        <w:tc>
          <w:tcPr>
            <w:tcW w:w="1634" w:type="dxa"/>
          </w:tcPr>
          <w:p w14:paraId="2F2B3221" w14:textId="77777777" w:rsidR="00CB79C7" w:rsidRPr="00713E31" w:rsidRDefault="00CB79C7" w:rsidP="00CB79C7">
            <w:pPr>
              <w:keepNext/>
              <w:spacing w:line="360" w:lineRule="auto"/>
              <w:jc w:val="center"/>
              <w:rPr>
                <w:rFonts w:cs="Times New Roman"/>
                <w:szCs w:val="20"/>
              </w:rPr>
            </w:pPr>
            <w:r w:rsidRPr="00713E31">
              <w:rPr>
                <w:rFonts w:cs="Times New Roman"/>
                <w:szCs w:val="20"/>
              </w:rPr>
              <w:t>7.6 ± 0.3</w:t>
            </w:r>
          </w:p>
        </w:tc>
        <w:tc>
          <w:tcPr>
            <w:tcW w:w="1764" w:type="dxa"/>
          </w:tcPr>
          <w:p w14:paraId="272EEB7D" w14:textId="77777777" w:rsidR="00CB79C7" w:rsidRPr="00713E31" w:rsidRDefault="00CB79C7" w:rsidP="00CB79C7">
            <w:pPr>
              <w:keepNext/>
              <w:spacing w:line="360" w:lineRule="auto"/>
              <w:jc w:val="center"/>
              <w:rPr>
                <w:rFonts w:cs="Times New Roman"/>
                <w:szCs w:val="20"/>
              </w:rPr>
            </w:pPr>
            <w:r w:rsidRPr="00713E31">
              <w:rPr>
                <w:rFonts w:cs="Times New Roman"/>
                <w:szCs w:val="20"/>
              </w:rPr>
              <w:t>90.0 ± 0.5</w:t>
            </w:r>
          </w:p>
        </w:tc>
        <w:tc>
          <w:tcPr>
            <w:tcW w:w="1834" w:type="dxa"/>
          </w:tcPr>
          <w:p w14:paraId="4E0CE989" w14:textId="77777777" w:rsidR="00CB79C7" w:rsidRPr="00713E31" w:rsidRDefault="00CB79C7" w:rsidP="00CB79C7">
            <w:pPr>
              <w:keepNext/>
              <w:spacing w:line="360" w:lineRule="auto"/>
              <w:jc w:val="center"/>
              <w:rPr>
                <w:rFonts w:cs="Times New Roman"/>
                <w:szCs w:val="20"/>
              </w:rPr>
            </w:pPr>
            <w:r w:rsidRPr="00713E31">
              <w:rPr>
                <w:rFonts w:cs="Times New Roman"/>
                <w:szCs w:val="20"/>
              </w:rPr>
              <w:t>98.9 ± 0.6</w:t>
            </w:r>
          </w:p>
        </w:tc>
        <w:tc>
          <w:tcPr>
            <w:tcW w:w="1626" w:type="dxa"/>
          </w:tcPr>
          <w:p w14:paraId="6067FF6A" w14:textId="77777777" w:rsidR="00CB79C7" w:rsidRPr="00713E31" w:rsidRDefault="00CB79C7" w:rsidP="00CB79C7">
            <w:pPr>
              <w:keepNext/>
              <w:spacing w:line="360" w:lineRule="auto"/>
              <w:jc w:val="center"/>
              <w:rPr>
                <w:rFonts w:cs="Times New Roman"/>
                <w:szCs w:val="20"/>
              </w:rPr>
            </w:pPr>
            <w:r w:rsidRPr="00713E31">
              <w:rPr>
                <w:rFonts w:cs="Times New Roman"/>
                <w:szCs w:val="20"/>
              </w:rPr>
              <w:t>21.4 ± 0.5</w:t>
            </w:r>
          </w:p>
        </w:tc>
        <w:tc>
          <w:tcPr>
            <w:tcW w:w="1626" w:type="dxa"/>
          </w:tcPr>
          <w:p w14:paraId="10BE6CC3" w14:textId="77777777" w:rsidR="00CB79C7" w:rsidRPr="00713E31" w:rsidRDefault="00CB79C7" w:rsidP="00CB79C7">
            <w:pPr>
              <w:keepNext/>
              <w:spacing w:line="360" w:lineRule="auto"/>
              <w:jc w:val="center"/>
              <w:rPr>
                <w:rFonts w:cs="Times New Roman"/>
                <w:szCs w:val="20"/>
              </w:rPr>
            </w:pPr>
            <w:r w:rsidRPr="00713E31">
              <w:rPr>
                <w:rFonts w:cs="Times New Roman"/>
                <w:szCs w:val="20"/>
              </w:rPr>
              <w:t>34.3 ± 0.4</w:t>
            </w:r>
          </w:p>
        </w:tc>
      </w:tr>
      <w:tr w:rsidR="00660A97" w:rsidRPr="00713E31" w14:paraId="5FC22215" w14:textId="77777777" w:rsidTr="008872B9">
        <w:trPr>
          <w:trHeight w:hRule="exact" w:val="283"/>
          <w:jc w:val="center"/>
        </w:trPr>
        <w:tc>
          <w:tcPr>
            <w:tcW w:w="2881" w:type="dxa"/>
          </w:tcPr>
          <w:p w14:paraId="0355292F" w14:textId="77777777" w:rsidR="00CB79C7" w:rsidRPr="00713E31" w:rsidRDefault="00CB79C7" w:rsidP="00CB79C7">
            <w:pPr>
              <w:keepNext/>
              <w:spacing w:line="360" w:lineRule="auto"/>
              <w:rPr>
                <w:rFonts w:cs="Times New Roman"/>
                <w:szCs w:val="20"/>
              </w:rPr>
            </w:pPr>
            <w:r w:rsidRPr="00713E31">
              <w:rPr>
                <w:rFonts w:cs="Times New Roman"/>
                <w:szCs w:val="20"/>
              </w:rPr>
              <w:t>TC/(mg/kg)</w:t>
            </w:r>
          </w:p>
        </w:tc>
        <w:tc>
          <w:tcPr>
            <w:tcW w:w="1734" w:type="dxa"/>
          </w:tcPr>
          <w:p w14:paraId="7519B4A1" w14:textId="5E5701AF" w:rsidR="00CB79C7" w:rsidRPr="00713E31" w:rsidRDefault="00660A97" w:rsidP="00CB79C7">
            <w:pPr>
              <w:keepNext/>
              <w:spacing w:line="360" w:lineRule="auto"/>
              <w:jc w:val="center"/>
              <w:rPr>
                <w:rFonts w:cs="Times New Roman"/>
                <w:szCs w:val="20"/>
              </w:rPr>
            </w:pPr>
            <w:r w:rsidRPr="00713E31">
              <w:rPr>
                <w:rFonts w:cs="Times New Roman"/>
                <w:szCs w:val="20"/>
                <w:vertAlign w:val="superscript"/>
              </w:rPr>
              <w:t>e</w:t>
            </w:r>
            <w:r w:rsidRPr="00713E31">
              <w:rPr>
                <w:rFonts w:cs="Times New Roman"/>
                <w:szCs w:val="20"/>
              </w:rPr>
              <w:t xml:space="preserve"> </w:t>
            </w:r>
            <w:r w:rsidR="00CB79C7" w:rsidRPr="00713E31">
              <w:rPr>
                <w:rFonts w:cs="Times New Roman"/>
                <w:szCs w:val="20"/>
              </w:rPr>
              <w:t>21332.3 ± 805.1</w:t>
            </w:r>
          </w:p>
        </w:tc>
        <w:tc>
          <w:tcPr>
            <w:tcW w:w="1634" w:type="dxa"/>
          </w:tcPr>
          <w:p w14:paraId="76338C68" w14:textId="588DCF5B" w:rsidR="00CB79C7" w:rsidRPr="00713E31" w:rsidRDefault="00660A97" w:rsidP="00CB79C7">
            <w:pPr>
              <w:keepNext/>
              <w:spacing w:line="360" w:lineRule="auto"/>
              <w:jc w:val="center"/>
              <w:rPr>
                <w:rFonts w:cs="Times New Roman"/>
                <w:szCs w:val="20"/>
              </w:rPr>
            </w:pPr>
            <w:r w:rsidRPr="00713E31">
              <w:rPr>
                <w:rFonts w:cs="Times New Roman"/>
                <w:szCs w:val="20"/>
                <w:vertAlign w:val="superscript"/>
              </w:rPr>
              <w:t>e</w:t>
            </w:r>
            <w:r w:rsidRPr="00713E31">
              <w:rPr>
                <w:rFonts w:cs="Times New Roman"/>
                <w:szCs w:val="20"/>
              </w:rPr>
              <w:t xml:space="preserve"> </w:t>
            </w:r>
            <w:r w:rsidR="00CB79C7" w:rsidRPr="00713E31">
              <w:rPr>
                <w:rFonts w:cs="Times New Roman"/>
                <w:szCs w:val="20"/>
              </w:rPr>
              <w:t>31959.3 ± 43.6</w:t>
            </w:r>
          </w:p>
        </w:tc>
        <w:tc>
          <w:tcPr>
            <w:tcW w:w="1764" w:type="dxa"/>
          </w:tcPr>
          <w:p w14:paraId="329E75BB" w14:textId="6E9619A7" w:rsidR="00CB79C7" w:rsidRPr="00713E31" w:rsidRDefault="00660A97" w:rsidP="00CB79C7">
            <w:pPr>
              <w:keepNext/>
              <w:spacing w:line="360" w:lineRule="auto"/>
              <w:jc w:val="center"/>
              <w:rPr>
                <w:rFonts w:cs="Times New Roman"/>
                <w:szCs w:val="20"/>
              </w:rPr>
            </w:pPr>
            <w:r w:rsidRPr="00713E31">
              <w:rPr>
                <w:rFonts w:cs="Times New Roman"/>
                <w:szCs w:val="20"/>
                <w:vertAlign w:val="superscript"/>
              </w:rPr>
              <w:t>e</w:t>
            </w:r>
            <w:r w:rsidRPr="00713E31">
              <w:rPr>
                <w:rFonts w:cs="Times New Roman"/>
                <w:szCs w:val="20"/>
              </w:rPr>
              <w:t xml:space="preserve"> </w:t>
            </w:r>
            <w:r w:rsidR="00CB79C7" w:rsidRPr="00713E31">
              <w:rPr>
                <w:rFonts w:cs="Times New Roman"/>
                <w:szCs w:val="20"/>
              </w:rPr>
              <w:t>41398.7 ± 575.2</w:t>
            </w:r>
          </w:p>
        </w:tc>
        <w:tc>
          <w:tcPr>
            <w:tcW w:w="1834" w:type="dxa"/>
          </w:tcPr>
          <w:p w14:paraId="04175BD5" w14:textId="7EE5C928" w:rsidR="00CB79C7" w:rsidRPr="00713E31" w:rsidRDefault="00660A97" w:rsidP="00CB79C7">
            <w:pPr>
              <w:keepNext/>
              <w:spacing w:line="360" w:lineRule="auto"/>
              <w:jc w:val="center"/>
              <w:rPr>
                <w:rFonts w:cs="Times New Roman"/>
                <w:szCs w:val="20"/>
              </w:rPr>
            </w:pPr>
            <w:r w:rsidRPr="00713E31">
              <w:rPr>
                <w:rFonts w:cs="Times New Roman"/>
                <w:szCs w:val="20"/>
                <w:vertAlign w:val="superscript"/>
              </w:rPr>
              <w:t>e</w:t>
            </w:r>
            <w:r w:rsidRPr="00713E31">
              <w:rPr>
                <w:rFonts w:cs="Times New Roman"/>
                <w:szCs w:val="20"/>
              </w:rPr>
              <w:t xml:space="preserve"> </w:t>
            </w:r>
            <w:r w:rsidR="00CB79C7" w:rsidRPr="00713E31">
              <w:rPr>
                <w:rFonts w:cs="Times New Roman"/>
                <w:szCs w:val="20"/>
              </w:rPr>
              <w:t>22069.7 ± 1145.8</w:t>
            </w:r>
          </w:p>
        </w:tc>
        <w:tc>
          <w:tcPr>
            <w:tcW w:w="1626" w:type="dxa"/>
          </w:tcPr>
          <w:p w14:paraId="0F2AA624" w14:textId="77777777" w:rsidR="00CB79C7" w:rsidRPr="00713E31" w:rsidRDefault="00CB79C7" w:rsidP="00CB79C7">
            <w:pPr>
              <w:keepNext/>
              <w:spacing w:line="360" w:lineRule="auto"/>
              <w:jc w:val="center"/>
              <w:rPr>
                <w:rFonts w:cs="Times New Roman"/>
                <w:szCs w:val="20"/>
              </w:rPr>
            </w:pPr>
            <w:r w:rsidRPr="00713E31">
              <w:rPr>
                <w:rFonts w:cs="Times New Roman"/>
                <w:szCs w:val="20"/>
              </w:rPr>
              <w:t>26390.5 ± 658.1</w:t>
            </w:r>
          </w:p>
        </w:tc>
        <w:tc>
          <w:tcPr>
            <w:tcW w:w="1626" w:type="dxa"/>
          </w:tcPr>
          <w:p w14:paraId="7234698C" w14:textId="77777777" w:rsidR="00CB79C7" w:rsidRPr="00713E31" w:rsidRDefault="00CB79C7" w:rsidP="00CB79C7">
            <w:pPr>
              <w:keepNext/>
              <w:spacing w:line="360" w:lineRule="auto"/>
              <w:jc w:val="center"/>
              <w:rPr>
                <w:rFonts w:cs="Times New Roman"/>
                <w:szCs w:val="20"/>
              </w:rPr>
            </w:pPr>
            <w:r w:rsidRPr="00713E31">
              <w:rPr>
                <w:rFonts w:cs="Times New Roman"/>
                <w:szCs w:val="20"/>
              </w:rPr>
              <w:t>31818.7 ± 296.5</w:t>
            </w:r>
          </w:p>
        </w:tc>
      </w:tr>
      <w:tr w:rsidR="00660A97" w:rsidRPr="00713E31" w14:paraId="2FAA04E0" w14:textId="77777777" w:rsidTr="008872B9">
        <w:trPr>
          <w:trHeight w:hRule="exact" w:val="283"/>
          <w:jc w:val="center"/>
        </w:trPr>
        <w:tc>
          <w:tcPr>
            <w:tcW w:w="2881" w:type="dxa"/>
          </w:tcPr>
          <w:p w14:paraId="35A27425" w14:textId="77777777" w:rsidR="00CB79C7" w:rsidRPr="00713E31" w:rsidRDefault="00CB79C7" w:rsidP="00CB79C7">
            <w:pPr>
              <w:keepNext/>
              <w:spacing w:line="360" w:lineRule="auto"/>
              <w:rPr>
                <w:rFonts w:cs="Times New Roman"/>
                <w:szCs w:val="20"/>
              </w:rPr>
            </w:pPr>
            <w:r w:rsidRPr="00713E31">
              <w:rPr>
                <w:rFonts w:cs="Times New Roman"/>
                <w:szCs w:val="20"/>
                <w:vertAlign w:val="superscript"/>
              </w:rPr>
              <w:t>b</w:t>
            </w:r>
            <w:r w:rsidRPr="00713E31">
              <w:rPr>
                <w:rFonts w:cs="Times New Roman"/>
                <w:szCs w:val="20"/>
              </w:rPr>
              <w:t xml:space="preserve"> WS TC/(mg/kg)</w:t>
            </w:r>
          </w:p>
        </w:tc>
        <w:tc>
          <w:tcPr>
            <w:tcW w:w="1734" w:type="dxa"/>
          </w:tcPr>
          <w:p w14:paraId="344E743A" w14:textId="77777777" w:rsidR="00CB79C7" w:rsidRPr="00713E31" w:rsidRDefault="00CB79C7" w:rsidP="00CB79C7">
            <w:pPr>
              <w:keepNext/>
              <w:spacing w:line="360" w:lineRule="auto"/>
              <w:jc w:val="center"/>
              <w:rPr>
                <w:rFonts w:cs="Times New Roman"/>
                <w:szCs w:val="20"/>
              </w:rPr>
            </w:pPr>
            <w:r w:rsidRPr="00713E31">
              <w:rPr>
                <w:rFonts w:cs="Times New Roman"/>
                <w:szCs w:val="20"/>
              </w:rPr>
              <w:t>4073.6 ± 252.0</w:t>
            </w:r>
          </w:p>
        </w:tc>
        <w:tc>
          <w:tcPr>
            <w:tcW w:w="1634" w:type="dxa"/>
          </w:tcPr>
          <w:p w14:paraId="40CDA52B" w14:textId="77777777" w:rsidR="00CB79C7" w:rsidRPr="00713E31" w:rsidRDefault="00CB79C7" w:rsidP="00CB79C7">
            <w:pPr>
              <w:keepNext/>
              <w:spacing w:line="360" w:lineRule="auto"/>
              <w:jc w:val="center"/>
              <w:rPr>
                <w:rFonts w:cs="Times New Roman"/>
                <w:szCs w:val="20"/>
              </w:rPr>
            </w:pPr>
            <w:r w:rsidRPr="00713E31">
              <w:rPr>
                <w:rFonts w:cs="Times New Roman"/>
                <w:szCs w:val="20"/>
              </w:rPr>
              <w:t>2041.5 ± 87.7</w:t>
            </w:r>
          </w:p>
        </w:tc>
        <w:tc>
          <w:tcPr>
            <w:tcW w:w="1764" w:type="dxa"/>
          </w:tcPr>
          <w:p w14:paraId="2C464321" w14:textId="77777777" w:rsidR="00CB79C7" w:rsidRPr="00713E31" w:rsidRDefault="00CB79C7" w:rsidP="00CB79C7">
            <w:pPr>
              <w:keepNext/>
              <w:spacing w:line="360" w:lineRule="auto"/>
              <w:jc w:val="center"/>
              <w:rPr>
                <w:rFonts w:cs="Times New Roman"/>
                <w:szCs w:val="20"/>
              </w:rPr>
            </w:pPr>
            <w:r w:rsidRPr="00713E31">
              <w:rPr>
                <w:rFonts w:cs="Times New Roman"/>
                <w:vertAlign w:val="superscript"/>
              </w:rPr>
              <w:t>d</w:t>
            </w:r>
            <w:r w:rsidRPr="00713E31">
              <w:rPr>
                <w:rFonts w:cs="Times New Roman"/>
              </w:rPr>
              <w:t xml:space="preserve"> </w:t>
            </w:r>
            <w:r w:rsidRPr="00713E31">
              <w:rPr>
                <w:rFonts w:cs="Times New Roman"/>
                <w:szCs w:val="20"/>
              </w:rPr>
              <w:t>3773.6 ± 516.0</w:t>
            </w:r>
          </w:p>
        </w:tc>
        <w:tc>
          <w:tcPr>
            <w:tcW w:w="1834" w:type="dxa"/>
          </w:tcPr>
          <w:p w14:paraId="1E8A2108" w14:textId="77777777" w:rsidR="00CB79C7" w:rsidRPr="00713E31" w:rsidRDefault="00CB79C7" w:rsidP="00CB79C7">
            <w:pPr>
              <w:keepNext/>
              <w:spacing w:line="360" w:lineRule="auto"/>
              <w:jc w:val="center"/>
              <w:rPr>
                <w:rFonts w:cs="Times New Roman"/>
                <w:szCs w:val="20"/>
              </w:rPr>
            </w:pPr>
            <w:r w:rsidRPr="00713E31">
              <w:rPr>
                <w:rFonts w:cs="Times New Roman"/>
                <w:szCs w:val="20"/>
              </w:rPr>
              <w:t>1825 ± 113.6</w:t>
            </w:r>
          </w:p>
        </w:tc>
        <w:tc>
          <w:tcPr>
            <w:tcW w:w="1626" w:type="dxa"/>
          </w:tcPr>
          <w:p w14:paraId="3421F3CB" w14:textId="77777777" w:rsidR="00CB79C7" w:rsidRPr="00713E31" w:rsidRDefault="00CB79C7" w:rsidP="00CB79C7">
            <w:pPr>
              <w:keepNext/>
              <w:spacing w:line="360" w:lineRule="auto"/>
              <w:jc w:val="center"/>
              <w:rPr>
                <w:rFonts w:cs="Times New Roman"/>
                <w:szCs w:val="20"/>
              </w:rPr>
            </w:pPr>
            <w:r w:rsidRPr="00713E31">
              <w:rPr>
                <w:rFonts w:cs="Times New Roman"/>
                <w:szCs w:val="20"/>
              </w:rPr>
              <w:t>3737.0 ± 276.2</w:t>
            </w:r>
          </w:p>
        </w:tc>
        <w:tc>
          <w:tcPr>
            <w:tcW w:w="1626" w:type="dxa"/>
          </w:tcPr>
          <w:p w14:paraId="15927BF4" w14:textId="77777777" w:rsidR="00CB79C7" w:rsidRPr="00713E31" w:rsidRDefault="00CB79C7" w:rsidP="00CB79C7">
            <w:pPr>
              <w:keepNext/>
              <w:spacing w:line="360" w:lineRule="auto"/>
              <w:jc w:val="center"/>
              <w:rPr>
                <w:rFonts w:cs="Times New Roman"/>
                <w:szCs w:val="20"/>
              </w:rPr>
            </w:pPr>
            <w:r w:rsidRPr="00713E31">
              <w:rPr>
                <w:rFonts w:cs="Times New Roman"/>
                <w:szCs w:val="20"/>
              </w:rPr>
              <w:t>2266.9 ± 156.0</w:t>
            </w:r>
          </w:p>
        </w:tc>
      </w:tr>
      <w:tr w:rsidR="00660A97" w:rsidRPr="00713E31" w14:paraId="027CB862" w14:textId="77777777" w:rsidTr="008872B9">
        <w:trPr>
          <w:trHeight w:hRule="exact" w:val="283"/>
          <w:jc w:val="center"/>
        </w:trPr>
        <w:tc>
          <w:tcPr>
            <w:tcW w:w="2881" w:type="dxa"/>
          </w:tcPr>
          <w:p w14:paraId="2889D8EC" w14:textId="77777777" w:rsidR="00CB79C7" w:rsidRPr="00713E31" w:rsidRDefault="00CB79C7" w:rsidP="00CB79C7">
            <w:pPr>
              <w:keepNext/>
              <w:spacing w:line="360" w:lineRule="auto"/>
              <w:rPr>
                <w:rFonts w:cs="Times New Roman"/>
                <w:szCs w:val="20"/>
              </w:rPr>
            </w:pPr>
            <w:r w:rsidRPr="00713E31">
              <w:rPr>
                <w:rFonts w:cs="Times New Roman"/>
                <w:szCs w:val="20"/>
              </w:rPr>
              <w:t>TN/(mg/kg)</w:t>
            </w:r>
          </w:p>
        </w:tc>
        <w:tc>
          <w:tcPr>
            <w:tcW w:w="1734" w:type="dxa"/>
          </w:tcPr>
          <w:p w14:paraId="4B539D84" w14:textId="77777777" w:rsidR="00CB79C7" w:rsidRPr="00713E31" w:rsidRDefault="00CB79C7" w:rsidP="00CB79C7">
            <w:pPr>
              <w:keepNext/>
              <w:spacing w:line="360" w:lineRule="auto"/>
              <w:jc w:val="center"/>
              <w:rPr>
                <w:rFonts w:cs="Times New Roman"/>
                <w:szCs w:val="20"/>
              </w:rPr>
            </w:pPr>
            <w:r w:rsidRPr="00713E31">
              <w:rPr>
                <w:rFonts w:cs="Times New Roman"/>
                <w:szCs w:val="20"/>
                <w:vertAlign w:val="superscript"/>
              </w:rPr>
              <w:t>c</w:t>
            </w:r>
            <w:r w:rsidRPr="00713E31">
              <w:rPr>
                <w:rFonts w:cs="Times New Roman"/>
                <w:szCs w:val="20"/>
              </w:rPr>
              <w:t xml:space="preserve"> 8500.0 ± 850.0</w:t>
            </w:r>
          </w:p>
        </w:tc>
        <w:tc>
          <w:tcPr>
            <w:tcW w:w="1634" w:type="dxa"/>
          </w:tcPr>
          <w:p w14:paraId="61CEAB3D" w14:textId="77777777" w:rsidR="00CB79C7" w:rsidRPr="00713E31" w:rsidRDefault="00CB79C7" w:rsidP="00CB79C7">
            <w:pPr>
              <w:keepNext/>
              <w:spacing w:line="360" w:lineRule="auto"/>
              <w:jc w:val="center"/>
              <w:rPr>
                <w:rFonts w:cs="Times New Roman"/>
                <w:szCs w:val="20"/>
              </w:rPr>
            </w:pPr>
            <w:r w:rsidRPr="00713E31">
              <w:rPr>
                <w:rFonts w:cs="Times New Roman"/>
                <w:szCs w:val="20"/>
                <w:vertAlign w:val="superscript"/>
              </w:rPr>
              <w:t>c</w:t>
            </w:r>
            <w:r w:rsidRPr="00713E31">
              <w:rPr>
                <w:rFonts w:cs="Times New Roman"/>
                <w:szCs w:val="20"/>
              </w:rPr>
              <w:t xml:space="preserve"> 3800.0 ± 380.0</w:t>
            </w:r>
          </w:p>
        </w:tc>
        <w:tc>
          <w:tcPr>
            <w:tcW w:w="1764" w:type="dxa"/>
          </w:tcPr>
          <w:p w14:paraId="508C3EA4" w14:textId="3AEAF285" w:rsidR="00CB79C7" w:rsidRPr="00713E31" w:rsidRDefault="00CB79C7" w:rsidP="00CB79C7">
            <w:pPr>
              <w:keepNext/>
              <w:spacing w:line="360" w:lineRule="auto"/>
              <w:jc w:val="center"/>
              <w:rPr>
                <w:rFonts w:cs="Times New Roman"/>
                <w:szCs w:val="20"/>
              </w:rPr>
            </w:pPr>
            <w:r w:rsidRPr="00713E31">
              <w:rPr>
                <w:rFonts w:cs="Times New Roman"/>
                <w:vertAlign w:val="superscript"/>
              </w:rPr>
              <w:t>d</w:t>
            </w:r>
            <w:r w:rsidR="00443F4B" w:rsidRPr="00713E31">
              <w:rPr>
                <w:rFonts w:cs="Times New Roman"/>
                <w:vertAlign w:val="superscript"/>
              </w:rPr>
              <w:t>, e</w:t>
            </w:r>
            <w:r w:rsidRPr="00713E31">
              <w:rPr>
                <w:rFonts w:cs="Times New Roman"/>
              </w:rPr>
              <w:t xml:space="preserve"> </w:t>
            </w:r>
            <w:r w:rsidRPr="00713E31">
              <w:rPr>
                <w:rFonts w:cs="Times New Roman"/>
                <w:szCs w:val="20"/>
              </w:rPr>
              <w:t>1061.2 ± 152.6</w:t>
            </w:r>
          </w:p>
        </w:tc>
        <w:tc>
          <w:tcPr>
            <w:tcW w:w="1834" w:type="dxa"/>
          </w:tcPr>
          <w:p w14:paraId="2F4C009B" w14:textId="720D4D85" w:rsidR="00CB79C7" w:rsidRPr="00713E31" w:rsidRDefault="00CB79C7" w:rsidP="00CB79C7">
            <w:pPr>
              <w:keepNext/>
              <w:spacing w:line="360" w:lineRule="auto"/>
              <w:jc w:val="center"/>
              <w:rPr>
                <w:rFonts w:cs="Times New Roman"/>
                <w:szCs w:val="20"/>
              </w:rPr>
            </w:pPr>
            <w:r w:rsidRPr="00713E31">
              <w:rPr>
                <w:rFonts w:cs="Times New Roman"/>
                <w:vertAlign w:val="superscript"/>
              </w:rPr>
              <w:t>d</w:t>
            </w:r>
            <w:r w:rsidR="00443F4B" w:rsidRPr="00713E31">
              <w:rPr>
                <w:rFonts w:cs="Times New Roman"/>
                <w:vertAlign w:val="superscript"/>
              </w:rPr>
              <w:t>, e</w:t>
            </w:r>
            <w:r w:rsidRPr="00713E31">
              <w:rPr>
                <w:rFonts w:cs="Times New Roman"/>
              </w:rPr>
              <w:t xml:space="preserve"> </w:t>
            </w:r>
            <w:r w:rsidRPr="00713E31">
              <w:rPr>
                <w:rFonts w:cs="Times New Roman"/>
                <w:szCs w:val="20"/>
              </w:rPr>
              <w:t>831.6 ± 191.6</w:t>
            </w:r>
          </w:p>
        </w:tc>
        <w:tc>
          <w:tcPr>
            <w:tcW w:w="1626" w:type="dxa"/>
          </w:tcPr>
          <w:p w14:paraId="11C00AC9" w14:textId="77777777" w:rsidR="00CB79C7" w:rsidRPr="00713E31" w:rsidRDefault="00CB79C7" w:rsidP="00CB79C7">
            <w:pPr>
              <w:keepNext/>
              <w:spacing w:line="360" w:lineRule="auto"/>
              <w:jc w:val="center"/>
              <w:rPr>
                <w:rFonts w:cs="Times New Roman"/>
                <w:szCs w:val="20"/>
              </w:rPr>
            </w:pPr>
            <w:r w:rsidRPr="00713E31">
              <w:rPr>
                <w:rFonts w:cs="Times New Roman"/>
                <w:szCs w:val="20"/>
              </w:rPr>
              <w:t>6519.0 ± 660.2</w:t>
            </w:r>
          </w:p>
        </w:tc>
        <w:tc>
          <w:tcPr>
            <w:tcW w:w="1626" w:type="dxa"/>
          </w:tcPr>
          <w:p w14:paraId="0F6A77A5" w14:textId="77777777" w:rsidR="00CB79C7" w:rsidRPr="00713E31" w:rsidRDefault="00CB79C7" w:rsidP="00CB79C7">
            <w:pPr>
              <w:keepNext/>
              <w:spacing w:line="360" w:lineRule="auto"/>
              <w:jc w:val="center"/>
              <w:rPr>
                <w:rFonts w:cs="Times New Roman"/>
                <w:szCs w:val="20"/>
              </w:rPr>
            </w:pPr>
            <w:r w:rsidRPr="00713E31">
              <w:rPr>
                <w:rFonts w:cs="Times New Roman"/>
                <w:szCs w:val="20"/>
              </w:rPr>
              <w:t>2923.1 ± 316.3</w:t>
            </w:r>
          </w:p>
        </w:tc>
      </w:tr>
      <w:tr w:rsidR="00660A97" w:rsidRPr="00713E31" w14:paraId="7B224DCD" w14:textId="77777777" w:rsidTr="008872B9">
        <w:trPr>
          <w:trHeight w:hRule="exact" w:val="283"/>
          <w:jc w:val="center"/>
        </w:trPr>
        <w:tc>
          <w:tcPr>
            <w:tcW w:w="2881" w:type="dxa"/>
          </w:tcPr>
          <w:p w14:paraId="05BA2700" w14:textId="77777777" w:rsidR="00CB79C7" w:rsidRPr="00713E31" w:rsidRDefault="00CB79C7" w:rsidP="00CB79C7">
            <w:pPr>
              <w:keepNext/>
              <w:spacing w:line="360" w:lineRule="auto"/>
              <w:rPr>
                <w:rFonts w:cs="Times New Roman"/>
                <w:szCs w:val="20"/>
              </w:rPr>
            </w:pPr>
            <w:r w:rsidRPr="00713E31">
              <w:rPr>
                <w:rFonts w:cs="Times New Roman"/>
                <w:szCs w:val="20"/>
                <w:vertAlign w:val="superscript"/>
              </w:rPr>
              <w:t>b</w:t>
            </w:r>
            <w:r w:rsidRPr="00713E31">
              <w:rPr>
                <w:rFonts w:cs="Times New Roman"/>
                <w:szCs w:val="20"/>
              </w:rPr>
              <w:t xml:space="preserve"> WS TN/(mg/kg)</w:t>
            </w:r>
          </w:p>
        </w:tc>
        <w:tc>
          <w:tcPr>
            <w:tcW w:w="1734" w:type="dxa"/>
          </w:tcPr>
          <w:p w14:paraId="5176E299" w14:textId="77777777" w:rsidR="00CB79C7" w:rsidRPr="00713E31" w:rsidRDefault="00CB79C7" w:rsidP="00CB79C7">
            <w:pPr>
              <w:keepNext/>
              <w:spacing w:line="360" w:lineRule="auto"/>
              <w:jc w:val="center"/>
              <w:rPr>
                <w:rFonts w:cs="Times New Roman"/>
                <w:szCs w:val="20"/>
              </w:rPr>
            </w:pPr>
            <w:r w:rsidRPr="00713E31">
              <w:rPr>
                <w:rFonts w:cs="Times New Roman"/>
                <w:szCs w:val="20"/>
              </w:rPr>
              <w:t>8799.5 ± 246.6</w:t>
            </w:r>
          </w:p>
        </w:tc>
        <w:tc>
          <w:tcPr>
            <w:tcW w:w="1634" w:type="dxa"/>
          </w:tcPr>
          <w:p w14:paraId="58DFEFDF" w14:textId="77777777" w:rsidR="00CB79C7" w:rsidRPr="00713E31" w:rsidRDefault="00CB79C7" w:rsidP="00CB79C7">
            <w:pPr>
              <w:keepNext/>
              <w:spacing w:line="360" w:lineRule="auto"/>
              <w:jc w:val="center"/>
              <w:rPr>
                <w:rFonts w:cs="Times New Roman"/>
                <w:szCs w:val="20"/>
              </w:rPr>
            </w:pPr>
            <w:r w:rsidRPr="00713E31">
              <w:rPr>
                <w:rFonts w:cs="Times New Roman"/>
                <w:szCs w:val="20"/>
              </w:rPr>
              <w:t>2062.7 ± 18.9</w:t>
            </w:r>
          </w:p>
        </w:tc>
        <w:tc>
          <w:tcPr>
            <w:tcW w:w="1764" w:type="dxa"/>
          </w:tcPr>
          <w:p w14:paraId="220228F0" w14:textId="77777777" w:rsidR="00CB79C7" w:rsidRPr="00713E31" w:rsidRDefault="00CB79C7" w:rsidP="00CB79C7">
            <w:pPr>
              <w:keepNext/>
              <w:spacing w:line="360" w:lineRule="auto"/>
              <w:jc w:val="center"/>
              <w:rPr>
                <w:rFonts w:cs="Times New Roman"/>
                <w:szCs w:val="20"/>
              </w:rPr>
            </w:pPr>
            <w:r w:rsidRPr="00713E31">
              <w:rPr>
                <w:rFonts w:cs="Times New Roman"/>
                <w:szCs w:val="20"/>
              </w:rPr>
              <w:t>61.1 ± 3.3</w:t>
            </w:r>
          </w:p>
        </w:tc>
        <w:tc>
          <w:tcPr>
            <w:tcW w:w="1834" w:type="dxa"/>
          </w:tcPr>
          <w:p w14:paraId="47E93A61" w14:textId="77777777" w:rsidR="00CB79C7" w:rsidRPr="00713E31" w:rsidRDefault="00CB79C7" w:rsidP="00CB79C7">
            <w:pPr>
              <w:keepNext/>
              <w:spacing w:line="360" w:lineRule="auto"/>
              <w:jc w:val="center"/>
              <w:rPr>
                <w:rFonts w:cs="Times New Roman"/>
                <w:szCs w:val="20"/>
              </w:rPr>
            </w:pPr>
            <w:r w:rsidRPr="00713E31">
              <w:rPr>
                <w:rFonts w:cs="Times New Roman"/>
                <w:vertAlign w:val="superscript"/>
              </w:rPr>
              <w:t>d</w:t>
            </w:r>
            <w:r w:rsidRPr="00713E31">
              <w:rPr>
                <w:rFonts w:cs="Times New Roman"/>
              </w:rPr>
              <w:t xml:space="preserve"> </w:t>
            </w:r>
            <w:r w:rsidRPr="00713E31">
              <w:rPr>
                <w:rFonts w:cs="Times New Roman"/>
                <w:szCs w:val="20"/>
              </w:rPr>
              <w:t>46.6 ± 13.9</w:t>
            </w:r>
          </w:p>
        </w:tc>
        <w:tc>
          <w:tcPr>
            <w:tcW w:w="1626" w:type="dxa"/>
          </w:tcPr>
          <w:p w14:paraId="5971881C" w14:textId="77777777" w:rsidR="00CB79C7" w:rsidRPr="00713E31" w:rsidRDefault="00CB79C7" w:rsidP="00CB79C7">
            <w:pPr>
              <w:keepNext/>
              <w:spacing w:line="360" w:lineRule="auto"/>
              <w:jc w:val="center"/>
              <w:rPr>
                <w:rFonts w:cs="Times New Roman"/>
                <w:szCs w:val="20"/>
              </w:rPr>
            </w:pPr>
            <w:r w:rsidRPr="00713E31">
              <w:rPr>
                <w:rFonts w:cs="Times New Roman"/>
                <w:szCs w:val="20"/>
              </w:rPr>
              <w:t>6303.0 ± 171.5</w:t>
            </w:r>
          </w:p>
        </w:tc>
        <w:tc>
          <w:tcPr>
            <w:tcW w:w="1626" w:type="dxa"/>
          </w:tcPr>
          <w:p w14:paraId="737F7116" w14:textId="77777777" w:rsidR="00CB79C7" w:rsidRPr="00713E31" w:rsidRDefault="00CB79C7" w:rsidP="00CB79C7">
            <w:pPr>
              <w:keepNext/>
              <w:spacing w:line="360" w:lineRule="auto"/>
              <w:jc w:val="center"/>
              <w:rPr>
                <w:rFonts w:cs="Times New Roman"/>
                <w:szCs w:val="20"/>
              </w:rPr>
            </w:pPr>
            <w:r w:rsidRPr="00713E31">
              <w:rPr>
                <w:rFonts w:cs="Times New Roman"/>
                <w:szCs w:val="20"/>
              </w:rPr>
              <w:t>1445.9 ± 15.8</w:t>
            </w:r>
          </w:p>
        </w:tc>
      </w:tr>
      <w:tr w:rsidR="00660A97" w:rsidRPr="00713E31" w14:paraId="084C22F5" w14:textId="77777777" w:rsidTr="008872B9">
        <w:trPr>
          <w:trHeight w:hRule="exact" w:val="283"/>
          <w:jc w:val="center"/>
        </w:trPr>
        <w:tc>
          <w:tcPr>
            <w:tcW w:w="2881" w:type="dxa"/>
          </w:tcPr>
          <w:p w14:paraId="6E0FB891" w14:textId="77777777" w:rsidR="00CB79C7" w:rsidRPr="00713E31" w:rsidRDefault="00CB79C7" w:rsidP="00CB79C7">
            <w:pPr>
              <w:keepNext/>
              <w:spacing w:line="360" w:lineRule="auto"/>
              <w:rPr>
                <w:rFonts w:cs="Times New Roman"/>
                <w:szCs w:val="20"/>
              </w:rPr>
            </w:pPr>
            <w:r w:rsidRPr="00713E31">
              <w:rPr>
                <w:rFonts w:cs="Times New Roman"/>
                <w:szCs w:val="20"/>
                <w:vertAlign w:val="superscript"/>
              </w:rPr>
              <w:t>b</w:t>
            </w:r>
            <w:r w:rsidRPr="00713E31">
              <w:rPr>
                <w:rFonts w:cs="Times New Roman"/>
                <w:szCs w:val="20"/>
              </w:rPr>
              <w:t xml:space="preserve"> WS NH</w:t>
            </w:r>
            <w:r w:rsidRPr="00713E31">
              <w:rPr>
                <w:rFonts w:cs="Times New Roman"/>
                <w:szCs w:val="20"/>
                <w:vertAlign w:val="subscript"/>
              </w:rPr>
              <w:t>4</w:t>
            </w:r>
            <w:r w:rsidRPr="00713E31">
              <w:rPr>
                <w:rFonts w:cs="Times New Roman"/>
                <w:szCs w:val="20"/>
                <w:vertAlign w:val="superscript"/>
              </w:rPr>
              <w:t>+</w:t>
            </w:r>
            <w:r w:rsidRPr="00713E31">
              <w:rPr>
                <w:rFonts w:cs="Times New Roman"/>
                <w:szCs w:val="20"/>
              </w:rPr>
              <w:t xml:space="preserve"> &amp; WS NH</w:t>
            </w:r>
            <w:r w:rsidRPr="00713E31">
              <w:rPr>
                <w:rFonts w:cs="Times New Roman"/>
                <w:szCs w:val="20"/>
                <w:vertAlign w:val="subscript"/>
              </w:rPr>
              <w:t>3</w:t>
            </w:r>
            <w:r w:rsidRPr="00713E31">
              <w:rPr>
                <w:rFonts w:cs="Times New Roman"/>
                <w:szCs w:val="20"/>
              </w:rPr>
              <w:t>/(mg/kg)</w:t>
            </w:r>
          </w:p>
        </w:tc>
        <w:tc>
          <w:tcPr>
            <w:tcW w:w="1734" w:type="dxa"/>
          </w:tcPr>
          <w:p w14:paraId="6C287FB2" w14:textId="77777777" w:rsidR="00CB79C7" w:rsidRPr="00713E31" w:rsidRDefault="00CB79C7" w:rsidP="00CB79C7">
            <w:pPr>
              <w:keepNext/>
              <w:spacing w:line="360" w:lineRule="auto"/>
              <w:jc w:val="center"/>
              <w:rPr>
                <w:rFonts w:cs="Times New Roman"/>
                <w:szCs w:val="20"/>
              </w:rPr>
            </w:pPr>
            <w:r w:rsidRPr="00713E31">
              <w:rPr>
                <w:rFonts w:cs="Times New Roman"/>
                <w:szCs w:val="20"/>
              </w:rPr>
              <w:t>4375.1 ± 151.2</w:t>
            </w:r>
          </w:p>
        </w:tc>
        <w:tc>
          <w:tcPr>
            <w:tcW w:w="1634" w:type="dxa"/>
          </w:tcPr>
          <w:p w14:paraId="68B7B497" w14:textId="77777777" w:rsidR="00CB79C7" w:rsidRPr="00713E31" w:rsidRDefault="00CB79C7" w:rsidP="00CB79C7">
            <w:pPr>
              <w:keepNext/>
              <w:spacing w:line="360" w:lineRule="auto"/>
              <w:jc w:val="center"/>
              <w:rPr>
                <w:rFonts w:cs="Times New Roman"/>
                <w:szCs w:val="20"/>
              </w:rPr>
            </w:pPr>
            <w:r w:rsidRPr="00713E31">
              <w:rPr>
                <w:rFonts w:cs="Times New Roman"/>
                <w:vertAlign w:val="superscript"/>
              </w:rPr>
              <w:t>d</w:t>
            </w:r>
            <w:r w:rsidRPr="00713E31">
              <w:rPr>
                <w:rFonts w:cs="Times New Roman"/>
              </w:rPr>
              <w:t xml:space="preserve"> </w:t>
            </w:r>
            <w:r w:rsidRPr="00713E31">
              <w:rPr>
                <w:rFonts w:cs="Times New Roman"/>
                <w:szCs w:val="20"/>
              </w:rPr>
              <w:t>886.8 ± 111.6</w:t>
            </w:r>
          </w:p>
        </w:tc>
        <w:tc>
          <w:tcPr>
            <w:tcW w:w="1764" w:type="dxa"/>
          </w:tcPr>
          <w:p w14:paraId="6A97F878" w14:textId="77777777" w:rsidR="00CB79C7" w:rsidRPr="00713E31" w:rsidRDefault="00CB79C7" w:rsidP="00CB79C7">
            <w:pPr>
              <w:keepNext/>
              <w:spacing w:line="360" w:lineRule="auto"/>
              <w:jc w:val="center"/>
              <w:rPr>
                <w:rFonts w:cs="Times New Roman"/>
                <w:szCs w:val="20"/>
              </w:rPr>
            </w:pPr>
            <w:r w:rsidRPr="00713E31">
              <w:rPr>
                <w:rFonts w:cs="Times New Roman"/>
                <w:szCs w:val="20"/>
              </w:rPr>
              <w:t>5.3 ± 0.3</w:t>
            </w:r>
          </w:p>
        </w:tc>
        <w:tc>
          <w:tcPr>
            <w:tcW w:w="1834" w:type="dxa"/>
          </w:tcPr>
          <w:p w14:paraId="6323F7D9" w14:textId="77777777" w:rsidR="00CB79C7" w:rsidRPr="00713E31" w:rsidRDefault="00CB79C7" w:rsidP="00CB79C7">
            <w:pPr>
              <w:keepNext/>
              <w:spacing w:line="360" w:lineRule="auto"/>
              <w:jc w:val="center"/>
              <w:rPr>
                <w:rFonts w:cs="Times New Roman"/>
                <w:szCs w:val="20"/>
              </w:rPr>
            </w:pPr>
            <w:r w:rsidRPr="00713E31">
              <w:rPr>
                <w:rFonts w:cs="Times New Roman"/>
                <w:szCs w:val="20"/>
              </w:rPr>
              <w:t>5.5 ± 1.0</w:t>
            </w:r>
          </w:p>
        </w:tc>
        <w:tc>
          <w:tcPr>
            <w:tcW w:w="1626" w:type="dxa"/>
          </w:tcPr>
          <w:p w14:paraId="75E81B04" w14:textId="77777777" w:rsidR="00CB79C7" w:rsidRPr="00713E31" w:rsidRDefault="00CB79C7" w:rsidP="00CB79C7">
            <w:pPr>
              <w:keepNext/>
              <w:spacing w:line="360" w:lineRule="auto"/>
              <w:jc w:val="center"/>
              <w:rPr>
                <w:rFonts w:cs="Times New Roman"/>
                <w:szCs w:val="20"/>
              </w:rPr>
            </w:pPr>
            <w:r w:rsidRPr="00713E31">
              <w:rPr>
                <w:rFonts w:cs="Times New Roman"/>
                <w:szCs w:val="20"/>
              </w:rPr>
              <w:t>3110.0 ± 118.8</w:t>
            </w:r>
          </w:p>
        </w:tc>
        <w:tc>
          <w:tcPr>
            <w:tcW w:w="1626" w:type="dxa"/>
          </w:tcPr>
          <w:p w14:paraId="64616AD4" w14:textId="77777777" w:rsidR="00CB79C7" w:rsidRPr="00713E31" w:rsidRDefault="00CB79C7" w:rsidP="00CB79C7">
            <w:pPr>
              <w:keepNext/>
              <w:spacing w:line="360" w:lineRule="auto"/>
              <w:jc w:val="center"/>
              <w:rPr>
                <w:rFonts w:cs="Times New Roman"/>
                <w:szCs w:val="20"/>
              </w:rPr>
            </w:pPr>
            <w:r w:rsidRPr="00713E31">
              <w:rPr>
                <w:rFonts w:cs="Times New Roman"/>
                <w:szCs w:val="20"/>
              </w:rPr>
              <w:t>616.2 ± 77.5</w:t>
            </w:r>
          </w:p>
        </w:tc>
      </w:tr>
      <w:tr w:rsidR="00660A97" w:rsidRPr="00713E31" w14:paraId="45569B67" w14:textId="77777777" w:rsidTr="008872B9">
        <w:trPr>
          <w:trHeight w:hRule="exact" w:val="283"/>
          <w:jc w:val="center"/>
        </w:trPr>
        <w:tc>
          <w:tcPr>
            <w:tcW w:w="2881" w:type="dxa"/>
          </w:tcPr>
          <w:p w14:paraId="6BE5BF9B" w14:textId="77777777" w:rsidR="00CB79C7" w:rsidRPr="00713E31" w:rsidRDefault="00CB79C7" w:rsidP="00CB79C7">
            <w:pPr>
              <w:keepNext/>
              <w:spacing w:line="360" w:lineRule="auto"/>
              <w:rPr>
                <w:rFonts w:cs="Times New Roman"/>
                <w:szCs w:val="20"/>
                <w:lang w:val="es-ES"/>
              </w:rPr>
            </w:pPr>
            <w:r w:rsidRPr="00713E31">
              <w:rPr>
                <w:rFonts w:cs="Times New Roman"/>
                <w:szCs w:val="20"/>
                <w:vertAlign w:val="superscript"/>
                <w:lang w:val="es-ES"/>
              </w:rPr>
              <w:t>b</w:t>
            </w:r>
            <w:r w:rsidRPr="00713E31">
              <w:rPr>
                <w:rFonts w:cs="Times New Roman"/>
                <w:szCs w:val="20"/>
                <w:lang w:val="es-ES"/>
              </w:rPr>
              <w:t xml:space="preserve"> WS NO</w:t>
            </w:r>
            <w:r w:rsidRPr="00713E31">
              <w:rPr>
                <w:rFonts w:cs="Times New Roman"/>
                <w:szCs w:val="20"/>
                <w:vertAlign w:val="subscript"/>
                <w:lang w:val="es-ES"/>
              </w:rPr>
              <w:t>3</w:t>
            </w:r>
            <w:r w:rsidRPr="00713E31">
              <w:rPr>
                <w:rFonts w:cs="Times New Roman"/>
                <w:szCs w:val="20"/>
                <w:vertAlign w:val="superscript"/>
                <w:lang w:val="es-ES"/>
              </w:rPr>
              <w:t>-</w:t>
            </w:r>
            <w:r w:rsidRPr="00713E31">
              <w:rPr>
                <w:rFonts w:cs="Times New Roman"/>
                <w:szCs w:val="20"/>
                <w:lang w:val="es-ES"/>
              </w:rPr>
              <w:t xml:space="preserve"> &amp; WS NO</w:t>
            </w:r>
            <w:r w:rsidRPr="00713E31">
              <w:rPr>
                <w:rFonts w:cs="Times New Roman"/>
                <w:szCs w:val="20"/>
                <w:vertAlign w:val="subscript"/>
                <w:lang w:val="es-ES"/>
              </w:rPr>
              <w:t>2</w:t>
            </w:r>
            <w:r w:rsidRPr="00713E31">
              <w:rPr>
                <w:rFonts w:cs="Times New Roman"/>
                <w:szCs w:val="20"/>
                <w:vertAlign w:val="superscript"/>
                <w:lang w:val="es-ES"/>
              </w:rPr>
              <w:t>-</w:t>
            </w:r>
            <w:r w:rsidRPr="00713E31">
              <w:rPr>
                <w:rFonts w:cs="Times New Roman"/>
                <w:szCs w:val="20"/>
                <w:lang w:val="es-ES"/>
              </w:rPr>
              <w:t>/(mg/kg)</w:t>
            </w:r>
          </w:p>
        </w:tc>
        <w:tc>
          <w:tcPr>
            <w:tcW w:w="1734" w:type="dxa"/>
          </w:tcPr>
          <w:p w14:paraId="67F49CC2" w14:textId="77777777" w:rsidR="00CB79C7" w:rsidRPr="00713E31" w:rsidRDefault="00CB79C7" w:rsidP="00CB79C7">
            <w:pPr>
              <w:keepNext/>
              <w:spacing w:line="360" w:lineRule="auto"/>
              <w:jc w:val="center"/>
              <w:rPr>
                <w:rFonts w:cs="Times New Roman"/>
                <w:szCs w:val="20"/>
              </w:rPr>
            </w:pPr>
            <w:r w:rsidRPr="00713E31">
              <w:rPr>
                <w:rFonts w:cs="Times New Roman"/>
                <w:szCs w:val="20"/>
              </w:rPr>
              <w:t>7.5 ± 1.0</w:t>
            </w:r>
          </w:p>
        </w:tc>
        <w:tc>
          <w:tcPr>
            <w:tcW w:w="1634" w:type="dxa"/>
          </w:tcPr>
          <w:p w14:paraId="2E2EBDA2" w14:textId="77777777" w:rsidR="00CB79C7" w:rsidRPr="00713E31" w:rsidRDefault="00CB79C7" w:rsidP="00CB79C7">
            <w:pPr>
              <w:keepNext/>
              <w:spacing w:line="360" w:lineRule="auto"/>
              <w:jc w:val="center"/>
              <w:rPr>
                <w:rFonts w:cs="Times New Roman"/>
                <w:szCs w:val="20"/>
              </w:rPr>
            </w:pPr>
            <w:r w:rsidRPr="00713E31">
              <w:rPr>
                <w:rFonts w:cs="Times New Roman"/>
                <w:szCs w:val="20"/>
              </w:rPr>
              <w:t>83.9 ± 2.9</w:t>
            </w:r>
          </w:p>
        </w:tc>
        <w:tc>
          <w:tcPr>
            <w:tcW w:w="1764" w:type="dxa"/>
          </w:tcPr>
          <w:p w14:paraId="522DACB1" w14:textId="77777777" w:rsidR="00CB79C7" w:rsidRPr="00713E31" w:rsidRDefault="00CB79C7" w:rsidP="00CB79C7">
            <w:pPr>
              <w:keepNext/>
              <w:spacing w:line="360" w:lineRule="auto"/>
              <w:jc w:val="center"/>
              <w:rPr>
                <w:rFonts w:cs="Times New Roman"/>
                <w:szCs w:val="20"/>
              </w:rPr>
            </w:pPr>
            <w:r w:rsidRPr="00713E31">
              <w:rPr>
                <w:rFonts w:cs="Times New Roman"/>
                <w:szCs w:val="20"/>
              </w:rPr>
              <w:t>29.9 ± 0.5</w:t>
            </w:r>
          </w:p>
        </w:tc>
        <w:tc>
          <w:tcPr>
            <w:tcW w:w="1834" w:type="dxa"/>
          </w:tcPr>
          <w:p w14:paraId="3D46EF06" w14:textId="77777777" w:rsidR="00CB79C7" w:rsidRPr="00713E31" w:rsidRDefault="00CB79C7" w:rsidP="00CB79C7">
            <w:pPr>
              <w:keepNext/>
              <w:spacing w:line="360" w:lineRule="auto"/>
              <w:jc w:val="center"/>
              <w:rPr>
                <w:rFonts w:cs="Times New Roman"/>
                <w:szCs w:val="20"/>
              </w:rPr>
            </w:pPr>
            <w:r w:rsidRPr="00713E31">
              <w:rPr>
                <w:rFonts w:cs="Times New Roman"/>
                <w:szCs w:val="20"/>
              </w:rPr>
              <w:t>5.7 ± 0.1</w:t>
            </w:r>
          </w:p>
        </w:tc>
        <w:tc>
          <w:tcPr>
            <w:tcW w:w="1626" w:type="dxa"/>
          </w:tcPr>
          <w:p w14:paraId="654C8228" w14:textId="77777777" w:rsidR="00CB79C7" w:rsidRPr="00713E31" w:rsidRDefault="00CB79C7" w:rsidP="00CB79C7">
            <w:pPr>
              <w:keepNext/>
              <w:spacing w:line="360" w:lineRule="auto"/>
              <w:jc w:val="center"/>
              <w:rPr>
                <w:rFonts w:cs="Times New Roman"/>
                <w:szCs w:val="20"/>
              </w:rPr>
            </w:pPr>
            <w:r w:rsidRPr="00713E31">
              <w:rPr>
                <w:rFonts w:cs="Times New Roman"/>
                <w:szCs w:val="20"/>
              </w:rPr>
              <w:t>22.1 ± 1.2</w:t>
            </w:r>
          </w:p>
        </w:tc>
        <w:tc>
          <w:tcPr>
            <w:tcW w:w="1626" w:type="dxa"/>
          </w:tcPr>
          <w:p w14:paraId="432A3596" w14:textId="77777777" w:rsidR="00CB79C7" w:rsidRPr="00713E31" w:rsidRDefault="00CB79C7" w:rsidP="00CB79C7">
            <w:pPr>
              <w:keepNext/>
              <w:spacing w:line="360" w:lineRule="auto"/>
              <w:jc w:val="center"/>
              <w:rPr>
                <w:rFonts w:cs="Times New Roman"/>
                <w:szCs w:val="20"/>
              </w:rPr>
            </w:pPr>
            <w:r w:rsidRPr="00713E31">
              <w:rPr>
                <w:rFonts w:cs="Times New Roman"/>
                <w:szCs w:val="20"/>
              </w:rPr>
              <w:t>63.5 ± 2.1</w:t>
            </w:r>
          </w:p>
        </w:tc>
      </w:tr>
      <w:tr w:rsidR="00660A97" w:rsidRPr="00713E31" w14:paraId="70B68665" w14:textId="77777777" w:rsidTr="008872B9">
        <w:trPr>
          <w:trHeight w:hRule="exact" w:val="283"/>
          <w:jc w:val="center"/>
        </w:trPr>
        <w:tc>
          <w:tcPr>
            <w:tcW w:w="2881" w:type="dxa"/>
          </w:tcPr>
          <w:p w14:paraId="26948514" w14:textId="77777777" w:rsidR="00CB79C7" w:rsidRPr="00713E31" w:rsidRDefault="00CB79C7" w:rsidP="00CB79C7">
            <w:pPr>
              <w:keepNext/>
              <w:spacing w:line="360" w:lineRule="auto"/>
              <w:rPr>
                <w:rFonts w:cs="Times New Roman"/>
                <w:szCs w:val="20"/>
              </w:rPr>
            </w:pPr>
            <w:r w:rsidRPr="00713E31">
              <w:rPr>
                <w:rFonts w:cs="Times New Roman"/>
                <w:szCs w:val="20"/>
              </w:rPr>
              <w:t>TP/(mg/kg)</w:t>
            </w:r>
          </w:p>
        </w:tc>
        <w:tc>
          <w:tcPr>
            <w:tcW w:w="1734" w:type="dxa"/>
          </w:tcPr>
          <w:p w14:paraId="2AC20EC2" w14:textId="77777777" w:rsidR="00CB79C7" w:rsidRPr="00713E31" w:rsidRDefault="00CB79C7" w:rsidP="00CB79C7">
            <w:pPr>
              <w:keepNext/>
              <w:spacing w:line="360" w:lineRule="auto"/>
              <w:jc w:val="center"/>
              <w:rPr>
                <w:rFonts w:cs="Times New Roman"/>
                <w:szCs w:val="20"/>
              </w:rPr>
            </w:pPr>
            <w:r w:rsidRPr="00713E31">
              <w:rPr>
                <w:rFonts w:cs="Times New Roman"/>
                <w:szCs w:val="20"/>
                <w:vertAlign w:val="superscript"/>
              </w:rPr>
              <w:t>c</w:t>
            </w:r>
            <w:r w:rsidRPr="00713E31">
              <w:rPr>
                <w:rFonts w:cs="Times New Roman"/>
                <w:szCs w:val="20"/>
              </w:rPr>
              <w:t xml:space="preserve"> 1004.0 ± 100.4</w:t>
            </w:r>
          </w:p>
        </w:tc>
        <w:tc>
          <w:tcPr>
            <w:tcW w:w="1634" w:type="dxa"/>
          </w:tcPr>
          <w:p w14:paraId="71BCEEAF" w14:textId="77777777" w:rsidR="00CB79C7" w:rsidRPr="00713E31" w:rsidRDefault="00CB79C7" w:rsidP="00CB79C7">
            <w:pPr>
              <w:keepNext/>
              <w:spacing w:line="360" w:lineRule="auto"/>
              <w:jc w:val="center"/>
              <w:rPr>
                <w:rFonts w:cs="Times New Roman"/>
                <w:szCs w:val="20"/>
              </w:rPr>
            </w:pPr>
            <w:r w:rsidRPr="00713E31">
              <w:rPr>
                <w:rFonts w:cs="Times New Roman"/>
                <w:szCs w:val="20"/>
                <w:vertAlign w:val="superscript"/>
              </w:rPr>
              <w:t>c</w:t>
            </w:r>
            <w:r w:rsidRPr="00713E31">
              <w:rPr>
                <w:rFonts w:cs="Times New Roman"/>
                <w:szCs w:val="20"/>
              </w:rPr>
              <w:t xml:space="preserve"> 1119.0 ± 111.9</w:t>
            </w:r>
          </w:p>
        </w:tc>
        <w:tc>
          <w:tcPr>
            <w:tcW w:w="1764" w:type="dxa"/>
          </w:tcPr>
          <w:p w14:paraId="781D90FA" w14:textId="77777777" w:rsidR="00CB79C7" w:rsidRPr="00713E31" w:rsidRDefault="00CB79C7" w:rsidP="00CB79C7">
            <w:pPr>
              <w:keepNext/>
              <w:spacing w:line="360" w:lineRule="auto"/>
              <w:jc w:val="center"/>
              <w:rPr>
                <w:rFonts w:cs="Times New Roman"/>
                <w:szCs w:val="20"/>
              </w:rPr>
            </w:pPr>
            <w:r w:rsidRPr="00713E31">
              <w:rPr>
                <w:rFonts w:cs="Times New Roman"/>
                <w:szCs w:val="20"/>
                <w:vertAlign w:val="superscript"/>
              </w:rPr>
              <w:t>c</w:t>
            </w:r>
            <w:r w:rsidRPr="00713E31">
              <w:rPr>
                <w:rFonts w:cs="Times New Roman"/>
                <w:szCs w:val="20"/>
              </w:rPr>
              <w:t xml:space="preserve"> 23968 ± 2396.8</w:t>
            </w:r>
          </w:p>
        </w:tc>
        <w:tc>
          <w:tcPr>
            <w:tcW w:w="1834" w:type="dxa"/>
          </w:tcPr>
          <w:p w14:paraId="214FCC1F" w14:textId="77777777" w:rsidR="00CB79C7" w:rsidRPr="00713E31" w:rsidRDefault="00CB79C7" w:rsidP="00CB79C7">
            <w:pPr>
              <w:keepNext/>
              <w:spacing w:line="360" w:lineRule="auto"/>
              <w:jc w:val="center"/>
              <w:rPr>
                <w:rFonts w:cs="Times New Roman"/>
                <w:szCs w:val="20"/>
              </w:rPr>
            </w:pPr>
            <w:r w:rsidRPr="00713E31">
              <w:rPr>
                <w:rFonts w:cs="Times New Roman"/>
                <w:szCs w:val="20"/>
                <w:vertAlign w:val="superscript"/>
              </w:rPr>
              <w:t>c</w:t>
            </w:r>
            <w:r w:rsidRPr="00713E31">
              <w:rPr>
                <w:rFonts w:cs="Times New Roman"/>
                <w:szCs w:val="20"/>
              </w:rPr>
              <w:t xml:space="preserve"> 12359.0 ± 1235.9</w:t>
            </w:r>
          </w:p>
        </w:tc>
        <w:tc>
          <w:tcPr>
            <w:tcW w:w="1626" w:type="dxa"/>
          </w:tcPr>
          <w:p w14:paraId="0D567A23" w14:textId="77777777" w:rsidR="00CB79C7" w:rsidRPr="00713E31" w:rsidRDefault="00CB79C7" w:rsidP="00CB79C7">
            <w:pPr>
              <w:keepNext/>
              <w:spacing w:line="360" w:lineRule="auto"/>
              <w:jc w:val="center"/>
              <w:rPr>
                <w:rFonts w:cs="Times New Roman"/>
                <w:szCs w:val="20"/>
              </w:rPr>
            </w:pPr>
            <w:r w:rsidRPr="00713E31">
              <w:rPr>
                <w:rFonts w:cs="Times New Roman"/>
                <w:szCs w:val="20"/>
              </w:rPr>
              <w:t>5114.5 ± 511.5</w:t>
            </w:r>
          </w:p>
        </w:tc>
        <w:tc>
          <w:tcPr>
            <w:tcW w:w="1626" w:type="dxa"/>
          </w:tcPr>
          <w:p w14:paraId="49983F05" w14:textId="77777777" w:rsidR="00CB79C7" w:rsidRPr="00713E31" w:rsidRDefault="00CB79C7" w:rsidP="00CB79C7">
            <w:pPr>
              <w:keepNext/>
              <w:spacing w:line="360" w:lineRule="auto"/>
              <w:jc w:val="center"/>
              <w:rPr>
                <w:rFonts w:cs="Times New Roman"/>
                <w:szCs w:val="20"/>
              </w:rPr>
            </w:pPr>
            <w:r w:rsidRPr="00713E31">
              <w:rPr>
                <w:rFonts w:cs="Times New Roman"/>
                <w:szCs w:val="20"/>
              </w:rPr>
              <w:t>6308.7 ± 630.9</w:t>
            </w:r>
          </w:p>
        </w:tc>
      </w:tr>
      <w:tr w:rsidR="00660A97" w:rsidRPr="00713E31" w14:paraId="57919BCC" w14:textId="77777777" w:rsidTr="008872B9">
        <w:trPr>
          <w:trHeight w:hRule="exact" w:val="283"/>
          <w:jc w:val="center"/>
        </w:trPr>
        <w:tc>
          <w:tcPr>
            <w:tcW w:w="2881" w:type="dxa"/>
          </w:tcPr>
          <w:p w14:paraId="254EB9E5" w14:textId="77777777" w:rsidR="00CB79C7" w:rsidRPr="00713E31" w:rsidRDefault="00CB79C7" w:rsidP="00CB79C7">
            <w:pPr>
              <w:keepNext/>
              <w:spacing w:line="360" w:lineRule="auto"/>
              <w:rPr>
                <w:rFonts w:cs="Times New Roman"/>
                <w:szCs w:val="20"/>
              </w:rPr>
            </w:pPr>
            <w:r w:rsidRPr="00713E31">
              <w:rPr>
                <w:rFonts w:cs="Times New Roman"/>
                <w:szCs w:val="20"/>
                <w:vertAlign w:val="superscript"/>
              </w:rPr>
              <w:t>b</w:t>
            </w:r>
            <w:r w:rsidRPr="00713E31">
              <w:rPr>
                <w:rFonts w:cs="Times New Roman"/>
                <w:szCs w:val="20"/>
              </w:rPr>
              <w:t xml:space="preserve"> WS PO</w:t>
            </w:r>
            <w:r w:rsidRPr="00713E31">
              <w:rPr>
                <w:rFonts w:cs="Times New Roman"/>
                <w:szCs w:val="20"/>
                <w:vertAlign w:val="subscript"/>
              </w:rPr>
              <w:t>4</w:t>
            </w:r>
            <w:r w:rsidRPr="00713E31">
              <w:rPr>
                <w:rFonts w:cs="Times New Roman"/>
                <w:szCs w:val="20"/>
                <w:vertAlign w:val="superscript"/>
              </w:rPr>
              <w:t>3-</w:t>
            </w:r>
            <w:r w:rsidRPr="00713E31">
              <w:rPr>
                <w:rFonts w:cs="Times New Roman"/>
                <w:szCs w:val="20"/>
              </w:rPr>
              <w:t>/(mg/kg)</w:t>
            </w:r>
          </w:p>
        </w:tc>
        <w:tc>
          <w:tcPr>
            <w:tcW w:w="1734" w:type="dxa"/>
          </w:tcPr>
          <w:p w14:paraId="583E3A91" w14:textId="77777777" w:rsidR="00CB79C7" w:rsidRPr="00713E31" w:rsidRDefault="00CB79C7" w:rsidP="00CB79C7">
            <w:pPr>
              <w:keepNext/>
              <w:spacing w:line="360" w:lineRule="auto"/>
              <w:jc w:val="center"/>
              <w:rPr>
                <w:rFonts w:cs="Times New Roman"/>
                <w:szCs w:val="20"/>
              </w:rPr>
            </w:pPr>
            <w:r w:rsidRPr="00713E31">
              <w:rPr>
                <w:rFonts w:cs="Times New Roman"/>
                <w:szCs w:val="20"/>
              </w:rPr>
              <w:t>168.1 ± 11.4</w:t>
            </w:r>
          </w:p>
        </w:tc>
        <w:tc>
          <w:tcPr>
            <w:tcW w:w="1634" w:type="dxa"/>
          </w:tcPr>
          <w:p w14:paraId="6659A53D" w14:textId="77777777" w:rsidR="00CB79C7" w:rsidRPr="00713E31" w:rsidRDefault="00CB79C7" w:rsidP="00CB79C7">
            <w:pPr>
              <w:keepNext/>
              <w:spacing w:line="360" w:lineRule="auto"/>
              <w:jc w:val="center"/>
              <w:rPr>
                <w:rFonts w:cs="Times New Roman"/>
                <w:szCs w:val="20"/>
              </w:rPr>
            </w:pPr>
            <w:r w:rsidRPr="00713E31">
              <w:rPr>
                <w:rFonts w:cs="Times New Roman"/>
                <w:szCs w:val="20"/>
              </w:rPr>
              <w:t>119.5 ± 8.4</w:t>
            </w:r>
          </w:p>
        </w:tc>
        <w:tc>
          <w:tcPr>
            <w:tcW w:w="1764" w:type="dxa"/>
          </w:tcPr>
          <w:p w14:paraId="182509D4" w14:textId="77777777" w:rsidR="00CB79C7" w:rsidRPr="00713E31" w:rsidRDefault="00CB79C7" w:rsidP="00CB79C7">
            <w:pPr>
              <w:keepNext/>
              <w:spacing w:line="360" w:lineRule="auto"/>
              <w:jc w:val="center"/>
              <w:rPr>
                <w:rFonts w:cs="Times New Roman"/>
                <w:szCs w:val="20"/>
              </w:rPr>
            </w:pPr>
            <w:r w:rsidRPr="00713E31">
              <w:rPr>
                <w:rFonts w:cs="Times New Roman"/>
                <w:szCs w:val="20"/>
              </w:rPr>
              <w:t>68.9 ± 0.7</w:t>
            </w:r>
          </w:p>
        </w:tc>
        <w:tc>
          <w:tcPr>
            <w:tcW w:w="1834" w:type="dxa"/>
          </w:tcPr>
          <w:p w14:paraId="5FF6B65F" w14:textId="77777777" w:rsidR="00CB79C7" w:rsidRPr="00713E31" w:rsidRDefault="00CB79C7" w:rsidP="00CB79C7">
            <w:pPr>
              <w:keepNext/>
              <w:spacing w:line="360" w:lineRule="auto"/>
              <w:jc w:val="center"/>
              <w:rPr>
                <w:rFonts w:cs="Times New Roman"/>
                <w:szCs w:val="20"/>
              </w:rPr>
            </w:pPr>
            <w:r w:rsidRPr="00713E31">
              <w:rPr>
                <w:rFonts w:cs="Times New Roman"/>
                <w:szCs w:val="20"/>
              </w:rPr>
              <w:t>68.2 ± 4.6</w:t>
            </w:r>
          </w:p>
        </w:tc>
        <w:tc>
          <w:tcPr>
            <w:tcW w:w="1626" w:type="dxa"/>
          </w:tcPr>
          <w:p w14:paraId="16BF48BC" w14:textId="77777777" w:rsidR="00CB79C7" w:rsidRPr="00713E31" w:rsidRDefault="00CB79C7" w:rsidP="00CB79C7">
            <w:pPr>
              <w:keepNext/>
              <w:spacing w:line="360" w:lineRule="auto"/>
              <w:jc w:val="center"/>
              <w:rPr>
                <w:rFonts w:cs="Times New Roman"/>
                <w:szCs w:val="20"/>
              </w:rPr>
            </w:pPr>
            <w:r w:rsidRPr="00713E31">
              <w:rPr>
                <w:rFonts w:cs="Times New Roman"/>
                <w:szCs w:val="20"/>
              </w:rPr>
              <w:t>143.7 ± 9.0</w:t>
            </w:r>
          </w:p>
        </w:tc>
        <w:tc>
          <w:tcPr>
            <w:tcW w:w="1626" w:type="dxa"/>
          </w:tcPr>
          <w:p w14:paraId="43560F31" w14:textId="77777777" w:rsidR="00CB79C7" w:rsidRPr="00713E31" w:rsidRDefault="00CB79C7" w:rsidP="00CB79C7">
            <w:pPr>
              <w:keepNext/>
              <w:spacing w:line="360" w:lineRule="auto"/>
              <w:jc w:val="center"/>
              <w:rPr>
                <w:rFonts w:cs="Times New Roman"/>
                <w:szCs w:val="20"/>
              </w:rPr>
            </w:pPr>
            <w:r w:rsidRPr="00713E31">
              <w:rPr>
                <w:rFonts w:cs="Times New Roman"/>
                <w:szCs w:val="20"/>
              </w:rPr>
              <w:t>103.9 ± 6.6</w:t>
            </w:r>
          </w:p>
        </w:tc>
      </w:tr>
    </w:tbl>
    <w:p w14:paraId="152CA41A" w14:textId="3CA358A1" w:rsidR="00CB79C7" w:rsidRPr="00713E31" w:rsidRDefault="00CB79C7" w:rsidP="00CC4ED9">
      <w:pPr>
        <w:sectPr w:rsidR="00CB79C7" w:rsidRPr="00713E31" w:rsidSect="00607EB2">
          <w:footerReference w:type="default" r:id="rId21"/>
          <w:pgSz w:w="16838" w:h="11906" w:orient="landscape"/>
          <w:pgMar w:top="1440" w:right="1440" w:bottom="1440" w:left="1440" w:header="708" w:footer="708" w:gutter="0"/>
          <w:cols w:space="708"/>
          <w:docGrid w:linePitch="360"/>
        </w:sectPr>
      </w:pPr>
    </w:p>
    <w:p w14:paraId="3E7B8FEF" w14:textId="08269D50" w:rsidR="00BE0E73" w:rsidRDefault="00211040" w:rsidP="00C807A3">
      <w:pPr>
        <w:pStyle w:val="Heading3"/>
        <w:spacing w:line="360" w:lineRule="auto"/>
      </w:pPr>
      <w:r w:rsidRPr="00EF75A4">
        <w:lastRenderedPageBreak/>
        <w:t>pH and EC</w:t>
      </w:r>
      <w:r w:rsidR="00290F9C" w:rsidRPr="00EF75A4">
        <w:t xml:space="preserve"> profile</w:t>
      </w:r>
      <w:r w:rsidR="009C78E9">
        <w:t>s</w:t>
      </w:r>
    </w:p>
    <w:p w14:paraId="1F015653" w14:textId="18510B55" w:rsidR="00266F72" w:rsidRDefault="00266F72" w:rsidP="00266F72">
      <w:pPr>
        <w:spacing w:line="360" w:lineRule="auto"/>
        <w:rPr>
          <w:rFonts w:cs="Times New Roman"/>
        </w:rPr>
      </w:pPr>
      <w:r w:rsidRPr="00EF75A4">
        <w:rPr>
          <w:rFonts w:cs="Times New Roman"/>
        </w:rPr>
        <w:t xml:space="preserve">As illustrated in </w:t>
      </w:r>
      <w:r w:rsidRPr="00E43191">
        <w:rPr>
          <w:rFonts w:cs="Times New Roman"/>
        </w:rPr>
        <w:fldChar w:fldCharType="begin"/>
      </w:r>
      <w:r w:rsidRPr="00E43191">
        <w:rPr>
          <w:rFonts w:cs="Times New Roman"/>
        </w:rPr>
        <w:instrText xml:space="preserve"> REF _Ref37333243 \h  \* MERGEFORMAT </w:instrText>
      </w:r>
      <w:r w:rsidRPr="00E43191">
        <w:rPr>
          <w:rFonts w:cs="Times New Roman"/>
        </w:rPr>
      </w:r>
      <w:r w:rsidRPr="00E43191">
        <w:rPr>
          <w:rFonts w:cs="Times New Roman"/>
        </w:rPr>
        <w:fldChar w:fldCharType="separate"/>
      </w:r>
      <w:r w:rsidR="00E4647D" w:rsidRPr="00E4647D">
        <w:t xml:space="preserve">Fig. </w:t>
      </w:r>
      <w:r w:rsidR="00E4647D" w:rsidRPr="00E4647D">
        <w:rPr>
          <w:noProof/>
        </w:rPr>
        <w:t>2</w:t>
      </w:r>
      <w:r w:rsidRPr="00E43191">
        <w:rPr>
          <w:rFonts w:cs="Times New Roman"/>
        </w:rPr>
        <w:fldChar w:fldCharType="end"/>
      </w:r>
      <w:r w:rsidRPr="00EF75A4">
        <w:rPr>
          <w:rFonts w:cs="Times New Roman"/>
        </w:rPr>
        <w:t>, the blend 2 had a higher pH and EC than the blend 1 because of the higher share of ashes, wh</w:t>
      </w:r>
      <w:r>
        <w:rPr>
          <w:rFonts w:cs="Times New Roman"/>
        </w:rPr>
        <w:t xml:space="preserve">ich </w:t>
      </w:r>
      <w:r w:rsidRPr="0088097C">
        <w:rPr>
          <w:rFonts w:cs="Times New Roman"/>
        </w:rPr>
        <w:t xml:space="preserve">were the driving force for the change of the composition of the digestates. Moreover, the blend 1 had higher content of </w:t>
      </w:r>
      <w:r w:rsidR="003B4413" w:rsidRPr="0088097C">
        <w:rPr>
          <w:rFonts w:cs="Times New Roman"/>
        </w:rPr>
        <w:t>NH</w:t>
      </w:r>
      <w:r w:rsidR="003B4413" w:rsidRPr="0088097C">
        <w:rPr>
          <w:rFonts w:cs="Times New Roman"/>
          <w:vertAlign w:val="subscript"/>
        </w:rPr>
        <w:t>4</w:t>
      </w:r>
      <w:r w:rsidR="003B4413" w:rsidRPr="0088097C">
        <w:rPr>
          <w:rFonts w:cs="Times New Roman"/>
          <w:vertAlign w:val="superscript"/>
        </w:rPr>
        <w:t>+</w:t>
      </w:r>
      <w:r w:rsidR="003B4413" w:rsidRPr="0088097C">
        <w:rPr>
          <w:rFonts w:cs="Times New Roman"/>
        </w:rPr>
        <w:t>-N</w:t>
      </w:r>
      <w:r w:rsidRPr="0088097C">
        <w:rPr>
          <w:rFonts w:cs="Times New Roman"/>
        </w:rPr>
        <w:t xml:space="preserve"> (</w:t>
      </w:r>
      <w:r w:rsidR="001E3AF5" w:rsidRPr="0088097C">
        <w:rPr>
          <w:rFonts w:cs="Times New Roman"/>
        </w:rPr>
        <w:fldChar w:fldCharType="begin"/>
      </w:r>
      <w:r w:rsidR="001E3AF5" w:rsidRPr="0088097C">
        <w:rPr>
          <w:rFonts w:cs="Times New Roman"/>
        </w:rPr>
        <w:instrText xml:space="preserve"> REF _Ref44759336 \h  \* MERGEFORMAT </w:instrText>
      </w:r>
      <w:r w:rsidR="001E3AF5" w:rsidRPr="0088097C">
        <w:rPr>
          <w:rFonts w:cs="Times New Roman"/>
        </w:rPr>
      </w:r>
      <w:r w:rsidR="001E3AF5" w:rsidRPr="0088097C">
        <w:rPr>
          <w:rFonts w:cs="Times New Roman"/>
        </w:rPr>
        <w:fldChar w:fldCharType="separate"/>
      </w:r>
      <w:r w:rsidR="001E3AF5" w:rsidRPr="0088097C">
        <w:rPr>
          <w:rFonts w:cs="Times New Roman"/>
        </w:rPr>
        <w:t xml:space="preserve">Table </w:t>
      </w:r>
      <w:r w:rsidR="001E3AF5" w:rsidRPr="0088097C">
        <w:rPr>
          <w:rFonts w:cs="Times New Roman"/>
          <w:noProof/>
        </w:rPr>
        <w:t>3</w:t>
      </w:r>
      <w:r w:rsidR="001E3AF5" w:rsidRPr="0088097C">
        <w:rPr>
          <w:rFonts w:cs="Times New Roman"/>
        </w:rPr>
        <w:fldChar w:fldCharType="end"/>
      </w:r>
      <w:r w:rsidR="00F94B33" w:rsidRPr="0088097C">
        <w:rPr>
          <w:rFonts w:cs="Times New Roman"/>
        </w:rPr>
        <w:fldChar w:fldCharType="begin"/>
      </w:r>
      <w:r w:rsidR="00F94B33" w:rsidRPr="0088097C">
        <w:rPr>
          <w:rFonts w:cs="Times New Roman"/>
        </w:rPr>
        <w:instrText xml:space="preserve"> REF _Ref13331821 \h  \* MERGEFORMAT </w:instrText>
      </w:r>
      <w:r w:rsidR="00F94B33" w:rsidRPr="0088097C">
        <w:rPr>
          <w:rFonts w:cs="Times New Roman"/>
        </w:rPr>
      </w:r>
      <w:r w:rsidR="00F94B33" w:rsidRPr="0088097C">
        <w:rPr>
          <w:rFonts w:cs="Times New Roman"/>
        </w:rPr>
        <w:fldChar w:fldCharType="end"/>
      </w:r>
      <w:r w:rsidRPr="0088097C">
        <w:rPr>
          <w:rFonts w:cs="Times New Roman"/>
        </w:rPr>
        <w:t>)</w:t>
      </w:r>
      <w:r w:rsidR="00774974" w:rsidRPr="0088097C">
        <w:rPr>
          <w:rFonts w:cs="Times New Roman"/>
        </w:rPr>
        <w:t xml:space="preserve"> with</w:t>
      </w:r>
      <w:r w:rsidRPr="0088097C">
        <w:rPr>
          <w:rFonts w:cs="Times New Roman"/>
        </w:rPr>
        <w:t xml:space="preserve"> buffer effect, </w:t>
      </w:r>
      <w:r w:rsidR="00774974" w:rsidRPr="0088097C">
        <w:rPr>
          <w:rFonts w:cs="Times New Roman"/>
        </w:rPr>
        <w:t>which</w:t>
      </w:r>
      <w:r w:rsidRPr="0088097C">
        <w:rPr>
          <w:rFonts w:cs="Times New Roman"/>
        </w:rPr>
        <w:t xml:space="preserve"> prevented a drastic increase </w:t>
      </w:r>
      <w:r w:rsidR="00774974" w:rsidRPr="0088097C">
        <w:rPr>
          <w:rFonts w:cs="Times New Roman"/>
        </w:rPr>
        <w:t>of</w:t>
      </w:r>
      <w:r w:rsidR="00B72F4A" w:rsidRPr="0088097C">
        <w:rPr>
          <w:rFonts w:cs="Times New Roman"/>
        </w:rPr>
        <w:t xml:space="preserve"> the</w:t>
      </w:r>
      <w:r w:rsidRPr="0088097C">
        <w:rPr>
          <w:rFonts w:cs="Times New Roman"/>
        </w:rPr>
        <w:t xml:space="preserve"> pH. These two characteristics (i.e. content of </w:t>
      </w:r>
      <w:r w:rsidR="00F86DCE" w:rsidRPr="0088097C">
        <w:rPr>
          <w:rFonts w:cs="Times New Roman"/>
        </w:rPr>
        <w:t>ash</w:t>
      </w:r>
      <w:r w:rsidR="005838D0" w:rsidRPr="0088097C">
        <w:rPr>
          <w:rFonts w:cs="Times New Roman"/>
        </w:rPr>
        <w:t>es</w:t>
      </w:r>
      <w:r w:rsidR="00F86DCE" w:rsidRPr="0088097C">
        <w:rPr>
          <w:rFonts w:cs="Times New Roman"/>
        </w:rPr>
        <w:t xml:space="preserve"> and </w:t>
      </w:r>
      <w:r w:rsidR="003B4413" w:rsidRPr="0088097C">
        <w:rPr>
          <w:rFonts w:cs="Times New Roman"/>
        </w:rPr>
        <w:t>NH</w:t>
      </w:r>
      <w:r w:rsidR="003B4413" w:rsidRPr="0088097C">
        <w:rPr>
          <w:rFonts w:cs="Times New Roman"/>
          <w:vertAlign w:val="subscript"/>
        </w:rPr>
        <w:t>4</w:t>
      </w:r>
      <w:r w:rsidR="003B4413" w:rsidRPr="0088097C">
        <w:rPr>
          <w:rFonts w:cs="Times New Roman"/>
          <w:vertAlign w:val="superscript"/>
        </w:rPr>
        <w:t>+</w:t>
      </w:r>
      <w:r w:rsidR="003B4413" w:rsidRPr="0088097C">
        <w:rPr>
          <w:rFonts w:cs="Times New Roman"/>
        </w:rPr>
        <w:t>-N</w:t>
      </w:r>
      <w:r w:rsidR="00F86DCE" w:rsidRPr="0088097C">
        <w:rPr>
          <w:rFonts w:cs="Times New Roman"/>
        </w:rPr>
        <w:t xml:space="preserve"> of the blends) we</w:t>
      </w:r>
      <w:r w:rsidR="00804CAC" w:rsidRPr="0088097C">
        <w:rPr>
          <w:rFonts w:cs="Times New Roman"/>
        </w:rPr>
        <w:t>re</w:t>
      </w:r>
      <w:r w:rsidR="00804CAC">
        <w:rPr>
          <w:rFonts w:cs="Times New Roman"/>
        </w:rPr>
        <w:t xml:space="preserve"> responsible </w:t>
      </w:r>
      <w:r w:rsidR="00A844EF">
        <w:rPr>
          <w:rFonts w:cs="Times New Roman"/>
        </w:rPr>
        <w:t>f</w:t>
      </w:r>
      <w:r w:rsidR="00804CAC">
        <w:rPr>
          <w:rFonts w:cs="Times New Roman"/>
        </w:rPr>
        <w:t>or the</w:t>
      </w:r>
      <w:r w:rsidRPr="00EF75A4">
        <w:rPr>
          <w:rFonts w:cs="Times New Roman"/>
        </w:rPr>
        <w:t xml:space="preserve"> more time required for the blend 1 to reach a st</w:t>
      </w:r>
      <w:r w:rsidR="00F94B33">
        <w:rPr>
          <w:rFonts w:cs="Times New Roman"/>
        </w:rPr>
        <w:t>eady</w:t>
      </w:r>
      <w:r w:rsidR="00C53816">
        <w:rPr>
          <w:rFonts w:cs="Times New Roman"/>
        </w:rPr>
        <w:t xml:space="preserve"> </w:t>
      </w:r>
      <w:r w:rsidR="009E1F28">
        <w:rPr>
          <w:rFonts w:cs="Times New Roman"/>
        </w:rPr>
        <w:t>level</w:t>
      </w:r>
      <w:r w:rsidR="00C53816">
        <w:rPr>
          <w:rFonts w:cs="Times New Roman"/>
        </w:rPr>
        <w:t xml:space="preserve"> of</w:t>
      </w:r>
      <w:r w:rsidR="00B72F4A">
        <w:rPr>
          <w:rFonts w:cs="Times New Roman"/>
        </w:rPr>
        <w:t xml:space="preserve"> </w:t>
      </w:r>
      <w:r w:rsidR="00C53816">
        <w:rPr>
          <w:rFonts w:cs="Times New Roman"/>
        </w:rPr>
        <w:t>pH and</w:t>
      </w:r>
      <w:r w:rsidR="00B72F4A">
        <w:rPr>
          <w:rFonts w:cs="Times New Roman"/>
        </w:rPr>
        <w:t xml:space="preserve"> </w:t>
      </w:r>
      <w:r w:rsidRPr="00EF75A4">
        <w:rPr>
          <w:rFonts w:cs="Times New Roman"/>
        </w:rPr>
        <w:t>EC than for the blend 2. In fact, the ANOVA test in</w:t>
      </w:r>
      <w:r w:rsidR="00F94B33">
        <w:rPr>
          <w:rFonts w:cs="Times New Roman"/>
        </w:rPr>
        <w:t>dicated that the EC of</w:t>
      </w:r>
      <w:r w:rsidRPr="00EF75A4">
        <w:rPr>
          <w:rFonts w:cs="Times New Roman"/>
        </w:rPr>
        <w:t xml:space="preserve"> the blend 2 was constant during the whole incubation period.</w:t>
      </w:r>
      <w:r w:rsidR="00CE7FB7">
        <w:rPr>
          <w:rFonts w:cs="Times New Roman"/>
        </w:rPr>
        <w:t xml:space="preserve"> </w:t>
      </w:r>
      <w:r w:rsidR="00E45FCB">
        <w:rPr>
          <w:rFonts w:cs="Times New Roman"/>
          <w:b/>
        </w:rPr>
        <w:t>T</w:t>
      </w:r>
      <w:r w:rsidR="00CE7FB7" w:rsidRPr="00E45FCB">
        <w:rPr>
          <w:rFonts w:cs="Times New Roman"/>
          <w:b/>
        </w:rPr>
        <w:t xml:space="preserve">he </w:t>
      </w:r>
      <w:r w:rsidR="006F1440" w:rsidRPr="00E45FCB">
        <w:rPr>
          <w:rFonts w:cs="Times New Roman"/>
          <w:b/>
        </w:rPr>
        <w:t>larg</w:t>
      </w:r>
      <w:r w:rsidR="00CE7FB7" w:rsidRPr="00E45FCB">
        <w:rPr>
          <w:rFonts w:cs="Times New Roman"/>
          <w:b/>
        </w:rPr>
        <w:t xml:space="preserve">er error bars of the EC of the blend 2 </w:t>
      </w:r>
      <w:r w:rsidR="005371EB">
        <w:rPr>
          <w:rFonts w:cs="Times New Roman"/>
          <w:b/>
        </w:rPr>
        <w:t>(</w:t>
      </w:r>
      <w:r w:rsidR="005371EB" w:rsidRPr="005371EB">
        <w:rPr>
          <w:rFonts w:cs="Times New Roman"/>
          <w:b/>
        </w:rPr>
        <w:fldChar w:fldCharType="begin"/>
      </w:r>
      <w:r w:rsidR="005371EB" w:rsidRPr="005371EB">
        <w:rPr>
          <w:rFonts w:cs="Times New Roman"/>
          <w:b/>
        </w:rPr>
        <w:instrText xml:space="preserve"> REF _Ref37333243 \h  \* MERGEFORMAT </w:instrText>
      </w:r>
      <w:r w:rsidR="005371EB" w:rsidRPr="005371EB">
        <w:rPr>
          <w:rFonts w:cs="Times New Roman"/>
          <w:b/>
        </w:rPr>
      </w:r>
      <w:r w:rsidR="005371EB" w:rsidRPr="005371EB">
        <w:rPr>
          <w:rFonts w:cs="Times New Roman"/>
          <w:b/>
        </w:rPr>
        <w:fldChar w:fldCharType="separate"/>
      </w:r>
      <w:r w:rsidR="005371EB" w:rsidRPr="005371EB">
        <w:rPr>
          <w:b/>
        </w:rPr>
        <w:t xml:space="preserve">Fig. </w:t>
      </w:r>
      <w:r w:rsidR="005371EB" w:rsidRPr="005371EB">
        <w:rPr>
          <w:b/>
          <w:noProof/>
        </w:rPr>
        <w:t>2</w:t>
      </w:r>
      <w:r w:rsidR="005371EB" w:rsidRPr="005371EB">
        <w:rPr>
          <w:rFonts w:cs="Times New Roman"/>
          <w:b/>
        </w:rPr>
        <w:fldChar w:fldCharType="end"/>
      </w:r>
      <w:r w:rsidR="005371EB">
        <w:rPr>
          <w:rFonts w:cs="Times New Roman"/>
          <w:b/>
        </w:rPr>
        <w:t xml:space="preserve"> b) </w:t>
      </w:r>
      <w:r w:rsidR="00CE7FB7" w:rsidRPr="00E45FCB">
        <w:rPr>
          <w:rFonts w:cs="Times New Roman"/>
          <w:b/>
        </w:rPr>
        <w:t>could be related to the greater particle size of the WBA</w:t>
      </w:r>
      <w:r w:rsidR="008F6C29" w:rsidRPr="00E45FCB">
        <w:rPr>
          <w:rFonts w:cs="Times New Roman"/>
          <w:b/>
        </w:rPr>
        <w:t xml:space="preserve"> which made</w:t>
      </w:r>
      <w:r w:rsidR="00CE7FB7" w:rsidRPr="00E45FCB">
        <w:rPr>
          <w:rFonts w:cs="Times New Roman"/>
          <w:b/>
        </w:rPr>
        <w:t xml:space="preserve"> this</w:t>
      </w:r>
      <w:r w:rsidR="008F6C29" w:rsidRPr="00E45FCB">
        <w:rPr>
          <w:rFonts w:cs="Times New Roman"/>
          <w:b/>
        </w:rPr>
        <w:t xml:space="preserve"> sample</w:t>
      </w:r>
      <w:r w:rsidR="00233406" w:rsidRPr="00E45FCB">
        <w:rPr>
          <w:b/>
        </w:rPr>
        <w:t xml:space="preserve"> </w:t>
      </w:r>
      <w:r w:rsidR="00233406" w:rsidRPr="00E45FCB">
        <w:rPr>
          <w:rFonts w:cs="Times New Roman"/>
          <w:b/>
        </w:rPr>
        <w:t xml:space="preserve">more </w:t>
      </w:r>
      <w:r w:rsidR="0076457B" w:rsidRPr="00E45FCB">
        <w:rPr>
          <w:rFonts w:cs="Times New Roman"/>
          <w:b/>
        </w:rPr>
        <w:t xml:space="preserve">susceptible to be affected by </w:t>
      </w:r>
      <w:r w:rsidR="00233406" w:rsidRPr="00E45FCB">
        <w:rPr>
          <w:rFonts w:cs="Times New Roman"/>
          <w:b/>
        </w:rPr>
        <w:t>sampling error</w:t>
      </w:r>
      <w:r w:rsidR="0076457B" w:rsidRPr="00E45FCB">
        <w:rPr>
          <w:rFonts w:cs="Times New Roman"/>
          <w:b/>
        </w:rPr>
        <w:t>s</w:t>
      </w:r>
      <w:r w:rsidR="00233406" w:rsidRPr="00E45FCB">
        <w:rPr>
          <w:rFonts w:cs="Times New Roman"/>
          <w:b/>
        </w:rPr>
        <w:t xml:space="preserve"> and, therefore,</w:t>
      </w:r>
      <w:r w:rsidR="00CE7FB7" w:rsidRPr="00E45FCB">
        <w:rPr>
          <w:rFonts w:cs="Times New Roman"/>
          <w:b/>
        </w:rPr>
        <w:t xml:space="preserve"> less homogenous than the WFA.</w:t>
      </w:r>
      <w:r w:rsidR="007D7208" w:rsidRPr="00E45FCB">
        <w:rPr>
          <w:rFonts w:cs="Times New Roman"/>
          <w:b/>
        </w:rPr>
        <w:t xml:space="preserve"> Moreover, as the EC of the WBA was higher than the one of WFA (</w:t>
      </w:r>
      <w:r w:rsidR="00CE1E2A" w:rsidRPr="00E45FCB">
        <w:rPr>
          <w:rFonts w:cs="Times New Roman"/>
          <w:b/>
        </w:rPr>
        <w:fldChar w:fldCharType="begin"/>
      </w:r>
      <w:r w:rsidR="00CE1E2A" w:rsidRPr="00E45FCB">
        <w:rPr>
          <w:rFonts w:cs="Times New Roman"/>
          <w:b/>
        </w:rPr>
        <w:instrText xml:space="preserve"> REF _Ref44759336 \h  \* MERGEFORMAT </w:instrText>
      </w:r>
      <w:r w:rsidR="00CE1E2A" w:rsidRPr="00E45FCB">
        <w:rPr>
          <w:rFonts w:cs="Times New Roman"/>
          <w:b/>
        </w:rPr>
      </w:r>
      <w:r w:rsidR="00CE1E2A" w:rsidRPr="00E45FCB">
        <w:rPr>
          <w:rFonts w:cs="Times New Roman"/>
          <w:b/>
        </w:rPr>
        <w:fldChar w:fldCharType="separate"/>
      </w:r>
      <w:r w:rsidR="00B42460" w:rsidRPr="00E45FCB">
        <w:rPr>
          <w:rFonts w:cs="Times New Roman"/>
          <w:b/>
        </w:rPr>
        <w:t xml:space="preserve">Table </w:t>
      </w:r>
      <w:r w:rsidR="00B42460" w:rsidRPr="00E45FCB">
        <w:rPr>
          <w:rFonts w:cs="Times New Roman"/>
          <w:b/>
          <w:noProof/>
        </w:rPr>
        <w:t>3</w:t>
      </w:r>
      <w:r w:rsidR="00CE1E2A" w:rsidRPr="00E45FCB">
        <w:rPr>
          <w:rFonts w:cs="Times New Roman"/>
          <w:b/>
        </w:rPr>
        <w:fldChar w:fldCharType="end"/>
      </w:r>
      <w:r w:rsidR="007D7208" w:rsidRPr="00E45FCB">
        <w:rPr>
          <w:rFonts w:cs="Times New Roman"/>
          <w:b/>
        </w:rPr>
        <w:t>), any change in the composition of the bottom ash</w:t>
      </w:r>
      <w:r w:rsidR="009934D0">
        <w:rPr>
          <w:rFonts w:cs="Times New Roman"/>
          <w:b/>
        </w:rPr>
        <w:t xml:space="preserve"> had</w:t>
      </w:r>
      <w:r w:rsidR="007D7208" w:rsidRPr="00E45FCB">
        <w:rPr>
          <w:rFonts w:cs="Times New Roman"/>
          <w:b/>
        </w:rPr>
        <w:t xml:space="preserve"> greater impact on the EC of the blend.</w:t>
      </w:r>
      <w:r w:rsidR="009934D0">
        <w:rPr>
          <w:rFonts w:cs="Times New Roman"/>
          <w:b/>
        </w:rPr>
        <w:t xml:space="preserve"> It should be noted that only the blend 2 contained WBA while WFA had a similar share in both blends (</w:t>
      </w:r>
      <w:r w:rsidR="009934D0" w:rsidRPr="009934D0">
        <w:rPr>
          <w:rFonts w:cs="Times New Roman"/>
          <w:b/>
        </w:rPr>
        <w:fldChar w:fldCharType="begin"/>
      </w:r>
      <w:r w:rsidR="009934D0" w:rsidRPr="009934D0">
        <w:rPr>
          <w:rFonts w:cs="Times New Roman"/>
          <w:b/>
        </w:rPr>
        <w:instrText xml:space="preserve"> REF _Ref44759134 \h  \* MERGEFORMAT </w:instrText>
      </w:r>
      <w:r w:rsidR="009934D0" w:rsidRPr="009934D0">
        <w:rPr>
          <w:rFonts w:cs="Times New Roman"/>
          <w:b/>
        </w:rPr>
      </w:r>
      <w:r w:rsidR="009934D0" w:rsidRPr="009934D0">
        <w:rPr>
          <w:rFonts w:cs="Times New Roman"/>
          <w:b/>
        </w:rPr>
        <w:fldChar w:fldCharType="separate"/>
      </w:r>
      <w:r w:rsidR="009934D0" w:rsidRPr="009934D0">
        <w:rPr>
          <w:b/>
        </w:rPr>
        <w:t xml:space="preserve">Table </w:t>
      </w:r>
      <w:r w:rsidR="009934D0" w:rsidRPr="009934D0">
        <w:rPr>
          <w:b/>
          <w:noProof/>
        </w:rPr>
        <w:t>2</w:t>
      </w:r>
      <w:r w:rsidR="009934D0" w:rsidRPr="009934D0">
        <w:rPr>
          <w:rFonts w:cs="Times New Roman"/>
          <w:b/>
        </w:rPr>
        <w:fldChar w:fldCharType="end"/>
      </w:r>
      <w:r w:rsidR="009934D0">
        <w:rPr>
          <w:rFonts w:cs="Times New Roman"/>
          <w:b/>
        </w:rPr>
        <w:t>).</w:t>
      </w:r>
    </w:p>
    <w:p w14:paraId="44795527" w14:textId="3B54F11A" w:rsidR="00B956CE" w:rsidRPr="00266F72" w:rsidRDefault="00B956CE" w:rsidP="00266F72">
      <w:pPr>
        <w:spacing w:line="360" w:lineRule="auto"/>
        <w:rPr>
          <w:rFonts w:cs="Times New Roman"/>
        </w:rPr>
      </w:pPr>
      <w:r w:rsidRPr="00EF75A4">
        <w:rPr>
          <w:rFonts w:cs="Times New Roman"/>
        </w:rPr>
        <w:t>The mobility of H</w:t>
      </w:r>
      <w:r w:rsidRPr="00EF75A4">
        <w:rPr>
          <w:rFonts w:cs="Times New Roman"/>
          <w:vertAlign w:val="superscript"/>
        </w:rPr>
        <w:t>+</w:t>
      </w:r>
      <w:r w:rsidRPr="00EF75A4">
        <w:rPr>
          <w:rFonts w:cs="Times New Roman"/>
        </w:rPr>
        <w:t xml:space="preserve"> ions, explained by the Grotthuss mechanism, is almost twice as those of OH</w:t>
      </w:r>
      <w:r w:rsidRPr="00EF75A4">
        <w:rPr>
          <w:rFonts w:cs="Times New Roman"/>
          <w:vertAlign w:val="superscript"/>
        </w:rPr>
        <w:t>-</w:t>
      </w:r>
      <w:r w:rsidRPr="00EF75A4">
        <w:rPr>
          <w:rFonts w:cs="Times New Roman"/>
        </w:rPr>
        <w:t xml:space="preserve"> ions</w:t>
      </w:r>
      <w:r w:rsidR="00523707">
        <w:rPr>
          <w:rFonts w:cs="Times New Roman"/>
        </w:rPr>
        <w:t xml:space="preserve"> </w:t>
      </w:r>
      <w:r w:rsidR="00233927">
        <w:rPr>
          <w:rFonts w:cs="Times New Roman"/>
        </w:rPr>
        <w:fldChar w:fldCharType="begin" w:fldLock="1"/>
      </w:r>
      <w:r w:rsidR="00233927">
        <w:rPr>
          <w:rFonts w:cs="Times New Roman"/>
        </w:rPr>
        <w:instrText>ADDIN CSL_CITATION {"citationItems":[{"id":"ITEM-1","itemData":{"DOI":"10.1016/0009-2614(95)00905-J","abstract":"Suggested mechanisms for proton mobility are confronted with experimental findings and quantum mechanical calculations, indicating that no model is consistent with the existing data. It is suggested that the molecular mechanism behind prototropic mobility involves a periodic series of isomerizations between H9O4+ and H5O2+, the first trigerred by hyrdogen-bond cleavage of a second-shell water molecule and the second by the reverse, hydrogen-bond formation process.","author":[{"dropping-particle":"","family":"Agmon","given":"Noam","non-dropping-particle":"","parse-names":false,"suffix":""}],"container-title":"Chemical physics letter","id":"ITEM-1","issue":"5-6","issued":{"date-parts":[["1995"]]},"page":"456462","title":"The Grotthuss mechanism","type":"article-journal","volume":"244"},"uris":["http://www.mendeley.com/documents/?uuid=52faf71a-63b0-4cee-a8ef-fbca8b332b46"]}],"mendeley":{"formattedCitation":"[44]","plainTextFormattedCitation":"[44]"},"properties":{"noteIndex":0},"schema":"https://github.com/citation-style-language/schema/raw/master/csl-citation.json"}</w:instrText>
      </w:r>
      <w:r w:rsidR="00233927">
        <w:rPr>
          <w:rFonts w:cs="Times New Roman"/>
        </w:rPr>
        <w:fldChar w:fldCharType="separate"/>
      </w:r>
      <w:r w:rsidR="00233927" w:rsidRPr="00233927">
        <w:rPr>
          <w:rFonts w:cs="Times New Roman"/>
          <w:noProof/>
        </w:rPr>
        <w:t>[44]</w:t>
      </w:r>
      <w:r w:rsidR="00233927">
        <w:rPr>
          <w:rFonts w:cs="Times New Roman"/>
        </w:rPr>
        <w:fldChar w:fldCharType="end"/>
      </w:r>
      <w:r w:rsidRPr="00EF75A4">
        <w:rPr>
          <w:rFonts w:cs="Times New Roman"/>
        </w:rPr>
        <w:t>. Thereby, strongly acidic so</w:t>
      </w:r>
      <w:r w:rsidRPr="0088097C">
        <w:rPr>
          <w:rFonts w:cs="Times New Roman"/>
        </w:rPr>
        <w:t>lutions have more EC than the hig</w:t>
      </w:r>
      <w:r w:rsidR="003B39FD" w:rsidRPr="0088097C">
        <w:rPr>
          <w:rFonts w:cs="Times New Roman"/>
        </w:rPr>
        <w:t>hly basic ones. At the pH of the</w:t>
      </w:r>
      <w:r w:rsidRPr="0088097C">
        <w:rPr>
          <w:rFonts w:cs="Times New Roman"/>
        </w:rPr>
        <w:t xml:space="preserve"> blends</w:t>
      </w:r>
      <w:r w:rsidR="003B39FD" w:rsidRPr="0088097C">
        <w:rPr>
          <w:rFonts w:cs="Times New Roman"/>
        </w:rPr>
        <w:t xml:space="preserve"> (</w:t>
      </w:r>
      <w:r w:rsidR="00DA4FA7" w:rsidRPr="0088097C">
        <w:rPr>
          <w:rFonts w:cs="Times New Roman"/>
        </w:rPr>
        <w:fldChar w:fldCharType="begin"/>
      </w:r>
      <w:r w:rsidR="00DA4FA7" w:rsidRPr="0088097C">
        <w:rPr>
          <w:rFonts w:cs="Times New Roman"/>
        </w:rPr>
        <w:instrText xml:space="preserve"> REF _Ref37333243 \h  \* MERGEFORMAT </w:instrText>
      </w:r>
      <w:r w:rsidR="00DA4FA7" w:rsidRPr="0088097C">
        <w:rPr>
          <w:rFonts w:cs="Times New Roman"/>
        </w:rPr>
      </w:r>
      <w:r w:rsidR="00DA4FA7" w:rsidRPr="0088097C">
        <w:rPr>
          <w:rFonts w:cs="Times New Roman"/>
        </w:rPr>
        <w:fldChar w:fldCharType="separate"/>
      </w:r>
      <w:r w:rsidR="00DA4FA7" w:rsidRPr="0088097C">
        <w:t xml:space="preserve">Fig. </w:t>
      </w:r>
      <w:r w:rsidR="00DA4FA7" w:rsidRPr="0088097C">
        <w:rPr>
          <w:noProof/>
        </w:rPr>
        <w:t>2</w:t>
      </w:r>
      <w:r w:rsidR="00DA4FA7" w:rsidRPr="0088097C">
        <w:rPr>
          <w:rFonts w:cs="Times New Roman"/>
        </w:rPr>
        <w:fldChar w:fldCharType="end"/>
      </w:r>
      <w:r w:rsidR="00DA4FA7" w:rsidRPr="0088097C">
        <w:rPr>
          <w:rFonts w:cs="Times New Roman"/>
        </w:rPr>
        <w:t xml:space="preserve"> a</w:t>
      </w:r>
      <w:r w:rsidR="003B39FD" w:rsidRPr="0088097C">
        <w:rPr>
          <w:rFonts w:cs="Times New Roman"/>
        </w:rPr>
        <w:t>)</w:t>
      </w:r>
      <w:r w:rsidRPr="0088097C">
        <w:rPr>
          <w:rFonts w:cs="Times New Roman"/>
        </w:rPr>
        <w:t>, the amount of H</w:t>
      </w:r>
      <w:r w:rsidRPr="0088097C">
        <w:rPr>
          <w:rFonts w:cs="Times New Roman"/>
          <w:vertAlign w:val="superscript"/>
        </w:rPr>
        <w:t>+</w:t>
      </w:r>
      <w:r w:rsidRPr="0088097C">
        <w:rPr>
          <w:rFonts w:cs="Times New Roman"/>
        </w:rPr>
        <w:t xml:space="preserve"> was negligible compared to the OH</w:t>
      </w:r>
      <w:r w:rsidRPr="0088097C">
        <w:rPr>
          <w:rFonts w:cs="Times New Roman"/>
          <w:vertAlign w:val="superscript"/>
        </w:rPr>
        <w:t>-</w:t>
      </w:r>
      <w:r w:rsidRPr="0088097C">
        <w:rPr>
          <w:rFonts w:cs="Times New Roman"/>
        </w:rPr>
        <w:t>. Therefore, the higher the pH</w:t>
      </w:r>
      <w:r w:rsidR="00793116" w:rsidRPr="0088097C">
        <w:rPr>
          <w:rFonts w:cs="Times New Roman"/>
        </w:rPr>
        <w:t>,</w:t>
      </w:r>
      <w:r w:rsidRPr="0088097C">
        <w:rPr>
          <w:rFonts w:cs="Times New Roman"/>
        </w:rPr>
        <w:t xml:space="preserve"> the higher the EC. </w:t>
      </w:r>
      <w:r w:rsidR="00C12C43" w:rsidRPr="0088097C">
        <w:rPr>
          <w:rFonts w:cs="Times New Roman"/>
        </w:rPr>
        <w:t>Following the same reasoning</w:t>
      </w:r>
      <w:r w:rsidRPr="0088097C">
        <w:rPr>
          <w:rFonts w:cs="Times New Roman"/>
        </w:rPr>
        <w:t xml:space="preserve">, moderate alkaline pH reduces the amount of ions </w:t>
      </w:r>
      <w:r w:rsidRPr="0088097C">
        <w:rPr>
          <w:rFonts w:cs="Times New Roman"/>
        </w:rPr>
        <w:fldChar w:fldCharType="begin" w:fldLock="1"/>
      </w:r>
      <w:r w:rsidR="00BB33F9">
        <w:rPr>
          <w:rFonts w:cs="Times New Roman"/>
        </w:rPr>
        <w:instrText>ADDIN CSL_CITATION {"citationItems":[{"id":"ITEM-1","itemData":{"DOI":"10.1016/j.jenvman.2014.10.001","ISBN":"0301-4797","ISSN":"1095-8630","PMID":"25463570","abstract":"Ammonia emissions are a major problem associated with animal slurry management, and solutions to overcome this problem are required worldwide by farmers and stakeholders. An obvious way to minimize ammonia emissions from slurry is to decrease slurry pH by addition of acids or other substances. This solution has been used commonly since 2010 in countries such as Denmark, and its efficiency with regard to the minimization of NH3 emissions has been documented in many studies. Nevertheless, the impact of such treatment on other gaseous emissions during storage is not clear, since the studies performed so far have provided different scenarios. Similarly, the impact of the soil application of acidified slurry on plant production and diffuse pollution has been considered in several studies. Also, the impact of acidification upon combination with other slurry treatment technologies (e.g. mechanical separation, anaerobic digestion …) is important to consider. Here, a compilation and critical review of all these studies has been performed in order to fully understand the global impact of slurry acidification and assess the applicability of this treatment for slurry management.","author":[{"dropping-particle":"","family":"Fangueiro","given":"David","non-dropping-particle":"","parse-names":false,"suffix":""},{"dropping-particle":"","family":"Hjorth","given":"Maibritt","non-dropping-particle":"","parse-names":false,"suffix":""},{"dropping-particle":"","family":"Gioelli","given":"Fabrizio","non-dropping-particle":"","parse-names":false,"suffix":""}],"container-title":"Journal of environmental management","id":"ITEM-1","issued":{"date-parts":[["2015"]]},"page":"46-56","title":"Acidification of animal slurry - A review.","type":"article-journal","volume":"149"},"uris":["http://www.mendeley.com/documents/?uuid=265bd06f-7088-4a11-8a75-6e952d911ad6"]}],"mendeley":{"formattedCitation":"[45]","plainTextFormattedCitation":"[45]","previouslyFormattedCitation":"[45]"},"properties":{"noteIndex":0},"schema":"https://github.com/citation-style-language/schema/raw/master/csl-citation.json"}</w:instrText>
      </w:r>
      <w:r w:rsidRPr="0088097C">
        <w:rPr>
          <w:rFonts w:cs="Times New Roman"/>
          <w:vertAlign w:val="superscript"/>
        </w:rPr>
        <w:fldChar w:fldCharType="separate"/>
      </w:r>
      <w:r w:rsidR="00D33723" w:rsidRPr="00D33723">
        <w:rPr>
          <w:rFonts w:cs="Times New Roman"/>
          <w:noProof/>
        </w:rPr>
        <w:t>[45]</w:t>
      </w:r>
      <w:r w:rsidRPr="0088097C">
        <w:rPr>
          <w:rFonts w:cs="Times New Roman"/>
        </w:rPr>
        <w:fldChar w:fldCharType="end"/>
      </w:r>
      <w:r w:rsidRPr="0088097C">
        <w:rPr>
          <w:rFonts w:cs="Times New Roman"/>
        </w:rPr>
        <w:t>, such as NH</w:t>
      </w:r>
      <w:r w:rsidRPr="0088097C">
        <w:rPr>
          <w:rFonts w:cs="Times New Roman"/>
          <w:vertAlign w:val="subscript"/>
        </w:rPr>
        <w:t>4</w:t>
      </w:r>
      <w:r w:rsidRPr="0088097C">
        <w:rPr>
          <w:rFonts w:cs="Times New Roman"/>
          <w:vertAlign w:val="superscript"/>
        </w:rPr>
        <w:t>+</w:t>
      </w:r>
      <w:r w:rsidRPr="0088097C">
        <w:rPr>
          <w:rFonts w:cs="Times New Roman"/>
        </w:rPr>
        <w:t>, Na</w:t>
      </w:r>
      <w:r w:rsidRPr="0088097C">
        <w:rPr>
          <w:rFonts w:cs="Times New Roman"/>
          <w:vertAlign w:val="superscript"/>
        </w:rPr>
        <w:t>+</w:t>
      </w:r>
      <w:r w:rsidRPr="0088097C">
        <w:rPr>
          <w:rFonts w:cs="Times New Roman"/>
        </w:rPr>
        <w:t>, and K</w:t>
      </w:r>
      <w:r w:rsidRPr="0088097C">
        <w:rPr>
          <w:rFonts w:cs="Times New Roman"/>
          <w:vertAlign w:val="superscript"/>
        </w:rPr>
        <w:t>+</w:t>
      </w:r>
      <w:r w:rsidR="00C12C43" w:rsidRPr="0088097C">
        <w:rPr>
          <w:rFonts w:cs="Times New Roman"/>
        </w:rPr>
        <w:t>, but</w:t>
      </w:r>
      <w:r w:rsidRPr="0088097C">
        <w:rPr>
          <w:rFonts w:cs="Times New Roman"/>
        </w:rPr>
        <w:t xml:space="preserve"> greater basicity </w:t>
      </w:r>
      <w:r w:rsidR="00AE2FD4" w:rsidRPr="0088097C">
        <w:rPr>
          <w:rFonts w:cs="Times New Roman"/>
        </w:rPr>
        <w:t xml:space="preserve">could </w:t>
      </w:r>
      <w:r w:rsidR="00162D28" w:rsidRPr="0088097C">
        <w:rPr>
          <w:rFonts w:cs="Times New Roman"/>
        </w:rPr>
        <w:t>even promote the solubiliz</w:t>
      </w:r>
      <w:r w:rsidRPr="0088097C">
        <w:rPr>
          <w:rFonts w:cs="Times New Roman"/>
        </w:rPr>
        <w:t xml:space="preserve">ation of organic matter </w:t>
      </w:r>
      <w:r w:rsidRPr="0088097C">
        <w:rPr>
          <w:rFonts w:cs="Times New Roman"/>
        </w:rPr>
        <w:fldChar w:fldCharType="begin" w:fldLock="1"/>
      </w:r>
      <w:r w:rsidR="00BB33F9">
        <w:rPr>
          <w:rFonts w:cs="Times New Roman"/>
        </w:rPr>
        <w:instrText>ADDIN CSL_CITATION {"citationItems":[{"id":"ITEM-1","itemData":{"DOI":"10.1016/j.wasman.2007.10.006","ISBN":"0956-053X","ISSN":"0956053X","PMID":"18068345","abstract":"The introduction of the anaerobic digestion for the treatment of the organic fraction of municipal solid waste (OFMSW) is currently of special interest. The main difficulty in the treatment of this waste fraction is its biotransformation, due to the complexity of organic material. Therefore, the first step must be its physical, chemical and biological pretreatment for breaking complex molecules into simple monomers, to increase solubilization of organic material and improve the efficiency of the anaerobic treatment in the second step. This paper describes chemical pretreatment based on lime addition (Ca(OH)2), in order to enhance chemical oxygen demand (COD) solubilization, followed by anaerobic digestion of the OFMSW. Laboratory-scale experiments were carried out in completely mixed reactors, 1 L capacity. Optimal conditions for COD solubilization in the first step of pretreatment were 62.0 mEq Ca(OH)2/L for 6.0 h. Under these conditions, 11.5% of the COD was solubilized. The anaerobic digestion efficiency of the OFMSW, with and without pretreatment, was evaluated. The highest methane yield under anaerobic digestion of the pretreated waste was 0.15 m3 CH4/kg volatile solids (VS), 172.0% of the control. Under that condition the soluble COD and VS removal were 93.0% and 94.0%, respectively. The results have shown that chemical pretreatment with lime, followed by anaerobic digestion, provides the best results for stabilizing the OFMSW. © 2007 Elsevier Ltd. All rights reserved.","author":[{"dropping-particle":"","family":"López Torres","given":"M.","non-dropping-particle":"","parse-names":false,"suffix":""},{"dropping-particle":"","family":"Espinosa Lloréns","given":"Ma del C.","non-dropping-particle":"","parse-names":false,"suffix":""}],"container-title":"Waste Management","id":"ITEM-1","issue":"11","issued":{"date-parts":[["2008"]]},"page":"2229-2234","title":"Effect of alkaline pretreatment on anaerobic digestion of solid wastes","type":"article-journal","volume":"28"},"uris":["http://www.mendeley.com/documents/?uuid=4026f645-0180-4de1-aeb5-852348676e10"]}],"mendeley":{"formattedCitation":"[46]","plainTextFormattedCitation":"[46]","previouslyFormattedCitation":"[46]"},"properties":{"noteIndex":0},"schema":"https://github.com/citation-style-language/schema/raw/master/csl-citation.json"}</w:instrText>
      </w:r>
      <w:r w:rsidRPr="0088097C">
        <w:rPr>
          <w:rFonts w:cs="Times New Roman"/>
        </w:rPr>
        <w:fldChar w:fldCharType="separate"/>
      </w:r>
      <w:r w:rsidR="00D33723" w:rsidRPr="00D33723">
        <w:rPr>
          <w:rFonts w:cs="Times New Roman"/>
          <w:noProof/>
        </w:rPr>
        <w:t>[46]</w:t>
      </w:r>
      <w:r w:rsidRPr="0088097C">
        <w:rPr>
          <w:rFonts w:cs="Times New Roman"/>
        </w:rPr>
        <w:fldChar w:fldCharType="end"/>
      </w:r>
      <w:r w:rsidRPr="0088097C">
        <w:rPr>
          <w:rFonts w:cs="Times New Roman"/>
        </w:rPr>
        <w:t>.</w:t>
      </w:r>
      <w:r w:rsidR="00890088" w:rsidRPr="0088097C">
        <w:rPr>
          <w:rFonts w:cs="Times New Roman"/>
        </w:rPr>
        <w:t xml:space="preserve"> The EC of both blends matched with clays with high content of organic matter</w:t>
      </w:r>
      <w:r w:rsidR="00F6360A" w:rsidRPr="0088097C">
        <w:rPr>
          <w:rFonts w:cs="Times New Roman"/>
        </w:rPr>
        <w:t xml:space="preserve"> (~</w:t>
      </w:r>
      <w:r w:rsidR="00890088" w:rsidRPr="0088097C">
        <w:rPr>
          <w:rFonts w:cs="Times New Roman"/>
        </w:rPr>
        <w:t xml:space="preserve">8 dS/m) </w:t>
      </w:r>
      <w:r w:rsidR="00D53335" w:rsidRPr="0088097C">
        <w:rPr>
          <w:rFonts w:cs="Times New Roman"/>
        </w:rPr>
        <w:fldChar w:fldCharType="begin" w:fldLock="1"/>
      </w:r>
      <w:r w:rsidR="00BB33F9">
        <w:rPr>
          <w:rFonts w:cs="Times New Roman"/>
        </w:rPr>
        <w:instrText>ADDIN CSL_CITATION {"citationItems":[{"id":"ITEM-1","itemData":{"URL":"http://traceandsave.com/what-can-electrical-conductivity-tell-us-about-our-soil/","accessed":{"date-parts":[["2020","4","10"]]},"author":[{"dropping-particle":"","family":"Fourie","given":"Marno","non-dropping-particle":"","parse-names":false,"suffix":""}],"id":"ITEM-1","issued":{"date-parts":[["0"]]},"title":"What can electrical conductivity tell us about our soil?","type":"webpage"},"uris":["http://www.mendeley.com/documents/?uuid=6f5af71c-d4d0-4f14-8623-893ab6d6502e"]}],"mendeley":{"formattedCitation":"[47]","plainTextFormattedCitation":"[47]","previouslyFormattedCitation":"[47]"},"properties":{"noteIndex":0},"schema":"https://github.com/citation-style-language/schema/raw/master/csl-citation.json"}</w:instrText>
      </w:r>
      <w:r w:rsidR="00D53335" w:rsidRPr="0088097C">
        <w:rPr>
          <w:rFonts w:cs="Times New Roman"/>
        </w:rPr>
        <w:fldChar w:fldCharType="separate"/>
      </w:r>
      <w:r w:rsidR="00D33723" w:rsidRPr="00D33723">
        <w:rPr>
          <w:rFonts w:cs="Times New Roman"/>
          <w:noProof/>
        </w:rPr>
        <w:t>[47]</w:t>
      </w:r>
      <w:r w:rsidR="00D53335" w:rsidRPr="0088097C">
        <w:rPr>
          <w:rFonts w:cs="Times New Roman"/>
        </w:rPr>
        <w:fldChar w:fldCharType="end"/>
      </w:r>
      <w:r w:rsidR="00541A9F" w:rsidRPr="0088097C">
        <w:rPr>
          <w:rFonts w:cs="Times New Roman"/>
        </w:rPr>
        <w:t>, which could give an idea of their potential purposes</w:t>
      </w:r>
      <w:r w:rsidR="00890088" w:rsidRPr="0088097C">
        <w:rPr>
          <w:rFonts w:cs="Times New Roman"/>
        </w:rPr>
        <w:t>.</w:t>
      </w:r>
      <w:r w:rsidRPr="0088097C">
        <w:rPr>
          <w:rFonts w:cs="Times New Roman"/>
        </w:rPr>
        <w:t xml:space="preserve"> It is possible </w:t>
      </w:r>
      <w:r w:rsidRPr="00EF75A4">
        <w:rPr>
          <w:rFonts w:cs="Times New Roman"/>
        </w:rPr>
        <w:t>that the dose of ash</w:t>
      </w:r>
      <w:r w:rsidR="005838D0">
        <w:rPr>
          <w:rFonts w:cs="Times New Roman"/>
        </w:rPr>
        <w:t>es</w:t>
      </w:r>
      <w:r w:rsidRPr="00EF75A4">
        <w:rPr>
          <w:rFonts w:cs="Times New Roman"/>
        </w:rPr>
        <w:t xml:space="preserve"> used to prepare the blend 1 fell in the range of</w:t>
      </w:r>
      <w:r w:rsidR="0049663B">
        <w:rPr>
          <w:rFonts w:cs="Times New Roman"/>
        </w:rPr>
        <w:t xml:space="preserve"> chemical</w:t>
      </w:r>
      <w:r w:rsidRPr="00EF75A4">
        <w:rPr>
          <w:rFonts w:cs="Times New Roman"/>
        </w:rPr>
        <w:t xml:space="preserve"> alkaline s</w:t>
      </w:r>
      <w:r w:rsidR="006F29E4">
        <w:rPr>
          <w:rFonts w:cs="Times New Roman"/>
        </w:rPr>
        <w:t>tabiliz</w:t>
      </w:r>
      <w:r w:rsidRPr="00EF75A4">
        <w:rPr>
          <w:rFonts w:cs="Times New Roman"/>
        </w:rPr>
        <w:t>ation while the behaviour of the blend 2 was ruled by the chemical hydrolysis.</w:t>
      </w:r>
      <w:r w:rsidR="00C12C43">
        <w:rPr>
          <w:rFonts w:cs="Times New Roman"/>
        </w:rPr>
        <w:t xml:space="preserve"> Both blends had</w:t>
      </w:r>
      <w:r w:rsidRPr="00EF75A4">
        <w:rPr>
          <w:rFonts w:cs="Times New Roman"/>
        </w:rPr>
        <w:t xml:space="preserve"> high pH</w:t>
      </w:r>
      <w:r w:rsidR="00C12C43">
        <w:rPr>
          <w:rFonts w:cs="Times New Roman"/>
        </w:rPr>
        <w:t xml:space="preserve"> which</w:t>
      </w:r>
      <w:r w:rsidRPr="00EF75A4">
        <w:rPr>
          <w:rFonts w:cs="Times New Roman"/>
        </w:rPr>
        <w:t xml:space="preserve"> is desired to decrease microbial growth in the blend </w:t>
      </w:r>
      <w:r w:rsidRPr="00EF75A4">
        <w:rPr>
          <w:rFonts w:cs="Times New Roman"/>
        </w:rPr>
        <w:fldChar w:fldCharType="begin" w:fldLock="1"/>
      </w:r>
      <w:r w:rsidR="00BB33F9">
        <w:rPr>
          <w:rFonts w:cs="Times New Roman"/>
        </w:rPr>
        <w:instrText>ADDIN CSL_CITATION {"citationItems":[{"id":"ITEM-1","itemData":{"DOI":"10.1016/j.watres.2016.03.007","ISSN":"18792448","abstract":"In this study, we investigated the prevention of enzymatic urea hydrolysis in fresh urine by increasing the pH with calcium hydroxide (Ca(OH) 2 ) powder. The amount of Ca(OH) 2 dissolving in fresh urine depends significantly on the composition of the urine. The different urine compositions used in our simulations showed that between 4.3 and 5.8 g Ca(OH) 2 dissolved in 1 L of urine at 25 °C. At this temperature, the pH at saturation is 12.5 and is far above the pH of 11, which we identified as the upper limit for enzymatic urea hydrolysis. However, temperature has a strong effect on the saturation pH, with higher values being achieved at lower temperatures. Based on our results, we recommend a dosage of 10 g Ca(OH) 2 L -1 of fresh urine to ensure solid Ca(OH) 2 always remains in the urine reactor which ensures sufficiently high pH values. Besides providing sufficient Ca(OH) 2 , the temperature has to be kept in a certain range to prevent chemical urea hydrolysis. At temperatures below 14 °C, the saturation pH is higher than 13, which favors chemical urea hydrolysis. We chose a precautionary upper temperature of 40 °C because the rate of chemical urea hydrolysis increases at higher temperatures but this should be confirmed with kinetic studies. By considering the boundaries for pH and temperature developed in this study, urine can be stabilized effectively with Ca(OH) 2 thereby simplifying later treatment processes or making direct use easier.","author":[{"dropping-particle":"","family":"Randall","given":"Dyllon G.","non-dropping-particle":"","parse-names":false,"suffix":""},{"dropping-particle":"","family":"Krähenbühl","given":"Manuel","non-dropping-particle":"","parse-names":false,"suffix":""},{"dropping-particle":"","family":"Köpping","given":"Isabell","non-dropping-particle":"","parse-names":false,"suffix":""},{"dropping-particle":"","family":"Larsen","given":"Tove A.","non-dropping-particle":"","parse-names":false,"suffix":""},{"dropping-particle":"","family":"Udert","given":"Kai M.","non-dropping-particle":"","parse-names":false,"suffix":""}],"container-title":"Water Research","id":"ITEM-1","issued":{"date-parts":[["2016"]]},"page":"361-369","title":"A novel approach for stabilizing fresh urine by calcium hydroxide addition","type":"article-journal","volume":"95"},"uris":["http://www.mendeley.com/documents/?uuid=60d4a13d-83a3-43a7-9094-d63d20eb0dc9"]}],"mendeley":{"formattedCitation":"[24]","plainTextFormattedCitation":"[24]","previouslyFormattedCitation":"[24]"},"properties":{"noteIndex":0},"schema":"https://github.com/citation-style-language/schema/raw/master/csl-citation.json"}</w:instrText>
      </w:r>
      <w:r w:rsidRPr="00EF75A4">
        <w:rPr>
          <w:rFonts w:cs="Times New Roman"/>
        </w:rPr>
        <w:fldChar w:fldCharType="separate"/>
      </w:r>
      <w:r w:rsidR="00D33723" w:rsidRPr="00D33723">
        <w:rPr>
          <w:rFonts w:cs="Times New Roman"/>
          <w:noProof/>
        </w:rPr>
        <w:t>[24]</w:t>
      </w:r>
      <w:r w:rsidRPr="00EF75A4">
        <w:rPr>
          <w:rFonts w:cs="Times New Roman"/>
        </w:rPr>
        <w:fldChar w:fldCharType="end"/>
      </w:r>
      <w:r>
        <w:rPr>
          <w:rFonts w:cs="Times New Roman"/>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485"/>
      </w:tblGrid>
      <w:tr w:rsidR="0033653A" w:rsidRPr="00EF75A4" w14:paraId="1B65D77C" w14:textId="77777777" w:rsidTr="00DD7923">
        <w:trPr>
          <w:trHeight w:val="2268"/>
        </w:trPr>
        <w:tc>
          <w:tcPr>
            <w:tcW w:w="4531" w:type="dxa"/>
          </w:tcPr>
          <w:p w14:paraId="7785B86B" w14:textId="77E37E85" w:rsidR="0033653A" w:rsidRPr="00EF75A4" w:rsidRDefault="003E0244" w:rsidP="00010A1F">
            <w:pPr>
              <w:spacing w:line="360" w:lineRule="auto"/>
              <w:rPr>
                <w:rFonts w:cs="Times New Roman"/>
              </w:rPr>
            </w:pPr>
            <w:r w:rsidRPr="00EF75A4">
              <w:rPr>
                <w:rFonts w:cs="Times New Roman"/>
                <w:noProof/>
                <w:lang w:eastAsia="en-GB"/>
              </w:rPr>
              <w:drawing>
                <wp:inline distT="0" distB="0" distL="0" distR="0" wp14:anchorId="3B66079A" wp14:editId="6D2B22BE">
                  <wp:extent cx="2640520" cy="1931035"/>
                  <wp:effectExtent l="0" t="0" r="7620" b="1206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c>
          <w:tcPr>
            <w:tcW w:w="4485" w:type="dxa"/>
          </w:tcPr>
          <w:p w14:paraId="6000D7DB" w14:textId="3F46D5A1" w:rsidR="0033653A" w:rsidRPr="00EF75A4" w:rsidRDefault="002E7272" w:rsidP="00010A1F">
            <w:pPr>
              <w:spacing w:line="360" w:lineRule="auto"/>
              <w:rPr>
                <w:rFonts w:cs="Times New Roman"/>
              </w:rPr>
            </w:pPr>
            <w:r w:rsidRPr="00EF75A4">
              <w:rPr>
                <w:rFonts w:cs="Times New Roman"/>
                <w:noProof/>
                <w:lang w:eastAsia="en-GB"/>
              </w:rPr>
              <w:drawing>
                <wp:inline distT="0" distB="0" distL="0" distR="0" wp14:anchorId="70E37EC1" wp14:editId="14C6A2F4">
                  <wp:extent cx="2572385" cy="1931035"/>
                  <wp:effectExtent l="0" t="0" r="0"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r>
    </w:tbl>
    <w:p w14:paraId="473D44F1" w14:textId="229AC108" w:rsidR="00E93764" w:rsidRPr="00010A1F" w:rsidRDefault="00010A1F" w:rsidP="008920A0">
      <w:pPr>
        <w:pStyle w:val="Caption"/>
        <w:spacing w:line="360" w:lineRule="auto"/>
        <w:rPr>
          <w:rFonts w:cs="Times New Roman"/>
          <w:i w:val="0"/>
        </w:rPr>
      </w:pPr>
      <w:bookmarkStart w:id="6" w:name="_Ref37333243"/>
      <w:bookmarkStart w:id="7" w:name="_Ref37339833"/>
      <w:r w:rsidRPr="00010A1F">
        <w:rPr>
          <w:b/>
          <w:i w:val="0"/>
        </w:rPr>
        <w:t xml:space="preserve">Fig. </w:t>
      </w:r>
      <w:r w:rsidRPr="00010A1F">
        <w:rPr>
          <w:b/>
          <w:i w:val="0"/>
        </w:rPr>
        <w:fldChar w:fldCharType="begin"/>
      </w:r>
      <w:r w:rsidRPr="00010A1F">
        <w:rPr>
          <w:b/>
          <w:i w:val="0"/>
        </w:rPr>
        <w:instrText xml:space="preserve"> SEQ Figure \* ARABIC </w:instrText>
      </w:r>
      <w:r w:rsidRPr="00010A1F">
        <w:rPr>
          <w:b/>
          <w:i w:val="0"/>
        </w:rPr>
        <w:fldChar w:fldCharType="separate"/>
      </w:r>
      <w:r w:rsidR="00E4647D">
        <w:rPr>
          <w:b/>
          <w:i w:val="0"/>
          <w:noProof/>
        </w:rPr>
        <w:t>2</w:t>
      </w:r>
      <w:r w:rsidRPr="00010A1F">
        <w:rPr>
          <w:b/>
          <w:i w:val="0"/>
        </w:rPr>
        <w:fldChar w:fldCharType="end"/>
      </w:r>
      <w:bookmarkEnd w:id="6"/>
      <w:bookmarkEnd w:id="7"/>
      <w:r w:rsidRPr="00010A1F">
        <w:rPr>
          <w:i w:val="0"/>
        </w:rPr>
        <w:t xml:space="preserve"> </w:t>
      </w:r>
      <w:r w:rsidR="00A31EB7">
        <w:rPr>
          <w:i w:val="0"/>
        </w:rPr>
        <w:t>C</w:t>
      </w:r>
      <w:r w:rsidRPr="00010A1F">
        <w:rPr>
          <w:i w:val="0"/>
        </w:rPr>
        <w:t xml:space="preserve">hanges </w:t>
      </w:r>
      <w:r w:rsidR="00774974">
        <w:rPr>
          <w:i w:val="0"/>
        </w:rPr>
        <w:t>of</w:t>
      </w:r>
      <w:r w:rsidR="009E1F28">
        <w:rPr>
          <w:i w:val="0"/>
        </w:rPr>
        <w:t xml:space="preserve"> the</w:t>
      </w:r>
      <w:r w:rsidRPr="00010A1F">
        <w:rPr>
          <w:i w:val="0"/>
        </w:rPr>
        <w:t xml:space="preserve"> pH</w:t>
      </w:r>
      <w:r w:rsidR="00677BA9">
        <w:rPr>
          <w:i w:val="0"/>
        </w:rPr>
        <w:t xml:space="preserve"> (a)</w:t>
      </w:r>
      <w:r w:rsidRPr="00010A1F">
        <w:rPr>
          <w:i w:val="0"/>
        </w:rPr>
        <w:t xml:space="preserve"> and</w:t>
      </w:r>
      <w:r w:rsidR="009E1F28">
        <w:rPr>
          <w:i w:val="0"/>
        </w:rPr>
        <w:t xml:space="preserve"> the </w:t>
      </w:r>
      <w:r w:rsidRPr="00010A1F">
        <w:rPr>
          <w:i w:val="0"/>
        </w:rPr>
        <w:t>EC</w:t>
      </w:r>
      <w:r w:rsidR="00677BA9">
        <w:rPr>
          <w:i w:val="0"/>
        </w:rPr>
        <w:t xml:space="preserve"> (b)</w:t>
      </w:r>
      <w:r w:rsidR="00753709">
        <w:rPr>
          <w:i w:val="0"/>
        </w:rPr>
        <w:t xml:space="preserve"> of the</w:t>
      </w:r>
      <w:r w:rsidR="00ED6E1C">
        <w:rPr>
          <w:i w:val="0"/>
        </w:rPr>
        <w:t xml:space="preserve"> </w:t>
      </w:r>
      <w:r w:rsidR="004A2446">
        <w:rPr>
          <w:i w:val="0"/>
        </w:rPr>
        <w:t>~</w:t>
      </w:r>
      <w:r w:rsidR="00ED6E1C">
        <w:rPr>
          <w:i w:val="0"/>
        </w:rPr>
        <w:t>30 mL</w:t>
      </w:r>
      <w:r w:rsidR="00753709">
        <w:rPr>
          <w:i w:val="0"/>
        </w:rPr>
        <w:t xml:space="preserve"> WS extract</w:t>
      </w:r>
      <w:r w:rsidR="000772FE">
        <w:rPr>
          <w:i w:val="0"/>
        </w:rPr>
        <w:t>s</w:t>
      </w:r>
      <w:r w:rsidR="0064150D">
        <w:rPr>
          <w:i w:val="0"/>
        </w:rPr>
        <w:t xml:space="preserve"> (S:E ratio 1:10)</w:t>
      </w:r>
      <w:r w:rsidR="00ED6E1C">
        <w:rPr>
          <w:i w:val="0"/>
        </w:rPr>
        <w:t xml:space="preserve"> of each</w:t>
      </w:r>
      <w:r w:rsidRPr="00010A1F">
        <w:rPr>
          <w:i w:val="0"/>
        </w:rPr>
        <w:t xml:space="preserve"> of the blends </w:t>
      </w:r>
      <w:r w:rsidRPr="00E43191">
        <w:rPr>
          <w:i w:val="0"/>
        </w:rPr>
        <w:t>(</w:t>
      </w:r>
      <w:r w:rsidR="00CE1E2A" w:rsidRPr="00E45FCB">
        <w:rPr>
          <w:b/>
          <w:i w:val="0"/>
        </w:rPr>
        <w:fldChar w:fldCharType="begin"/>
      </w:r>
      <w:r w:rsidR="00CE1E2A" w:rsidRPr="00E45FCB">
        <w:rPr>
          <w:b/>
          <w:i w:val="0"/>
        </w:rPr>
        <w:instrText xml:space="preserve"> REF _Ref44759134 \h  \* MERGEFORMAT </w:instrText>
      </w:r>
      <w:r w:rsidR="00CE1E2A" w:rsidRPr="00E45FCB">
        <w:rPr>
          <w:b/>
          <w:i w:val="0"/>
        </w:rPr>
      </w:r>
      <w:r w:rsidR="00CE1E2A" w:rsidRPr="00E45FCB">
        <w:rPr>
          <w:b/>
          <w:i w:val="0"/>
        </w:rPr>
        <w:fldChar w:fldCharType="separate"/>
      </w:r>
      <w:r w:rsidR="00CE1E2A" w:rsidRPr="00E45FCB">
        <w:rPr>
          <w:b/>
          <w:i w:val="0"/>
        </w:rPr>
        <w:t xml:space="preserve">Table </w:t>
      </w:r>
      <w:r w:rsidR="00CE1E2A" w:rsidRPr="00E45FCB">
        <w:rPr>
          <w:b/>
          <w:i w:val="0"/>
          <w:noProof/>
        </w:rPr>
        <w:t>2</w:t>
      </w:r>
      <w:r w:rsidR="00CE1E2A" w:rsidRPr="00E45FCB">
        <w:rPr>
          <w:b/>
          <w:i w:val="0"/>
        </w:rPr>
        <w:fldChar w:fldCharType="end"/>
      </w:r>
      <w:r w:rsidR="00A31EB7" w:rsidRPr="00E43191">
        <w:rPr>
          <w:i w:val="0"/>
        </w:rPr>
        <w:fldChar w:fldCharType="begin"/>
      </w:r>
      <w:r w:rsidR="00A31EB7" w:rsidRPr="00E43191">
        <w:rPr>
          <w:i w:val="0"/>
        </w:rPr>
        <w:instrText xml:space="preserve"> REF _Ref13331821 \h </w:instrText>
      </w:r>
      <w:r w:rsidR="00E43191" w:rsidRPr="00E43191">
        <w:rPr>
          <w:i w:val="0"/>
        </w:rPr>
        <w:instrText xml:space="preserve"> \* MERGEFORMAT </w:instrText>
      </w:r>
      <w:r w:rsidR="00A31EB7" w:rsidRPr="00E43191">
        <w:rPr>
          <w:i w:val="0"/>
        </w:rPr>
      </w:r>
      <w:r w:rsidR="00A31EB7" w:rsidRPr="00E43191">
        <w:rPr>
          <w:i w:val="0"/>
        </w:rPr>
        <w:fldChar w:fldCharType="end"/>
      </w:r>
      <w:r w:rsidRPr="00E43191">
        <w:rPr>
          <w:i w:val="0"/>
        </w:rPr>
        <w:t>)</w:t>
      </w:r>
      <w:r w:rsidR="00070537">
        <w:rPr>
          <w:i w:val="0"/>
        </w:rPr>
        <w:t xml:space="preserve"> obtained after</w:t>
      </w:r>
      <w:r w:rsidRPr="00010A1F">
        <w:rPr>
          <w:i w:val="0"/>
        </w:rPr>
        <w:t xml:space="preserve"> the incubation at</w:t>
      </w:r>
      <w:r w:rsidR="00070537">
        <w:rPr>
          <w:i w:val="0"/>
        </w:rPr>
        <w:t xml:space="preserve"> 100 rpm and</w:t>
      </w:r>
      <w:r w:rsidRPr="00010A1F">
        <w:rPr>
          <w:i w:val="0"/>
        </w:rPr>
        <w:t xml:space="preserve"> 22 </w:t>
      </w:r>
      <w:r w:rsidRPr="00010A1F">
        <w:rPr>
          <w:rFonts w:cs="Times New Roman"/>
          <w:i w:val="0"/>
        </w:rPr>
        <w:t>º</w:t>
      </w:r>
      <w:r w:rsidRPr="00010A1F">
        <w:rPr>
          <w:i w:val="0"/>
        </w:rPr>
        <w:t>C</w:t>
      </w:r>
    </w:p>
    <w:p w14:paraId="58FACA9C" w14:textId="717A74DC" w:rsidR="0024478C" w:rsidRPr="00EF75A4" w:rsidRDefault="00F86DCE" w:rsidP="00C807A3">
      <w:pPr>
        <w:spacing w:line="360" w:lineRule="auto"/>
        <w:rPr>
          <w:rFonts w:cs="Times New Roman"/>
        </w:rPr>
      </w:pPr>
      <w:r>
        <w:rPr>
          <w:rFonts w:cs="Times New Roman"/>
        </w:rPr>
        <w:t>The straight forward</w:t>
      </w:r>
      <w:r w:rsidR="00764FE6" w:rsidRPr="00EF75A4">
        <w:rPr>
          <w:rFonts w:cs="Times New Roman"/>
        </w:rPr>
        <w:t xml:space="preserve"> comparison of the</w:t>
      </w:r>
      <w:r w:rsidR="00804CAC">
        <w:rPr>
          <w:rFonts w:cs="Times New Roman"/>
        </w:rPr>
        <w:t xml:space="preserve"> pH and EC</w:t>
      </w:r>
      <w:r w:rsidR="00764FE6" w:rsidRPr="00EF75A4">
        <w:rPr>
          <w:rFonts w:cs="Times New Roman"/>
        </w:rPr>
        <w:t xml:space="preserve"> values obtained for the</w:t>
      </w:r>
      <w:r w:rsidR="000772FE">
        <w:rPr>
          <w:rFonts w:cs="Times New Roman"/>
        </w:rPr>
        <w:t xml:space="preserve"> WS extracts of the</w:t>
      </w:r>
      <w:r w:rsidR="00804CAC">
        <w:rPr>
          <w:rFonts w:cs="Times New Roman"/>
        </w:rPr>
        <w:t xml:space="preserve"> incubated</w:t>
      </w:r>
      <w:r w:rsidR="00764FE6" w:rsidRPr="00EF75A4">
        <w:rPr>
          <w:rFonts w:cs="Times New Roman"/>
        </w:rPr>
        <w:t xml:space="preserve"> blend</w:t>
      </w:r>
      <w:r w:rsidR="000772FE">
        <w:rPr>
          <w:rFonts w:cs="Times New Roman"/>
        </w:rPr>
        <w:t>s (</w:t>
      </w:r>
      <w:r w:rsidR="000772FE" w:rsidRPr="000772FE">
        <w:rPr>
          <w:rFonts w:cs="Times New Roman"/>
        </w:rPr>
        <w:fldChar w:fldCharType="begin"/>
      </w:r>
      <w:r w:rsidR="000772FE" w:rsidRPr="000772FE">
        <w:rPr>
          <w:rFonts w:cs="Times New Roman"/>
        </w:rPr>
        <w:instrText xml:space="preserve"> REF _Ref37339833 \h  \* MERGEFORMAT </w:instrText>
      </w:r>
      <w:r w:rsidR="000772FE" w:rsidRPr="000772FE">
        <w:rPr>
          <w:rFonts w:cs="Times New Roman"/>
        </w:rPr>
      </w:r>
      <w:r w:rsidR="000772FE" w:rsidRPr="000772FE">
        <w:rPr>
          <w:rFonts w:cs="Times New Roman"/>
        </w:rPr>
        <w:fldChar w:fldCharType="separate"/>
      </w:r>
      <w:r w:rsidR="00E4647D" w:rsidRPr="00E4647D">
        <w:t xml:space="preserve">Fig. </w:t>
      </w:r>
      <w:r w:rsidR="00E4647D" w:rsidRPr="00E4647D">
        <w:rPr>
          <w:noProof/>
        </w:rPr>
        <w:t>2</w:t>
      </w:r>
      <w:r w:rsidR="000772FE" w:rsidRPr="000772FE">
        <w:rPr>
          <w:rFonts w:cs="Times New Roman"/>
        </w:rPr>
        <w:fldChar w:fldCharType="end"/>
      </w:r>
      <w:r w:rsidR="000772FE">
        <w:rPr>
          <w:rFonts w:cs="Times New Roman"/>
        </w:rPr>
        <w:t>)</w:t>
      </w:r>
      <w:r w:rsidR="00764FE6" w:rsidRPr="00EF75A4">
        <w:rPr>
          <w:rFonts w:cs="Times New Roman"/>
        </w:rPr>
        <w:t xml:space="preserve"> with the</w:t>
      </w:r>
      <w:r w:rsidR="00804CAC">
        <w:rPr>
          <w:rFonts w:cs="Times New Roman"/>
        </w:rPr>
        <w:t xml:space="preserve"> pH a</w:t>
      </w:r>
      <w:r w:rsidR="003C7F42">
        <w:rPr>
          <w:rFonts w:cs="Times New Roman"/>
        </w:rPr>
        <w:t>n</w:t>
      </w:r>
      <w:r w:rsidR="00804CAC">
        <w:rPr>
          <w:rFonts w:cs="Times New Roman"/>
        </w:rPr>
        <w:t>d EC</w:t>
      </w:r>
      <w:r w:rsidR="00764FE6" w:rsidRPr="00EF75A4">
        <w:rPr>
          <w:rFonts w:cs="Times New Roman"/>
        </w:rPr>
        <w:t xml:space="preserve"> v</w:t>
      </w:r>
      <w:r w:rsidR="008C15A2">
        <w:rPr>
          <w:rFonts w:cs="Times New Roman"/>
        </w:rPr>
        <w:t xml:space="preserve">alues of the initial </w:t>
      </w:r>
      <w:r w:rsidR="008C15A2" w:rsidRPr="0088097C">
        <w:rPr>
          <w:rFonts w:cs="Times New Roman"/>
        </w:rPr>
        <w:t>characteriz</w:t>
      </w:r>
      <w:r w:rsidR="00764FE6" w:rsidRPr="0088097C">
        <w:rPr>
          <w:rFonts w:cs="Times New Roman"/>
        </w:rPr>
        <w:t>ation (</w:t>
      </w:r>
      <w:r w:rsidR="00CE1E2A" w:rsidRPr="0088097C">
        <w:rPr>
          <w:rFonts w:cs="Times New Roman"/>
        </w:rPr>
        <w:fldChar w:fldCharType="begin"/>
      </w:r>
      <w:r w:rsidR="00CE1E2A" w:rsidRPr="0088097C">
        <w:rPr>
          <w:rFonts w:cs="Times New Roman"/>
        </w:rPr>
        <w:instrText xml:space="preserve"> REF _Ref44759336 \h  \* MERGEFORMAT </w:instrText>
      </w:r>
      <w:r w:rsidR="00CE1E2A" w:rsidRPr="0088097C">
        <w:rPr>
          <w:rFonts w:cs="Times New Roman"/>
        </w:rPr>
      </w:r>
      <w:r w:rsidR="00CE1E2A" w:rsidRPr="0088097C">
        <w:rPr>
          <w:rFonts w:cs="Times New Roman"/>
        </w:rPr>
        <w:fldChar w:fldCharType="separate"/>
      </w:r>
      <w:r w:rsidR="00CE1E2A" w:rsidRPr="0088097C">
        <w:rPr>
          <w:rFonts w:cs="Times New Roman"/>
        </w:rPr>
        <w:t xml:space="preserve">Table </w:t>
      </w:r>
      <w:r w:rsidR="00CE1E2A" w:rsidRPr="0088097C">
        <w:rPr>
          <w:rFonts w:cs="Times New Roman"/>
          <w:noProof/>
        </w:rPr>
        <w:t>3</w:t>
      </w:r>
      <w:r w:rsidR="00CE1E2A" w:rsidRPr="0088097C">
        <w:rPr>
          <w:rFonts w:cs="Times New Roman"/>
        </w:rPr>
        <w:fldChar w:fldCharType="end"/>
      </w:r>
      <w:r w:rsidR="00764FE6" w:rsidRPr="0088097C">
        <w:rPr>
          <w:rFonts w:cs="Times New Roman"/>
        </w:rPr>
        <w:fldChar w:fldCharType="begin"/>
      </w:r>
      <w:r w:rsidR="00764FE6" w:rsidRPr="0088097C">
        <w:rPr>
          <w:rFonts w:cs="Times New Roman"/>
        </w:rPr>
        <w:instrText xml:space="preserve"> REF _Ref13331821 \h </w:instrText>
      </w:r>
      <w:r w:rsidR="00F91F3C" w:rsidRPr="0088097C">
        <w:rPr>
          <w:rFonts w:cs="Times New Roman"/>
        </w:rPr>
        <w:instrText xml:space="preserve"> \* MERGEFORMAT </w:instrText>
      </w:r>
      <w:r w:rsidR="00764FE6" w:rsidRPr="0088097C">
        <w:rPr>
          <w:rFonts w:cs="Times New Roman"/>
        </w:rPr>
      </w:r>
      <w:r w:rsidR="00764FE6" w:rsidRPr="0088097C">
        <w:rPr>
          <w:rFonts w:cs="Times New Roman"/>
        </w:rPr>
        <w:fldChar w:fldCharType="end"/>
      </w:r>
      <w:r w:rsidR="00764FE6" w:rsidRPr="0088097C">
        <w:rPr>
          <w:rFonts w:cs="Times New Roman"/>
        </w:rPr>
        <w:t>)</w:t>
      </w:r>
      <w:r w:rsidR="000772FE" w:rsidRPr="0088097C">
        <w:rPr>
          <w:rFonts w:cs="Times New Roman"/>
        </w:rPr>
        <w:t xml:space="preserve"> wa</w:t>
      </w:r>
      <w:r w:rsidR="00764FE6" w:rsidRPr="0088097C">
        <w:rPr>
          <w:rFonts w:cs="Times New Roman"/>
        </w:rPr>
        <w:t>s not</w:t>
      </w:r>
      <w:r w:rsidR="00764FE6" w:rsidRPr="00EF75A4">
        <w:rPr>
          <w:rFonts w:cs="Times New Roman"/>
        </w:rPr>
        <w:t xml:space="preserve"> possible because different S</w:t>
      </w:r>
      <w:r w:rsidR="00926330">
        <w:rPr>
          <w:rFonts w:cs="Times New Roman"/>
        </w:rPr>
        <w:t>:</w:t>
      </w:r>
      <w:r w:rsidR="003E17D5">
        <w:rPr>
          <w:rFonts w:cs="Times New Roman"/>
        </w:rPr>
        <w:t>E</w:t>
      </w:r>
      <w:r w:rsidR="00764FE6" w:rsidRPr="00EF75A4">
        <w:rPr>
          <w:rFonts w:cs="Times New Roman"/>
        </w:rPr>
        <w:t xml:space="preserve"> ratios were used for the</w:t>
      </w:r>
      <w:r w:rsidR="00073AFA">
        <w:rPr>
          <w:rFonts w:cs="Times New Roman"/>
        </w:rPr>
        <w:t xml:space="preserve"> preparation of the WS extract.</w:t>
      </w:r>
      <w:r w:rsidR="00B956CE">
        <w:rPr>
          <w:rFonts w:cs="Times New Roman"/>
        </w:rPr>
        <w:t xml:space="preserve"> </w:t>
      </w:r>
      <w:r w:rsidR="00C340F5" w:rsidRPr="00EF75A4">
        <w:rPr>
          <w:rFonts w:cs="Times New Roman"/>
        </w:rPr>
        <w:t>T</w:t>
      </w:r>
      <w:r w:rsidR="00C0691C" w:rsidRPr="00EF75A4">
        <w:rPr>
          <w:rFonts w:cs="Times New Roman"/>
        </w:rPr>
        <w:t xml:space="preserve">he increase </w:t>
      </w:r>
      <w:r w:rsidR="00774974">
        <w:rPr>
          <w:rFonts w:cs="Times New Roman"/>
        </w:rPr>
        <w:t>of</w:t>
      </w:r>
      <w:r w:rsidR="00C0691C" w:rsidRPr="00EF75A4">
        <w:rPr>
          <w:rFonts w:cs="Times New Roman"/>
        </w:rPr>
        <w:t xml:space="preserve"> </w:t>
      </w:r>
      <w:r w:rsidR="009E1F28">
        <w:rPr>
          <w:rFonts w:cs="Times New Roman"/>
        </w:rPr>
        <w:t xml:space="preserve">the </w:t>
      </w:r>
      <w:r w:rsidR="00C0691C" w:rsidRPr="00EF75A4">
        <w:rPr>
          <w:rFonts w:cs="Times New Roman"/>
        </w:rPr>
        <w:t>EC</w:t>
      </w:r>
      <w:r w:rsidR="003C7F42">
        <w:rPr>
          <w:rFonts w:cs="Times New Roman"/>
        </w:rPr>
        <w:t xml:space="preserve"> of the digestates when the ashes were added,</w:t>
      </w:r>
      <w:r w:rsidR="00C0691C" w:rsidRPr="00EF75A4">
        <w:rPr>
          <w:rFonts w:cs="Times New Roman"/>
        </w:rPr>
        <w:t xml:space="preserve"> </w:t>
      </w:r>
      <w:r w:rsidR="004B0336">
        <w:rPr>
          <w:rFonts w:cs="Times New Roman"/>
        </w:rPr>
        <w:t>was</w:t>
      </w:r>
      <w:r w:rsidR="00764FE6" w:rsidRPr="00EF75A4">
        <w:rPr>
          <w:rFonts w:cs="Times New Roman"/>
        </w:rPr>
        <w:t xml:space="preserve"> less significant than</w:t>
      </w:r>
      <w:r w:rsidR="00C0691C" w:rsidRPr="00EF75A4">
        <w:rPr>
          <w:rFonts w:cs="Times New Roman"/>
        </w:rPr>
        <w:t xml:space="preserve"> </w:t>
      </w:r>
      <w:r w:rsidR="00774974">
        <w:rPr>
          <w:rFonts w:cs="Times New Roman"/>
        </w:rPr>
        <w:t>the increase of</w:t>
      </w:r>
      <w:r w:rsidR="009E1F28">
        <w:rPr>
          <w:rFonts w:cs="Times New Roman"/>
        </w:rPr>
        <w:t xml:space="preserve"> the</w:t>
      </w:r>
      <w:r w:rsidR="00C0691C" w:rsidRPr="00EF75A4">
        <w:rPr>
          <w:rFonts w:cs="Times New Roman"/>
        </w:rPr>
        <w:t xml:space="preserve"> pH,</w:t>
      </w:r>
      <w:r w:rsidR="004B0336">
        <w:rPr>
          <w:rFonts w:cs="Times New Roman"/>
        </w:rPr>
        <w:t xml:space="preserve"> considering</w:t>
      </w:r>
      <w:r w:rsidR="00073AFA">
        <w:rPr>
          <w:rFonts w:cs="Times New Roman"/>
        </w:rPr>
        <w:t xml:space="preserve"> the</w:t>
      </w:r>
      <w:r w:rsidR="00C0691C" w:rsidRPr="00EF75A4">
        <w:rPr>
          <w:rFonts w:cs="Times New Roman"/>
        </w:rPr>
        <w:t xml:space="preserve"> </w:t>
      </w:r>
      <w:r w:rsidR="004B0336">
        <w:rPr>
          <w:rFonts w:cs="Times New Roman"/>
        </w:rPr>
        <w:t xml:space="preserve">wider </w:t>
      </w:r>
      <w:r w:rsidR="00C0691C" w:rsidRPr="00EF75A4">
        <w:rPr>
          <w:rFonts w:cs="Times New Roman"/>
        </w:rPr>
        <w:t>range</w:t>
      </w:r>
      <w:r w:rsidR="005A0D0D">
        <w:rPr>
          <w:rFonts w:cs="Times New Roman"/>
        </w:rPr>
        <w:t xml:space="preserve"> for the variation</w:t>
      </w:r>
      <w:r w:rsidR="00C0691C" w:rsidRPr="00EF75A4">
        <w:rPr>
          <w:rFonts w:cs="Times New Roman"/>
        </w:rPr>
        <w:t xml:space="preserve"> o</w:t>
      </w:r>
      <w:r w:rsidR="00774974">
        <w:rPr>
          <w:rFonts w:cs="Times New Roman"/>
        </w:rPr>
        <w:t>f</w:t>
      </w:r>
      <w:r w:rsidR="00C0691C" w:rsidRPr="00EF75A4">
        <w:rPr>
          <w:rFonts w:cs="Times New Roman"/>
        </w:rPr>
        <w:t xml:space="preserve"> EC. Garfí et al. </w:t>
      </w:r>
      <w:r w:rsidR="00C0691C" w:rsidRPr="00EF75A4">
        <w:rPr>
          <w:rFonts w:cs="Times New Roman"/>
        </w:rPr>
        <w:fldChar w:fldCharType="begin" w:fldLock="1"/>
      </w:r>
      <w:r w:rsidR="00BB33F9">
        <w:rPr>
          <w:rFonts w:cs="Times New Roman"/>
        </w:rPr>
        <w:instrText>ADDIN CSL_CITATION {"citationItems":[{"id":"ITEM-1","itemData":{"DOI":"10.1016/j.wasman.2011.08.007","ISBN":"0956053X","ISSN":"0956053X","PMID":"21903373","abstract":"This research aimed at assessing the properties of guinea pig manure digestate from low-cost tubular digesters for crops fertilization in rural Andean communities. To this end, field trials were carried out to evaluate the effect of the digestate on two common Andean crops: potato (Solanum tuberosum) and forage (Lolium multiflorum and Trifolium pratense L.). The potato yield (20-25tha \n                        -1) increased by 27.5% with digestate, by 15.1% with pre-compost and by 10.3% with the mixture, compared to the control. The forage yield (20-21tha \n                        -1) increased by 1.4% with digestate - 50% dose, and by 8.8% with digestate - 100% dose and digestate - 150% dose, compared to the control. The results suggest that the digestate is an appropriate substitute of manure pre-compost for potato fertilization. The results with forage indicate that it can be applied in a range of doses, according to the amount produced by the digester. Currently, manure is either used for cooking or as fertilizer. With low-cost tubular digesters implementation, it could be used to feed the digester, using the digestate for crops fertilization and biogas for cooking; improving household living conditions and protecting the environment. Since soil properties in rural Andean communities differ from experimental layouts, the effect of fertilizers should be re-evaluated in-situ in future research studies. © 2011 Elsevier Ltd.","author":[{"dropping-particle":"","family":"Garfí","given":"Marianna","non-dropping-particle":"","parse-names":false,"suffix":""},{"dropping-particle":"","family":"Gelman","given":"Pau","non-dropping-particle":"","parse-names":false,"suffix":""},{"dropping-particle":"","family":"Comas","given":"Jordi","non-dropping-particle":"","parse-names":false,"suffix":""},{"dropping-particle":"","family":"Carrasco","given":"William","non-dropping-particle":"","parse-names":false,"suffix":""},{"dropping-particle":"","family":"Ferrer","given":"Ivet","non-dropping-particle":"","parse-names":false,"suffix":""}],"container-title":"Waste Management","id":"ITEM-1","issue":"12","issued":{"date-parts":[["2011"]]},"page":"2584-2589","title":"Agricultural reuse of the digestate from low-cost tubular digesters in rural Andean communities","type":"article-journal","volume":"31"},"uris":["http://www.mendeley.com/documents/?uuid=97475fab-fdd9-4923-9496-978a547cfc5f"]}],"mendeley":{"formattedCitation":"[48]","plainTextFormattedCitation":"[48]","previouslyFormattedCitation":"[48]"},"properties":{"noteIndex":0},"schema":"https://github.com/citation-style-language/schema/raw/master/csl-citation.json"}</w:instrText>
      </w:r>
      <w:r w:rsidR="00C0691C" w:rsidRPr="00EF75A4">
        <w:rPr>
          <w:rFonts w:cs="Times New Roman"/>
          <w:vertAlign w:val="superscript"/>
        </w:rPr>
        <w:fldChar w:fldCharType="separate"/>
      </w:r>
      <w:r w:rsidR="00D33723" w:rsidRPr="00D33723">
        <w:rPr>
          <w:rFonts w:cs="Times New Roman"/>
          <w:noProof/>
        </w:rPr>
        <w:t>[48]</w:t>
      </w:r>
      <w:r w:rsidR="00C0691C" w:rsidRPr="00EF75A4">
        <w:rPr>
          <w:rFonts w:cs="Times New Roman"/>
        </w:rPr>
        <w:fldChar w:fldCharType="end"/>
      </w:r>
      <w:r w:rsidR="00C0691C" w:rsidRPr="00EF75A4">
        <w:rPr>
          <w:rFonts w:cs="Times New Roman"/>
        </w:rPr>
        <w:t xml:space="preserve"> reported a value of EC as low as 6.88 10</w:t>
      </w:r>
      <w:r w:rsidR="00C0691C" w:rsidRPr="00EF75A4">
        <w:rPr>
          <w:rFonts w:cs="Times New Roman"/>
          <w:vertAlign w:val="superscript"/>
        </w:rPr>
        <w:t>-3</w:t>
      </w:r>
      <w:r w:rsidR="00C0691C" w:rsidRPr="00EF75A4">
        <w:rPr>
          <w:rFonts w:cs="Times New Roman"/>
        </w:rPr>
        <w:t xml:space="preserve"> dS/m for digested guinea pig manure determined with a sta</w:t>
      </w:r>
      <w:r w:rsidR="008C15A2">
        <w:rPr>
          <w:rFonts w:cs="Times New Roman"/>
        </w:rPr>
        <w:t>ndard method for the characteriz</w:t>
      </w:r>
      <w:r w:rsidR="00C0691C" w:rsidRPr="00EF75A4">
        <w:rPr>
          <w:rFonts w:cs="Times New Roman"/>
        </w:rPr>
        <w:t xml:space="preserve">ation of wastewater. On the other hand, Walker et al. </w:t>
      </w:r>
      <w:r w:rsidR="00C0691C" w:rsidRPr="00EF75A4">
        <w:rPr>
          <w:rFonts w:cs="Times New Roman"/>
        </w:rPr>
        <w:fldChar w:fldCharType="begin" w:fldLock="1"/>
      </w:r>
      <w:r w:rsidR="00BD36D8">
        <w:rPr>
          <w:rFonts w:cs="Times New Roman"/>
        </w:rPr>
        <w:instrText>ADDIN CSL_CITATION {"citationItems":[{"id":"ITEM-1","itemData":{"ISBN":"1844054217","author":[{"dropping-particle":"","family":"Walker","given":"M.","non-dropping-particle":"","parse-names":false,"suffix":""},{"dropping-particle":"","family":"Banks","given":"C.","non-dropping-particle":"","parse-names":false,"suffix":""},{"dropping-particle":"","family":"Heaven","given":"S.","non-dropping-particle":"","parse-names":false,"suffix":""},{"dropping-particle":"","family":"Frederickson","given":"J.","non-dropping-particle":"","parse-names":false,"suffix":""}],"id":"ITEM-1","issue":"January","issued":{"date-parts":[["2010"]]},"title":"Residual biogas potential test for digestates","type":"book"},"uris":["http://www.mendeley.com/documents/?uuid=1be777a1-8dbf-4211-a9e6-be99ab1c8aca"]}],"mendeley":{"formattedCitation":"[7]","plainTextFormattedCitation":"[7]","previouslyFormattedCitation":"[7]"},"properties":{"noteIndex":0},"schema":"https://github.com/citation-style-language/schema/raw/master/csl-citation.json"}</w:instrText>
      </w:r>
      <w:r w:rsidR="00C0691C" w:rsidRPr="00EF75A4">
        <w:rPr>
          <w:rFonts w:cs="Times New Roman"/>
        </w:rPr>
        <w:fldChar w:fldCharType="separate"/>
      </w:r>
      <w:r w:rsidR="00BD36D8" w:rsidRPr="00BD36D8">
        <w:rPr>
          <w:rFonts w:cs="Times New Roman"/>
          <w:noProof/>
        </w:rPr>
        <w:t>[7]</w:t>
      </w:r>
      <w:r w:rsidR="00C0691C" w:rsidRPr="00EF75A4">
        <w:rPr>
          <w:rFonts w:cs="Times New Roman"/>
        </w:rPr>
        <w:fldChar w:fldCharType="end"/>
      </w:r>
      <w:r w:rsidR="00C0691C" w:rsidRPr="00EF75A4">
        <w:rPr>
          <w:rFonts w:cs="Times New Roman"/>
        </w:rPr>
        <w:t xml:space="preserve">, </w:t>
      </w:r>
      <w:r w:rsidR="00C0691C" w:rsidRPr="00EF75A4">
        <w:rPr>
          <w:rFonts w:cs="Times New Roman"/>
        </w:rPr>
        <w:lastRenderedPageBreak/>
        <w:t>using a sta</w:t>
      </w:r>
      <w:r w:rsidR="008C15A2">
        <w:rPr>
          <w:rFonts w:cs="Times New Roman"/>
        </w:rPr>
        <w:t>ndard method for the characteriz</w:t>
      </w:r>
      <w:r w:rsidR="00C0691C" w:rsidRPr="00EF75A4">
        <w:rPr>
          <w:rFonts w:cs="Times New Roman"/>
        </w:rPr>
        <w:t>ation of waste, found 145 dS/m in a digestate based on agricultural waste and animal slurry.</w:t>
      </w:r>
      <w:r w:rsidR="00B956CE">
        <w:rPr>
          <w:rFonts w:cs="Times New Roman"/>
        </w:rPr>
        <w:t xml:space="preserve"> </w:t>
      </w:r>
      <w:r w:rsidR="0024478C" w:rsidRPr="00EF75A4">
        <w:rPr>
          <w:rFonts w:cs="Times New Roman"/>
        </w:rPr>
        <w:t xml:space="preserve">Unlike the pH, the EC </w:t>
      </w:r>
      <w:r w:rsidR="00D418F8">
        <w:rPr>
          <w:rFonts w:cs="Times New Roman"/>
        </w:rPr>
        <w:t>was</w:t>
      </w:r>
      <w:r w:rsidR="0024478C" w:rsidRPr="00EF75A4">
        <w:rPr>
          <w:rFonts w:cs="Times New Roman"/>
        </w:rPr>
        <w:t xml:space="preserve"> very de</w:t>
      </w:r>
      <w:r w:rsidR="0039538D" w:rsidRPr="00EF75A4">
        <w:rPr>
          <w:rFonts w:cs="Times New Roman"/>
        </w:rPr>
        <w:t>pendent on the S</w:t>
      </w:r>
      <w:r w:rsidR="00926330">
        <w:rPr>
          <w:rFonts w:cs="Times New Roman"/>
        </w:rPr>
        <w:t>:</w:t>
      </w:r>
      <w:r w:rsidR="003E17D5">
        <w:rPr>
          <w:rFonts w:cs="Times New Roman"/>
        </w:rPr>
        <w:t>E</w:t>
      </w:r>
      <w:r w:rsidR="0024478C" w:rsidRPr="00EF75A4">
        <w:rPr>
          <w:rFonts w:cs="Times New Roman"/>
        </w:rPr>
        <w:t xml:space="preserve"> ratio used to produce the WS extract </w:t>
      </w:r>
      <w:r w:rsidR="0024478C" w:rsidRPr="00EF75A4">
        <w:rPr>
          <w:rFonts w:cs="Times New Roman"/>
        </w:rPr>
        <w:fldChar w:fldCharType="begin" w:fldLock="1"/>
      </w:r>
      <w:r w:rsidR="00BB33F9">
        <w:rPr>
          <w:rFonts w:cs="Times New Roman"/>
        </w:rPr>
        <w:instrText>ADDIN CSL_CITATION {"citationItems":[{"id":"ITEM-1","itemData":{"author":[{"dropping-particle":"","family":"Karoline","given":"Kehrer","non-dropping-particle":"","parse-names":false,"suffix":""}],"id":"ITEM-1","issue":"November","issued":{"date-parts":[["2012"]]},"publisher":"University of Natural Resources and Life Sciences, Vienna","title":"Chemistry of wood ash leachates and the filter effect of soil columns on leachate composition","type":"thesis"},"uris":["http://www.mendeley.com/documents/?uuid=efa140b0-ec6a-4051-87e0-384be554afdb"]}],"mendeley":{"formattedCitation":"[41]","plainTextFormattedCitation":"[41]","previouslyFormattedCitation":"[41]"},"properties":{"noteIndex":0},"schema":"https://github.com/citation-style-language/schema/raw/master/csl-citation.json"}</w:instrText>
      </w:r>
      <w:r w:rsidR="0024478C" w:rsidRPr="00EF75A4">
        <w:rPr>
          <w:rFonts w:cs="Times New Roman"/>
        </w:rPr>
        <w:fldChar w:fldCharType="separate"/>
      </w:r>
      <w:r w:rsidR="00D33723" w:rsidRPr="00D33723">
        <w:rPr>
          <w:rFonts w:cs="Times New Roman"/>
          <w:noProof/>
        </w:rPr>
        <w:t>[41]</w:t>
      </w:r>
      <w:r w:rsidR="0024478C" w:rsidRPr="00EF75A4">
        <w:rPr>
          <w:rFonts w:cs="Times New Roman"/>
        </w:rPr>
        <w:fldChar w:fldCharType="end"/>
      </w:r>
      <w:r w:rsidR="00890E19" w:rsidRPr="00EF75A4">
        <w:rPr>
          <w:rFonts w:cs="Times New Roman"/>
        </w:rPr>
        <w:t xml:space="preserve">. </w:t>
      </w:r>
      <w:r w:rsidR="0024478C" w:rsidRPr="00EF75A4">
        <w:rPr>
          <w:rFonts w:cs="Times New Roman"/>
        </w:rPr>
        <w:t xml:space="preserve">The pH </w:t>
      </w:r>
      <w:r w:rsidR="00097433" w:rsidRPr="00EF75A4">
        <w:rPr>
          <w:rFonts w:cs="Times New Roman"/>
        </w:rPr>
        <w:t>wa</w:t>
      </w:r>
      <w:r w:rsidR="0024478C" w:rsidRPr="00EF75A4">
        <w:rPr>
          <w:rFonts w:cs="Times New Roman"/>
        </w:rPr>
        <w:t>s less affected by the dilution</w:t>
      </w:r>
      <w:r w:rsidR="00D418F8">
        <w:rPr>
          <w:rFonts w:cs="Times New Roman"/>
        </w:rPr>
        <w:t xml:space="preserve"> (i.e. 1:5 to 1:10)</w:t>
      </w:r>
      <w:r w:rsidR="0024478C" w:rsidRPr="00EF75A4">
        <w:rPr>
          <w:rFonts w:cs="Times New Roman"/>
        </w:rPr>
        <w:t xml:space="preserve"> because the </w:t>
      </w:r>
      <w:r w:rsidR="00BC0324">
        <w:rPr>
          <w:rFonts w:cs="Times New Roman"/>
        </w:rPr>
        <w:t>decrease</w:t>
      </w:r>
      <w:r w:rsidR="0024478C" w:rsidRPr="00EF75A4">
        <w:rPr>
          <w:rFonts w:cs="Times New Roman"/>
        </w:rPr>
        <w:t xml:space="preserve"> of the concentration of H</w:t>
      </w:r>
      <w:r w:rsidR="0024478C" w:rsidRPr="00EF75A4">
        <w:rPr>
          <w:rFonts w:cs="Times New Roman"/>
          <w:vertAlign w:val="subscript"/>
        </w:rPr>
        <w:t>3</w:t>
      </w:r>
      <w:r w:rsidR="0024478C" w:rsidRPr="00EF75A4">
        <w:rPr>
          <w:rFonts w:cs="Times New Roman"/>
        </w:rPr>
        <w:t>O</w:t>
      </w:r>
      <w:r w:rsidR="0024478C" w:rsidRPr="00EF75A4">
        <w:rPr>
          <w:rFonts w:cs="Times New Roman"/>
          <w:vertAlign w:val="superscript"/>
        </w:rPr>
        <w:t>+</w:t>
      </w:r>
      <w:r w:rsidR="0024478C" w:rsidRPr="00EF75A4">
        <w:rPr>
          <w:rFonts w:cs="Times New Roman"/>
        </w:rPr>
        <w:t xml:space="preserve"> </w:t>
      </w:r>
      <w:r w:rsidR="00097433" w:rsidRPr="00EF75A4">
        <w:rPr>
          <w:rFonts w:cs="Times New Roman"/>
        </w:rPr>
        <w:t>wa</w:t>
      </w:r>
      <w:r w:rsidR="0024478C" w:rsidRPr="00EF75A4">
        <w:rPr>
          <w:rFonts w:cs="Times New Roman"/>
        </w:rPr>
        <w:t>s smoothed by the logarithmic calculation. On the other hand, the measur</w:t>
      </w:r>
      <w:r w:rsidR="00D418F8">
        <w:rPr>
          <w:rFonts w:cs="Times New Roman"/>
        </w:rPr>
        <w:t>ement of the resistance, which wa</w:t>
      </w:r>
      <w:r w:rsidR="0024478C" w:rsidRPr="00EF75A4">
        <w:rPr>
          <w:rFonts w:cs="Times New Roman"/>
        </w:rPr>
        <w:t xml:space="preserve">s a proxy of the EC, </w:t>
      </w:r>
      <w:r w:rsidR="00097433" w:rsidRPr="00EF75A4">
        <w:rPr>
          <w:rFonts w:cs="Times New Roman"/>
        </w:rPr>
        <w:t>wa</w:t>
      </w:r>
      <w:r w:rsidR="0024478C" w:rsidRPr="00EF75A4">
        <w:rPr>
          <w:rFonts w:cs="Times New Roman"/>
        </w:rPr>
        <w:t>s directly related to the concentration of ions.</w:t>
      </w:r>
    </w:p>
    <w:p w14:paraId="2AD3C482" w14:textId="49F54AF7" w:rsidR="002E3934" w:rsidRPr="00EF75A4" w:rsidRDefault="00C63F24" w:rsidP="00C807A3">
      <w:pPr>
        <w:pStyle w:val="Heading3"/>
        <w:spacing w:line="360" w:lineRule="auto"/>
      </w:pPr>
      <w:r w:rsidRPr="00EF75A4">
        <w:t xml:space="preserve">WS </w:t>
      </w:r>
      <w:r w:rsidR="00185B36" w:rsidRPr="00EF75A4">
        <w:t>NH</w:t>
      </w:r>
      <w:r w:rsidR="00185B36" w:rsidRPr="00EF75A4">
        <w:rPr>
          <w:vertAlign w:val="subscript"/>
        </w:rPr>
        <w:t>4</w:t>
      </w:r>
      <w:r w:rsidR="00185B36" w:rsidRPr="00EF75A4">
        <w:rPr>
          <w:vertAlign w:val="superscript"/>
        </w:rPr>
        <w:t>+</w:t>
      </w:r>
      <w:r w:rsidR="007F0023">
        <w:t xml:space="preserve"> &amp;</w:t>
      </w:r>
      <w:r w:rsidR="00ED1B91">
        <w:t xml:space="preserve"> WS</w:t>
      </w:r>
      <w:r w:rsidR="007F0023">
        <w:t xml:space="preserve"> </w:t>
      </w:r>
      <w:r w:rsidR="00B90BB5" w:rsidRPr="00EF75A4">
        <w:t>NH</w:t>
      </w:r>
      <w:r w:rsidR="00CE03C4" w:rsidRPr="00EF75A4">
        <w:rPr>
          <w:vertAlign w:val="subscript"/>
        </w:rPr>
        <w:t>3</w:t>
      </w:r>
      <w:r w:rsidR="00290F9C" w:rsidRPr="00EF75A4">
        <w:t xml:space="preserve"> profile</w:t>
      </w:r>
      <w:r w:rsidR="009C78E9">
        <w:t>s</w:t>
      </w:r>
    </w:p>
    <w:p w14:paraId="5C0FB64B" w14:textId="40399E00" w:rsidR="00B511E2" w:rsidRDefault="00E7235C" w:rsidP="00C807A3">
      <w:pPr>
        <w:spacing w:line="360" w:lineRule="auto"/>
        <w:rPr>
          <w:rFonts w:cs="Times New Roman"/>
        </w:rPr>
      </w:pPr>
      <w:r w:rsidRPr="00EF75A4">
        <w:rPr>
          <w:rFonts w:cs="Times New Roman"/>
        </w:rPr>
        <w:t>The amount of WS NH</w:t>
      </w:r>
      <w:r w:rsidRPr="00EF75A4">
        <w:rPr>
          <w:rFonts w:cs="Times New Roman"/>
          <w:vertAlign w:val="subscript"/>
        </w:rPr>
        <w:t>4</w:t>
      </w:r>
      <w:r w:rsidRPr="00EF75A4">
        <w:rPr>
          <w:rFonts w:cs="Times New Roman"/>
          <w:vertAlign w:val="superscript"/>
        </w:rPr>
        <w:t>+</w:t>
      </w:r>
      <w:r w:rsidR="007F0023">
        <w:rPr>
          <w:rFonts w:cs="Times New Roman"/>
        </w:rPr>
        <w:t xml:space="preserve"> &amp;</w:t>
      </w:r>
      <w:r w:rsidR="00ED1B91">
        <w:rPr>
          <w:rFonts w:cs="Times New Roman"/>
        </w:rPr>
        <w:t xml:space="preserve"> WS</w:t>
      </w:r>
      <w:r w:rsidR="007F0023">
        <w:rPr>
          <w:rFonts w:cs="Times New Roman"/>
        </w:rPr>
        <w:t xml:space="preserve"> </w:t>
      </w:r>
      <w:r w:rsidRPr="00EF75A4">
        <w:rPr>
          <w:rFonts w:cs="Times New Roman"/>
        </w:rPr>
        <w:t>NH</w:t>
      </w:r>
      <w:r w:rsidRPr="00EF75A4">
        <w:rPr>
          <w:rFonts w:cs="Times New Roman"/>
          <w:vertAlign w:val="subscript"/>
        </w:rPr>
        <w:t>3</w:t>
      </w:r>
      <w:r w:rsidRPr="00EF75A4">
        <w:rPr>
          <w:rFonts w:cs="Times New Roman"/>
        </w:rPr>
        <w:t xml:space="preserve"> </w:t>
      </w:r>
      <w:r w:rsidR="00087AA3" w:rsidRPr="00EF75A4">
        <w:rPr>
          <w:rFonts w:cs="Times New Roman"/>
        </w:rPr>
        <w:t>in blend 1 wa</w:t>
      </w:r>
      <w:r w:rsidRPr="00EF75A4">
        <w:rPr>
          <w:rFonts w:cs="Times New Roman"/>
        </w:rPr>
        <w:t>s greater</w:t>
      </w:r>
      <w:r w:rsidR="00087AA3" w:rsidRPr="00EF75A4">
        <w:rPr>
          <w:rFonts w:cs="Times New Roman"/>
        </w:rPr>
        <w:t xml:space="preserve"> than in the blend 2 (</w:t>
      </w:r>
      <w:r w:rsidR="00087AA3" w:rsidRPr="00ED1B91">
        <w:rPr>
          <w:rFonts w:cs="Times New Roman"/>
        </w:rPr>
        <w:fldChar w:fldCharType="begin"/>
      </w:r>
      <w:r w:rsidR="00087AA3" w:rsidRPr="00ED1B91">
        <w:rPr>
          <w:rFonts w:cs="Times New Roman"/>
        </w:rPr>
        <w:instrText xml:space="preserve"> REF _Ref27235160 \h </w:instrText>
      </w:r>
      <w:r w:rsidR="00F91F3C" w:rsidRPr="00ED1B91">
        <w:rPr>
          <w:rFonts w:cs="Times New Roman"/>
        </w:rPr>
        <w:instrText xml:space="preserve"> \* MERGEFORMAT </w:instrText>
      </w:r>
      <w:r w:rsidR="00087AA3" w:rsidRPr="00ED1B91">
        <w:rPr>
          <w:rFonts w:cs="Times New Roman"/>
        </w:rPr>
      </w:r>
      <w:r w:rsidR="00087AA3" w:rsidRPr="00ED1B91">
        <w:rPr>
          <w:rFonts w:cs="Times New Roman"/>
        </w:rPr>
        <w:fldChar w:fldCharType="separate"/>
      </w:r>
      <w:r w:rsidR="00E4647D" w:rsidRPr="00E4647D">
        <w:rPr>
          <w:rFonts w:cs="Times New Roman"/>
        </w:rPr>
        <w:t>Fig.</w:t>
      </w:r>
      <w:r w:rsidR="00E4647D" w:rsidRPr="00E4647D">
        <w:rPr>
          <w:rFonts w:cs="Times New Roman"/>
          <w:noProof/>
        </w:rPr>
        <w:t xml:space="preserve"> 3</w:t>
      </w:r>
      <w:r w:rsidR="00087AA3" w:rsidRPr="00ED1B91">
        <w:rPr>
          <w:rFonts w:cs="Times New Roman"/>
        </w:rPr>
        <w:fldChar w:fldCharType="end"/>
      </w:r>
      <w:r w:rsidR="00D7171C">
        <w:rPr>
          <w:rFonts w:cs="Times New Roman"/>
        </w:rPr>
        <w:t xml:space="preserve"> </w:t>
      </w:r>
      <w:r w:rsidR="00E85BE1">
        <w:rPr>
          <w:rFonts w:cs="Times New Roman"/>
        </w:rPr>
        <w:t>a</w:t>
      </w:r>
      <w:r w:rsidR="00087AA3" w:rsidRPr="00EF75A4">
        <w:rPr>
          <w:rFonts w:cs="Times New Roman"/>
        </w:rPr>
        <w:t>)</w:t>
      </w:r>
      <w:r w:rsidRPr="00EF75A4">
        <w:rPr>
          <w:rFonts w:cs="Times New Roman"/>
        </w:rPr>
        <w:t xml:space="preserve"> in agreement with the </w:t>
      </w:r>
      <w:r w:rsidR="00087AA3" w:rsidRPr="00EF75A4">
        <w:rPr>
          <w:rFonts w:cs="Times New Roman"/>
        </w:rPr>
        <w:t xml:space="preserve">higher </w:t>
      </w:r>
      <w:r w:rsidR="00087AA3" w:rsidRPr="0088097C">
        <w:rPr>
          <w:rFonts w:cs="Times New Roman"/>
        </w:rPr>
        <w:t>share</w:t>
      </w:r>
      <w:r w:rsidR="002B1080" w:rsidRPr="0088097C">
        <w:rPr>
          <w:rFonts w:cs="Times New Roman"/>
        </w:rPr>
        <w:t xml:space="preserve"> of digestates</w:t>
      </w:r>
      <w:r w:rsidR="00087AA3" w:rsidRPr="0088097C">
        <w:rPr>
          <w:rFonts w:cs="Times New Roman"/>
        </w:rPr>
        <w:t xml:space="preserve"> (</w:t>
      </w:r>
      <w:r w:rsidR="00CE1E2A" w:rsidRPr="0088097C">
        <w:rPr>
          <w:rFonts w:cs="Times New Roman"/>
        </w:rPr>
        <w:fldChar w:fldCharType="begin"/>
      </w:r>
      <w:r w:rsidR="00CE1E2A" w:rsidRPr="0088097C">
        <w:rPr>
          <w:rFonts w:cs="Times New Roman"/>
        </w:rPr>
        <w:instrText xml:space="preserve"> REF _Ref44759134 \h  \* MERGEFORMAT </w:instrText>
      </w:r>
      <w:r w:rsidR="00CE1E2A" w:rsidRPr="0088097C">
        <w:rPr>
          <w:rFonts w:cs="Times New Roman"/>
        </w:rPr>
      </w:r>
      <w:r w:rsidR="00CE1E2A" w:rsidRPr="0088097C">
        <w:rPr>
          <w:rFonts w:cs="Times New Roman"/>
        </w:rPr>
        <w:fldChar w:fldCharType="separate"/>
      </w:r>
      <w:r w:rsidR="00CE1E2A" w:rsidRPr="0088097C">
        <w:rPr>
          <w:iCs/>
        </w:rPr>
        <w:t xml:space="preserve">Table </w:t>
      </w:r>
      <w:r w:rsidR="00CE1E2A" w:rsidRPr="0088097C">
        <w:rPr>
          <w:iCs/>
          <w:noProof/>
        </w:rPr>
        <w:t>2</w:t>
      </w:r>
      <w:r w:rsidR="00CE1E2A" w:rsidRPr="0088097C">
        <w:rPr>
          <w:rFonts w:cs="Times New Roman"/>
        </w:rPr>
        <w:fldChar w:fldCharType="end"/>
      </w:r>
      <w:r w:rsidR="00087AA3" w:rsidRPr="0088097C">
        <w:rPr>
          <w:rFonts w:cs="Times New Roman"/>
        </w:rPr>
        <w:fldChar w:fldCharType="begin"/>
      </w:r>
      <w:r w:rsidR="00087AA3" w:rsidRPr="0088097C">
        <w:rPr>
          <w:rFonts w:cs="Times New Roman"/>
        </w:rPr>
        <w:instrText xml:space="preserve"> REF _Ref13331821 \h </w:instrText>
      </w:r>
      <w:r w:rsidR="00F91F3C" w:rsidRPr="0088097C">
        <w:rPr>
          <w:rFonts w:cs="Times New Roman"/>
        </w:rPr>
        <w:instrText xml:space="preserve"> \* MERGEFORMAT </w:instrText>
      </w:r>
      <w:r w:rsidR="00087AA3" w:rsidRPr="0088097C">
        <w:rPr>
          <w:rFonts w:cs="Times New Roman"/>
        </w:rPr>
      </w:r>
      <w:r w:rsidR="00087AA3" w:rsidRPr="0088097C">
        <w:rPr>
          <w:rFonts w:cs="Times New Roman"/>
        </w:rPr>
        <w:fldChar w:fldCharType="end"/>
      </w:r>
      <w:r w:rsidR="00087AA3" w:rsidRPr="0088097C">
        <w:rPr>
          <w:rFonts w:cs="Times New Roman"/>
        </w:rPr>
        <w:t>)</w:t>
      </w:r>
      <w:r w:rsidR="001A4474" w:rsidRPr="0088097C">
        <w:rPr>
          <w:rFonts w:cs="Times New Roman"/>
        </w:rPr>
        <w:t xml:space="preserve"> and the </w:t>
      </w:r>
      <w:r w:rsidR="00E45FCB" w:rsidRPr="0088097C">
        <w:rPr>
          <w:rFonts w:cs="Times New Roman"/>
        </w:rPr>
        <w:t>large</w:t>
      </w:r>
      <w:r w:rsidR="001A4474" w:rsidRPr="0088097C">
        <w:rPr>
          <w:rFonts w:cs="Times New Roman"/>
        </w:rPr>
        <w:t xml:space="preserve"> con</w:t>
      </w:r>
      <w:r w:rsidR="00981923" w:rsidRPr="0088097C">
        <w:rPr>
          <w:rFonts w:cs="Times New Roman"/>
        </w:rPr>
        <w:t>centration</w:t>
      </w:r>
      <w:r w:rsidR="001A4474" w:rsidRPr="0088097C">
        <w:rPr>
          <w:rFonts w:cs="Times New Roman"/>
        </w:rPr>
        <w:t xml:space="preserve"> of</w:t>
      </w:r>
      <w:r w:rsidR="00981923" w:rsidRPr="0088097C">
        <w:rPr>
          <w:rFonts w:cs="Times New Roman"/>
        </w:rPr>
        <w:t xml:space="preserve"> these species in</w:t>
      </w:r>
      <w:r w:rsidR="001A4474" w:rsidRPr="0088097C">
        <w:rPr>
          <w:rFonts w:cs="Times New Roman"/>
        </w:rPr>
        <w:t xml:space="preserve"> </w:t>
      </w:r>
      <w:r w:rsidR="00981923" w:rsidRPr="0088097C">
        <w:rPr>
          <w:rFonts w:cs="Times New Roman"/>
        </w:rPr>
        <w:t xml:space="preserve">the </w:t>
      </w:r>
      <w:r w:rsidR="001A4474" w:rsidRPr="0088097C">
        <w:rPr>
          <w:rFonts w:cs="Times New Roman"/>
        </w:rPr>
        <w:t>FWD (</w:t>
      </w:r>
      <w:r w:rsidR="001A4474" w:rsidRPr="0088097C">
        <w:rPr>
          <w:rFonts w:cs="Times New Roman"/>
        </w:rPr>
        <w:fldChar w:fldCharType="begin"/>
      </w:r>
      <w:r w:rsidR="001A4474" w:rsidRPr="0088097C">
        <w:rPr>
          <w:rFonts w:cs="Times New Roman"/>
        </w:rPr>
        <w:instrText xml:space="preserve"> REF _Ref44759336 \h  \* MERGEFORMAT </w:instrText>
      </w:r>
      <w:r w:rsidR="001A4474" w:rsidRPr="0088097C">
        <w:rPr>
          <w:rFonts w:cs="Times New Roman"/>
        </w:rPr>
      </w:r>
      <w:r w:rsidR="001A4474" w:rsidRPr="0088097C">
        <w:rPr>
          <w:rFonts w:cs="Times New Roman"/>
        </w:rPr>
        <w:fldChar w:fldCharType="separate"/>
      </w:r>
      <w:r w:rsidR="001A4474" w:rsidRPr="0088097C">
        <w:rPr>
          <w:rFonts w:cs="Times New Roman"/>
        </w:rPr>
        <w:t xml:space="preserve">Table </w:t>
      </w:r>
      <w:r w:rsidR="001A4474" w:rsidRPr="0088097C">
        <w:rPr>
          <w:rFonts w:cs="Times New Roman"/>
          <w:noProof/>
        </w:rPr>
        <w:t>3</w:t>
      </w:r>
      <w:r w:rsidR="001A4474" w:rsidRPr="0088097C">
        <w:rPr>
          <w:rFonts w:cs="Times New Roman"/>
        </w:rPr>
        <w:fldChar w:fldCharType="end"/>
      </w:r>
      <w:r w:rsidR="001A4474" w:rsidRPr="0088097C">
        <w:rPr>
          <w:rFonts w:cs="Times New Roman"/>
        </w:rPr>
        <w:t>)</w:t>
      </w:r>
      <w:r w:rsidR="00087AA3" w:rsidRPr="0088097C">
        <w:rPr>
          <w:rFonts w:cs="Times New Roman"/>
        </w:rPr>
        <w:t xml:space="preserve">. </w:t>
      </w:r>
      <w:r w:rsidR="00B511E2" w:rsidRPr="0088097C">
        <w:rPr>
          <w:rFonts w:cs="Times New Roman"/>
        </w:rPr>
        <w:t>The</w:t>
      </w:r>
      <w:r w:rsidR="00B511E2" w:rsidRPr="00EF75A4">
        <w:rPr>
          <w:rFonts w:cs="Times New Roman"/>
        </w:rPr>
        <w:t xml:space="preserve"> results of the single factor analysis of variance for both blends were that F</w:t>
      </w:r>
      <w:r w:rsidR="00E84659">
        <w:rPr>
          <w:rFonts w:cs="Times New Roman"/>
        </w:rPr>
        <w:t xml:space="preserve"> </w:t>
      </w:r>
      <w:r w:rsidR="00B511E2" w:rsidRPr="00EF75A4">
        <w:rPr>
          <w:rFonts w:cs="Times New Roman"/>
        </w:rPr>
        <w:t>&gt;</w:t>
      </w:r>
      <w:r w:rsidR="00E84659">
        <w:rPr>
          <w:rFonts w:cs="Times New Roman"/>
        </w:rPr>
        <w:t xml:space="preserve"> </w:t>
      </w:r>
      <w:r w:rsidR="00B511E2" w:rsidRPr="00EF75A4">
        <w:rPr>
          <w:rFonts w:cs="Times New Roman"/>
        </w:rPr>
        <w:t>F</w:t>
      </w:r>
      <w:r w:rsidR="00B511E2" w:rsidRPr="00EF75A4">
        <w:rPr>
          <w:rFonts w:cs="Times New Roman"/>
          <w:vertAlign w:val="subscript"/>
        </w:rPr>
        <w:t>crit</w:t>
      </w:r>
      <w:r w:rsidR="00B511E2" w:rsidRPr="00EF75A4">
        <w:rPr>
          <w:rFonts w:cs="Times New Roman"/>
        </w:rPr>
        <w:t xml:space="preserve">=2.36. Thereby, it </w:t>
      </w:r>
      <w:r w:rsidR="001F1CC7" w:rsidRPr="00E45FCB">
        <w:rPr>
          <w:rFonts w:cs="Times New Roman"/>
          <w:b/>
        </w:rPr>
        <w:t>was</w:t>
      </w:r>
      <w:r w:rsidR="001F1CC7" w:rsidRPr="00EF75A4">
        <w:rPr>
          <w:rFonts w:cs="Times New Roman"/>
        </w:rPr>
        <w:t xml:space="preserve"> </w:t>
      </w:r>
      <w:r w:rsidR="00B511E2" w:rsidRPr="00EF75A4">
        <w:rPr>
          <w:rFonts w:cs="Times New Roman"/>
        </w:rPr>
        <w:t>possible to claim with a 95% of certainty (p=0.05) that, during the 10 hours</w:t>
      </w:r>
      <w:r w:rsidR="00AF1316">
        <w:rPr>
          <w:rFonts w:cs="Times New Roman"/>
        </w:rPr>
        <w:t xml:space="preserve"> of</w:t>
      </w:r>
      <w:r w:rsidR="00B511E2" w:rsidRPr="00EF75A4">
        <w:rPr>
          <w:rFonts w:cs="Times New Roman"/>
        </w:rPr>
        <w:t xml:space="preserve"> incubation at 22 ºC, the concentration of</w:t>
      </w:r>
      <w:r w:rsidR="00ED1B91">
        <w:rPr>
          <w:rFonts w:cs="Times New Roman"/>
        </w:rPr>
        <w:t xml:space="preserve"> WS</w:t>
      </w:r>
      <w:r w:rsidR="00B511E2" w:rsidRPr="00EF75A4">
        <w:rPr>
          <w:rFonts w:cs="Times New Roman"/>
        </w:rPr>
        <w:t xml:space="preserve"> NH</w:t>
      </w:r>
      <w:r w:rsidR="00B511E2" w:rsidRPr="00EF75A4">
        <w:rPr>
          <w:rFonts w:cs="Times New Roman"/>
          <w:vertAlign w:val="subscript"/>
        </w:rPr>
        <w:t>4</w:t>
      </w:r>
      <w:r w:rsidR="00B511E2" w:rsidRPr="00EF75A4">
        <w:rPr>
          <w:rFonts w:cs="Times New Roman"/>
          <w:vertAlign w:val="superscript"/>
        </w:rPr>
        <w:t>+</w:t>
      </w:r>
      <w:r w:rsidR="007F0023">
        <w:rPr>
          <w:rFonts w:cs="Times New Roman"/>
        </w:rPr>
        <w:t xml:space="preserve"> &amp;</w:t>
      </w:r>
      <w:r w:rsidR="00ED1B91">
        <w:rPr>
          <w:rFonts w:cs="Times New Roman"/>
        </w:rPr>
        <w:t xml:space="preserve"> WS</w:t>
      </w:r>
      <w:r w:rsidR="007F0023">
        <w:rPr>
          <w:rFonts w:cs="Times New Roman"/>
        </w:rPr>
        <w:t xml:space="preserve"> </w:t>
      </w:r>
      <w:r w:rsidR="00B511E2" w:rsidRPr="00EF75A4">
        <w:rPr>
          <w:rFonts w:cs="Times New Roman"/>
        </w:rPr>
        <w:t>NH</w:t>
      </w:r>
      <w:r w:rsidR="00B511E2" w:rsidRPr="00EF75A4">
        <w:rPr>
          <w:rFonts w:cs="Times New Roman"/>
          <w:vertAlign w:val="subscript"/>
        </w:rPr>
        <w:t>3</w:t>
      </w:r>
      <w:r w:rsidR="00B511E2" w:rsidRPr="00EF75A4">
        <w:rPr>
          <w:rFonts w:cs="Times New Roman"/>
        </w:rPr>
        <w:t xml:space="preserve"> in both blends was not constant.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B12FA" w14:paraId="35720544" w14:textId="77777777" w:rsidTr="001A4474">
        <w:trPr>
          <w:trHeight w:val="2268"/>
        </w:trPr>
        <w:tc>
          <w:tcPr>
            <w:tcW w:w="4508" w:type="dxa"/>
          </w:tcPr>
          <w:p w14:paraId="01848C81" w14:textId="1878EC90" w:rsidR="00BB12FA" w:rsidRDefault="00BB12FA" w:rsidP="00C807A3">
            <w:pPr>
              <w:spacing w:line="360" w:lineRule="auto"/>
              <w:rPr>
                <w:rFonts w:cs="Times New Roman"/>
              </w:rPr>
            </w:pPr>
            <w:r w:rsidRPr="00EF75A4">
              <w:rPr>
                <w:rFonts w:cs="Times New Roman"/>
                <w:noProof/>
                <w:lang w:eastAsia="en-GB"/>
              </w:rPr>
              <w:drawing>
                <wp:inline distT="0" distB="0" distL="0" distR="0" wp14:anchorId="72180AFB" wp14:editId="34286913">
                  <wp:extent cx="2702256" cy="2135505"/>
                  <wp:effectExtent l="0" t="0" r="3175"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4508" w:type="dxa"/>
          </w:tcPr>
          <w:p w14:paraId="550ED79A" w14:textId="7E9611EC" w:rsidR="00BB12FA" w:rsidRDefault="00395927" w:rsidP="00C807A3">
            <w:pPr>
              <w:spacing w:line="360" w:lineRule="auto"/>
              <w:rPr>
                <w:rFonts w:cs="Times New Roman"/>
              </w:rPr>
            </w:pPr>
            <w:r w:rsidRPr="00EF75A4">
              <w:rPr>
                <w:rFonts w:cs="Times New Roman"/>
                <w:noProof/>
                <w:lang w:eastAsia="en-GB"/>
              </w:rPr>
              <w:drawing>
                <wp:inline distT="0" distB="0" distL="0" distR="0" wp14:anchorId="5E3A7D60" wp14:editId="1B2A0ED5">
                  <wp:extent cx="2667635" cy="2115403"/>
                  <wp:effectExtent l="0" t="0" r="0" b="1841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2A9A71C5" w14:textId="76490E69" w:rsidR="00B511E2" w:rsidRPr="00247AE3" w:rsidRDefault="00DA3D65" w:rsidP="004E2438">
      <w:pPr>
        <w:pStyle w:val="Caption"/>
        <w:spacing w:line="360" w:lineRule="auto"/>
        <w:contextualSpacing/>
        <w:rPr>
          <w:rFonts w:cs="Times New Roman"/>
          <w:i w:val="0"/>
        </w:rPr>
      </w:pPr>
      <w:bookmarkStart w:id="8" w:name="_Ref27235160"/>
      <w:r w:rsidRPr="00247AE3">
        <w:rPr>
          <w:rFonts w:cs="Times New Roman"/>
          <w:b/>
          <w:i w:val="0"/>
        </w:rPr>
        <w:t>Fig.</w:t>
      </w:r>
      <w:r w:rsidR="00B511E2" w:rsidRPr="00247AE3">
        <w:rPr>
          <w:rFonts w:cs="Times New Roman"/>
          <w:b/>
          <w:i w:val="0"/>
        </w:rPr>
        <w:t xml:space="preserve"> </w:t>
      </w:r>
      <w:r w:rsidR="00B511E2" w:rsidRPr="00247AE3">
        <w:rPr>
          <w:rFonts w:cs="Times New Roman"/>
          <w:b/>
          <w:i w:val="0"/>
          <w:noProof/>
        </w:rPr>
        <w:fldChar w:fldCharType="begin"/>
      </w:r>
      <w:r w:rsidR="00B511E2" w:rsidRPr="00247AE3">
        <w:rPr>
          <w:rFonts w:cs="Times New Roman"/>
          <w:b/>
          <w:i w:val="0"/>
          <w:noProof/>
        </w:rPr>
        <w:instrText xml:space="preserve"> SEQ Figure \* ARABIC </w:instrText>
      </w:r>
      <w:r w:rsidR="00B511E2" w:rsidRPr="00247AE3">
        <w:rPr>
          <w:rFonts w:cs="Times New Roman"/>
          <w:b/>
          <w:i w:val="0"/>
          <w:noProof/>
        </w:rPr>
        <w:fldChar w:fldCharType="separate"/>
      </w:r>
      <w:r w:rsidR="00E4647D">
        <w:rPr>
          <w:rFonts w:cs="Times New Roman"/>
          <w:b/>
          <w:i w:val="0"/>
          <w:noProof/>
        </w:rPr>
        <w:t>3</w:t>
      </w:r>
      <w:r w:rsidR="00B511E2" w:rsidRPr="00247AE3">
        <w:rPr>
          <w:rFonts w:cs="Times New Roman"/>
          <w:b/>
          <w:i w:val="0"/>
          <w:noProof/>
        </w:rPr>
        <w:fldChar w:fldCharType="end"/>
      </w:r>
      <w:bookmarkEnd w:id="8"/>
      <w:r w:rsidR="00DA760F" w:rsidRPr="00247AE3">
        <w:rPr>
          <w:rFonts w:cs="Times New Roman"/>
          <w:i w:val="0"/>
        </w:rPr>
        <w:t xml:space="preserve"> </w:t>
      </w:r>
      <w:r w:rsidR="004E2438">
        <w:rPr>
          <w:rFonts w:cs="Times New Roman"/>
          <w:i w:val="0"/>
        </w:rPr>
        <w:t>C</w:t>
      </w:r>
      <w:r w:rsidR="00AA18BC">
        <w:rPr>
          <w:rFonts w:cs="Times New Roman"/>
          <w:i w:val="0"/>
        </w:rPr>
        <w:t xml:space="preserve">oncentration of </w:t>
      </w:r>
      <w:r w:rsidR="00B511E2" w:rsidRPr="00247AE3">
        <w:rPr>
          <w:rFonts w:cs="Times New Roman"/>
          <w:i w:val="0"/>
        </w:rPr>
        <w:t>WS NH</w:t>
      </w:r>
      <w:r w:rsidR="00B511E2" w:rsidRPr="00247AE3">
        <w:rPr>
          <w:rFonts w:cs="Times New Roman"/>
          <w:i w:val="0"/>
          <w:vertAlign w:val="subscript"/>
        </w:rPr>
        <w:t>4</w:t>
      </w:r>
      <w:r w:rsidR="00B511E2" w:rsidRPr="00247AE3">
        <w:rPr>
          <w:rFonts w:cs="Times New Roman"/>
          <w:i w:val="0"/>
          <w:vertAlign w:val="superscript"/>
        </w:rPr>
        <w:t>+</w:t>
      </w:r>
      <w:r w:rsidR="007F0023">
        <w:rPr>
          <w:rFonts w:cs="Times New Roman"/>
          <w:i w:val="0"/>
        </w:rPr>
        <w:t xml:space="preserve"> &amp; WS </w:t>
      </w:r>
      <w:r w:rsidR="00B511E2" w:rsidRPr="00247AE3">
        <w:rPr>
          <w:rFonts w:cs="Times New Roman"/>
          <w:i w:val="0"/>
        </w:rPr>
        <w:t>NH</w:t>
      </w:r>
      <w:r w:rsidR="00B511E2" w:rsidRPr="00247AE3">
        <w:rPr>
          <w:rFonts w:cs="Times New Roman"/>
          <w:i w:val="0"/>
          <w:vertAlign w:val="subscript"/>
        </w:rPr>
        <w:t>3</w:t>
      </w:r>
      <w:r w:rsidR="00B511E2" w:rsidRPr="00247AE3">
        <w:rPr>
          <w:rFonts w:cs="Times New Roman"/>
          <w:i w:val="0"/>
        </w:rPr>
        <w:t xml:space="preserve"> </w:t>
      </w:r>
      <w:r w:rsidR="00677BA9">
        <w:rPr>
          <w:rFonts w:cs="Times New Roman"/>
          <w:i w:val="0"/>
        </w:rPr>
        <w:t xml:space="preserve">(a) </w:t>
      </w:r>
      <w:r w:rsidR="00AA18BC">
        <w:rPr>
          <w:rFonts w:cs="Times New Roman"/>
          <w:i w:val="0"/>
        </w:rPr>
        <w:t xml:space="preserve">and </w:t>
      </w:r>
      <w:r w:rsidR="00AA18BC" w:rsidRPr="00AA18BC">
        <w:rPr>
          <w:rFonts w:cs="Times New Roman"/>
          <w:i w:val="0"/>
        </w:rPr>
        <w:t>WS NO</w:t>
      </w:r>
      <w:r w:rsidR="00AA18BC" w:rsidRPr="00AA18BC">
        <w:rPr>
          <w:rFonts w:cs="Times New Roman"/>
          <w:i w:val="0"/>
          <w:vertAlign w:val="subscript"/>
        </w:rPr>
        <w:t>3</w:t>
      </w:r>
      <w:r w:rsidR="00AA18BC" w:rsidRPr="00AA18BC">
        <w:rPr>
          <w:rFonts w:cs="Times New Roman"/>
          <w:i w:val="0"/>
          <w:vertAlign w:val="superscript"/>
        </w:rPr>
        <w:t>-</w:t>
      </w:r>
      <w:r w:rsidR="00AA18BC">
        <w:rPr>
          <w:rFonts w:cs="Times New Roman"/>
          <w:i w:val="0"/>
        </w:rPr>
        <w:t xml:space="preserve"> &amp; WS </w:t>
      </w:r>
      <w:r w:rsidR="00AA18BC" w:rsidRPr="00AA18BC">
        <w:rPr>
          <w:rFonts w:cs="Times New Roman"/>
          <w:i w:val="0"/>
        </w:rPr>
        <w:t>NO</w:t>
      </w:r>
      <w:r w:rsidR="00AA18BC" w:rsidRPr="00AA18BC">
        <w:rPr>
          <w:rFonts w:cs="Times New Roman"/>
          <w:i w:val="0"/>
          <w:vertAlign w:val="subscript"/>
        </w:rPr>
        <w:t>2</w:t>
      </w:r>
      <w:r w:rsidR="00AA18BC" w:rsidRPr="00AA18BC">
        <w:rPr>
          <w:rFonts w:cs="Times New Roman"/>
          <w:i w:val="0"/>
          <w:vertAlign w:val="superscript"/>
        </w:rPr>
        <w:t>-</w:t>
      </w:r>
      <w:r w:rsidR="00AA18BC">
        <w:rPr>
          <w:rFonts w:cs="Times New Roman"/>
          <w:i w:val="0"/>
        </w:rPr>
        <w:t xml:space="preserve"> </w:t>
      </w:r>
      <w:r w:rsidR="00677BA9">
        <w:rPr>
          <w:rFonts w:cs="Times New Roman"/>
          <w:i w:val="0"/>
        </w:rPr>
        <w:t xml:space="preserve">(b) </w:t>
      </w:r>
      <w:r w:rsidR="00AD4AE9">
        <w:rPr>
          <w:rFonts w:cs="Times New Roman"/>
          <w:i w:val="0"/>
        </w:rPr>
        <w:t>in 3 g</w:t>
      </w:r>
      <w:r w:rsidR="00100EC8">
        <w:rPr>
          <w:rFonts w:cs="Times New Roman"/>
          <w:i w:val="0"/>
        </w:rPr>
        <w:t xml:space="preserve"> of each of the</w:t>
      </w:r>
      <w:r w:rsidR="004E2438">
        <w:rPr>
          <w:rFonts w:cs="Times New Roman"/>
          <w:i w:val="0"/>
        </w:rPr>
        <w:t xml:space="preserve"> blends</w:t>
      </w:r>
      <w:r w:rsidR="00AA18BC">
        <w:rPr>
          <w:rFonts w:cs="Times New Roman"/>
          <w:i w:val="0"/>
        </w:rPr>
        <w:t xml:space="preserve"> (</w:t>
      </w:r>
      <w:r w:rsidR="00B42460" w:rsidRPr="00E45FCB">
        <w:rPr>
          <w:rFonts w:cs="Times New Roman"/>
          <w:b/>
          <w:i w:val="0"/>
        </w:rPr>
        <w:fldChar w:fldCharType="begin"/>
      </w:r>
      <w:r w:rsidR="00B42460" w:rsidRPr="00E45FCB">
        <w:rPr>
          <w:rFonts w:cs="Times New Roman"/>
          <w:b/>
          <w:i w:val="0"/>
        </w:rPr>
        <w:instrText xml:space="preserve"> REF _Ref44759134 \h  \* MERGEFORMAT </w:instrText>
      </w:r>
      <w:r w:rsidR="00B42460" w:rsidRPr="00E45FCB">
        <w:rPr>
          <w:rFonts w:cs="Times New Roman"/>
          <w:b/>
          <w:i w:val="0"/>
        </w:rPr>
      </w:r>
      <w:r w:rsidR="00B42460" w:rsidRPr="00E45FCB">
        <w:rPr>
          <w:rFonts w:cs="Times New Roman"/>
          <w:b/>
          <w:i w:val="0"/>
        </w:rPr>
        <w:fldChar w:fldCharType="separate"/>
      </w:r>
      <w:r w:rsidR="00B42460" w:rsidRPr="00E45FCB">
        <w:rPr>
          <w:b/>
          <w:i w:val="0"/>
        </w:rPr>
        <w:t xml:space="preserve">Table </w:t>
      </w:r>
      <w:r w:rsidR="00B42460" w:rsidRPr="00E45FCB">
        <w:rPr>
          <w:b/>
          <w:i w:val="0"/>
          <w:noProof/>
        </w:rPr>
        <w:t>2</w:t>
      </w:r>
      <w:r w:rsidR="00B42460" w:rsidRPr="00E45FCB">
        <w:rPr>
          <w:rFonts w:cs="Times New Roman"/>
          <w:b/>
          <w:i w:val="0"/>
        </w:rPr>
        <w:fldChar w:fldCharType="end"/>
      </w:r>
      <w:r w:rsidR="00AA18BC" w:rsidRPr="00AA18BC">
        <w:rPr>
          <w:rFonts w:cs="Times New Roman"/>
          <w:i w:val="0"/>
        </w:rPr>
        <w:fldChar w:fldCharType="begin"/>
      </w:r>
      <w:r w:rsidR="00AA18BC" w:rsidRPr="00AA18BC">
        <w:rPr>
          <w:rFonts w:cs="Times New Roman"/>
          <w:i w:val="0"/>
        </w:rPr>
        <w:instrText xml:space="preserve"> REF _Ref13331821 \h  \* MERGEFORMAT </w:instrText>
      </w:r>
      <w:r w:rsidR="00AA18BC" w:rsidRPr="00AA18BC">
        <w:rPr>
          <w:rFonts w:cs="Times New Roman"/>
          <w:i w:val="0"/>
        </w:rPr>
      </w:r>
      <w:r w:rsidR="00AA18BC" w:rsidRPr="00AA18BC">
        <w:rPr>
          <w:rFonts w:cs="Times New Roman"/>
          <w:i w:val="0"/>
        </w:rPr>
        <w:fldChar w:fldCharType="end"/>
      </w:r>
      <w:r w:rsidR="00AA18BC">
        <w:rPr>
          <w:rFonts w:cs="Times New Roman"/>
          <w:i w:val="0"/>
        </w:rPr>
        <w:t>)</w:t>
      </w:r>
      <w:r w:rsidR="004E2438">
        <w:rPr>
          <w:rFonts w:cs="Times New Roman"/>
          <w:i w:val="0"/>
        </w:rPr>
        <w:t xml:space="preserve"> measured after</w:t>
      </w:r>
      <w:r w:rsidR="00B511E2" w:rsidRPr="00247AE3">
        <w:rPr>
          <w:rFonts w:cs="Times New Roman"/>
          <w:i w:val="0"/>
        </w:rPr>
        <w:t xml:space="preserve"> the incubation at</w:t>
      </w:r>
      <w:r w:rsidR="00AA18BC">
        <w:rPr>
          <w:rFonts w:cs="Times New Roman"/>
          <w:i w:val="0"/>
        </w:rPr>
        <w:t xml:space="preserve"> 100 rpm and</w:t>
      </w:r>
      <w:r w:rsidR="00B511E2" w:rsidRPr="00247AE3">
        <w:rPr>
          <w:rFonts w:cs="Times New Roman"/>
          <w:i w:val="0"/>
        </w:rPr>
        <w:t xml:space="preserve"> 22 ºC</w:t>
      </w:r>
    </w:p>
    <w:p w14:paraId="029F2718" w14:textId="1438BE85" w:rsidR="00B511E2" w:rsidRPr="00EF75A4" w:rsidRDefault="00B511E2" w:rsidP="00880107">
      <w:pPr>
        <w:spacing w:line="360" w:lineRule="auto"/>
        <w:rPr>
          <w:rFonts w:cs="Times New Roman"/>
        </w:rPr>
      </w:pPr>
      <w:r w:rsidRPr="00EF75A4">
        <w:rPr>
          <w:rFonts w:cs="Times New Roman"/>
        </w:rPr>
        <w:t xml:space="preserve">The fluctuations of the concentration of </w:t>
      </w:r>
      <w:r w:rsidR="006B2E88">
        <w:rPr>
          <w:rFonts w:cs="Times New Roman"/>
        </w:rPr>
        <w:t xml:space="preserve">WS </w:t>
      </w:r>
      <w:r w:rsidRPr="00EF75A4">
        <w:rPr>
          <w:rFonts w:cs="Times New Roman"/>
        </w:rPr>
        <w:t>NH</w:t>
      </w:r>
      <w:r w:rsidRPr="00EF75A4">
        <w:rPr>
          <w:rFonts w:cs="Times New Roman"/>
          <w:vertAlign w:val="subscript"/>
        </w:rPr>
        <w:t>4</w:t>
      </w:r>
      <w:r w:rsidRPr="00EF75A4">
        <w:rPr>
          <w:rFonts w:cs="Times New Roman"/>
          <w:vertAlign w:val="superscript"/>
        </w:rPr>
        <w:t>+</w:t>
      </w:r>
      <w:r w:rsidR="007F0023">
        <w:rPr>
          <w:rFonts w:cs="Times New Roman"/>
        </w:rPr>
        <w:t xml:space="preserve"> &amp;</w:t>
      </w:r>
      <w:r w:rsidR="006B2E88">
        <w:rPr>
          <w:rFonts w:cs="Times New Roman"/>
        </w:rPr>
        <w:t xml:space="preserve"> WS</w:t>
      </w:r>
      <w:r w:rsidR="007F0023">
        <w:rPr>
          <w:rFonts w:cs="Times New Roman"/>
        </w:rPr>
        <w:t xml:space="preserve"> </w:t>
      </w:r>
      <w:r w:rsidRPr="00EF75A4">
        <w:rPr>
          <w:rFonts w:cs="Times New Roman"/>
        </w:rPr>
        <w:t>NH</w:t>
      </w:r>
      <w:r w:rsidRPr="00EF75A4">
        <w:rPr>
          <w:rFonts w:cs="Times New Roman"/>
          <w:vertAlign w:val="subscript"/>
        </w:rPr>
        <w:t>3</w:t>
      </w:r>
      <w:r w:rsidRPr="00EF75A4">
        <w:rPr>
          <w:rFonts w:cs="Times New Roman"/>
        </w:rPr>
        <w:t xml:space="preserve"> in both blends (</w:t>
      </w:r>
      <w:r w:rsidRPr="00E85BE1">
        <w:rPr>
          <w:rFonts w:cs="Times New Roman"/>
        </w:rPr>
        <w:fldChar w:fldCharType="begin"/>
      </w:r>
      <w:r w:rsidRPr="00E85BE1">
        <w:rPr>
          <w:rFonts w:cs="Times New Roman"/>
        </w:rPr>
        <w:instrText xml:space="preserve"> REF _Ref27235160 \h </w:instrText>
      </w:r>
      <w:r w:rsidR="00F91F3C" w:rsidRPr="00E85BE1">
        <w:rPr>
          <w:rFonts w:cs="Times New Roman"/>
        </w:rPr>
        <w:instrText xml:space="preserve"> \* MERGEFORMAT </w:instrText>
      </w:r>
      <w:r w:rsidRPr="00E85BE1">
        <w:rPr>
          <w:rFonts w:cs="Times New Roman"/>
        </w:rPr>
      </w:r>
      <w:r w:rsidRPr="00E85BE1">
        <w:rPr>
          <w:rFonts w:cs="Times New Roman"/>
        </w:rPr>
        <w:fldChar w:fldCharType="separate"/>
      </w:r>
      <w:r w:rsidR="00E4647D" w:rsidRPr="00E4647D">
        <w:rPr>
          <w:rFonts w:cs="Times New Roman"/>
        </w:rPr>
        <w:t>Fig.</w:t>
      </w:r>
      <w:r w:rsidR="00E4647D" w:rsidRPr="00E4647D">
        <w:rPr>
          <w:rFonts w:cs="Times New Roman"/>
          <w:noProof/>
        </w:rPr>
        <w:t xml:space="preserve"> 3</w:t>
      </w:r>
      <w:r w:rsidRPr="00E85BE1">
        <w:rPr>
          <w:rFonts w:cs="Times New Roman"/>
        </w:rPr>
        <w:fldChar w:fldCharType="end"/>
      </w:r>
      <w:r w:rsidR="00D7171C">
        <w:rPr>
          <w:rFonts w:cs="Times New Roman"/>
        </w:rPr>
        <w:t xml:space="preserve"> </w:t>
      </w:r>
      <w:r w:rsidR="00E85BE1" w:rsidRPr="00E85BE1">
        <w:rPr>
          <w:rFonts w:cs="Times New Roman"/>
        </w:rPr>
        <w:t>a</w:t>
      </w:r>
      <w:r w:rsidRPr="00EF75A4">
        <w:rPr>
          <w:rFonts w:cs="Times New Roman"/>
        </w:rPr>
        <w:t>) c</w:t>
      </w:r>
      <w:r w:rsidR="00162D28">
        <w:rPr>
          <w:rFonts w:cs="Times New Roman"/>
        </w:rPr>
        <w:t>ould be related to the mineraliz</w:t>
      </w:r>
      <w:r w:rsidRPr="00EF75A4">
        <w:rPr>
          <w:rFonts w:cs="Times New Roman"/>
        </w:rPr>
        <w:t>ation of the N</w:t>
      </w:r>
      <w:r w:rsidRPr="00EF75A4">
        <w:rPr>
          <w:rFonts w:cs="Times New Roman"/>
          <w:vertAlign w:val="subscript"/>
        </w:rPr>
        <w:t>org</w:t>
      </w:r>
      <w:r w:rsidRPr="00EF75A4">
        <w:rPr>
          <w:rFonts w:cs="Times New Roman"/>
        </w:rPr>
        <w:t xml:space="preserve"> due to abiotic factors. Gi</w:t>
      </w:r>
      <w:r w:rsidR="00880107">
        <w:rPr>
          <w:rFonts w:cs="Times New Roman"/>
        </w:rPr>
        <w:t>ven the high concentration of calcium</w:t>
      </w:r>
      <w:r w:rsidRPr="00EF75A4">
        <w:rPr>
          <w:rFonts w:cs="Times New Roman"/>
        </w:rPr>
        <w:t xml:space="preserve"> in the ash samples (</w:t>
      </w:r>
      <w:r w:rsidR="00E85BE1">
        <w:rPr>
          <w:rFonts w:cs="Times New Roman"/>
        </w:rPr>
        <w:t xml:space="preserve">Online resource </w:t>
      </w:r>
      <w:r w:rsidR="0030614D">
        <w:rPr>
          <w:rFonts w:cs="Times New Roman"/>
        </w:rPr>
        <w:t>1</w:t>
      </w:r>
      <w:r w:rsidRPr="00EF75A4">
        <w:rPr>
          <w:rFonts w:cs="Times New Roman"/>
        </w:rPr>
        <w:t>), the hyd</w:t>
      </w:r>
      <w:r w:rsidR="00880107">
        <w:rPr>
          <w:rFonts w:cs="Times New Roman"/>
        </w:rPr>
        <w:t>rolysis with the exchangeable calcium</w:t>
      </w:r>
      <w:r w:rsidRPr="00EF75A4">
        <w:rPr>
          <w:rFonts w:cs="Times New Roman"/>
        </w:rPr>
        <w:t xml:space="preserve"> was possible </w:t>
      </w:r>
      <w:r w:rsidRPr="00EF75A4">
        <w:rPr>
          <w:rFonts w:cs="Times New Roman"/>
        </w:rPr>
        <w:fldChar w:fldCharType="begin" w:fldLock="1"/>
      </w:r>
      <w:r w:rsidR="00BB33F9">
        <w:rPr>
          <w:rFonts w:cs="Times New Roman"/>
        </w:rPr>
        <w:instrText>ADDIN CSL_CITATION {"citationItems":[{"id":"ITEM-1","itemData":{"author":[{"dropping-particle":"","family":"Jones","given":"Clain A","non-dropping-particle":"","parse-names":false,"suffix":""},{"dropping-particle":"","family":"Koenig","given":"Richard T","non-dropping-particle":"","parse-names":false,"suffix":""},{"dropping-particle":"","family":"Ellsworth","given":"Jason W","non-dropping-particle":"","parse-names":false,"suffix":""},{"dropping-particle":"","family":"Brown","given":"Brad D","non-dropping-particle":"","parse-names":false,"suffix":""},{"dropping-particle":"","family":"Jackson","given":"Grant D","non-dropping-particle":"","parse-names":false,"suffix":""}],"id":"ITEM-1","issued":{"date-parts":[["2007"]]},"number-of-pages":"1-12","title":"Extension Soil Fertility Specialist Management of Urea Fertilizer to Minimize Volatilization","type":"report"},"uris":["http://www.mendeley.com/documents/?uuid=e116c374-d10d-463b-b464-6a853fd11e47"]}],"mendeley":{"formattedCitation":"[49]","plainTextFormattedCitation":"[49]","previouslyFormattedCitation":"[49]"},"properties":{"noteIndex":0},"schema":"https://github.com/citation-style-language/schema/raw/master/csl-citation.json"}</w:instrText>
      </w:r>
      <w:r w:rsidRPr="00EF75A4">
        <w:rPr>
          <w:rFonts w:cs="Times New Roman"/>
          <w:vertAlign w:val="superscript"/>
        </w:rPr>
        <w:fldChar w:fldCharType="separate"/>
      </w:r>
      <w:r w:rsidR="00D33723" w:rsidRPr="00D33723">
        <w:rPr>
          <w:rFonts w:cs="Times New Roman"/>
          <w:noProof/>
        </w:rPr>
        <w:t>[49]</w:t>
      </w:r>
      <w:r w:rsidRPr="00EF75A4">
        <w:rPr>
          <w:rFonts w:cs="Times New Roman"/>
        </w:rPr>
        <w:fldChar w:fldCharType="end"/>
      </w:r>
      <w:r w:rsidRPr="00EF75A4">
        <w:rPr>
          <w:rFonts w:cs="Times New Roman"/>
        </w:rPr>
        <w:t xml:space="preserve">. </w:t>
      </w:r>
      <w:r w:rsidR="00880107">
        <w:rPr>
          <w:rFonts w:cs="Times New Roman"/>
        </w:rPr>
        <w:t>Consequently,</w:t>
      </w:r>
      <w:r w:rsidRPr="00EF75A4">
        <w:rPr>
          <w:rFonts w:cs="Times New Roman"/>
        </w:rPr>
        <w:t xml:space="preserve"> the NH</w:t>
      </w:r>
      <w:r w:rsidRPr="00EF75A4">
        <w:rPr>
          <w:rFonts w:cs="Times New Roman"/>
          <w:vertAlign w:val="subscript"/>
        </w:rPr>
        <w:t>4</w:t>
      </w:r>
      <w:r w:rsidRPr="00EF75A4">
        <w:rPr>
          <w:rFonts w:cs="Times New Roman"/>
          <w:vertAlign w:val="superscript"/>
        </w:rPr>
        <w:t>+</w:t>
      </w:r>
      <w:r w:rsidR="00880107">
        <w:rPr>
          <w:rFonts w:cs="Times New Roman"/>
        </w:rPr>
        <w:t xml:space="preserve"> would be</w:t>
      </w:r>
      <w:r w:rsidRPr="00EF75A4">
        <w:rPr>
          <w:rFonts w:cs="Times New Roman"/>
        </w:rPr>
        <w:t xml:space="preserve"> released</w:t>
      </w:r>
      <w:r w:rsidR="00B62C32">
        <w:rPr>
          <w:rFonts w:cs="Times New Roman"/>
        </w:rPr>
        <w:t xml:space="preserve"> and then neutraliz</w:t>
      </w:r>
      <w:r w:rsidR="00880107">
        <w:rPr>
          <w:rFonts w:cs="Times New Roman"/>
        </w:rPr>
        <w:t>ed into NH</w:t>
      </w:r>
      <w:r w:rsidR="00885CAA">
        <w:rPr>
          <w:rFonts w:cs="Times New Roman"/>
          <w:vertAlign w:val="subscript"/>
        </w:rPr>
        <w:t>3 aq</w:t>
      </w:r>
      <w:r w:rsidRPr="00EF75A4">
        <w:rPr>
          <w:rFonts w:cs="Times New Roman"/>
        </w:rPr>
        <w:t xml:space="preserve"> owing to the high pH of the medium</w:t>
      </w:r>
      <w:r w:rsidR="00880107">
        <w:rPr>
          <w:rFonts w:cs="Times New Roman"/>
        </w:rPr>
        <w:t xml:space="preserve"> as per the reaction pathway</w:t>
      </w:r>
      <w:r w:rsidR="00E85BE1">
        <w:rPr>
          <w:rFonts w:cs="Times New Roman"/>
        </w:rPr>
        <w:t xml:space="preserve"> </w:t>
      </w:r>
      <w:r w:rsidR="00E85BE1" w:rsidRPr="00E85BE1">
        <w:rPr>
          <w:rFonts w:cs="Times New Roman"/>
        </w:rPr>
        <w:fldChar w:fldCharType="begin"/>
      </w:r>
      <w:r w:rsidR="00E85BE1" w:rsidRPr="00E85BE1">
        <w:rPr>
          <w:rFonts w:cs="Times New Roman"/>
        </w:rPr>
        <w:instrText xml:space="preserve"> REF _Ref37527982 \h  \* MERGEFORMAT </w:instrText>
      </w:r>
      <w:r w:rsidR="00E85BE1" w:rsidRPr="00E85BE1">
        <w:rPr>
          <w:rFonts w:cs="Times New Roman"/>
        </w:rPr>
      </w:r>
      <w:r w:rsidR="00E85BE1" w:rsidRPr="00E85BE1">
        <w:rPr>
          <w:rFonts w:cs="Times New Roman"/>
        </w:rPr>
        <w:fldChar w:fldCharType="separate"/>
      </w:r>
      <w:r w:rsidR="00E4647D" w:rsidRPr="00AA5D63">
        <w:rPr>
          <w:rFonts w:cs="Times New Roman"/>
        </w:rPr>
        <w:t>(</w:t>
      </w:r>
      <w:r w:rsidR="00E4647D" w:rsidRPr="00E4647D">
        <w:rPr>
          <w:rFonts w:cs="Times New Roman"/>
          <w:noProof/>
        </w:rPr>
        <w:t>1</w:t>
      </w:r>
      <w:r w:rsidR="00E4647D" w:rsidRPr="00AA5D63">
        <w:rPr>
          <w:rFonts w:cs="Times New Roman"/>
          <w:noProof/>
        </w:rPr>
        <w:t>)</w:t>
      </w:r>
      <w:r w:rsidR="00E85BE1" w:rsidRPr="00E85BE1">
        <w:rPr>
          <w:rFonts w:cs="Times New Roman"/>
        </w:rPr>
        <w:fldChar w:fldCharType="end"/>
      </w:r>
      <w:r w:rsidRPr="00EF75A4">
        <w:rPr>
          <w:rFonts w:cs="Times New Roman"/>
        </w:rPr>
        <w:t xml:space="preserve">. The formation </w:t>
      </w:r>
      <w:r w:rsidR="00E14F16">
        <w:rPr>
          <w:rFonts w:cs="Times New Roman"/>
        </w:rPr>
        <w:t xml:space="preserve">of </w:t>
      </w:r>
      <w:r w:rsidRPr="00EF75A4">
        <w:rPr>
          <w:rFonts w:cs="Times New Roman"/>
        </w:rPr>
        <w:t>NH</w:t>
      </w:r>
      <w:r w:rsidRPr="00EF75A4">
        <w:rPr>
          <w:rFonts w:cs="Times New Roman"/>
          <w:vertAlign w:val="subscript"/>
        </w:rPr>
        <w:t>3</w:t>
      </w:r>
      <w:r w:rsidR="00B96B31">
        <w:rPr>
          <w:rFonts w:cs="Times New Roman"/>
          <w:vertAlign w:val="subscript"/>
        </w:rPr>
        <w:t xml:space="preserve"> aq</w:t>
      </w:r>
      <w:r w:rsidRPr="00EF75A4">
        <w:rPr>
          <w:rFonts w:cs="Times New Roman"/>
        </w:rPr>
        <w:t xml:space="preserve"> implies the acidification of the medium</w:t>
      </w:r>
      <w:r w:rsidR="00FC4915" w:rsidRPr="00EF75A4">
        <w:rPr>
          <w:rFonts w:cs="Times New Roman"/>
        </w:rPr>
        <w:t>, which</w:t>
      </w:r>
      <w:r w:rsidRPr="00EF75A4">
        <w:rPr>
          <w:rFonts w:cs="Times New Roman"/>
        </w:rPr>
        <w:t xml:space="preserve"> could be one of the reasons explaining the lower pH of the blend 1 (</w:t>
      </w:r>
      <w:r w:rsidR="009F194A" w:rsidRPr="009F194A">
        <w:rPr>
          <w:rFonts w:cs="Times New Roman"/>
        </w:rPr>
        <w:fldChar w:fldCharType="begin"/>
      </w:r>
      <w:r w:rsidR="009F194A" w:rsidRPr="009F194A">
        <w:rPr>
          <w:rFonts w:cs="Times New Roman"/>
        </w:rPr>
        <w:instrText xml:space="preserve"> REF _Ref37333243 \h  \* MERGEFORMAT </w:instrText>
      </w:r>
      <w:r w:rsidR="009F194A" w:rsidRPr="009F194A">
        <w:rPr>
          <w:rFonts w:cs="Times New Roman"/>
        </w:rPr>
      </w:r>
      <w:r w:rsidR="009F194A" w:rsidRPr="009F194A">
        <w:rPr>
          <w:rFonts w:cs="Times New Roman"/>
        </w:rPr>
        <w:fldChar w:fldCharType="separate"/>
      </w:r>
      <w:r w:rsidR="00E4647D" w:rsidRPr="00E4647D">
        <w:t xml:space="preserve">Fig. </w:t>
      </w:r>
      <w:r w:rsidR="00E4647D" w:rsidRPr="00E4647D">
        <w:rPr>
          <w:noProof/>
        </w:rPr>
        <w:t>2</w:t>
      </w:r>
      <w:r w:rsidR="009F194A" w:rsidRPr="009F194A">
        <w:rPr>
          <w:rFonts w:cs="Times New Roman"/>
        </w:rPr>
        <w:fldChar w:fldCharType="end"/>
      </w:r>
      <w:r w:rsidR="00D7171C">
        <w:rPr>
          <w:rFonts w:cs="Times New Roman"/>
        </w:rPr>
        <w:t xml:space="preserve"> </w:t>
      </w:r>
      <w:r w:rsidR="009F194A" w:rsidRPr="009F194A">
        <w:rPr>
          <w:rFonts w:cs="Times New Roman"/>
        </w:rPr>
        <w:t>a</w:t>
      </w:r>
      <w:r w:rsidRPr="00EF75A4">
        <w:rPr>
          <w:rFonts w:cs="Times New Roman"/>
        </w:rPr>
        <w:t>), since the FWD had more</w:t>
      </w:r>
      <w:r w:rsidR="00E16CCD" w:rsidRPr="00EF75A4">
        <w:rPr>
          <w:rFonts w:cs="Times New Roman"/>
        </w:rPr>
        <w:t xml:space="preserve"> WS</w:t>
      </w:r>
      <w:r w:rsidRPr="00EF75A4">
        <w:rPr>
          <w:rFonts w:cs="Times New Roman"/>
        </w:rPr>
        <w:t xml:space="preserve"> NH</w:t>
      </w:r>
      <w:r w:rsidRPr="00EF75A4">
        <w:rPr>
          <w:rFonts w:cs="Times New Roman"/>
          <w:vertAlign w:val="subscript"/>
        </w:rPr>
        <w:t>4</w:t>
      </w:r>
      <w:r w:rsidRPr="00EF75A4">
        <w:rPr>
          <w:rFonts w:cs="Times New Roman"/>
          <w:vertAlign w:val="superscript"/>
        </w:rPr>
        <w:t>+</w:t>
      </w:r>
      <w:r w:rsidR="007F0023">
        <w:rPr>
          <w:rFonts w:cs="Times New Roman"/>
        </w:rPr>
        <w:t xml:space="preserve"> &amp;</w:t>
      </w:r>
      <w:r w:rsidR="006B2E88">
        <w:rPr>
          <w:rFonts w:cs="Times New Roman"/>
        </w:rPr>
        <w:t xml:space="preserve"> WS</w:t>
      </w:r>
      <w:r w:rsidR="007F0023">
        <w:rPr>
          <w:rFonts w:cs="Times New Roman"/>
        </w:rPr>
        <w:t xml:space="preserve"> </w:t>
      </w:r>
      <w:r w:rsidRPr="00EF75A4">
        <w:rPr>
          <w:rFonts w:cs="Times New Roman"/>
        </w:rPr>
        <w:t>NH</w:t>
      </w:r>
      <w:r w:rsidRPr="00EF75A4">
        <w:rPr>
          <w:rFonts w:cs="Times New Roman"/>
          <w:vertAlign w:val="subscript"/>
        </w:rPr>
        <w:t>3</w:t>
      </w:r>
      <w:r w:rsidRPr="00EF75A4">
        <w:rPr>
          <w:rFonts w:cs="Times New Roman"/>
        </w:rPr>
        <w:t>, together with the lower share of ashes compared to the blend 2 (</w:t>
      </w:r>
      <w:r w:rsidR="00CE1E2A" w:rsidRPr="00CE1E2A">
        <w:rPr>
          <w:rFonts w:cs="Times New Roman"/>
        </w:rPr>
        <w:fldChar w:fldCharType="begin"/>
      </w:r>
      <w:r w:rsidR="00CE1E2A" w:rsidRPr="00CE1E2A">
        <w:rPr>
          <w:rFonts w:cs="Times New Roman"/>
        </w:rPr>
        <w:instrText xml:space="preserve"> REF _Ref44759134 \h </w:instrText>
      </w:r>
      <w:r w:rsidR="00CE1E2A" w:rsidRPr="001A4474">
        <w:rPr>
          <w:rFonts w:cs="Times New Roman"/>
        </w:rPr>
        <w:instrText xml:space="preserve"> \* MERGEFORMAT </w:instrText>
      </w:r>
      <w:r w:rsidR="00CE1E2A" w:rsidRPr="00CE1E2A">
        <w:rPr>
          <w:rFonts w:cs="Times New Roman"/>
        </w:rPr>
      </w:r>
      <w:r w:rsidR="00CE1E2A" w:rsidRPr="00CE1E2A">
        <w:rPr>
          <w:rFonts w:cs="Times New Roman"/>
        </w:rPr>
        <w:fldChar w:fldCharType="separate"/>
      </w:r>
      <w:r w:rsidR="00CE1E2A" w:rsidRPr="001A4474">
        <w:rPr>
          <w:iCs/>
        </w:rPr>
        <w:t xml:space="preserve">Table </w:t>
      </w:r>
      <w:r w:rsidR="00CE1E2A" w:rsidRPr="001A4474">
        <w:rPr>
          <w:iCs/>
          <w:noProof/>
        </w:rPr>
        <w:t>2</w:t>
      </w:r>
      <w:r w:rsidR="00CE1E2A" w:rsidRPr="00CE1E2A">
        <w:rPr>
          <w:rFonts w:cs="Times New Roman"/>
        </w:rPr>
        <w:fldChar w:fldCharType="end"/>
      </w:r>
      <w:r w:rsidRPr="00EF75A4">
        <w:rPr>
          <w:rFonts w:cs="Times New Roman"/>
        </w:rPr>
        <w:fldChar w:fldCharType="begin"/>
      </w:r>
      <w:r w:rsidRPr="00EF75A4">
        <w:rPr>
          <w:rFonts w:cs="Times New Roman"/>
        </w:rPr>
        <w:instrText xml:space="preserve"> REF _Ref13331821 \h </w:instrText>
      </w:r>
      <w:r w:rsidR="00F91F3C" w:rsidRPr="00EF75A4">
        <w:rPr>
          <w:rFonts w:cs="Times New Roman"/>
        </w:rPr>
        <w:instrText xml:space="preserve"> \* MERGEFORMAT </w:instrText>
      </w:r>
      <w:r w:rsidRPr="00EF75A4">
        <w:rPr>
          <w:rFonts w:cs="Times New Roman"/>
        </w:rPr>
      </w:r>
      <w:r w:rsidRPr="00EF75A4">
        <w:rPr>
          <w:rFonts w:cs="Times New Roman"/>
        </w:rPr>
        <w:fldChar w:fldCharType="end"/>
      </w:r>
      <w:r w:rsidRPr="00EF75A4">
        <w:rPr>
          <w:rFonts w:cs="Times New Roman"/>
        </w:rPr>
        <w:t>). Furthermore, the FWD had a greater pool of NH</w:t>
      </w:r>
      <w:r w:rsidRPr="00EF75A4">
        <w:rPr>
          <w:rFonts w:cs="Times New Roman"/>
          <w:vertAlign w:val="subscript"/>
        </w:rPr>
        <w:t>4</w:t>
      </w:r>
      <w:r w:rsidRPr="00EF75A4">
        <w:rPr>
          <w:rFonts w:cs="Times New Roman"/>
          <w:vertAlign w:val="superscript"/>
        </w:rPr>
        <w:t>+</w:t>
      </w:r>
      <w:r w:rsidRPr="00EF75A4">
        <w:rPr>
          <w:rFonts w:cs="Times New Roman"/>
        </w:rPr>
        <w:t xml:space="preserve"> than the PVWD, in agreement with the higher peak of the concentration of</w:t>
      </w:r>
      <w:r w:rsidR="006B2E88">
        <w:rPr>
          <w:rFonts w:cs="Times New Roman"/>
        </w:rPr>
        <w:t xml:space="preserve"> WS</w:t>
      </w:r>
      <w:r w:rsidRPr="00EF75A4">
        <w:rPr>
          <w:rFonts w:cs="Times New Roman"/>
        </w:rPr>
        <w:t xml:space="preserve"> NH</w:t>
      </w:r>
      <w:r w:rsidRPr="00EF75A4">
        <w:rPr>
          <w:rFonts w:cs="Times New Roman"/>
          <w:vertAlign w:val="subscript"/>
        </w:rPr>
        <w:t>4</w:t>
      </w:r>
      <w:r w:rsidRPr="00EF75A4">
        <w:rPr>
          <w:rFonts w:cs="Times New Roman"/>
          <w:vertAlign w:val="superscript"/>
        </w:rPr>
        <w:t>+</w:t>
      </w:r>
      <w:r w:rsidR="007F0023">
        <w:rPr>
          <w:rFonts w:cs="Times New Roman"/>
        </w:rPr>
        <w:t xml:space="preserve"> &amp;</w:t>
      </w:r>
      <w:r w:rsidR="006B2E88">
        <w:rPr>
          <w:rFonts w:cs="Times New Roman"/>
        </w:rPr>
        <w:t xml:space="preserve"> WS</w:t>
      </w:r>
      <w:r w:rsidR="007F0023">
        <w:rPr>
          <w:rFonts w:cs="Times New Roman"/>
        </w:rPr>
        <w:t xml:space="preserve"> </w:t>
      </w:r>
      <w:r w:rsidRPr="00EF75A4">
        <w:rPr>
          <w:rFonts w:cs="Times New Roman"/>
        </w:rPr>
        <w:t>NH</w:t>
      </w:r>
      <w:r w:rsidRPr="00EF75A4">
        <w:rPr>
          <w:rFonts w:cs="Times New Roman"/>
          <w:vertAlign w:val="subscript"/>
        </w:rPr>
        <w:t>3</w:t>
      </w:r>
      <w:r w:rsidRPr="00EF75A4">
        <w:rPr>
          <w:rFonts w:cs="Times New Roman"/>
        </w:rPr>
        <w:t xml:space="preserve"> at the 30 minutes of incubation</w:t>
      </w:r>
      <w:r w:rsidR="00317516">
        <w:rPr>
          <w:rFonts w:cs="Times New Roman"/>
        </w:rPr>
        <w:t xml:space="preserve"> (</w:t>
      </w:r>
      <w:r w:rsidR="00317516" w:rsidRPr="00317516">
        <w:rPr>
          <w:rFonts w:cs="Times New Roman"/>
        </w:rPr>
        <w:fldChar w:fldCharType="begin"/>
      </w:r>
      <w:r w:rsidR="00317516" w:rsidRPr="00317516">
        <w:rPr>
          <w:rFonts w:cs="Times New Roman"/>
        </w:rPr>
        <w:instrText xml:space="preserve"> REF _Ref27235160 \h  \* MERGEFORMAT </w:instrText>
      </w:r>
      <w:r w:rsidR="00317516" w:rsidRPr="00317516">
        <w:rPr>
          <w:rFonts w:cs="Times New Roman"/>
        </w:rPr>
      </w:r>
      <w:r w:rsidR="00317516" w:rsidRPr="00317516">
        <w:rPr>
          <w:rFonts w:cs="Times New Roman"/>
        </w:rPr>
        <w:fldChar w:fldCharType="separate"/>
      </w:r>
      <w:r w:rsidR="00E4647D" w:rsidRPr="00E4647D">
        <w:rPr>
          <w:rFonts w:cs="Times New Roman"/>
        </w:rPr>
        <w:t xml:space="preserve">Fig. </w:t>
      </w:r>
      <w:r w:rsidR="00E4647D" w:rsidRPr="00E4647D">
        <w:rPr>
          <w:rFonts w:cs="Times New Roman"/>
          <w:noProof/>
        </w:rPr>
        <w:t>3</w:t>
      </w:r>
      <w:r w:rsidR="00317516" w:rsidRPr="00317516">
        <w:rPr>
          <w:rFonts w:cs="Times New Roman"/>
        </w:rPr>
        <w:fldChar w:fldCharType="end"/>
      </w:r>
      <w:r w:rsidR="00D7171C">
        <w:rPr>
          <w:rFonts w:cs="Times New Roman"/>
        </w:rPr>
        <w:t xml:space="preserve"> </w:t>
      </w:r>
      <w:r w:rsidR="00317516" w:rsidRPr="00317516">
        <w:rPr>
          <w:rFonts w:cs="Times New Roman"/>
        </w:rPr>
        <w:t>a</w:t>
      </w:r>
      <w:r w:rsidR="00317516">
        <w:rPr>
          <w:rFonts w:cs="Times New Roman"/>
        </w:rPr>
        <w:t>)</w:t>
      </w:r>
      <w:r w:rsidRPr="00EF75A4">
        <w:rPr>
          <w:rFonts w:cs="Times New Roman"/>
        </w:rPr>
        <w:t xml:space="preserve">, </w:t>
      </w:r>
      <w:r w:rsidR="00317516">
        <w:rPr>
          <w:rFonts w:cs="Times New Roman"/>
        </w:rPr>
        <w:t>confirming a</w:t>
      </w:r>
      <w:r w:rsidRPr="00EF75A4">
        <w:rPr>
          <w:rFonts w:cs="Times New Roman"/>
        </w:rPr>
        <w:t xml:space="preserve"> the greater protein content of the materials used as feedstock for AD</w:t>
      </w:r>
      <w:r w:rsidRPr="00713E31">
        <w:rPr>
          <w:rFonts w:cs="Times New Roman"/>
        </w:rPr>
        <w:t xml:space="preserve">. The </w:t>
      </w:r>
      <w:r w:rsidR="003B4413" w:rsidRPr="00713E31">
        <w:rPr>
          <w:rFonts w:cs="Times New Roman"/>
        </w:rPr>
        <w:t>WS NH</w:t>
      </w:r>
      <w:r w:rsidR="003B4413" w:rsidRPr="00713E31">
        <w:rPr>
          <w:rFonts w:cs="Times New Roman"/>
          <w:vertAlign w:val="subscript"/>
        </w:rPr>
        <w:t>4</w:t>
      </w:r>
      <w:r w:rsidR="003B4413" w:rsidRPr="00713E31">
        <w:rPr>
          <w:rFonts w:cs="Times New Roman"/>
          <w:vertAlign w:val="superscript"/>
        </w:rPr>
        <w:t>+</w:t>
      </w:r>
      <w:r w:rsidR="003B4413" w:rsidRPr="00713E31">
        <w:rPr>
          <w:rFonts w:cs="Times New Roman"/>
        </w:rPr>
        <w:t xml:space="preserve"> &amp; WS NH</w:t>
      </w:r>
      <w:r w:rsidR="003B4413" w:rsidRPr="00713E31">
        <w:rPr>
          <w:rFonts w:cs="Times New Roman"/>
          <w:vertAlign w:val="subscript"/>
        </w:rPr>
        <w:t>3</w:t>
      </w:r>
      <w:r w:rsidRPr="00713E31">
        <w:rPr>
          <w:rFonts w:cs="Times New Roman"/>
        </w:rPr>
        <w:t xml:space="preserve"> could build up because the rate of hydrolysis of the N</w:t>
      </w:r>
      <w:r w:rsidRPr="00713E31">
        <w:rPr>
          <w:rFonts w:cs="Times New Roman"/>
          <w:vertAlign w:val="subscript"/>
        </w:rPr>
        <w:t>org</w:t>
      </w:r>
      <w:r w:rsidR="00162D28" w:rsidRPr="00713E31">
        <w:rPr>
          <w:rFonts w:cs="Times New Roman"/>
        </w:rPr>
        <w:t xml:space="preserve"> was faster than the volatiliz</w:t>
      </w:r>
      <w:r w:rsidRPr="00713E31">
        <w:rPr>
          <w:rFonts w:cs="Times New Roman"/>
        </w:rPr>
        <w:t>ation of NH</w:t>
      </w:r>
      <w:r w:rsidRPr="00713E31">
        <w:rPr>
          <w:rFonts w:cs="Times New Roman"/>
          <w:vertAlign w:val="subscript"/>
        </w:rPr>
        <w:t>3</w:t>
      </w:r>
      <w:r w:rsidR="00145169">
        <w:rPr>
          <w:rFonts w:cs="Times New Roman"/>
          <w:vertAlign w:val="subscript"/>
        </w:rPr>
        <w:t xml:space="preserve"> gas</w:t>
      </w:r>
      <w:r w:rsidRPr="00713E31">
        <w:rPr>
          <w:rFonts w:cs="Times New Roman"/>
        </w:rPr>
        <w:t xml:space="preserve">. At a pH value of 11, </w:t>
      </w:r>
      <w:r w:rsidR="00CB16A7" w:rsidRPr="00713E31">
        <w:rPr>
          <w:rFonts w:cs="Times New Roman"/>
        </w:rPr>
        <w:t xml:space="preserve">all </w:t>
      </w:r>
      <w:r w:rsidR="00820664" w:rsidRPr="00713E31">
        <w:rPr>
          <w:rFonts w:cs="Times New Roman"/>
        </w:rPr>
        <w:t xml:space="preserve">WS </w:t>
      </w:r>
      <w:r w:rsidRPr="00713E31">
        <w:rPr>
          <w:rFonts w:cs="Times New Roman"/>
        </w:rPr>
        <w:t>NH</w:t>
      </w:r>
      <w:r w:rsidRPr="00713E31">
        <w:rPr>
          <w:rFonts w:cs="Times New Roman"/>
          <w:vertAlign w:val="subscript"/>
        </w:rPr>
        <w:t>4</w:t>
      </w:r>
      <w:r w:rsidRPr="00713E31">
        <w:rPr>
          <w:rFonts w:cs="Times New Roman"/>
          <w:vertAlign w:val="superscript"/>
        </w:rPr>
        <w:t>+</w:t>
      </w:r>
      <w:r w:rsidR="00CB16A7" w:rsidRPr="00713E31">
        <w:rPr>
          <w:rFonts w:cs="Times New Roman"/>
        </w:rPr>
        <w:t>-N</w:t>
      </w:r>
      <w:r w:rsidRPr="00713E31">
        <w:rPr>
          <w:rFonts w:cs="Times New Roman"/>
        </w:rPr>
        <w:t xml:space="preserve"> </w:t>
      </w:r>
      <w:r w:rsidR="00820664" w:rsidRPr="00713E31">
        <w:rPr>
          <w:rFonts w:cs="Times New Roman"/>
        </w:rPr>
        <w:t xml:space="preserve">in the blends </w:t>
      </w:r>
      <w:r w:rsidR="00F23DD0" w:rsidRPr="00713E31">
        <w:rPr>
          <w:rFonts w:cs="Times New Roman"/>
        </w:rPr>
        <w:t>would</w:t>
      </w:r>
      <w:r w:rsidR="00F23DD0">
        <w:rPr>
          <w:rFonts w:cs="Times New Roman"/>
        </w:rPr>
        <w:t xml:space="preserve"> be</w:t>
      </w:r>
      <w:r w:rsidRPr="00EF75A4">
        <w:rPr>
          <w:rFonts w:cs="Times New Roman"/>
        </w:rPr>
        <w:t xml:space="preserve"> in the form of NH</w:t>
      </w:r>
      <w:r w:rsidRPr="00EF75A4">
        <w:rPr>
          <w:rFonts w:cs="Times New Roman"/>
          <w:vertAlign w:val="subscript"/>
        </w:rPr>
        <w:t>3</w:t>
      </w:r>
      <w:r w:rsidR="00145169">
        <w:rPr>
          <w:rFonts w:cs="Times New Roman"/>
          <w:vertAlign w:val="subscript"/>
        </w:rPr>
        <w:t xml:space="preserve"> aq</w:t>
      </w:r>
      <w:r w:rsidRPr="00EF75A4">
        <w:rPr>
          <w:rFonts w:cs="Times New Roman"/>
        </w:rPr>
        <w:t xml:space="preserve"> </w:t>
      </w:r>
      <w:r w:rsidRPr="00EF75A4">
        <w:rPr>
          <w:rFonts w:cs="Times New Roman"/>
        </w:rPr>
        <w:fldChar w:fldCharType="begin" w:fldLock="1"/>
      </w:r>
      <w:r w:rsidR="00BB33F9">
        <w:rPr>
          <w:rFonts w:cs="Times New Roman"/>
        </w:rPr>
        <w:instrText>ADDIN CSL_CITATION {"citationItems":[{"id":"ITEM-1","itemData":{"DOI":"10.1016/j.jenvman.2014.10.001","ISBN":"0301-4797","ISSN":"1095-8630","PMID":"25463570","abstract":"Ammonia emissions are a major problem associated with animal slurry management, and solutions to overcome this problem are required worldwide by farmers and stakeholders. An obvious way to minimize ammonia emissions from slurry is to decrease slurry pH by addition of acids or other substances. This solution has been used commonly since 2010 in countries such as Denmark, and its efficiency with regard to the minimization of NH3 emissions has been documented in many studies. Nevertheless, the impact of such treatment on other gaseous emissions during storage is not clear, since the studies performed so far have provided different scenarios. Similarly, the impact of the soil application of acidified slurry on plant production and diffuse pollution has been considered in several studies. Also, the impact of acidification upon combination with other slurry treatment technologies (e.g. mechanical separation, anaerobic digestion …) is important to consider. Here, a compilation and critical review of all these studies has been performed in order to fully understand the global impact of slurry acidification and assess the applicability of this treatment for slurry management.","author":[{"dropping-particle":"","family":"Fangueiro","given":"David","non-dropping-particle":"","parse-names":false,"suffix":""},{"dropping-particle":"","family":"Hjorth","given":"Maibritt","non-dropping-particle":"","parse-names":false,"suffix":""},{"dropping-particle":"","family":"Gioelli","given":"Fabrizio","non-dropping-particle":"","parse-names":false,"suffix":""}],"container-title":"Journal of environmental management","id":"ITEM-1","issued":{"date-parts":[["2015"]]},"page":"46-56","title":"Acidification of animal slurry - A review.","type":"article-journal","volume":"149"},"uris":["http://www.mendeley.com/documents/?uuid=8c34dab4-a24a-41e1-80f3-98e9efd9d643"]}],"mendeley":{"formattedCitation":"[45]","plainTextFormattedCitation":"[45]","previouslyFormattedCitation":"[45]"},"properties":{"noteIndex":0},"schema":"https://github.com/citation-style-language/schema/raw/master/csl-citation.json"}</w:instrText>
      </w:r>
      <w:r w:rsidRPr="00EF75A4">
        <w:rPr>
          <w:rFonts w:cs="Times New Roman"/>
        </w:rPr>
        <w:fldChar w:fldCharType="separate"/>
      </w:r>
      <w:r w:rsidR="00D33723" w:rsidRPr="00D33723">
        <w:rPr>
          <w:rFonts w:cs="Times New Roman"/>
          <w:noProof/>
        </w:rPr>
        <w:t>[45]</w:t>
      </w:r>
      <w:r w:rsidRPr="00EF75A4">
        <w:rPr>
          <w:rFonts w:cs="Times New Roman"/>
        </w:rPr>
        <w:fldChar w:fldCharType="end"/>
      </w:r>
      <w:r w:rsidR="00F23DD0">
        <w:rPr>
          <w:rFonts w:cs="Times New Roman"/>
        </w:rPr>
        <w:t xml:space="preserve">. </w:t>
      </w:r>
      <w:r w:rsidR="00B018E2">
        <w:rPr>
          <w:rFonts w:cs="Times New Roman"/>
        </w:rPr>
        <w:t>Thereby</w:t>
      </w:r>
      <w:r w:rsidR="00F23DD0">
        <w:rPr>
          <w:rFonts w:cs="Times New Roman"/>
        </w:rPr>
        <w:t>, it was considered that what limited</w:t>
      </w:r>
      <w:r w:rsidRPr="00EF75A4">
        <w:rPr>
          <w:rFonts w:cs="Times New Roman"/>
        </w:rPr>
        <w:t xml:space="preserve"> the flux of NH</w:t>
      </w:r>
      <w:r w:rsidRPr="00EF75A4">
        <w:rPr>
          <w:rFonts w:cs="Times New Roman"/>
          <w:vertAlign w:val="subscript"/>
        </w:rPr>
        <w:t>3</w:t>
      </w:r>
      <w:r w:rsidR="00E14F16">
        <w:rPr>
          <w:rFonts w:cs="Times New Roman"/>
          <w:vertAlign w:val="subscript"/>
        </w:rPr>
        <w:t xml:space="preserve"> aq</w:t>
      </w:r>
      <w:r w:rsidRPr="00EF75A4">
        <w:rPr>
          <w:rFonts w:cs="Times New Roman"/>
        </w:rPr>
        <w:t xml:space="preserve"> from the blends to the air </w:t>
      </w:r>
      <w:r w:rsidR="00E70B2E">
        <w:rPr>
          <w:rFonts w:cs="Times New Roman"/>
        </w:rPr>
        <w:t>wa</w:t>
      </w:r>
      <w:r w:rsidR="00E70B2E" w:rsidRPr="00EF75A4">
        <w:rPr>
          <w:rFonts w:cs="Times New Roman"/>
        </w:rPr>
        <w:t xml:space="preserve">s </w:t>
      </w:r>
      <w:r w:rsidRPr="00EF75A4">
        <w:rPr>
          <w:rFonts w:cs="Times New Roman"/>
        </w:rPr>
        <w:t>the mass transfer step</w:t>
      </w:r>
      <w:r w:rsidR="00CB16A7">
        <w:rPr>
          <w:rFonts w:cs="Times New Roman"/>
        </w:rPr>
        <w:t xml:space="preserve"> </w:t>
      </w:r>
      <w:r w:rsidR="00CB16A7" w:rsidRPr="00CB16A7">
        <w:rPr>
          <w:rFonts w:cs="Times New Roman"/>
        </w:rPr>
        <w:fldChar w:fldCharType="begin"/>
      </w:r>
      <w:r w:rsidR="00CB16A7" w:rsidRPr="00CB16A7">
        <w:rPr>
          <w:rFonts w:cs="Times New Roman"/>
        </w:rPr>
        <w:instrText xml:space="preserve"> REF _Ref37527982 \h  \* MERGEFORMAT </w:instrText>
      </w:r>
      <w:r w:rsidR="00CB16A7" w:rsidRPr="00CB16A7">
        <w:rPr>
          <w:rFonts w:cs="Times New Roman"/>
        </w:rPr>
      </w:r>
      <w:r w:rsidR="00CB16A7" w:rsidRPr="00CB16A7">
        <w:rPr>
          <w:rFonts w:cs="Times New Roman"/>
        </w:rPr>
        <w:fldChar w:fldCharType="separate"/>
      </w:r>
      <w:r w:rsidR="00E4647D" w:rsidRPr="00AA5D63">
        <w:rPr>
          <w:rFonts w:cs="Times New Roman"/>
        </w:rPr>
        <w:t>(</w:t>
      </w:r>
      <w:r w:rsidR="00E4647D" w:rsidRPr="00E4647D">
        <w:rPr>
          <w:rFonts w:cs="Times New Roman"/>
          <w:noProof/>
        </w:rPr>
        <w:t>1</w:t>
      </w:r>
      <w:r w:rsidR="00E4647D" w:rsidRPr="00AA5D63">
        <w:rPr>
          <w:rFonts w:cs="Times New Roman"/>
          <w:noProof/>
        </w:rPr>
        <w:t>)</w:t>
      </w:r>
      <w:r w:rsidR="00CB16A7" w:rsidRPr="00CB16A7">
        <w:rPr>
          <w:rFonts w:cs="Times New Roman"/>
        </w:rPr>
        <w:fldChar w:fldCharType="end"/>
      </w:r>
      <w:r w:rsidRPr="00EF75A4">
        <w:rPr>
          <w:rFonts w:cs="Times New Roman"/>
        </w:rPr>
        <w:t>.</w:t>
      </w: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8"/>
      </w:tblGrid>
      <w:tr w:rsidR="00B511E2" w:rsidRPr="00EF75A4" w14:paraId="230A19A7" w14:textId="77777777" w:rsidTr="001A4474">
        <w:tc>
          <w:tcPr>
            <w:tcW w:w="8359" w:type="dxa"/>
          </w:tcPr>
          <w:p w14:paraId="2EAB7A45" w14:textId="569AEEA9" w:rsidR="00B511E2" w:rsidRPr="00EF75A4" w:rsidRDefault="007101EB" w:rsidP="00885CAA">
            <w:pPr>
              <w:spacing w:line="360" w:lineRule="auto"/>
              <w:rPr>
                <w:rFonts w:cs="Times New Roman"/>
              </w:rPr>
            </w:pPr>
            <m:oMathPara>
              <m:oMath>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org</m:t>
                    </m:r>
                  </m:sub>
                </m:sSub>
                <m:box>
                  <m:boxPr>
                    <m:opEmu m:val="1"/>
                    <m:ctrlPr>
                      <w:rPr>
                        <w:rFonts w:ascii="Cambria Math" w:hAnsi="Cambria Math" w:cs="Times New Roman"/>
                        <w:i/>
                      </w:rPr>
                    </m:ctrlPr>
                  </m:boxPr>
                  <m:e>
                    <m:groupChr>
                      <m:groupChrPr>
                        <m:chr m:val="→"/>
                        <m:vertJc m:val="bot"/>
                        <m:ctrlPr>
                          <w:rPr>
                            <w:rFonts w:ascii="Cambria Math" w:hAnsi="Cambria Math" w:cs="Times New Roman"/>
                            <w:i/>
                          </w:rPr>
                        </m:ctrlPr>
                      </m:groupChrPr>
                      <m:e>
                        <m:r>
                          <m:rPr>
                            <m:sty m:val="bi"/>
                          </m:rPr>
                          <w:rPr>
                            <w:rFonts w:ascii="Cambria Math" w:hAnsi="Cambria Math" w:cs="Times New Roman"/>
                          </w:rPr>
                          <m:t>Abiotic mineralization</m:t>
                        </m:r>
                      </m:e>
                    </m:groupChr>
                    <m:sSubSup>
                      <m:sSubSupPr>
                        <m:ctrlPr>
                          <w:rPr>
                            <w:rFonts w:ascii="Cambria Math" w:hAnsi="Cambria Math" w:cs="Times New Roman"/>
                            <w:i/>
                          </w:rPr>
                        </m:ctrlPr>
                      </m:sSubSupPr>
                      <m:e>
                        <m:r>
                          <w:rPr>
                            <w:rFonts w:ascii="Cambria Math" w:hAnsi="Cambria Math" w:cs="Times New Roman"/>
                          </w:rPr>
                          <m:t>NH</m:t>
                        </m:r>
                      </m:e>
                      <m:sub>
                        <m:r>
                          <w:rPr>
                            <w:rFonts w:ascii="Cambria Math" w:hAnsi="Cambria Math" w:cs="Times New Roman"/>
                          </w:rPr>
                          <m:t>4</m:t>
                        </m:r>
                      </m:sub>
                      <m:sup>
                        <m:r>
                          <w:rPr>
                            <w:rFonts w:ascii="Cambria Math" w:hAnsi="Cambria Math" w:cs="Times New Roman"/>
                          </w:rPr>
                          <m:t>+</m:t>
                        </m:r>
                      </m:sup>
                    </m:sSubSup>
                    <m:box>
                      <m:boxPr>
                        <m:opEmu m:val="1"/>
                        <m:ctrlPr>
                          <w:rPr>
                            <w:rFonts w:ascii="Cambria Math" w:hAnsi="Cambria Math" w:cs="Times New Roman"/>
                            <w:i/>
                          </w:rPr>
                        </m:ctrlPr>
                      </m:boxPr>
                      <m:e>
                        <m:groupChr>
                          <m:groupChrPr>
                            <m:chr m:val="→"/>
                            <m:vertJc m:val="bot"/>
                            <m:ctrlPr>
                              <w:rPr>
                                <w:rFonts w:ascii="Cambria Math" w:hAnsi="Cambria Math" w:cs="Times New Roman"/>
                                <w:i/>
                              </w:rPr>
                            </m:ctrlPr>
                          </m:groupChrPr>
                          <m:e>
                            <m:r>
                              <w:rPr>
                                <w:rFonts w:ascii="Cambria Math" w:hAnsi="Cambria Math" w:cs="Times New Roman"/>
                              </w:rPr>
                              <m:t>Neutralization</m:t>
                            </m:r>
                          </m:e>
                        </m:groupChr>
                        <m:sSub>
                          <m:sSubPr>
                            <m:ctrlPr>
                              <w:rPr>
                                <w:rFonts w:ascii="Cambria Math" w:hAnsi="Cambria Math" w:cs="Times New Roman"/>
                                <w:i/>
                              </w:rPr>
                            </m:ctrlPr>
                          </m:sSubPr>
                          <m:e>
                            <m:r>
                              <w:rPr>
                                <w:rFonts w:ascii="Cambria Math" w:hAnsi="Cambria Math" w:cs="Times New Roman"/>
                              </w:rPr>
                              <m:t>NH</m:t>
                            </m:r>
                          </m:e>
                          <m:sub>
                            <m:r>
                              <w:rPr>
                                <w:rFonts w:ascii="Cambria Math" w:hAnsi="Cambria Math" w:cs="Times New Roman"/>
                              </w:rPr>
                              <m:t>3 aq</m:t>
                            </m:r>
                          </m:sub>
                        </m:sSub>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H</m:t>
                            </m:r>
                          </m:e>
                          <m:sup>
                            <m:r>
                              <w:rPr>
                                <w:rFonts w:ascii="Cambria Math" w:hAnsi="Cambria Math" w:cs="Times New Roman"/>
                              </w:rPr>
                              <m:t>+</m:t>
                            </m:r>
                          </m:sup>
                        </m:sSup>
                      </m:e>
                    </m:box>
                  </m:e>
                </m:box>
                <m:box>
                  <m:boxPr>
                    <m:opEmu m:val="1"/>
                    <m:ctrlPr>
                      <w:rPr>
                        <w:rFonts w:ascii="Cambria Math" w:eastAsiaTheme="minorEastAsia" w:hAnsi="Cambria Math" w:cs="Times New Roman"/>
                        <w:i/>
                      </w:rPr>
                    </m:ctrlPr>
                  </m:boxPr>
                  <m:e>
                    <m:groupChr>
                      <m:groupChrPr>
                        <m:chr m:val="→"/>
                        <m:vertJc m:val="bot"/>
                        <m:ctrlPr>
                          <w:rPr>
                            <w:rFonts w:ascii="Cambria Math" w:eastAsiaTheme="minorEastAsia" w:hAnsi="Cambria Math" w:cs="Times New Roman"/>
                            <w:i/>
                          </w:rPr>
                        </m:ctrlPr>
                      </m:groupChrPr>
                      <m:e>
                        <m:r>
                          <w:rPr>
                            <w:rFonts w:ascii="Cambria Math" w:eastAsiaTheme="minorEastAsia" w:hAnsi="Cambria Math" w:cs="Times New Roman"/>
                          </w:rPr>
                          <m:t>Mass transfer</m:t>
                        </m:r>
                      </m:e>
                    </m:groupChr>
                    <m:sSub>
                      <m:sSubPr>
                        <m:ctrlPr>
                          <w:rPr>
                            <w:rFonts w:ascii="Cambria Math" w:eastAsiaTheme="minorEastAsia" w:hAnsi="Cambria Math" w:cs="Times New Roman"/>
                            <w:i/>
                          </w:rPr>
                        </m:ctrlPr>
                      </m:sSubPr>
                      <m:e>
                        <m:r>
                          <w:rPr>
                            <w:rFonts w:ascii="Cambria Math" w:eastAsiaTheme="minorEastAsia" w:hAnsi="Cambria Math" w:cs="Times New Roman"/>
                          </w:rPr>
                          <m:t>NH</m:t>
                        </m:r>
                      </m:e>
                      <m:sub>
                        <m:r>
                          <w:rPr>
                            <w:rFonts w:ascii="Cambria Math" w:eastAsiaTheme="minorEastAsia" w:hAnsi="Cambria Math" w:cs="Times New Roman"/>
                          </w:rPr>
                          <m:t>3 gas</m:t>
                        </m:r>
                      </m:sub>
                    </m:sSub>
                  </m:e>
                </m:box>
              </m:oMath>
            </m:oMathPara>
          </w:p>
        </w:tc>
        <w:tc>
          <w:tcPr>
            <w:tcW w:w="708" w:type="dxa"/>
          </w:tcPr>
          <w:p w14:paraId="037E658A" w14:textId="56B938B4" w:rsidR="00B511E2" w:rsidRPr="00AA5D63" w:rsidRDefault="009D3B3D" w:rsidP="00C807A3">
            <w:pPr>
              <w:pStyle w:val="Caption"/>
              <w:keepNext/>
              <w:spacing w:line="360" w:lineRule="auto"/>
              <w:rPr>
                <w:rFonts w:cs="Times New Roman"/>
                <w:i w:val="0"/>
              </w:rPr>
            </w:pPr>
            <w:bookmarkStart w:id="9" w:name="_Ref14019174"/>
            <w:bookmarkStart w:id="10" w:name="_Ref28448667"/>
            <w:bookmarkStart w:id="11" w:name="_Ref37527982"/>
            <w:r w:rsidRPr="00AA5D63">
              <w:rPr>
                <w:rFonts w:cs="Times New Roman"/>
                <w:i w:val="0"/>
              </w:rPr>
              <w:t>(</w:t>
            </w:r>
            <w:r w:rsidR="00B511E2" w:rsidRPr="00AA5D63">
              <w:rPr>
                <w:rFonts w:cs="Times New Roman"/>
                <w:i w:val="0"/>
                <w:noProof/>
              </w:rPr>
              <w:fldChar w:fldCharType="begin"/>
            </w:r>
            <w:r w:rsidR="00B511E2" w:rsidRPr="00AA5D63">
              <w:rPr>
                <w:rFonts w:cs="Times New Roman"/>
                <w:i w:val="0"/>
                <w:noProof/>
              </w:rPr>
              <w:instrText xml:space="preserve"> SEQ Equation \* ARABIC </w:instrText>
            </w:r>
            <w:r w:rsidR="00B511E2" w:rsidRPr="00AA5D63">
              <w:rPr>
                <w:rFonts w:cs="Times New Roman"/>
                <w:i w:val="0"/>
                <w:noProof/>
              </w:rPr>
              <w:fldChar w:fldCharType="separate"/>
            </w:r>
            <w:r w:rsidR="00E4647D">
              <w:rPr>
                <w:rFonts w:cs="Times New Roman"/>
                <w:i w:val="0"/>
                <w:noProof/>
              </w:rPr>
              <w:t>1</w:t>
            </w:r>
            <w:r w:rsidR="00B511E2" w:rsidRPr="00AA5D63">
              <w:rPr>
                <w:rFonts w:cs="Times New Roman"/>
                <w:i w:val="0"/>
                <w:noProof/>
              </w:rPr>
              <w:fldChar w:fldCharType="end"/>
            </w:r>
            <w:bookmarkEnd w:id="9"/>
            <w:bookmarkEnd w:id="10"/>
            <w:r w:rsidRPr="00AA5D63">
              <w:rPr>
                <w:rFonts w:cs="Times New Roman"/>
                <w:i w:val="0"/>
                <w:noProof/>
              </w:rPr>
              <w:t>)</w:t>
            </w:r>
            <w:bookmarkEnd w:id="11"/>
          </w:p>
        </w:tc>
      </w:tr>
    </w:tbl>
    <w:p w14:paraId="2B63C8BF" w14:textId="323D47C8" w:rsidR="000A0CDC" w:rsidRPr="00E45FCB" w:rsidRDefault="003073F0" w:rsidP="00C807A3">
      <w:pPr>
        <w:spacing w:line="360" w:lineRule="auto"/>
        <w:rPr>
          <w:rFonts w:cs="Times New Roman"/>
          <w:b/>
        </w:rPr>
      </w:pPr>
      <w:r w:rsidRPr="00EF75A4">
        <w:rPr>
          <w:rFonts w:cs="Times New Roman"/>
        </w:rPr>
        <w:lastRenderedPageBreak/>
        <w:t>Th</w:t>
      </w:r>
      <w:r w:rsidR="00B90BB5" w:rsidRPr="00EF75A4">
        <w:rPr>
          <w:rFonts w:cs="Times New Roman"/>
        </w:rPr>
        <w:t>e theoretical content of</w:t>
      </w:r>
      <w:r w:rsidR="006B2E88">
        <w:rPr>
          <w:rFonts w:cs="Times New Roman"/>
        </w:rPr>
        <w:t xml:space="preserve"> WS</w:t>
      </w:r>
      <w:r w:rsidR="00B90BB5" w:rsidRPr="00EF75A4">
        <w:rPr>
          <w:rFonts w:cs="Times New Roman"/>
        </w:rPr>
        <w:t xml:space="preserve"> </w:t>
      </w:r>
      <w:r w:rsidR="00185B36" w:rsidRPr="00EF75A4">
        <w:rPr>
          <w:rFonts w:cs="Times New Roman"/>
        </w:rPr>
        <w:t>NH</w:t>
      </w:r>
      <w:r w:rsidR="00185B36" w:rsidRPr="00EF75A4">
        <w:rPr>
          <w:rFonts w:cs="Times New Roman"/>
          <w:vertAlign w:val="subscript"/>
        </w:rPr>
        <w:t>4</w:t>
      </w:r>
      <w:r w:rsidR="00185B36" w:rsidRPr="00EF75A4">
        <w:rPr>
          <w:rFonts w:cs="Times New Roman"/>
          <w:vertAlign w:val="superscript"/>
        </w:rPr>
        <w:t>+</w:t>
      </w:r>
      <w:r w:rsidR="007F0023">
        <w:rPr>
          <w:rFonts w:cs="Times New Roman"/>
        </w:rPr>
        <w:t xml:space="preserve"> &amp;</w:t>
      </w:r>
      <w:r w:rsidR="006B2E88">
        <w:rPr>
          <w:rFonts w:cs="Times New Roman"/>
        </w:rPr>
        <w:t xml:space="preserve"> WS</w:t>
      </w:r>
      <w:r w:rsidR="007F0023">
        <w:rPr>
          <w:rFonts w:cs="Times New Roman"/>
        </w:rPr>
        <w:t xml:space="preserve"> </w:t>
      </w:r>
      <w:r w:rsidR="00B90BB5" w:rsidRPr="00EF75A4">
        <w:rPr>
          <w:rFonts w:cs="Times New Roman"/>
        </w:rPr>
        <w:t>NH</w:t>
      </w:r>
      <w:r w:rsidR="0008426F" w:rsidRPr="00EF75A4">
        <w:rPr>
          <w:rFonts w:cs="Times New Roman"/>
          <w:vertAlign w:val="subscript"/>
        </w:rPr>
        <w:t>3</w:t>
      </w:r>
      <w:r w:rsidRPr="00EF75A4">
        <w:rPr>
          <w:rFonts w:cs="Times New Roman"/>
        </w:rPr>
        <w:t xml:space="preserve"> in the blend</w:t>
      </w:r>
      <w:r w:rsidR="00F23DD0">
        <w:rPr>
          <w:rFonts w:cs="Times New Roman"/>
        </w:rPr>
        <w:t>s</w:t>
      </w:r>
      <w:r w:rsidRPr="00EF75A4">
        <w:rPr>
          <w:rFonts w:cs="Times New Roman"/>
        </w:rPr>
        <w:t xml:space="preserve"> (</w:t>
      </w:r>
      <w:r w:rsidR="00CE1E2A" w:rsidRPr="001E3AF5">
        <w:rPr>
          <w:rFonts w:cs="Times New Roman"/>
        </w:rPr>
        <w:fldChar w:fldCharType="begin"/>
      </w:r>
      <w:r w:rsidR="00CE1E2A" w:rsidRPr="005C3EAB">
        <w:rPr>
          <w:rFonts w:cs="Times New Roman"/>
        </w:rPr>
        <w:instrText xml:space="preserve"> REF _Ref44759336 \h  \* MERGEFORMAT </w:instrText>
      </w:r>
      <w:r w:rsidR="00CE1E2A" w:rsidRPr="001E3AF5">
        <w:rPr>
          <w:rFonts w:cs="Times New Roman"/>
        </w:rPr>
      </w:r>
      <w:r w:rsidR="00CE1E2A" w:rsidRPr="001E3AF5">
        <w:rPr>
          <w:rFonts w:cs="Times New Roman"/>
        </w:rPr>
        <w:fldChar w:fldCharType="separate"/>
      </w:r>
      <w:r w:rsidR="00CE1E2A" w:rsidRPr="005C3EAB">
        <w:rPr>
          <w:rFonts w:cs="Times New Roman"/>
        </w:rPr>
        <w:t xml:space="preserve">Table </w:t>
      </w:r>
      <w:r w:rsidR="00CE1E2A" w:rsidRPr="005C3EAB">
        <w:rPr>
          <w:rFonts w:cs="Times New Roman"/>
          <w:noProof/>
        </w:rPr>
        <w:t>3</w:t>
      </w:r>
      <w:r w:rsidR="00CE1E2A" w:rsidRPr="001E3AF5">
        <w:rPr>
          <w:rFonts w:cs="Times New Roman"/>
        </w:rPr>
        <w:fldChar w:fldCharType="end"/>
      </w:r>
      <w:r w:rsidR="001A6C85" w:rsidRPr="00EF75A4">
        <w:rPr>
          <w:rFonts w:cs="Times New Roman"/>
          <w:color w:val="FF0000"/>
        </w:rPr>
        <w:fldChar w:fldCharType="begin"/>
      </w:r>
      <w:r w:rsidR="001A6C85" w:rsidRPr="00EF75A4">
        <w:rPr>
          <w:rFonts w:cs="Times New Roman"/>
        </w:rPr>
        <w:instrText xml:space="preserve"> REF _Ref13331821 \h </w:instrText>
      </w:r>
      <w:r w:rsidR="00F91F3C" w:rsidRPr="00EF75A4">
        <w:rPr>
          <w:rFonts w:cs="Times New Roman"/>
          <w:color w:val="FF0000"/>
        </w:rPr>
        <w:instrText xml:space="preserve"> \* MERGEFORMAT </w:instrText>
      </w:r>
      <w:r w:rsidR="001A6C85" w:rsidRPr="00EF75A4">
        <w:rPr>
          <w:rFonts w:cs="Times New Roman"/>
          <w:color w:val="FF0000"/>
        </w:rPr>
      </w:r>
      <w:r w:rsidR="001A6C85" w:rsidRPr="00EF75A4">
        <w:rPr>
          <w:rFonts w:cs="Times New Roman"/>
          <w:color w:val="FF0000"/>
        </w:rPr>
        <w:fldChar w:fldCharType="end"/>
      </w:r>
      <w:r w:rsidR="00097B48" w:rsidRPr="00EF75A4">
        <w:rPr>
          <w:rFonts w:cs="Times New Roman"/>
        </w:rPr>
        <w:t>) wa</w:t>
      </w:r>
      <w:r w:rsidRPr="00EF75A4">
        <w:rPr>
          <w:rFonts w:cs="Times New Roman"/>
        </w:rPr>
        <w:t>s higher than the content of</w:t>
      </w:r>
      <w:r w:rsidR="006B2E88">
        <w:rPr>
          <w:rFonts w:cs="Times New Roman"/>
        </w:rPr>
        <w:t xml:space="preserve"> WS</w:t>
      </w:r>
      <w:r w:rsidRPr="00EF75A4">
        <w:rPr>
          <w:rFonts w:cs="Times New Roman"/>
        </w:rPr>
        <w:t xml:space="preserve"> </w:t>
      </w:r>
      <w:r w:rsidR="00185B36" w:rsidRPr="00EF75A4">
        <w:rPr>
          <w:rFonts w:cs="Times New Roman"/>
        </w:rPr>
        <w:t>NH</w:t>
      </w:r>
      <w:r w:rsidR="00185B36" w:rsidRPr="00EF75A4">
        <w:rPr>
          <w:rFonts w:cs="Times New Roman"/>
          <w:vertAlign w:val="subscript"/>
        </w:rPr>
        <w:t>4</w:t>
      </w:r>
      <w:r w:rsidR="00185B36" w:rsidRPr="00EF75A4">
        <w:rPr>
          <w:rFonts w:cs="Times New Roman"/>
          <w:vertAlign w:val="superscript"/>
        </w:rPr>
        <w:t>+</w:t>
      </w:r>
      <w:r w:rsidR="007F0023">
        <w:rPr>
          <w:rFonts w:cs="Times New Roman"/>
        </w:rPr>
        <w:t xml:space="preserve"> &amp;</w:t>
      </w:r>
      <w:r w:rsidR="006B2E88">
        <w:rPr>
          <w:rFonts w:cs="Times New Roman"/>
        </w:rPr>
        <w:t xml:space="preserve"> WS</w:t>
      </w:r>
      <w:r w:rsidR="007F0023">
        <w:rPr>
          <w:rFonts w:cs="Times New Roman"/>
        </w:rPr>
        <w:t xml:space="preserve"> </w:t>
      </w:r>
      <w:r w:rsidR="00B90BB5" w:rsidRPr="00EF75A4">
        <w:rPr>
          <w:rFonts w:cs="Times New Roman"/>
        </w:rPr>
        <w:t>NH</w:t>
      </w:r>
      <w:r w:rsidR="00FE4AE8" w:rsidRPr="00EF75A4">
        <w:rPr>
          <w:rFonts w:cs="Times New Roman"/>
          <w:vertAlign w:val="subscript"/>
        </w:rPr>
        <w:t>3</w:t>
      </w:r>
      <w:r w:rsidRPr="00EF75A4">
        <w:rPr>
          <w:rFonts w:cs="Times New Roman"/>
        </w:rPr>
        <w:t xml:space="preserve"> measured at time zero</w:t>
      </w:r>
      <w:r w:rsidR="00ED2D2A" w:rsidRPr="00EF75A4">
        <w:rPr>
          <w:rFonts w:cs="Times New Roman"/>
        </w:rPr>
        <w:t xml:space="preserve"> (</w:t>
      </w:r>
      <w:r w:rsidR="00290F9C" w:rsidRPr="00F23DD0">
        <w:rPr>
          <w:rFonts w:cs="Times New Roman"/>
        </w:rPr>
        <w:fldChar w:fldCharType="begin"/>
      </w:r>
      <w:r w:rsidR="00290F9C" w:rsidRPr="00F23DD0">
        <w:rPr>
          <w:rFonts w:cs="Times New Roman"/>
        </w:rPr>
        <w:instrText xml:space="preserve"> REF _Ref27235160 \h </w:instrText>
      </w:r>
      <w:r w:rsidR="00F91F3C" w:rsidRPr="00F23DD0">
        <w:rPr>
          <w:rFonts w:cs="Times New Roman"/>
        </w:rPr>
        <w:instrText xml:space="preserve"> \* MERGEFORMAT </w:instrText>
      </w:r>
      <w:r w:rsidR="00290F9C" w:rsidRPr="00F23DD0">
        <w:rPr>
          <w:rFonts w:cs="Times New Roman"/>
        </w:rPr>
      </w:r>
      <w:r w:rsidR="00290F9C" w:rsidRPr="00F23DD0">
        <w:rPr>
          <w:rFonts w:cs="Times New Roman"/>
        </w:rPr>
        <w:fldChar w:fldCharType="separate"/>
      </w:r>
      <w:r w:rsidR="00E4647D" w:rsidRPr="00E4647D">
        <w:rPr>
          <w:rFonts w:cs="Times New Roman"/>
        </w:rPr>
        <w:t>Fig.</w:t>
      </w:r>
      <w:r w:rsidR="00E4647D" w:rsidRPr="00E4647D">
        <w:rPr>
          <w:rFonts w:cs="Times New Roman"/>
          <w:noProof/>
        </w:rPr>
        <w:t xml:space="preserve"> 3</w:t>
      </w:r>
      <w:r w:rsidR="00290F9C" w:rsidRPr="00F23DD0">
        <w:rPr>
          <w:rFonts w:cs="Times New Roman"/>
        </w:rPr>
        <w:fldChar w:fldCharType="end"/>
      </w:r>
      <w:r w:rsidR="00D7171C">
        <w:rPr>
          <w:rFonts w:cs="Times New Roman"/>
        </w:rPr>
        <w:t xml:space="preserve"> </w:t>
      </w:r>
      <w:r w:rsidR="00F23DD0" w:rsidRPr="00F23DD0">
        <w:rPr>
          <w:rFonts w:cs="Times New Roman"/>
        </w:rPr>
        <w:t>a</w:t>
      </w:r>
      <w:r w:rsidR="00ED2D2A" w:rsidRPr="00EF75A4">
        <w:rPr>
          <w:rFonts w:cs="Times New Roman"/>
        </w:rPr>
        <w:t>)</w:t>
      </w:r>
      <w:r w:rsidRPr="00EF75A4">
        <w:rPr>
          <w:rFonts w:cs="Times New Roman"/>
        </w:rPr>
        <w:t xml:space="preserve">. </w:t>
      </w:r>
      <w:r w:rsidR="00515538" w:rsidRPr="00EF75A4">
        <w:rPr>
          <w:rFonts w:cs="Times New Roman"/>
        </w:rPr>
        <w:t xml:space="preserve">Both blends have lost around 50% of the </w:t>
      </w:r>
      <w:r w:rsidR="009A7378" w:rsidRPr="00EF75A4">
        <w:rPr>
          <w:rFonts w:cs="Times New Roman"/>
        </w:rPr>
        <w:t xml:space="preserve">theoretical </w:t>
      </w:r>
      <w:r w:rsidR="00515538" w:rsidRPr="00EF75A4">
        <w:rPr>
          <w:rFonts w:cs="Times New Roman"/>
        </w:rPr>
        <w:t xml:space="preserve">content of </w:t>
      </w:r>
      <w:r w:rsidR="00F23DD0">
        <w:rPr>
          <w:rFonts w:cs="Times New Roman"/>
        </w:rPr>
        <w:t xml:space="preserve">WS </w:t>
      </w:r>
      <w:r w:rsidR="00515538" w:rsidRPr="00EF75A4">
        <w:rPr>
          <w:rFonts w:cs="Times New Roman"/>
        </w:rPr>
        <w:t>NH</w:t>
      </w:r>
      <w:r w:rsidR="00515538" w:rsidRPr="00EF75A4">
        <w:rPr>
          <w:rFonts w:cs="Times New Roman"/>
          <w:vertAlign w:val="subscript"/>
        </w:rPr>
        <w:t>4</w:t>
      </w:r>
      <w:r w:rsidR="00515538" w:rsidRPr="00EF75A4">
        <w:rPr>
          <w:rFonts w:cs="Times New Roman"/>
          <w:vertAlign w:val="superscript"/>
        </w:rPr>
        <w:t>+</w:t>
      </w:r>
      <w:r w:rsidR="007F0023">
        <w:rPr>
          <w:rFonts w:cs="Times New Roman"/>
        </w:rPr>
        <w:t xml:space="preserve"> &amp;</w:t>
      </w:r>
      <w:r w:rsidR="006B2E88">
        <w:rPr>
          <w:rFonts w:cs="Times New Roman"/>
        </w:rPr>
        <w:t xml:space="preserve"> WS</w:t>
      </w:r>
      <w:r w:rsidR="007F0023">
        <w:rPr>
          <w:rFonts w:cs="Times New Roman"/>
        </w:rPr>
        <w:t xml:space="preserve"> </w:t>
      </w:r>
      <w:r w:rsidR="00515538" w:rsidRPr="00EF75A4">
        <w:rPr>
          <w:rFonts w:cs="Times New Roman"/>
        </w:rPr>
        <w:t>NH</w:t>
      </w:r>
      <w:r w:rsidR="00515538" w:rsidRPr="00EF75A4">
        <w:rPr>
          <w:rFonts w:cs="Times New Roman"/>
          <w:vertAlign w:val="subscript"/>
        </w:rPr>
        <w:t>3</w:t>
      </w:r>
      <w:r w:rsidR="00515538" w:rsidRPr="00EF75A4">
        <w:rPr>
          <w:rFonts w:cs="Times New Roman"/>
        </w:rPr>
        <w:t xml:space="preserve"> at the time of blending the samples.</w:t>
      </w:r>
      <w:r w:rsidR="00384017" w:rsidRPr="00EF75A4">
        <w:rPr>
          <w:rFonts w:cs="Times New Roman"/>
        </w:rPr>
        <w:t xml:space="preserve"> </w:t>
      </w:r>
      <w:r w:rsidR="00004A49" w:rsidRPr="00EF75A4">
        <w:rPr>
          <w:rFonts w:cs="Times New Roman"/>
        </w:rPr>
        <w:t xml:space="preserve">It was considered that a minimum amount of </w:t>
      </w:r>
      <w:r w:rsidR="00CA1E20">
        <w:rPr>
          <w:rFonts w:cs="Times New Roman"/>
        </w:rPr>
        <w:t>nitrogen</w:t>
      </w:r>
      <w:r w:rsidR="00004A49" w:rsidRPr="00EF75A4">
        <w:rPr>
          <w:rFonts w:cs="Times New Roman"/>
        </w:rPr>
        <w:t xml:space="preserve"> was lost during the storage</w:t>
      </w:r>
      <w:r w:rsidR="004E0F0D">
        <w:rPr>
          <w:rFonts w:cs="Times New Roman"/>
        </w:rPr>
        <w:t xml:space="preserve"> of the digestates at (&lt; 4 </w:t>
      </w:r>
      <w:r w:rsidR="004E0F0D">
        <w:rPr>
          <w:rFonts w:ascii="Calibri" w:hAnsi="Calibri" w:cs="Calibri"/>
        </w:rPr>
        <w:t>º</w:t>
      </w:r>
      <w:r w:rsidR="004E0F0D">
        <w:rPr>
          <w:rFonts w:cs="Times New Roman"/>
        </w:rPr>
        <w:t>C)</w:t>
      </w:r>
      <w:r w:rsidR="00004A49" w:rsidRPr="00EF75A4">
        <w:rPr>
          <w:rFonts w:cs="Times New Roman"/>
        </w:rPr>
        <w:t>.</w:t>
      </w:r>
      <w:r w:rsidR="00820664">
        <w:rPr>
          <w:rFonts w:cs="Times New Roman"/>
        </w:rPr>
        <w:t xml:space="preserve"> </w:t>
      </w:r>
      <w:r w:rsidR="00820664" w:rsidRPr="00E45FCB">
        <w:rPr>
          <w:rFonts w:cs="Times New Roman"/>
          <w:b/>
        </w:rPr>
        <w:t xml:space="preserve">The optimum pH for the formation of indophenol </w:t>
      </w:r>
      <w:r w:rsidR="003D77AA" w:rsidRPr="00E45FCB">
        <w:rPr>
          <w:rFonts w:cs="Times New Roman"/>
          <w:b/>
        </w:rPr>
        <w:t>du</w:t>
      </w:r>
      <w:r w:rsidR="00820664" w:rsidRPr="00E45FCB">
        <w:rPr>
          <w:rFonts w:cs="Times New Roman"/>
          <w:b/>
        </w:rPr>
        <w:t>r</w:t>
      </w:r>
      <w:r w:rsidR="003D77AA" w:rsidRPr="00E45FCB">
        <w:rPr>
          <w:rFonts w:cs="Times New Roman"/>
          <w:b/>
        </w:rPr>
        <w:t>in</w:t>
      </w:r>
      <w:r w:rsidR="00820664" w:rsidRPr="00E45FCB">
        <w:rPr>
          <w:rFonts w:cs="Times New Roman"/>
          <w:b/>
        </w:rPr>
        <w:t xml:space="preserve">g the determination of the </w:t>
      </w:r>
      <w:r w:rsidR="00160465" w:rsidRPr="00E45FCB">
        <w:rPr>
          <w:rFonts w:cs="Times New Roman"/>
          <w:b/>
        </w:rPr>
        <w:t>NH</w:t>
      </w:r>
      <w:r w:rsidR="00145169">
        <w:rPr>
          <w:rFonts w:cs="Times New Roman"/>
          <w:b/>
          <w:vertAlign w:val="subscript"/>
        </w:rPr>
        <w:t>3 aq</w:t>
      </w:r>
      <w:r w:rsidR="00820664" w:rsidRPr="00E45FCB">
        <w:rPr>
          <w:rFonts w:cs="Times New Roman"/>
          <w:b/>
        </w:rPr>
        <w:t xml:space="preserve"> content in the blends via the salicylate method is 12 </w:t>
      </w:r>
      <w:r w:rsidR="00820664" w:rsidRPr="00E45FCB">
        <w:rPr>
          <w:rFonts w:cs="Times New Roman"/>
          <w:b/>
        </w:rPr>
        <w:fldChar w:fldCharType="begin" w:fldLock="1"/>
      </w:r>
      <w:r w:rsidR="00BB33F9">
        <w:rPr>
          <w:rFonts w:cs="Times New Roman"/>
          <w:b/>
        </w:rPr>
        <w:instrText>ADDIN CSL_CITATION {"citationItems":[{"id":"ITEM-1","itemData":{"DOI":"10.1016/0043-1354(78)90107-0","ISSN":"00431354","abstract":"An ammonia determination based on formation of a substituted indophenol with sodium salicylate as phenolic reagent has been developed and compared with other methods. Sensitivity and reproducibility are comparable with results obtained in a method where phenol was used, while a number of the disadvantages inherent to the use of phenol are avoided. The salicylate method is specific for NH3N and interferences are generally absent in samples from natural fresh waters. The method can be easily applied for seawater analysis. © 1978.","author":[{"dropping-particle":"","family":"Verdouw","given":"H.","non-dropping-particle":"","parse-names":false,"suffix":""},{"dropping-particle":"","family":"Echteld","given":"C. J.A.","non-dropping-particle":"Van","parse-names":false,"suffix":""},{"dropping-particle":"","family":"Dekkers","given":"E. M.J.","non-dropping-particle":"","parse-names":false,"suffix":""}],"container-title":"Water Research","id":"ITEM-1","issue":"6","issued":{"date-parts":[["1978"]]},"page":"399-402","title":"Ammonia determination based on indophenol formation with sodium salicylate","type":"article-journal","volume":"12"},"uris":["http://www.mendeley.com/documents/?uuid=d49ffbb4-8eba-476a-a15d-e991503e402a"]}],"mendeley":{"formattedCitation":"[50]","plainTextFormattedCitation":"[50]","previouslyFormattedCitation":"[50]"},"properties":{"noteIndex":0},"schema":"https://github.com/citation-style-language/schema/raw/master/csl-citation.json"}</w:instrText>
      </w:r>
      <w:r w:rsidR="00820664" w:rsidRPr="00E45FCB">
        <w:rPr>
          <w:rFonts w:cs="Times New Roman"/>
          <w:b/>
        </w:rPr>
        <w:fldChar w:fldCharType="separate"/>
      </w:r>
      <w:r w:rsidR="00D33723" w:rsidRPr="00D33723">
        <w:rPr>
          <w:rFonts w:cs="Times New Roman"/>
          <w:noProof/>
        </w:rPr>
        <w:t>[50]</w:t>
      </w:r>
      <w:r w:rsidR="00820664" w:rsidRPr="00E45FCB">
        <w:rPr>
          <w:rFonts w:cs="Times New Roman"/>
          <w:b/>
        </w:rPr>
        <w:fldChar w:fldCharType="end"/>
      </w:r>
      <w:r w:rsidR="00820664" w:rsidRPr="00E45FCB">
        <w:rPr>
          <w:rFonts w:cs="Times New Roman"/>
          <w:b/>
        </w:rPr>
        <w:t>.</w:t>
      </w:r>
      <w:r w:rsidR="004E0F0D" w:rsidRPr="00E45FCB">
        <w:rPr>
          <w:rFonts w:cs="Times New Roman"/>
          <w:b/>
        </w:rPr>
        <w:t xml:space="preserve"> </w:t>
      </w:r>
      <w:r w:rsidR="00CA1E20" w:rsidRPr="00E45FCB">
        <w:rPr>
          <w:rFonts w:cs="Times New Roman"/>
          <w:b/>
        </w:rPr>
        <w:t>This pH was meant to be achi</w:t>
      </w:r>
      <w:r w:rsidR="00E86669" w:rsidRPr="00E45FCB">
        <w:rPr>
          <w:rFonts w:cs="Times New Roman"/>
          <w:b/>
        </w:rPr>
        <w:t>e</w:t>
      </w:r>
      <w:r w:rsidR="00CA1E20" w:rsidRPr="00E45FCB">
        <w:rPr>
          <w:rFonts w:cs="Times New Roman"/>
          <w:b/>
        </w:rPr>
        <w:t xml:space="preserve">ved </w:t>
      </w:r>
      <w:r w:rsidR="00E86669" w:rsidRPr="00E45FCB">
        <w:rPr>
          <w:rFonts w:cs="Times New Roman"/>
          <w:b/>
        </w:rPr>
        <w:t>after the WS extract (S:E ratio 1:10) interact</w:t>
      </w:r>
      <w:r w:rsidR="002C24E4" w:rsidRPr="00E45FCB">
        <w:rPr>
          <w:rFonts w:cs="Times New Roman"/>
          <w:b/>
        </w:rPr>
        <w:t>ed</w:t>
      </w:r>
      <w:r w:rsidR="00E86669" w:rsidRPr="00E45FCB">
        <w:rPr>
          <w:rFonts w:cs="Times New Roman"/>
          <w:b/>
        </w:rPr>
        <w:t xml:space="preserve"> with the reagents for the development of the blue colour, </w:t>
      </w:r>
      <w:r w:rsidR="00CB1210" w:rsidRPr="00E45FCB">
        <w:rPr>
          <w:rFonts w:cs="Times New Roman"/>
          <w:b/>
        </w:rPr>
        <w:t>thus</w:t>
      </w:r>
      <w:r w:rsidR="00E86669" w:rsidRPr="00E45FCB">
        <w:rPr>
          <w:rFonts w:cs="Times New Roman"/>
          <w:b/>
        </w:rPr>
        <w:t xml:space="preserve"> the initial pH of the samples affected the determination</w:t>
      </w:r>
      <w:r w:rsidR="002C24E4" w:rsidRPr="00E45FCB">
        <w:rPr>
          <w:rFonts w:cs="Times New Roman"/>
          <w:b/>
        </w:rPr>
        <w:t>.</w:t>
      </w:r>
      <w:r w:rsidR="00E86669" w:rsidRPr="00E45FCB">
        <w:rPr>
          <w:rFonts w:cs="Times New Roman"/>
          <w:b/>
        </w:rPr>
        <w:t xml:space="preserve"> Moreover, i</w:t>
      </w:r>
      <w:r w:rsidR="004E0F0D" w:rsidRPr="00E45FCB">
        <w:rPr>
          <w:rFonts w:cs="Times New Roman"/>
          <w:b/>
        </w:rPr>
        <w:t xml:space="preserve">t is worth to mention that low molecular weight ammines could react similarly to </w:t>
      </w:r>
      <w:r w:rsidR="00160465" w:rsidRPr="00E45FCB">
        <w:rPr>
          <w:rFonts w:cs="Times New Roman"/>
          <w:b/>
        </w:rPr>
        <w:t>NH</w:t>
      </w:r>
      <w:r w:rsidR="00145169">
        <w:rPr>
          <w:rFonts w:cs="Times New Roman"/>
          <w:b/>
          <w:vertAlign w:val="subscript"/>
        </w:rPr>
        <w:t>3 aq</w:t>
      </w:r>
      <w:r w:rsidR="004E0F0D" w:rsidRPr="00E45FCB">
        <w:rPr>
          <w:rFonts w:cs="Times New Roman"/>
          <w:b/>
        </w:rPr>
        <w:t>, resulting in an overestimation of the concentration of WS NH</w:t>
      </w:r>
      <w:r w:rsidR="004E0F0D" w:rsidRPr="00E45FCB">
        <w:rPr>
          <w:rFonts w:cs="Times New Roman"/>
          <w:b/>
          <w:vertAlign w:val="subscript"/>
        </w:rPr>
        <w:t>4</w:t>
      </w:r>
      <w:r w:rsidR="004E0F0D" w:rsidRPr="00E45FCB">
        <w:rPr>
          <w:rFonts w:cs="Times New Roman"/>
          <w:b/>
          <w:vertAlign w:val="superscript"/>
        </w:rPr>
        <w:t>+</w:t>
      </w:r>
      <w:r w:rsidR="004E0F0D" w:rsidRPr="00E45FCB">
        <w:rPr>
          <w:rFonts w:cs="Times New Roman"/>
          <w:b/>
        </w:rPr>
        <w:t xml:space="preserve"> &amp; WS NH</w:t>
      </w:r>
      <w:r w:rsidR="004E0F0D" w:rsidRPr="00E45FCB">
        <w:rPr>
          <w:rFonts w:cs="Times New Roman"/>
          <w:b/>
          <w:vertAlign w:val="subscript"/>
        </w:rPr>
        <w:t>3</w:t>
      </w:r>
      <w:r w:rsidR="001E3AF5" w:rsidRPr="00E45FCB">
        <w:rPr>
          <w:rFonts w:cs="Times New Roman"/>
          <w:b/>
        </w:rPr>
        <w:t xml:space="preserve"> </w:t>
      </w:r>
      <w:r w:rsidR="001E3AF5" w:rsidRPr="00E45FCB">
        <w:rPr>
          <w:rFonts w:cs="Times New Roman"/>
          <w:b/>
        </w:rPr>
        <w:fldChar w:fldCharType="begin" w:fldLock="1"/>
      </w:r>
      <w:r w:rsidR="00523707">
        <w:rPr>
          <w:rFonts w:cs="Times New Roman"/>
          <w:b/>
        </w:rPr>
        <w:instrText>ADDIN CSL_CITATION {"citationItems":[{"id":"ITEM-1","itemData":{"author":[{"dropping-particle":"","family":"SEAL Analytical","given":"","non-dropping-particle":"","parse-names":false,"suffix":""}],"container-title":"Instructions manual","id":"ITEM-1","issued":{"date-parts":[["2012"]]},"page":"1-10","title":"AutoAnalyzer Method no. G-102-93 Rev. 8","type":"chapter"},"uris":["http://www.mendeley.com/documents/?uuid=bdcb0929-721c-4b51-8aca-0453a1fc74df"]}],"mendeley":{"formattedCitation":"[51]","plainTextFormattedCitation":"[51]","previouslyFormattedCitation":"[51]"},"properties":{"noteIndex":0},"schema":"https://github.com/citation-style-language/schema/raw/master/csl-citation.json"}</w:instrText>
      </w:r>
      <w:r w:rsidR="001E3AF5" w:rsidRPr="00E45FCB">
        <w:rPr>
          <w:rFonts w:cs="Times New Roman"/>
          <w:b/>
        </w:rPr>
        <w:fldChar w:fldCharType="separate"/>
      </w:r>
      <w:r w:rsidR="00D33723" w:rsidRPr="00D33723">
        <w:rPr>
          <w:rFonts w:cs="Times New Roman"/>
          <w:noProof/>
        </w:rPr>
        <w:t>[51]</w:t>
      </w:r>
      <w:r w:rsidR="001E3AF5" w:rsidRPr="00E45FCB">
        <w:rPr>
          <w:rFonts w:cs="Times New Roman"/>
          <w:b/>
        </w:rPr>
        <w:fldChar w:fldCharType="end"/>
      </w:r>
      <w:r w:rsidR="001E3AF5" w:rsidRPr="00E45FCB">
        <w:rPr>
          <w:rFonts w:cs="Times New Roman"/>
          <w:b/>
        </w:rPr>
        <w:t>.</w:t>
      </w:r>
    </w:p>
    <w:p w14:paraId="4E2F969D" w14:textId="3B05A725" w:rsidR="001938AB" w:rsidRPr="00EF75A4" w:rsidRDefault="00E607E1" w:rsidP="00C807A3">
      <w:pPr>
        <w:spacing w:line="360" w:lineRule="auto"/>
        <w:rPr>
          <w:rFonts w:cs="Times New Roman"/>
        </w:rPr>
      </w:pPr>
      <w:r w:rsidRPr="00EF75A4">
        <w:rPr>
          <w:rFonts w:cs="Times New Roman"/>
        </w:rPr>
        <w:t xml:space="preserve">Méndez et al. </w:t>
      </w:r>
      <w:r w:rsidR="00E576CA" w:rsidRPr="00EF75A4">
        <w:rPr>
          <w:rFonts w:cs="Times New Roman"/>
        </w:rPr>
        <w:fldChar w:fldCharType="begin" w:fldLock="1"/>
      </w:r>
      <w:r w:rsidR="00BB33F9">
        <w:rPr>
          <w:rFonts w:cs="Times New Roman"/>
        </w:rPr>
        <w:instrText>ADDIN CSL_CITATION {"citationItems":[{"id":"ITEM-1","itemData":{"DOI":"10.2166/wst.2002.0312","ISSN":"02731223","PMID":"12479463","abstract":"In Mexico, physicochemical sludge contains high levels of pathogens; and alkaline stabilization is an alternative for their control. However, the odours caused mainly by ammonia generation represent a disadvantage. On the other hand, the ammonia is known as an effective disinfectant. The aim of this study was to evaluate the disinfectant properties of ammonia in sludge, and use it in a closed alkaline stabilization system, which, not only copes with odours but also increases the efficiency of the process. Raw sludge from a municipal wastewater treatment plant using a physicochemical process was used. Ammonia was applied in doses from 10 to 50% w/w; also, doses from 5 to 40% of CaO were applied in open and closed systems and raw and treated sludge quality was evaluated. Results showed that ammonia removed 6 and 5 logs of faecal coliforms and Salmonella spp., respectively and up to 94% of viable helminth ova. The closed system was more efficient than the open system when applying doses from 5 to 20% of CaO. Finally, the results indicate that the ammonia represents an alternative to disinfecting wastewater sludge and it can be used to enhance alkaline stabilization processes.","author":[{"dropping-particle":"","family":"Méndez","given":"J. M.","non-dropping-particle":"","parse-names":false,"suffix":""},{"dropping-particle":"","family":"Jiménez","given":"B. E.","non-dropping-particle":"","parse-names":false,"suffix":""},{"dropping-particle":"","family":"Barrios","given":"J. A.","non-dropping-particle":"","parse-names":false,"suffix":""}],"container-title":"Water Science and Technology","id":"ITEM-1","issue":"10","issued":{"date-parts":[["2002"]]},"page":"139-146","title":"Improved alkaline stabilization of municipal wastewater sludge","type":"article-journal","volume":"46"},"uris":["http://www.mendeley.com/documents/?uuid=0825ffdb-8790-40d1-a46c-ae76dbb9ce5c"]}],"mendeley":{"formattedCitation":"[52]","plainTextFormattedCitation":"[52]","previouslyFormattedCitation":"[52]"},"properties":{"noteIndex":0},"schema":"https://github.com/citation-style-language/schema/raw/master/csl-citation.json"}</w:instrText>
      </w:r>
      <w:r w:rsidR="00E576CA" w:rsidRPr="00EF75A4">
        <w:rPr>
          <w:rFonts w:cs="Times New Roman"/>
        </w:rPr>
        <w:fldChar w:fldCharType="separate"/>
      </w:r>
      <w:r w:rsidR="00D33723" w:rsidRPr="00D33723">
        <w:rPr>
          <w:rFonts w:cs="Times New Roman"/>
          <w:noProof/>
        </w:rPr>
        <w:t>[52]</w:t>
      </w:r>
      <w:r w:rsidR="00E576CA" w:rsidRPr="00EF75A4">
        <w:rPr>
          <w:rFonts w:cs="Times New Roman"/>
        </w:rPr>
        <w:fldChar w:fldCharType="end"/>
      </w:r>
      <w:r w:rsidRPr="00EF75A4">
        <w:rPr>
          <w:rFonts w:cs="Times New Roman"/>
        </w:rPr>
        <w:t xml:space="preserve"> reported a </w:t>
      </w:r>
      <w:r w:rsidR="000876F7">
        <w:rPr>
          <w:rFonts w:cs="Times New Roman"/>
        </w:rPr>
        <w:t>4.99</w:t>
      </w:r>
      <w:r w:rsidRPr="00EF75A4">
        <w:rPr>
          <w:rFonts w:cs="Times New Roman"/>
        </w:rPr>
        <w:t xml:space="preserve">% loss of </w:t>
      </w:r>
      <w:r w:rsidR="00F50C65">
        <w:rPr>
          <w:rFonts w:cs="Times New Roman"/>
        </w:rPr>
        <w:t>NH</w:t>
      </w:r>
      <w:r w:rsidR="00F50C65" w:rsidRPr="001A4474">
        <w:rPr>
          <w:rFonts w:cs="Times New Roman"/>
          <w:vertAlign w:val="subscript"/>
        </w:rPr>
        <w:t>4</w:t>
      </w:r>
      <w:r w:rsidR="00F50C65" w:rsidRPr="001A4474">
        <w:rPr>
          <w:rFonts w:cs="Times New Roman"/>
          <w:vertAlign w:val="superscript"/>
        </w:rPr>
        <w:t>+</w:t>
      </w:r>
      <w:r w:rsidR="005F5309">
        <w:rPr>
          <w:rFonts w:cs="Times New Roman"/>
        </w:rPr>
        <w:t>-N</w:t>
      </w:r>
      <w:r w:rsidRPr="00EF75A4">
        <w:rPr>
          <w:rFonts w:cs="Times New Roman"/>
        </w:rPr>
        <w:t xml:space="preserve"> when adding </w:t>
      </w:r>
      <w:r w:rsidR="00835B61">
        <w:rPr>
          <w:rFonts w:cs="Times New Roman"/>
        </w:rPr>
        <w:t>6</w:t>
      </w:r>
      <w:r w:rsidRPr="00EF75A4">
        <w:rPr>
          <w:rFonts w:cs="Times New Roman"/>
        </w:rPr>
        <w:t>00 g of quicklime (81.5% CaO) to 2 kg municipal wastewater sludge after 2 hours of incubation at</w:t>
      </w:r>
      <w:r w:rsidR="00515538" w:rsidRPr="00EF75A4">
        <w:rPr>
          <w:rFonts w:cs="Times New Roman"/>
        </w:rPr>
        <w:t xml:space="preserve"> 300 rpm and</w:t>
      </w:r>
      <w:r w:rsidRPr="00EF75A4">
        <w:rPr>
          <w:rFonts w:cs="Times New Roman"/>
        </w:rPr>
        <w:t xml:space="preserve"> 20 ºC in a </w:t>
      </w:r>
      <w:r w:rsidR="00AC3337">
        <w:rPr>
          <w:rFonts w:cs="Times New Roman"/>
        </w:rPr>
        <w:t>open</w:t>
      </w:r>
      <w:r w:rsidR="00AC3337" w:rsidRPr="00EF75A4">
        <w:rPr>
          <w:rFonts w:cs="Times New Roman"/>
        </w:rPr>
        <w:t xml:space="preserve"> </w:t>
      </w:r>
      <w:r w:rsidRPr="00EF75A4">
        <w:rPr>
          <w:rFonts w:cs="Times New Roman"/>
        </w:rPr>
        <w:t>system.</w:t>
      </w:r>
      <w:r w:rsidR="00AC3337">
        <w:rPr>
          <w:rFonts w:cs="Times New Roman"/>
        </w:rPr>
        <w:t xml:space="preserve"> </w:t>
      </w:r>
      <w:r w:rsidR="00E45FCB">
        <w:rPr>
          <w:rFonts w:cs="Times New Roman"/>
          <w:b/>
        </w:rPr>
        <w:t>They did not provide information on</w:t>
      </w:r>
      <w:r w:rsidR="00AC3337" w:rsidRPr="00E45FCB">
        <w:rPr>
          <w:rFonts w:cs="Times New Roman"/>
          <w:b/>
        </w:rPr>
        <w:t xml:space="preserve"> how the measurement was peform</w:t>
      </w:r>
      <w:r w:rsidR="00E45FCB">
        <w:rPr>
          <w:rFonts w:cs="Times New Roman"/>
          <w:b/>
        </w:rPr>
        <w:t>ed</w:t>
      </w:r>
      <w:r w:rsidR="00F50C65" w:rsidRPr="00E45FCB">
        <w:rPr>
          <w:rFonts w:cs="Times New Roman"/>
          <w:b/>
        </w:rPr>
        <w:t>, which would be required to understand how much of the of the NH</w:t>
      </w:r>
      <w:r w:rsidR="00F50C65" w:rsidRPr="00E45FCB">
        <w:rPr>
          <w:rFonts w:cs="Times New Roman"/>
          <w:b/>
          <w:vertAlign w:val="subscript"/>
        </w:rPr>
        <w:t>4</w:t>
      </w:r>
      <w:r w:rsidR="00F50C65" w:rsidRPr="00E45FCB">
        <w:rPr>
          <w:rFonts w:cs="Times New Roman"/>
          <w:b/>
          <w:vertAlign w:val="superscript"/>
        </w:rPr>
        <w:t>+</w:t>
      </w:r>
      <w:r w:rsidR="005F5309" w:rsidRPr="00E45FCB">
        <w:rPr>
          <w:rFonts w:cs="Times New Roman"/>
          <w:b/>
        </w:rPr>
        <w:t>-N</w:t>
      </w:r>
      <w:r w:rsidR="00F50C65" w:rsidRPr="00E45FCB">
        <w:rPr>
          <w:rFonts w:cs="Times New Roman"/>
          <w:b/>
        </w:rPr>
        <w:t xml:space="preserve"> was adsorbed and why there were </w:t>
      </w:r>
      <w:r w:rsidR="00835B61" w:rsidRPr="00E45FCB">
        <w:rPr>
          <w:rFonts w:cs="Times New Roman"/>
          <w:b/>
        </w:rPr>
        <w:t>no losses</w:t>
      </w:r>
      <w:r w:rsidR="00F50C65" w:rsidRPr="00E45FCB">
        <w:rPr>
          <w:rFonts w:cs="Times New Roman"/>
          <w:b/>
        </w:rPr>
        <w:t xml:space="preserve"> in the closed system</w:t>
      </w:r>
      <w:r w:rsidR="00835B61" w:rsidRPr="00E45FCB">
        <w:rPr>
          <w:rFonts w:cs="Times New Roman"/>
          <w:b/>
        </w:rPr>
        <w:t>s</w:t>
      </w:r>
      <w:r w:rsidR="00F50C65" w:rsidRPr="00E45FCB">
        <w:rPr>
          <w:rFonts w:cs="Times New Roman"/>
          <w:b/>
        </w:rPr>
        <w:t>.</w:t>
      </w:r>
      <w:r w:rsidRPr="00EF75A4">
        <w:rPr>
          <w:rFonts w:cs="Times New Roman"/>
        </w:rPr>
        <w:t xml:space="preserve"> </w:t>
      </w:r>
      <w:r w:rsidR="00F02F85" w:rsidRPr="00EF75A4">
        <w:rPr>
          <w:rFonts w:cs="Times New Roman"/>
        </w:rPr>
        <w:t xml:space="preserve">Although the size of their system was 1000 times bigger than </w:t>
      </w:r>
      <w:r w:rsidR="00F23DD0">
        <w:rPr>
          <w:rFonts w:cs="Times New Roman"/>
        </w:rPr>
        <w:t>the</w:t>
      </w:r>
      <w:r w:rsidR="00827B47">
        <w:rPr>
          <w:rFonts w:cs="Times New Roman"/>
        </w:rPr>
        <w:t xml:space="preserve"> 3-gram</w:t>
      </w:r>
      <w:r w:rsidR="00F02F85" w:rsidRPr="00EF75A4">
        <w:rPr>
          <w:rFonts w:cs="Times New Roman"/>
        </w:rPr>
        <w:t xml:space="preserve"> </w:t>
      </w:r>
      <w:r w:rsidR="00200C57" w:rsidRPr="00EF75A4">
        <w:rPr>
          <w:rFonts w:cs="Times New Roman"/>
        </w:rPr>
        <w:t>blend</w:t>
      </w:r>
      <w:r w:rsidR="00F23DD0">
        <w:rPr>
          <w:rFonts w:cs="Times New Roman"/>
        </w:rPr>
        <w:t xml:space="preserve">s </w:t>
      </w:r>
      <w:r w:rsidR="00827B47">
        <w:rPr>
          <w:rFonts w:cs="Times New Roman"/>
        </w:rPr>
        <w:t xml:space="preserve">of </w:t>
      </w:r>
      <w:r w:rsidR="00DA4FA7">
        <w:rPr>
          <w:rFonts w:cs="Times New Roman"/>
        </w:rPr>
        <w:t>the present</w:t>
      </w:r>
      <w:r w:rsidR="00827B47">
        <w:rPr>
          <w:rFonts w:cs="Times New Roman"/>
        </w:rPr>
        <w:t xml:space="preserve"> study</w:t>
      </w:r>
      <w:r w:rsidR="00F02F85" w:rsidRPr="00EF75A4">
        <w:rPr>
          <w:rFonts w:cs="Times New Roman"/>
        </w:rPr>
        <w:t>, the con</w:t>
      </w:r>
      <w:r w:rsidR="00F02F85" w:rsidRPr="00713E31">
        <w:rPr>
          <w:rFonts w:cs="Times New Roman"/>
        </w:rPr>
        <w:t xml:space="preserve">centration of </w:t>
      </w:r>
      <w:r w:rsidR="006B2E88" w:rsidRPr="00713E31">
        <w:rPr>
          <w:rFonts w:cs="Times New Roman"/>
        </w:rPr>
        <w:t xml:space="preserve">WS </w:t>
      </w:r>
      <w:r w:rsidR="004614C6" w:rsidRPr="00713E31">
        <w:rPr>
          <w:rFonts w:cs="Times New Roman"/>
        </w:rPr>
        <w:t>NH</w:t>
      </w:r>
      <w:r w:rsidR="004614C6" w:rsidRPr="00713E31">
        <w:rPr>
          <w:rFonts w:cs="Times New Roman"/>
          <w:vertAlign w:val="subscript"/>
        </w:rPr>
        <w:t>4</w:t>
      </w:r>
      <w:r w:rsidR="004614C6" w:rsidRPr="00713E31">
        <w:rPr>
          <w:rFonts w:cs="Times New Roman"/>
          <w:vertAlign w:val="superscript"/>
        </w:rPr>
        <w:t>+</w:t>
      </w:r>
      <w:r w:rsidR="007F0023" w:rsidRPr="00713E31">
        <w:rPr>
          <w:rFonts w:cs="Times New Roman"/>
        </w:rPr>
        <w:t xml:space="preserve"> &amp;</w:t>
      </w:r>
      <w:r w:rsidR="006B2E88" w:rsidRPr="00713E31">
        <w:rPr>
          <w:rFonts w:cs="Times New Roman"/>
        </w:rPr>
        <w:t xml:space="preserve"> WS</w:t>
      </w:r>
      <w:r w:rsidR="007F0023" w:rsidRPr="00713E31">
        <w:rPr>
          <w:rFonts w:cs="Times New Roman"/>
        </w:rPr>
        <w:t xml:space="preserve"> </w:t>
      </w:r>
      <w:r w:rsidR="004614C6" w:rsidRPr="00713E31">
        <w:rPr>
          <w:rFonts w:cs="Times New Roman"/>
        </w:rPr>
        <w:t>NH</w:t>
      </w:r>
      <w:r w:rsidR="004614C6" w:rsidRPr="00713E31">
        <w:rPr>
          <w:rFonts w:cs="Times New Roman"/>
          <w:vertAlign w:val="subscript"/>
        </w:rPr>
        <w:t>3</w:t>
      </w:r>
      <w:r w:rsidR="004614C6" w:rsidRPr="00713E31">
        <w:rPr>
          <w:rFonts w:cs="Times New Roman"/>
        </w:rPr>
        <w:t xml:space="preserve"> in thei</w:t>
      </w:r>
      <w:r w:rsidR="00F02F85" w:rsidRPr="00713E31">
        <w:rPr>
          <w:rFonts w:cs="Times New Roman"/>
        </w:rPr>
        <w:t>r</w:t>
      </w:r>
      <w:r w:rsidR="004614C6" w:rsidRPr="00713E31">
        <w:rPr>
          <w:rFonts w:cs="Times New Roman"/>
        </w:rPr>
        <w:t xml:space="preserve"> wastewater sludge was 1000 times lower</w:t>
      </w:r>
      <w:r w:rsidR="00E05D10" w:rsidRPr="00713E31">
        <w:rPr>
          <w:rFonts w:cs="Times New Roman"/>
        </w:rPr>
        <w:t xml:space="preserve"> (i.e. 0.</w:t>
      </w:r>
      <w:r w:rsidR="003C1D1D" w:rsidRPr="00713E31">
        <w:rPr>
          <w:rFonts w:cs="Times New Roman"/>
        </w:rPr>
        <w:t xml:space="preserve">120 </w:t>
      </w:r>
      <w:r w:rsidR="00E05D10" w:rsidRPr="00713E31">
        <w:rPr>
          <w:rFonts w:cs="Times New Roman"/>
        </w:rPr>
        <w:t>mg NH</w:t>
      </w:r>
      <w:r w:rsidR="003C1D1D" w:rsidRPr="00713E31">
        <w:rPr>
          <w:rFonts w:cs="Times New Roman"/>
          <w:vertAlign w:val="subscript"/>
        </w:rPr>
        <w:t>4</w:t>
      </w:r>
      <w:r w:rsidR="003C1D1D" w:rsidRPr="00713E31">
        <w:rPr>
          <w:rFonts w:cs="Times New Roman"/>
          <w:vertAlign w:val="superscript"/>
        </w:rPr>
        <w:t>+</w:t>
      </w:r>
      <w:r w:rsidR="003C1D1D" w:rsidRPr="00713E31">
        <w:rPr>
          <w:rFonts w:cs="Times New Roman"/>
        </w:rPr>
        <w:t>-N</w:t>
      </w:r>
      <w:r w:rsidR="00E05D10" w:rsidRPr="00713E31">
        <w:rPr>
          <w:rFonts w:cs="Times New Roman"/>
        </w:rPr>
        <w:t>/kg sludge)</w:t>
      </w:r>
      <w:r w:rsidR="00835B61" w:rsidRPr="00713E31">
        <w:rPr>
          <w:rFonts w:cs="Times New Roman"/>
        </w:rPr>
        <w:t xml:space="preserve"> </w:t>
      </w:r>
      <w:r w:rsidR="003C1D1D" w:rsidRPr="00713E31">
        <w:rPr>
          <w:rFonts w:cs="Times New Roman"/>
        </w:rPr>
        <w:t xml:space="preserve">than </w:t>
      </w:r>
      <w:r w:rsidR="00835B61" w:rsidRPr="00713E31">
        <w:rPr>
          <w:rFonts w:cs="Times New Roman"/>
        </w:rPr>
        <w:t xml:space="preserve">the ones of the blends in </w:t>
      </w:r>
      <w:r w:rsidR="00DA4FA7" w:rsidRPr="00713E31">
        <w:rPr>
          <w:rFonts w:cs="Times New Roman"/>
        </w:rPr>
        <w:t>this</w:t>
      </w:r>
      <w:r w:rsidR="004A29F7" w:rsidRPr="00713E31">
        <w:rPr>
          <w:rFonts w:cs="Times New Roman"/>
        </w:rPr>
        <w:t xml:space="preserve"> </w:t>
      </w:r>
      <w:r w:rsidR="00DA4FA7" w:rsidRPr="00713E31">
        <w:rPr>
          <w:rFonts w:cs="Times New Roman"/>
        </w:rPr>
        <w:t>work</w:t>
      </w:r>
      <w:r w:rsidR="00835B61" w:rsidRPr="00713E31">
        <w:rPr>
          <w:rFonts w:cs="Times New Roman"/>
        </w:rPr>
        <w:t xml:space="preserve"> (</w:t>
      </w:r>
      <w:r w:rsidR="00835B61" w:rsidRPr="00713E31">
        <w:rPr>
          <w:rFonts w:cs="Times New Roman"/>
        </w:rPr>
        <w:fldChar w:fldCharType="begin"/>
      </w:r>
      <w:r w:rsidR="00835B61" w:rsidRPr="00713E31">
        <w:rPr>
          <w:rFonts w:cs="Times New Roman"/>
        </w:rPr>
        <w:instrText xml:space="preserve"> REF _Ref44759336 \h  \* MERGEFORMAT </w:instrText>
      </w:r>
      <w:r w:rsidR="00835B61" w:rsidRPr="00713E31">
        <w:rPr>
          <w:rFonts w:cs="Times New Roman"/>
        </w:rPr>
      </w:r>
      <w:r w:rsidR="00835B61" w:rsidRPr="00713E31">
        <w:rPr>
          <w:rFonts w:cs="Times New Roman"/>
        </w:rPr>
        <w:fldChar w:fldCharType="separate"/>
      </w:r>
      <w:r w:rsidR="00835B61" w:rsidRPr="00713E31">
        <w:rPr>
          <w:rFonts w:cs="Times New Roman"/>
        </w:rPr>
        <w:t xml:space="preserve">Table </w:t>
      </w:r>
      <w:r w:rsidR="00835B61" w:rsidRPr="00713E31">
        <w:rPr>
          <w:rFonts w:cs="Times New Roman"/>
          <w:noProof/>
        </w:rPr>
        <w:t>3</w:t>
      </w:r>
      <w:r w:rsidR="00835B61" w:rsidRPr="00713E31">
        <w:rPr>
          <w:rFonts w:cs="Times New Roman"/>
        </w:rPr>
        <w:fldChar w:fldCharType="end"/>
      </w:r>
      <w:r w:rsidR="00835B61" w:rsidRPr="00713E31">
        <w:rPr>
          <w:rFonts w:cs="Times New Roman"/>
        </w:rPr>
        <w:t>)</w:t>
      </w:r>
      <w:r w:rsidR="004614C6" w:rsidRPr="00713E31">
        <w:rPr>
          <w:rFonts w:cs="Times New Roman"/>
        </w:rPr>
        <w:t>.</w:t>
      </w:r>
      <w:r w:rsidR="000A0CDC" w:rsidRPr="00713E31">
        <w:rPr>
          <w:rFonts w:cs="Times New Roman"/>
        </w:rPr>
        <w:t xml:space="preserve"> </w:t>
      </w:r>
      <w:r w:rsidR="003A24E5" w:rsidRPr="00713E31">
        <w:rPr>
          <w:rFonts w:cs="Times New Roman"/>
        </w:rPr>
        <w:t xml:space="preserve">Whelan et al. </w:t>
      </w:r>
      <w:r w:rsidR="003A24E5" w:rsidRPr="00713E31">
        <w:rPr>
          <w:rFonts w:cs="Times New Roman"/>
        </w:rPr>
        <w:fldChar w:fldCharType="begin" w:fldLock="1"/>
      </w:r>
      <w:r w:rsidR="00BB33F9">
        <w:rPr>
          <w:rFonts w:cs="Times New Roman"/>
        </w:rPr>
        <w:instrText>ADDIN CSL_CITATION {"citationItems":[{"id":"ITEM-1","itemData":{"DOI":"10.1016/j.wasman.2009.08.012","ISBN":"0956-053X","ISSN":"0956053X","PMID":"19781929","abstract":"Anaerobic digestion (AD) is becoming increasingly popular for treating organic waste. The methane produced can be burned to generate electricity and the digestate, which is high in mineral nitrogen, can be used as a fertiliser. In this paper we evaluate potential losses of ammonia via volatilisation from food waste anaerobic digestate using a closed chamber system equipped with a sulphuric acid trap. Ammonia losses represent a pollution source and, over long periods could reduce the agronomic value of the digestate. Observed ammonia losses from the experimental system were linear with time. A simple non-steady-state partitioning model was developed to represent the process. After calibration, the model was able to describe the behaviour of ammonia in the digestate and in the trap very well. The average rate of volatilisation was approximately 5.2gNm-2week-1. The model was used to extrapolate the findings of the laboratory study to a number of AD storage scenarios. The simulations highlight that open storage of digestate could result in significant losses of ammonia to the atmosphere. Losses are predicted to be relatively minor from covered facilities, particularly if depth to surface area ratio is high. ?? 2009 Elsevier Ltd.","author":[{"dropping-particle":"","family":"Whelan","given":"M. J.","non-dropping-particle":"","parse-names":false,"suffix":""},{"dropping-particle":"","family":"Everitt","given":"T.","non-dropping-particle":"","parse-names":false,"suffix":""},{"dropping-particle":"","family":"Villa","given":"R.","non-dropping-particle":"","parse-names":false,"suffix":""}],"container-title":"Waste Management","id":"ITEM-1","issue":"10","issued":{"date-parts":[["2010"]]},"page":"1808-1812","publisher":"Elsevier Ltd","title":"A mass transfer model of ammonia volatilisation from anaerobic digestate","type":"article-journal","volume":"30"},"uris":["http://www.mendeley.com/documents/?uuid=4c33747e-e572-4761-a5b4-aef68bc06313"]}],"mendeley":{"formattedCitation":"[37]","plainTextFormattedCitation":"[37]","previouslyFormattedCitation":"[37]"},"properties":{"noteIndex":0},"schema":"https://github.com/citation-style-language/schema/raw/master/csl-citation.json"}</w:instrText>
      </w:r>
      <w:r w:rsidR="003A24E5" w:rsidRPr="00713E31">
        <w:rPr>
          <w:rFonts w:cs="Times New Roman"/>
        </w:rPr>
        <w:fldChar w:fldCharType="separate"/>
      </w:r>
      <w:r w:rsidR="00D33723" w:rsidRPr="00D33723">
        <w:rPr>
          <w:rFonts w:cs="Times New Roman"/>
          <w:noProof/>
        </w:rPr>
        <w:t>[37]</w:t>
      </w:r>
      <w:r w:rsidR="003A24E5" w:rsidRPr="00713E31">
        <w:rPr>
          <w:rFonts w:cs="Times New Roman"/>
        </w:rPr>
        <w:fldChar w:fldCharType="end"/>
      </w:r>
      <w:r w:rsidR="003A24E5" w:rsidRPr="00713E31">
        <w:rPr>
          <w:rFonts w:cs="Times New Roman"/>
        </w:rPr>
        <w:t xml:space="preserve"> reported a loss of 1925 mg </w:t>
      </w:r>
      <w:r w:rsidR="006B2E88" w:rsidRPr="00713E31">
        <w:rPr>
          <w:rFonts w:cs="Times New Roman"/>
        </w:rPr>
        <w:t xml:space="preserve">WS </w:t>
      </w:r>
      <w:r w:rsidR="003A24E5" w:rsidRPr="00713E31">
        <w:rPr>
          <w:rFonts w:cs="Times New Roman"/>
        </w:rPr>
        <w:t>NH</w:t>
      </w:r>
      <w:r w:rsidR="003A24E5" w:rsidRPr="00713E31">
        <w:rPr>
          <w:rFonts w:cs="Times New Roman"/>
          <w:vertAlign w:val="subscript"/>
        </w:rPr>
        <w:t>4</w:t>
      </w:r>
      <w:r w:rsidR="003A24E5" w:rsidRPr="00713E31">
        <w:rPr>
          <w:rFonts w:cs="Times New Roman"/>
          <w:vertAlign w:val="superscript"/>
        </w:rPr>
        <w:t>+</w:t>
      </w:r>
      <w:r w:rsidR="007F0023" w:rsidRPr="00713E31">
        <w:rPr>
          <w:rFonts w:cs="Times New Roman"/>
        </w:rPr>
        <w:t xml:space="preserve"> &amp;</w:t>
      </w:r>
      <w:r w:rsidR="006B2E88" w:rsidRPr="00713E31">
        <w:rPr>
          <w:rFonts w:cs="Times New Roman"/>
        </w:rPr>
        <w:t xml:space="preserve"> WS</w:t>
      </w:r>
      <w:r w:rsidR="007F0023" w:rsidRPr="00713E31">
        <w:rPr>
          <w:rFonts w:cs="Times New Roman"/>
        </w:rPr>
        <w:t xml:space="preserve"> </w:t>
      </w:r>
      <w:r w:rsidR="003A24E5" w:rsidRPr="00713E31">
        <w:rPr>
          <w:rFonts w:cs="Times New Roman"/>
        </w:rPr>
        <w:t>NH</w:t>
      </w:r>
      <w:r w:rsidR="003A24E5" w:rsidRPr="00713E31">
        <w:rPr>
          <w:rFonts w:cs="Times New Roman"/>
          <w:vertAlign w:val="subscript"/>
        </w:rPr>
        <w:t>3</w:t>
      </w:r>
      <w:r w:rsidR="00AD4AE9" w:rsidRPr="00713E31">
        <w:rPr>
          <w:rFonts w:cs="Times New Roman"/>
        </w:rPr>
        <w:t xml:space="preserve"> in 120 g</w:t>
      </w:r>
      <w:r w:rsidR="003A24E5" w:rsidRPr="00713E31">
        <w:rPr>
          <w:rFonts w:cs="Times New Roman"/>
        </w:rPr>
        <w:t xml:space="preserve"> of digestate (mixture of ruminant slurry and food waste) during </w:t>
      </w:r>
      <w:r w:rsidR="006D4745" w:rsidRPr="00713E31">
        <w:rPr>
          <w:rFonts w:cs="Times New Roman"/>
        </w:rPr>
        <w:t xml:space="preserve">three </w:t>
      </w:r>
      <w:r w:rsidR="003A24E5" w:rsidRPr="00713E31">
        <w:rPr>
          <w:rFonts w:cs="Times New Roman"/>
        </w:rPr>
        <w:t xml:space="preserve">weeks of incubation at 25 </w:t>
      </w:r>
      <w:r w:rsidR="000928F4" w:rsidRPr="00713E31">
        <w:rPr>
          <w:rFonts w:cs="Times New Roman"/>
        </w:rPr>
        <w:t>º</w:t>
      </w:r>
      <w:r w:rsidR="003A24E5" w:rsidRPr="00713E31">
        <w:rPr>
          <w:rFonts w:cs="Times New Roman"/>
        </w:rPr>
        <w:t xml:space="preserve">C. The initial </w:t>
      </w:r>
      <w:r w:rsidR="006B2E88" w:rsidRPr="00713E31">
        <w:rPr>
          <w:rFonts w:cs="Times New Roman"/>
        </w:rPr>
        <w:t xml:space="preserve">WS </w:t>
      </w:r>
      <w:r w:rsidR="003A24E5" w:rsidRPr="00713E31">
        <w:rPr>
          <w:rFonts w:cs="Times New Roman"/>
        </w:rPr>
        <w:t>NH</w:t>
      </w:r>
      <w:r w:rsidR="003A24E5" w:rsidRPr="00713E31">
        <w:rPr>
          <w:rFonts w:cs="Times New Roman"/>
          <w:vertAlign w:val="subscript"/>
        </w:rPr>
        <w:t>4</w:t>
      </w:r>
      <w:r w:rsidR="003A24E5" w:rsidRPr="00713E31">
        <w:rPr>
          <w:rFonts w:cs="Times New Roman"/>
          <w:vertAlign w:val="superscript"/>
        </w:rPr>
        <w:t>+</w:t>
      </w:r>
      <w:r w:rsidR="007F0023" w:rsidRPr="00713E31">
        <w:rPr>
          <w:rFonts w:cs="Times New Roman"/>
        </w:rPr>
        <w:t xml:space="preserve"> &amp; </w:t>
      </w:r>
      <w:r w:rsidR="006B2E88" w:rsidRPr="00713E31">
        <w:rPr>
          <w:rFonts w:cs="Times New Roman"/>
        </w:rPr>
        <w:t xml:space="preserve">WS </w:t>
      </w:r>
      <w:r w:rsidR="003A24E5" w:rsidRPr="00713E31">
        <w:rPr>
          <w:rFonts w:cs="Times New Roman"/>
        </w:rPr>
        <w:t>NH</w:t>
      </w:r>
      <w:r w:rsidR="003A24E5" w:rsidRPr="00713E31">
        <w:rPr>
          <w:rFonts w:cs="Times New Roman"/>
          <w:vertAlign w:val="subscript"/>
        </w:rPr>
        <w:t>3</w:t>
      </w:r>
      <w:r w:rsidR="003A24E5" w:rsidRPr="00713E31">
        <w:rPr>
          <w:rFonts w:cs="Times New Roman"/>
        </w:rPr>
        <w:t xml:space="preserve"> content was 7</w:t>
      </w:r>
      <w:r w:rsidR="00200C57" w:rsidRPr="00713E31">
        <w:rPr>
          <w:rFonts w:cs="Times New Roman"/>
        </w:rPr>
        <w:t>425 mg/kg digest</w:t>
      </w:r>
      <w:r w:rsidR="00CA4360" w:rsidRPr="00713E31">
        <w:rPr>
          <w:rFonts w:cs="Times New Roman"/>
        </w:rPr>
        <w:t>ate and t</w:t>
      </w:r>
      <w:r w:rsidR="00200C57" w:rsidRPr="00713E31">
        <w:rPr>
          <w:rFonts w:cs="Times New Roman"/>
        </w:rPr>
        <w:t>he enhancement in the release of NH</w:t>
      </w:r>
      <w:r w:rsidR="00200C57" w:rsidRPr="00713E31">
        <w:rPr>
          <w:rFonts w:cs="Times New Roman"/>
          <w:vertAlign w:val="subscript"/>
        </w:rPr>
        <w:t>3</w:t>
      </w:r>
      <w:r w:rsidR="003A24E5" w:rsidRPr="00713E31">
        <w:rPr>
          <w:rFonts w:cs="Times New Roman"/>
        </w:rPr>
        <w:t xml:space="preserve"> </w:t>
      </w:r>
      <w:r w:rsidR="00200C57" w:rsidRPr="00713E31">
        <w:rPr>
          <w:rFonts w:cs="Times New Roman"/>
        </w:rPr>
        <w:t xml:space="preserve">was given by a </w:t>
      </w:r>
      <w:r w:rsidR="003A24E5" w:rsidRPr="00713E31">
        <w:rPr>
          <w:rFonts w:cs="Times New Roman"/>
        </w:rPr>
        <w:t>10 mL 1</w:t>
      </w:r>
      <w:r w:rsidR="00BC3BC7" w:rsidRPr="00713E31">
        <w:rPr>
          <w:rFonts w:cs="Times New Roman"/>
        </w:rPr>
        <w:t xml:space="preserve"> </w:t>
      </w:r>
      <w:r w:rsidR="003A24E5" w:rsidRPr="00713E31">
        <w:rPr>
          <w:rFonts w:cs="Times New Roman"/>
        </w:rPr>
        <w:t>M H</w:t>
      </w:r>
      <w:r w:rsidR="003A24E5" w:rsidRPr="00713E31">
        <w:rPr>
          <w:rFonts w:cs="Times New Roman"/>
          <w:vertAlign w:val="subscript"/>
        </w:rPr>
        <w:t>2</w:t>
      </w:r>
      <w:r w:rsidR="003A24E5" w:rsidRPr="00713E31">
        <w:rPr>
          <w:rFonts w:cs="Times New Roman"/>
        </w:rPr>
        <w:t>SO</w:t>
      </w:r>
      <w:r w:rsidR="003A24E5" w:rsidRPr="00713E31">
        <w:rPr>
          <w:rFonts w:cs="Times New Roman"/>
          <w:vertAlign w:val="subscript"/>
        </w:rPr>
        <w:t>4</w:t>
      </w:r>
      <w:r w:rsidR="003A24E5" w:rsidRPr="00713E31">
        <w:rPr>
          <w:rFonts w:cs="Times New Roman"/>
        </w:rPr>
        <w:t xml:space="preserve"> trap </w:t>
      </w:r>
      <w:r w:rsidR="00200C57" w:rsidRPr="00713E31">
        <w:rPr>
          <w:rFonts w:cs="Times New Roman"/>
        </w:rPr>
        <w:t xml:space="preserve">placed </w:t>
      </w:r>
      <w:r w:rsidR="003A24E5" w:rsidRPr="00713E31">
        <w:rPr>
          <w:rFonts w:cs="Times New Roman"/>
        </w:rPr>
        <w:t>in the 1 L headspace of the kilner jar for trapping the NH</w:t>
      </w:r>
      <w:r w:rsidR="003A24E5" w:rsidRPr="00713E31">
        <w:rPr>
          <w:rFonts w:cs="Times New Roman"/>
          <w:vertAlign w:val="subscript"/>
        </w:rPr>
        <w:t>3</w:t>
      </w:r>
      <w:r w:rsidR="003A24E5" w:rsidRPr="00713E31">
        <w:rPr>
          <w:rFonts w:cs="Times New Roman"/>
        </w:rPr>
        <w:t xml:space="preserve"> gas. </w:t>
      </w:r>
      <w:r w:rsidR="0064452C" w:rsidRPr="00713E31">
        <w:rPr>
          <w:rFonts w:cs="Times New Roman"/>
        </w:rPr>
        <w:t>T</w:t>
      </w:r>
      <w:r w:rsidR="003A24E5" w:rsidRPr="00713E31">
        <w:rPr>
          <w:rFonts w:cs="Times New Roman"/>
        </w:rPr>
        <w:t>he</w:t>
      </w:r>
      <w:r w:rsidR="0064452C" w:rsidRPr="00713E31">
        <w:rPr>
          <w:rFonts w:cs="Times New Roman"/>
        </w:rPr>
        <w:t xml:space="preserve"> </w:t>
      </w:r>
      <w:r w:rsidR="00BC3BC7" w:rsidRPr="00713E31">
        <w:rPr>
          <w:rFonts w:cs="Times New Roman"/>
        </w:rPr>
        <w:t>amount</w:t>
      </w:r>
      <w:r w:rsidR="0064452C" w:rsidRPr="00713E31">
        <w:rPr>
          <w:rFonts w:cs="Times New Roman"/>
        </w:rPr>
        <w:t xml:space="preserve"> of</w:t>
      </w:r>
      <w:r w:rsidR="003A24E5" w:rsidRPr="00713E31">
        <w:rPr>
          <w:rFonts w:cs="Times New Roman"/>
        </w:rPr>
        <w:t xml:space="preserve"> NH</w:t>
      </w:r>
      <w:r w:rsidR="003A24E5" w:rsidRPr="00713E31">
        <w:rPr>
          <w:rFonts w:cs="Times New Roman"/>
          <w:vertAlign w:val="subscript"/>
        </w:rPr>
        <w:t>3</w:t>
      </w:r>
      <w:r w:rsidR="00E14F16">
        <w:rPr>
          <w:rFonts w:cs="Times New Roman"/>
          <w:vertAlign w:val="subscript"/>
        </w:rPr>
        <w:t xml:space="preserve"> aq</w:t>
      </w:r>
      <w:r w:rsidR="003A24E5" w:rsidRPr="00713E31">
        <w:rPr>
          <w:rFonts w:cs="Times New Roman"/>
        </w:rPr>
        <w:t xml:space="preserve"> </w:t>
      </w:r>
      <w:r w:rsidR="00B62C32" w:rsidRPr="00713E31">
        <w:rPr>
          <w:rFonts w:cs="Times New Roman"/>
        </w:rPr>
        <w:t>volatiliz</w:t>
      </w:r>
      <w:r w:rsidR="00BC3BC7" w:rsidRPr="00713E31">
        <w:rPr>
          <w:rFonts w:cs="Times New Roman"/>
        </w:rPr>
        <w:t>ed</w:t>
      </w:r>
      <w:r w:rsidR="0064452C" w:rsidRPr="00713E31">
        <w:rPr>
          <w:rFonts w:cs="Times New Roman"/>
        </w:rPr>
        <w:t xml:space="preserve"> in their system with</w:t>
      </w:r>
      <w:r w:rsidR="000B6C85" w:rsidRPr="00713E31">
        <w:rPr>
          <w:rFonts w:cs="Times New Roman"/>
        </w:rPr>
        <w:t xml:space="preserve"> the</w:t>
      </w:r>
      <w:r w:rsidR="003A24E5" w:rsidRPr="00713E31">
        <w:rPr>
          <w:rFonts w:cs="Times New Roman"/>
        </w:rPr>
        <w:t xml:space="preserve"> H</w:t>
      </w:r>
      <w:r w:rsidR="003A24E5" w:rsidRPr="00713E31">
        <w:rPr>
          <w:rFonts w:cs="Times New Roman"/>
          <w:vertAlign w:val="subscript"/>
        </w:rPr>
        <w:t>2</w:t>
      </w:r>
      <w:r w:rsidR="003A24E5" w:rsidRPr="00713E31">
        <w:rPr>
          <w:rFonts w:cs="Times New Roman"/>
        </w:rPr>
        <w:t>SO</w:t>
      </w:r>
      <w:r w:rsidR="003A24E5" w:rsidRPr="00713E31">
        <w:rPr>
          <w:rFonts w:cs="Times New Roman"/>
          <w:vertAlign w:val="subscript"/>
        </w:rPr>
        <w:t>4</w:t>
      </w:r>
      <w:r w:rsidR="003A24E5" w:rsidRPr="00713E31">
        <w:rPr>
          <w:rFonts w:cs="Times New Roman"/>
        </w:rPr>
        <w:t xml:space="preserve"> trap</w:t>
      </w:r>
      <w:r w:rsidR="0091649E" w:rsidRPr="00713E31">
        <w:rPr>
          <w:rFonts w:cs="Times New Roman"/>
        </w:rPr>
        <w:t xml:space="preserve"> for more than 3 weeks</w:t>
      </w:r>
      <w:r w:rsidR="000928F4" w:rsidRPr="00713E31">
        <w:rPr>
          <w:rFonts w:cs="Times New Roman"/>
        </w:rPr>
        <w:t xml:space="preserve">, </w:t>
      </w:r>
      <w:r w:rsidR="00BC3BC7" w:rsidRPr="00713E31">
        <w:rPr>
          <w:rFonts w:cs="Times New Roman"/>
        </w:rPr>
        <w:t xml:space="preserve">was </w:t>
      </w:r>
      <w:r w:rsidR="0064452C" w:rsidRPr="00713E31">
        <w:rPr>
          <w:rFonts w:cs="Times New Roman"/>
        </w:rPr>
        <w:t>similar to the loss of NH</w:t>
      </w:r>
      <w:r w:rsidR="0064452C" w:rsidRPr="00713E31">
        <w:rPr>
          <w:rFonts w:cs="Times New Roman"/>
          <w:vertAlign w:val="subscript"/>
        </w:rPr>
        <w:t>3</w:t>
      </w:r>
      <w:r w:rsidR="00E14F16">
        <w:rPr>
          <w:rFonts w:cs="Times New Roman"/>
          <w:vertAlign w:val="subscript"/>
        </w:rPr>
        <w:t xml:space="preserve"> aq</w:t>
      </w:r>
      <w:r w:rsidR="001D1DF9" w:rsidRPr="00713E31">
        <w:rPr>
          <w:rFonts w:cs="Times New Roman"/>
        </w:rPr>
        <w:t xml:space="preserve"> in the blend 1 </w:t>
      </w:r>
      <w:r w:rsidR="0064452C" w:rsidRPr="00713E31">
        <w:rPr>
          <w:rFonts w:cs="Times New Roman"/>
        </w:rPr>
        <w:t>at time zero</w:t>
      </w:r>
      <w:r w:rsidR="00BC3BC7" w:rsidRPr="00713E31">
        <w:rPr>
          <w:rFonts w:cs="Times New Roman"/>
        </w:rPr>
        <w:t>(2348 mg NH</w:t>
      </w:r>
      <w:r w:rsidR="00BC3BC7" w:rsidRPr="00713E31">
        <w:rPr>
          <w:rFonts w:cs="Times New Roman"/>
          <w:vertAlign w:val="subscript"/>
        </w:rPr>
        <w:t>3</w:t>
      </w:r>
      <w:r w:rsidR="00E64FD0">
        <w:rPr>
          <w:rFonts w:cs="Times New Roman"/>
          <w:vertAlign w:val="subscript"/>
        </w:rPr>
        <w:t xml:space="preserve"> </w:t>
      </w:r>
      <w:proofErr w:type="spellStart"/>
      <w:r w:rsidR="00E64FD0">
        <w:rPr>
          <w:rFonts w:cs="Times New Roman"/>
          <w:vertAlign w:val="subscript"/>
        </w:rPr>
        <w:t>aq</w:t>
      </w:r>
      <w:proofErr w:type="spellEnd"/>
      <w:r w:rsidR="00BC3BC7" w:rsidRPr="00713E31">
        <w:rPr>
          <w:rFonts w:cs="Times New Roman"/>
        </w:rPr>
        <w:t xml:space="preserve">/kg blend; </w:t>
      </w:r>
      <w:r w:rsidR="00BC3BC7" w:rsidRPr="00713E31">
        <w:rPr>
          <w:rFonts w:cs="Times New Roman"/>
        </w:rPr>
        <w:fldChar w:fldCharType="begin"/>
      </w:r>
      <w:r w:rsidR="00BC3BC7" w:rsidRPr="00713E31">
        <w:rPr>
          <w:rFonts w:cs="Times New Roman"/>
        </w:rPr>
        <w:instrText xml:space="preserve"> REF _Ref37535458 \h  \* MERGEFORMAT </w:instrText>
      </w:r>
      <w:r w:rsidR="00BC3BC7" w:rsidRPr="00713E31">
        <w:rPr>
          <w:rFonts w:cs="Times New Roman"/>
        </w:rPr>
      </w:r>
      <w:r w:rsidR="00BC3BC7" w:rsidRPr="00713E31">
        <w:rPr>
          <w:rFonts w:cs="Times New Roman"/>
        </w:rPr>
        <w:fldChar w:fldCharType="separate"/>
      </w:r>
      <w:r w:rsidR="00BC3BC7" w:rsidRPr="00713E31">
        <w:t xml:space="preserve">Fig. </w:t>
      </w:r>
      <w:r w:rsidR="00BC3BC7" w:rsidRPr="00713E31">
        <w:rPr>
          <w:noProof/>
        </w:rPr>
        <w:t>5</w:t>
      </w:r>
      <w:r w:rsidR="00BC3BC7" w:rsidRPr="00713E31">
        <w:rPr>
          <w:rFonts w:cs="Times New Roman"/>
        </w:rPr>
        <w:fldChar w:fldCharType="end"/>
      </w:r>
      <w:r w:rsidR="00D7171C" w:rsidRPr="00713E31">
        <w:rPr>
          <w:rFonts w:cs="Times New Roman"/>
        </w:rPr>
        <w:t xml:space="preserve"> </w:t>
      </w:r>
      <w:r w:rsidR="00BC3BC7" w:rsidRPr="00713E31">
        <w:rPr>
          <w:rFonts w:cs="Times New Roman"/>
        </w:rPr>
        <w:t>a)</w:t>
      </w:r>
      <w:r w:rsidR="0064452C" w:rsidRPr="00713E31">
        <w:rPr>
          <w:rFonts w:cs="Times New Roman"/>
        </w:rPr>
        <w:t>. On the other hand,</w:t>
      </w:r>
      <w:r w:rsidR="000B6C85" w:rsidRPr="00713E31">
        <w:rPr>
          <w:rFonts w:cs="Times New Roman"/>
        </w:rPr>
        <w:t xml:space="preserve"> </w:t>
      </w:r>
      <w:r w:rsidR="009046CA" w:rsidRPr="00713E31">
        <w:rPr>
          <w:rFonts w:cs="Times New Roman"/>
        </w:rPr>
        <w:t>in this work</w:t>
      </w:r>
      <w:r w:rsidR="000B6C85" w:rsidRPr="00713E31">
        <w:rPr>
          <w:rFonts w:cs="Times New Roman"/>
        </w:rPr>
        <w:t xml:space="preserve"> their model</w:t>
      </w:r>
      <w:r w:rsidR="009046CA" w:rsidRPr="00713E31">
        <w:rPr>
          <w:rFonts w:cs="Times New Roman"/>
        </w:rPr>
        <w:t xml:space="preserve"> has been used</w:t>
      </w:r>
      <w:r w:rsidR="000B6C85" w:rsidRPr="00713E31">
        <w:rPr>
          <w:rFonts w:cs="Times New Roman"/>
        </w:rPr>
        <w:t xml:space="preserve"> to </w:t>
      </w:r>
      <w:r w:rsidR="000F6057" w:rsidRPr="00713E31">
        <w:rPr>
          <w:rFonts w:cs="Times New Roman"/>
        </w:rPr>
        <w:t>predict</w:t>
      </w:r>
      <w:r w:rsidR="00A352EC" w:rsidRPr="00713E31">
        <w:rPr>
          <w:rFonts w:cs="Times New Roman"/>
        </w:rPr>
        <w:t xml:space="preserve"> that</w:t>
      </w:r>
      <w:r w:rsidR="000F6057" w:rsidRPr="00713E31">
        <w:rPr>
          <w:rFonts w:cs="Times New Roman"/>
        </w:rPr>
        <w:t xml:space="preserve"> </w:t>
      </w:r>
      <w:r w:rsidR="0091649E" w:rsidRPr="00713E31">
        <w:rPr>
          <w:rFonts w:cs="Times New Roman"/>
        </w:rPr>
        <w:t>~6</w:t>
      </w:r>
      <w:r w:rsidR="000F6057" w:rsidRPr="00713E31">
        <w:rPr>
          <w:rFonts w:cs="Times New Roman"/>
        </w:rPr>
        <w:t>% of</w:t>
      </w:r>
      <w:r w:rsidR="0064452C" w:rsidRPr="00713E31">
        <w:rPr>
          <w:rFonts w:cs="Times New Roman"/>
        </w:rPr>
        <w:t xml:space="preserve"> the </w:t>
      </w:r>
      <w:r w:rsidR="000A0CDC" w:rsidRPr="00713E31">
        <w:rPr>
          <w:rFonts w:cs="Times New Roman"/>
        </w:rPr>
        <w:t xml:space="preserve">initial </w:t>
      </w:r>
      <w:r w:rsidR="006B2E88" w:rsidRPr="00713E31">
        <w:rPr>
          <w:rFonts w:cs="Times New Roman"/>
        </w:rPr>
        <w:t xml:space="preserve">WS </w:t>
      </w:r>
      <w:r w:rsidR="007F12D6" w:rsidRPr="00713E31">
        <w:rPr>
          <w:rFonts w:cs="Times New Roman"/>
        </w:rPr>
        <w:t>NH</w:t>
      </w:r>
      <w:r w:rsidR="007F12D6" w:rsidRPr="00713E31">
        <w:rPr>
          <w:rFonts w:cs="Times New Roman"/>
          <w:vertAlign w:val="subscript"/>
        </w:rPr>
        <w:t>4</w:t>
      </w:r>
      <w:r w:rsidR="007F12D6" w:rsidRPr="00713E31">
        <w:rPr>
          <w:rFonts w:cs="Times New Roman"/>
          <w:vertAlign w:val="superscript"/>
        </w:rPr>
        <w:t>+</w:t>
      </w:r>
      <w:r w:rsidR="007F0023" w:rsidRPr="00713E31">
        <w:rPr>
          <w:rFonts w:cs="Times New Roman"/>
        </w:rPr>
        <w:t xml:space="preserve"> &amp;</w:t>
      </w:r>
      <w:r w:rsidR="006B2E88" w:rsidRPr="00713E31">
        <w:rPr>
          <w:rFonts w:cs="Times New Roman"/>
        </w:rPr>
        <w:t xml:space="preserve"> WS</w:t>
      </w:r>
      <w:r w:rsidR="007F0023" w:rsidRPr="00713E31">
        <w:rPr>
          <w:rFonts w:cs="Times New Roman"/>
        </w:rPr>
        <w:t xml:space="preserve"> </w:t>
      </w:r>
      <w:r w:rsidR="007F12D6" w:rsidRPr="00713E31">
        <w:rPr>
          <w:rFonts w:cs="Times New Roman"/>
        </w:rPr>
        <w:t>NH</w:t>
      </w:r>
      <w:r w:rsidR="007F12D6" w:rsidRPr="00713E31">
        <w:rPr>
          <w:rFonts w:cs="Times New Roman"/>
          <w:vertAlign w:val="subscript"/>
        </w:rPr>
        <w:t>3</w:t>
      </w:r>
      <w:r w:rsidR="00200C57" w:rsidRPr="00713E31">
        <w:rPr>
          <w:rFonts w:cs="Times New Roman"/>
        </w:rPr>
        <w:t xml:space="preserve"> </w:t>
      </w:r>
      <w:r w:rsidR="007F12D6" w:rsidRPr="00713E31">
        <w:rPr>
          <w:rFonts w:cs="Times New Roman"/>
        </w:rPr>
        <w:t xml:space="preserve">would be </w:t>
      </w:r>
      <w:r w:rsidR="000F6057" w:rsidRPr="00713E31">
        <w:rPr>
          <w:rFonts w:cs="Times New Roman"/>
        </w:rPr>
        <w:t>los</w:t>
      </w:r>
      <w:r w:rsidR="001562F7" w:rsidRPr="00713E31">
        <w:rPr>
          <w:rFonts w:cs="Times New Roman"/>
        </w:rPr>
        <w:t>t</w:t>
      </w:r>
      <w:r w:rsidR="000F6057" w:rsidRPr="00713E31">
        <w:rPr>
          <w:rFonts w:cs="Times New Roman"/>
        </w:rPr>
        <w:t xml:space="preserve"> at the time of blending. It </w:t>
      </w:r>
      <w:r w:rsidR="00DA4FA7" w:rsidRPr="00713E31">
        <w:rPr>
          <w:rFonts w:cs="Times New Roman"/>
        </w:rPr>
        <w:t>is important to mention</w:t>
      </w:r>
      <w:r w:rsidR="000F6057" w:rsidRPr="00713E31">
        <w:rPr>
          <w:rFonts w:cs="Times New Roman"/>
        </w:rPr>
        <w:t xml:space="preserve"> that mass transfer coefficients </w:t>
      </w:r>
      <w:r w:rsidR="003E63C1" w:rsidRPr="00713E31">
        <w:rPr>
          <w:rFonts w:cs="Times New Roman"/>
        </w:rPr>
        <w:t>of</w:t>
      </w:r>
      <w:r w:rsidR="000F6057" w:rsidRPr="00713E31">
        <w:rPr>
          <w:rFonts w:cs="Times New Roman"/>
        </w:rPr>
        <w:t xml:space="preserve"> environmental models were employed for </w:t>
      </w:r>
      <w:r w:rsidR="00DA4FA7" w:rsidRPr="00713E31">
        <w:rPr>
          <w:rFonts w:cs="Times New Roman"/>
        </w:rPr>
        <w:t>this</w:t>
      </w:r>
      <w:r w:rsidR="000F6057" w:rsidRPr="00713E31">
        <w:rPr>
          <w:rFonts w:cs="Times New Roman"/>
        </w:rPr>
        <w:t xml:space="preserve"> calculation. It </w:t>
      </w:r>
      <w:r w:rsidR="00890E70" w:rsidRPr="00713E31">
        <w:rPr>
          <w:rFonts w:cs="Times New Roman"/>
        </w:rPr>
        <w:t>wa</w:t>
      </w:r>
      <w:r w:rsidR="000F6057" w:rsidRPr="00713E31">
        <w:rPr>
          <w:rFonts w:cs="Times New Roman"/>
        </w:rPr>
        <w:t xml:space="preserve">s considered that the conditions of turbulence would be a </w:t>
      </w:r>
      <w:r w:rsidR="00890E70" w:rsidRPr="00713E31">
        <w:rPr>
          <w:rFonts w:cs="Times New Roman"/>
        </w:rPr>
        <w:t>more similar approach to represent the enhancement of NH</w:t>
      </w:r>
      <w:r w:rsidR="00890E70" w:rsidRPr="00713E31">
        <w:rPr>
          <w:rFonts w:cs="Times New Roman"/>
          <w:vertAlign w:val="subscript"/>
        </w:rPr>
        <w:t>3</w:t>
      </w:r>
      <w:r w:rsidR="00E64FD0">
        <w:rPr>
          <w:rFonts w:cs="Times New Roman"/>
          <w:vertAlign w:val="subscript"/>
        </w:rPr>
        <w:t xml:space="preserve"> aq</w:t>
      </w:r>
      <w:r w:rsidR="00162D28" w:rsidRPr="00713E31">
        <w:rPr>
          <w:rFonts w:cs="Times New Roman"/>
        </w:rPr>
        <w:t xml:space="preserve"> volatiliz</w:t>
      </w:r>
      <w:r w:rsidR="00890E70" w:rsidRPr="00713E31">
        <w:rPr>
          <w:rFonts w:cs="Times New Roman"/>
        </w:rPr>
        <w:t xml:space="preserve">ation </w:t>
      </w:r>
      <w:r w:rsidR="000B6C85" w:rsidRPr="00713E31">
        <w:rPr>
          <w:rFonts w:cs="Times New Roman"/>
        </w:rPr>
        <w:t>given</w:t>
      </w:r>
      <w:r w:rsidR="00890E70" w:rsidRPr="00713E31">
        <w:rPr>
          <w:rFonts w:cs="Times New Roman"/>
        </w:rPr>
        <w:t xml:space="preserve"> by the addition of the ashes to the digestates.</w:t>
      </w:r>
      <w:r w:rsidR="000A0CDC" w:rsidRPr="00713E31">
        <w:rPr>
          <w:rFonts w:cs="Times New Roman"/>
        </w:rPr>
        <w:t xml:space="preserve"> </w:t>
      </w:r>
      <w:r w:rsidR="00200C57" w:rsidRPr="00713E31">
        <w:rPr>
          <w:rFonts w:cs="Times New Roman"/>
        </w:rPr>
        <w:t>T</w:t>
      </w:r>
      <w:r w:rsidR="007F12D6" w:rsidRPr="00713E31">
        <w:rPr>
          <w:rFonts w:cs="Times New Roman"/>
        </w:rPr>
        <w:t>he NH</w:t>
      </w:r>
      <w:r w:rsidR="007F12D6" w:rsidRPr="00713E31">
        <w:rPr>
          <w:rFonts w:cs="Times New Roman"/>
          <w:vertAlign w:val="subscript"/>
        </w:rPr>
        <w:t>3</w:t>
      </w:r>
      <w:r w:rsidR="00E64FD0">
        <w:rPr>
          <w:rFonts w:cs="Times New Roman"/>
          <w:vertAlign w:val="subscript"/>
        </w:rPr>
        <w:t xml:space="preserve"> aq</w:t>
      </w:r>
      <w:r w:rsidR="007F12D6" w:rsidRPr="00713E31">
        <w:rPr>
          <w:rFonts w:cs="Times New Roman"/>
        </w:rPr>
        <w:t xml:space="preserve"> vola</w:t>
      </w:r>
      <w:r w:rsidR="00162D28" w:rsidRPr="00713E31">
        <w:rPr>
          <w:rFonts w:cs="Times New Roman"/>
        </w:rPr>
        <w:t>tiliz</w:t>
      </w:r>
      <w:r w:rsidR="007F12D6" w:rsidRPr="00713E31">
        <w:rPr>
          <w:rFonts w:cs="Times New Roman"/>
        </w:rPr>
        <w:t>ation was</w:t>
      </w:r>
      <w:r w:rsidR="00200C57" w:rsidRPr="00713E31">
        <w:rPr>
          <w:rFonts w:cs="Times New Roman"/>
        </w:rPr>
        <w:t xml:space="preserve"> also</w:t>
      </w:r>
      <w:r w:rsidR="007F12D6" w:rsidRPr="00713E31">
        <w:rPr>
          <w:rFonts w:cs="Times New Roman"/>
        </w:rPr>
        <w:t xml:space="preserve"> </w:t>
      </w:r>
      <w:r w:rsidR="00200C57" w:rsidRPr="00713E31">
        <w:rPr>
          <w:rFonts w:cs="Times New Roman"/>
        </w:rPr>
        <w:t>estimated</w:t>
      </w:r>
      <w:r w:rsidR="007F12D6" w:rsidRPr="00713E31">
        <w:rPr>
          <w:rFonts w:cs="Times New Roman"/>
        </w:rPr>
        <w:t xml:space="preserve"> using the values of the vapour pressure</w:t>
      </w:r>
      <w:r w:rsidR="00DD3BCB" w:rsidRPr="00713E31">
        <w:rPr>
          <w:rFonts w:cs="Times New Roman"/>
        </w:rPr>
        <w:t xml:space="preserve"> tables</w:t>
      </w:r>
      <w:r w:rsidR="007F12D6" w:rsidRPr="00713E31">
        <w:rPr>
          <w:rFonts w:cs="Times New Roman"/>
        </w:rPr>
        <w:t xml:space="preserve"> available for the aqua ammonia</w:t>
      </w:r>
      <w:r w:rsidR="00160465" w:rsidRPr="00713E31">
        <w:rPr>
          <w:rFonts w:cs="Times New Roman"/>
        </w:rPr>
        <w:t xml:space="preserve"> (NH</w:t>
      </w:r>
      <w:r w:rsidR="00160465" w:rsidRPr="00713E31">
        <w:rPr>
          <w:rFonts w:cs="Times New Roman"/>
          <w:vertAlign w:val="subscript"/>
        </w:rPr>
        <w:t>4</w:t>
      </w:r>
      <w:r w:rsidR="00160465" w:rsidRPr="00713E31">
        <w:rPr>
          <w:rFonts w:cs="Times New Roman"/>
        </w:rPr>
        <w:t>OH)</w:t>
      </w:r>
      <w:r w:rsidR="007E077E" w:rsidRPr="00713E31">
        <w:rPr>
          <w:rFonts w:cs="Times New Roman"/>
        </w:rPr>
        <w:t xml:space="preserve"> solutions</w:t>
      </w:r>
      <w:r w:rsidR="00AA2798" w:rsidRPr="00713E31">
        <w:rPr>
          <w:rFonts w:cs="Times New Roman"/>
        </w:rPr>
        <w:t xml:space="preserve"> </w:t>
      </w:r>
      <w:r w:rsidR="00AA2798" w:rsidRPr="00713E31">
        <w:rPr>
          <w:rFonts w:cs="Times New Roman"/>
        </w:rPr>
        <w:fldChar w:fldCharType="begin" w:fldLock="1"/>
      </w:r>
      <w:r w:rsidR="00BB33F9">
        <w:rPr>
          <w:rFonts w:cs="Times New Roman"/>
        </w:rPr>
        <w:instrText>ADDIN CSL_CITATION {"citationItems":[{"id":"ITEM-1","itemData":{"DOI":"10.1002/0471238961","author":[{"dropping-particle":"","family":"Eggeman","given":"Tim","non-dropping-particle":"","parse-names":false,"suffix":""}],"container-title":"Kirk-Othmer Encyclopedia of Chemical Technology","edition":"Fourth edi","id":"ITEM-1","issued":{"date-parts":[["1992"]]},"page":"461-642","publisher":"John Wiley &amp; Sons, Inc.","title":"Ammonia","type":"entry-encyclopedia"},"uris":["http://www.mendeley.com/documents/?uuid=7954c556-2b97-4634-a9ac-c36815bcc685"]}],"mendeley":{"formattedCitation":"[53]","plainTextFormattedCitation":"[53]","previouslyFormattedCitation":"[53]"},"properties":{"noteIndex":0},"schema":"https://github.com/citation-style-language/schema/raw/master/csl-citation.json"}</w:instrText>
      </w:r>
      <w:r w:rsidR="00AA2798" w:rsidRPr="00713E31">
        <w:rPr>
          <w:rFonts w:cs="Times New Roman"/>
        </w:rPr>
        <w:fldChar w:fldCharType="separate"/>
      </w:r>
      <w:r w:rsidR="00D33723" w:rsidRPr="00D33723">
        <w:rPr>
          <w:rFonts w:cs="Times New Roman"/>
          <w:noProof/>
        </w:rPr>
        <w:t>[53]</w:t>
      </w:r>
      <w:r w:rsidR="00AA2798" w:rsidRPr="00713E31">
        <w:rPr>
          <w:rFonts w:cs="Times New Roman"/>
        </w:rPr>
        <w:fldChar w:fldCharType="end"/>
      </w:r>
      <w:r w:rsidR="007F12D6" w:rsidRPr="00713E31">
        <w:rPr>
          <w:rFonts w:cs="Times New Roman"/>
        </w:rPr>
        <w:t>. For the calculation</w:t>
      </w:r>
      <w:r w:rsidR="000E25C4" w:rsidRPr="00713E31">
        <w:rPr>
          <w:rFonts w:cs="Times New Roman"/>
        </w:rPr>
        <w:t>,</w:t>
      </w:r>
      <w:r w:rsidR="007F12D6" w:rsidRPr="00713E31">
        <w:rPr>
          <w:rFonts w:cs="Times New Roman"/>
        </w:rPr>
        <w:t xml:space="preserve"> it was considered that the concentration of NH</w:t>
      </w:r>
      <w:r w:rsidR="007F12D6" w:rsidRPr="00713E31">
        <w:rPr>
          <w:rFonts w:cs="Times New Roman"/>
          <w:vertAlign w:val="subscript"/>
        </w:rPr>
        <w:t>3</w:t>
      </w:r>
      <w:r w:rsidR="00B96B31">
        <w:rPr>
          <w:rFonts w:cs="Times New Roman"/>
          <w:vertAlign w:val="subscript"/>
        </w:rPr>
        <w:t xml:space="preserve"> aq</w:t>
      </w:r>
      <w:r w:rsidR="007F12D6" w:rsidRPr="00713E31">
        <w:rPr>
          <w:rFonts w:cs="Times New Roman"/>
        </w:rPr>
        <w:t xml:space="preserve"> in the </w:t>
      </w:r>
      <w:r w:rsidR="00352E9E" w:rsidRPr="00713E31">
        <w:rPr>
          <w:rFonts w:cs="Times New Roman"/>
        </w:rPr>
        <w:t>blend was 10 wt.% (i.e. approximately 10</w:t>
      </w:r>
      <w:r w:rsidR="00CE1E2A" w:rsidRPr="00713E31">
        <w:rPr>
          <w:rFonts w:cs="Times New Roman"/>
        </w:rPr>
        <w:t xml:space="preserve"> times</w:t>
      </w:r>
      <w:r w:rsidR="00352E9E" w:rsidRPr="00713E31">
        <w:rPr>
          <w:rFonts w:cs="Times New Roman"/>
        </w:rPr>
        <w:t xml:space="preserve"> </w:t>
      </w:r>
      <w:r w:rsidR="00CD17D7">
        <w:rPr>
          <w:rFonts w:cs="Times New Roman"/>
        </w:rPr>
        <w:t>higher compare</w:t>
      </w:r>
      <w:r w:rsidR="00D506B1">
        <w:rPr>
          <w:rFonts w:cs="Times New Roman"/>
        </w:rPr>
        <w:t>d</w:t>
      </w:r>
      <w:r w:rsidR="00CD17D7">
        <w:rPr>
          <w:rFonts w:cs="Times New Roman"/>
        </w:rPr>
        <w:t xml:space="preserve"> to the initial composition of the blends; </w:t>
      </w:r>
      <w:r w:rsidR="00CE1E2A" w:rsidRPr="001E3AF5">
        <w:rPr>
          <w:rFonts w:cs="Times New Roman"/>
        </w:rPr>
        <w:fldChar w:fldCharType="begin"/>
      </w:r>
      <w:r w:rsidR="00CE1E2A" w:rsidRPr="005C3EAB">
        <w:rPr>
          <w:rFonts w:cs="Times New Roman"/>
        </w:rPr>
        <w:instrText xml:space="preserve"> REF _Ref44759336 \h  \* MERGEFORMAT </w:instrText>
      </w:r>
      <w:r w:rsidR="00CE1E2A" w:rsidRPr="001E3AF5">
        <w:rPr>
          <w:rFonts w:cs="Times New Roman"/>
        </w:rPr>
      </w:r>
      <w:r w:rsidR="00CE1E2A" w:rsidRPr="001E3AF5">
        <w:rPr>
          <w:rFonts w:cs="Times New Roman"/>
        </w:rPr>
        <w:fldChar w:fldCharType="separate"/>
      </w:r>
      <w:r w:rsidR="00CE1E2A" w:rsidRPr="005C3EAB">
        <w:rPr>
          <w:rFonts w:cs="Times New Roman"/>
        </w:rPr>
        <w:t xml:space="preserve">Table </w:t>
      </w:r>
      <w:r w:rsidR="00CE1E2A" w:rsidRPr="005C3EAB">
        <w:rPr>
          <w:rFonts w:cs="Times New Roman"/>
          <w:noProof/>
        </w:rPr>
        <w:t>3</w:t>
      </w:r>
      <w:r w:rsidR="00CE1E2A" w:rsidRPr="001E3AF5">
        <w:rPr>
          <w:rFonts w:cs="Times New Roman"/>
        </w:rPr>
        <w:fldChar w:fldCharType="end"/>
      </w:r>
      <w:r w:rsidR="00352E9E" w:rsidRPr="00EF75A4">
        <w:rPr>
          <w:rFonts w:cs="Times New Roman"/>
        </w:rPr>
        <w:t>)</w:t>
      </w:r>
      <w:r w:rsidR="00EC293E">
        <w:rPr>
          <w:rFonts w:cs="Times New Roman"/>
        </w:rPr>
        <w:t xml:space="preserve">, to take into account </w:t>
      </w:r>
      <w:r w:rsidR="00162D28">
        <w:rPr>
          <w:rFonts w:cs="Times New Roman"/>
        </w:rPr>
        <w:t>the enhancement in the volatiliz</w:t>
      </w:r>
      <w:r w:rsidR="00EC293E">
        <w:rPr>
          <w:rFonts w:cs="Times New Roman"/>
        </w:rPr>
        <w:t>ation of NH</w:t>
      </w:r>
      <w:r w:rsidR="00EC293E" w:rsidRPr="00EC293E">
        <w:rPr>
          <w:rFonts w:cs="Times New Roman"/>
          <w:vertAlign w:val="subscript"/>
        </w:rPr>
        <w:t>3</w:t>
      </w:r>
      <w:r w:rsidR="00E64FD0">
        <w:rPr>
          <w:rFonts w:cs="Times New Roman"/>
          <w:vertAlign w:val="subscript"/>
        </w:rPr>
        <w:t xml:space="preserve"> aq</w:t>
      </w:r>
      <w:r w:rsidR="00EC293E">
        <w:rPr>
          <w:rFonts w:cs="Times New Roman"/>
        </w:rPr>
        <w:t xml:space="preserve"> because of the addition of the ashes</w:t>
      </w:r>
      <w:r w:rsidR="00352E9E" w:rsidRPr="00EF75A4">
        <w:rPr>
          <w:rFonts w:cs="Times New Roman"/>
        </w:rPr>
        <w:t xml:space="preserve">. The </w:t>
      </w:r>
      <w:r w:rsidR="00EC293E">
        <w:rPr>
          <w:rFonts w:cs="Times New Roman"/>
        </w:rPr>
        <w:t>calculated losses at the time of blending were</w:t>
      </w:r>
      <w:r w:rsidR="00352E9E" w:rsidRPr="00EF75A4">
        <w:rPr>
          <w:rFonts w:cs="Times New Roman"/>
        </w:rPr>
        <w:t xml:space="preserve"> 1.9% and 9.5% of the </w:t>
      </w:r>
      <w:r w:rsidR="00EC293E">
        <w:rPr>
          <w:rFonts w:cs="Times New Roman"/>
        </w:rPr>
        <w:t xml:space="preserve">initial WS </w:t>
      </w:r>
      <w:r w:rsidR="00352E9E" w:rsidRPr="00EF75A4">
        <w:rPr>
          <w:rFonts w:cs="Times New Roman"/>
        </w:rPr>
        <w:t>NH</w:t>
      </w:r>
      <w:r w:rsidR="00EC293E">
        <w:rPr>
          <w:rFonts w:cs="Times New Roman"/>
          <w:vertAlign w:val="subscript"/>
        </w:rPr>
        <w:t>4</w:t>
      </w:r>
      <w:r w:rsidR="00EC293E" w:rsidRPr="00EC293E">
        <w:rPr>
          <w:rFonts w:cs="Times New Roman"/>
          <w:vertAlign w:val="superscript"/>
        </w:rPr>
        <w:t>+</w:t>
      </w:r>
      <w:r w:rsidR="00EC293E">
        <w:rPr>
          <w:rFonts w:cs="Times New Roman"/>
        </w:rPr>
        <w:t xml:space="preserve"> &amp; WS NH</w:t>
      </w:r>
      <w:r w:rsidR="00EC293E" w:rsidRPr="00EC293E">
        <w:rPr>
          <w:rFonts w:cs="Times New Roman"/>
          <w:vertAlign w:val="subscript"/>
        </w:rPr>
        <w:t>3</w:t>
      </w:r>
      <w:r w:rsidR="00EC293E">
        <w:rPr>
          <w:rFonts w:cs="Times New Roman"/>
        </w:rPr>
        <w:t xml:space="preserve"> </w:t>
      </w:r>
      <w:r w:rsidR="00352E9E" w:rsidRPr="00EF75A4">
        <w:rPr>
          <w:rFonts w:cs="Times New Roman"/>
        </w:rPr>
        <w:t>in the blend 1 and blend 2, respectively.</w:t>
      </w:r>
    </w:p>
    <w:p w14:paraId="58A87FC7" w14:textId="4B1F24B8" w:rsidR="009410AC" w:rsidRPr="00EF75A4" w:rsidRDefault="007E077E" w:rsidP="003149B0">
      <w:pPr>
        <w:spacing w:line="360" w:lineRule="auto"/>
        <w:rPr>
          <w:rFonts w:cs="Times New Roman"/>
        </w:rPr>
      </w:pPr>
      <w:r w:rsidRPr="00EF75A4">
        <w:rPr>
          <w:rFonts w:cs="Times New Roman"/>
        </w:rPr>
        <w:t xml:space="preserve">Other possible routes for </w:t>
      </w:r>
      <w:r w:rsidR="000E25C4" w:rsidRPr="00EF75A4">
        <w:rPr>
          <w:rFonts w:cs="Times New Roman"/>
        </w:rPr>
        <w:t xml:space="preserve">the </w:t>
      </w:r>
      <w:r w:rsidRPr="00EF75A4">
        <w:rPr>
          <w:rFonts w:cs="Times New Roman"/>
        </w:rPr>
        <w:t>decreas</w:t>
      </w:r>
      <w:r w:rsidR="00CD3AEF" w:rsidRPr="00EF75A4">
        <w:rPr>
          <w:rFonts w:cs="Times New Roman"/>
        </w:rPr>
        <w:t>e of</w:t>
      </w:r>
      <w:r w:rsidRPr="00EF75A4">
        <w:rPr>
          <w:rFonts w:cs="Times New Roman"/>
        </w:rPr>
        <w:t xml:space="preserve"> concentration of WS NH</w:t>
      </w:r>
      <w:r w:rsidRPr="00EF75A4">
        <w:rPr>
          <w:rFonts w:cs="Times New Roman"/>
          <w:vertAlign w:val="subscript"/>
        </w:rPr>
        <w:t>4</w:t>
      </w:r>
      <w:r w:rsidRPr="00EF75A4">
        <w:rPr>
          <w:rFonts w:cs="Times New Roman"/>
          <w:vertAlign w:val="superscript"/>
        </w:rPr>
        <w:t>+</w:t>
      </w:r>
      <w:r w:rsidR="007F0023">
        <w:rPr>
          <w:rFonts w:cs="Times New Roman"/>
        </w:rPr>
        <w:t xml:space="preserve"> &amp;</w:t>
      </w:r>
      <w:r w:rsidR="006B2E88">
        <w:rPr>
          <w:rFonts w:cs="Times New Roman"/>
        </w:rPr>
        <w:t xml:space="preserve"> WS</w:t>
      </w:r>
      <w:r w:rsidR="007F0023">
        <w:rPr>
          <w:rFonts w:cs="Times New Roman"/>
        </w:rPr>
        <w:t xml:space="preserve"> </w:t>
      </w:r>
      <w:r w:rsidRPr="00EF75A4">
        <w:rPr>
          <w:rFonts w:cs="Times New Roman"/>
        </w:rPr>
        <w:t>NH</w:t>
      </w:r>
      <w:r w:rsidRPr="00EF75A4">
        <w:rPr>
          <w:rFonts w:cs="Times New Roman"/>
          <w:vertAlign w:val="subscript"/>
        </w:rPr>
        <w:t>3</w:t>
      </w:r>
      <w:r w:rsidRPr="00EF75A4">
        <w:rPr>
          <w:rFonts w:cs="Times New Roman"/>
        </w:rPr>
        <w:t xml:space="preserve"> would be adsorption and precipitation.</w:t>
      </w:r>
      <w:r w:rsidR="00E76A95" w:rsidRPr="00E76A95">
        <w:rPr>
          <w:rFonts w:cs="Times New Roman"/>
        </w:rPr>
        <w:t xml:space="preserve"> </w:t>
      </w:r>
      <w:r w:rsidR="00E76A95" w:rsidRPr="00E45FCB">
        <w:rPr>
          <w:rFonts w:cs="Times New Roman"/>
          <w:b/>
        </w:rPr>
        <w:t xml:space="preserve">This would be reflected by a translocation </w:t>
      </w:r>
      <w:r w:rsidR="00501A81" w:rsidRPr="00E45FCB">
        <w:rPr>
          <w:rFonts w:cs="Times New Roman"/>
          <w:b/>
        </w:rPr>
        <w:t xml:space="preserve">of a share </w:t>
      </w:r>
      <w:r w:rsidR="00E76A95" w:rsidRPr="00E45FCB">
        <w:rPr>
          <w:rFonts w:cs="Times New Roman"/>
          <w:b/>
        </w:rPr>
        <w:t>of the TN</w:t>
      </w:r>
      <w:r w:rsidR="00501A81" w:rsidRPr="00E45FCB">
        <w:rPr>
          <w:rFonts w:cs="Times New Roman"/>
          <w:b/>
        </w:rPr>
        <w:t xml:space="preserve"> from the WS phase</w:t>
      </w:r>
      <w:r w:rsidR="00E76A95" w:rsidRPr="00E45FCB">
        <w:rPr>
          <w:rFonts w:cs="Times New Roman"/>
          <w:b/>
        </w:rPr>
        <w:t xml:space="preserve"> to the </w:t>
      </w:r>
      <w:r w:rsidR="00501A81" w:rsidRPr="00E45FCB">
        <w:rPr>
          <w:rFonts w:cs="Times New Roman"/>
          <w:b/>
        </w:rPr>
        <w:t>WI</w:t>
      </w:r>
      <w:r w:rsidR="00E76A95" w:rsidRPr="00E45FCB">
        <w:rPr>
          <w:rFonts w:cs="Times New Roman"/>
          <w:b/>
        </w:rPr>
        <w:t xml:space="preserve"> phase.</w:t>
      </w:r>
      <w:r w:rsidR="00953394" w:rsidRPr="0082337F">
        <w:rPr>
          <w:rFonts w:cs="Times New Roman"/>
        </w:rPr>
        <w:t xml:space="preserve"> </w:t>
      </w:r>
      <w:r w:rsidR="00953394" w:rsidRPr="00F33940">
        <w:rPr>
          <w:rFonts w:cs="Times New Roman"/>
          <w:lang w:val="es-ES"/>
        </w:rPr>
        <w:t xml:space="preserve">Ma et al. </w:t>
      </w:r>
      <w:r w:rsidR="00E31EE4">
        <w:rPr>
          <w:rStyle w:val="FootnoteReference"/>
          <w:rFonts w:cs="Times New Roman"/>
        </w:rPr>
        <w:fldChar w:fldCharType="begin" w:fldLock="1"/>
      </w:r>
      <w:r w:rsidR="00BB33F9" w:rsidRPr="00B461A5">
        <w:rPr>
          <w:rFonts w:cs="Times New Roman"/>
          <w:lang w:val="es-ES"/>
        </w:rPr>
        <w:instrText>ADDIN CSL_CITATION {"citationItems":[{"id":"ITEM-1","itemData":{"DOI":"10.1016/j.cej.2011.05.027","ISSN":"13858947","abstract":"This paper presents a study of the adsorption of ammonium and phosphate ions from aqueous solution using a new fertilizer controlled release agent (FCRA) which is produced through graft copolymerization with wheat straw, acrylic acid (AA), acrylic amide (AM) and dimethyl diallyl ammonium chloride (DMDAAC). A series of batch experiments were conducted to examine the effects of solution pH, adsorbent dosage, the initial concentration of adsorbate and contact time. The findings indicated that the new fertilizer controlled release agent had a significant effect on the adsorption of ammonium and phosphate ions. The adsorption could reach equilibrium through 4h reaction, and had the best adsorption amount at the pH values from 4 to 8. The adsorption amount increased with the increasing initial concentration of adsorbate. The adsorption amount of NH 4+ decreased with the increasing of adsorbent dosage while the adsorption of PO 43- showed the opposite trend. Kinetic analysis showed that the adsorption of ammonium and phosphate ions on the new fertilizer controlled release agent followed the pseudo-second-order model well. Equilibrium isotherm data of adsorption of NH 4+ were well fitted to the linear Langmuir and Freundlich models, while the data of adsorption of PO 43- were well fitted to the Freundlich model. The desorption experiments also showed that the desorption of NH 4+ and PO 43- on FCRA could reach saturation at the time of 5h and 4h, respectively. And the pH had a large effect on desorption. © 2011 Elsevier B.V.","author":[{"dropping-particle":"","family":"Ma","given":"Zuohao","non-dropping-particle":"","parse-names":false,"suffix":""},{"dropping-particle":"","family":"Li","given":"Qian","non-dropping-particle":"","parse-names":false,"suffix":""},{"dropping-particle":"","family":"Yue","given":"Qinyan","non-dropping-particle":"","parse-names":false,"suffix":""},{"dropping-particle":"","family":"Gao","given":"Baoyu","non-dropping-particle":"","parse-names":false,"suffix":""},{"dropping-particle":"","family":"Li","given":"Wenhong","non-dropping-particle":"","parse-names":false,"suffix":""},{"dropping-particle":"","family":"Xu","given":"Xing","non-dropping-particle":"","parse-names":false,"suffix":""},{"dropping-particle":"","family":"Zhong","given":"Qianqian","non-dropping-particle":"","parse-names":false,"suffix":""}],"container-title":"Chemical Engineering Journal","id":"ITEM-1","issue":"3","issued":{"date-parts":[["2011"]]},"page":"1209-1217","publisher":"Elsevier B.V.","title":"Adsorption removal of ammonium and phosphate from water by fertilizer controlled release agent prepared from wheat straw","type":"article-journal","volume":"171"},"uris":["http://www.mendeley.com/documents/?uuid=5303d728-0271-4aac-a428-9fb0cc7bf493"]}],"mendeley":{"formattedCitation":"[22]","plainTextFormattedCitation":"[22]","previouslyFormattedCitation":"[22]"},"properties":{"noteIndex":0},"schema":"https://github.com/citation-style-language/schema/raw/master/csl-citation.json"}</w:instrText>
      </w:r>
      <w:r w:rsidR="00E31EE4">
        <w:rPr>
          <w:rStyle w:val="FootnoteReference"/>
          <w:rFonts w:cs="Times New Roman"/>
        </w:rPr>
        <w:fldChar w:fldCharType="separate"/>
      </w:r>
      <w:r w:rsidR="00D33723" w:rsidRPr="00F33940">
        <w:rPr>
          <w:rFonts w:cs="Times New Roman"/>
          <w:noProof/>
          <w:lang w:val="es-ES"/>
        </w:rPr>
        <w:t>[22]</w:t>
      </w:r>
      <w:r w:rsidR="00E31EE4">
        <w:rPr>
          <w:rStyle w:val="FootnoteReference"/>
          <w:rFonts w:cs="Times New Roman"/>
        </w:rPr>
        <w:fldChar w:fldCharType="end"/>
      </w:r>
      <w:r w:rsidR="00E31EE4" w:rsidRPr="00F33940">
        <w:rPr>
          <w:rFonts w:cs="Times New Roman"/>
          <w:lang w:val="es-ES"/>
        </w:rPr>
        <w:t xml:space="preserve"> </w:t>
      </w:r>
      <w:r w:rsidR="00953394" w:rsidRPr="00F33940">
        <w:rPr>
          <w:rFonts w:cs="Times New Roman"/>
          <w:lang w:val="es-ES"/>
        </w:rPr>
        <w:t xml:space="preserve">studied the removal of </w:t>
      </w:r>
      <w:r w:rsidR="00E76A95" w:rsidRPr="00F33940">
        <w:rPr>
          <w:rFonts w:cs="Times New Roman"/>
          <w:lang w:val="es-ES"/>
        </w:rPr>
        <w:t>NH</w:t>
      </w:r>
      <w:r w:rsidR="00E76A95" w:rsidRPr="00F33940">
        <w:rPr>
          <w:rFonts w:cs="Times New Roman"/>
          <w:vertAlign w:val="subscript"/>
          <w:lang w:val="es-ES"/>
        </w:rPr>
        <w:t>4</w:t>
      </w:r>
      <w:r w:rsidR="00E76A95" w:rsidRPr="004A5B57">
        <w:rPr>
          <w:rFonts w:cs="Times New Roman"/>
          <w:vertAlign w:val="superscript"/>
          <w:lang w:val="es-ES"/>
        </w:rPr>
        <w:t>+</w:t>
      </w:r>
      <w:r w:rsidR="00E76A95" w:rsidRPr="004A5B57">
        <w:rPr>
          <w:rFonts w:cs="Times New Roman"/>
          <w:lang w:val="es-ES"/>
        </w:rPr>
        <w:t xml:space="preserve"> &amp; NH</w:t>
      </w:r>
      <w:r w:rsidR="00E76A95" w:rsidRPr="004A5B57">
        <w:rPr>
          <w:rFonts w:cs="Times New Roman"/>
          <w:vertAlign w:val="subscript"/>
          <w:lang w:val="es-ES"/>
        </w:rPr>
        <w:t>3</w:t>
      </w:r>
      <w:r w:rsidR="00953394" w:rsidRPr="00B461A5">
        <w:rPr>
          <w:rFonts w:cs="Times New Roman"/>
          <w:lang w:val="es-ES"/>
        </w:rPr>
        <w:t xml:space="preserve"> and </w:t>
      </w:r>
      <w:r w:rsidR="00E76A95" w:rsidRPr="00B461A5">
        <w:rPr>
          <w:rFonts w:cs="Times New Roman"/>
          <w:lang w:val="es-ES"/>
        </w:rPr>
        <w:t>PO</w:t>
      </w:r>
      <w:r w:rsidR="00E76A95" w:rsidRPr="00B461A5">
        <w:rPr>
          <w:rFonts w:cs="Times New Roman"/>
          <w:vertAlign w:val="subscript"/>
          <w:lang w:val="es-ES"/>
        </w:rPr>
        <w:t>4</w:t>
      </w:r>
      <w:r w:rsidR="00E76A95" w:rsidRPr="00B461A5">
        <w:rPr>
          <w:rFonts w:cs="Times New Roman"/>
          <w:vertAlign w:val="superscript"/>
          <w:lang w:val="es-ES"/>
        </w:rPr>
        <w:t>3-</w:t>
      </w:r>
      <w:r w:rsidR="00953394" w:rsidRPr="00B461A5">
        <w:rPr>
          <w:rFonts w:cs="Times New Roman"/>
          <w:lang w:val="es-ES"/>
        </w:rPr>
        <w:t xml:space="preserve"> from water with concentrations up to 200 and 250 mg/L, respectively</w:t>
      </w:r>
      <w:r w:rsidR="006A6D1A" w:rsidRPr="00B461A5">
        <w:rPr>
          <w:rFonts w:cs="Times New Roman"/>
          <w:lang w:val="es-ES"/>
        </w:rPr>
        <w:t>.</w:t>
      </w:r>
      <w:r w:rsidR="001F3FF6" w:rsidRPr="00B461A5">
        <w:rPr>
          <w:rFonts w:cs="Times New Roman"/>
          <w:lang w:val="es-ES"/>
        </w:rPr>
        <w:t xml:space="preserve"> </w:t>
      </w:r>
      <w:r w:rsidR="00F37CE8" w:rsidRPr="00E45FCB">
        <w:rPr>
          <w:rFonts w:cs="Times New Roman"/>
          <w:b/>
        </w:rPr>
        <w:t>In the</w:t>
      </w:r>
      <w:r w:rsidR="00953394" w:rsidRPr="00E45FCB">
        <w:rPr>
          <w:rFonts w:cs="Times New Roman"/>
          <w:b/>
        </w:rPr>
        <w:t>ir</w:t>
      </w:r>
      <w:r w:rsidR="00F37CE8" w:rsidRPr="00E45FCB">
        <w:rPr>
          <w:rFonts w:cs="Times New Roman"/>
          <w:b/>
        </w:rPr>
        <w:t xml:space="preserve"> study,</w:t>
      </w:r>
      <w:r w:rsidR="003149B0" w:rsidRPr="00E45FCB">
        <w:rPr>
          <w:rFonts w:cs="Times New Roman"/>
          <w:b/>
        </w:rPr>
        <w:t xml:space="preserve"> the</w:t>
      </w:r>
      <w:r w:rsidR="00F37CE8" w:rsidRPr="00E45FCB">
        <w:rPr>
          <w:rFonts w:cs="Times New Roman"/>
          <w:b/>
        </w:rPr>
        <w:t xml:space="preserve"> optimum</w:t>
      </w:r>
      <w:r w:rsidR="00056B9E" w:rsidRPr="00E45FCB">
        <w:rPr>
          <w:rFonts w:cs="Times New Roman"/>
          <w:b/>
        </w:rPr>
        <w:t xml:space="preserve"> </w:t>
      </w:r>
      <w:r w:rsidR="00527420" w:rsidRPr="00E45FCB">
        <w:rPr>
          <w:rFonts w:cs="Times New Roman"/>
          <w:b/>
        </w:rPr>
        <w:t xml:space="preserve">pH required for </w:t>
      </w:r>
      <w:r w:rsidR="00056B9E" w:rsidRPr="00E45FCB">
        <w:rPr>
          <w:rFonts w:cs="Times New Roman"/>
          <w:b/>
        </w:rPr>
        <w:t>adsorption</w:t>
      </w:r>
      <w:r w:rsidR="003149B0" w:rsidRPr="00E45FCB">
        <w:rPr>
          <w:rFonts w:cs="Times New Roman"/>
          <w:b/>
        </w:rPr>
        <w:t xml:space="preserve"> </w:t>
      </w:r>
      <w:r w:rsidR="00527420" w:rsidRPr="00E45FCB">
        <w:rPr>
          <w:rFonts w:cs="Times New Roman"/>
          <w:b/>
        </w:rPr>
        <w:t>in a</w:t>
      </w:r>
      <w:r w:rsidR="003149B0" w:rsidRPr="00E45FCB">
        <w:rPr>
          <w:rFonts w:cs="Times New Roman"/>
          <w:b/>
        </w:rPr>
        <w:t xml:space="preserve"> </w:t>
      </w:r>
      <w:r w:rsidR="00527420" w:rsidRPr="00E45FCB">
        <w:rPr>
          <w:rFonts w:cs="Times New Roman"/>
          <w:b/>
        </w:rPr>
        <w:t xml:space="preserve">50 mg </w:t>
      </w:r>
      <w:r w:rsidR="003149B0" w:rsidRPr="00E45FCB">
        <w:rPr>
          <w:rFonts w:cs="Times New Roman"/>
          <w:b/>
        </w:rPr>
        <w:t>NH</w:t>
      </w:r>
      <w:r w:rsidR="003149B0" w:rsidRPr="00E45FCB">
        <w:rPr>
          <w:rFonts w:cs="Times New Roman"/>
          <w:b/>
          <w:vertAlign w:val="subscript"/>
        </w:rPr>
        <w:t>4</w:t>
      </w:r>
      <w:r w:rsidR="003149B0" w:rsidRPr="00E45FCB">
        <w:rPr>
          <w:rFonts w:cs="Times New Roman"/>
          <w:b/>
          <w:vertAlign w:val="superscript"/>
        </w:rPr>
        <w:t>+</w:t>
      </w:r>
      <w:r w:rsidR="003149B0" w:rsidRPr="00E45FCB">
        <w:rPr>
          <w:rFonts w:cs="Times New Roman"/>
          <w:b/>
        </w:rPr>
        <w:t xml:space="preserve"> </w:t>
      </w:r>
      <w:r w:rsidR="00527420" w:rsidRPr="00E45FCB">
        <w:rPr>
          <w:rFonts w:cs="Times New Roman"/>
          <w:b/>
        </w:rPr>
        <w:t>&amp; NH</w:t>
      </w:r>
      <w:r w:rsidR="00527420" w:rsidRPr="00E45FCB">
        <w:rPr>
          <w:rFonts w:cs="Times New Roman"/>
          <w:b/>
          <w:vertAlign w:val="subscript"/>
        </w:rPr>
        <w:t>3</w:t>
      </w:r>
      <w:r w:rsidR="00527420" w:rsidRPr="00E45FCB">
        <w:rPr>
          <w:rFonts w:cs="Times New Roman"/>
          <w:b/>
        </w:rPr>
        <w:t>/L solution</w:t>
      </w:r>
      <w:r w:rsidR="00F37CE8" w:rsidRPr="00E45FCB">
        <w:rPr>
          <w:rFonts w:cs="Times New Roman"/>
          <w:b/>
        </w:rPr>
        <w:t xml:space="preserve"> </w:t>
      </w:r>
      <w:r w:rsidR="00527420" w:rsidRPr="00E45FCB">
        <w:rPr>
          <w:rFonts w:cs="Times New Roman"/>
          <w:b/>
        </w:rPr>
        <w:t>was</w:t>
      </w:r>
      <w:r w:rsidR="003149B0" w:rsidRPr="00E45FCB">
        <w:rPr>
          <w:rFonts w:cs="Times New Roman"/>
          <w:b/>
        </w:rPr>
        <w:t xml:space="preserve"> between 3 and 9, and higher pH </w:t>
      </w:r>
      <w:r w:rsidR="0060208F" w:rsidRPr="00E45FCB">
        <w:rPr>
          <w:rFonts w:cs="Times New Roman"/>
          <w:b/>
        </w:rPr>
        <w:t xml:space="preserve">could </w:t>
      </w:r>
      <w:r w:rsidR="003149B0" w:rsidRPr="00E45FCB">
        <w:rPr>
          <w:rFonts w:cs="Times New Roman"/>
          <w:b/>
        </w:rPr>
        <w:t>lead to losses via NH</w:t>
      </w:r>
      <w:r w:rsidR="003149B0" w:rsidRPr="00E45FCB">
        <w:rPr>
          <w:rFonts w:cs="Times New Roman"/>
          <w:b/>
          <w:vertAlign w:val="subscript"/>
        </w:rPr>
        <w:t>3</w:t>
      </w:r>
      <w:r w:rsidR="00091370">
        <w:rPr>
          <w:rFonts w:cs="Times New Roman"/>
          <w:b/>
          <w:vertAlign w:val="subscript"/>
        </w:rPr>
        <w:t xml:space="preserve"> aq</w:t>
      </w:r>
      <w:r w:rsidR="00162D28">
        <w:rPr>
          <w:rFonts w:cs="Times New Roman"/>
          <w:b/>
        </w:rPr>
        <w:t xml:space="preserve"> volatiliz</w:t>
      </w:r>
      <w:r w:rsidR="00056B9E" w:rsidRPr="00E45FCB">
        <w:rPr>
          <w:rFonts w:cs="Times New Roman"/>
          <w:b/>
        </w:rPr>
        <w:t>ation</w:t>
      </w:r>
      <w:r w:rsidR="00056B9E" w:rsidRPr="0082337F">
        <w:rPr>
          <w:rFonts w:cs="Times New Roman"/>
        </w:rPr>
        <w:t>.</w:t>
      </w:r>
      <w:r w:rsidR="0002325C" w:rsidRPr="0082337F">
        <w:rPr>
          <w:rFonts w:cs="Times New Roman"/>
        </w:rPr>
        <w:t xml:space="preserve"> </w:t>
      </w:r>
      <w:r w:rsidR="00165163" w:rsidRPr="001A4474">
        <w:rPr>
          <w:rFonts w:cs="Times New Roman"/>
        </w:rPr>
        <w:t>With regard to the</w:t>
      </w:r>
      <w:r w:rsidR="0002325C" w:rsidRPr="001A4474">
        <w:rPr>
          <w:rFonts w:cs="Times New Roman"/>
        </w:rPr>
        <w:t xml:space="preserve"> precipitation, the formation of struvite could explain a share of the decrease </w:t>
      </w:r>
      <w:r w:rsidR="0002325C" w:rsidRPr="00713E31">
        <w:rPr>
          <w:rFonts w:cs="Times New Roman"/>
        </w:rPr>
        <w:t xml:space="preserve">in the </w:t>
      </w:r>
      <w:r w:rsidR="00521CFD" w:rsidRPr="00713E31">
        <w:rPr>
          <w:rFonts w:cs="Times New Roman"/>
        </w:rPr>
        <w:t>concentration of WS NH</w:t>
      </w:r>
      <w:r w:rsidR="00521CFD" w:rsidRPr="00713E31">
        <w:rPr>
          <w:rFonts w:cs="Times New Roman"/>
          <w:vertAlign w:val="subscript"/>
        </w:rPr>
        <w:t>4</w:t>
      </w:r>
      <w:r w:rsidR="00521CFD" w:rsidRPr="00713E31">
        <w:rPr>
          <w:rFonts w:cs="Times New Roman"/>
          <w:vertAlign w:val="superscript"/>
        </w:rPr>
        <w:t>+</w:t>
      </w:r>
      <w:r w:rsidR="00521CFD" w:rsidRPr="00713E31">
        <w:rPr>
          <w:rFonts w:cs="Times New Roman"/>
        </w:rPr>
        <w:t xml:space="preserve"> &amp; WS NH</w:t>
      </w:r>
      <w:r w:rsidR="00521CFD" w:rsidRPr="00713E31">
        <w:rPr>
          <w:rFonts w:cs="Times New Roman"/>
          <w:vertAlign w:val="subscript"/>
        </w:rPr>
        <w:t>3</w:t>
      </w:r>
      <w:r w:rsidR="0002325C" w:rsidRPr="00713E31">
        <w:rPr>
          <w:rFonts w:cs="Times New Roman"/>
        </w:rPr>
        <w:t xml:space="preserve">. </w:t>
      </w:r>
      <w:r w:rsidR="006E1197" w:rsidRPr="00713E31">
        <w:rPr>
          <w:rFonts w:cs="Times New Roman"/>
        </w:rPr>
        <w:t>Changes i</w:t>
      </w:r>
      <w:r w:rsidR="006E1197" w:rsidRPr="00EF75A4">
        <w:rPr>
          <w:rFonts w:cs="Times New Roman"/>
        </w:rPr>
        <w:t xml:space="preserve">n the concentration of </w:t>
      </w:r>
      <w:r w:rsidR="00102DB6">
        <w:rPr>
          <w:rFonts w:cs="Times New Roman"/>
        </w:rPr>
        <w:t>NH</w:t>
      </w:r>
      <w:r w:rsidR="00102DB6" w:rsidRPr="00102DB6">
        <w:rPr>
          <w:rFonts w:cs="Times New Roman"/>
          <w:vertAlign w:val="subscript"/>
        </w:rPr>
        <w:t>4</w:t>
      </w:r>
      <w:r w:rsidR="00102DB6" w:rsidRPr="00102DB6">
        <w:rPr>
          <w:rFonts w:cs="Times New Roman"/>
          <w:vertAlign w:val="superscript"/>
        </w:rPr>
        <w:t>+</w:t>
      </w:r>
      <w:r w:rsidR="00102DB6">
        <w:rPr>
          <w:rFonts w:cs="Times New Roman"/>
        </w:rPr>
        <w:t>-N</w:t>
      </w:r>
      <w:r w:rsidR="006E1197" w:rsidRPr="00EF75A4">
        <w:rPr>
          <w:rFonts w:cs="Times New Roman"/>
        </w:rPr>
        <w:t xml:space="preserve"> lower than 15% have been reported by Sakthivel et al. </w:t>
      </w:r>
      <w:r w:rsidR="006E1197" w:rsidRPr="00EF75A4">
        <w:rPr>
          <w:rFonts w:cs="Times New Roman"/>
        </w:rPr>
        <w:fldChar w:fldCharType="begin" w:fldLock="1"/>
      </w:r>
      <w:r w:rsidR="00BB33F9">
        <w:rPr>
          <w:rFonts w:cs="Times New Roman"/>
        </w:rPr>
        <w:instrText>ADDIN CSL_CITATION {"citationItems":[{"id":"ITEM-1","itemData":{"DOI":"10.1016/j.scitotenv.2011.12.065","ISSN":"00489697","abstract":"Struvite precipitation is a simple technology for phosphorus recovery from source-separated urine. However, production costs can be high if expensive magnesium salts are used as precipitants. Therefore, waste products can be interesting alternatives to industrially-produced magnesium salts. We investigated the technical and financial feasibility of wood ash as a magnesium source in India. In batch experiments with source-separated urine, we could precipitate 99% of the phosphate with a magnesium dosage of 2.7molMgmolP -1. The availability of the magnesium from the wood ash used in our experiment was only about 50% but this could be increased by burning the wood at temperatures well above 600°C. Depending on the wood ash used, the precipitate can contain high concentrations of heavy metals. This could be problematic if the precipitate were used as fertilizer depending on the applicable fertilizer regulations. The financial study revealed that wood ash is considerably cheaper than industrially-produced magnesium sources and even cheaper than bittern. However, the solid precipitated with wood ash is not pure struvite. Due to the high calcite and the low phosphorus content (3%), the precipitate would be better used as a phosphorus-enhanced conditioner for acidic soils. The estimated fertilizer value of the precipitate was actually slightly lower than wood ash, because 60% of the potassium dissolved into solution during precipitation and was not present in the final product. From a financial point of view and due to the high heavy metal content, wood ash is not a very suitable precipitant for struvite production. Phosphate precipitation from urine with wood ash can be useful if (1) a strong need for a soil conditioner that also contains phosphate exists, (2) potassium is abundant in the soil and (3) no other cheap precipitant, such as bittern or magnesium oxide, is available. © 2012 Elsevier B.V.","author":[{"dropping-particle":"","family":"Sakthivel","given":"S. Ramesh","non-dropping-particle":"","parse-names":false,"suffix":""},{"dropping-particle":"","family":"Tilley","given":"Elizabeth","non-dropping-particle":"","parse-names":false,"suffix":""},{"dropping-particle":"","family":"Udert","given":"Kai M.","non-dropping-particle":"","parse-names":false,"suffix":""}],"container-title":"Science of the Total Environment","id":"ITEM-1","issued":{"date-parts":[["2012"]]},"page":"68-75","publisher":"Elsevier B.V.","title":"Wood ash as a magnesium source for phosphorus recovery from source-separated urine","type":"article-journal","volume":"419"},"uris":["http://www.mendeley.com/documents/?uuid=e832c9fe-8d17-4af7-890e-44873550af2d"]}],"mendeley":{"formattedCitation":"[54]","plainTextFormattedCitation":"[54]","previouslyFormattedCitation":"[54]"},"properties":{"noteIndex":0},"schema":"https://github.com/citation-style-language/schema/raw/master/csl-citation.json"}</w:instrText>
      </w:r>
      <w:r w:rsidR="006E1197" w:rsidRPr="00EF75A4">
        <w:rPr>
          <w:rFonts w:cs="Times New Roman"/>
        </w:rPr>
        <w:fldChar w:fldCharType="separate"/>
      </w:r>
      <w:r w:rsidR="00D33723" w:rsidRPr="00D33723">
        <w:rPr>
          <w:rFonts w:cs="Times New Roman"/>
          <w:noProof/>
        </w:rPr>
        <w:t>[54]</w:t>
      </w:r>
      <w:r w:rsidR="006E1197" w:rsidRPr="00EF75A4">
        <w:rPr>
          <w:rFonts w:cs="Times New Roman"/>
        </w:rPr>
        <w:fldChar w:fldCharType="end"/>
      </w:r>
      <w:r w:rsidR="009410AC" w:rsidRPr="00EF75A4">
        <w:rPr>
          <w:rFonts w:cs="Times New Roman"/>
        </w:rPr>
        <w:t xml:space="preserve">, during </w:t>
      </w:r>
      <w:r w:rsidR="003A03F2">
        <w:rPr>
          <w:rFonts w:cs="Times New Roman"/>
        </w:rPr>
        <w:t>the</w:t>
      </w:r>
      <w:r w:rsidR="009410AC" w:rsidRPr="00EF75A4">
        <w:rPr>
          <w:rFonts w:cs="Times New Roman"/>
        </w:rPr>
        <w:t xml:space="preserve"> incubation at 25 ºC</w:t>
      </w:r>
      <w:r w:rsidR="002C7067">
        <w:rPr>
          <w:rFonts w:cs="Times New Roman"/>
        </w:rPr>
        <w:t xml:space="preserve"> of</w:t>
      </w:r>
      <w:r w:rsidR="00E14C09" w:rsidRPr="00EF75A4">
        <w:rPr>
          <w:rFonts w:cs="Times New Roman"/>
        </w:rPr>
        <w:t xml:space="preserve"> 11.4 g of wood ash </w:t>
      </w:r>
      <w:r w:rsidR="002C7067">
        <w:rPr>
          <w:rFonts w:cs="Times New Roman"/>
        </w:rPr>
        <w:t>with</w:t>
      </w:r>
      <w:r w:rsidR="003A03F2">
        <w:rPr>
          <w:rFonts w:cs="Times New Roman"/>
        </w:rPr>
        <w:t xml:space="preserve"> 1 </w:t>
      </w:r>
      <w:r w:rsidR="000C6DAB">
        <w:rPr>
          <w:rFonts w:cs="Times New Roman"/>
        </w:rPr>
        <w:t>li</w:t>
      </w:r>
      <w:r w:rsidR="003A03F2">
        <w:rPr>
          <w:rFonts w:cs="Times New Roman"/>
        </w:rPr>
        <w:t>tre</w:t>
      </w:r>
      <w:r w:rsidR="00E14C09" w:rsidRPr="00EF75A4">
        <w:rPr>
          <w:rFonts w:cs="Times New Roman"/>
        </w:rPr>
        <w:t xml:space="preserve"> of ureolysed urine with a</w:t>
      </w:r>
      <w:r w:rsidR="00102DB6">
        <w:rPr>
          <w:rFonts w:cs="Times New Roman"/>
        </w:rPr>
        <w:t>n initial</w:t>
      </w:r>
      <w:r w:rsidR="00E14C09" w:rsidRPr="00EF75A4">
        <w:rPr>
          <w:rFonts w:cs="Times New Roman"/>
        </w:rPr>
        <w:t xml:space="preserve"> </w:t>
      </w:r>
      <w:r w:rsidR="00E14C09" w:rsidRPr="00EF75A4">
        <w:rPr>
          <w:rFonts w:cs="Times New Roman"/>
        </w:rPr>
        <w:lastRenderedPageBreak/>
        <w:t>content of 3497 mg</w:t>
      </w:r>
      <w:r w:rsidR="006B2E88">
        <w:rPr>
          <w:rFonts w:cs="Times New Roman"/>
        </w:rPr>
        <w:t xml:space="preserve"> </w:t>
      </w:r>
      <w:r w:rsidR="00E14C09" w:rsidRPr="00EF75A4">
        <w:rPr>
          <w:rFonts w:cs="Times New Roman"/>
        </w:rPr>
        <w:t>NH</w:t>
      </w:r>
      <w:r w:rsidR="00E14C09" w:rsidRPr="00EF75A4">
        <w:rPr>
          <w:rFonts w:cs="Times New Roman"/>
          <w:vertAlign w:val="subscript"/>
        </w:rPr>
        <w:t>4</w:t>
      </w:r>
      <w:r w:rsidR="00E14C09" w:rsidRPr="00EF75A4">
        <w:rPr>
          <w:rFonts w:cs="Times New Roman"/>
          <w:vertAlign w:val="superscript"/>
        </w:rPr>
        <w:t>+</w:t>
      </w:r>
      <w:r w:rsidR="007F0023">
        <w:rPr>
          <w:rFonts w:cs="Times New Roman"/>
        </w:rPr>
        <w:t xml:space="preserve"> &amp; </w:t>
      </w:r>
      <w:r w:rsidR="00E14C09" w:rsidRPr="00EF75A4">
        <w:rPr>
          <w:rFonts w:cs="Times New Roman"/>
        </w:rPr>
        <w:t>NH</w:t>
      </w:r>
      <w:r w:rsidR="00E14C09" w:rsidRPr="00EF75A4">
        <w:rPr>
          <w:rFonts w:cs="Times New Roman"/>
          <w:vertAlign w:val="subscript"/>
        </w:rPr>
        <w:t>3</w:t>
      </w:r>
      <w:r w:rsidR="00200C57" w:rsidRPr="00EF75A4">
        <w:rPr>
          <w:rFonts w:cs="Times New Roman"/>
        </w:rPr>
        <w:t xml:space="preserve"> per litre</w:t>
      </w:r>
      <w:r w:rsidR="00B22719" w:rsidRPr="00EF75A4">
        <w:rPr>
          <w:rFonts w:cs="Times New Roman"/>
        </w:rPr>
        <w:t>.</w:t>
      </w:r>
      <w:r w:rsidR="009410AC" w:rsidRPr="00EF75A4">
        <w:rPr>
          <w:rFonts w:cs="Times New Roman"/>
        </w:rPr>
        <w:t xml:space="preserve"> Similarly,</w:t>
      </w:r>
      <w:r w:rsidR="001F3FF6" w:rsidRPr="00EF75A4">
        <w:rPr>
          <w:rFonts w:cs="Times New Roman"/>
        </w:rPr>
        <w:t xml:space="preserve"> </w:t>
      </w:r>
      <w:r w:rsidR="00B23AF3" w:rsidRPr="00EF75A4">
        <w:rPr>
          <w:rFonts w:cs="Times New Roman"/>
        </w:rPr>
        <w:t>Huang et al.</w:t>
      </w:r>
      <w:r w:rsidR="00C1143D" w:rsidRPr="00EF75A4">
        <w:rPr>
          <w:rFonts w:cs="Times New Roman"/>
        </w:rPr>
        <w:t xml:space="preserve"> </w:t>
      </w:r>
      <w:r w:rsidR="00C1143D" w:rsidRPr="00EF75A4">
        <w:rPr>
          <w:rFonts w:cs="Times New Roman"/>
        </w:rPr>
        <w:fldChar w:fldCharType="begin" w:fldLock="1"/>
      </w:r>
      <w:r w:rsidR="00BB33F9">
        <w:rPr>
          <w:rFonts w:cs="Times New Roman"/>
        </w:rPr>
        <w:instrText>ADDIN CSL_CITATION {"citationItems":[{"id":"ITEM-1","itemData":{"DOI":"10.1016/j.jclepro.2017.09.042","ISSN":"09596526","abstract":"Phosphate is an important non-renewable resource. Over the recent years, due to the rapid explosion in world population the demand for phosphate fertilizer for use in grain production is burgeoning, resulting in the phosphate resources becoming increasingly scarce. Therefore, phosphate recovery from wastes has been drawing much attention. In this study, an attempt was made to recover phosphate from swine wastewater through struvite crystallization using plant ash as the alkali reagent. An increase in the solution pH and potassium concentration induced a drop in the struvite purity and a corresponding rise in the K-struvite purity. The maximum K-struvite purity was obtained at pH 10. The competitiveness of the K-struvite formation induced a significant relationship with the potassium concentration. When the K is to TAN molar ratio was 6, the competition ratio between the K-struvite and struvite reached 93.7%. The experimental results with actual wastewater revealed the feasibility of utilizing plant ash as the alkali reagent in struvite crystallization. Under optimal conditions, ˃96% of phosphate could be recovered from swine wastewater. An economic analysis revealed that the recovery cost of the proposed process was 1.27 $/kg PO4-P, which includes the costs incurred for chemicals, energy, manpower and maintenance. In fact, 0.31 $/kg PO4-P can be saved with the proposed process compared to the one using NaOH.","author":[{"dropping-particle":"","family":"Huang","given":"Haiming","non-dropping-particle":"","parse-names":false,"suffix":""},{"dropping-particle":"","family":"Zhang","given":"Ding Ding","non-dropping-particle":"","parse-names":false,"suffix":""},{"dropping-particle":"","family":"Li","given":"Jing","non-dropping-particle":"","parse-names":false,"suffix":""},{"dropping-particle":"","family":"Guo","given":"Guojun","non-dropping-particle":"","parse-names":false,"suffix":""},{"dropping-particle":"","family":"Tang","given":"Shoufeng","non-dropping-particle":"","parse-names":false,"suffix":""}],"container-title":"Journal of Cleaner Production","id":"ITEM-1","issued":{"date-parts":[["2017"]]},"page":"338-345","publisher":"Elsevier Ltd","title":"Phosphate recovery from swine wastewater using plant ash in chemical crystallization","type":"article-journal","volume":"168"},"uris":["http://www.mendeley.com/documents/?uuid=65c33f0f-2c94-476e-aa30-638e6d6fcf0b"]}],"mendeley":{"formattedCitation":"[55]","plainTextFormattedCitation":"[55]","previouslyFormattedCitation":"[55]"},"properties":{"noteIndex":0},"schema":"https://github.com/citation-style-language/schema/raw/master/csl-citation.json"}</w:instrText>
      </w:r>
      <w:r w:rsidR="00C1143D" w:rsidRPr="00EF75A4">
        <w:rPr>
          <w:rFonts w:cs="Times New Roman"/>
        </w:rPr>
        <w:fldChar w:fldCharType="separate"/>
      </w:r>
      <w:r w:rsidR="00D33723" w:rsidRPr="00D33723">
        <w:rPr>
          <w:rFonts w:cs="Times New Roman"/>
          <w:noProof/>
        </w:rPr>
        <w:t>[55]</w:t>
      </w:r>
      <w:r w:rsidR="00C1143D" w:rsidRPr="00EF75A4">
        <w:rPr>
          <w:rFonts w:cs="Times New Roman"/>
        </w:rPr>
        <w:fldChar w:fldCharType="end"/>
      </w:r>
      <w:r w:rsidR="00C1143D" w:rsidRPr="00EF75A4">
        <w:rPr>
          <w:rFonts w:cs="Times New Roman"/>
        </w:rPr>
        <w:t xml:space="preserve"> </w:t>
      </w:r>
      <w:r w:rsidR="00D96122" w:rsidRPr="00EF75A4">
        <w:rPr>
          <w:rFonts w:cs="Times New Roman"/>
        </w:rPr>
        <w:t>tested the dos</w:t>
      </w:r>
      <w:r w:rsidR="00B23AF3" w:rsidRPr="00EF75A4">
        <w:rPr>
          <w:rFonts w:cs="Times New Roman"/>
        </w:rPr>
        <w:t xml:space="preserve">e of plant ash up </w:t>
      </w:r>
      <w:r w:rsidR="009E0D70">
        <w:rPr>
          <w:rFonts w:cs="Times New Roman"/>
        </w:rPr>
        <w:t>to 28</w:t>
      </w:r>
      <w:r w:rsidR="003F6907">
        <w:rPr>
          <w:rFonts w:cs="Times New Roman"/>
        </w:rPr>
        <w:t>.5</w:t>
      </w:r>
      <w:r w:rsidR="009E0D70">
        <w:rPr>
          <w:rFonts w:cs="Times New Roman"/>
        </w:rPr>
        <w:t xml:space="preserve"> g pe</w:t>
      </w:r>
      <w:r w:rsidR="000C6DAB">
        <w:rPr>
          <w:rFonts w:cs="Times New Roman"/>
        </w:rPr>
        <w:t>r lit</w:t>
      </w:r>
      <w:r w:rsidR="009E0D70">
        <w:rPr>
          <w:rFonts w:cs="Times New Roman"/>
        </w:rPr>
        <w:t>re of</w:t>
      </w:r>
      <w:r w:rsidR="00830311" w:rsidRPr="00EF75A4">
        <w:rPr>
          <w:rFonts w:cs="Times New Roman"/>
        </w:rPr>
        <w:t xml:space="preserve"> swine wastewater with 529 mg</w:t>
      </w:r>
      <w:r w:rsidR="006B2E88">
        <w:rPr>
          <w:rFonts w:cs="Times New Roman"/>
        </w:rPr>
        <w:t xml:space="preserve"> </w:t>
      </w:r>
      <w:r w:rsidR="00830311" w:rsidRPr="00EF75A4">
        <w:rPr>
          <w:rFonts w:cs="Times New Roman"/>
        </w:rPr>
        <w:t>NH</w:t>
      </w:r>
      <w:r w:rsidR="00830311" w:rsidRPr="00EF75A4">
        <w:rPr>
          <w:rFonts w:cs="Times New Roman"/>
          <w:vertAlign w:val="subscript"/>
        </w:rPr>
        <w:t>4</w:t>
      </w:r>
      <w:r w:rsidR="00830311" w:rsidRPr="00EF75A4">
        <w:rPr>
          <w:rFonts w:cs="Times New Roman"/>
          <w:vertAlign w:val="superscript"/>
        </w:rPr>
        <w:t>+</w:t>
      </w:r>
      <w:r w:rsidR="007F0023">
        <w:rPr>
          <w:rFonts w:cs="Times New Roman"/>
        </w:rPr>
        <w:t xml:space="preserve"> &amp; </w:t>
      </w:r>
      <w:r w:rsidR="00830311" w:rsidRPr="00EF75A4">
        <w:rPr>
          <w:rFonts w:cs="Times New Roman"/>
        </w:rPr>
        <w:t>NH</w:t>
      </w:r>
      <w:r w:rsidR="00830311" w:rsidRPr="00EF75A4">
        <w:rPr>
          <w:rFonts w:cs="Times New Roman"/>
          <w:vertAlign w:val="subscript"/>
        </w:rPr>
        <w:t>3</w:t>
      </w:r>
      <w:r w:rsidR="00830311" w:rsidRPr="00EF75A4">
        <w:rPr>
          <w:rFonts w:cs="Times New Roman"/>
        </w:rPr>
        <w:t xml:space="preserve"> per litre</w:t>
      </w:r>
      <w:r w:rsidR="00B23AF3" w:rsidRPr="00EF75A4">
        <w:rPr>
          <w:rFonts w:cs="Times New Roman"/>
        </w:rPr>
        <w:t>.</w:t>
      </w:r>
      <w:r w:rsidR="009E0D70">
        <w:rPr>
          <w:rFonts w:cs="Times New Roman"/>
        </w:rPr>
        <w:t xml:space="preserve"> </w:t>
      </w:r>
      <w:r w:rsidR="00754911">
        <w:rPr>
          <w:rFonts w:cs="Times New Roman"/>
        </w:rPr>
        <w:t xml:space="preserve">Although the precipitation of </w:t>
      </w:r>
      <w:r w:rsidR="00FE7D82">
        <w:rPr>
          <w:rFonts w:cs="Times New Roman"/>
        </w:rPr>
        <w:t>the 97% of</w:t>
      </w:r>
      <w:r w:rsidR="00754911">
        <w:rPr>
          <w:rFonts w:cs="Times New Roman"/>
        </w:rPr>
        <w:t xml:space="preserve"> the 2</w:t>
      </w:r>
      <w:r w:rsidR="006C79B0">
        <w:rPr>
          <w:rFonts w:cs="Times New Roman"/>
        </w:rPr>
        <w:t>6</w:t>
      </w:r>
      <w:r w:rsidR="00754911">
        <w:rPr>
          <w:rFonts w:cs="Times New Roman"/>
        </w:rPr>
        <w:t>7 mg PO</w:t>
      </w:r>
      <w:r w:rsidR="00754911" w:rsidRPr="00754911">
        <w:rPr>
          <w:rFonts w:cs="Times New Roman"/>
          <w:vertAlign w:val="subscript"/>
        </w:rPr>
        <w:t>4</w:t>
      </w:r>
      <w:r w:rsidR="00754911" w:rsidRPr="00754911">
        <w:rPr>
          <w:rFonts w:cs="Times New Roman"/>
          <w:vertAlign w:val="superscript"/>
        </w:rPr>
        <w:t>3-</w:t>
      </w:r>
      <w:r w:rsidR="00A12885">
        <w:rPr>
          <w:rFonts w:cs="Times New Roman"/>
        </w:rPr>
        <w:t>/</w:t>
      </w:r>
      <w:r w:rsidR="00A12885" w:rsidRPr="00713E31">
        <w:rPr>
          <w:rFonts w:cs="Times New Roman"/>
        </w:rPr>
        <w:t>L in a 500 mL swine wastewater</w:t>
      </w:r>
      <w:r w:rsidR="00754911" w:rsidRPr="00713E31">
        <w:rPr>
          <w:rFonts w:cs="Times New Roman"/>
        </w:rPr>
        <w:t xml:space="preserve"> was found after 1 hour</w:t>
      </w:r>
      <w:r w:rsidR="00FE7D82" w:rsidRPr="00713E31">
        <w:rPr>
          <w:rFonts w:cs="Times New Roman"/>
        </w:rPr>
        <w:t xml:space="preserve"> using a dose of plant ash of 12.5 g/L</w:t>
      </w:r>
      <w:r w:rsidR="00754911" w:rsidRPr="00713E31">
        <w:rPr>
          <w:rFonts w:cs="Times New Roman"/>
        </w:rPr>
        <w:t>, they did not</w:t>
      </w:r>
      <w:r w:rsidR="005C7831" w:rsidRPr="00713E31">
        <w:rPr>
          <w:rFonts w:cs="Times New Roman"/>
        </w:rPr>
        <w:t xml:space="preserve"> report which share of PO</w:t>
      </w:r>
      <w:r w:rsidR="005C7831" w:rsidRPr="00713E31">
        <w:rPr>
          <w:rFonts w:cs="Times New Roman"/>
          <w:vertAlign w:val="subscript"/>
        </w:rPr>
        <w:t>4</w:t>
      </w:r>
      <w:r w:rsidR="005C7831" w:rsidRPr="00713E31">
        <w:rPr>
          <w:rFonts w:cs="Times New Roman"/>
          <w:vertAlign w:val="superscript"/>
        </w:rPr>
        <w:t>3-</w:t>
      </w:r>
      <w:r w:rsidR="005C7831" w:rsidRPr="00713E31">
        <w:rPr>
          <w:rFonts w:cs="Times New Roman"/>
        </w:rPr>
        <w:t xml:space="preserve"> in the precipitate </w:t>
      </w:r>
      <w:r w:rsidR="0080726C" w:rsidRPr="00713E31">
        <w:rPr>
          <w:rFonts w:cs="Times New Roman"/>
        </w:rPr>
        <w:t>corresponded to</w:t>
      </w:r>
      <w:r w:rsidR="005C7831" w:rsidRPr="00713E31">
        <w:rPr>
          <w:rFonts w:cs="Times New Roman"/>
        </w:rPr>
        <w:t xml:space="preserve"> struvite</w:t>
      </w:r>
      <w:r w:rsidR="00FE7D82" w:rsidRPr="00713E31">
        <w:rPr>
          <w:rFonts w:cs="Times New Roman"/>
        </w:rPr>
        <w:t>.</w:t>
      </w:r>
      <w:r w:rsidR="005C7831" w:rsidRPr="00713E31">
        <w:rPr>
          <w:rFonts w:cs="Times New Roman"/>
        </w:rPr>
        <w:t xml:space="preserve"> </w:t>
      </w:r>
      <w:r w:rsidR="00A12885" w:rsidRPr="00713E31">
        <w:rPr>
          <w:rFonts w:cs="Times New Roman"/>
        </w:rPr>
        <w:t xml:space="preserve">This information </w:t>
      </w:r>
      <w:r w:rsidR="00A53023" w:rsidRPr="00713E31">
        <w:rPr>
          <w:rFonts w:cs="Times New Roman"/>
        </w:rPr>
        <w:t>wa</w:t>
      </w:r>
      <w:r w:rsidR="00A12885" w:rsidRPr="00713E31">
        <w:rPr>
          <w:rFonts w:cs="Times New Roman"/>
        </w:rPr>
        <w:t>s</w:t>
      </w:r>
      <w:r w:rsidR="00A12885">
        <w:rPr>
          <w:rFonts w:cs="Times New Roman"/>
        </w:rPr>
        <w:t xml:space="preserve"> necessary for </w:t>
      </w:r>
      <w:r w:rsidR="005C7831">
        <w:rPr>
          <w:rFonts w:cs="Times New Roman"/>
        </w:rPr>
        <w:t>the calculation of the</w:t>
      </w:r>
      <w:r w:rsidR="00ED010F">
        <w:rPr>
          <w:rFonts w:cs="Times New Roman"/>
        </w:rPr>
        <w:t xml:space="preserve"> amount of</w:t>
      </w:r>
      <w:r w:rsidR="005C7831">
        <w:rPr>
          <w:rFonts w:cs="Times New Roman"/>
        </w:rPr>
        <w:t xml:space="preserve"> precipitated NH</w:t>
      </w:r>
      <w:r w:rsidR="005C7831" w:rsidRPr="005C7831">
        <w:rPr>
          <w:rFonts w:cs="Times New Roman"/>
          <w:vertAlign w:val="subscript"/>
        </w:rPr>
        <w:t>4</w:t>
      </w:r>
      <w:r w:rsidR="005C7831" w:rsidRPr="005C7831">
        <w:rPr>
          <w:rFonts w:cs="Times New Roman"/>
          <w:vertAlign w:val="superscript"/>
        </w:rPr>
        <w:t>+</w:t>
      </w:r>
      <w:r w:rsidR="00ED010F">
        <w:rPr>
          <w:rFonts w:cs="Times New Roman"/>
        </w:rPr>
        <w:t>,</w:t>
      </w:r>
      <w:r w:rsidR="00D96998">
        <w:rPr>
          <w:rFonts w:cs="Times New Roman"/>
        </w:rPr>
        <w:t xml:space="preserve"> </w:t>
      </w:r>
      <w:r w:rsidR="00D96998" w:rsidRPr="005226EE">
        <w:rPr>
          <w:rFonts w:cs="Times New Roman"/>
          <w:b/>
        </w:rPr>
        <w:t>since</w:t>
      </w:r>
      <w:r w:rsidR="00ED010F" w:rsidRPr="005226EE">
        <w:rPr>
          <w:rFonts w:cs="Times New Roman"/>
          <w:b/>
        </w:rPr>
        <w:t xml:space="preserve"> in their study</w:t>
      </w:r>
      <w:r w:rsidR="00D96998" w:rsidRPr="005226EE">
        <w:rPr>
          <w:rFonts w:cs="Times New Roman"/>
          <w:b/>
        </w:rPr>
        <w:t xml:space="preserve"> the PO</w:t>
      </w:r>
      <w:r w:rsidR="00D96998" w:rsidRPr="005226EE">
        <w:rPr>
          <w:rFonts w:cs="Times New Roman"/>
          <w:b/>
          <w:vertAlign w:val="subscript"/>
        </w:rPr>
        <w:t>4</w:t>
      </w:r>
      <w:r w:rsidR="00D96998" w:rsidRPr="005226EE">
        <w:rPr>
          <w:rFonts w:cs="Times New Roman"/>
          <w:b/>
          <w:vertAlign w:val="superscript"/>
        </w:rPr>
        <w:t>3-</w:t>
      </w:r>
      <w:r w:rsidR="00D96998" w:rsidRPr="005226EE">
        <w:rPr>
          <w:rFonts w:cs="Times New Roman"/>
          <w:b/>
        </w:rPr>
        <w:t xml:space="preserve"> also precipited with the calcium</w:t>
      </w:r>
      <w:r w:rsidR="00ED010F" w:rsidRPr="005226EE">
        <w:rPr>
          <w:rFonts w:cs="Times New Roman"/>
          <w:b/>
        </w:rPr>
        <w:t>, as</w:t>
      </w:r>
      <w:r w:rsidR="00D96998" w:rsidRPr="005226EE">
        <w:rPr>
          <w:rFonts w:cs="Times New Roman"/>
          <w:b/>
        </w:rPr>
        <w:t xml:space="preserve"> </w:t>
      </w:r>
      <w:r w:rsidR="00ED010F" w:rsidRPr="005226EE">
        <w:rPr>
          <w:rFonts w:cs="Times New Roman"/>
          <w:b/>
        </w:rPr>
        <w:t xml:space="preserve">hydroxyapatite, </w:t>
      </w:r>
      <w:r w:rsidR="00D96998" w:rsidRPr="005226EE">
        <w:rPr>
          <w:rFonts w:cs="Times New Roman"/>
          <w:b/>
        </w:rPr>
        <w:t xml:space="preserve">and </w:t>
      </w:r>
      <w:r w:rsidR="00ED010F" w:rsidRPr="005226EE">
        <w:rPr>
          <w:rFonts w:cs="Times New Roman"/>
          <w:b/>
        </w:rPr>
        <w:t xml:space="preserve">with </w:t>
      </w:r>
      <w:r w:rsidR="00D96998" w:rsidRPr="005226EE">
        <w:rPr>
          <w:rFonts w:cs="Times New Roman"/>
          <w:b/>
        </w:rPr>
        <w:t>the potassium</w:t>
      </w:r>
      <w:r w:rsidR="006A5348" w:rsidRPr="005226EE">
        <w:rPr>
          <w:rFonts w:cs="Times New Roman"/>
          <w:b/>
        </w:rPr>
        <w:t>,</w:t>
      </w:r>
      <w:r w:rsidR="00ED010F" w:rsidRPr="005226EE">
        <w:rPr>
          <w:rFonts w:cs="Times New Roman"/>
          <w:b/>
        </w:rPr>
        <w:t xml:space="preserve"> as</w:t>
      </w:r>
      <w:r w:rsidR="006A5348" w:rsidRPr="005226EE">
        <w:rPr>
          <w:rFonts w:cs="Times New Roman"/>
          <w:b/>
        </w:rPr>
        <w:t xml:space="preserve"> K-struvite (MgKPO</w:t>
      </w:r>
      <w:r w:rsidR="006A5348" w:rsidRPr="005226EE">
        <w:rPr>
          <w:rFonts w:cs="Times New Roman"/>
          <w:b/>
          <w:vertAlign w:val="subscript"/>
        </w:rPr>
        <w:t>4</w:t>
      </w:r>
      <w:r w:rsidR="006A5348" w:rsidRPr="005226EE">
        <w:rPr>
          <w:rFonts w:cs="Times New Roman"/>
          <w:b/>
        </w:rPr>
        <w:t>*6H</w:t>
      </w:r>
      <w:r w:rsidR="006A5348" w:rsidRPr="005226EE">
        <w:rPr>
          <w:rFonts w:cs="Times New Roman"/>
          <w:b/>
          <w:vertAlign w:val="subscript"/>
        </w:rPr>
        <w:t>2</w:t>
      </w:r>
      <w:r w:rsidR="006A5348" w:rsidRPr="005226EE">
        <w:rPr>
          <w:rFonts w:cs="Times New Roman"/>
          <w:b/>
        </w:rPr>
        <w:t>O)</w:t>
      </w:r>
      <w:r w:rsidR="00D96998">
        <w:rPr>
          <w:rFonts w:cs="Times New Roman"/>
        </w:rPr>
        <w:t>.</w:t>
      </w:r>
    </w:p>
    <w:p w14:paraId="494F001B" w14:textId="6249B5AD" w:rsidR="001A6C85" w:rsidRPr="00EF75A4" w:rsidRDefault="00C63F24" w:rsidP="00C807A3">
      <w:pPr>
        <w:pStyle w:val="Heading3"/>
        <w:spacing w:line="360" w:lineRule="auto"/>
      </w:pPr>
      <w:r w:rsidRPr="00EF75A4">
        <w:t xml:space="preserve">WS </w:t>
      </w:r>
      <w:r w:rsidR="00130E3E" w:rsidRPr="00EF75A4">
        <w:t>NO</w:t>
      </w:r>
      <w:r w:rsidR="00130E3E" w:rsidRPr="00EF75A4">
        <w:rPr>
          <w:vertAlign w:val="subscript"/>
        </w:rPr>
        <w:t>3</w:t>
      </w:r>
      <w:r w:rsidR="00130E3E" w:rsidRPr="00EF75A4">
        <w:rPr>
          <w:vertAlign w:val="superscript"/>
        </w:rPr>
        <w:t>-</w:t>
      </w:r>
      <w:r w:rsidR="007F0023">
        <w:t xml:space="preserve"> &amp; WS </w:t>
      </w:r>
      <w:r w:rsidR="004B2D70" w:rsidRPr="00EF75A4">
        <w:t>NO</w:t>
      </w:r>
      <w:r w:rsidR="004B2D70" w:rsidRPr="00EF75A4">
        <w:rPr>
          <w:vertAlign w:val="subscript"/>
        </w:rPr>
        <w:t>2</w:t>
      </w:r>
      <w:r w:rsidR="004B2D70" w:rsidRPr="00EF75A4">
        <w:rPr>
          <w:vertAlign w:val="superscript"/>
        </w:rPr>
        <w:t>-</w:t>
      </w:r>
      <w:r w:rsidR="00290F9C" w:rsidRPr="00EF75A4">
        <w:t xml:space="preserve"> profile</w:t>
      </w:r>
      <w:r w:rsidR="009C78E9">
        <w:t>s</w:t>
      </w:r>
    </w:p>
    <w:p w14:paraId="01766876" w14:textId="3A0CD348" w:rsidR="000179D7" w:rsidRDefault="00015254" w:rsidP="00C807A3">
      <w:pPr>
        <w:spacing w:line="360" w:lineRule="auto"/>
        <w:rPr>
          <w:rFonts w:cs="Times New Roman"/>
          <w:b/>
        </w:rPr>
      </w:pPr>
      <w:r w:rsidRPr="00EF75A4">
        <w:rPr>
          <w:rFonts w:cs="Times New Roman"/>
        </w:rPr>
        <w:t xml:space="preserve">In both blends, the same levels of </w:t>
      </w:r>
      <w:r w:rsidR="006B2E88">
        <w:rPr>
          <w:rFonts w:cs="Times New Roman"/>
        </w:rPr>
        <w:t xml:space="preserve">WS </w:t>
      </w:r>
      <w:r w:rsidRPr="00EF75A4">
        <w:rPr>
          <w:rFonts w:cs="Times New Roman"/>
        </w:rPr>
        <w:t>NO</w:t>
      </w:r>
      <w:r w:rsidRPr="00EF75A4">
        <w:rPr>
          <w:rFonts w:cs="Times New Roman"/>
          <w:vertAlign w:val="subscript"/>
        </w:rPr>
        <w:t>3</w:t>
      </w:r>
      <w:r w:rsidRPr="00EF75A4">
        <w:rPr>
          <w:rFonts w:cs="Times New Roman"/>
          <w:vertAlign w:val="superscript"/>
        </w:rPr>
        <w:t>-</w:t>
      </w:r>
      <w:r w:rsidR="006B2E88">
        <w:rPr>
          <w:rFonts w:cs="Times New Roman"/>
        </w:rPr>
        <w:t xml:space="preserve"> &amp; WS </w:t>
      </w:r>
      <w:r w:rsidRPr="00EF75A4">
        <w:rPr>
          <w:rFonts w:cs="Times New Roman"/>
        </w:rPr>
        <w:t>NO</w:t>
      </w:r>
      <w:r w:rsidRPr="00EF75A4">
        <w:rPr>
          <w:rFonts w:cs="Times New Roman"/>
          <w:vertAlign w:val="subscript"/>
        </w:rPr>
        <w:t>2</w:t>
      </w:r>
      <w:r w:rsidRPr="00EF75A4">
        <w:rPr>
          <w:rFonts w:cs="Times New Roman"/>
          <w:vertAlign w:val="superscript"/>
        </w:rPr>
        <w:t>-</w:t>
      </w:r>
      <w:r w:rsidRPr="00EF75A4">
        <w:rPr>
          <w:rFonts w:cs="Times New Roman"/>
        </w:rPr>
        <w:t xml:space="preserve"> were constant during the incubation (</w:t>
      </w:r>
      <w:r w:rsidR="00D54F4E" w:rsidRPr="00D54F4E">
        <w:rPr>
          <w:rFonts w:cs="Times New Roman"/>
        </w:rPr>
        <w:fldChar w:fldCharType="begin"/>
      </w:r>
      <w:r w:rsidR="00D54F4E" w:rsidRPr="00D54F4E">
        <w:rPr>
          <w:rFonts w:cs="Times New Roman"/>
        </w:rPr>
        <w:instrText xml:space="preserve"> REF _Ref27235160 \h  \* MERGEFORMAT </w:instrText>
      </w:r>
      <w:r w:rsidR="00D54F4E" w:rsidRPr="00D54F4E">
        <w:rPr>
          <w:rFonts w:cs="Times New Roman"/>
        </w:rPr>
      </w:r>
      <w:r w:rsidR="00D54F4E" w:rsidRPr="00D54F4E">
        <w:rPr>
          <w:rFonts w:cs="Times New Roman"/>
        </w:rPr>
        <w:fldChar w:fldCharType="separate"/>
      </w:r>
      <w:r w:rsidR="00360066" w:rsidRPr="00360066">
        <w:rPr>
          <w:rFonts w:cs="Times New Roman"/>
        </w:rPr>
        <w:t xml:space="preserve">Fig. </w:t>
      </w:r>
      <w:r w:rsidR="00360066" w:rsidRPr="00360066">
        <w:rPr>
          <w:rFonts w:cs="Times New Roman"/>
          <w:noProof/>
        </w:rPr>
        <w:t>3</w:t>
      </w:r>
      <w:r w:rsidR="00D54F4E" w:rsidRPr="00D54F4E">
        <w:rPr>
          <w:rFonts w:cs="Times New Roman"/>
        </w:rPr>
        <w:fldChar w:fldCharType="end"/>
      </w:r>
      <w:r w:rsidR="00D7171C">
        <w:rPr>
          <w:rFonts w:cs="Times New Roman"/>
        </w:rPr>
        <w:t xml:space="preserve"> </w:t>
      </w:r>
      <w:r w:rsidR="00D54F4E" w:rsidRPr="00D54F4E">
        <w:rPr>
          <w:rFonts w:cs="Times New Roman"/>
        </w:rPr>
        <w:t>b</w:t>
      </w:r>
      <w:r w:rsidR="00DB52FC">
        <w:rPr>
          <w:rFonts w:cs="Times New Roman"/>
        </w:rPr>
        <w:t>). The low value of 6–</w:t>
      </w:r>
      <w:r w:rsidRPr="00EF75A4">
        <w:rPr>
          <w:rFonts w:cs="Times New Roman"/>
        </w:rPr>
        <w:t xml:space="preserve">7 mg </w:t>
      </w:r>
      <w:r w:rsidR="006B2E88">
        <w:rPr>
          <w:rFonts w:cs="Times New Roman"/>
        </w:rPr>
        <w:t xml:space="preserve">WS </w:t>
      </w:r>
      <w:r w:rsidRPr="00EF75A4">
        <w:rPr>
          <w:rFonts w:cs="Times New Roman"/>
        </w:rPr>
        <w:t>NO</w:t>
      </w:r>
      <w:r w:rsidRPr="00EF75A4">
        <w:rPr>
          <w:rFonts w:cs="Times New Roman"/>
          <w:vertAlign w:val="subscript"/>
        </w:rPr>
        <w:t>3</w:t>
      </w:r>
      <w:r w:rsidRPr="00EF75A4">
        <w:rPr>
          <w:rFonts w:cs="Times New Roman"/>
          <w:vertAlign w:val="superscript"/>
        </w:rPr>
        <w:t>-</w:t>
      </w:r>
      <w:r w:rsidR="006B2E88">
        <w:rPr>
          <w:rFonts w:cs="Times New Roman"/>
        </w:rPr>
        <w:t xml:space="preserve"> &amp; WS </w:t>
      </w:r>
      <w:r w:rsidRPr="00EF75A4">
        <w:rPr>
          <w:rFonts w:cs="Times New Roman"/>
        </w:rPr>
        <w:t>NO</w:t>
      </w:r>
      <w:r w:rsidRPr="00EF75A4">
        <w:rPr>
          <w:rFonts w:cs="Times New Roman"/>
          <w:vertAlign w:val="subscript"/>
        </w:rPr>
        <w:t>2</w:t>
      </w:r>
      <w:r w:rsidRPr="00EF75A4">
        <w:rPr>
          <w:rFonts w:cs="Times New Roman"/>
          <w:vertAlign w:val="superscript"/>
        </w:rPr>
        <w:t>-</w:t>
      </w:r>
      <w:r w:rsidRPr="00EF75A4">
        <w:rPr>
          <w:rFonts w:cs="Times New Roman"/>
        </w:rPr>
        <w:t xml:space="preserve"> per kg blend could be associated with </w:t>
      </w:r>
      <w:r w:rsidRPr="00713E31">
        <w:rPr>
          <w:rFonts w:cs="Times New Roman"/>
        </w:rPr>
        <w:t xml:space="preserve">the </w:t>
      </w:r>
      <w:r w:rsidR="00BB06E1" w:rsidRPr="00713E31">
        <w:rPr>
          <w:rFonts w:cs="Times New Roman"/>
        </w:rPr>
        <w:t>low reactivity of the</w:t>
      </w:r>
      <w:r w:rsidR="002B0C42" w:rsidRPr="00713E31">
        <w:rPr>
          <w:rFonts w:cs="Times New Roman"/>
        </w:rPr>
        <w:t>se species</w:t>
      </w:r>
      <w:r w:rsidR="00BB06E1" w:rsidRPr="00713E31">
        <w:rPr>
          <w:rFonts w:cs="Times New Roman"/>
        </w:rPr>
        <w:t xml:space="preserve"> at low concentrations </w:t>
      </w:r>
      <w:r w:rsidR="00BB06E1" w:rsidRPr="00713E31">
        <w:rPr>
          <w:rFonts w:cs="Times New Roman"/>
        </w:rPr>
        <w:fldChar w:fldCharType="begin" w:fldLock="1"/>
      </w:r>
      <w:r w:rsidR="00BB33F9">
        <w:rPr>
          <w:rFonts w:cs="Times New Roman"/>
        </w:rPr>
        <w:instrText>ADDIN CSL_CITATION {"citationItems":[{"id":"ITEM-1","itemData":{"DOI":"10.1016/s0010-8545(99)00143-5","ISSN":"00108545","abstract":"The nitrate ion has high chemical stability, especially at low concentrations. Standard reduction potentials indicate that it should serve as an excellent oxidizing agent, but in order to react with suitable reducing agents to form elemental nitrogen or ammonia, special conditions, such as catalysts and high temperature and pressure, are required. A review of the literature on the chemical reduction of nitrate in aqueous systems has found about a hundred articles dealing with nitrate removal from such systems, with the majority having been published over the last decade. The reducing agents which have been examined to the greatest extent for acidic solution are formic acid, iron metal, methanol and the ammonium ion; while for basic solution aluminum, zinc and iron metals, iron(II), ammonia, hydrazine, glucose and hydrogen have been studied. © 2000 Elsevier Science S.A. All rights reserved.","author":[{"dropping-particle":"","family":"Fanning","given":"James C.","non-dropping-particle":"","parse-names":false,"suffix":""}],"container-title":"Coordination Chemistry Reviews","id":"ITEM-1","issue":"1","issued":{"date-parts":[["2000"]]},"page":"159-179","title":"The chemical reduction of nitrate in aqueous solution","type":"article-journal","volume":"199"},"uris":["http://www.mendeley.com/documents/?uuid=ff2d0773-0903-4270-b7d1-4d61aae8c3b7"]}],"mendeley":{"formattedCitation":"[56]","plainTextFormattedCitation":"[56]","previouslyFormattedCitation":"[56]"},"properties":{"noteIndex":0},"schema":"https://github.com/citation-style-language/schema/raw/master/csl-citation.json"}</w:instrText>
      </w:r>
      <w:r w:rsidR="00BB06E1" w:rsidRPr="00713E31">
        <w:rPr>
          <w:rFonts w:cs="Times New Roman"/>
          <w:vertAlign w:val="superscript"/>
        </w:rPr>
        <w:fldChar w:fldCharType="separate"/>
      </w:r>
      <w:r w:rsidR="00D33723" w:rsidRPr="00D33723">
        <w:rPr>
          <w:rFonts w:cs="Times New Roman"/>
          <w:noProof/>
        </w:rPr>
        <w:t>[56]</w:t>
      </w:r>
      <w:r w:rsidR="00BB06E1" w:rsidRPr="00713E31">
        <w:rPr>
          <w:rFonts w:cs="Times New Roman"/>
        </w:rPr>
        <w:fldChar w:fldCharType="end"/>
      </w:r>
      <w:r w:rsidR="00BB06E1" w:rsidRPr="00713E31">
        <w:rPr>
          <w:rFonts w:cs="Times New Roman"/>
        </w:rPr>
        <w:t>. Other explanation for the constant levels of WS NO</w:t>
      </w:r>
      <w:r w:rsidR="00BB06E1" w:rsidRPr="00713E31">
        <w:rPr>
          <w:rFonts w:cs="Times New Roman"/>
          <w:vertAlign w:val="subscript"/>
        </w:rPr>
        <w:t>3</w:t>
      </w:r>
      <w:r w:rsidR="00BB06E1" w:rsidRPr="00713E31">
        <w:rPr>
          <w:rFonts w:cs="Times New Roman"/>
          <w:vertAlign w:val="superscript"/>
        </w:rPr>
        <w:t>-</w:t>
      </w:r>
      <w:r w:rsidR="00BB06E1" w:rsidRPr="00713E31">
        <w:rPr>
          <w:rFonts w:cs="Times New Roman"/>
        </w:rPr>
        <w:t xml:space="preserve"> &amp; WS NO</w:t>
      </w:r>
      <w:r w:rsidR="00BB06E1" w:rsidRPr="00713E31">
        <w:rPr>
          <w:rFonts w:cs="Times New Roman"/>
          <w:vertAlign w:val="subscript"/>
        </w:rPr>
        <w:t>2</w:t>
      </w:r>
      <w:r w:rsidR="00BB06E1" w:rsidRPr="00713E31">
        <w:rPr>
          <w:rFonts w:cs="Times New Roman"/>
          <w:vertAlign w:val="superscript"/>
        </w:rPr>
        <w:t>-</w:t>
      </w:r>
      <w:r w:rsidR="00BB06E1" w:rsidRPr="00713E31">
        <w:rPr>
          <w:rFonts w:cs="Times New Roman"/>
        </w:rPr>
        <w:t xml:space="preserve"> in both blends during the incubation</w:t>
      </w:r>
      <w:r w:rsidR="00630937" w:rsidRPr="00713E31">
        <w:rPr>
          <w:rFonts w:cs="Times New Roman"/>
        </w:rPr>
        <w:t xml:space="preserve"> could</w:t>
      </w:r>
      <w:r w:rsidR="00BB06E1" w:rsidRPr="00713E31">
        <w:rPr>
          <w:rFonts w:cs="Times New Roman"/>
        </w:rPr>
        <w:t xml:space="preserve"> be the </w:t>
      </w:r>
      <w:r w:rsidRPr="00713E31">
        <w:rPr>
          <w:rFonts w:cs="Times New Roman"/>
        </w:rPr>
        <w:t>detection limit of the analytical procedure</w:t>
      </w:r>
      <w:r w:rsidRPr="00EF75A4">
        <w:rPr>
          <w:rFonts w:cs="Times New Roman"/>
        </w:rPr>
        <w:t>.</w:t>
      </w:r>
      <w:r w:rsidR="0071256F">
        <w:rPr>
          <w:rFonts w:cs="Times New Roman"/>
        </w:rPr>
        <w:t xml:space="preserve"> </w:t>
      </w:r>
      <w:r w:rsidR="000179D7" w:rsidRPr="00E14D0F">
        <w:rPr>
          <w:rFonts w:cs="Times New Roman"/>
          <w:b/>
        </w:rPr>
        <w:t>It should be noted that the concentration of WS NO</w:t>
      </w:r>
      <w:r w:rsidR="000179D7" w:rsidRPr="00E14D0F">
        <w:rPr>
          <w:rFonts w:cs="Times New Roman"/>
          <w:b/>
          <w:vertAlign w:val="subscript"/>
        </w:rPr>
        <w:t>3</w:t>
      </w:r>
      <w:r w:rsidR="000179D7" w:rsidRPr="00E14D0F">
        <w:rPr>
          <w:rFonts w:cs="Times New Roman"/>
          <w:b/>
          <w:vertAlign w:val="superscript"/>
        </w:rPr>
        <w:t>-</w:t>
      </w:r>
      <w:r w:rsidR="000179D7" w:rsidRPr="00E14D0F">
        <w:rPr>
          <w:rFonts w:cs="Times New Roman"/>
          <w:b/>
        </w:rPr>
        <w:t xml:space="preserve"> &amp; WS NO</w:t>
      </w:r>
      <w:r w:rsidR="000179D7" w:rsidRPr="00E14D0F">
        <w:rPr>
          <w:rFonts w:cs="Times New Roman"/>
          <w:b/>
          <w:vertAlign w:val="subscript"/>
        </w:rPr>
        <w:t>2</w:t>
      </w:r>
      <w:r w:rsidR="000179D7" w:rsidRPr="00E14D0F">
        <w:rPr>
          <w:rFonts w:cs="Times New Roman"/>
          <w:b/>
          <w:vertAlign w:val="superscript"/>
        </w:rPr>
        <w:t>-</w:t>
      </w:r>
      <w:r w:rsidR="000179D7" w:rsidRPr="00E14D0F">
        <w:rPr>
          <w:rFonts w:cs="Times New Roman"/>
          <w:b/>
        </w:rPr>
        <w:t xml:space="preserve"> shown in the </w:t>
      </w:r>
      <w:r w:rsidR="000179D7" w:rsidRPr="00E14D0F">
        <w:rPr>
          <w:rFonts w:cs="Times New Roman"/>
          <w:b/>
        </w:rPr>
        <w:fldChar w:fldCharType="begin"/>
      </w:r>
      <w:r w:rsidR="000179D7" w:rsidRPr="00E14D0F">
        <w:rPr>
          <w:rFonts w:cs="Times New Roman"/>
          <w:b/>
        </w:rPr>
        <w:instrText xml:space="preserve"> REF _Ref27235160 \h  \* MERGEFORMAT </w:instrText>
      </w:r>
      <w:r w:rsidR="000179D7" w:rsidRPr="00E14D0F">
        <w:rPr>
          <w:rFonts w:cs="Times New Roman"/>
          <w:b/>
        </w:rPr>
      </w:r>
      <w:r w:rsidR="000179D7" w:rsidRPr="00E14D0F">
        <w:rPr>
          <w:rFonts w:cs="Times New Roman"/>
          <w:b/>
        </w:rPr>
        <w:fldChar w:fldCharType="separate"/>
      </w:r>
      <w:r w:rsidR="000179D7" w:rsidRPr="00E14D0F">
        <w:rPr>
          <w:rFonts w:cs="Times New Roman"/>
          <w:b/>
        </w:rPr>
        <w:t xml:space="preserve">Fig. </w:t>
      </w:r>
      <w:r w:rsidR="000179D7" w:rsidRPr="00E14D0F">
        <w:rPr>
          <w:rFonts w:cs="Times New Roman"/>
          <w:b/>
          <w:noProof/>
        </w:rPr>
        <w:t>3</w:t>
      </w:r>
      <w:r w:rsidR="000179D7" w:rsidRPr="00E14D0F">
        <w:rPr>
          <w:rFonts w:cs="Times New Roman"/>
          <w:b/>
        </w:rPr>
        <w:fldChar w:fldCharType="end"/>
      </w:r>
      <w:r w:rsidR="000179D7" w:rsidRPr="00E14D0F">
        <w:rPr>
          <w:rFonts w:cs="Times New Roman"/>
          <w:b/>
        </w:rPr>
        <w:t xml:space="preserve"> </w:t>
      </w:r>
      <w:r w:rsidR="000179D7">
        <w:rPr>
          <w:rFonts w:cs="Times New Roman"/>
          <w:b/>
        </w:rPr>
        <w:t>(</w:t>
      </w:r>
      <w:r w:rsidR="000179D7" w:rsidRPr="00E14D0F">
        <w:rPr>
          <w:rFonts w:cs="Times New Roman"/>
          <w:b/>
        </w:rPr>
        <w:t>b</w:t>
      </w:r>
      <w:r w:rsidR="000179D7">
        <w:rPr>
          <w:rFonts w:cs="Times New Roman"/>
          <w:b/>
        </w:rPr>
        <w:t>)</w:t>
      </w:r>
      <w:r w:rsidR="000179D7" w:rsidRPr="00E14D0F">
        <w:rPr>
          <w:rFonts w:cs="Times New Roman"/>
          <w:b/>
        </w:rPr>
        <w:t xml:space="preserve"> is expressed in terms of fresh base of the blend (Online resource 4), and the concentration in the WS extract </w:t>
      </w:r>
      <w:r w:rsidR="000179D7" w:rsidRPr="00E14D0F">
        <w:rPr>
          <w:b/>
        </w:rPr>
        <w:t>(S:E ratio 1:10)</w:t>
      </w:r>
      <w:r w:rsidR="000179D7" w:rsidRPr="00E14D0F">
        <w:rPr>
          <w:rFonts w:cs="Times New Roman"/>
          <w:b/>
        </w:rPr>
        <w:t xml:space="preserve"> was around 0.65 </w:t>
      </w:r>
      <w:r w:rsidR="002C64C6">
        <w:rPr>
          <w:rFonts w:cs="Times New Roman"/>
          <w:b/>
        </w:rPr>
        <w:t>mg</w:t>
      </w:r>
      <w:r w:rsidR="000179D7" w:rsidRPr="00E14D0F">
        <w:rPr>
          <w:rFonts w:cs="Times New Roman"/>
          <w:b/>
        </w:rPr>
        <w:t xml:space="preserve"> </w:t>
      </w:r>
      <w:r w:rsidR="002C64C6" w:rsidRPr="00E14D0F">
        <w:rPr>
          <w:rFonts w:cs="Times New Roman"/>
          <w:b/>
        </w:rPr>
        <w:t>WS NO</w:t>
      </w:r>
      <w:r w:rsidR="002C64C6" w:rsidRPr="00E14D0F">
        <w:rPr>
          <w:rFonts w:cs="Times New Roman"/>
          <w:b/>
          <w:vertAlign w:val="subscript"/>
        </w:rPr>
        <w:t>3</w:t>
      </w:r>
      <w:r w:rsidR="002C64C6" w:rsidRPr="00E14D0F">
        <w:rPr>
          <w:rFonts w:cs="Times New Roman"/>
          <w:b/>
          <w:vertAlign w:val="superscript"/>
        </w:rPr>
        <w:t>-</w:t>
      </w:r>
      <w:r w:rsidR="002C64C6" w:rsidRPr="00E14D0F">
        <w:rPr>
          <w:rFonts w:cs="Times New Roman"/>
          <w:b/>
        </w:rPr>
        <w:t xml:space="preserve"> &amp; WS NO</w:t>
      </w:r>
      <w:r w:rsidR="002C64C6" w:rsidRPr="00E14D0F">
        <w:rPr>
          <w:rFonts w:cs="Times New Roman"/>
          <w:b/>
          <w:vertAlign w:val="subscript"/>
        </w:rPr>
        <w:t>2</w:t>
      </w:r>
      <w:r w:rsidR="002C64C6" w:rsidRPr="00E14D0F">
        <w:rPr>
          <w:rFonts w:cs="Times New Roman"/>
          <w:b/>
          <w:vertAlign w:val="superscript"/>
        </w:rPr>
        <w:t>-</w:t>
      </w:r>
      <w:r w:rsidR="002C64C6">
        <w:rPr>
          <w:rFonts w:cs="Times New Roman"/>
          <w:b/>
        </w:rPr>
        <w:t>/L</w:t>
      </w:r>
      <w:r w:rsidR="000179D7" w:rsidRPr="00E14D0F">
        <w:rPr>
          <w:rFonts w:cs="Times New Roman"/>
          <w:b/>
        </w:rPr>
        <w:t>.</w:t>
      </w:r>
      <w:r w:rsidR="00D202B2" w:rsidRPr="00D202B2">
        <w:rPr>
          <w:rFonts w:cs="Times New Roman"/>
          <w:b/>
        </w:rPr>
        <w:t xml:space="preserve"> </w:t>
      </w:r>
      <w:r w:rsidR="00D202B2">
        <w:rPr>
          <w:rFonts w:cs="Times New Roman"/>
          <w:b/>
        </w:rPr>
        <w:t xml:space="preserve">Nevertheless, according to the manufacturer of the Autoanalyzer, the method used in the present study has a detection limit of 1 </w:t>
      </w:r>
      <w:r w:rsidR="00D202B2">
        <w:rPr>
          <w:rFonts w:ascii="Calibri" w:hAnsi="Calibri" w:cs="Calibri"/>
          <w:b/>
        </w:rPr>
        <w:t>µ</w:t>
      </w:r>
      <w:r w:rsidR="00D202B2">
        <w:rPr>
          <w:rFonts w:cs="Times New Roman"/>
          <w:b/>
        </w:rPr>
        <w:t>g</w:t>
      </w:r>
      <w:r w:rsidR="00D202B2" w:rsidRPr="002D7EBF">
        <w:rPr>
          <w:rFonts w:cs="Times New Roman"/>
          <w:b/>
        </w:rPr>
        <w:t xml:space="preserve"> </w:t>
      </w:r>
      <w:r w:rsidR="00D202B2" w:rsidRPr="00E14D0F">
        <w:rPr>
          <w:rFonts w:cs="Times New Roman"/>
          <w:b/>
        </w:rPr>
        <w:t>WS NO</w:t>
      </w:r>
      <w:r w:rsidR="00D202B2" w:rsidRPr="00E14D0F">
        <w:rPr>
          <w:rFonts w:cs="Times New Roman"/>
          <w:b/>
          <w:vertAlign w:val="subscript"/>
        </w:rPr>
        <w:t>3</w:t>
      </w:r>
      <w:r w:rsidR="00D202B2" w:rsidRPr="00E14D0F">
        <w:rPr>
          <w:rFonts w:cs="Times New Roman"/>
          <w:b/>
          <w:vertAlign w:val="superscript"/>
        </w:rPr>
        <w:t>-</w:t>
      </w:r>
      <w:r w:rsidR="00D202B2" w:rsidRPr="00E14D0F">
        <w:rPr>
          <w:rFonts w:cs="Times New Roman"/>
          <w:b/>
        </w:rPr>
        <w:t xml:space="preserve"> &amp; WS NO</w:t>
      </w:r>
      <w:r w:rsidR="00D202B2" w:rsidRPr="00E14D0F">
        <w:rPr>
          <w:rFonts w:cs="Times New Roman"/>
          <w:b/>
          <w:vertAlign w:val="subscript"/>
        </w:rPr>
        <w:t>2</w:t>
      </w:r>
      <w:r w:rsidR="00D202B2" w:rsidRPr="00E14D0F">
        <w:rPr>
          <w:rFonts w:cs="Times New Roman"/>
          <w:b/>
          <w:vertAlign w:val="superscript"/>
        </w:rPr>
        <w:t>-</w:t>
      </w:r>
      <w:r w:rsidR="00D202B2">
        <w:rPr>
          <w:rFonts w:cs="Times New Roman"/>
          <w:b/>
        </w:rPr>
        <w:t>/L</w:t>
      </w:r>
      <w:r w:rsidR="00D202B2" w:rsidRPr="00523707">
        <w:rPr>
          <w:rFonts w:cs="Times New Roman"/>
          <w:b/>
        </w:rPr>
        <w:t xml:space="preserve"> </w:t>
      </w:r>
      <w:r w:rsidR="00523707" w:rsidRPr="00523707">
        <w:rPr>
          <w:rStyle w:val="FootnoteReference"/>
          <w:rFonts w:cs="Times New Roman"/>
          <w:b/>
        </w:rPr>
        <w:fldChar w:fldCharType="begin" w:fldLock="1"/>
      </w:r>
      <w:r w:rsidR="00233927">
        <w:rPr>
          <w:rFonts w:cs="Times New Roman"/>
          <w:b/>
        </w:rPr>
        <w:instrText>ADDIN CSL_CITATION {"citationItems":[{"id":"ITEM-1","itemData":{"author":[{"dropping-particle":"","family":"SEAL Analytical","given":"","non-dropping-particle":"","parse-names":false,"suffix":""}],"container-title":"Instructions manual","id":"ITEM-1","issued":{"date-parts":[["2012"]]},"page":"1-10","title":"AutoAnalyzer Method no. G-102-93 Rev. 8","type":"chapter"},"uris":["http://www.mendeley.com/documents/?uuid=bdcb0929-721c-4b51-8aca-0453a1fc74df"]}],"mendeley":{"formattedCitation":"[51]","plainTextFormattedCitation":"[51]","previouslyFormattedCitation":"[51]"},"properties":{"noteIndex":0},"schema":"https://github.com/citation-style-language/schema/raw/master/csl-citation.json"}</w:instrText>
      </w:r>
      <w:r w:rsidR="00523707" w:rsidRPr="00523707">
        <w:rPr>
          <w:rStyle w:val="FootnoteReference"/>
          <w:rFonts w:cs="Times New Roman"/>
          <w:b/>
        </w:rPr>
        <w:fldChar w:fldCharType="separate"/>
      </w:r>
      <w:r w:rsidR="00523707" w:rsidRPr="00523707">
        <w:rPr>
          <w:rFonts w:cs="Times New Roman"/>
          <w:b/>
          <w:noProof/>
        </w:rPr>
        <w:t>[51]</w:t>
      </w:r>
      <w:r w:rsidR="00523707" w:rsidRPr="00523707">
        <w:rPr>
          <w:rStyle w:val="FootnoteReference"/>
          <w:rFonts w:cs="Times New Roman"/>
          <w:b/>
        </w:rPr>
        <w:fldChar w:fldCharType="end"/>
      </w:r>
      <w:r w:rsidR="00D202B2" w:rsidRPr="00523707">
        <w:rPr>
          <w:rFonts w:cs="Times New Roman"/>
          <w:b/>
        </w:rPr>
        <w:t>.</w:t>
      </w:r>
    </w:p>
    <w:p w14:paraId="7CCD9470" w14:textId="31A57CEF" w:rsidR="005A2F7D" w:rsidRPr="00713E31" w:rsidRDefault="006A536A" w:rsidP="00C807A3">
      <w:pPr>
        <w:spacing w:line="360" w:lineRule="auto"/>
        <w:rPr>
          <w:rFonts w:cs="Times New Roman"/>
        </w:rPr>
      </w:pPr>
      <w:r w:rsidRPr="00EF75A4">
        <w:rPr>
          <w:rFonts w:cs="Times New Roman"/>
        </w:rPr>
        <w:t>Similarly to</w:t>
      </w:r>
      <w:r w:rsidR="007F0023">
        <w:rPr>
          <w:rFonts w:cs="Times New Roman"/>
        </w:rPr>
        <w:t xml:space="preserve"> WS</w:t>
      </w:r>
      <w:r w:rsidRPr="00EF75A4">
        <w:rPr>
          <w:rFonts w:cs="Times New Roman"/>
        </w:rPr>
        <w:t xml:space="preserve"> </w:t>
      </w:r>
      <w:r w:rsidR="00FE1530" w:rsidRPr="00EF75A4">
        <w:rPr>
          <w:rFonts w:cs="Times New Roman"/>
        </w:rPr>
        <w:t>NH</w:t>
      </w:r>
      <w:r w:rsidR="00FE1530" w:rsidRPr="00EF75A4">
        <w:rPr>
          <w:rFonts w:cs="Times New Roman"/>
          <w:vertAlign w:val="subscript"/>
        </w:rPr>
        <w:t>4</w:t>
      </w:r>
      <w:r w:rsidR="00FE1530" w:rsidRPr="00EF75A4">
        <w:rPr>
          <w:rFonts w:cs="Times New Roman"/>
          <w:vertAlign w:val="superscript"/>
        </w:rPr>
        <w:t>+</w:t>
      </w:r>
      <w:r w:rsidR="007F0023">
        <w:rPr>
          <w:rFonts w:cs="Times New Roman"/>
        </w:rPr>
        <w:t xml:space="preserve"> &amp; WS </w:t>
      </w:r>
      <w:r w:rsidR="00130E3E" w:rsidRPr="00EF75A4">
        <w:rPr>
          <w:rFonts w:cs="Times New Roman"/>
        </w:rPr>
        <w:t>NH</w:t>
      </w:r>
      <w:r w:rsidR="00CE03C4" w:rsidRPr="00EF75A4">
        <w:rPr>
          <w:rFonts w:cs="Times New Roman"/>
          <w:vertAlign w:val="subscript"/>
        </w:rPr>
        <w:t>3</w:t>
      </w:r>
      <w:r w:rsidRPr="00EF75A4">
        <w:rPr>
          <w:rFonts w:cs="Times New Roman"/>
        </w:rPr>
        <w:t xml:space="preserve">, there </w:t>
      </w:r>
      <w:r w:rsidR="00AC334B" w:rsidRPr="00EF75A4">
        <w:rPr>
          <w:rFonts w:cs="Times New Roman"/>
        </w:rPr>
        <w:t>wa</w:t>
      </w:r>
      <w:r w:rsidRPr="00EF75A4">
        <w:rPr>
          <w:rFonts w:cs="Times New Roman"/>
        </w:rPr>
        <w:t xml:space="preserve">s a </w:t>
      </w:r>
      <w:r w:rsidR="00137A04" w:rsidRPr="00EF75A4">
        <w:rPr>
          <w:rFonts w:cs="Times New Roman"/>
        </w:rPr>
        <w:t>loss</w:t>
      </w:r>
      <w:r w:rsidRPr="00EF75A4">
        <w:rPr>
          <w:rFonts w:cs="Times New Roman"/>
        </w:rPr>
        <w:t xml:space="preserve"> of</w:t>
      </w:r>
      <w:r w:rsidR="006A04F1" w:rsidRPr="00EF75A4">
        <w:rPr>
          <w:rFonts w:cs="Times New Roman"/>
        </w:rPr>
        <w:t xml:space="preserve"> the WS</w:t>
      </w:r>
      <w:r w:rsidRPr="00EF75A4">
        <w:rPr>
          <w:rFonts w:cs="Times New Roman"/>
        </w:rPr>
        <w:t xml:space="preserve"> </w:t>
      </w:r>
      <w:r w:rsidR="00130E3E" w:rsidRPr="00EF75A4">
        <w:rPr>
          <w:rFonts w:cs="Times New Roman"/>
        </w:rPr>
        <w:t>NO</w:t>
      </w:r>
      <w:r w:rsidR="00130E3E" w:rsidRPr="00EF75A4">
        <w:rPr>
          <w:rFonts w:cs="Times New Roman"/>
          <w:vertAlign w:val="subscript"/>
        </w:rPr>
        <w:t>3</w:t>
      </w:r>
      <w:r w:rsidR="00130E3E" w:rsidRPr="00EF75A4">
        <w:rPr>
          <w:rFonts w:cs="Times New Roman"/>
          <w:vertAlign w:val="superscript"/>
        </w:rPr>
        <w:t>-</w:t>
      </w:r>
      <w:r w:rsidR="006B2E88">
        <w:rPr>
          <w:rFonts w:cs="Times New Roman"/>
        </w:rPr>
        <w:t xml:space="preserve"> &amp; WS </w:t>
      </w:r>
      <w:r w:rsidR="004B2D70" w:rsidRPr="00EF75A4">
        <w:rPr>
          <w:rFonts w:cs="Times New Roman"/>
        </w:rPr>
        <w:t>NO</w:t>
      </w:r>
      <w:r w:rsidR="004B2D70" w:rsidRPr="00EF75A4">
        <w:rPr>
          <w:rFonts w:cs="Times New Roman"/>
          <w:vertAlign w:val="subscript"/>
        </w:rPr>
        <w:t>2</w:t>
      </w:r>
      <w:r w:rsidR="004B2D70" w:rsidRPr="00EF75A4">
        <w:rPr>
          <w:rFonts w:cs="Times New Roman"/>
          <w:vertAlign w:val="superscript"/>
        </w:rPr>
        <w:t>-</w:t>
      </w:r>
      <w:r w:rsidRPr="00EF75A4">
        <w:rPr>
          <w:rFonts w:cs="Times New Roman"/>
        </w:rPr>
        <w:t xml:space="preserve"> </w:t>
      </w:r>
      <w:r w:rsidR="00770A6C">
        <w:rPr>
          <w:rFonts w:cs="Times New Roman"/>
        </w:rPr>
        <w:t>at the time of</w:t>
      </w:r>
      <w:r w:rsidR="006A04F1" w:rsidRPr="00EF75A4">
        <w:rPr>
          <w:rFonts w:cs="Times New Roman"/>
        </w:rPr>
        <w:t xml:space="preserve"> </w:t>
      </w:r>
      <w:r w:rsidR="00E51018" w:rsidRPr="00EF75A4">
        <w:rPr>
          <w:rFonts w:cs="Times New Roman"/>
        </w:rPr>
        <w:t>blending</w:t>
      </w:r>
      <w:r w:rsidRPr="00EF75A4">
        <w:rPr>
          <w:rFonts w:cs="Times New Roman"/>
        </w:rPr>
        <w:t xml:space="preserve">. </w:t>
      </w:r>
      <w:r w:rsidR="00F55CAE" w:rsidRPr="00EF75A4">
        <w:rPr>
          <w:rFonts w:cs="Times New Roman"/>
        </w:rPr>
        <w:t>I</w:t>
      </w:r>
      <w:r w:rsidR="00A05EBA" w:rsidRPr="00EF75A4">
        <w:rPr>
          <w:rFonts w:cs="Times New Roman"/>
        </w:rPr>
        <w:t xml:space="preserve">t </w:t>
      </w:r>
      <w:r w:rsidR="004F263A">
        <w:rPr>
          <w:rFonts w:cs="Times New Roman"/>
        </w:rPr>
        <w:t>wa</w:t>
      </w:r>
      <w:r w:rsidR="004F263A" w:rsidRPr="00EF75A4">
        <w:rPr>
          <w:rFonts w:cs="Times New Roman"/>
        </w:rPr>
        <w:t xml:space="preserve">s </w:t>
      </w:r>
      <w:r w:rsidR="00A05EBA" w:rsidRPr="00EF75A4">
        <w:rPr>
          <w:rFonts w:cs="Times New Roman"/>
        </w:rPr>
        <w:t>not very likely that the nitrate remained in the system adsorbed in the ash</w:t>
      </w:r>
      <w:r w:rsidR="005C70F3">
        <w:rPr>
          <w:rFonts w:cs="Times New Roman"/>
        </w:rPr>
        <w:t>es</w:t>
      </w:r>
      <w:r w:rsidR="005A2F7D" w:rsidRPr="00EF75A4">
        <w:rPr>
          <w:rFonts w:cs="Times New Roman"/>
        </w:rPr>
        <w:t xml:space="preserve"> </w:t>
      </w:r>
      <w:r w:rsidR="005A2F7D" w:rsidRPr="00EF75A4">
        <w:rPr>
          <w:rFonts w:cs="Times New Roman"/>
        </w:rPr>
        <w:fldChar w:fldCharType="begin" w:fldLock="1"/>
      </w:r>
      <w:r w:rsidR="00233927">
        <w:rPr>
          <w:rFonts w:cs="Times New Roman"/>
        </w:rPr>
        <w:instrText>ADDIN CSL_CITATION {"citationItems":[{"id":"ITEM-1","itemData":{"DOI":"10.1016/j.jhazmat.2004.05.001","ISSN":"03043894","abstract":"In this study sepiolite, sepiolite activated by HCl, slag and powdered activated carbon were used as adsorbent with a particle size was between 71 and 80 μm (200-170 mesh). NaNO3 solution (100 mg/l) was used in batch adsorption experiments for nitrate removal. First kinetic studies were carried out and it was determined that slag was not effective for nitrate removal, then contact time, pH and adsorbent dosage effects on nitrate removal by adsorption were investigated using other adsorbents except slag. The equilibrium time was found to be 30, 45, 5 min for sepiolite, powdered activated carbon and activated sepiolite, respectively. The most effective pH value for nitrate removal was 2 for powdered activated carbon. pH value did not affect nitrate removal significantly for other adsorbents. Adsorbent dosages were varied from 5 to 20 g/l solutions. An increase in adsorbent dosage increased the percent removal of nitrate. A series of isotherm studies were undertaken and the data evaluated for compliance with the Langmuir and Freundlich isotherm models. To investigate the adsorption mechanisms, three simplified kinetic models, i.e., first-, second-order and intraparticle diffusion were tested. Adsorption followed second-order rate kinetics. The correlation coefficients for second order kinetic model are greater than 0.996. Experimental data show that sepiolite activated by HCl was effective for nitrate removal. © 2004 Elsevier B.V. All rights reserved.","author":[{"dropping-particle":"","family":"Öztürk","given":"Neşe","non-dropping-particle":"","parse-names":false,"suffix":""},{"dropping-particle":"","family":"Bektaş","given":"T. Ennil","non-dropping-particle":"","parse-names":false,"suffix":""}],"container-title":"Journal of Hazardous Materials","id":"ITEM-1","issue":"1-2","issued":{"date-parts":[["2004"]]},"page":"155-162","title":"Nitrate removal from aqueous solution by adsorption onto various materials","type":"article-journal","volume":"112"},"uris":["http://www.mendeley.com/documents/?uuid=20e93d6a-17fa-455a-a188-c53c4e1ce536"]}],"mendeley":{"formattedCitation":"[57]","plainTextFormattedCitation":"[57]","previouslyFormattedCitation":"[57]"},"properties":{"noteIndex":0},"schema":"https://github.com/citation-style-language/schema/raw/master/csl-citation.json"}</w:instrText>
      </w:r>
      <w:r w:rsidR="005A2F7D" w:rsidRPr="00EF75A4">
        <w:rPr>
          <w:rFonts w:cs="Times New Roman"/>
        </w:rPr>
        <w:fldChar w:fldCharType="separate"/>
      </w:r>
      <w:r w:rsidR="00523707" w:rsidRPr="00523707">
        <w:rPr>
          <w:rFonts w:cs="Times New Roman"/>
          <w:noProof/>
        </w:rPr>
        <w:t>[57]</w:t>
      </w:r>
      <w:r w:rsidR="005A2F7D" w:rsidRPr="00EF75A4">
        <w:rPr>
          <w:rFonts w:cs="Times New Roman"/>
        </w:rPr>
        <w:fldChar w:fldCharType="end"/>
      </w:r>
      <w:r w:rsidR="00A05EBA" w:rsidRPr="00EF75A4">
        <w:rPr>
          <w:rFonts w:cs="Times New Roman"/>
        </w:rPr>
        <w:t xml:space="preserve"> or in the digestate</w:t>
      </w:r>
      <w:r w:rsidR="005C70F3">
        <w:rPr>
          <w:rFonts w:cs="Times New Roman"/>
        </w:rPr>
        <w:t>s</w:t>
      </w:r>
      <w:r w:rsidR="00A05EBA" w:rsidRPr="00EF75A4">
        <w:rPr>
          <w:rFonts w:cs="Times New Roman"/>
        </w:rPr>
        <w:t xml:space="preserve"> fibre</w:t>
      </w:r>
      <w:r w:rsidR="005C70F3">
        <w:rPr>
          <w:rFonts w:cs="Times New Roman"/>
        </w:rPr>
        <w:t>s</w:t>
      </w:r>
      <w:r w:rsidR="00A05EBA" w:rsidRPr="00EF75A4">
        <w:rPr>
          <w:rFonts w:cs="Times New Roman"/>
        </w:rPr>
        <w:t xml:space="preserve"> </w:t>
      </w:r>
      <w:r w:rsidR="00A05EBA" w:rsidRPr="00EF75A4">
        <w:rPr>
          <w:rFonts w:cs="Times New Roman"/>
        </w:rPr>
        <w:fldChar w:fldCharType="begin" w:fldLock="1"/>
      </w:r>
      <w:r w:rsidR="00233927">
        <w:rPr>
          <w:rFonts w:cs="Times New Roman"/>
        </w:rPr>
        <w:instrText>ADDIN CSL_CITATION {"citationItems":[{"id":"ITEM-1","itemData":{"DOI":"10.1016/j.molliq.2019.04.105","ISSN":"01677322","abstract":"Waste lignocellulosic material, namely brewers’ spent grain (BSG), was modified by quaternisation, where amino groups were introduced into BSG via the reaction with N,N-dimethylformamide (DMF) and epichlorohydrin. The applicability of the modified BSG (MBSG) for the removal of nitrate ions from model solutions and wastewater was evaluated in batch adsorption experiments. Adsorption of nitrate to the MBSG was confirmed by FTIR analysis of the saturated/spent adsorbent. Fixed bed adsorption column and regeneration studies were performed to determine the regeneration capacity of MBSG. The MBSG had a maximum nitrate adsorption capacity of 22.65 mg g−1 for model nitrate solution, 18.22 mg g−1 for model wastewater and 14.4 mg g−1 for the real wastewater effluent generated from dairy industry. The analysis of the equilibrium data showed that the Freundlich isotherm model provided a slightly better fit to the obtained data than the Langmuir model, indicating multilayer sorption. The data were further analysed by pseudo-first-order and pseudo-second-order kinetic models, and the results revealed that the adsorption followed pseudo-second-order kinetics. The intraparticle diffusion model was used to interpret the mechanism of adsorption, and the results suggest that intraparticle diffusion was not the only process that controlled the adsorption. The adsorption-desorption studies in fixed bed column indicated that MBSG could be regenerated and reused for more than three cycles when model nitrate solutions were used. However, when real dairy industry effluent was used in the fixed bed experiments, the clogging of the column occurred. The applied modification technique was found to be appropriate yielding an effective adsorbent for selective nitrate removal from water.","author":[{"dropping-particle":"","family":"Stjepanović","given":"Marija","non-dropping-particle":"","parse-names":false,"suffix":""},{"dropping-particle":"","family":"Velić","given":"Natalija","non-dropping-particle":"","parse-names":false,"suffix":""},{"dropping-particle":"","family":"Lončarić","given":"Ante","non-dropping-particle":"","parse-names":false,"suffix":""},{"dropping-particle":"","family":"Gašo-Sokač","given":"Dajana","non-dropping-particle":"","parse-names":false,"suffix":""},{"dropping-particle":"","family":"Bušić","given":"Valentina","non-dropping-particle":"","parse-names":false,"suffix":""},{"dropping-particle":"","family":"Habuda-Stanić","given":"Mirna","non-dropping-particle":"","parse-names":false,"suffix":""}],"container-title":"Journal of Molecular Liquids","id":"ITEM-1","issued":{"date-parts":[["2019"]]},"page":"535-544","title":"Adsorptive removal of nitrate from wastewater using modified lignocellulosic waste material","type":"article-journal","volume":"285"},"uris":["http://www.mendeley.com/documents/?uuid=94683d91-9927-4e7d-a708-a4b9c5e42c9f"]}],"mendeley":{"formattedCitation":"[58]","plainTextFormattedCitation":"[58]","previouslyFormattedCitation":"[58]"},"properties":{"noteIndex":0},"schema":"https://github.com/citation-style-language/schema/raw/master/csl-citation.json"}</w:instrText>
      </w:r>
      <w:r w:rsidR="00A05EBA" w:rsidRPr="00EF75A4">
        <w:rPr>
          <w:rFonts w:cs="Times New Roman"/>
        </w:rPr>
        <w:fldChar w:fldCharType="separate"/>
      </w:r>
      <w:r w:rsidR="00523707" w:rsidRPr="00523707">
        <w:rPr>
          <w:rFonts w:cs="Times New Roman"/>
          <w:noProof/>
        </w:rPr>
        <w:t>[58]</w:t>
      </w:r>
      <w:r w:rsidR="00A05EBA" w:rsidRPr="00EF75A4">
        <w:rPr>
          <w:rFonts w:cs="Times New Roman"/>
        </w:rPr>
        <w:fldChar w:fldCharType="end"/>
      </w:r>
      <w:r w:rsidR="006732F1">
        <w:rPr>
          <w:rFonts w:cs="Times New Roman"/>
        </w:rPr>
        <w:t>,</w:t>
      </w:r>
      <w:r w:rsidR="00550287" w:rsidRPr="00EF75A4">
        <w:rPr>
          <w:rFonts w:cs="Times New Roman"/>
        </w:rPr>
        <w:t xml:space="preserve"> s</w:t>
      </w:r>
      <w:r w:rsidR="00E135FA" w:rsidRPr="00EF75A4">
        <w:rPr>
          <w:rFonts w:cs="Times New Roman"/>
        </w:rPr>
        <w:t xml:space="preserve">ince these materials have not been activated for </w:t>
      </w:r>
      <w:r w:rsidR="006732F1">
        <w:rPr>
          <w:rFonts w:cs="Times New Roman"/>
        </w:rPr>
        <w:t>th</w:t>
      </w:r>
      <w:r w:rsidR="00E135FA" w:rsidRPr="00EF75A4">
        <w:rPr>
          <w:rFonts w:cs="Times New Roman"/>
        </w:rPr>
        <w:t>a</w:t>
      </w:r>
      <w:r w:rsidR="006732F1">
        <w:rPr>
          <w:rFonts w:cs="Times New Roman"/>
        </w:rPr>
        <w:t>t</w:t>
      </w:r>
      <w:r w:rsidR="00E135FA" w:rsidRPr="00EF75A4">
        <w:rPr>
          <w:rFonts w:cs="Times New Roman"/>
        </w:rPr>
        <w:t xml:space="preserve"> purpose</w:t>
      </w:r>
      <w:r w:rsidR="00550287" w:rsidRPr="00EF75A4">
        <w:rPr>
          <w:rFonts w:cs="Times New Roman"/>
        </w:rPr>
        <w:t xml:space="preserve">. </w:t>
      </w:r>
      <w:r w:rsidR="00F55CAE" w:rsidRPr="00EF75A4">
        <w:rPr>
          <w:rFonts w:cs="Times New Roman"/>
        </w:rPr>
        <w:t>Also, t</w:t>
      </w:r>
      <w:r w:rsidR="00A05EBA" w:rsidRPr="00EF75A4">
        <w:rPr>
          <w:rFonts w:cs="Times New Roman"/>
        </w:rPr>
        <w:t xml:space="preserve">he biological </w:t>
      </w:r>
      <w:r w:rsidR="005219B4" w:rsidRPr="00EF75A4">
        <w:rPr>
          <w:rFonts w:cs="Times New Roman"/>
        </w:rPr>
        <w:t>desnitrification</w:t>
      </w:r>
      <w:r w:rsidR="00A05EBA" w:rsidRPr="00EF75A4">
        <w:rPr>
          <w:rFonts w:cs="Times New Roman"/>
        </w:rPr>
        <w:t xml:space="preserve"> </w:t>
      </w:r>
      <w:r w:rsidR="00A4778F" w:rsidRPr="00EF75A4">
        <w:rPr>
          <w:rFonts w:cs="Times New Roman"/>
        </w:rPr>
        <w:fldChar w:fldCharType="begin" w:fldLock="1"/>
      </w:r>
      <w:r w:rsidR="00233927">
        <w:rPr>
          <w:rFonts w:cs="Times New Roman"/>
        </w:rPr>
        <w:instrText>ADDIN CSL_CITATION {"citationItems":[{"id":"ITEM-1","itemData":{"DOI":"10.1016/j.apsoil.2012.09.003","ISBN":"0929-1393","ISSN":"09291393","abstract":"Anaerobic digestion of animal manure and crop residues may be employed to produce biogas as a climate-neutral source of energy and to recycle plant nutrients as fertilizers. However, especially organic farmers are concerned that fertilizing with the digestates may impact the soil microbiota and fertility because they contain more mineral nitrogen (N) and less organic carbon (C) than the non-digested input materials (e.g. raw animal slurry or fresh plant residues). Hence, an incubation study was performed where (1) water, (2) raw cattle slurry, (3) anaerobically digested cattle slurry/maize, (4) anaerobically digested cattle slurry/grass-clover, or (5) fresh grass-clover was applied to soil at arable realistic rates. Experimental unites were sequentially sampled destructively after 1, 3 and 9 days of incubation and the soil assayed for content of mineral N, available organic C, emission of CO2 and N2O, microbial phospholipid fatty acids (biomass and community composition) and catabolic response profiling (functional diversity). Fertilizing with the anaerobically digested materials increased the soil concentration of NO3\n- ca. 30-40% compared to when raw cattle slurry was applied. Grass-clover contributed with four times more readily degradable organic C than the other materials, causing an increased microbial biomass which depleted the soil for mineral N and probably also O2. Consequently, grass-clover also caused a ~10 times increase in emissions of CO2 and N2O greenhouse gasses compared to any of the other treatments during the 9 days. Regarding microbial community composition, grass-clover induced the largest changes in microbial diversity measures compared to the controls, where raw cattle slurry and the two anaerobically digested materials (cattle slurry/maize, cattle slurry/grass-clover) only induced minor and transient changes. ?? 2012 Elsevier B.V.","author":[{"dropping-particle":"","family":"Johansen","given":"Anders","non-dropping-particle":"","parse-names":false,"suffix":""},{"dropping-particle":"","family":"Carter","given":"Mette S.","non-dropping-particle":"","parse-names":false,"suffix":""},{"dropping-particle":"","family":"Jensen","given":"Erik S.","non-dropping-particle":"","parse-names":false,"suffix":""},{"dropping-particle":"","family":"Hauggard-Nielsen","given":"Henrik","non-dropping-particle":"","parse-names":false,"suffix":""},{"dropping-particle":"","family":"Ambus","given":"Per","non-dropping-particle":"","parse-names":false,"suffix":""}],"container-title":"Applied Soil Ecology","id":"ITEM-1","issued":{"date-parts":[["2013"]]},"page":"36-44","publisher":"Elsevier B.V.","title":"Effects of digestate from anaerobically digested cattle slurry and plant materials on soil microbial community and emission of CO2 and N2O","type":"article-journal","volume":"63"},"uris":["http://www.mendeley.com/documents/?uuid=e93c138a-892e-4dc3-9277-9b5ad64306e0"]}],"mendeley":{"formattedCitation":"[59]","plainTextFormattedCitation":"[59]","previouslyFormattedCitation":"[59]"},"properties":{"noteIndex":0},"schema":"https://github.com/citation-style-language/schema/raw/master/csl-citation.json"}</w:instrText>
      </w:r>
      <w:r w:rsidR="00A4778F" w:rsidRPr="00EF75A4">
        <w:rPr>
          <w:rFonts w:cs="Times New Roman"/>
        </w:rPr>
        <w:fldChar w:fldCharType="separate"/>
      </w:r>
      <w:r w:rsidR="00523707" w:rsidRPr="00523707">
        <w:rPr>
          <w:rFonts w:cs="Times New Roman"/>
          <w:noProof/>
        </w:rPr>
        <w:t>[59]</w:t>
      </w:r>
      <w:r w:rsidR="00A4778F" w:rsidRPr="00EF75A4">
        <w:rPr>
          <w:rFonts w:cs="Times New Roman"/>
        </w:rPr>
        <w:fldChar w:fldCharType="end"/>
      </w:r>
      <w:r w:rsidR="00A4778F" w:rsidRPr="00EF75A4">
        <w:rPr>
          <w:rFonts w:cs="Times New Roman"/>
        </w:rPr>
        <w:t xml:space="preserve"> </w:t>
      </w:r>
      <w:r w:rsidR="003E6874" w:rsidRPr="00EF75A4">
        <w:rPr>
          <w:rFonts w:cs="Times New Roman"/>
        </w:rPr>
        <w:t>should</w:t>
      </w:r>
      <w:r w:rsidR="00A05EBA" w:rsidRPr="00EF75A4">
        <w:rPr>
          <w:rFonts w:cs="Times New Roman"/>
        </w:rPr>
        <w:t xml:space="preserve"> not </w:t>
      </w:r>
      <w:r w:rsidR="003E6874" w:rsidRPr="00EF75A4">
        <w:rPr>
          <w:rFonts w:cs="Times New Roman"/>
        </w:rPr>
        <w:t xml:space="preserve">be </w:t>
      </w:r>
      <w:r w:rsidR="00A05EBA" w:rsidRPr="00EF75A4">
        <w:rPr>
          <w:rFonts w:cs="Times New Roman"/>
        </w:rPr>
        <w:t xml:space="preserve">possible in </w:t>
      </w:r>
      <w:r w:rsidR="00DA4FA7">
        <w:rPr>
          <w:rFonts w:cs="Times New Roman"/>
        </w:rPr>
        <w:t>the blends</w:t>
      </w:r>
      <w:r w:rsidR="00550287" w:rsidRPr="00EF75A4">
        <w:rPr>
          <w:rFonts w:cs="Times New Roman"/>
        </w:rPr>
        <w:t xml:space="preserve"> due to the high pH and short incubation (</w:t>
      </w:r>
      <w:r w:rsidR="00770A6C" w:rsidRPr="00770A6C">
        <w:rPr>
          <w:rFonts w:cs="Times New Roman"/>
        </w:rPr>
        <w:fldChar w:fldCharType="begin"/>
      </w:r>
      <w:r w:rsidR="00770A6C" w:rsidRPr="00770A6C">
        <w:rPr>
          <w:rFonts w:cs="Times New Roman"/>
        </w:rPr>
        <w:instrText xml:space="preserve"> REF _Ref37333243 \h  \* MERGEFORMAT </w:instrText>
      </w:r>
      <w:r w:rsidR="00770A6C" w:rsidRPr="00770A6C">
        <w:rPr>
          <w:rFonts w:cs="Times New Roman"/>
        </w:rPr>
      </w:r>
      <w:r w:rsidR="00770A6C" w:rsidRPr="00770A6C">
        <w:rPr>
          <w:rFonts w:cs="Times New Roman"/>
        </w:rPr>
        <w:fldChar w:fldCharType="separate"/>
      </w:r>
      <w:r w:rsidR="00E4647D" w:rsidRPr="00E4647D">
        <w:t xml:space="preserve">Fig. </w:t>
      </w:r>
      <w:r w:rsidR="00E4647D" w:rsidRPr="00E4647D">
        <w:rPr>
          <w:noProof/>
        </w:rPr>
        <w:t>2</w:t>
      </w:r>
      <w:r w:rsidR="00770A6C" w:rsidRPr="00770A6C">
        <w:rPr>
          <w:rFonts w:cs="Times New Roman"/>
        </w:rPr>
        <w:fldChar w:fldCharType="end"/>
      </w:r>
      <w:r w:rsidR="00D7171C">
        <w:rPr>
          <w:rFonts w:cs="Times New Roman"/>
        </w:rPr>
        <w:t xml:space="preserve"> </w:t>
      </w:r>
      <w:r w:rsidR="00770A6C" w:rsidRPr="00770A6C">
        <w:rPr>
          <w:rFonts w:cs="Times New Roman"/>
        </w:rPr>
        <w:t>a</w:t>
      </w:r>
      <w:r w:rsidR="00550287" w:rsidRPr="00EF75A4">
        <w:rPr>
          <w:rFonts w:cs="Times New Roman"/>
        </w:rPr>
        <w:t>)</w:t>
      </w:r>
      <w:r w:rsidR="00A05EBA" w:rsidRPr="00EF75A4">
        <w:rPr>
          <w:rFonts w:cs="Times New Roman"/>
        </w:rPr>
        <w:t xml:space="preserve">. </w:t>
      </w:r>
      <w:r w:rsidR="00BD7E0C" w:rsidRPr="00EF75A4">
        <w:rPr>
          <w:rFonts w:cs="Times New Roman"/>
        </w:rPr>
        <w:t>However, the N</w:t>
      </w:r>
      <w:r w:rsidR="00BD7E0C" w:rsidRPr="00EF75A4">
        <w:rPr>
          <w:rFonts w:cs="Times New Roman"/>
          <w:vertAlign w:val="subscript"/>
        </w:rPr>
        <w:t>2</w:t>
      </w:r>
      <w:r w:rsidR="00BD7E0C" w:rsidRPr="00EF75A4">
        <w:rPr>
          <w:rFonts w:cs="Times New Roman"/>
        </w:rPr>
        <w:t>O</w:t>
      </w:r>
      <w:r w:rsidR="00ED4883" w:rsidRPr="00ED4883">
        <w:rPr>
          <w:rFonts w:cs="Times New Roman"/>
          <w:vertAlign w:val="subscript"/>
        </w:rPr>
        <w:t xml:space="preserve"> </w:t>
      </w:r>
      <w:r w:rsidR="00ED4883">
        <w:rPr>
          <w:rFonts w:cs="Times New Roman"/>
          <w:vertAlign w:val="subscript"/>
        </w:rPr>
        <w:t>gas</w:t>
      </w:r>
      <w:r w:rsidR="00BD7E0C" w:rsidRPr="00EF75A4">
        <w:rPr>
          <w:rFonts w:cs="Times New Roman"/>
        </w:rPr>
        <w:t xml:space="preserve"> has been reported as the main product of abiotic reduction of </w:t>
      </w:r>
      <w:r w:rsidR="00CB5F99">
        <w:rPr>
          <w:rFonts w:cs="Times New Roman"/>
        </w:rPr>
        <w:t xml:space="preserve">WS </w:t>
      </w:r>
      <w:r w:rsidR="00BD7E0C" w:rsidRPr="00EF75A4">
        <w:rPr>
          <w:rFonts w:cs="Times New Roman"/>
        </w:rPr>
        <w:t>NO</w:t>
      </w:r>
      <w:r w:rsidR="00BD7E0C" w:rsidRPr="00EF75A4">
        <w:rPr>
          <w:rFonts w:cs="Times New Roman"/>
          <w:vertAlign w:val="subscript"/>
        </w:rPr>
        <w:t>3</w:t>
      </w:r>
      <w:r w:rsidR="00BD7E0C" w:rsidRPr="00EF75A4">
        <w:rPr>
          <w:rFonts w:cs="Times New Roman"/>
          <w:vertAlign w:val="superscript"/>
        </w:rPr>
        <w:t>-</w:t>
      </w:r>
      <w:r w:rsidR="00BD7E0C" w:rsidRPr="00EF75A4">
        <w:rPr>
          <w:rFonts w:cs="Times New Roman"/>
        </w:rPr>
        <w:t xml:space="preserve"> </w:t>
      </w:r>
      <w:r w:rsidR="00BD7E0C" w:rsidRPr="00EF75A4">
        <w:rPr>
          <w:rFonts w:cs="Times New Roman"/>
        </w:rPr>
        <w:fldChar w:fldCharType="begin" w:fldLock="1"/>
      </w:r>
      <w:r w:rsidR="00233927">
        <w:rPr>
          <w:rFonts w:cs="Times New Roman"/>
        </w:rPr>
        <w:instrText>ADDIN CSL_CITATION {"citationItems":[{"id":"ITEM-1","itemData":{"DOI":"10.1007/s11356-017-9797-4","ISSN":"16147499","abstract":"There are an increasing number of studies, which have shown the potential importance of abiotic denitrification in nitrogen biogeochemistry through pure chemical coupling between nitrate/nitrite reduction and Fe(II) oxidation. However, there is little direct evidence showing the environmental significance of abiotic nitrate (NO3−) reduction in acidic soils. We assessed the magnitude and gaseous product stoichiometry of abiotic nitrate reduction in acidic forest soils based on sterilized anoxic soil incubations at different soil pHs and nitrate loadings. The results showed that 24.9, 53.4, and 88.7% of added nitrate (70 mg N kg−1) were lost during 15 days incubation at pHs 3.9, 4.8, and 5.6, respectively. Nitrous oxide (N2O) was found as the dominant gaseous product of abiotic nitrate reduction, accounting for 5.0, 28.9, and 47.9% of nitrate losses at three pH levels, respectively. Minor but clear NO accumulations were observed for all nitrate-amended treatments, with the maxima at intermediate pH 4.8. The percentage of NO increased significantly with soil pH decline, leading to a negative correlation between NO/N2O ratio and soil pH. Though saturations were found under excessive nitrogen loading (i.e., 140 mg N kg−1), we still pose that abiotic nitrate reduction may represent a potentially important pathway for nitrate loss from acidic forest soils receiving nitrogen deposition. Our results here highlight the importance of abiotic nitrate reduction in the soil nitrogen cycle, with special relevance to nitrate removal and nitrogenous trace gas (NO and N2O) emissions from acidic soils.","author":[{"dropping-particle":"","family":"Wang","given":"Yajing","non-dropping-particle":"","parse-names":false,"suffix":""},{"dropping-particle":"","family":"Cao","given":"Wenchao","non-dropping-particle":"","parse-names":false,"suffix":""},{"dropping-particle":"","family":"Zhang","given":"Xinmu","non-dropping-particle":"","parse-names":false,"suffix":""},{"dropping-particle":"","family":"Guo","given":"Jingheng","non-dropping-particle":"","parse-names":false,"suffix":""}],"container-title":"Environmental Science and Pollution Research","id":"ITEM-1","issue":"28","issued":{"date-parts":[["2017"]]},"page":"22679-22687","publisher":"Environmental Science and Pollution Research","title":"Abiotic nitrate loss and nitrogenous trace gas emission from Chinese acidic forest soils","type":"article-journal","volume":"24"},"uris":["http://www.mendeley.com/documents/?uuid=c9777c24-1106-4294-a51e-c364650e533c"]}],"mendeley":{"formattedCitation":"[60]","plainTextFormattedCitation":"[60]","previouslyFormattedCitation":"[60]"},"properties":{"noteIndex":0},"schema":"https://github.com/citation-style-language/schema/raw/master/csl-citation.json"}</w:instrText>
      </w:r>
      <w:r w:rsidR="00BD7E0C" w:rsidRPr="00EF75A4">
        <w:rPr>
          <w:rFonts w:cs="Times New Roman"/>
        </w:rPr>
        <w:fldChar w:fldCharType="separate"/>
      </w:r>
      <w:r w:rsidR="00523707" w:rsidRPr="00523707">
        <w:rPr>
          <w:rFonts w:cs="Times New Roman"/>
          <w:noProof/>
        </w:rPr>
        <w:t>[60]</w:t>
      </w:r>
      <w:r w:rsidR="00BD7E0C" w:rsidRPr="00EF75A4">
        <w:rPr>
          <w:rFonts w:cs="Times New Roman"/>
        </w:rPr>
        <w:fldChar w:fldCharType="end"/>
      </w:r>
      <w:r w:rsidR="00BD7E0C" w:rsidRPr="00EF75A4">
        <w:rPr>
          <w:rFonts w:cs="Times New Roman"/>
        </w:rPr>
        <w:t xml:space="preserve"> and</w:t>
      </w:r>
      <w:r w:rsidR="00CB5F99">
        <w:rPr>
          <w:rFonts w:cs="Times New Roman"/>
        </w:rPr>
        <w:t xml:space="preserve"> WS</w:t>
      </w:r>
      <w:r w:rsidR="00BD7E0C" w:rsidRPr="00EF75A4">
        <w:rPr>
          <w:rFonts w:cs="Times New Roman"/>
        </w:rPr>
        <w:t xml:space="preserve"> NO</w:t>
      </w:r>
      <w:r w:rsidR="00BD7E0C" w:rsidRPr="00EF75A4">
        <w:rPr>
          <w:rFonts w:cs="Times New Roman"/>
          <w:vertAlign w:val="subscript"/>
        </w:rPr>
        <w:t>2</w:t>
      </w:r>
      <w:r w:rsidR="00BD7E0C" w:rsidRPr="00EF75A4">
        <w:rPr>
          <w:rFonts w:cs="Times New Roman"/>
          <w:vertAlign w:val="superscript"/>
        </w:rPr>
        <w:t>-</w:t>
      </w:r>
      <w:r w:rsidR="00BD7E0C" w:rsidRPr="00EF75A4">
        <w:rPr>
          <w:rFonts w:cs="Times New Roman"/>
        </w:rPr>
        <w:t xml:space="preserve"> </w:t>
      </w:r>
      <w:r w:rsidR="00BD7E0C" w:rsidRPr="00EF75A4">
        <w:rPr>
          <w:rFonts w:cs="Times New Roman"/>
        </w:rPr>
        <w:fldChar w:fldCharType="begin" w:fldLock="1"/>
      </w:r>
      <w:r w:rsidR="00233927">
        <w:rPr>
          <w:rFonts w:cs="Times New Roman"/>
        </w:rPr>
        <w:instrText>ADDIN CSL_CITATION {"citationItems":[{"id":"ITEM-1","itemData":{"DOI":"10.1016/j.gca.2016.04.041","ISSN":"00167037","abstract":"Despite mounting evidence for biogeochemical interactions between iron and nitrogen, our understanding of their environmental importance remains limited. Here we present an investigation of abiotic nitrite (NO2-) reduction by Fe(II) or 'chemodenitrification', and its relevance to the production of nitrous oxide (N2O), specifically focusing on dual (N and O) isotope systematics under a variety of environmental conditions. We observe a range of kinetic isotope effects that are regulated by reaction rates, with faster rates at higher pH (~8), higher concentrations of Fe(II) and in the presence of mineral surfaces. A clear non-linear relationship between rate constant and kinetic isotope effects of NO2- reduction was evident (with larger isotope effects at slower rates) and is interpreted as reflecting the dynamics of Fe(II)-N reaction intermediates. N and O isotopic composition of product N2O also suggests a complex network of parallel and/or competing pathways. Our findings suggest that NO2- reduction by Fe(II) may represent an important abiotic source of environmental N2O, especially in iron-rich environments experiencing dynamic redox variations. This study provides a multi-compound, multi-isotope framework for evaluating the environmental occurrence of abiotic NO2- reduction and N2O formation, helping future studies constrain the relative roles of abiotic and biological N2O production pathways.","author":[{"dropping-particle":"","family":"Buchwald","given":"Carolyn","non-dropping-particle":"","parse-names":false,"suffix":""},{"dropping-particle":"","family":"Grabb","given":"Kalina","non-dropping-particle":"","parse-names":false,"suffix":""},{"dropping-particle":"","family":"Hansel","given":"Colleen M.","non-dropping-particle":"","parse-names":false,"suffix":""},{"dropping-particle":"","family":"Wankel","given":"Scott D.","non-dropping-particle":"","parse-names":false,"suffix":""}],"container-title":"Geochimica et Cosmochimica Acta","id":"ITEM-1","issued":{"date-parts":[["2016"]]},"page":"1-12","publisher":"Elsevier Ltd","title":"Constraining the role of iron in environmental nitrogen transformations: Dual stable isotope systematics of abiotic NO2- reduction by Fe(II) and its production of N2O","type":"article-journal","volume":"186"},"uris":["http://www.mendeley.com/documents/?uuid=8c0336d6-c6de-423d-bf8d-0c45d73704f5"]}],"mendeley":{"formattedCitation":"[61]","plainTextFormattedCitation":"[61]","previouslyFormattedCitation":"[61]"},"properties":{"noteIndex":0},"schema":"https://github.com/citation-style-language/schema/raw/master/csl-citation.json"}</w:instrText>
      </w:r>
      <w:r w:rsidR="00BD7E0C" w:rsidRPr="00EF75A4">
        <w:rPr>
          <w:rFonts w:cs="Times New Roman"/>
        </w:rPr>
        <w:fldChar w:fldCharType="separate"/>
      </w:r>
      <w:r w:rsidR="00523707" w:rsidRPr="00523707">
        <w:rPr>
          <w:rFonts w:cs="Times New Roman"/>
          <w:noProof/>
        </w:rPr>
        <w:t>[61]</w:t>
      </w:r>
      <w:r w:rsidR="00BD7E0C" w:rsidRPr="00EF75A4">
        <w:rPr>
          <w:rFonts w:cs="Times New Roman"/>
        </w:rPr>
        <w:fldChar w:fldCharType="end"/>
      </w:r>
      <w:r w:rsidR="00BD7E0C" w:rsidRPr="00EF75A4">
        <w:rPr>
          <w:rFonts w:cs="Times New Roman"/>
        </w:rPr>
        <w:t xml:space="preserve"> to presence of iron around pH 7±1</w:t>
      </w:r>
      <w:r w:rsidR="004767A9" w:rsidRPr="00EF75A4">
        <w:rPr>
          <w:rFonts w:cs="Times New Roman"/>
        </w:rPr>
        <w:t>.</w:t>
      </w:r>
      <w:r w:rsidR="00846B69" w:rsidRPr="00EF75A4">
        <w:rPr>
          <w:rFonts w:cs="Times New Roman"/>
        </w:rPr>
        <w:t xml:space="preserve"> The reducing effect of the </w:t>
      </w:r>
      <w:r w:rsidR="00846B69" w:rsidRPr="00713E31">
        <w:rPr>
          <w:rFonts w:cs="Times New Roman"/>
        </w:rPr>
        <w:t>alkali and alkali</w:t>
      </w:r>
      <w:r w:rsidR="00B9164D" w:rsidRPr="00713E31">
        <w:rPr>
          <w:rFonts w:cs="Times New Roman"/>
        </w:rPr>
        <w:t xml:space="preserve">ne </w:t>
      </w:r>
      <w:r w:rsidR="00846B69" w:rsidRPr="00713E31">
        <w:rPr>
          <w:rFonts w:cs="Times New Roman"/>
        </w:rPr>
        <w:t xml:space="preserve">earth metals </w:t>
      </w:r>
      <w:r w:rsidR="00DB676E" w:rsidRPr="00713E31">
        <w:rPr>
          <w:rFonts w:cs="Times New Roman"/>
        </w:rPr>
        <w:t xml:space="preserve">depended </w:t>
      </w:r>
      <w:r w:rsidR="00846B69" w:rsidRPr="00713E31">
        <w:rPr>
          <w:rFonts w:cs="Times New Roman"/>
        </w:rPr>
        <w:t>on the form</w:t>
      </w:r>
      <w:r w:rsidR="00DB676E" w:rsidRPr="00713E31">
        <w:rPr>
          <w:rFonts w:cs="Times New Roman"/>
        </w:rPr>
        <w:t>s</w:t>
      </w:r>
      <w:r w:rsidR="00846B69" w:rsidRPr="00713E31">
        <w:rPr>
          <w:rFonts w:cs="Times New Roman"/>
        </w:rPr>
        <w:t xml:space="preserve"> in which these elements </w:t>
      </w:r>
      <w:r w:rsidR="00DB676E" w:rsidRPr="00713E31">
        <w:rPr>
          <w:rFonts w:cs="Times New Roman"/>
        </w:rPr>
        <w:t xml:space="preserve">were </w:t>
      </w:r>
      <w:r w:rsidR="00846B69" w:rsidRPr="00713E31">
        <w:rPr>
          <w:rFonts w:cs="Times New Roman"/>
        </w:rPr>
        <w:t>present</w:t>
      </w:r>
      <w:r w:rsidR="00DB676E" w:rsidRPr="00713E31">
        <w:rPr>
          <w:rFonts w:cs="Times New Roman"/>
        </w:rPr>
        <w:t>ed</w:t>
      </w:r>
      <w:r w:rsidR="00846B69" w:rsidRPr="00713E31">
        <w:rPr>
          <w:rFonts w:cs="Times New Roman"/>
        </w:rPr>
        <w:t xml:space="preserve"> in the ashes (</w:t>
      </w:r>
      <w:r w:rsidR="00785604" w:rsidRPr="00713E31">
        <w:rPr>
          <w:rFonts w:cs="Times New Roman"/>
        </w:rPr>
        <w:t xml:space="preserve">Online resource </w:t>
      </w:r>
      <w:r w:rsidR="0030614D" w:rsidRPr="00713E31">
        <w:rPr>
          <w:rFonts w:cs="Times New Roman"/>
        </w:rPr>
        <w:t>1</w:t>
      </w:r>
      <w:r w:rsidR="00846B69" w:rsidRPr="00713E31">
        <w:rPr>
          <w:rFonts w:cs="Times New Roman"/>
        </w:rPr>
        <w:t>)</w:t>
      </w:r>
      <w:r w:rsidR="006732F1" w:rsidRPr="00713E31">
        <w:rPr>
          <w:rFonts w:cs="Times New Roman"/>
        </w:rPr>
        <w:t xml:space="preserve">, which </w:t>
      </w:r>
      <w:r w:rsidR="00DB676E" w:rsidRPr="00713E31">
        <w:rPr>
          <w:rFonts w:cs="Times New Roman"/>
        </w:rPr>
        <w:t>were set by</w:t>
      </w:r>
      <w:r w:rsidR="006732F1" w:rsidRPr="00713E31">
        <w:rPr>
          <w:rFonts w:cs="Times New Roman"/>
        </w:rPr>
        <w:t xml:space="preserve"> the temperatur</w:t>
      </w:r>
      <w:r w:rsidR="0060550D" w:rsidRPr="00713E31">
        <w:rPr>
          <w:rFonts w:cs="Times New Roman"/>
        </w:rPr>
        <w:t>e of incineration and</w:t>
      </w:r>
      <w:r w:rsidR="00DB676E" w:rsidRPr="00713E31">
        <w:rPr>
          <w:rFonts w:cs="Times New Roman"/>
        </w:rPr>
        <w:t xml:space="preserve"> the</w:t>
      </w:r>
      <w:r w:rsidR="006732F1" w:rsidRPr="00713E31">
        <w:rPr>
          <w:rFonts w:cs="Times New Roman"/>
        </w:rPr>
        <w:t xml:space="preserve"> conditions of storage</w:t>
      </w:r>
      <w:r w:rsidR="00846B69" w:rsidRPr="00713E31">
        <w:rPr>
          <w:rFonts w:cs="Times New Roman"/>
        </w:rPr>
        <w:t>.</w:t>
      </w:r>
    </w:p>
    <w:p w14:paraId="4DC2001D" w14:textId="40CBA6C8" w:rsidR="009309B9" w:rsidRPr="00EF75A4" w:rsidRDefault="00A61FDB" w:rsidP="00C807A3">
      <w:pPr>
        <w:pStyle w:val="Heading3"/>
        <w:spacing w:line="360" w:lineRule="auto"/>
      </w:pPr>
      <w:r w:rsidRPr="00EF75A4">
        <w:t xml:space="preserve">WS </w:t>
      </w:r>
      <w:r w:rsidR="00A07B3C" w:rsidRPr="00EF75A4">
        <w:t>T</w:t>
      </w:r>
      <w:r w:rsidR="0000328F">
        <w:t>N and</w:t>
      </w:r>
      <w:r w:rsidRPr="00EF75A4">
        <w:t xml:space="preserve"> WS </w:t>
      </w:r>
      <w:r w:rsidR="00A07B3C" w:rsidRPr="00EF75A4">
        <w:t>T</w:t>
      </w:r>
      <w:r w:rsidR="00F91A82" w:rsidRPr="00EF75A4">
        <w:t>C</w:t>
      </w:r>
      <w:r w:rsidR="00290F9C" w:rsidRPr="00EF75A4">
        <w:t xml:space="preserve"> profile</w:t>
      </w:r>
      <w:r w:rsidR="009C78E9">
        <w:t>s</w:t>
      </w:r>
    </w:p>
    <w:p w14:paraId="510017E6" w14:textId="51FE40D4" w:rsidR="0035421E" w:rsidRPr="00EF75A4" w:rsidRDefault="00B64764" w:rsidP="00C807A3">
      <w:pPr>
        <w:spacing w:line="360" w:lineRule="auto"/>
        <w:rPr>
          <w:rFonts w:cs="Times New Roman"/>
        </w:rPr>
      </w:pPr>
      <w:r w:rsidRPr="00EF75A4">
        <w:rPr>
          <w:rFonts w:cs="Times New Roman"/>
        </w:rPr>
        <w:t xml:space="preserve">The </w:t>
      </w:r>
      <w:r w:rsidR="00A22A83" w:rsidRPr="00EF75A4">
        <w:rPr>
          <w:rFonts w:cs="Times New Roman"/>
        </w:rPr>
        <w:t xml:space="preserve">blends </w:t>
      </w:r>
      <w:r w:rsidR="00E90094" w:rsidRPr="00EF75A4">
        <w:rPr>
          <w:rFonts w:cs="Times New Roman"/>
        </w:rPr>
        <w:t>ha</w:t>
      </w:r>
      <w:r w:rsidR="00A07B3C" w:rsidRPr="00EF75A4">
        <w:rPr>
          <w:rFonts w:cs="Times New Roman"/>
        </w:rPr>
        <w:t>d</w:t>
      </w:r>
      <w:r w:rsidR="00A22A83" w:rsidRPr="00EF75A4">
        <w:rPr>
          <w:rFonts w:cs="Times New Roman"/>
        </w:rPr>
        <w:t xml:space="preserve"> opposite</w:t>
      </w:r>
      <w:r w:rsidRPr="00EF75A4">
        <w:rPr>
          <w:rFonts w:cs="Times New Roman"/>
        </w:rPr>
        <w:t xml:space="preserve"> trends both for the WS </w:t>
      </w:r>
      <w:r w:rsidR="00A07B3C" w:rsidRPr="00EF75A4">
        <w:rPr>
          <w:rFonts w:cs="Times New Roman"/>
        </w:rPr>
        <w:t>T</w:t>
      </w:r>
      <w:r w:rsidR="0000328F">
        <w:rPr>
          <w:rFonts w:cs="Times New Roman"/>
        </w:rPr>
        <w:t xml:space="preserve">N </w:t>
      </w:r>
      <w:r w:rsidRPr="00EF75A4">
        <w:rPr>
          <w:rFonts w:cs="Times New Roman"/>
        </w:rPr>
        <w:t xml:space="preserve">and the WS </w:t>
      </w:r>
      <w:r w:rsidR="00A07B3C" w:rsidRPr="00EF75A4">
        <w:rPr>
          <w:rFonts w:cs="Times New Roman"/>
        </w:rPr>
        <w:t>T</w:t>
      </w:r>
      <w:r w:rsidRPr="00EF75A4">
        <w:rPr>
          <w:rFonts w:cs="Times New Roman"/>
        </w:rPr>
        <w:t>C</w:t>
      </w:r>
      <w:r w:rsidR="00100C7F" w:rsidRPr="00EF75A4">
        <w:rPr>
          <w:rFonts w:cs="Times New Roman"/>
        </w:rPr>
        <w:t xml:space="preserve"> (</w:t>
      </w:r>
      <w:r w:rsidR="0000328F" w:rsidRPr="0000328F">
        <w:rPr>
          <w:rFonts w:cs="Times New Roman"/>
        </w:rPr>
        <w:fldChar w:fldCharType="begin"/>
      </w:r>
      <w:r w:rsidR="0000328F" w:rsidRPr="0000328F">
        <w:rPr>
          <w:rFonts w:cs="Times New Roman"/>
        </w:rPr>
        <w:instrText xml:space="preserve"> REF _Ref37579416 \h  \* MERGEFORMAT </w:instrText>
      </w:r>
      <w:r w:rsidR="0000328F" w:rsidRPr="0000328F">
        <w:rPr>
          <w:rFonts w:cs="Times New Roman"/>
        </w:rPr>
      </w:r>
      <w:r w:rsidR="0000328F" w:rsidRPr="0000328F">
        <w:rPr>
          <w:rFonts w:cs="Times New Roman"/>
        </w:rPr>
        <w:fldChar w:fldCharType="separate"/>
      </w:r>
      <w:r w:rsidR="00E4647D" w:rsidRPr="00E4647D">
        <w:t xml:space="preserve">Fig. </w:t>
      </w:r>
      <w:r w:rsidR="00E4647D" w:rsidRPr="00E4647D">
        <w:rPr>
          <w:noProof/>
        </w:rPr>
        <w:t>4</w:t>
      </w:r>
      <w:r w:rsidR="0000328F" w:rsidRPr="0000328F">
        <w:rPr>
          <w:rFonts w:cs="Times New Roman"/>
        </w:rPr>
        <w:fldChar w:fldCharType="end"/>
      </w:r>
      <w:r w:rsidR="00100C7F" w:rsidRPr="00EF75A4">
        <w:rPr>
          <w:rFonts w:cs="Times New Roman"/>
        </w:rPr>
        <w:t>)</w:t>
      </w:r>
      <w:r w:rsidRPr="00EF75A4">
        <w:rPr>
          <w:rFonts w:cs="Times New Roman"/>
        </w:rPr>
        <w:t>.</w:t>
      </w:r>
      <w:r w:rsidR="00A22A83" w:rsidRPr="00EF75A4">
        <w:rPr>
          <w:rFonts w:cs="Times New Roman"/>
        </w:rPr>
        <w:t xml:space="preserve"> </w:t>
      </w:r>
      <w:r w:rsidR="004962EC">
        <w:rPr>
          <w:rFonts w:cs="Times New Roman"/>
        </w:rPr>
        <w:t>T</w:t>
      </w:r>
      <w:r w:rsidR="00A22A83" w:rsidRPr="00EF75A4">
        <w:rPr>
          <w:rFonts w:cs="Times New Roman"/>
        </w:rPr>
        <w:t>he</w:t>
      </w:r>
      <w:r w:rsidR="0000328F">
        <w:rPr>
          <w:rFonts w:cs="Times New Roman"/>
        </w:rPr>
        <w:t xml:space="preserve"> blend 2</w:t>
      </w:r>
      <w:r w:rsidR="00A07B3C" w:rsidRPr="00EF75A4">
        <w:rPr>
          <w:rFonts w:cs="Times New Roman"/>
        </w:rPr>
        <w:t xml:space="preserve"> had a constant</w:t>
      </w:r>
      <w:r w:rsidR="00A22A83" w:rsidRPr="00EF75A4">
        <w:rPr>
          <w:rFonts w:cs="Times New Roman"/>
        </w:rPr>
        <w:t xml:space="preserve"> WS </w:t>
      </w:r>
      <w:r w:rsidR="00A07B3C" w:rsidRPr="00EF75A4">
        <w:rPr>
          <w:rFonts w:cs="Times New Roman"/>
        </w:rPr>
        <w:t>T</w:t>
      </w:r>
      <w:r w:rsidR="00A22A83" w:rsidRPr="00EF75A4">
        <w:rPr>
          <w:rFonts w:cs="Times New Roman"/>
        </w:rPr>
        <w:t xml:space="preserve">N during the whole incubation </w:t>
      </w:r>
      <w:r w:rsidR="00A22A83" w:rsidRPr="00713E31">
        <w:rPr>
          <w:rFonts w:cs="Times New Roman"/>
        </w:rPr>
        <w:t xml:space="preserve">period, </w:t>
      </w:r>
      <w:r w:rsidR="004962EC" w:rsidRPr="00713E31">
        <w:rPr>
          <w:rFonts w:cs="Times New Roman"/>
        </w:rPr>
        <w:t xml:space="preserve">while </w:t>
      </w:r>
      <w:r w:rsidR="00A07B3C" w:rsidRPr="00713E31">
        <w:rPr>
          <w:rFonts w:cs="Times New Roman"/>
        </w:rPr>
        <w:t>it</w:t>
      </w:r>
      <w:r w:rsidR="004962EC" w:rsidRPr="00713E31">
        <w:rPr>
          <w:rFonts w:cs="Times New Roman"/>
        </w:rPr>
        <w:t>s</w:t>
      </w:r>
      <w:r w:rsidR="00A07B3C" w:rsidRPr="00713E31">
        <w:rPr>
          <w:rFonts w:cs="Times New Roman"/>
        </w:rPr>
        <w:t xml:space="preserve"> </w:t>
      </w:r>
      <w:r w:rsidR="004962EC" w:rsidRPr="00713E31">
        <w:rPr>
          <w:rFonts w:cs="Times New Roman"/>
        </w:rPr>
        <w:t xml:space="preserve">WS TC </w:t>
      </w:r>
      <w:r w:rsidR="00A07B3C" w:rsidRPr="00713E31">
        <w:rPr>
          <w:rFonts w:cs="Times New Roman"/>
        </w:rPr>
        <w:t>significant</w:t>
      </w:r>
      <w:r w:rsidR="004962EC" w:rsidRPr="00713E31">
        <w:rPr>
          <w:rFonts w:cs="Times New Roman"/>
        </w:rPr>
        <w:t>ly</w:t>
      </w:r>
      <w:r w:rsidR="00A07B3C" w:rsidRPr="00713E31">
        <w:rPr>
          <w:rFonts w:cs="Times New Roman"/>
        </w:rPr>
        <w:t xml:space="preserve"> increase</w:t>
      </w:r>
      <w:r w:rsidR="004962EC" w:rsidRPr="00713E31">
        <w:rPr>
          <w:rFonts w:cs="Times New Roman"/>
        </w:rPr>
        <w:t>d</w:t>
      </w:r>
      <w:r w:rsidR="002A6C54" w:rsidRPr="00713E31">
        <w:rPr>
          <w:rFonts w:cs="Times New Roman"/>
        </w:rPr>
        <w:t>. On the other hand, the blend 1</w:t>
      </w:r>
      <w:r w:rsidR="00100C7F" w:rsidRPr="00713E31">
        <w:rPr>
          <w:rFonts w:cs="Times New Roman"/>
        </w:rPr>
        <w:t xml:space="preserve"> had a decrease in the WS TN during the first 3 hours of incubation and the WS </w:t>
      </w:r>
      <w:r w:rsidR="002A6C54" w:rsidRPr="00713E31">
        <w:rPr>
          <w:rFonts w:cs="Times New Roman"/>
        </w:rPr>
        <w:t>TC increased less than the blend 2</w:t>
      </w:r>
      <w:r w:rsidR="00100C7F" w:rsidRPr="00713E31">
        <w:rPr>
          <w:rFonts w:cs="Times New Roman"/>
        </w:rPr>
        <w:t>.</w:t>
      </w:r>
      <w:r w:rsidR="0035421E" w:rsidRPr="00713E31">
        <w:rPr>
          <w:rFonts w:cs="Times New Roman"/>
        </w:rPr>
        <w:t xml:space="preserve"> These </w:t>
      </w:r>
      <w:r w:rsidR="00E46D9E" w:rsidRPr="00713E31">
        <w:rPr>
          <w:rFonts w:cs="Times New Roman"/>
        </w:rPr>
        <w:t>trend</w:t>
      </w:r>
      <w:r w:rsidR="0035421E" w:rsidRPr="00713E31">
        <w:rPr>
          <w:rFonts w:cs="Times New Roman"/>
        </w:rPr>
        <w:t xml:space="preserve">s </w:t>
      </w:r>
      <w:r w:rsidR="00306A8C" w:rsidRPr="00713E31">
        <w:rPr>
          <w:rFonts w:cs="Times New Roman"/>
        </w:rPr>
        <w:t xml:space="preserve">could </w:t>
      </w:r>
      <w:r w:rsidR="0035421E" w:rsidRPr="00713E31">
        <w:rPr>
          <w:rFonts w:cs="Times New Roman"/>
        </w:rPr>
        <w:t xml:space="preserve">be explained by the initial composition of the samples. </w:t>
      </w:r>
      <w:r w:rsidR="00E46D9E" w:rsidRPr="00713E31">
        <w:rPr>
          <w:rFonts w:cs="Times New Roman"/>
        </w:rPr>
        <w:t>T</w:t>
      </w:r>
      <w:r w:rsidR="0035421E" w:rsidRPr="00713E31">
        <w:rPr>
          <w:rFonts w:cs="Times New Roman"/>
        </w:rPr>
        <w:t>he higher protein content of the feedstock used to prepare the FWD provided with a</w:t>
      </w:r>
      <w:r w:rsidR="000D6FA0" w:rsidRPr="00713E31">
        <w:rPr>
          <w:rFonts w:cs="Times New Roman"/>
        </w:rPr>
        <w:t xml:space="preserve"> fraction</w:t>
      </w:r>
      <w:r w:rsidR="000D6FA0">
        <w:rPr>
          <w:rFonts w:cs="Times New Roman"/>
        </w:rPr>
        <w:t xml:space="preserve"> of</w:t>
      </w:r>
      <w:r w:rsidR="0035421E" w:rsidRPr="00EF75A4">
        <w:rPr>
          <w:rFonts w:cs="Times New Roman"/>
        </w:rPr>
        <w:t xml:space="preserve"> N</w:t>
      </w:r>
      <w:r w:rsidR="0035421E" w:rsidRPr="00EF75A4">
        <w:rPr>
          <w:rFonts w:cs="Times New Roman"/>
          <w:vertAlign w:val="subscript"/>
        </w:rPr>
        <w:t>org</w:t>
      </w:r>
      <w:r w:rsidR="00E46D9E" w:rsidRPr="00EF75A4">
        <w:rPr>
          <w:rFonts w:cs="Times New Roman"/>
        </w:rPr>
        <w:t xml:space="preserve"> more</w:t>
      </w:r>
      <w:r w:rsidR="0035421E" w:rsidRPr="00EF75A4">
        <w:rPr>
          <w:rFonts w:cs="Times New Roman"/>
        </w:rPr>
        <w:t xml:space="preserve"> easily converted to </w:t>
      </w:r>
      <w:r w:rsidR="007F0023">
        <w:rPr>
          <w:rFonts w:cs="Times New Roman"/>
        </w:rPr>
        <w:t xml:space="preserve">WS </w:t>
      </w:r>
      <w:r w:rsidR="0035421E" w:rsidRPr="00EF75A4">
        <w:rPr>
          <w:rFonts w:cs="Times New Roman"/>
        </w:rPr>
        <w:t>NH</w:t>
      </w:r>
      <w:r w:rsidR="0035421E" w:rsidRPr="00EF75A4">
        <w:rPr>
          <w:rFonts w:cs="Times New Roman"/>
          <w:vertAlign w:val="subscript"/>
        </w:rPr>
        <w:t>4</w:t>
      </w:r>
      <w:r w:rsidR="0035421E" w:rsidRPr="00EF75A4">
        <w:rPr>
          <w:rFonts w:cs="Times New Roman"/>
          <w:vertAlign w:val="superscript"/>
        </w:rPr>
        <w:t>+</w:t>
      </w:r>
      <w:r w:rsidR="007F0023">
        <w:rPr>
          <w:rFonts w:cs="Times New Roman"/>
        </w:rPr>
        <w:t xml:space="preserve"> &amp; WS </w:t>
      </w:r>
      <w:r w:rsidR="0035421E" w:rsidRPr="00EF75A4">
        <w:rPr>
          <w:rFonts w:cs="Times New Roman"/>
        </w:rPr>
        <w:t>NH</w:t>
      </w:r>
      <w:r w:rsidR="0035421E" w:rsidRPr="00EF75A4">
        <w:rPr>
          <w:rFonts w:cs="Times New Roman"/>
          <w:vertAlign w:val="subscript"/>
        </w:rPr>
        <w:t>3</w:t>
      </w:r>
      <w:r w:rsidR="0035421E" w:rsidRPr="00EF75A4">
        <w:rPr>
          <w:rFonts w:cs="Times New Roman"/>
        </w:rPr>
        <w:t xml:space="preserve"> in the conditions of </w:t>
      </w:r>
      <w:r w:rsidR="005268AC">
        <w:rPr>
          <w:rFonts w:cs="Times New Roman"/>
        </w:rPr>
        <w:t xml:space="preserve">chemical </w:t>
      </w:r>
      <w:r w:rsidR="006F29E4">
        <w:rPr>
          <w:rFonts w:cs="Times New Roman"/>
        </w:rPr>
        <w:t>alkaline stabiliz</w:t>
      </w:r>
      <w:r w:rsidR="0035421E" w:rsidRPr="00EF75A4">
        <w:rPr>
          <w:rFonts w:cs="Times New Roman"/>
        </w:rPr>
        <w:t>ation</w:t>
      </w:r>
      <w:r w:rsidR="000D6FA0">
        <w:rPr>
          <w:rFonts w:cs="Times New Roman"/>
        </w:rPr>
        <w:t xml:space="preserve"> that were</w:t>
      </w:r>
      <w:r w:rsidR="0035421E" w:rsidRPr="00EF75A4">
        <w:rPr>
          <w:rFonts w:cs="Times New Roman"/>
        </w:rPr>
        <w:t xml:space="preserve"> tested. The N</w:t>
      </w:r>
      <w:r w:rsidR="0035421E" w:rsidRPr="00EF75A4">
        <w:rPr>
          <w:rFonts w:cs="Times New Roman"/>
          <w:vertAlign w:val="subscript"/>
        </w:rPr>
        <w:t>org</w:t>
      </w:r>
      <w:r w:rsidR="0035421E" w:rsidRPr="00EF75A4">
        <w:rPr>
          <w:rFonts w:cs="Times New Roman"/>
        </w:rPr>
        <w:t xml:space="preserve"> could be an important component of both, the </w:t>
      </w:r>
      <w:r w:rsidR="00EC5DC1" w:rsidRPr="00EF75A4">
        <w:rPr>
          <w:rFonts w:cs="Times New Roman"/>
        </w:rPr>
        <w:t>WI N</w:t>
      </w:r>
      <w:r w:rsidR="0035421E" w:rsidRPr="00EF75A4">
        <w:rPr>
          <w:rFonts w:cs="Times New Roman"/>
        </w:rPr>
        <w:t xml:space="preserve"> and the WS TN, and </w:t>
      </w:r>
      <w:r w:rsidR="00306A8C">
        <w:rPr>
          <w:rFonts w:cs="Times New Roman"/>
        </w:rPr>
        <w:t>it was</w:t>
      </w:r>
      <w:r w:rsidR="0035421E" w:rsidRPr="00EF75A4">
        <w:rPr>
          <w:rFonts w:cs="Times New Roman"/>
        </w:rPr>
        <w:t xml:space="preserve"> taken into account </w:t>
      </w:r>
      <w:r w:rsidR="00306A8C">
        <w:rPr>
          <w:rFonts w:cs="Times New Roman"/>
        </w:rPr>
        <w:t>to</w:t>
      </w:r>
      <w:r w:rsidR="00306A8C" w:rsidRPr="00EF75A4">
        <w:rPr>
          <w:rFonts w:cs="Times New Roman"/>
        </w:rPr>
        <w:t xml:space="preserve"> </w:t>
      </w:r>
      <w:r w:rsidR="0035421E" w:rsidRPr="00EF75A4">
        <w:rPr>
          <w:rFonts w:cs="Times New Roman"/>
        </w:rPr>
        <w:t>explain the changes in the concentrations of</w:t>
      </w:r>
      <w:r w:rsidR="007F0023">
        <w:rPr>
          <w:rFonts w:cs="Times New Roman"/>
        </w:rPr>
        <w:t xml:space="preserve"> WS</w:t>
      </w:r>
      <w:r w:rsidR="0035421E" w:rsidRPr="00EF75A4">
        <w:rPr>
          <w:rFonts w:cs="Times New Roman"/>
        </w:rPr>
        <w:t xml:space="preserve"> NH</w:t>
      </w:r>
      <w:r w:rsidR="0035421E" w:rsidRPr="00EF75A4">
        <w:rPr>
          <w:rFonts w:cs="Times New Roman"/>
          <w:vertAlign w:val="subscript"/>
        </w:rPr>
        <w:t>4</w:t>
      </w:r>
      <w:r w:rsidR="0035421E" w:rsidRPr="00EF75A4">
        <w:rPr>
          <w:rFonts w:cs="Times New Roman"/>
          <w:vertAlign w:val="superscript"/>
        </w:rPr>
        <w:t>+</w:t>
      </w:r>
      <w:r w:rsidR="007F0023">
        <w:rPr>
          <w:rFonts w:cs="Times New Roman"/>
        </w:rPr>
        <w:t xml:space="preserve"> &amp; WS </w:t>
      </w:r>
      <w:r w:rsidR="0035421E" w:rsidRPr="00EF75A4">
        <w:rPr>
          <w:rFonts w:cs="Times New Roman"/>
        </w:rPr>
        <w:t>NH</w:t>
      </w:r>
      <w:r w:rsidR="0035421E" w:rsidRPr="00EF75A4">
        <w:rPr>
          <w:rFonts w:cs="Times New Roman"/>
          <w:vertAlign w:val="subscript"/>
        </w:rPr>
        <w:t>3</w:t>
      </w:r>
      <w:r w:rsidR="0035421E" w:rsidRPr="00EF75A4">
        <w:rPr>
          <w:rFonts w:cs="Times New Roman"/>
        </w:rPr>
        <w:t xml:space="preserve"> and WS TN, in both blends (</w:t>
      </w:r>
      <w:r w:rsidR="00E256E0" w:rsidRPr="00E256E0">
        <w:rPr>
          <w:rFonts w:cs="Times New Roman"/>
        </w:rPr>
        <w:fldChar w:fldCharType="begin"/>
      </w:r>
      <w:r w:rsidR="00E256E0" w:rsidRPr="00E256E0">
        <w:rPr>
          <w:rFonts w:cs="Times New Roman"/>
        </w:rPr>
        <w:instrText xml:space="preserve"> REF _Ref37535458 \h  \* MERGEFORMAT </w:instrText>
      </w:r>
      <w:r w:rsidR="00E256E0" w:rsidRPr="00E256E0">
        <w:rPr>
          <w:rFonts w:cs="Times New Roman"/>
        </w:rPr>
      </w:r>
      <w:r w:rsidR="00E256E0" w:rsidRPr="00E256E0">
        <w:rPr>
          <w:rFonts w:cs="Times New Roman"/>
        </w:rPr>
        <w:fldChar w:fldCharType="separate"/>
      </w:r>
      <w:r w:rsidR="00E4647D" w:rsidRPr="00E4647D">
        <w:t xml:space="preserve">Fig. </w:t>
      </w:r>
      <w:r w:rsidR="00E4647D" w:rsidRPr="00E4647D">
        <w:rPr>
          <w:noProof/>
        </w:rPr>
        <w:t>5</w:t>
      </w:r>
      <w:r w:rsidR="00E256E0" w:rsidRPr="00E256E0">
        <w:rPr>
          <w:rFonts w:cs="Times New Roman"/>
        </w:rPr>
        <w:fldChar w:fldCharType="end"/>
      </w:r>
      <w:r w:rsidR="0035421E" w:rsidRPr="00EF75A4">
        <w:rPr>
          <w:rFonts w:cs="Times New Roman"/>
        </w:rPr>
        <w:t>).</w:t>
      </w:r>
    </w:p>
    <w:p w14:paraId="48EC954A" w14:textId="0D92C208" w:rsidR="007357B7" w:rsidRPr="00EF75A4" w:rsidRDefault="0035421E" w:rsidP="00C807A3">
      <w:pPr>
        <w:spacing w:line="360" w:lineRule="auto"/>
        <w:rPr>
          <w:rFonts w:cs="Times New Roman"/>
        </w:rPr>
      </w:pPr>
      <w:r w:rsidRPr="00EF75A4">
        <w:rPr>
          <w:rFonts w:cs="Times New Roman"/>
        </w:rPr>
        <w:t>The content of</w:t>
      </w:r>
      <w:r w:rsidR="007F0023">
        <w:rPr>
          <w:rFonts w:cs="Times New Roman"/>
        </w:rPr>
        <w:t xml:space="preserve"> WS</w:t>
      </w:r>
      <w:r w:rsidRPr="00EF75A4">
        <w:rPr>
          <w:rFonts w:cs="Times New Roman"/>
        </w:rPr>
        <w:t xml:space="preserve"> NH</w:t>
      </w:r>
      <w:r w:rsidRPr="00EF75A4">
        <w:rPr>
          <w:rFonts w:cs="Times New Roman"/>
          <w:vertAlign w:val="subscript"/>
        </w:rPr>
        <w:t>4</w:t>
      </w:r>
      <w:r w:rsidRPr="00EF75A4">
        <w:rPr>
          <w:rFonts w:cs="Times New Roman"/>
          <w:vertAlign w:val="superscript"/>
        </w:rPr>
        <w:t>+</w:t>
      </w:r>
      <w:r w:rsidR="007F0023">
        <w:rPr>
          <w:rFonts w:cs="Times New Roman"/>
        </w:rPr>
        <w:t xml:space="preserve"> &amp; WS </w:t>
      </w:r>
      <w:r w:rsidRPr="00EF75A4">
        <w:rPr>
          <w:rFonts w:cs="Times New Roman"/>
        </w:rPr>
        <w:t>NH</w:t>
      </w:r>
      <w:r w:rsidRPr="00EF75A4">
        <w:rPr>
          <w:rFonts w:cs="Times New Roman"/>
          <w:vertAlign w:val="subscript"/>
        </w:rPr>
        <w:t>3</w:t>
      </w:r>
      <w:r w:rsidRPr="00EF75A4">
        <w:rPr>
          <w:rFonts w:cs="Times New Roman"/>
        </w:rPr>
        <w:t xml:space="preserve"> in the blends was</w:t>
      </w:r>
      <w:r w:rsidR="00E256E0">
        <w:rPr>
          <w:rFonts w:cs="Times New Roman"/>
        </w:rPr>
        <w:t xml:space="preserve"> between one and two</w:t>
      </w:r>
      <w:r w:rsidRPr="00EF75A4">
        <w:rPr>
          <w:rFonts w:cs="Times New Roman"/>
        </w:rPr>
        <w:t xml:space="preserve"> orders of magnitude greater than the</w:t>
      </w:r>
      <w:r w:rsidR="006A4C1A">
        <w:rPr>
          <w:rFonts w:cs="Times New Roman"/>
        </w:rPr>
        <w:t xml:space="preserve"> WS</w:t>
      </w:r>
      <w:r w:rsidRPr="00EF75A4">
        <w:rPr>
          <w:rFonts w:cs="Times New Roman"/>
        </w:rPr>
        <w:t xml:space="preserve"> NO</w:t>
      </w:r>
      <w:r w:rsidRPr="00EF75A4">
        <w:rPr>
          <w:rFonts w:cs="Times New Roman"/>
          <w:vertAlign w:val="subscript"/>
        </w:rPr>
        <w:t>3</w:t>
      </w:r>
      <w:r w:rsidRPr="00EF75A4">
        <w:rPr>
          <w:rFonts w:cs="Times New Roman"/>
          <w:vertAlign w:val="superscript"/>
        </w:rPr>
        <w:t>-</w:t>
      </w:r>
      <w:r w:rsidR="006A4C1A">
        <w:rPr>
          <w:rFonts w:cs="Times New Roman"/>
        </w:rPr>
        <w:t xml:space="preserve"> &amp; </w:t>
      </w:r>
      <w:r w:rsidR="006A4C1A" w:rsidRPr="00713E31">
        <w:rPr>
          <w:rFonts w:cs="Times New Roman"/>
        </w:rPr>
        <w:t xml:space="preserve">WS </w:t>
      </w:r>
      <w:r w:rsidRPr="00713E31">
        <w:rPr>
          <w:rFonts w:cs="Times New Roman"/>
        </w:rPr>
        <w:t>NO</w:t>
      </w:r>
      <w:r w:rsidRPr="00713E31">
        <w:rPr>
          <w:rFonts w:cs="Times New Roman"/>
          <w:vertAlign w:val="subscript"/>
        </w:rPr>
        <w:t>2</w:t>
      </w:r>
      <w:r w:rsidRPr="00713E31">
        <w:rPr>
          <w:rFonts w:cs="Times New Roman"/>
          <w:vertAlign w:val="superscript"/>
        </w:rPr>
        <w:t>-</w:t>
      </w:r>
      <w:r w:rsidRPr="00713E31">
        <w:rPr>
          <w:rFonts w:cs="Times New Roman"/>
        </w:rPr>
        <w:t xml:space="preserve"> (</w:t>
      </w:r>
      <w:r w:rsidR="00B42460" w:rsidRPr="00713E31">
        <w:rPr>
          <w:rFonts w:cs="Times New Roman"/>
        </w:rPr>
        <w:fldChar w:fldCharType="begin"/>
      </w:r>
      <w:r w:rsidR="00B42460" w:rsidRPr="00713E31">
        <w:rPr>
          <w:rFonts w:cs="Times New Roman"/>
        </w:rPr>
        <w:instrText xml:space="preserve"> REF _Ref44759336 \h  \* MERGEFORMAT </w:instrText>
      </w:r>
      <w:r w:rsidR="00B42460" w:rsidRPr="00713E31">
        <w:rPr>
          <w:rFonts w:cs="Times New Roman"/>
        </w:rPr>
      </w:r>
      <w:r w:rsidR="00B42460" w:rsidRPr="00713E31">
        <w:rPr>
          <w:rFonts w:cs="Times New Roman"/>
        </w:rPr>
        <w:fldChar w:fldCharType="separate"/>
      </w:r>
      <w:r w:rsidR="00B42460" w:rsidRPr="00713E31">
        <w:rPr>
          <w:rFonts w:cs="Times New Roman"/>
        </w:rPr>
        <w:t xml:space="preserve">Table </w:t>
      </w:r>
      <w:r w:rsidR="00B42460" w:rsidRPr="00713E31">
        <w:rPr>
          <w:rFonts w:cs="Times New Roman"/>
          <w:noProof/>
        </w:rPr>
        <w:t>3</w:t>
      </w:r>
      <w:r w:rsidR="00B42460" w:rsidRPr="00713E31">
        <w:rPr>
          <w:rFonts w:cs="Times New Roman"/>
        </w:rPr>
        <w:fldChar w:fldCharType="end"/>
      </w:r>
      <w:r w:rsidRPr="00713E31">
        <w:rPr>
          <w:rFonts w:cs="Times New Roman"/>
        </w:rPr>
        <w:fldChar w:fldCharType="begin"/>
      </w:r>
      <w:r w:rsidRPr="00713E31">
        <w:rPr>
          <w:rFonts w:cs="Times New Roman"/>
        </w:rPr>
        <w:instrText xml:space="preserve"> REF _Ref13331821 \h </w:instrText>
      </w:r>
      <w:r w:rsidR="00F91F3C" w:rsidRPr="00713E31">
        <w:rPr>
          <w:rFonts w:cs="Times New Roman"/>
        </w:rPr>
        <w:instrText xml:space="preserve"> \* MERGEFORMAT </w:instrText>
      </w:r>
      <w:r w:rsidRPr="00713E31">
        <w:rPr>
          <w:rFonts w:cs="Times New Roman"/>
        </w:rPr>
      </w:r>
      <w:r w:rsidRPr="00713E31">
        <w:rPr>
          <w:rFonts w:cs="Times New Roman"/>
        </w:rPr>
        <w:fldChar w:fldCharType="end"/>
      </w:r>
      <w:r w:rsidRPr="00713E31">
        <w:rPr>
          <w:rFonts w:cs="Times New Roman"/>
        </w:rPr>
        <w:t xml:space="preserve">). </w:t>
      </w:r>
      <w:r w:rsidR="005E2DC2" w:rsidRPr="00713E31">
        <w:rPr>
          <w:rFonts w:cs="Times New Roman"/>
        </w:rPr>
        <w:t>Therefore</w:t>
      </w:r>
      <w:r w:rsidRPr="00EF75A4">
        <w:rPr>
          <w:rFonts w:cs="Times New Roman"/>
        </w:rPr>
        <w:t>, the loss of WS TN at the time of blending was mainly given by the reduction of the concentration of</w:t>
      </w:r>
      <w:r w:rsidR="007F0023">
        <w:rPr>
          <w:rFonts w:cs="Times New Roman"/>
        </w:rPr>
        <w:t xml:space="preserve"> WS</w:t>
      </w:r>
      <w:r w:rsidRPr="00EF75A4">
        <w:rPr>
          <w:rFonts w:cs="Times New Roman"/>
        </w:rPr>
        <w:t xml:space="preserve"> NH</w:t>
      </w:r>
      <w:r w:rsidRPr="00EF75A4">
        <w:rPr>
          <w:rFonts w:cs="Times New Roman"/>
          <w:vertAlign w:val="subscript"/>
        </w:rPr>
        <w:t>4</w:t>
      </w:r>
      <w:r w:rsidRPr="00EF75A4">
        <w:rPr>
          <w:rFonts w:cs="Times New Roman"/>
          <w:vertAlign w:val="superscript"/>
        </w:rPr>
        <w:t>+</w:t>
      </w:r>
      <w:r w:rsidR="007F0023">
        <w:rPr>
          <w:rFonts w:cs="Times New Roman"/>
        </w:rPr>
        <w:t xml:space="preserve"> &amp; WS </w:t>
      </w:r>
      <w:r w:rsidRPr="00EF75A4">
        <w:rPr>
          <w:rFonts w:cs="Times New Roman"/>
        </w:rPr>
        <w:t>NH</w:t>
      </w:r>
      <w:r w:rsidRPr="00EF75A4">
        <w:rPr>
          <w:rFonts w:cs="Times New Roman"/>
          <w:vertAlign w:val="subscript"/>
        </w:rPr>
        <w:t>3</w:t>
      </w:r>
      <w:r w:rsidRPr="00EF75A4">
        <w:rPr>
          <w:rFonts w:cs="Times New Roman"/>
        </w:rPr>
        <w:t xml:space="preserve"> in both blends.</w:t>
      </w:r>
      <w:r w:rsidR="00B27156" w:rsidRPr="00EF75A4">
        <w:rPr>
          <w:rFonts w:cs="Times New Roman"/>
        </w:rPr>
        <w:t xml:space="preserve"> In an open system (e.g. aft</w:t>
      </w:r>
      <w:r w:rsidR="008D62C9">
        <w:rPr>
          <w:rFonts w:cs="Times New Roman"/>
        </w:rPr>
        <w:t>er applying the blended fertiliz</w:t>
      </w:r>
      <w:r w:rsidR="00B27156" w:rsidRPr="00EF75A4">
        <w:rPr>
          <w:rFonts w:cs="Times New Roman"/>
        </w:rPr>
        <w:t>er to land), the leaching of WS N</w:t>
      </w:r>
      <w:r w:rsidR="00B27156" w:rsidRPr="00EF75A4">
        <w:rPr>
          <w:rFonts w:cs="Times New Roman"/>
          <w:vertAlign w:val="subscript"/>
        </w:rPr>
        <w:t>org</w:t>
      </w:r>
      <w:r w:rsidR="00B27156" w:rsidRPr="00EF75A4">
        <w:rPr>
          <w:rFonts w:cs="Times New Roman"/>
        </w:rPr>
        <w:t xml:space="preserve"> could be the main way of losing N </w:t>
      </w:r>
      <w:r w:rsidR="00B27156" w:rsidRPr="00EF75A4">
        <w:rPr>
          <w:rFonts w:cs="Times New Roman"/>
          <w:b/>
        </w:rPr>
        <w:fldChar w:fldCharType="begin" w:fldLock="1"/>
      </w:r>
      <w:r w:rsidR="00233927">
        <w:rPr>
          <w:rFonts w:cs="Times New Roman"/>
          <w:b/>
        </w:rPr>
        <w:instrText>ADDIN CSL_CITATION {"citationItems":[{"id":"ITEM-1","itemData":{"DOI":"10.1038/415416a","ISSN":"1476-4687","abstract":"Conceptual1,2,3,4 and numerical5,6,7,8 models of nitrogen cycling in temperate forests assume that nitrogen is lost from these ecosystems predominantly by way of inorganic forms, such as nitrate and ammonium ions. Of these, nitrate is thought to be particularly mobile, being responsible for nitrogen loss to deep soil and stream waters. But human activities—such as fossil fuel combustion, fertilizer production and land-use change—have substantially altered the nitrogen cycle over large regions9, making it difficult to separate natural aspects of nitrogen cycling from those induced by human perturbations10. Here we report stream chemistry data from 100 unpolluted primary forests in temperate South America. Although the sites exhibit a broad range of environmental factors that influence ecosystem nutrient cycles11,12,13 (such as climate, parent material, time of ecosystem development, topography and biotic diversity), we observed a remarkably consistent pattern of nitrogen loss across all forests. In contrast to findings from forests in polluted regions, streamwater nitrate concentrations are exceedingly low, such that nitrate to ammonium ratios were less than unity, and dissolved organic nitrogen is responsible for the majority of nitrogen losses from these forests. We therefore suggest that organic nitrogen losses should be considered in models of forest nutrient cycling, which could help to explain observations of nutrient limitation in temperate forest ecosystems.","author":[{"dropping-particle":"","family":"Perakis","given":"Steven S","non-dropping-particle":"","parse-names":false,"suffix":""},{"dropping-particle":"","family":"Hedin","given":"Lars O","non-dropping-particle":"","parse-names":false,"suffix":""}],"container-title":"Nature","id":"ITEM-1","issue":"6870","issued":{"date-parts":[["2002"]]},"page":"416-419","title":"Nitrogen loss from unpolluted South American forests mainly via dissolved organic compounds","type":"article-journal","volume":"415"},"uris":["http://www.mendeley.com/documents/?uuid=a28873e3-754f-4ed6-86c2-d783fd61e3a2"]}],"mendeley":{"formattedCitation":"[62]","plainTextFormattedCitation":"[62]","previouslyFormattedCitation":"[62]"},"properties":{"noteIndex":0},"schema":"https://github.com/citation-style-language/schema/raw/master/csl-citation.json"}</w:instrText>
      </w:r>
      <w:r w:rsidR="00B27156" w:rsidRPr="00EF75A4">
        <w:rPr>
          <w:rFonts w:cs="Times New Roman"/>
          <w:b/>
          <w:vertAlign w:val="superscript"/>
        </w:rPr>
        <w:fldChar w:fldCharType="separate"/>
      </w:r>
      <w:r w:rsidR="00523707" w:rsidRPr="00523707">
        <w:rPr>
          <w:rFonts w:cs="Times New Roman"/>
          <w:noProof/>
        </w:rPr>
        <w:t>[62]</w:t>
      </w:r>
      <w:r w:rsidR="00B27156" w:rsidRPr="00EF75A4">
        <w:rPr>
          <w:rFonts w:cs="Times New Roman"/>
          <w:b/>
        </w:rPr>
        <w:fldChar w:fldCharType="end"/>
      </w:r>
      <w:r w:rsidR="00B27156" w:rsidRPr="00EF75A4">
        <w:rPr>
          <w:rFonts w:cs="Times New Roman"/>
        </w:rPr>
        <w:t>.</w:t>
      </w:r>
      <w:r w:rsidR="007218C1" w:rsidRPr="00EF75A4">
        <w:rPr>
          <w:rFonts w:cs="Times New Roman"/>
        </w:rPr>
        <w:t xml:space="preserve"> Because of the high concentration of </w:t>
      </w:r>
      <w:r w:rsidR="008920A0">
        <w:rPr>
          <w:rFonts w:cs="Times New Roman"/>
        </w:rPr>
        <w:t>WS NH</w:t>
      </w:r>
      <w:r w:rsidR="008920A0" w:rsidRPr="008920A0">
        <w:rPr>
          <w:rFonts w:cs="Times New Roman"/>
          <w:vertAlign w:val="subscript"/>
        </w:rPr>
        <w:t>4</w:t>
      </w:r>
      <w:r w:rsidR="008920A0" w:rsidRPr="008920A0">
        <w:rPr>
          <w:rFonts w:cs="Times New Roman"/>
          <w:vertAlign w:val="superscript"/>
        </w:rPr>
        <w:t>+</w:t>
      </w:r>
      <w:r w:rsidR="008920A0">
        <w:rPr>
          <w:rFonts w:cs="Times New Roman"/>
        </w:rPr>
        <w:t xml:space="preserve"> &amp; NH</w:t>
      </w:r>
      <w:r w:rsidR="008920A0" w:rsidRPr="008920A0">
        <w:rPr>
          <w:rFonts w:cs="Times New Roman"/>
          <w:vertAlign w:val="subscript"/>
        </w:rPr>
        <w:t>3</w:t>
      </w:r>
      <w:r w:rsidR="007218C1" w:rsidRPr="00EF75A4">
        <w:rPr>
          <w:rFonts w:cs="Times New Roman"/>
        </w:rPr>
        <w:t xml:space="preserve"> in the blend 1, resulting from the conversion of the N</w:t>
      </w:r>
      <w:r w:rsidR="007218C1" w:rsidRPr="00EF75A4">
        <w:rPr>
          <w:rFonts w:cs="Times New Roman"/>
          <w:vertAlign w:val="subscript"/>
        </w:rPr>
        <w:t>org</w:t>
      </w:r>
      <w:r w:rsidR="007218C1" w:rsidRPr="00EF75A4">
        <w:rPr>
          <w:rFonts w:cs="Times New Roman"/>
        </w:rPr>
        <w:t xml:space="preserve">, it </w:t>
      </w:r>
      <w:r w:rsidR="00306A8C" w:rsidRPr="00EF75A4">
        <w:rPr>
          <w:rFonts w:cs="Times New Roman"/>
        </w:rPr>
        <w:t>t</w:t>
      </w:r>
      <w:r w:rsidR="00306A8C">
        <w:rPr>
          <w:rFonts w:cs="Times New Roman"/>
        </w:rPr>
        <w:t>ook</w:t>
      </w:r>
      <w:r w:rsidR="00306A8C" w:rsidRPr="00EF75A4">
        <w:rPr>
          <w:rFonts w:cs="Times New Roman"/>
        </w:rPr>
        <w:t xml:space="preserve"> </w:t>
      </w:r>
      <w:r w:rsidR="007218C1" w:rsidRPr="00EF75A4">
        <w:rPr>
          <w:rFonts w:cs="Times New Roman"/>
        </w:rPr>
        <w:t>longer to reach a stable level (</w:t>
      </w:r>
      <w:r w:rsidR="007218C1" w:rsidRPr="00306A8C">
        <w:rPr>
          <w:rFonts w:cs="Times New Roman"/>
        </w:rPr>
        <w:fldChar w:fldCharType="begin"/>
      </w:r>
      <w:r w:rsidR="007218C1" w:rsidRPr="00306A8C">
        <w:rPr>
          <w:rFonts w:cs="Times New Roman"/>
        </w:rPr>
        <w:instrText xml:space="preserve"> REF _Ref27235160 \h </w:instrText>
      </w:r>
      <w:r w:rsidR="00F91F3C" w:rsidRPr="00306A8C">
        <w:rPr>
          <w:rFonts w:cs="Times New Roman"/>
        </w:rPr>
        <w:instrText xml:space="preserve"> \* MERGEFORMAT </w:instrText>
      </w:r>
      <w:r w:rsidR="007218C1" w:rsidRPr="00306A8C">
        <w:rPr>
          <w:rFonts w:cs="Times New Roman"/>
        </w:rPr>
      </w:r>
      <w:r w:rsidR="007218C1" w:rsidRPr="00306A8C">
        <w:rPr>
          <w:rFonts w:cs="Times New Roman"/>
        </w:rPr>
        <w:fldChar w:fldCharType="separate"/>
      </w:r>
      <w:r w:rsidR="00E4647D" w:rsidRPr="00306A8C">
        <w:rPr>
          <w:rFonts w:cs="Times New Roman"/>
        </w:rPr>
        <w:t>Fig.</w:t>
      </w:r>
      <w:r w:rsidR="00E4647D" w:rsidRPr="00306A8C">
        <w:rPr>
          <w:rFonts w:cs="Times New Roman"/>
          <w:noProof/>
        </w:rPr>
        <w:t xml:space="preserve"> 3</w:t>
      </w:r>
      <w:r w:rsidR="007218C1" w:rsidRPr="00306A8C">
        <w:rPr>
          <w:rFonts w:cs="Times New Roman"/>
        </w:rPr>
        <w:fldChar w:fldCharType="end"/>
      </w:r>
      <w:r w:rsidR="00D7171C">
        <w:rPr>
          <w:rFonts w:cs="Times New Roman"/>
        </w:rPr>
        <w:t xml:space="preserve"> </w:t>
      </w:r>
      <w:r w:rsidR="006616F6" w:rsidRPr="00306A8C">
        <w:rPr>
          <w:rFonts w:cs="Times New Roman"/>
        </w:rPr>
        <w:t>a</w:t>
      </w:r>
      <w:r w:rsidR="007218C1" w:rsidRPr="00EF75A4">
        <w:rPr>
          <w:rFonts w:cs="Times New Roman"/>
        </w:rPr>
        <w:t>).</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820"/>
      </w:tblGrid>
      <w:tr w:rsidR="00B64764" w:rsidRPr="00EF75A4" w14:paraId="2B3AD484" w14:textId="77777777" w:rsidTr="00871E1E">
        <w:trPr>
          <w:trHeight w:val="2268"/>
        </w:trPr>
        <w:tc>
          <w:tcPr>
            <w:tcW w:w="4531" w:type="dxa"/>
          </w:tcPr>
          <w:p w14:paraId="717C3F05" w14:textId="33C1FA3C" w:rsidR="00B64764" w:rsidRPr="00EF75A4" w:rsidRDefault="00B64764" w:rsidP="00AA5D63">
            <w:pPr>
              <w:keepNext/>
              <w:spacing w:line="360" w:lineRule="auto"/>
              <w:rPr>
                <w:rFonts w:cs="Times New Roman"/>
              </w:rPr>
            </w:pPr>
            <w:r w:rsidRPr="00EF75A4">
              <w:rPr>
                <w:rFonts w:cs="Times New Roman"/>
                <w:noProof/>
                <w:lang w:eastAsia="en-GB"/>
              </w:rPr>
              <w:lastRenderedPageBreak/>
              <w:drawing>
                <wp:inline distT="0" distB="0" distL="0" distR="0" wp14:anchorId="0AF7A44C" wp14:editId="4B5CA2D6">
                  <wp:extent cx="2674554" cy="1842448"/>
                  <wp:effectExtent l="0" t="0" r="0" b="571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c>
          <w:tcPr>
            <w:tcW w:w="4820" w:type="dxa"/>
          </w:tcPr>
          <w:p w14:paraId="500A03A6" w14:textId="4B78C0D3" w:rsidR="00B64764" w:rsidRPr="00EF75A4" w:rsidRDefault="00B64764" w:rsidP="00AA5D63">
            <w:pPr>
              <w:keepNext/>
              <w:spacing w:line="360" w:lineRule="auto"/>
              <w:rPr>
                <w:rFonts w:cs="Times New Roman"/>
              </w:rPr>
            </w:pPr>
            <w:r w:rsidRPr="00EF75A4">
              <w:rPr>
                <w:rFonts w:cs="Times New Roman"/>
                <w:noProof/>
                <w:lang w:eastAsia="en-GB"/>
              </w:rPr>
              <w:drawing>
                <wp:inline distT="0" distB="0" distL="0" distR="0" wp14:anchorId="53A15272" wp14:editId="2E9C1FC2">
                  <wp:extent cx="2810624" cy="1856095"/>
                  <wp:effectExtent l="0" t="0" r="8890" b="1143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bl>
    <w:p w14:paraId="1D62A770" w14:textId="20121ABB" w:rsidR="00B64764" w:rsidRPr="00AA5D63" w:rsidRDefault="00AA5D63" w:rsidP="008920A0">
      <w:pPr>
        <w:pStyle w:val="Caption"/>
        <w:spacing w:line="360" w:lineRule="auto"/>
        <w:rPr>
          <w:rFonts w:cs="Times New Roman"/>
          <w:i w:val="0"/>
        </w:rPr>
      </w:pPr>
      <w:bookmarkStart w:id="12" w:name="_Ref37579416"/>
      <w:bookmarkStart w:id="13" w:name="_Ref37585203"/>
      <w:r w:rsidRPr="00AA5D63">
        <w:rPr>
          <w:b/>
          <w:i w:val="0"/>
        </w:rPr>
        <w:t xml:space="preserve">Fig. </w:t>
      </w:r>
      <w:r w:rsidRPr="00AA5D63">
        <w:rPr>
          <w:b/>
          <w:i w:val="0"/>
        </w:rPr>
        <w:fldChar w:fldCharType="begin"/>
      </w:r>
      <w:r w:rsidRPr="00AA5D63">
        <w:rPr>
          <w:b/>
          <w:i w:val="0"/>
        </w:rPr>
        <w:instrText xml:space="preserve"> SEQ Figure \* ARABIC </w:instrText>
      </w:r>
      <w:r w:rsidRPr="00AA5D63">
        <w:rPr>
          <w:b/>
          <w:i w:val="0"/>
        </w:rPr>
        <w:fldChar w:fldCharType="separate"/>
      </w:r>
      <w:r w:rsidR="00E4647D">
        <w:rPr>
          <w:b/>
          <w:i w:val="0"/>
          <w:noProof/>
        </w:rPr>
        <w:t>4</w:t>
      </w:r>
      <w:r w:rsidRPr="00AA5D63">
        <w:rPr>
          <w:b/>
          <w:i w:val="0"/>
        </w:rPr>
        <w:fldChar w:fldCharType="end"/>
      </w:r>
      <w:bookmarkEnd w:id="12"/>
      <w:bookmarkEnd w:id="13"/>
      <w:r>
        <w:rPr>
          <w:i w:val="0"/>
        </w:rPr>
        <w:t xml:space="preserve"> C</w:t>
      </w:r>
      <w:r w:rsidRPr="00AA5D63">
        <w:rPr>
          <w:i w:val="0"/>
        </w:rPr>
        <w:t xml:space="preserve">oncentration of WS </w:t>
      </w:r>
      <w:r>
        <w:rPr>
          <w:i w:val="0"/>
        </w:rPr>
        <w:t>TN</w:t>
      </w:r>
      <w:r w:rsidR="00506D5E">
        <w:rPr>
          <w:i w:val="0"/>
        </w:rPr>
        <w:t xml:space="preserve"> (a)</w:t>
      </w:r>
      <w:r w:rsidRPr="00AA5D63">
        <w:rPr>
          <w:i w:val="0"/>
        </w:rPr>
        <w:t xml:space="preserve"> and WS </w:t>
      </w:r>
      <w:r>
        <w:rPr>
          <w:i w:val="0"/>
        </w:rPr>
        <w:t>TC</w:t>
      </w:r>
      <w:r w:rsidR="00506D5E">
        <w:rPr>
          <w:i w:val="0"/>
        </w:rPr>
        <w:t xml:space="preserve"> (b)</w:t>
      </w:r>
      <w:r w:rsidRPr="00AA5D63">
        <w:rPr>
          <w:i w:val="0"/>
        </w:rPr>
        <w:t xml:space="preserve"> </w:t>
      </w:r>
      <w:r w:rsidR="00AD4AE9">
        <w:rPr>
          <w:i w:val="0"/>
        </w:rPr>
        <w:t>in 3 g</w:t>
      </w:r>
      <w:r w:rsidR="00100EC8">
        <w:rPr>
          <w:i w:val="0"/>
        </w:rPr>
        <w:t xml:space="preserve"> </w:t>
      </w:r>
      <w:r w:rsidRPr="00AA5D63">
        <w:rPr>
          <w:i w:val="0"/>
        </w:rPr>
        <w:t>of</w:t>
      </w:r>
      <w:r w:rsidR="00100EC8">
        <w:rPr>
          <w:i w:val="0"/>
        </w:rPr>
        <w:t xml:space="preserve"> each</w:t>
      </w:r>
      <w:r w:rsidRPr="00AA5D63">
        <w:rPr>
          <w:i w:val="0"/>
        </w:rPr>
        <w:t xml:space="preserve"> </w:t>
      </w:r>
      <w:r w:rsidR="00100EC8" w:rsidRPr="00713E31">
        <w:rPr>
          <w:i w:val="0"/>
        </w:rPr>
        <w:t>the</w:t>
      </w:r>
      <w:r w:rsidRPr="00713E31">
        <w:rPr>
          <w:i w:val="0"/>
        </w:rPr>
        <w:t xml:space="preserve"> blends (</w:t>
      </w:r>
      <w:r w:rsidR="00B42460" w:rsidRPr="00713E31">
        <w:rPr>
          <w:i w:val="0"/>
        </w:rPr>
        <w:fldChar w:fldCharType="begin"/>
      </w:r>
      <w:r w:rsidR="00B42460" w:rsidRPr="00713E31">
        <w:rPr>
          <w:i w:val="0"/>
        </w:rPr>
        <w:instrText xml:space="preserve"> REF _Ref44759134 \h  \* MERGEFORMAT </w:instrText>
      </w:r>
      <w:r w:rsidR="00B42460" w:rsidRPr="00713E31">
        <w:rPr>
          <w:i w:val="0"/>
        </w:rPr>
      </w:r>
      <w:r w:rsidR="00B42460" w:rsidRPr="00713E31">
        <w:rPr>
          <w:i w:val="0"/>
        </w:rPr>
        <w:fldChar w:fldCharType="separate"/>
      </w:r>
      <w:r w:rsidR="00B42460" w:rsidRPr="00713E31">
        <w:rPr>
          <w:i w:val="0"/>
        </w:rPr>
        <w:t xml:space="preserve">Table </w:t>
      </w:r>
      <w:r w:rsidR="00B42460" w:rsidRPr="00713E31">
        <w:rPr>
          <w:i w:val="0"/>
          <w:noProof/>
        </w:rPr>
        <w:t>2</w:t>
      </w:r>
      <w:r w:rsidR="00B42460" w:rsidRPr="00713E31">
        <w:rPr>
          <w:i w:val="0"/>
        </w:rPr>
        <w:fldChar w:fldCharType="end"/>
      </w:r>
      <w:r w:rsidRPr="00713E31">
        <w:rPr>
          <w:i w:val="0"/>
        </w:rPr>
        <w:t>) measured</w:t>
      </w:r>
      <w:r w:rsidRPr="00AA5D63">
        <w:rPr>
          <w:i w:val="0"/>
        </w:rPr>
        <w:t xml:space="preserve"> after the incubation at 100 rpm and 22 ºC</w:t>
      </w:r>
    </w:p>
    <w:p w14:paraId="2FE33B6D" w14:textId="26E84ABD" w:rsidR="00644DC9" w:rsidRPr="00713E31" w:rsidRDefault="005E3433" w:rsidP="00C807A3">
      <w:pPr>
        <w:spacing w:line="360" w:lineRule="auto"/>
        <w:rPr>
          <w:rFonts w:cs="Times New Roman"/>
        </w:rPr>
      </w:pPr>
      <w:r w:rsidRPr="005E3433">
        <w:rPr>
          <w:rFonts w:cs="Times New Roman"/>
        </w:rPr>
        <w:t>The carbon losses via gas exchange (e.g. CO</w:t>
      </w:r>
      <w:r w:rsidRPr="005E3433">
        <w:rPr>
          <w:rFonts w:cs="Times New Roman"/>
          <w:vertAlign w:val="subscript"/>
        </w:rPr>
        <w:t>2</w:t>
      </w:r>
      <w:r w:rsidR="00644DC9">
        <w:rPr>
          <w:rFonts w:cs="Times New Roman"/>
        </w:rPr>
        <w:t xml:space="preserve"> release)</w:t>
      </w:r>
      <w:r w:rsidRPr="005E3433">
        <w:rPr>
          <w:rFonts w:cs="Times New Roman"/>
        </w:rPr>
        <w:t xml:space="preserve">, </w:t>
      </w:r>
      <w:r w:rsidR="00644DC9">
        <w:rPr>
          <w:rFonts w:cs="Times New Roman"/>
        </w:rPr>
        <w:t>we</w:t>
      </w:r>
      <w:r w:rsidRPr="005E3433">
        <w:rPr>
          <w:rFonts w:cs="Times New Roman"/>
        </w:rPr>
        <w:t>re consider</w:t>
      </w:r>
      <w:r w:rsidR="00644DC9">
        <w:rPr>
          <w:rFonts w:cs="Times New Roman"/>
        </w:rPr>
        <w:t>ed</w:t>
      </w:r>
      <w:r w:rsidRPr="005E3433">
        <w:rPr>
          <w:rFonts w:cs="Times New Roman"/>
        </w:rPr>
        <w:t xml:space="preserve"> </w:t>
      </w:r>
      <w:r w:rsidR="006C1413">
        <w:rPr>
          <w:rFonts w:cs="Times New Roman"/>
        </w:rPr>
        <w:t>minimal</w:t>
      </w:r>
      <w:r w:rsidRPr="005E3433">
        <w:rPr>
          <w:rFonts w:cs="Times New Roman"/>
        </w:rPr>
        <w:t xml:space="preserve"> given the high pH of the blend</w:t>
      </w:r>
      <w:r w:rsidR="00644DC9">
        <w:rPr>
          <w:rFonts w:cs="Times New Roman"/>
        </w:rPr>
        <w:t>s</w:t>
      </w:r>
      <w:r w:rsidRPr="005E3433">
        <w:rPr>
          <w:rFonts w:cs="Times New Roman"/>
        </w:rPr>
        <w:t xml:space="preserve">. </w:t>
      </w:r>
      <w:r w:rsidR="00644DC9">
        <w:rPr>
          <w:rFonts w:cs="Times New Roman"/>
        </w:rPr>
        <w:t>On the other hand</w:t>
      </w:r>
      <w:r w:rsidRPr="005E3433">
        <w:rPr>
          <w:rFonts w:cs="Times New Roman"/>
        </w:rPr>
        <w:t xml:space="preserve">, </w:t>
      </w:r>
      <w:r w:rsidR="00644DC9">
        <w:rPr>
          <w:rFonts w:cs="Times New Roman"/>
        </w:rPr>
        <w:t xml:space="preserve">the increase of the carbon content of </w:t>
      </w:r>
      <w:r w:rsidR="00644DC9" w:rsidRPr="00713E31">
        <w:rPr>
          <w:rFonts w:cs="Times New Roman"/>
        </w:rPr>
        <w:t xml:space="preserve">the blends because of the </w:t>
      </w:r>
      <w:r w:rsidRPr="00713E31">
        <w:rPr>
          <w:rFonts w:cs="Times New Roman"/>
        </w:rPr>
        <w:t>absorption</w:t>
      </w:r>
      <w:r w:rsidR="00644DC9" w:rsidRPr="00713E31">
        <w:rPr>
          <w:rFonts w:cs="Times New Roman"/>
        </w:rPr>
        <w:t xml:space="preserve"> of the CO</w:t>
      </w:r>
      <w:r w:rsidR="00644DC9" w:rsidRPr="00713E31">
        <w:rPr>
          <w:rFonts w:cs="Times New Roman"/>
          <w:vertAlign w:val="subscript"/>
        </w:rPr>
        <w:t>2</w:t>
      </w:r>
      <w:r w:rsidRPr="00713E31">
        <w:rPr>
          <w:rFonts w:cs="Times New Roman"/>
        </w:rPr>
        <w:t xml:space="preserve"> </w:t>
      </w:r>
      <w:r w:rsidR="00644DC9" w:rsidRPr="00713E31">
        <w:rPr>
          <w:rFonts w:cs="Times New Roman"/>
        </w:rPr>
        <w:t>available in the</w:t>
      </w:r>
      <w:r w:rsidRPr="00713E31">
        <w:rPr>
          <w:rFonts w:cs="Times New Roman"/>
        </w:rPr>
        <w:t xml:space="preserve"> </w:t>
      </w:r>
      <w:r w:rsidR="00644DC9" w:rsidRPr="00713E31">
        <w:rPr>
          <w:rFonts w:cs="Times New Roman"/>
        </w:rPr>
        <w:t>atmosphere during the incubation and the analysis of the WS extract</w:t>
      </w:r>
      <w:r w:rsidR="0064150D" w:rsidRPr="00713E31">
        <w:rPr>
          <w:rFonts w:cs="Times New Roman"/>
        </w:rPr>
        <w:t xml:space="preserve"> </w:t>
      </w:r>
      <w:r w:rsidR="0064150D" w:rsidRPr="00713E31">
        <w:t>(S:E ratio 1:10)</w:t>
      </w:r>
      <w:r w:rsidR="00644DC9" w:rsidRPr="00713E31">
        <w:rPr>
          <w:rFonts w:cs="Times New Roman"/>
        </w:rPr>
        <w:t xml:space="preserve"> was</w:t>
      </w:r>
      <w:r w:rsidR="006C1413" w:rsidRPr="00713E31">
        <w:rPr>
          <w:rFonts w:cs="Times New Roman"/>
        </w:rPr>
        <w:t xml:space="preserve"> assumed to be negligible </w:t>
      </w:r>
      <w:r w:rsidR="004D0D9C" w:rsidRPr="00713E31">
        <w:rPr>
          <w:rFonts w:cs="Times New Roman"/>
        </w:rPr>
        <w:t>conside</w:t>
      </w:r>
      <w:r w:rsidR="00DD5165" w:rsidRPr="00713E31">
        <w:rPr>
          <w:rFonts w:cs="Times New Roman"/>
        </w:rPr>
        <w:t>r</w:t>
      </w:r>
      <w:r w:rsidR="004D0D9C" w:rsidRPr="00713E31">
        <w:rPr>
          <w:rFonts w:cs="Times New Roman"/>
        </w:rPr>
        <w:t>ing</w:t>
      </w:r>
      <w:r w:rsidR="006C1413" w:rsidRPr="00713E31">
        <w:rPr>
          <w:rFonts w:cs="Times New Roman"/>
        </w:rPr>
        <w:t xml:space="preserve"> the amount of carbon present</w:t>
      </w:r>
      <w:r w:rsidR="00CC320C" w:rsidRPr="00713E31">
        <w:rPr>
          <w:rFonts w:cs="Times New Roman"/>
        </w:rPr>
        <w:t>ed</w:t>
      </w:r>
      <w:r w:rsidR="006C1413" w:rsidRPr="00713E31">
        <w:rPr>
          <w:rFonts w:cs="Times New Roman"/>
        </w:rPr>
        <w:t xml:space="preserve"> in the </w:t>
      </w:r>
      <w:r w:rsidR="00CC320C" w:rsidRPr="00713E31">
        <w:rPr>
          <w:rFonts w:cs="Times New Roman"/>
        </w:rPr>
        <w:t>blends (</w:t>
      </w:r>
      <w:r w:rsidR="00CC320C" w:rsidRPr="00713E31">
        <w:rPr>
          <w:rFonts w:cs="Times New Roman"/>
        </w:rPr>
        <w:fldChar w:fldCharType="begin"/>
      </w:r>
      <w:r w:rsidR="00CC320C" w:rsidRPr="00713E31">
        <w:rPr>
          <w:rFonts w:cs="Times New Roman"/>
        </w:rPr>
        <w:instrText xml:space="preserve"> REF _Ref44759336 \h  \* MERGEFORMAT </w:instrText>
      </w:r>
      <w:r w:rsidR="00CC320C" w:rsidRPr="00713E31">
        <w:rPr>
          <w:rFonts w:cs="Times New Roman"/>
        </w:rPr>
      </w:r>
      <w:r w:rsidR="00CC320C" w:rsidRPr="00713E31">
        <w:rPr>
          <w:rFonts w:cs="Times New Roman"/>
        </w:rPr>
        <w:fldChar w:fldCharType="separate"/>
      </w:r>
      <w:r w:rsidR="00CC320C" w:rsidRPr="00713E31">
        <w:rPr>
          <w:rFonts w:cs="Times New Roman"/>
        </w:rPr>
        <w:t xml:space="preserve">Table </w:t>
      </w:r>
      <w:r w:rsidR="00CC320C" w:rsidRPr="00713E31">
        <w:rPr>
          <w:rFonts w:cs="Times New Roman"/>
          <w:noProof/>
        </w:rPr>
        <w:t>3</w:t>
      </w:r>
      <w:r w:rsidR="00CC320C" w:rsidRPr="00713E31">
        <w:rPr>
          <w:rFonts w:cs="Times New Roman"/>
        </w:rPr>
        <w:fldChar w:fldCharType="end"/>
      </w:r>
      <w:r w:rsidR="00CC320C" w:rsidRPr="00713E31">
        <w:rPr>
          <w:rFonts w:cs="Times New Roman"/>
        </w:rPr>
        <w:t>)</w:t>
      </w:r>
      <w:r w:rsidR="006C1413" w:rsidRPr="00713E31">
        <w:rPr>
          <w:rFonts w:cs="Times New Roman"/>
        </w:rPr>
        <w:t>.</w:t>
      </w:r>
    </w:p>
    <w:p w14:paraId="2AFD3B8E" w14:textId="382E319C" w:rsidR="00AB047D" w:rsidRPr="00EF75A4" w:rsidRDefault="004E79DA" w:rsidP="00C807A3">
      <w:pPr>
        <w:spacing w:line="360" w:lineRule="auto"/>
        <w:rPr>
          <w:rFonts w:cs="Times New Roman"/>
        </w:rPr>
      </w:pPr>
      <w:r w:rsidRPr="00EF75A4">
        <w:rPr>
          <w:rFonts w:cs="Times New Roman"/>
        </w:rPr>
        <w:t xml:space="preserve">The trends found for the WS </w:t>
      </w:r>
      <w:r w:rsidR="00A07B3C" w:rsidRPr="00EF75A4">
        <w:rPr>
          <w:rFonts w:cs="Times New Roman"/>
        </w:rPr>
        <w:t>T</w:t>
      </w:r>
      <w:r w:rsidRPr="00EF75A4">
        <w:rPr>
          <w:rFonts w:cs="Times New Roman"/>
        </w:rPr>
        <w:t>C of both blends</w:t>
      </w:r>
      <w:r w:rsidR="00E22F25" w:rsidRPr="00EF75A4">
        <w:rPr>
          <w:rFonts w:cs="Times New Roman"/>
        </w:rPr>
        <w:t xml:space="preserve"> (</w:t>
      </w:r>
      <w:r w:rsidR="00506D5E" w:rsidRPr="00506D5E">
        <w:rPr>
          <w:rFonts w:cs="Times New Roman"/>
        </w:rPr>
        <w:fldChar w:fldCharType="begin"/>
      </w:r>
      <w:r w:rsidR="00506D5E" w:rsidRPr="00506D5E">
        <w:rPr>
          <w:rFonts w:cs="Times New Roman"/>
        </w:rPr>
        <w:instrText xml:space="preserve"> REF _Ref37579416 \h  \* MERGEFORMAT </w:instrText>
      </w:r>
      <w:r w:rsidR="00506D5E" w:rsidRPr="00506D5E">
        <w:rPr>
          <w:rFonts w:cs="Times New Roman"/>
        </w:rPr>
      </w:r>
      <w:r w:rsidR="00506D5E" w:rsidRPr="00506D5E">
        <w:rPr>
          <w:rFonts w:cs="Times New Roman"/>
        </w:rPr>
        <w:fldChar w:fldCharType="separate"/>
      </w:r>
      <w:r w:rsidR="00E4647D" w:rsidRPr="00E4647D">
        <w:t xml:space="preserve">Fig. </w:t>
      </w:r>
      <w:r w:rsidR="00E4647D" w:rsidRPr="00E4647D">
        <w:rPr>
          <w:noProof/>
        </w:rPr>
        <w:t>4</w:t>
      </w:r>
      <w:r w:rsidR="00506D5E" w:rsidRPr="00506D5E">
        <w:rPr>
          <w:rFonts w:cs="Times New Roman"/>
        </w:rPr>
        <w:fldChar w:fldCharType="end"/>
      </w:r>
      <w:r w:rsidR="00D7171C">
        <w:rPr>
          <w:rFonts w:cs="Times New Roman"/>
        </w:rPr>
        <w:t xml:space="preserve"> </w:t>
      </w:r>
      <w:r w:rsidR="00506D5E" w:rsidRPr="00506D5E">
        <w:rPr>
          <w:rFonts w:cs="Times New Roman"/>
        </w:rPr>
        <w:t>b</w:t>
      </w:r>
      <w:r w:rsidR="00E22F25" w:rsidRPr="00EF75A4">
        <w:rPr>
          <w:rFonts w:cs="Times New Roman"/>
        </w:rPr>
        <w:t>)</w:t>
      </w:r>
      <w:r w:rsidRPr="00EF75A4">
        <w:rPr>
          <w:rFonts w:cs="Times New Roman"/>
        </w:rPr>
        <w:t xml:space="preserve"> </w:t>
      </w:r>
      <w:r w:rsidR="004D0D9C" w:rsidRPr="00EF75A4">
        <w:rPr>
          <w:rFonts w:cs="Times New Roman"/>
        </w:rPr>
        <w:t>c</w:t>
      </w:r>
      <w:r w:rsidR="004D0D9C">
        <w:rPr>
          <w:rFonts w:cs="Times New Roman"/>
        </w:rPr>
        <w:t>ould</w:t>
      </w:r>
      <w:r w:rsidR="004D0D9C" w:rsidRPr="00EF75A4">
        <w:rPr>
          <w:rFonts w:cs="Times New Roman"/>
        </w:rPr>
        <w:t xml:space="preserve"> </w:t>
      </w:r>
      <w:r w:rsidRPr="00EF75A4">
        <w:rPr>
          <w:rFonts w:cs="Times New Roman"/>
        </w:rPr>
        <w:t xml:space="preserve">be explained based on the type of </w:t>
      </w:r>
      <w:r w:rsidR="006C1413">
        <w:rPr>
          <w:rFonts w:cs="Times New Roman"/>
        </w:rPr>
        <w:t>carbon</w:t>
      </w:r>
      <w:r w:rsidR="00941860" w:rsidRPr="00EF75A4">
        <w:rPr>
          <w:rFonts w:cs="Times New Roman"/>
        </w:rPr>
        <w:t xml:space="preserve"> containing</w:t>
      </w:r>
      <w:r w:rsidR="004E48FD" w:rsidRPr="00EF75A4">
        <w:rPr>
          <w:rFonts w:cs="Times New Roman"/>
        </w:rPr>
        <w:t xml:space="preserve"> compounds in each sample and the blending ratio.</w:t>
      </w:r>
      <w:r w:rsidR="000F11E1" w:rsidRPr="00EF75A4">
        <w:rPr>
          <w:rFonts w:cs="Times New Roman"/>
        </w:rPr>
        <w:t xml:space="preserve"> While the FWD contained m</w:t>
      </w:r>
      <w:r w:rsidR="00B027FA" w:rsidRPr="00EF75A4">
        <w:rPr>
          <w:rFonts w:cs="Times New Roman"/>
        </w:rPr>
        <w:t>ore easily degradable</w:t>
      </w:r>
      <w:r w:rsidR="000F11E1" w:rsidRPr="00EF75A4">
        <w:rPr>
          <w:rFonts w:cs="Times New Roman"/>
        </w:rPr>
        <w:t xml:space="preserve"> labile organic matter, the stable</w:t>
      </w:r>
      <w:r w:rsidR="00B027FA" w:rsidRPr="00EF75A4">
        <w:rPr>
          <w:rFonts w:cs="Times New Roman"/>
        </w:rPr>
        <w:t xml:space="preserve"> fraction of</w:t>
      </w:r>
      <w:r w:rsidR="000F11E1" w:rsidRPr="00EF75A4">
        <w:rPr>
          <w:rFonts w:cs="Times New Roman"/>
        </w:rPr>
        <w:t xml:space="preserve"> </w:t>
      </w:r>
      <w:r w:rsidR="007003CB" w:rsidRPr="00EF75A4">
        <w:rPr>
          <w:rFonts w:cs="Times New Roman"/>
        </w:rPr>
        <w:t>organic matter abounded</w:t>
      </w:r>
      <w:r w:rsidR="000F11E1" w:rsidRPr="00EF75A4">
        <w:rPr>
          <w:rFonts w:cs="Times New Roman"/>
        </w:rPr>
        <w:t xml:space="preserve"> in the PVWD</w:t>
      </w:r>
      <w:r w:rsidR="00B027FA" w:rsidRPr="00EF75A4">
        <w:rPr>
          <w:rFonts w:cs="Times New Roman"/>
        </w:rPr>
        <w:t xml:space="preserve"> </w:t>
      </w:r>
      <w:r w:rsidR="00B027FA" w:rsidRPr="00EF75A4">
        <w:rPr>
          <w:rFonts w:cs="Times New Roman"/>
        </w:rPr>
        <w:fldChar w:fldCharType="begin" w:fldLock="1"/>
      </w:r>
      <w:r w:rsidR="00233927">
        <w:rPr>
          <w:rFonts w:cs="Times New Roman"/>
        </w:rPr>
        <w:instrText>ADDIN CSL_CITATION {"citationItems":[{"id":"ITEM-1","itemData":{"DOI":"10.1155/2016/2147513","ISSN":"23146141","abstract":" This study tested the hypothesis that the easily degradable carbohydrates of the sugar beet silage (S) will improve the anaerobic digestion of grass silage (G) more profoundly compared to co-digestion of sugar beet silage with maize silage (M). M : S and G : S mixtures were tested in two continuous laboratory-scale AD experiments at volatile solid ratios of 1 : 0, 6 : 1, 3 : 1, and 1 : 3 at organic loading rates of 1.5 kgVS m −3 day −1 . While the sugar beet effects in mixtures with maize silage were negligible, co-digestion with grass silage showed a beneficial performance. There, the specific methane production rate was 0.27 lN kg −1 VS h −1 at G : S ratio of 6 : 1 compared to G : S 1 : 0 with 0.14 lN kg −1 VS h −1 . In comparison to G : S 1 : 0, about 44% and 62% higher biogas yields were obtained at G : S 6 : 1 and 3 : 1, respectively. Also, the highest methane concentration was found in G : S at ratio of 1 : 3. Synergistic increase of methane yield was found in co-digestion in both experiments, but higher effect was realized in G : S, independently of the amount of sugar beet silage. The findings of this study emphasize the improvement of AD of grass silage by even low addition of sugar beet silage. ","author":[{"dropping-particle":"","family":"Ahmed","given":"Sharif","non-dropping-particle":"","parse-names":false,"suffix":""},{"dropping-particle":"","family":"Einfalt","given":"Daniel","non-dropping-particle":"","parse-names":false,"suffix":""},{"dropping-particle":"","family":"Kazda","given":"Marian","non-dropping-particle":"","parse-names":false,"suffix":""}],"container-title":"BioMed Research International","id":"ITEM-1","issued":{"date-parts":[["2016"]]},"title":"Co-Digestion of Sugar Beet Silage Increases Biogas Yield from Fibrous Substrates","type":"article-journal","volume":"2016"},"uris":["http://www.mendeley.com/documents/?uuid=6c059255-b0d1-41a0-8a7b-142308a220f1"]}],"mendeley":{"formattedCitation":"[63]","plainTextFormattedCitation":"[63]","previouslyFormattedCitation":"[63]"},"properties":{"noteIndex":0},"schema":"https://github.com/citation-style-language/schema/raw/master/csl-citation.json"}</w:instrText>
      </w:r>
      <w:r w:rsidR="00B027FA" w:rsidRPr="00EF75A4">
        <w:rPr>
          <w:rFonts w:cs="Times New Roman"/>
        </w:rPr>
        <w:fldChar w:fldCharType="separate"/>
      </w:r>
      <w:r w:rsidR="00523707" w:rsidRPr="00523707">
        <w:rPr>
          <w:rFonts w:cs="Times New Roman"/>
          <w:noProof/>
        </w:rPr>
        <w:t>[63]</w:t>
      </w:r>
      <w:r w:rsidR="00B027FA" w:rsidRPr="00EF75A4">
        <w:rPr>
          <w:rFonts w:cs="Times New Roman"/>
        </w:rPr>
        <w:fldChar w:fldCharType="end"/>
      </w:r>
      <w:r w:rsidR="003D1C0E" w:rsidRPr="00EF75A4">
        <w:rPr>
          <w:rFonts w:cs="Times New Roman"/>
        </w:rPr>
        <w:t>.</w:t>
      </w:r>
      <w:r w:rsidR="005F5327" w:rsidRPr="00EF75A4">
        <w:rPr>
          <w:rFonts w:cs="Times New Roman"/>
        </w:rPr>
        <w:t xml:space="preserve"> The initial WS TC of blend 1 was therefore higher than the initial WS TC of the</w:t>
      </w:r>
      <w:r w:rsidR="006C1413">
        <w:rPr>
          <w:rFonts w:cs="Times New Roman"/>
        </w:rPr>
        <w:t xml:space="preserve"> blend 2 in spite of the lower carbon</w:t>
      </w:r>
      <w:r w:rsidR="005F5327" w:rsidRPr="00EF75A4">
        <w:rPr>
          <w:rFonts w:cs="Times New Roman"/>
        </w:rPr>
        <w:t xml:space="preserve"> content of the blend 1 (</w:t>
      </w:r>
      <w:r w:rsidR="005F5327" w:rsidRPr="00EF75A4">
        <w:rPr>
          <w:rFonts w:cs="Times New Roman"/>
        </w:rPr>
        <w:fldChar w:fldCharType="begin"/>
      </w:r>
      <w:r w:rsidR="005F5327" w:rsidRPr="00EF75A4">
        <w:rPr>
          <w:rFonts w:cs="Times New Roman"/>
        </w:rPr>
        <w:instrText xml:space="preserve"> REF _Ref13331821 \h </w:instrText>
      </w:r>
      <w:r w:rsidR="00F91F3C" w:rsidRPr="00EF75A4">
        <w:rPr>
          <w:rFonts w:cs="Times New Roman"/>
        </w:rPr>
        <w:instrText xml:space="preserve"> \* MERGEFORMAT </w:instrText>
      </w:r>
      <w:r w:rsidR="005F5327" w:rsidRPr="00EF75A4">
        <w:rPr>
          <w:rFonts w:cs="Times New Roman"/>
        </w:rPr>
      </w:r>
      <w:r w:rsidR="005F5327" w:rsidRPr="00EF75A4">
        <w:rPr>
          <w:rFonts w:cs="Times New Roman"/>
        </w:rPr>
        <w:fldChar w:fldCharType="separate"/>
      </w:r>
      <w:r w:rsidR="00E4647D" w:rsidRPr="00E4647D">
        <w:rPr>
          <w:rFonts w:cs="Times New Roman"/>
        </w:rPr>
        <w:t xml:space="preserve">Table </w:t>
      </w:r>
      <w:r w:rsidR="00E4647D" w:rsidRPr="00E4647D">
        <w:rPr>
          <w:rFonts w:cs="Times New Roman"/>
          <w:noProof/>
        </w:rPr>
        <w:t>2</w:t>
      </w:r>
      <w:r w:rsidR="005F5327" w:rsidRPr="00EF75A4">
        <w:rPr>
          <w:rFonts w:cs="Times New Roman"/>
        </w:rPr>
        <w:fldChar w:fldCharType="end"/>
      </w:r>
      <w:r w:rsidR="005F5327" w:rsidRPr="00EF75A4">
        <w:rPr>
          <w:rFonts w:cs="Times New Roman"/>
        </w:rPr>
        <w:t>). T</w:t>
      </w:r>
      <w:r w:rsidR="007007D4" w:rsidRPr="00EF75A4">
        <w:rPr>
          <w:rFonts w:cs="Times New Roman"/>
        </w:rPr>
        <w:t xml:space="preserve">he carbon provided by the ashes </w:t>
      </w:r>
      <w:r w:rsidR="004D0D9C">
        <w:rPr>
          <w:rFonts w:cs="Times New Roman"/>
        </w:rPr>
        <w:t>wa</w:t>
      </w:r>
      <w:r w:rsidR="004D0D9C" w:rsidRPr="00EF75A4">
        <w:rPr>
          <w:rFonts w:cs="Times New Roman"/>
        </w:rPr>
        <w:t xml:space="preserve">s </w:t>
      </w:r>
      <w:r w:rsidR="00B45FBA" w:rsidRPr="00EF75A4">
        <w:rPr>
          <w:rFonts w:cs="Times New Roman"/>
        </w:rPr>
        <w:t xml:space="preserve">less </w:t>
      </w:r>
      <w:r w:rsidR="00B45FBA" w:rsidRPr="00713E31">
        <w:rPr>
          <w:rFonts w:cs="Times New Roman"/>
        </w:rPr>
        <w:t>reactive</w:t>
      </w:r>
      <w:r w:rsidR="00DD5165" w:rsidRPr="00713E31">
        <w:rPr>
          <w:rFonts w:cs="Times New Roman"/>
        </w:rPr>
        <w:t xml:space="preserve"> (i.e. less soluble)</w:t>
      </w:r>
      <w:r w:rsidR="007007D4" w:rsidRPr="00713E31">
        <w:rPr>
          <w:rFonts w:cs="Times New Roman"/>
        </w:rPr>
        <w:t xml:space="preserve"> and can be regarded as</w:t>
      </w:r>
      <w:r w:rsidR="00B45FBA" w:rsidRPr="00713E31">
        <w:rPr>
          <w:rFonts w:cs="Times New Roman"/>
        </w:rPr>
        <w:t xml:space="preserve"> </w:t>
      </w:r>
      <w:r w:rsidR="007007D4" w:rsidRPr="00713E31">
        <w:rPr>
          <w:rFonts w:cs="Times New Roman"/>
        </w:rPr>
        <w:t xml:space="preserve">the </w:t>
      </w:r>
      <w:r w:rsidR="00B45FBA" w:rsidRPr="00713E31">
        <w:rPr>
          <w:rFonts w:cs="Times New Roman"/>
        </w:rPr>
        <w:t xml:space="preserve">inert fraction of the organic matter </w:t>
      </w:r>
      <w:r w:rsidR="00B45FBA" w:rsidRPr="00713E31">
        <w:rPr>
          <w:rFonts w:cs="Times New Roman"/>
        </w:rPr>
        <w:fldChar w:fldCharType="begin" w:fldLock="1"/>
      </w:r>
      <w:r w:rsidR="00233927">
        <w:rPr>
          <w:rFonts w:cs="Times New Roman"/>
        </w:rPr>
        <w:instrText>ADDIN CSL_CITATION {"citationItems":[{"id":"ITEM-1","itemData":{"DOI":"10.2478/s10146-009-0008-x","ISSN":"1803-4403","abstract":"Soil organic matter (SOM) can be divided into three main pools: labile, stable and inert. Research over recent years has focused on the labile fraction (LF), as it is considered a quickly reactive indicator of soil productivity and health, and important as a supply of energy for soil micro-organisms. A wide spectrum of analytical methods has been used to determine and/or evaluate LF, based on physical, chemical and biochemical principles. The advantages and disadvantages of each technique are explored in this work, but none of the methods can determine LF sufficiently, either because a part of the LF is not involved or because further characterisation is missing. Although analytical methods are widely used to evaluate changes in soil management or organic carbon turnover, the practical question of the quantity and quality of SOM cannot be answered completely. It is also suggested that future research should focus on the interactions among SOM fractions and their better chemical and functional characterisation. It is possible to use a combination of the analytical methods reviewed here in order to accomplish this objective.","author":[{"dropping-particle":"","family":"Strosser","given":"Eduard","non-dropping-particle":"","parse-names":false,"suffix":""}],"container-title":"Journal of Agrobiology","id":"ITEM-1","issue":"2","issued":{"date-parts":[["2011"]]},"page":"49-60","title":"Methods for determination of labile soil organic matter: An overview","type":"article-journal","volume":"27"},"uris":["http://www.mendeley.com/documents/?uuid=9f2feea0-c0d4-42e9-a0d2-01348d0c7fc2"]}],"mendeley":{"formattedCitation":"[64]","plainTextFormattedCitation":"[64]","previouslyFormattedCitation":"[64]"},"properties":{"noteIndex":0},"schema":"https://github.com/citation-style-language/schema/raw/master/csl-citation.json"}</w:instrText>
      </w:r>
      <w:r w:rsidR="00B45FBA" w:rsidRPr="00713E31">
        <w:rPr>
          <w:rFonts w:cs="Times New Roman"/>
        </w:rPr>
        <w:fldChar w:fldCharType="separate"/>
      </w:r>
      <w:r w:rsidR="00523707" w:rsidRPr="00523707">
        <w:rPr>
          <w:rFonts w:cs="Times New Roman"/>
          <w:noProof/>
        </w:rPr>
        <w:t>[64]</w:t>
      </w:r>
      <w:r w:rsidR="00B45FBA" w:rsidRPr="00713E31">
        <w:rPr>
          <w:rFonts w:cs="Times New Roman"/>
        </w:rPr>
        <w:fldChar w:fldCharType="end"/>
      </w:r>
      <w:r w:rsidR="001268F7" w:rsidRPr="00713E31">
        <w:rPr>
          <w:rFonts w:cs="Times New Roman"/>
        </w:rPr>
        <w:t>. Furthermore, since b</w:t>
      </w:r>
      <w:r w:rsidR="00D40ED8" w:rsidRPr="00713E31">
        <w:rPr>
          <w:rFonts w:cs="Times New Roman"/>
        </w:rPr>
        <w:t>oth blends had similar</w:t>
      </w:r>
      <w:r w:rsidR="001363AA" w:rsidRPr="00713E31">
        <w:rPr>
          <w:rFonts w:cs="Times New Roman"/>
        </w:rPr>
        <w:t xml:space="preserve"> share of </w:t>
      </w:r>
      <w:r w:rsidR="00DD5165" w:rsidRPr="00713E31">
        <w:rPr>
          <w:rFonts w:cs="Times New Roman"/>
        </w:rPr>
        <w:t xml:space="preserve">the </w:t>
      </w:r>
      <w:r w:rsidR="001363AA" w:rsidRPr="00713E31">
        <w:rPr>
          <w:rFonts w:cs="Times New Roman"/>
        </w:rPr>
        <w:t>WFA</w:t>
      </w:r>
      <w:r w:rsidR="001268F7" w:rsidRPr="00713E31">
        <w:rPr>
          <w:rFonts w:cs="Times New Roman"/>
        </w:rPr>
        <w:t>,</w:t>
      </w:r>
      <w:r w:rsidR="00D77576" w:rsidRPr="00713E31">
        <w:rPr>
          <w:rFonts w:cs="Times New Roman"/>
        </w:rPr>
        <w:t xml:space="preserve"> the </w:t>
      </w:r>
      <w:r w:rsidR="001268F7" w:rsidRPr="00713E31">
        <w:rPr>
          <w:rFonts w:cs="Times New Roman"/>
        </w:rPr>
        <w:t>increase of the WS TC because of the</w:t>
      </w:r>
      <w:r w:rsidR="00D77576" w:rsidRPr="00713E31">
        <w:rPr>
          <w:rFonts w:cs="Times New Roman"/>
        </w:rPr>
        <w:t xml:space="preserve"> carbonates</w:t>
      </w:r>
      <w:r w:rsidR="001268F7" w:rsidRPr="00713E31">
        <w:rPr>
          <w:rFonts w:cs="Times New Roman"/>
        </w:rPr>
        <w:t xml:space="preserve"> is similar for both blends. O</w:t>
      </w:r>
      <w:r w:rsidR="00D40ED8" w:rsidRPr="00713E31">
        <w:rPr>
          <w:rFonts w:cs="Times New Roman"/>
        </w:rPr>
        <w:t xml:space="preserve">nly the blend 2 </w:t>
      </w:r>
      <w:r w:rsidR="007003CB" w:rsidRPr="00713E31">
        <w:rPr>
          <w:rFonts w:cs="Times New Roman"/>
        </w:rPr>
        <w:t>further in</w:t>
      </w:r>
      <w:r w:rsidR="005D5BDA" w:rsidRPr="00713E31">
        <w:rPr>
          <w:rFonts w:cs="Times New Roman"/>
        </w:rPr>
        <w:t>clud</w:t>
      </w:r>
      <w:r w:rsidR="007003CB" w:rsidRPr="00713E31">
        <w:rPr>
          <w:rFonts w:cs="Times New Roman"/>
        </w:rPr>
        <w:t>ed</w:t>
      </w:r>
      <w:r w:rsidR="00D40ED8" w:rsidRPr="00713E31">
        <w:rPr>
          <w:rFonts w:cs="Times New Roman"/>
        </w:rPr>
        <w:t xml:space="preserve"> </w:t>
      </w:r>
      <w:r w:rsidR="00DD5165" w:rsidRPr="00713E31">
        <w:rPr>
          <w:rFonts w:cs="Times New Roman"/>
        </w:rPr>
        <w:t xml:space="preserve">the </w:t>
      </w:r>
      <w:r w:rsidR="00D40ED8" w:rsidRPr="00713E31">
        <w:rPr>
          <w:rFonts w:cs="Times New Roman"/>
        </w:rPr>
        <w:t>WBA</w:t>
      </w:r>
      <w:r w:rsidR="00941860" w:rsidRPr="00713E31">
        <w:rPr>
          <w:rFonts w:cs="Times New Roman"/>
        </w:rPr>
        <w:t xml:space="preserve"> to promote the hydrolysis of the sta</w:t>
      </w:r>
      <w:r w:rsidR="00DC289D" w:rsidRPr="00713E31">
        <w:rPr>
          <w:rFonts w:cs="Times New Roman"/>
        </w:rPr>
        <w:t>ble organic matter of the PVWD</w:t>
      </w:r>
      <w:r w:rsidR="00BD36D8">
        <w:rPr>
          <w:rFonts w:cs="Times New Roman"/>
        </w:rPr>
        <w:t xml:space="preserve"> </w:t>
      </w:r>
      <w:r w:rsidR="00BD36D8">
        <w:rPr>
          <w:rFonts w:cs="Times New Roman"/>
        </w:rPr>
        <w:fldChar w:fldCharType="begin" w:fldLock="1"/>
      </w:r>
      <w:r w:rsidR="00F76952">
        <w:rPr>
          <w:rFonts w:cs="Times New Roman"/>
        </w:rPr>
        <w:instrText>ADDIN CSL_CITATION {"citationItems":[{"id":"ITEM-1","itemData":{"DOI":"10.1016/j.wasman.2019.03.024","ISSN":"18792456","abstract":"The liquid fraction (LF) of digestate has usually been proposed as a substitute for mineral fertilizers because of the presence of high N content, above all in easily available form (ammonia). The LF was reported to contain about 66% of dry matter from the digestate. This study reports the characterization of the organic carbon (OC) contained in the LF of digestates obtained from full scale plants by screw-press solid/liquid separation, to find out about their organic amendment properties. Results indicate that LF contains stable OC because of the concentration during anaerobic digestion of recalcitrant molecules, and that its biological stability, measured by oxygen uptake rate, was similar to that of compost, i.e. 40 ± 15 mg O 2 g DM −1 20 h −1 and 41.1 ± 5.1 mg O 2 g DM −1 20 h −1 . 13 C NMR indicated that LFs were similar each other and were constituted of recalcitrant Alkyl-C (34.82 ± 5.28% OC) derived from plant and fecal material, Aromatic-C (11.10 ± 2.2% OC) derived from lignin-like structures and O/N-alkyl (44.91 ± 4.87% OC) derived from cellulose/hemicelluloses and protein material. A simple simulation of the real C dosed by using LF as N-fertilizers indicated that amendment properties cannot be ignored. All these results seem to indicate good amendment properties for LFs, contrary to the common opinion.","author":[{"dropping-particle":"","family":"Tambone","given":"Fulvia","non-dropping-particle":"","parse-names":false,"suffix":""},{"dropping-particle":"","family":"Orzi","given":"Valentina","non-dropping-particle":"","parse-names":false,"suffix":""},{"dropping-particle":"","family":"Zilio","given":"Massimo","non-dropping-particle":"","parse-names":false,"suffix":""},{"dropping-particle":"","family":"Adani","given":"Fabrizio","non-dropping-particle":"","parse-names":false,"suffix":""}],"container-title":"Waste Management","id":"ITEM-1","issued":{"date-parts":[["2019"]]},"page":"21-27","publisher":"Elsevier Ltd","title":"Measuring the organic amendment properties of the liquid fraction of digestate","type":"article-journal","volume":"88"},"uris":["http://www.mendeley.com/documents/?uuid=c238b053-8e55-4ee8-870f-48e1233dc4a3"]}],"mendeley":{"formattedCitation":"[6]","plainTextFormattedCitation":"[6]","previouslyFormattedCitation":"[6]"},"properties":{"noteIndex":0},"schema":"https://github.com/citation-style-language/schema/raw/master/csl-citation.json"}</w:instrText>
      </w:r>
      <w:r w:rsidR="00BD36D8">
        <w:rPr>
          <w:rFonts w:cs="Times New Roman"/>
        </w:rPr>
        <w:fldChar w:fldCharType="separate"/>
      </w:r>
      <w:r w:rsidR="00BD36D8" w:rsidRPr="00BD36D8">
        <w:rPr>
          <w:rFonts w:cs="Times New Roman"/>
          <w:noProof/>
        </w:rPr>
        <w:t>[6]</w:t>
      </w:r>
      <w:r w:rsidR="00BD36D8">
        <w:rPr>
          <w:rFonts w:cs="Times New Roman"/>
        </w:rPr>
        <w:fldChar w:fldCharType="end"/>
      </w:r>
      <w:r w:rsidR="00B70075" w:rsidRPr="00713E31">
        <w:rPr>
          <w:rFonts w:cs="Times New Roman"/>
        </w:rPr>
        <w:t>, leading to a greater increase of the WS TC</w:t>
      </w:r>
      <w:r w:rsidR="00233737" w:rsidRPr="00713E31">
        <w:rPr>
          <w:rFonts w:cs="Times New Roman"/>
        </w:rPr>
        <w:t>.</w:t>
      </w:r>
      <w:r w:rsidR="00B27156" w:rsidRPr="00713E31">
        <w:rPr>
          <w:rFonts w:cs="Times New Roman"/>
        </w:rPr>
        <w:t xml:space="preserve"> </w:t>
      </w:r>
      <w:r w:rsidR="00392063" w:rsidRPr="00713E31">
        <w:rPr>
          <w:rFonts w:cs="Times New Roman"/>
        </w:rPr>
        <w:t>U</w:t>
      </w:r>
      <w:r w:rsidR="00E127DB" w:rsidRPr="00713E31">
        <w:rPr>
          <w:rFonts w:cs="Times New Roman"/>
        </w:rPr>
        <w:t>nder the conditions of</w:t>
      </w:r>
      <w:r w:rsidR="005268AC" w:rsidRPr="00713E31">
        <w:rPr>
          <w:rFonts w:cs="Times New Roman"/>
        </w:rPr>
        <w:t xml:space="preserve"> chemic</w:t>
      </w:r>
      <w:r w:rsidR="005268AC">
        <w:rPr>
          <w:rFonts w:cs="Times New Roman"/>
        </w:rPr>
        <w:t>al</w:t>
      </w:r>
      <w:r w:rsidR="00E127DB" w:rsidRPr="00EF75A4">
        <w:rPr>
          <w:rFonts w:cs="Times New Roman"/>
        </w:rPr>
        <w:t xml:space="preserve"> al</w:t>
      </w:r>
      <w:r w:rsidR="006F29E4">
        <w:rPr>
          <w:rFonts w:cs="Times New Roman"/>
        </w:rPr>
        <w:t>kaline stabiliz</w:t>
      </w:r>
      <w:r w:rsidR="00E127DB" w:rsidRPr="00EF75A4">
        <w:rPr>
          <w:rFonts w:cs="Times New Roman"/>
        </w:rPr>
        <w:t>ation attained in the blend 1, the Ca</w:t>
      </w:r>
      <w:r w:rsidR="00E127DB" w:rsidRPr="00EF75A4">
        <w:rPr>
          <w:rFonts w:cs="Times New Roman"/>
          <w:vertAlign w:val="superscript"/>
        </w:rPr>
        <w:t>2+</w:t>
      </w:r>
      <w:r w:rsidR="00E127DB" w:rsidRPr="00EF75A4">
        <w:rPr>
          <w:rFonts w:cs="Times New Roman"/>
        </w:rPr>
        <w:t xml:space="preserve"> could promote</w:t>
      </w:r>
      <w:r w:rsidR="00162D28">
        <w:rPr>
          <w:rFonts w:cs="Times New Roman"/>
        </w:rPr>
        <w:t xml:space="preserve"> the neutraliz</w:t>
      </w:r>
      <w:r w:rsidR="00100225" w:rsidRPr="00EF75A4">
        <w:rPr>
          <w:rFonts w:cs="Times New Roman"/>
        </w:rPr>
        <w:t xml:space="preserve">ation and sorption of organic matter </w:t>
      </w:r>
      <w:r w:rsidR="00100225" w:rsidRPr="00EF75A4">
        <w:rPr>
          <w:rFonts w:cs="Times New Roman"/>
        </w:rPr>
        <w:fldChar w:fldCharType="begin" w:fldLock="1"/>
      </w:r>
      <w:r w:rsidR="00BB33F9">
        <w:rPr>
          <w:rFonts w:cs="Times New Roman"/>
        </w:rPr>
        <w:instrText>ADDIN CSL_CITATION {"citationItems":[{"id":"ITEM-1","itemData":{"DOI":"10.1111/ejss.12294","ISSN":"13652389","abstract":"© 2015 British Society of Soil Science. Alkaline soil is widely distributed and cultivated throughout the agricultural regions of the world. Organic carbon (OC) concentrations in alkaline soil are often small, partly because of the limitations of a high pH on the productivity of crops and pastures together with the effects of high pH on the chemistry of soil OC. Soil pH is often hypothesized to be a major factor in regulating OC turnover in agricultural soil, but there are few detailed studies on the effects of high pH on carbon cycling in alkaline soil. Sodium, K + , Mg 2+  and Ca 2+  are the major cations in alkaline soil, whereas Cl - , SO42-, HCO3- and CO32- are the major anions. The effect of different combinations of these cations and anions on soil pH and OC is not well described in the literature. The objectives of this study were to evaluate the effect of cations and anions on soil pH and to quantify the dissolution of OC in relation to these changes in pH. The results showed that HCO3- (Na + , K +  and Mg 2+ ) salts and CaCO 3  dominate in the pH range 7.0-8.5, and CO32- salts of Na +  and K +  dominate above pH 8.5. The amount of dissolved OC (DOC) increased significantly as pH increased. Therefore, the presence of large concentrations of HCO3- and CO32- not only increased pH but also promoted the dissolution of soil OC. The concentration of Ca 2+  modified this effect; large concentrations of Ca 2+  increased the adsorption and reduced the concentration of DOC.","author":[{"dropping-particle":"","family":"Tavakkoli","given":"E.","non-dropping-particle":"","parse-names":false,"suffix":""},{"dropping-particle":"","family":"Rengasamy","given":"P.","non-dropping-particle":"","parse-names":false,"suffix":""},{"dropping-particle":"","family":"Smith","given":"E.","non-dropping-particle":"","parse-names":false,"suffix":""},{"dropping-particle":"","family":"Mcdonald","given":"G. K.","non-dropping-particle":"","parse-names":false,"suffix":""}],"container-title":"European Journal of Soil Science","id":"ITEM-1","issue":"6","issued":{"date-parts":[["2015"]]},"page":"1054-1062","title":"The effect of cation-anion interactions on soil pH and solubility of organic carbon","type":"article-journal","volume":"66"},"uris":["http://www.mendeley.com/documents/?uuid=ec88a7d1-37f7-42f1-ae84-1bef9b9508e6"]}],"mendeley":{"formattedCitation":"[26]","plainTextFormattedCitation":"[26]","previouslyFormattedCitation":"[26]"},"properties":{"noteIndex":0},"schema":"https://github.com/citation-style-language/schema/raw/master/csl-citation.json"}</w:instrText>
      </w:r>
      <w:r w:rsidR="00100225" w:rsidRPr="00EF75A4">
        <w:rPr>
          <w:rFonts w:cs="Times New Roman"/>
        </w:rPr>
        <w:fldChar w:fldCharType="separate"/>
      </w:r>
      <w:r w:rsidR="00D33723" w:rsidRPr="00D33723">
        <w:rPr>
          <w:rFonts w:cs="Times New Roman"/>
          <w:noProof/>
        </w:rPr>
        <w:t>[26]</w:t>
      </w:r>
      <w:r w:rsidR="00100225" w:rsidRPr="00EF75A4">
        <w:rPr>
          <w:rFonts w:cs="Times New Roman"/>
        </w:rPr>
        <w:fldChar w:fldCharType="end"/>
      </w:r>
      <w:r w:rsidR="00100225" w:rsidRPr="00EF75A4">
        <w:rPr>
          <w:rFonts w:cs="Times New Roman"/>
        </w:rPr>
        <w:t>.</w:t>
      </w:r>
      <w:r w:rsidR="00CA1C51" w:rsidRPr="00CA1C51">
        <w:rPr>
          <w:rFonts w:cs="Times New Roman"/>
        </w:rPr>
        <w:t xml:space="preserve"> </w:t>
      </w:r>
      <w:r w:rsidR="00CA1C51">
        <w:rPr>
          <w:rFonts w:cs="Times New Roman"/>
        </w:rPr>
        <w:t>In this way,</w:t>
      </w:r>
      <w:r w:rsidR="00CA1C51" w:rsidRPr="00EF75A4">
        <w:rPr>
          <w:rFonts w:cs="Times New Roman"/>
        </w:rPr>
        <w:t xml:space="preserve"> the organic acids </w:t>
      </w:r>
      <w:r w:rsidR="00CA1C51">
        <w:rPr>
          <w:rFonts w:cs="Times New Roman"/>
        </w:rPr>
        <w:t xml:space="preserve">could undergo </w:t>
      </w:r>
      <w:r w:rsidR="00CA1C51" w:rsidRPr="00EF75A4">
        <w:rPr>
          <w:rFonts w:cs="Times New Roman"/>
        </w:rPr>
        <w:t>saponification reactions</w:t>
      </w:r>
      <w:r w:rsidR="00CA1C51">
        <w:rPr>
          <w:rFonts w:cs="Times New Roman"/>
        </w:rPr>
        <w:t xml:space="preserve"> </w:t>
      </w:r>
      <w:r w:rsidR="00CA1C51" w:rsidRPr="00EF75A4">
        <w:rPr>
          <w:rFonts w:cs="Times New Roman"/>
        </w:rPr>
        <w:fldChar w:fldCharType="begin" w:fldLock="1"/>
      </w:r>
      <w:r w:rsidR="00233927">
        <w:rPr>
          <w:rFonts w:cs="Times New Roman"/>
        </w:rPr>
        <w:instrText>ADDIN CSL_CITATION {"citationItems":[{"id":"ITEM-1","itemData":{"DOI":"10.1088/1757-899X/543/1/012017","ISSN":"1757899X","author":[{"dropping-particle":"","family":"Handojo","given":"L. A.","non-dropping-particle":"","parse-names":false,"suffix":""},{"dropping-particle":"","family":"Indarto","given":"A.","non-dropping-particle":"","parse-names":false,"suffix":""},{"dropping-particle":"","family":"Shofinita","given":"D.","non-dropping-particle":"","parse-names":false,"suffix":""},{"dropping-particle":"","family":"Saadi","given":"M. R.","non-dropping-particle":"","parse-names":false,"suffix":""},{"dropping-particle":"","family":"Yulistia","given":"D.","non-dropping-particle":"","parse-names":false,"suffix":""},{"dropping-particle":"","family":"Hasyyati","given":"F. I.","non-dropping-particle":"","parse-names":false,"suffix":""}],"container-title":"IOP Conference Series: Materials Science and Engineering","id":"ITEM-1","issue":"1","issued":{"date-parts":[["2018"]]},"title":"Calcium Soap from Palm Fatty Acid Distillate for Ruminant Feed: The Influence of Initial Mixing Temperature","type":"article-journal","volume":"543"},"uris":["http://www.mendeley.com/documents/?uuid=c28afa6f-868e-448a-9ab0-06962e4dd544"]}],"mendeley":{"formattedCitation":"[65]","plainTextFormattedCitation":"[65]","previouslyFormattedCitation":"[65]"},"properties":{"noteIndex":0},"schema":"https://github.com/citation-style-language/schema/raw/master/csl-citation.json"}</w:instrText>
      </w:r>
      <w:r w:rsidR="00CA1C51" w:rsidRPr="00EF75A4">
        <w:rPr>
          <w:rFonts w:cs="Times New Roman"/>
        </w:rPr>
        <w:fldChar w:fldCharType="separate"/>
      </w:r>
      <w:r w:rsidR="00523707" w:rsidRPr="00523707">
        <w:rPr>
          <w:rFonts w:cs="Times New Roman"/>
          <w:noProof/>
        </w:rPr>
        <w:t>[65]</w:t>
      </w:r>
      <w:r w:rsidR="00CA1C51" w:rsidRPr="00EF75A4">
        <w:rPr>
          <w:rFonts w:cs="Times New Roman"/>
        </w:rPr>
        <w:fldChar w:fldCharType="end"/>
      </w:r>
      <w:r w:rsidR="00CA1C51">
        <w:rPr>
          <w:rFonts w:cs="Times New Roman"/>
        </w:rPr>
        <w:t xml:space="preserve"> which</w:t>
      </w:r>
      <w:r w:rsidR="00CA1C51" w:rsidRPr="00EF75A4">
        <w:rPr>
          <w:rFonts w:cs="Times New Roman"/>
        </w:rPr>
        <w:t xml:space="preserve"> </w:t>
      </w:r>
      <w:r w:rsidR="00CA1C51" w:rsidRPr="00713E31">
        <w:rPr>
          <w:rFonts w:cs="Times New Roman"/>
        </w:rPr>
        <w:t>increased the yield of the WI material.</w:t>
      </w:r>
      <w:r w:rsidR="00FE12BE" w:rsidRPr="00713E31">
        <w:rPr>
          <w:rFonts w:cs="Times New Roman"/>
        </w:rPr>
        <w:t xml:space="preserve"> T</w:t>
      </w:r>
      <w:r w:rsidR="00CA1C51" w:rsidRPr="00713E31">
        <w:rPr>
          <w:rFonts w:cs="Times New Roman"/>
        </w:rPr>
        <w:t>his</w:t>
      </w:r>
      <w:r w:rsidR="00EA698A" w:rsidRPr="00713E31">
        <w:rPr>
          <w:rFonts w:cs="Times New Roman"/>
        </w:rPr>
        <w:t xml:space="preserve"> organic salts we</w:t>
      </w:r>
      <w:r w:rsidR="001701A9" w:rsidRPr="00713E31">
        <w:rPr>
          <w:rFonts w:cs="Times New Roman"/>
        </w:rPr>
        <w:t>re expected to rem</w:t>
      </w:r>
      <w:r w:rsidR="00CA1C51" w:rsidRPr="00713E31">
        <w:rPr>
          <w:rFonts w:cs="Times New Roman"/>
        </w:rPr>
        <w:t>ain in the WI material due to the low solubility of</w:t>
      </w:r>
      <w:r w:rsidR="0034594F" w:rsidRPr="00713E31">
        <w:rPr>
          <w:rFonts w:cs="Times New Roman"/>
        </w:rPr>
        <w:t xml:space="preserve"> calcium</w:t>
      </w:r>
      <w:r w:rsidR="00AB047D" w:rsidRPr="00713E31">
        <w:rPr>
          <w:rFonts w:cs="Times New Roman"/>
        </w:rPr>
        <w:t xml:space="preserve"> </w:t>
      </w:r>
      <w:r w:rsidR="000240A2" w:rsidRPr="00713E31">
        <w:rPr>
          <w:rFonts w:cs="Times New Roman"/>
        </w:rPr>
        <w:t xml:space="preserve">and </w:t>
      </w:r>
      <w:r w:rsidR="0034594F" w:rsidRPr="00713E31">
        <w:rPr>
          <w:rFonts w:cs="Times New Roman"/>
        </w:rPr>
        <w:t>magnesium</w:t>
      </w:r>
      <w:r w:rsidR="000240A2" w:rsidRPr="00713E31">
        <w:rPr>
          <w:rFonts w:cs="Times New Roman"/>
        </w:rPr>
        <w:t>.</w:t>
      </w:r>
      <w:r w:rsidR="00EA698A" w:rsidRPr="00713E31">
        <w:rPr>
          <w:rFonts w:cs="Times New Roman"/>
        </w:rPr>
        <w:t xml:space="preserve"> The </w:t>
      </w:r>
      <w:r w:rsidR="000240A2" w:rsidRPr="00713E31">
        <w:rPr>
          <w:rFonts w:cs="Times New Roman"/>
        </w:rPr>
        <w:t>slight increase in the WS TC</w:t>
      </w:r>
      <w:r w:rsidR="00EA698A" w:rsidRPr="00713E31">
        <w:rPr>
          <w:rFonts w:cs="Times New Roman"/>
        </w:rPr>
        <w:t xml:space="preserve"> of blend 1</w:t>
      </w:r>
      <w:r w:rsidR="000240A2" w:rsidRPr="00713E31">
        <w:rPr>
          <w:rFonts w:cs="Times New Roman"/>
        </w:rPr>
        <w:t xml:space="preserve"> (</w:t>
      </w:r>
      <w:r w:rsidR="00BC0400" w:rsidRPr="00713E31">
        <w:rPr>
          <w:rFonts w:cs="Times New Roman"/>
        </w:rPr>
        <w:fldChar w:fldCharType="begin"/>
      </w:r>
      <w:r w:rsidR="00BC0400" w:rsidRPr="00713E31">
        <w:rPr>
          <w:rFonts w:cs="Times New Roman"/>
        </w:rPr>
        <w:instrText xml:space="preserve"> REF _Ref37585203 \h  \* MERGEFORMAT </w:instrText>
      </w:r>
      <w:r w:rsidR="00BC0400" w:rsidRPr="00713E31">
        <w:rPr>
          <w:rFonts w:cs="Times New Roman"/>
        </w:rPr>
      </w:r>
      <w:r w:rsidR="00BC0400" w:rsidRPr="00713E31">
        <w:rPr>
          <w:rFonts w:cs="Times New Roman"/>
        </w:rPr>
        <w:fldChar w:fldCharType="separate"/>
      </w:r>
      <w:r w:rsidR="00E4647D" w:rsidRPr="00713E31">
        <w:t xml:space="preserve">Fig. </w:t>
      </w:r>
      <w:r w:rsidR="00E4647D" w:rsidRPr="00713E31">
        <w:rPr>
          <w:noProof/>
        </w:rPr>
        <w:t>4</w:t>
      </w:r>
      <w:r w:rsidR="00BC0400" w:rsidRPr="00713E31">
        <w:rPr>
          <w:rFonts w:cs="Times New Roman"/>
        </w:rPr>
        <w:fldChar w:fldCharType="end"/>
      </w:r>
      <w:r w:rsidR="00D7171C" w:rsidRPr="00713E31">
        <w:rPr>
          <w:rFonts w:cs="Times New Roman"/>
        </w:rPr>
        <w:t xml:space="preserve"> </w:t>
      </w:r>
      <w:r w:rsidR="00BC0400" w:rsidRPr="00713E31">
        <w:rPr>
          <w:rFonts w:cs="Times New Roman"/>
        </w:rPr>
        <w:t>b</w:t>
      </w:r>
      <w:r w:rsidR="000240A2" w:rsidRPr="00713E31">
        <w:rPr>
          <w:rFonts w:cs="Times New Roman"/>
        </w:rPr>
        <w:t>)</w:t>
      </w:r>
      <w:r w:rsidR="00AE780B" w:rsidRPr="00713E31">
        <w:rPr>
          <w:rFonts w:cs="Times New Roman"/>
        </w:rPr>
        <w:t xml:space="preserve"> with respect to the initial (</w:t>
      </w:r>
      <w:r w:rsidR="00B42460" w:rsidRPr="00713E31">
        <w:rPr>
          <w:rFonts w:cs="Times New Roman"/>
        </w:rPr>
        <w:fldChar w:fldCharType="begin"/>
      </w:r>
      <w:r w:rsidR="00B42460" w:rsidRPr="00713E31">
        <w:rPr>
          <w:rFonts w:cs="Times New Roman"/>
        </w:rPr>
        <w:instrText xml:space="preserve"> REF _Ref44759336 \h  \* MERGEFORMAT </w:instrText>
      </w:r>
      <w:r w:rsidR="00B42460" w:rsidRPr="00713E31">
        <w:rPr>
          <w:rFonts w:cs="Times New Roman"/>
        </w:rPr>
      </w:r>
      <w:r w:rsidR="00B42460" w:rsidRPr="00713E31">
        <w:rPr>
          <w:rFonts w:cs="Times New Roman"/>
        </w:rPr>
        <w:fldChar w:fldCharType="separate"/>
      </w:r>
      <w:r w:rsidR="00B42460" w:rsidRPr="00713E31">
        <w:rPr>
          <w:rFonts w:cs="Times New Roman"/>
        </w:rPr>
        <w:t xml:space="preserve">Table </w:t>
      </w:r>
      <w:r w:rsidR="00B42460" w:rsidRPr="00713E31">
        <w:rPr>
          <w:rFonts w:cs="Times New Roman"/>
          <w:noProof/>
        </w:rPr>
        <w:t>3</w:t>
      </w:r>
      <w:r w:rsidR="00B42460" w:rsidRPr="00713E31">
        <w:rPr>
          <w:rFonts w:cs="Times New Roman"/>
        </w:rPr>
        <w:fldChar w:fldCharType="end"/>
      </w:r>
      <w:r w:rsidR="00AE780B" w:rsidRPr="00713E31">
        <w:rPr>
          <w:rFonts w:cs="Times New Roman"/>
        </w:rPr>
        <w:fldChar w:fldCharType="begin"/>
      </w:r>
      <w:r w:rsidR="00AE780B" w:rsidRPr="00713E31">
        <w:rPr>
          <w:rFonts w:cs="Times New Roman"/>
        </w:rPr>
        <w:instrText xml:space="preserve"> REF _Ref13331821 \h </w:instrText>
      </w:r>
      <w:r w:rsidR="00F91F3C" w:rsidRPr="00713E31">
        <w:rPr>
          <w:rFonts w:cs="Times New Roman"/>
        </w:rPr>
        <w:instrText xml:space="preserve"> \* MERGEFORMAT </w:instrText>
      </w:r>
      <w:r w:rsidR="00AE780B" w:rsidRPr="00713E31">
        <w:rPr>
          <w:rFonts w:cs="Times New Roman"/>
        </w:rPr>
      </w:r>
      <w:r w:rsidR="00AE780B" w:rsidRPr="00713E31">
        <w:rPr>
          <w:rFonts w:cs="Times New Roman"/>
        </w:rPr>
        <w:fldChar w:fldCharType="end"/>
      </w:r>
      <w:r w:rsidR="00AE780B" w:rsidRPr="00713E31">
        <w:rPr>
          <w:rFonts w:cs="Times New Roman"/>
        </w:rPr>
        <w:t>) c</w:t>
      </w:r>
      <w:r w:rsidR="00FE12BE" w:rsidRPr="00713E31">
        <w:rPr>
          <w:rFonts w:cs="Times New Roman"/>
        </w:rPr>
        <w:t>ould</w:t>
      </w:r>
      <w:r w:rsidR="00AE780B" w:rsidRPr="00713E31">
        <w:rPr>
          <w:rFonts w:cs="Times New Roman"/>
        </w:rPr>
        <w:t xml:space="preserve"> be explained by the short chains of low molecular weight organic compounds that </w:t>
      </w:r>
      <w:r w:rsidR="009645DD" w:rsidRPr="00713E31">
        <w:rPr>
          <w:rFonts w:cs="Times New Roman"/>
        </w:rPr>
        <w:t xml:space="preserve">ended up </w:t>
      </w:r>
      <w:r w:rsidR="00AE780B" w:rsidRPr="00713E31">
        <w:rPr>
          <w:rFonts w:cs="Times New Roman"/>
        </w:rPr>
        <w:t>in the WS extract</w:t>
      </w:r>
      <w:r w:rsidR="00AE780B" w:rsidRPr="00EF75A4">
        <w:rPr>
          <w:rFonts w:cs="Times New Roman"/>
        </w:rPr>
        <w:t xml:space="preserve"> because they </w:t>
      </w:r>
      <w:r w:rsidR="00696F7D" w:rsidRPr="00EF75A4">
        <w:rPr>
          <w:rFonts w:cs="Times New Roman"/>
        </w:rPr>
        <w:t>we</w:t>
      </w:r>
      <w:r w:rsidR="00AE780B" w:rsidRPr="00EF75A4">
        <w:rPr>
          <w:rFonts w:cs="Times New Roman"/>
        </w:rPr>
        <w:t>re not absorbed by the alkali metals.</w:t>
      </w:r>
    </w:p>
    <w:p w14:paraId="61BDFFDD" w14:textId="67EA3C26" w:rsidR="008748E6" w:rsidRPr="00EF75A4" w:rsidRDefault="00AD0E78" w:rsidP="00C807A3">
      <w:pPr>
        <w:pStyle w:val="Heading3"/>
        <w:spacing w:line="360" w:lineRule="auto"/>
      </w:pPr>
      <w:r>
        <w:lastRenderedPageBreak/>
        <w:t>Nitrogen</w:t>
      </w:r>
      <w:r w:rsidR="00C64E83" w:rsidRPr="00EF75A4">
        <w:t xml:space="preserve"> p</w:t>
      </w:r>
      <w:r w:rsidR="00290F9C" w:rsidRPr="00EF75A4">
        <w:t>rofile</w:t>
      </w:r>
    </w:p>
    <w:tbl>
      <w:tblPr>
        <w:tblStyle w:val="TableGrid"/>
        <w:tblW w:w="9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686"/>
      </w:tblGrid>
      <w:tr w:rsidR="000B436D" w:rsidRPr="00EF75A4" w14:paraId="33E68FDD" w14:textId="77777777" w:rsidTr="00871E1E">
        <w:trPr>
          <w:trHeight w:val="3025"/>
        </w:trPr>
        <w:tc>
          <w:tcPr>
            <w:tcW w:w="4536" w:type="dxa"/>
          </w:tcPr>
          <w:p w14:paraId="604160E7" w14:textId="63ECA467" w:rsidR="00DE13DB" w:rsidRPr="00DE13DB" w:rsidRDefault="007357B7" w:rsidP="00DE13DB">
            <w:pPr>
              <w:pStyle w:val="Caption"/>
              <w:spacing w:line="360" w:lineRule="auto"/>
              <w:rPr>
                <w:rFonts w:cs="Times New Roman"/>
              </w:rPr>
            </w:pPr>
            <w:r>
              <w:rPr>
                <w:noProof/>
                <w:lang w:eastAsia="en-GB"/>
              </w:rPr>
              <w:drawing>
                <wp:inline distT="0" distB="0" distL="0" distR="0" wp14:anchorId="3D0970E0" wp14:editId="521E377C">
                  <wp:extent cx="2743200" cy="1787857"/>
                  <wp:effectExtent l="0" t="0" r="0" b="31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686" w:type="dxa"/>
          </w:tcPr>
          <w:p w14:paraId="01CD168B" w14:textId="69EA8780" w:rsidR="001A6C85" w:rsidRPr="00EF75A4" w:rsidRDefault="00E33E99" w:rsidP="002B3B08">
            <w:pPr>
              <w:keepNext/>
              <w:spacing w:line="360" w:lineRule="auto"/>
              <w:rPr>
                <w:rFonts w:cs="Times New Roman"/>
              </w:rPr>
            </w:pPr>
            <w:r>
              <w:rPr>
                <w:noProof/>
                <w:lang w:eastAsia="en-GB"/>
              </w:rPr>
              <w:drawing>
                <wp:inline distT="0" distB="0" distL="0" distR="0" wp14:anchorId="42B818D4" wp14:editId="1D04C920">
                  <wp:extent cx="2837815" cy="1835624"/>
                  <wp:effectExtent l="0" t="0" r="635"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3F280651" w14:textId="24D1A6C6" w:rsidR="00833EC1" w:rsidRPr="00916074" w:rsidRDefault="00916074" w:rsidP="00B97A55">
      <w:pPr>
        <w:pStyle w:val="Caption"/>
        <w:spacing w:line="360" w:lineRule="auto"/>
        <w:rPr>
          <w:rFonts w:cs="Times New Roman"/>
          <w:b/>
          <w:i w:val="0"/>
        </w:rPr>
      </w:pPr>
      <w:bookmarkStart w:id="14" w:name="_Ref37535458"/>
      <w:r w:rsidRPr="00916074">
        <w:rPr>
          <w:b/>
          <w:i w:val="0"/>
        </w:rPr>
        <w:t xml:space="preserve">Fig. </w:t>
      </w:r>
      <w:r w:rsidRPr="00916074">
        <w:rPr>
          <w:b/>
          <w:i w:val="0"/>
        </w:rPr>
        <w:fldChar w:fldCharType="begin"/>
      </w:r>
      <w:r w:rsidRPr="00916074">
        <w:rPr>
          <w:b/>
          <w:i w:val="0"/>
        </w:rPr>
        <w:instrText xml:space="preserve"> SEQ Figure \* ARABIC </w:instrText>
      </w:r>
      <w:r w:rsidRPr="00916074">
        <w:rPr>
          <w:b/>
          <w:i w:val="0"/>
        </w:rPr>
        <w:fldChar w:fldCharType="separate"/>
      </w:r>
      <w:r w:rsidR="00E4647D">
        <w:rPr>
          <w:b/>
          <w:i w:val="0"/>
          <w:noProof/>
        </w:rPr>
        <w:t>5</w:t>
      </w:r>
      <w:r w:rsidRPr="00916074">
        <w:rPr>
          <w:b/>
          <w:i w:val="0"/>
        </w:rPr>
        <w:fldChar w:fldCharType="end"/>
      </w:r>
      <w:bookmarkEnd w:id="14"/>
      <w:r w:rsidRPr="00916074">
        <w:rPr>
          <w:i w:val="0"/>
        </w:rPr>
        <w:t xml:space="preserve"> </w:t>
      </w:r>
      <w:r w:rsidR="00B97A55">
        <w:rPr>
          <w:i w:val="0"/>
        </w:rPr>
        <w:t>Calculated p</w:t>
      </w:r>
      <w:r w:rsidR="00272761">
        <w:rPr>
          <w:i w:val="0"/>
        </w:rPr>
        <w:t xml:space="preserve">rofiles of nitrogen species in </w:t>
      </w:r>
      <w:r w:rsidR="00AD4AE9">
        <w:rPr>
          <w:i w:val="0"/>
        </w:rPr>
        <w:t>3 g</w:t>
      </w:r>
      <w:r w:rsidR="00B97A55">
        <w:rPr>
          <w:i w:val="0"/>
        </w:rPr>
        <w:t xml:space="preserve"> of</w:t>
      </w:r>
      <w:r w:rsidR="00D124A0">
        <w:rPr>
          <w:i w:val="0"/>
        </w:rPr>
        <w:t xml:space="preserve"> </w:t>
      </w:r>
      <w:r w:rsidR="00272761">
        <w:rPr>
          <w:i w:val="0"/>
        </w:rPr>
        <w:t>b</w:t>
      </w:r>
      <w:r w:rsidR="00D124A0">
        <w:rPr>
          <w:i w:val="0"/>
        </w:rPr>
        <w:t xml:space="preserve">lend 1 (a) and </w:t>
      </w:r>
      <w:r w:rsidR="00AD4AE9">
        <w:rPr>
          <w:i w:val="0"/>
        </w:rPr>
        <w:t>3 g</w:t>
      </w:r>
      <w:r w:rsidR="00B97A55">
        <w:rPr>
          <w:i w:val="0"/>
        </w:rPr>
        <w:t xml:space="preserve"> of</w:t>
      </w:r>
      <w:r w:rsidR="00D124A0">
        <w:rPr>
          <w:i w:val="0"/>
        </w:rPr>
        <w:t xml:space="preserve"> blend 2 (b)</w:t>
      </w:r>
      <w:r w:rsidR="00B97A55">
        <w:rPr>
          <w:i w:val="0"/>
        </w:rPr>
        <w:t xml:space="preserve"> during</w:t>
      </w:r>
      <w:r w:rsidR="00B97A55" w:rsidRPr="00AA5D63">
        <w:rPr>
          <w:i w:val="0"/>
        </w:rPr>
        <w:t xml:space="preserve"> the incubation at 100 rpm and 22 ºC</w:t>
      </w:r>
      <w:r w:rsidR="00ED231A">
        <w:rPr>
          <w:i w:val="0"/>
        </w:rPr>
        <w:t xml:space="preserve"> (</w:t>
      </w:r>
      <w:r w:rsidR="00ED231A" w:rsidRPr="00997F0A">
        <w:rPr>
          <w:i w:val="0"/>
        </w:rPr>
        <w:fldChar w:fldCharType="begin"/>
      </w:r>
      <w:r w:rsidR="00ED231A" w:rsidRPr="00997F0A">
        <w:rPr>
          <w:i w:val="0"/>
        </w:rPr>
        <w:instrText xml:space="preserve"> REF _Ref44759134 \h  \* MERGEFORMAT </w:instrText>
      </w:r>
      <w:r w:rsidR="00ED231A" w:rsidRPr="00997F0A">
        <w:rPr>
          <w:i w:val="0"/>
        </w:rPr>
      </w:r>
      <w:r w:rsidR="00ED231A" w:rsidRPr="00997F0A">
        <w:rPr>
          <w:i w:val="0"/>
        </w:rPr>
        <w:fldChar w:fldCharType="separate"/>
      </w:r>
      <w:r w:rsidR="00ED231A" w:rsidRPr="00997F0A">
        <w:rPr>
          <w:i w:val="0"/>
        </w:rPr>
        <w:t xml:space="preserve">Table </w:t>
      </w:r>
      <w:r w:rsidR="00ED231A" w:rsidRPr="00997F0A">
        <w:rPr>
          <w:i w:val="0"/>
          <w:noProof/>
        </w:rPr>
        <w:t>2</w:t>
      </w:r>
      <w:r w:rsidR="00ED231A" w:rsidRPr="00997F0A">
        <w:rPr>
          <w:i w:val="0"/>
        </w:rPr>
        <w:fldChar w:fldCharType="end"/>
      </w:r>
      <w:r w:rsidR="00ED231A">
        <w:rPr>
          <w:i w:val="0"/>
        </w:rPr>
        <w:t>)</w:t>
      </w:r>
    </w:p>
    <w:p w14:paraId="7312029E" w14:textId="77EBC066" w:rsidR="00CD2400" w:rsidRPr="00355E85" w:rsidRDefault="008009AD" w:rsidP="00E57FCD">
      <w:pPr>
        <w:spacing w:line="360" w:lineRule="auto"/>
        <w:rPr>
          <w:rFonts w:cs="Times New Roman"/>
        </w:rPr>
      </w:pPr>
      <w:r w:rsidRPr="00EF75A4">
        <w:rPr>
          <w:rFonts w:cs="Times New Roman"/>
        </w:rPr>
        <w:t>Based on the</w:t>
      </w:r>
      <w:r>
        <w:rPr>
          <w:rFonts w:cs="Times New Roman"/>
        </w:rPr>
        <w:t xml:space="preserve"> empirical </w:t>
      </w:r>
      <w:r w:rsidRPr="00EF75A4">
        <w:rPr>
          <w:rFonts w:cs="Times New Roman"/>
        </w:rPr>
        <w:t xml:space="preserve">results obtained for nitrogen, the </w:t>
      </w:r>
      <w:r>
        <w:rPr>
          <w:rFonts w:cs="Times New Roman"/>
        </w:rPr>
        <w:t>speciation of</w:t>
      </w:r>
      <w:r w:rsidRPr="00EF75A4">
        <w:rPr>
          <w:rFonts w:cs="Times New Roman"/>
        </w:rPr>
        <w:t xml:space="preserve"> blend 1 and blend 2 </w:t>
      </w:r>
      <w:r>
        <w:rPr>
          <w:rFonts w:cs="Times New Roman"/>
        </w:rPr>
        <w:t>we</w:t>
      </w:r>
      <w:r w:rsidRPr="00EF75A4">
        <w:rPr>
          <w:rFonts w:cs="Times New Roman"/>
        </w:rPr>
        <w:t>re represented in</w:t>
      </w:r>
      <w:r>
        <w:rPr>
          <w:rFonts w:cs="Times New Roman"/>
        </w:rPr>
        <w:t xml:space="preserve"> </w:t>
      </w:r>
      <w:r w:rsidRPr="004E73B3">
        <w:rPr>
          <w:rFonts w:cs="Times New Roman"/>
        </w:rPr>
        <w:fldChar w:fldCharType="begin"/>
      </w:r>
      <w:r w:rsidRPr="004E73B3">
        <w:rPr>
          <w:rFonts w:cs="Times New Roman"/>
        </w:rPr>
        <w:instrText xml:space="preserve"> REF _Ref37535458 \h  \* MERGEFORMAT </w:instrText>
      </w:r>
      <w:r w:rsidRPr="004E73B3">
        <w:rPr>
          <w:rFonts w:cs="Times New Roman"/>
        </w:rPr>
      </w:r>
      <w:r w:rsidRPr="004E73B3">
        <w:rPr>
          <w:rFonts w:cs="Times New Roman"/>
        </w:rPr>
        <w:fldChar w:fldCharType="separate"/>
      </w:r>
      <w:r w:rsidR="00E4647D" w:rsidRPr="00E4647D">
        <w:t xml:space="preserve">Fig. </w:t>
      </w:r>
      <w:r w:rsidR="00E4647D" w:rsidRPr="00E4647D">
        <w:rPr>
          <w:noProof/>
        </w:rPr>
        <w:t>5</w:t>
      </w:r>
      <w:r w:rsidRPr="004E73B3">
        <w:rPr>
          <w:rFonts w:cs="Times New Roman"/>
        </w:rPr>
        <w:fldChar w:fldCharType="end"/>
      </w:r>
      <w:r w:rsidRPr="00EF75A4">
        <w:rPr>
          <w:rFonts w:cs="Times New Roman"/>
        </w:rPr>
        <w:t>.</w:t>
      </w:r>
      <w:r w:rsidR="002E03AD">
        <w:rPr>
          <w:rFonts w:cs="Times New Roman"/>
        </w:rPr>
        <w:t xml:space="preserve"> </w:t>
      </w:r>
      <w:r w:rsidR="002E03AD" w:rsidRPr="002939E3">
        <w:rPr>
          <w:b/>
        </w:rPr>
        <w:t xml:space="preserve">A detailed description of the assumtions made for this simulation is </w:t>
      </w:r>
      <w:r w:rsidR="002939E3">
        <w:rPr>
          <w:b/>
        </w:rPr>
        <w:t>offer</w:t>
      </w:r>
      <w:r w:rsidR="002939E3" w:rsidRPr="002939E3">
        <w:rPr>
          <w:b/>
        </w:rPr>
        <w:t>ed</w:t>
      </w:r>
      <w:r w:rsidR="002E03AD" w:rsidRPr="002939E3">
        <w:rPr>
          <w:b/>
        </w:rPr>
        <w:t xml:space="preserve"> in the section of this manuscript describing the methodology.</w:t>
      </w:r>
      <w:r w:rsidR="00E17C8B" w:rsidRPr="002939E3">
        <w:rPr>
          <w:b/>
        </w:rPr>
        <w:t xml:space="preserve"> It should be noted that</w:t>
      </w:r>
      <w:r w:rsidR="00E908AD" w:rsidRPr="002939E3">
        <w:rPr>
          <w:b/>
        </w:rPr>
        <w:t xml:space="preserve"> no mechanism for the translocation of the </w:t>
      </w:r>
      <w:r w:rsidR="00501A81" w:rsidRPr="002939E3">
        <w:rPr>
          <w:b/>
        </w:rPr>
        <w:t>TN</w:t>
      </w:r>
      <w:r w:rsidR="00E908AD" w:rsidRPr="002939E3">
        <w:rPr>
          <w:b/>
        </w:rPr>
        <w:t xml:space="preserve"> from the WS</w:t>
      </w:r>
      <w:r w:rsidR="00501A81" w:rsidRPr="002939E3">
        <w:rPr>
          <w:b/>
        </w:rPr>
        <w:t xml:space="preserve"> phase</w:t>
      </w:r>
      <w:r w:rsidR="00E908AD" w:rsidRPr="002939E3">
        <w:rPr>
          <w:b/>
        </w:rPr>
        <w:t xml:space="preserve"> to the WI pha</w:t>
      </w:r>
      <w:r w:rsidR="00162D28">
        <w:rPr>
          <w:b/>
        </w:rPr>
        <w:t>se, such as sorption or precipit</w:t>
      </w:r>
      <w:r w:rsidR="00E908AD" w:rsidRPr="002939E3">
        <w:rPr>
          <w:b/>
        </w:rPr>
        <w:t>ation,</w:t>
      </w:r>
      <w:r w:rsidR="002939E3" w:rsidRPr="002939E3">
        <w:rPr>
          <w:b/>
        </w:rPr>
        <w:t xml:space="preserve"> has</w:t>
      </w:r>
      <w:r w:rsidR="007238EB" w:rsidRPr="002939E3">
        <w:rPr>
          <w:b/>
        </w:rPr>
        <w:t xml:space="preserve"> been considered</w:t>
      </w:r>
      <w:r w:rsidR="00A309B4" w:rsidRPr="002939E3">
        <w:rPr>
          <w:b/>
        </w:rPr>
        <w:t xml:space="preserve"> since the ashes ha</w:t>
      </w:r>
      <w:r w:rsidR="007238EB" w:rsidRPr="002939E3">
        <w:rPr>
          <w:b/>
        </w:rPr>
        <w:t>ve</w:t>
      </w:r>
      <w:r w:rsidR="00A309B4" w:rsidRPr="002939E3">
        <w:rPr>
          <w:b/>
        </w:rPr>
        <w:t xml:space="preserve"> not been activated</w:t>
      </w:r>
      <w:r w:rsidR="007238EB" w:rsidRPr="002939E3">
        <w:rPr>
          <w:b/>
        </w:rPr>
        <w:t>,</w:t>
      </w:r>
      <w:r w:rsidR="00E908AD" w:rsidRPr="002939E3">
        <w:rPr>
          <w:b/>
        </w:rPr>
        <w:t xml:space="preserve"> </w:t>
      </w:r>
      <w:r w:rsidR="00CB1210" w:rsidRPr="002939E3">
        <w:rPr>
          <w:b/>
        </w:rPr>
        <w:t>thus</w:t>
      </w:r>
      <w:r w:rsidR="00ED60C7" w:rsidRPr="002939E3">
        <w:rPr>
          <w:b/>
        </w:rPr>
        <w:t xml:space="preserve"> t</w:t>
      </w:r>
      <w:r w:rsidR="007238EB" w:rsidRPr="002939E3">
        <w:rPr>
          <w:b/>
        </w:rPr>
        <w:t>his</w:t>
      </w:r>
      <w:r w:rsidR="00E908AD" w:rsidRPr="002939E3">
        <w:rPr>
          <w:b/>
        </w:rPr>
        <w:t xml:space="preserve"> </w:t>
      </w:r>
      <w:r w:rsidR="00ED60C7" w:rsidRPr="002939E3">
        <w:rPr>
          <w:b/>
        </w:rPr>
        <w:t xml:space="preserve">could </w:t>
      </w:r>
      <w:r w:rsidR="007238EB" w:rsidRPr="002939E3">
        <w:rPr>
          <w:b/>
        </w:rPr>
        <w:t>lead to</w:t>
      </w:r>
      <w:r w:rsidR="00E908AD" w:rsidRPr="002939E3">
        <w:rPr>
          <w:b/>
        </w:rPr>
        <w:t xml:space="preserve"> an underestimation of the WI TN.</w:t>
      </w:r>
      <w:r w:rsidR="000E06BE">
        <w:rPr>
          <w:rFonts w:cs="Times New Roman"/>
        </w:rPr>
        <w:t xml:space="preserve"> </w:t>
      </w:r>
      <w:r w:rsidR="007238EB">
        <w:rPr>
          <w:rFonts w:cs="Times New Roman"/>
        </w:rPr>
        <w:t>T</w:t>
      </w:r>
      <w:r w:rsidR="000E06BE">
        <w:rPr>
          <w:rFonts w:cs="Times New Roman"/>
        </w:rPr>
        <w:t>he greater concentration of WI N</w:t>
      </w:r>
      <w:r>
        <w:rPr>
          <w:rFonts w:cs="Times New Roman"/>
        </w:rPr>
        <w:t xml:space="preserve"> </w:t>
      </w:r>
      <w:r w:rsidR="000E06BE">
        <w:rPr>
          <w:rFonts w:cs="Times New Roman"/>
        </w:rPr>
        <w:t>in the blend 2</w:t>
      </w:r>
      <w:r w:rsidR="00AF6851">
        <w:rPr>
          <w:rFonts w:cs="Times New Roman"/>
        </w:rPr>
        <w:t xml:space="preserve"> (</w:t>
      </w:r>
      <w:r w:rsidR="00AF6851" w:rsidRPr="00AF6851">
        <w:rPr>
          <w:rFonts w:cs="Times New Roman"/>
        </w:rPr>
        <w:fldChar w:fldCharType="begin"/>
      </w:r>
      <w:r w:rsidR="00AF6851" w:rsidRPr="0014509C">
        <w:rPr>
          <w:rFonts w:cs="Times New Roman"/>
        </w:rPr>
        <w:instrText xml:space="preserve"> REF _Ref37535458 \h  \* MERGEFORMAT </w:instrText>
      </w:r>
      <w:r w:rsidR="00AF6851" w:rsidRPr="00AF6851">
        <w:rPr>
          <w:rFonts w:cs="Times New Roman"/>
        </w:rPr>
      </w:r>
      <w:r w:rsidR="00AF6851" w:rsidRPr="00AF6851">
        <w:rPr>
          <w:rFonts w:cs="Times New Roman"/>
        </w:rPr>
        <w:fldChar w:fldCharType="separate"/>
      </w:r>
      <w:r w:rsidR="00AF6851" w:rsidRPr="0014509C">
        <w:t xml:space="preserve">Fig. </w:t>
      </w:r>
      <w:r w:rsidR="00AF6851" w:rsidRPr="0014509C">
        <w:rPr>
          <w:noProof/>
        </w:rPr>
        <w:t>5</w:t>
      </w:r>
      <w:r w:rsidR="00AF6851" w:rsidRPr="00AF6851">
        <w:rPr>
          <w:rFonts w:cs="Times New Roman"/>
        </w:rPr>
        <w:fldChar w:fldCharType="end"/>
      </w:r>
      <w:r w:rsidR="00AF6851" w:rsidRPr="00AF6851">
        <w:rPr>
          <w:rFonts w:cs="Times New Roman"/>
        </w:rPr>
        <w:t xml:space="preserve"> b</w:t>
      </w:r>
      <w:r w:rsidR="00AF6851">
        <w:rPr>
          <w:rFonts w:cs="Times New Roman"/>
        </w:rPr>
        <w:t>) compared to the blend 1 (</w:t>
      </w:r>
      <w:r w:rsidR="00AF6851" w:rsidRPr="00AF6851">
        <w:rPr>
          <w:rFonts w:cs="Times New Roman"/>
        </w:rPr>
        <w:fldChar w:fldCharType="begin"/>
      </w:r>
      <w:r w:rsidR="00AF6851" w:rsidRPr="00EB507D">
        <w:rPr>
          <w:rFonts w:cs="Times New Roman"/>
        </w:rPr>
        <w:instrText xml:space="preserve"> REF _Ref37535458 \h  \* MERGEFORMAT </w:instrText>
      </w:r>
      <w:r w:rsidR="00AF6851" w:rsidRPr="00AF6851">
        <w:rPr>
          <w:rFonts w:cs="Times New Roman"/>
        </w:rPr>
      </w:r>
      <w:r w:rsidR="00AF6851" w:rsidRPr="00AF6851">
        <w:rPr>
          <w:rFonts w:cs="Times New Roman"/>
        </w:rPr>
        <w:fldChar w:fldCharType="separate"/>
      </w:r>
      <w:r w:rsidR="00AF6851" w:rsidRPr="00EB507D">
        <w:t xml:space="preserve">Fig. </w:t>
      </w:r>
      <w:r w:rsidR="00AF6851" w:rsidRPr="00EB507D">
        <w:rPr>
          <w:noProof/>
        </w:rPr>
        <w:t>5</w:t>
      </w:r>
      <w:r w:rsidR="00AF6851" w:rsidRPr="00AF6851">
        <w:rPr>
          <w:rFonts w:cs="Times New Roman"/>
        </w:rPr>
        <w:fldChar w:fldCharType="end"/>
      </w:r>
      <w:r w:rsidR="00AF6851">
        <w:rPr>
          <w:rFonts w:cs="Times New Roman"/>
        </w:rPr>
        <w:t xml:space="preserve"> a)</w:t>
      </w:r>
      <w:r w:rsidR="000E06BE">
        <w:rPr>
          <w:rFonts w:cs="Times New Roman"/>
        </w:rPr>
        <w:t xml:space="preserve">, </w:t>
      </w:r>
      <w:r w:rsidR="007238EB">
        <w:rPr>
          <w:rFonts w:cs="Times New Roman"/>
        </w:rPr>
        <w:t xml:space="preserve">was </w:t>
      </w:r>
      <w:r w:rsidR="000E06BE">
        <w:rPr>
          <w:rFonts w:cs="Times New Roman"/>
        </w:rPr>
        <w:t>in agreement with the lower NH</w:t>
      </w:r>
      <w:r w:rsidR="000E06BE" w:rsidRPr="000E06BE">
        <w:rPr>
          <w:rFonts w:cs="Times New Roman"/>
          <w:vertAlign w:val="subscript"/>
        </w:rPr>
        <w:t>3</w:t>
      </w:r>
      <w:r w:rsidR="000E06BE">
        <w:rPr>
          <w:rFonts w:cs="Times New Roman"/>
        </w:rPr>
        <w:t>-N losses</w:t>
      </w:r>
      <w:r w:rsidR="00AF6851">
        <w:rPr>
          <w:rFonts w:cs="Times New Roman"/>
        </w:rPr>
        <w:t xml:space="preserve"> in the blend 2</w:t>
      </w:r>
      <w:r w:rsidR="000E06BE">
        <w:rPr>
          <w:rFonts w:cs="Times New Roman"/>
        </w:rPr>
        <w:t xml:space="preserve">. </w:t>
      </w:r>
      <w:r w:rsidR="000542D2" w:rsidRPr="00EF75A4">
        <w:rPr>
          <w:rFonts w:cs="Times New Roman"/>
        </w:rPr>
        <w:t>The N</w:t>
      </w:r>
      <w:r w:rsidR="000542D2" w:rsidRPr="00EF75A4">
        <w:rPr>
          <w:rFonts w:cs="Times New Roman"/>
          <w:vertAlign w:val="subscript"/>
        </w:rPr>
        <w:t>2</w:t>
      </w:r>
      <w:r w:rsidR="000542D2" w:rsidRPr="00EF75A4">
        <w:rPr>
          <w:rFonts w:cs="Times New Roman"/>
        </w:rPr>
        <w:t>O</w:t>
      </w:r>
      <w:r w:rsidR="00B346E9">
        <w:rPr>
          <w:rFonts w:cs="Times New Roman"/>
          <w:vertAlign w:val="subscript"/>
        </w:rPr>
        <w:t xml:space="preserve"> gas</w:t>
      </w:r>
      <w:r w:rsidR="000542D2" w:rsidRPr="00EF75A4">
        <w:rPr>
          <w:rFonts w:cs="Times New Roman"/>
        </w:rPr>
        <w:t xml:space="preserve"> emissions were higher in the blend 2 than in the blend 1, but any of these losses were negligible compared to the NH</w:t>
      </w:r>
      <w:r w:rsidR="000542D2" w:rsidRPr="00EF75A4">
        <w:rPr>
          <w:rFonts w:cs="Times New Roman"/>
          <w:vertAlign w:val="subscript"/>
        </w:rPr>
        <w:t>3</w:t>
      </w:r>
      <w:r w:rsidR="00B346E9">
        <w:rPr>
          <w:rFonts w:cs="Times New Roman"/>
          <w:vertAlign w:val="subscript"/>
        </w:rPr>
        <w:t xml:space="preserve"> aq</w:t>
      </w:r>
      <w:r w:rsidR="00162D28">
        <w:rPr>
          <w:rFonts w:cs="Times New Roman"/>
        </w:rPr>
        <w:t xml:space="preserve"> volatiliz</w:t>
      </w:r>
      <w:r w:rsidR="000542D2" w:rsidRPr="00EF75A4">
        <w:rPr>
          <w:rFonts w:cs="Times New Roman"/>
        </w:rPr>
        <w:t>ation.</w:t>
      </w:r>
      <w:r w:rsidR="000542D2">
        <w:rPr>
          <w:rFonts w:cs="Times New Roman"/>
        </w:rPr>
        <w:t xml:space="preserve"> In this way, NH</w:t>
      </w:r>
      <w:r w:rsidR="000542D2" w:rsidRPr="000542D2">
        <w:rPr>
          <w:rFonts w:cs="Times New Roman"/>
          <w:vertAlign w:val="subscript"/>
        </w:rPr>
        <w:t>3</w:t>
      </w:r>
      <w:r w:rsidR="00B346E9">
        <w:rPr>
          <w:rFonts w:cs="Times New Roman"/>
          <w:vertAlign w:val="subscript"/>
        </w:rPr>
        <w:t xml:space="preserve"> gas</w:t>
      </w:r>
      <w:r w:rsidR="000542D2">
        <w:rPr>
          <w:rFonts w:cs="Times New Roman"/>
        </w:rPr>
        <w:t xml:space="preserve"> </w:t>
      </w:r>
      <w:r w:rsidR="000542D2" w:rsidRPr="00EF75A4">
        <w:rPr>
          <w:rFonts w:cs="Times New Roman"/>
        </w:rPr>
        <w:t>was the main form in which the N was lost</w:t>
      </w:r>
      <w:r w:rsidR="000542D2">
        <w:rPr>
          <w:rFonts w:cs="Times New Roman"/>
        </w:rPr>
        <w:t>, wit</w:t>
      </w:r>
      <w:r w:rsidR="000542D2" w:rsidRPr="00F424EE">
        <w:rPr>
          <w:rFonts w:cs="Times New Roman"/>
        </w:rPr>
        <w:t>h t</w:t>
      </w:r>
      <w:r w:rsidR="008777C6" w:rsidRPr="00F424EE">
        <w:rPr>
          <w:rFonts w:cs="Times New Roman"/>
        </w:rPr>
        <w:t xml:space="preserve">he </w:t>
      </w:r>
      <w:r w:rsidR="00162D28">
        <w:rPr>
          <w:rFonts w:cs="Times New Roman"/>
        </w:rPr>
        <w:t>highest volatiliz</w:t>
      </w:r>
      <w:r w:rsidR="00651B70" w:rsidRPr="00F424EE">
        <w:rPr>
          <w:rFonts w:cs="Times New Roman"/>
        </w:rPr>
        <w:t>ation rate</w:t>
      </w:r>
      <w:r w:rsidR="008777C6" w:rsidRPr="00F424EE">
        <w:rPr>
          <w:rFonts w:cs="Times New Roman"/>
        </w:rPr>
        <w:t xml:space="preserve"> of NH</w:t>
      </w:r>
      <w:r w:rsidR="00651B70" w:rsidRPr="00F424EE">
        <w:rPr>
          <w:rFonts w:cs="Times New Roman"/>
          <w:vertAlign w:val="subscript"/>
        </w:rPr>
        <w:t>3</w:t>
      </w:r>
      <w:r w:rsidR="00B346E9">
        <w:rPr>
          <w:rFonts w:cs="Times New Roman"/>
          <w:vertAlign w:val="subscript"/>
        </w:rPr>
        <w:t xml:space="preserve"> aq</w:t>
      </w:r>
      <w:r w:rsidR="00C2700B" w:rsidRPr="00F424EE">
        <w:rPr>
          <w:rFonts w:cs="Times New Roman"/>
        </w:rPr>
        <w:t xml:space="preserve"> </w:t>
      </w:r>
      <w:r w:rsidR="008777C6" w:rsidRPr="00F424EE">
        <w:rPr>
          <w:rFonts w:cs="Times New Roman"/>
        </w:rPr>
        <w:t>at the time of blending</w:t>
      </w:r>
      <w:r w:rsidR="00651B70" w:rsidRPr="00F424EE">
        <w:rPr>
          <w:rFonts w:cs="Times New Roman"/>
        </w:rPr>
        <w:t xml:space="preserve"> the samples</w:t>
      </w:r>
      <w:r w:rsidR="0021142F" w:rsidRPr="00F424EE">
        <w:rPr>
          <w:rFonts w:cs="Times New Roman"/>
        </w:rPr>
        <w:t xml:space="preserve"> (</w:t>
      </w:r>
      <w:r w:rsidR="0021142F" w:rsidRPr="00F424EE">
        <w:rPr>
          <w:rFonts w:cs="Times New Roman"/>
        </w:rPr>
        <w:fldChar w:fldCharType="begin"/>
      </w:r>
      <w:r w:rsidR="0021142F" w:rsidRPr="00F424EE">
        <w:rPr>
          <w:rFonts w:cs="Times New Roman"/>
        </w:rPr>
        <w:instrText xml:space="preserve"> REF _Ref14027835 \h  \* MERGEFORMAT </w:instrText>
      </w:r>
      <w:r w:rsidR="0021142F" w:rsidRPr="00F424EE">
        <w:rPr>
          <w:rFonts w:cs="Times New Roman"/>
        </w:rPr>
      </w:r>
      <w:r w:rsidR="0021142F" w:rsidRPr="00F424EE">
        <w:rPr>
          <w:rFonts w:cs="Times New Roman"/>
        </w:rPr>
        <w:fldChar w:fldCharType="separate"/>
      </w:r>
      <w:r w:rsidR="00E4647D" w:rsidRPr="00F424EE">
        <w:rPr>
          <w:rFonts w:cs="Times New Roman"/>
        </w:rPr>
        <w:t>Fig.</w:t>
      </w:r>
      <w:r w:rsidR="00E4647D" w:rsidRPr="00F424EE">
        <w:rPr>
          <w:rFonts w:cs="Times New Roman"/>
          <w:noProof/>
        </w:rPr>
        <w:t xml:space="preserve"> 6</w:t>
      </w:r>
      <w:r w:rsidR="0021142F" w:rsidRPr="00F424EE">
        <w:rPr>
          <w:rFonts w:cs="Times New Roman"/>
        </w:rPr>
        <w:fldChar w:fldCharType="end"/>
      </w:r>
      <w:r w:rsidR="00D7171C">
        <w:rPr>
          <w:rFonts w:cs="Times New Roman"/>
        </w:rPr>
        <w:t xml:space="preserve"> </w:t>
      </w:r>
      <w:r w:rsidR="0021142F" w:rsidRPr="00F424EE">
        <w:rPr>
          <w:rFonts w:cs="Times New Roman"/>
        </w:rPr>
        <w:t>a).</w:t>
      </w:r>
      <w:r w:rsidR="00405B41" w:rsidRPr="00F424EE">
        <w:rPr>
          <w:rFonts w:cs="Times New Roman"/>
        </w:rPr>
        <w:t xml:space="preserve"> </w:t>
      </w:r>
      <w:r w:rsidR="00405B41" w:rsidRPr="002939E3">
        <w:rPr>
          <w:rFonts w:cs="Times New Roman"/>
          <w:b/>
        </w:rPr>
        <w:t>However, the determ</w:t>
      </w:r>
      <w:r w:rsidR="00162D28">
        <w:rPr>
          <w:rFonts w:cs="Times New Roman"/>
          <w:b/>
        </w:rPr>
        <w:t>ination of the rate of volatiliz</w:t>
      </w:r>
      <w:r w:rsidR="00405B41" w:rsidRPr="002939E3">
        <w:rPr>
          <w:rFonts w:cs="Times New Roman"/>
          <w:b/>
        </w:rPr>
        <w:t>ation of NH</w:t>
      </w:r>
      <w:r w:rsidR="00405B41" w:rsidRPr="002939E3">
        <w:rPr>
          <w:rFonts w:cs="Times New Roman"/>
          <w:b/>
          <w:vertAlign w:val="subscript"/>
        </w:rPr>
        <w:t>3</w:t>
      </w:r>
      <w:r w:rsidR="00B346E9">
        <w:rPr>
          <w:rFonts w:cs="Times New Roman"/>
          <w:b/>
          <w:vertAlign w:val="subscript"/>
        </w:rPr>
        <w:t xml:space="preserve"> aq</w:t>
      </w:r>
      <w:r w:rsidR="00405B41" w:rsidRPr="002939E3">
        <w:rPr>
          <w:rFonts w:cs="Times New Roman"/>
          <w:b/>
        </w:rPr>
        <w:t xml:space="preserve"> at time zero was not possible because of the negligible time interval</w:t>
      </w:r>
      <w:r w:rsidR="00405B41" w:rsidRPr="00F424EE">
        <w:rPr>
          <w:rFonts w:cs="Times New Roman"/>
        </w:rPr>
        <w:t>.</w:t>
      </w:r>
      <w:r w:rsidR="008223F2" w:rsidRPr="00F424EE">
        <w:rPr>
          <w:rFonts w:cs="Times New Roman"/>
        </w:rPr>
        <w:t xml:space="preserve"> </w:t>
      </w:r>
      <w:r w:rsidR="008223F2" w:rsidRPr="00EF75A4">
        <w:rPr>
          <w:rFonts w:cs="Times New Roman"/>
        </w:rPr>
        <w:t>It took 6 hours to have similar rates in both blends</w:t>
      </w:r>
      <w:r w:rsidR="000E4C88">
        <w:rPr>
          <w:rFonts w:cs="Times New Roman"/>
        </w:rPr>
        <w:t xml:space="preserve"> (around 90 mg NH</w:t>
      </w:r>
      <w:r w:rsidR="000E4C88" w:rsidRPr="00F424EE">
        <w:rPr>
          <w:rFonts w:cs="Times New Roman"/>
          <w:vertAlign w:val="subscript"/>
        </w:rPr>
        <w:t>3</w:t>
      </w:r>
      <w:r w:rsidR="000E4C88">
        <w:rPr>
          <w:rFonts w:cs="Times New Roman"/>
        </w:rPr>
        <w:t>-N/kg blend/hour)</w:t>
      </w:r>
      <w:r w:rsidR="0021142F">
        <w:rPr>
          <w:rFonts w:cs="Times New Roman"/>
        </w:rPr>
        <w:t>,</w:t>
      </w:r>
      <w:r w:rsidR="008223F2" w:rsidRPr="00EF75A4">
        <w:rPr>
          <w:rFonts w:cs="Times New Roman"/>
        </w:rPr>
        <w:t xml:space="preserve"> which</w:t>
      </w:r>
      <w:r w:rsidR="00EB3BA4" w:rsidRPr="00EF75A4">
        <w:rPr>
          <w:rFonts w:cs="Times New Roman"/>
        </w:rPr>
        <w:t xml:space="preserve"> continued</w:t>
      </w:r>
      <w:r w:rsidR="008223F2" w:rsidRPr="00EF75A4">
        <w:rPr>
          <w:rFonts w:cs="Times New Roman"/>
        </w:rPr>
        <w:t xml:space="preserve"> to decrease</w:t>
      </w:r>
      <w:r w:rsidR="00691CB4">
        <w:rPr>
          <w:rFonts w:cs="Times New Roman"/>
        </w:rPr>
        <w:t xml:space="preserve"> after </w:t>
      </w:r>
      <w:r w:rsidR="00395F4F">
        <w:rPr>
          <w:rFonts w:cs="Times New Roman"/>
        </w:rPr>
        <w:t xml:space="preserve">the </w:t>
      </w:r>
      <w:r w:rsidR="00691CB4">
        <w:rPr>
          <w:rFonts w:cs="Times New Roman"/>
        </w:rPr>
        <w:t>10 hours</w:t>
      </w:r>
      <w:r w:rsidR="00395F4F">
        <w:rPr>
          <w:rFonts w:cs="Times New Roman"/>
        </w:rPr>
        <w:t xml:space="preserve"> of incubation</w:t>
      </w:r>
      <w:r w:rsidR="00691CB4">
        <w:rPr>
          <w:rFonts w:cs="Times New Roman"/>
        </w:rPr>
        <w:t xml:space="preserve"> </w:t>
      </w:r>
      <w:r w:rsidR="00EB3BA4" w:rsidRPr="00EF75A4">
        <w:rPr>
          <w:rFonts w:cs="Times New Roman"/>
        </w:rPr>
        <w:t>until</w:t>
      </w:r>
      <w:r w:rsidR="0021142F">
        <w:rPr>
          <w:rFonts w:cs="Times New Roman"/>
        </w:rPr>
        <w:t xml:space="preserve"> </w:t>
      </w:r>
      <w:r w:rsidR="00691CB4">
        <w:rPr>
          <w:rFonts w:cs="Times New Roman"/>
        </w:rPr>
        <w:t>reaching</w:t>
      </w:r>
      <w:r w:rsidR="00EB3BA4" w:rsidRPr="00EF75A4">
        <w:rPr>
          <w:rFonts w:cs="Times New Roman"/>
        </w:rPr>
        <w:t xml:space="preserve"> a minimum NH</w:t>
      </w:r>
      <w:r w:rsidR="00880107">
        <w:rPr>
          <w:rFonts w:cs="Times New Roman"/>
          <w:vertAlign w:val="subscript"/>
        </w:rPr>
        <w:t>3</w:t>
      </w:r>
      <w:r w:rsidR="00B96B31">
        <w:rPr>
          <w:rFonts w:cs="Times New Roman"/>
          <w:vertAlign w:val="subscript"/>
        </w:rPr>
        <w:t xml:space="preserve"> aq</w:t>
      </w:r>
      <w:r w:rsidR="0021142F">
        <w:rPr>
          <w:rFonts w:cs="Times New Roman"/>
        </w:rPr>
        <w:t xml:space="preserve"> concentration</w:t>
      </w:r>
      <w:r w:rsidR="00D57E1B" w:rsidRPr="00EF75A4">
        <w:rPr>
          <w:rFonts w:cs="Times New Roman"/>
        </w:rPr>
        <w:t>.</w:t>
      </w:r>
      <w:r w:rsidR="00E908AD">
        <w:rPr>
          <w:rFonts w:cs="Times New Roman"/>
        </w:rPr>
        <w:t xml:space="preserve"> </w:t>
      </w:r>
      <w:r w:rsidR="00255AEE" w:rsidRPr="002939E3">
        <w:rPr>
          <w:rFonts w:cs="Times New Roman"/>
          <w:b/>
        </w:rPr>
        <w:t xml:space="preserve">Ukwuani and Tao </w:t>
      </w:r>
      <w:r w:rsidR="00255AEE" w:rsidRPr="002939E3">
        <w:rPr>
          <w:rFonts w:cs="Times New Roman"/>
          <w:b/>
        </w:rPr>
        <w:fldChar w:fldCharType="begin" w:fldLock="1"/>
      </w:r>
      <w:r w:rsidR="00BB33F9">
        <w:rPr>
          <w:rFonts w:cs="Times New Roman"/>
          <w:b/>
        </w:rPr>
        <w:instrText>ADDIN CSL_CITATION {"citationItems":[{"id":"ITEM-1","itemData":{"DOI":"10.1016/j.watres.2016.09.054","ISSN":"18792448","abstract":"To prevent acetoclastic methanogens from ammonia inhibition in anaerobic digestion of protein-rich substrates, ammonia needs to be removed or recovered from digestate. This paper presents an innovative ammonia recovery process that couples vacuum thermal stripping with acid absorption. Ammonia is stripped out of digestate boiling at a temperature below the normal boiling point due to vacuum. Stripped ammonia is absorbed to a sulfuric acid solution, forming ammonium sulfate crystals as a marketable product. Three common types of digestate were found to have boiling point temperature-vacuum curves similar to water. Seven combinations of boiling temperature and vacuum (50 °C 16.6 kPa, 58 °C 20.0 kPa, 65 °C 25.1 kPa, 70 °C 33.6 kPa, 80 °C 54.0 kPa, 90 °C 74.2 kPa, and 100 °C 101.3 kPa) were tested for batch stripping of ammonia in dairy manure digestate. 93.3–99.9% of ammonia was stripped in 3 h. The Lewis-Whitman model fitted ammonia stripping process well. Ammonia mass transfer coefficient was significantly higher at boiling temperature 65–100 °C and vacuum pressure 25.1–101.3 kPa than 50–58 °C and 16.6–20.0 kPa. The low ammonia saturation concentrations (0–24 mg N/L) suggested a large driving force to strip ammonia. The optimum boiling point temperature – vacuum pressure for ammonia recovery in a recirculation line of a mesophilic digester was 65 °C and 25.1 kPa, at which the ammonia mass transfer coefficient was as high as 37.3 mm/h. Installation of a demister and liquid trap could avoid negative effects of higher stripping temperature and stronger vacuum on formation of ammonium sulfate crystals. Pilot tests demonstrated that high-purity ammonium sulfate crystals could be produced by controlling sulfuric acid content and maintaining acid solution saturated with ammonium sulfate. Although volatile organic compounds such as cyclohexene were found in the final acid solutions, no volatile organic compounds were found in the recovered crystals.","author":[{"dropping-particle":"","family":"Ukwuani","given":"Anayo T.","non-dropping-particle":"","parse-names":false,"suffix":""},{"dropping-particle":"","family":"Tao","given":"Wendong","non-dropping-particle":"","parse-names":false,"suffix":""}],"container-title":"Water Research","id":"ITEM-1","issued":{"date-parts":[["2016"]]},"page":"108-115","publisher":"Elsevier Ltd","title":"Developing a vacuum thermal stripping – acid absorption process for ammonia recovery from anaerobic digester effluent","type":"article-journal","volume":"106"},"uris":["http://www.mendeley.com/documents/?uuid=fc6168fc-9dd1-4b8a-a0f6-88e62fd6319a"]}],"mendeley":{"formattedCitation":"[38]","plainTextFormattedCitation":"[38]","previouslyFormattedCitation":"[38]"},"properties":{"noteIndex":0},"schema":"https://github.com/citation-style-language/schema/raw/master/csl-citation.json"}</w:instrText>
      </w:r>
      <w:r w:rsidR="00255AEE" w:rsidRPr="002939E3">
        <w:rPr>
          <w:rFonts w:cs="Times New Roman"/>
          <w:b/>
        </w:rPr>
        <w:fldChar w:fldCharType="separate"/>
      </w:r>
      <w:r w:rsidR="00D33723" w:rsidRPr="00D33723">
        <w:rPr>
          <w:rFonts w:cs="Times New Roman"/>
          <w:noProof/>
        </w:rPr>
        <w:t>[38]</w:t>
      </w:r>
      <w:r w:rsidR="00255AEE" w:rsidRPr="002939E3">
        <w:rPr>
          <w:rFonts w:cs="Times New Roman"/>
          <w:b/>
        </w:rPr>
        <w:fldChar w:fldCharType="end"/>
      </w:r>
      <w:r w:rsidR="00BF3992" w:rsidRPr="002939E3">
        <w:rPr>
          <w:rFonts w:cs="Times New Roman"/>
          <w:b/>
        </w:rPr>
        <w:t xml:space="preserve"> found similar </w:t>
      </w:r>
      <w:r w:rsidR="00BA798E" w:rsidRPr="002939E3">
        <w:rPr>
          <w:rFonts w:cs="Times New Roman"/>
          <w:b/>
        </w:rPr>
        <w:t>volatili</w:t>
      </w:r>
      <w:r w:rsidR="00162D28">
        <w:rPr>
          <w:rFonts w:cs="Times New Roman"/>
          <w:b/>
        </w:rPr>
        <w:t>z</w:t>
      </w:r>
      <w:r w:rsidR="00BF3992" w:rsidRPr="002939E3">
        <w:rPr>
          <w:rFonts w:cs="Times New Roman"/>
          <w:b/>
        </w:rPr>
        <w:t>ation rates, ranging from 151 to 1284 mg NH</w:t>
      </w:r>
      <w:r w:rsidR="00BF3992" w:rsidRPr="002939E3">
        <w:rPr>
          <w:rFonts w:cs="Times New Roman"/>
          <w:b/>
          <w:vertAlign w:val="subscript"/>
        </w:rPr>
        <w:t>3</w:t>
      </w:r>
      <w:r w:rsidR="00BF3992" w:rsidRPr="002939E3">
        <w:rPr>
          <w:rFonts w:cs="Times New Roman"/>
          <w:b/>
        </w:rPr>
        <w:t>-N/kg digestate/hour,</w:t>
      </w:r>
      <w:r w:rsidR="00D61F49" w:rsidRPr="002939E3">
        <w:rPr>
          <w:rFonts w:cs="Times New Roman"/>
          <w:b/>
        </w:rPr>
        <w:t xml:space="preserve"> in </w:t>
      </w:r>
      <w:r w:rsidR="00E57FCD" w:rsidRPr="002939E3">
        <w:rPr>
          <w:rFonts w:cs="Times New Roman"/>
          <w:b/>
        </w:rPr>
        <w:t xml:space="preserve">15 L </w:t>
      </w:r>
      <w:r w:rsidR="00D61F49" w:rsidRPr="002939E3">
        <w:rPr>
          <w:rFonts w:cs="Times New Roman"/>
          <w:b/>
        </w:rPr>
        <w:t>municipal sludge digestate and</w:t>
      </w:r>
      <w:r w:rsidR="00E57FCD" w:rsidRPr="002939E3">
        <w:rPr>
          <w:rFonts w:cs="Times New Roman"/>
          <w:b/>
        </w:rPr>
        <w:t xml:space="preserve"> 10 L</w:t>
      </w:r>
      <w:r w:rsidR="00D61F49" w:rsidRPr="002939E3">
        <w:rPr>
          <w:rFonts w:cs="Times New Roman"/>
          <w:b/>
        </w:rPr>
        <w:t xml:space="preserve"> retrentate of landfill leachate, respectively. </w:t>
      </w:r>
      <w:r w:rsidR="00395F4F" w:rsidRPr="002939E3">
        <w:rPr>
          <w:rFonts w:cs="Times New Roman"/>
          <w:b/>
        </w:rPr>
        <w:t xml:space="preserve">In their experiment, </w:t>
      </w:r>
      <w:r w:rsidR="00816FAE" w:rsidRPr="002939E3">
        <w:rPr>
          <w:rFonts w:cs="Times New Roman"/>
          <w:b/>
        </w:rPr>
        <w:t>t</w:t>
      </w:r>
      <w:r w:rsidR="00D61F49" w:rsidRPr="002939E3">
        <w:rPr>
          <w:rFonts w:cs="Times New Roman"/>
          <w:b/>
        </w:rPr>
        <w:t>he</w:t>
      </w:r>
      <w:r w:rsidR="00E57FCD" w:rsidRPr="002939E3">
        <w:rPr>
          <w:rFonts w:cs="Times New Roman"/>
          <w:b/>
        </w:rPr>
        <w:t xml:space="preserve"> incubation of each was</w:t>
      </w:r>
      <w:r w:rsidR="00DB52FC" w:rsidRPr="002939E3">
        <w:rPr>
          <w:rFonts w:cs="Times New Roman"/>
          <w:b/>
        </w:rPr>
        <w:t>te took place for 2 hours at 65–</w:t>
      </w:r>
      <w:r w:rsidR="00E57FCD" w:rsidRPr="002939E3">
        <w:rPr>
          <w:rFonts w:cs="Times New Roman"/>
          <w:b/>
        </w:rPr>
        <w:t xml:space="preserve">70 </w:t>
      </w:r>
      <w:r w:rsidR="00E57FCD" w:rsidRPr="002939E3">
        <w:rPr>
          <w:rFonts w:ascii="Calibri" w:hAnsi="Calibri" w:cs="Calibri"/>
          <w:b/>
        </w:rPr>
        <w:t>º</w:t>
      </w:r>
      <w:r w:rsidR="00DB52FC" w:rsidRPr="002939E3">
        <w:rPr>
          <w:rFonts w:cs="Times New Roman"/>
          <w:b/>
        </w:rPr>
        <w:t>C and 25.3–</w:t>
      </w:r>
      <w:r w:rsidR="00E57FCD" w:rsidRPr="002939E3">
        <w:rPr>
          <w:rFonts w:cs="Times New Roman"/>
          <w:b/>
        </w:rPr>
        <w:t>34.7 KPa of absolute pressure.</w:t>
      </w:r>
      <w:r w:rsidR="00586A38" w:rsidRPr="002939E3">
        <w:rPr>
          <w:rFonts w:cs="Times New Roman"/>
          <w:b/>
        </w:rPr>
        <w:t xml:space="preserve"> </w:t>
      </w:r>
      <w:r w:rsidR="00395F4F" w:rsidRPr="002939E3">
        <w:rPr>
          <w:rFonts w:cs="Times New Roman"/>
          <w:b/>
        </w:rPr>
        <w:t>O</w:t>
      </w:r>
      <w:r w:rsidR="00BA798E" w:rsidRPr="002939E3">
        <w:rPr>
          <w:rFonts w:cs="Times New Roman"/>
          <w:b/>
        </w:rPr>
        <w:t>ther NH</w:t>
      </w:r>
      <w:r w:rsidR="00BA798E" w:rsidRPr="002939E3">
        <w:rPr>
          <w:rFonts w:cs="Times New Roman"/>
          <w:b/>
          <w:vertAlign w:val="subscript"/>
        </w:rPr>
        <w:t>3</w:t>
      </w:r>
      <w:r w:rsidR="00B346E9">
        <w:rPr>
          <w:rFonts w:cs="Times New Roman"/>
          <w:b/>
          <w:vertAlign w:val="subscript"/>
        </w:rPr>
        <w:t xml:space="preserve"> aq</w:t>
      </w:r>
      <w:r w:rsidR="00BA798E" w:rsidRPr="002939E3">
        <w:rPr>
          <w:rFonts w:cs="Times New Roman"/>
          <w:b/>
        </w:rPr>
        <w:t xml:space="preserve"> volatili</w:t>
      </w:r>
      <w:r w:rsidR="00162D28">
        <w:rPr>
          <w:rFonts w:cs="Times New Roman"/>
          <w:b/>
        </w:rPr>
        <w:t>z</w:t>
      </w:r>
      <w:r w:rsidR="00BA798E" w:rsidRPr="002939E3">
        <w:rPr>
          <w:rFonts w:cs="Times New Roman"/>
          <w:b/>
        </w:rPr>
        <w:t xml:space="preserve">ation rates available in the literature were lower than the values found for the </w:t>
      </w:r>
      <w:r w:rsidR="00AC6F8A">
        <w:rPr>
          <w:rFonts w:cs="Times New Roman"/>
          <w:b/>
        </w:rPr>
        <w:t>two</w:t>
      </w:r>
      <w:r w:rsidR="00BA798E" w:rsidRPr="002939E3">
        <w:rPr>
          <w:rFonts w:cs="Times New Roman"/>
          <w:b/>
        </w:rPr>
        <w:t xml:space="preserve"> blends</w:t>
      </w:r>
      <w:r w:rsidR="00D7171C" w:rsidRPr="002939E3">
        <w:rPr>
          <w:rFonts w:cs="Times New Roman"/>
          <w:b/>
        </w:rPr>
        <w:t xml:space="preserve"> (</w:t>
      </w:r>
      <w:r w:rsidR="00D7171C" w:rsidRPr="002939E3">
        <w:rPr>
          <w:rFonts w:cs="Times New Roman"/>
          <w:b/>
        </w:rPr>
        <w:fldChar w:fldCharType="begin"/>
      </w:r>
      <w:r w:rsidR="00D7171C" w:rsidRPr="002939E3">
        <w:rPr>
          <w:rFonts w:cs="Times New Roman"/>
          <w:b/>
        </w:rPr>
        <w:instrText xml:space="preserve"> REF _Ref14027835 \h  \* MERGEFORMAT </w:instrText>
      </w:r>
      <w:r w:rsidR="00D7171C" w:rsidRPr="002939E3">
        <w:rPr>
          <w:rFonts w:cs="Times New Roman"/>
          <w:b/>
        </w:rPr>
      </w:r>
      <w:r w:rsidR="00D7171C" w:rsidRPr="002939E3">
        <w:rPr>
          <w:rFonts w:cs="Times New Roman"/>
          <w:b/>
        </w:rPr>
        <w:fldChar w:fldCharType="separate"/>
      </w:r>
      <w:r w:rsidR="00D7171C" w:rsidRPr="002939E3">
        <w:rPr>
          <w:rFonts w:cs="Times New Roman"/>
          <w:b/>
        </w:rPr>
        <w:t xml:space="preserve">Fig. </w:t>
      </w:r>
      <w:r w:rsidR="00D7171C" w:rsidRPr="002939E3">
        <w:rPr>
          <w:rFonts w:cs="Times New Roman"/>
          <w:b/>
          <w:noProof/>
        </w:rPr>
        <w:t>6</w:t>
      </w:r>
      <w:r w:rsidR="00D7171C" w:rsidRPr="002939E3">
        <w:rPr>
          <w:rFonts w:cs="Times New Roman"/>
          <w:b/>
        </w:rPr>
        <w:fldChar w:fldCharType="end"/>
      </w:r>
      <w:r w:rsidR="00D7171C" w:rsidRPr="002939E3">
        <w:rPr>
          <w:rFonts w:cs="Times New Roman"/>
          <w:b/>
        </w:rPr>
        <w:t xml:space="preserve"> a)</w:t>
      </w:r>
      <w:r w:rsidR="00586A38" w:rsidRPr="00EF75A4">
        <w:rPr>
          <w:rFonts w:cs="Times New Roman"/>
        </w:rPr>
        <w:t>.</w:t>
      </w:r>
      <w:r w:rsidR="000E4C88">
        <w:rPr>
          <w:rFonts w:cs="Times New Roman"/>
        </w:rPr>
        <w:t xml:space="preserve"> </w:t>
      </w:r>
      <w:r w:rsidR="00D57E1B" w:rsidRPr="00355E85">
        <w:rPr>
          <w:rFonts w:cs="Times New Roman"/>
        </w:rPr>
        <w:t xml:space="preserve">Whelan et al. </w:t>
      </w:r>
      <w:r w:rsidR="00D57E1B" w:rsidRPr="00EF75A4">
        <w:rPr>
          <w:rFonts w:cs="Times New Roman"/>
        </w:rPr>
        <w:fldChar w:fldCharType="begin" w:fldLock="1"/>
      </w:r>
      <w:r w:rsidR="00BB33F9">
        <w:rPr>
          <w:rFonts w:cs="Times New Roman"/>
        </w:rPr>
        <w:instrText>ADDIN CSL_CITATION {"citationItems":[{"id":"ITEM-1","itemData":{"DOI":"10.1016/j.wasman.2009.08.012","ISBN":"0956-053X","ISSN":"0956053X","PMID":"19781929","abstract":"Anaerobic digestion (AD) is becoming increasingly popular for treating organic waste. The methane produced can be burned to generate electricity and the digestate, which is high in mineral nitrogen, can be used as a fertiliser. In this paper we evaluate potential losses of ammonia via volatilisation from food waste anaerobic digestate using a closed chamber system equipped with a sulphuric acid trap. Ammonia losses represent a pollution source and, over long periods could reduce the agronomic value of the digestate. Observed ammonia losses from the experimental system were linear with time. A simple non-steady-state partitioning model was developed to represent the process. After calibration, the model was able to describe the behaviour of ammonia in the digestate and in the trap very well. The average rate of volatilisation was approximately 5.2gNm-2week-1. The model was used to extrapolate the findings of the laboratory study to a number of AD storage scenarios. The simulations highlight that open storage of digestate could result in significant losses of ammonia to the atmosphere. Losses are predicted to be relatively minor from covered facilities, particularly if depth to surface area ratio is high. ?? 2009 Elsevier Ltd.","author":[{"dropping-particle":"","family":"Whelan","given":"M. J.","non-dropping-particle":"","parse-names":false,"suffix":""},{"dropping-particle":"","family":"Everitt","given":"T.","non-dropping-particle":"","parse-names":false,"suffix":""},{"dropping-particle":"","family":"Villa","given":"R.","non-dropping-particle":"","parse-names":false,"suffix":""}],"container-title":"Waste Management","id":"ITEM-1","issue":"10","issued":{"date-parts":[["2010"]]},"page":"1808-1812","publisher":"Elsevier Ltd","title":"A mass transfer model of ammonia volatilisation from anaerobic digestate","type":"article-journal","volume":"30"},"uris":["http://www.mendeley.com/documents/?uuid=4c33747e-e572-4761-a5b4-aef68bc06313"]}],"mendeley":{"formattedCitation":"[37]","plainTextFormattedCitation":"[37]","previouslyFormattedCitation":"[37]"},"properties":{"noteIndex":0},"schema":"https://github.com/citation-style-language/schema/raw/master/csl-citation.json"}</w:instrText>
      </w:r>
      <w:r w:rsidR="00D57E1B" w:rsidRPr="00EF75A4">
        <w:rPr>
          <w:rFonts w:cs="Times New Roman"/>
          <w:vertAlign w:val="superscript"/>
        </w:rPr>
        <w:fldChar w:fldCharType="separate"/>
      </w:r>
      <w:r w:rsidR="00D33723" w:rsidRPr="00D33723">
        <w:rPr>
          <w:rFonts w:cs="Times New Roman"/>
          <w:noProof/>
        </w:rPr>
        <w:t>[37]</w:t>
      </w:r>
      <w:r w:rsidR="00D57E1B" w:rsidRPr="00EF75A4">
        <w:rPr>
          <w:rFonts w:cs="Times New Roman"/>
        </w:rPr>
        <w:fldChar w:fldCharType="end"/>
      </w:r>
      <w:r w:rsidR="00162D28">
        <w:rPr>
          <w:rFonts w:cs="Times New Roman"/>
        </w:rPr>
        <w:t xml:space="preserve"> found a rate of volatiliz</w:t>
      </w:r>
      <w:r w:rsidR="00D57E1B" w:rsidRPr="00355E85">
        <w:rPr>
          <w:rFonts w:cs="Times New Roman"/>
        </w:rPr>
        <w:t>ation of 2.6 mg NH</w:t>
      </w:r>
      <w:r w:rsidR="008223F2" w:rsidRPr="00355E85">
        <w:rPr>
          <w:rFonts w:cs="Times New Roman"/>
          <w:vertAlign w:val="subscript"/>
        </w:rPr>
        <w:t>3</w:t>
      </w:r>
      <w:r w:rsidR="00D57E1B" w:rsidRPr="000876F7">
        <w:rPr>
          <w:rFonts w:cs="Times New Roman"/>
        </w:rPr>
        <w:t xml:space="preserve">-N/kg digestate/hour </w:t>
      </w:r>
      <w:r w:rsidR="00D57E1B" w:rsidRPr="00355E85">
        <w:rPr>
          <w:rFonts w:cs="Times New Roman"/>
        </w:rPr>
        <w:t xml:space="preserve">during </w:t>
      </w:r>
      <w:r w:rsidR="006D4745" w:rsidRPr="00355E85">
        <w:rPr>
          <w:rFonts w:cs="Times New Roman"/>
        </w:rPr>
        <w:t>the first two</w:t>
      </w:r>
      <w:r w:rsidR="00D57E1B" w:rsidRPr="00355E85">
        <w:rPr>
          <w:rFonts w:cs="Times New Roman"/>
        </w:rPr>
        <w:t xml:space="preserve"> weeks of incubation.</w:t>
      </w:r>
      <w:r w:rsidR="00582419" w:rsidRPr="00582419">
        <w:rPr>
          <w:rFonts w:cs="Times New Roman"/>
        </w:rPr>
        <w:t xml:space="preserve"> </w:t>
      </w:r>
      <w:r w:rsidR="00582419" w:rsidRPr="002939E3">
        <w:rPr>
          <w:rFonts w:cs="Times New Roman"/>
          <w:b/>
        </w:rPr>
        <w:t>Besides, it was possible to calculate</w:t>
      </w:r>
      <w:r w:rsidR="00162D28">
        <w:rPr>
          <w:rFonts w:cs="Times New Roman"/>
          <w:b/>
        </w:rPr>
        <w:t xml:space="preserve"> a rate of volatiliz</w:t>
      </w:r>
      <w:r w:rsidR="00582419" w:rsidRPr="002939E3">
        <w:rPr>
          <w:rFonts w:cs="Times New Roman"/>
          <w:b/>
        </w:rPr>
        <w:t>ation of 0.0023 mg NH</w:t>
      </w:r>
      <w:r w:rsidR="00582419" w:rsidRPr="002939E3">
        <w:rPr>
          <w:rFonts w:cs="Times New Roman"/>
          <w:b/>
          <w:vertAlign w:val="subscript"/>
        </w:rPr>
        <w:t>3</w:t>
      </w:r>
      <w:r w:rsidR="00582419" w:rsidRPr="002939E3">
        <w:rPr>
          <w:rFonts w:cs="Times New Roman"/>
          <w:b/>
        </w:rPr>
        <w:t xml:space="preserve">-N/kg sludge/hour with the results of Méndez et al. </w:t>
      </w:r>
      <w:r w:rsidR="00582419" w:rsidRPr="002939E3">
        <w:rPr>
          <w:rFonts w:cs="Times New Roman"/>
          <w:b/>
        </w:rPr>
        <w:fldChar w:fldCharType="begin" w:fldLock="1"/>
      </w:r>
      <w:r w:rsidR="00BB33F9">
        <w:rPr>
          <w:rFonts w:cs="Times New Roman"/>
          <w:b/>
        </w:rPr>
        <w:instrText>ADDIN CSL_CITATION {"citationItems":[{"id":"ITEM-1","itemData":{"DOI":"10.2166/wst.2002.0312","ISSN":"02731223","PMID":"12479463","abstract":"In Mexico, physicochemical sludge contains high levels of pathogens; and alkaline stabilization is an alternative for their control. However, the odours caused mainly by ammonia generation represent a disadvantage. On the other hand, the ammonia is known as an effective disinfectant. The aim of this study was to evaluate the disinfectant properties of ammonia in sludge, and use it in a closed alkaline stabilization system, which, not only copes with odours but also increases the efficiency of the process. Raw sludge from a municipal wastewater treatment plant using a physicochemical process was used. Ammonia was applied in doses from 10 to 50% w/w; also, doses from 5 to 40% of CaO were applied in open and closed systems and raw and treated sludge quality was evaluated. Results showed that ammonia removed 6 and 5 logs of faecal coliforms and Salmonella spp., respectively and up to 94% of viable helminth ova. The closed system was more efficient than the open system when applying doses from 5 to 20% of CaO. Finally, the results indicate that the ammonia represents an alternative to disinfecting wastewater sludge and it can be used to enhance alkaline stabilization processes.","author":[{"dropping-particle":"","family":"Méndez","given":"J. M.","non-dropping-particle":"","parse-names":false,"suffix":""},{"dropping-particle":"","family":"Jiménez","given":"B. E.","non-dropping-particle":"","parse-names":false,"suffix":""},{"dropping-particle":"","family":"Barrios","given":"J. A.","non-dropping-particle":"","parse-names":false,"suffix":""}],"container-title":"Water Science and Technology","id":"ITEM-1","issue":"10","issued":{"date-parts":[["2002"]]},"page":"139-146","title":"Improved alkaline stabilization of municipal wastewater sludge","type":"article-journal","volume":"46"},"uris":["http://www.mendeley.com/documents/?uuid=0825ffdb-8790-40d1-a46c-ae76dbb9ce5c"]}],"mendeley":{"formattedCitation":"[52]","plainTextFormattedCitation":"[52]","previouslyFormattedCitation":"[52]"},"properties":{"noteIndex":0},"schema":"https://github.com/citation-style-language/schema/raw/master/csl-citation.json"}</w:instrText>
      </w:r>
      <w:r w:rsidR="00582419" w:rsidRPr="002939E3">
        <w:rPr>
          <w:rFonts w:cs="Times New Roman"/>
          <w:b/>
        </w:rPr>
        <w:fldChar w:fldCharType="separate"/>
      </w:r>
      <w:r w:rsidR="00D33723" w:rsidRPr="00D33723">
        <w:rPr>
          <w:rFonts w:cs="Times New Roman"/>
          <w:noProof/>
        </w:rPr>
        <w:t>[52]</w:t>
      </w:r>
      <w:r w:rsidR="00582419" w:rsidRPr="002939E3">
        <w:rPr>
          <w:rFonts w:cs="Times New Roman"/>
          <w:b/>
        </w:rPr>
        <w:fldChar w:fldCharType="end"/>
      </w:r>
      <w:r w:rsidR="00582419">
        <w:rPr>
          <w:rFonts w:cs="Times New Roman"/>
        </w:rPr>
        <w:t>.</w:t>
      </w:r>
    </w:p>
    <w:p w14:paraId="1E1E6C1C" w14:textId="583BC62D" w:rsidR="00766AD2" w:rsidRPr="00EF75A4" w:rsidRDefault="00C63F24" w:rsidP="00C807A3">
      <w:pPr>
        <w:pStyle w:val="Heading3"/>
        <w:spacing w:line="360" w:lineRule="auto"/>
      </w:pPr>
      <w:r w:rsidRPr="00EF75A4">
        <w:t xml:space="preserve">WS </w:t>
      </w:r>
      <w:r w:rsidR="005166FD" w:rsidRPr="00EF75A4">
        <w:t>PO</w:t>
      </w:r>
      <w:r w:rsidR="005166FD" w:rsidRPr="00EF75A4">
        <w:rPr>
          <w:vertAlign w:val="subscript"/>
        </w:rPr>
        <w:t>4</w:t>
      </w:r>
      <w:r w:rsidR="005166FD" w:rsidRPr="00EF75A4">
        <w:rPr>
          <w:vertAlign w:val="superscript"/>
        </w:rPr>
        <w:t>3-</w:t>
      </w:r>
      <w:r w:rsidR="00290F9C" w:rsidRPr="00EF75A4">
        <w:t xml:space="preserve"> profile</w:t>
      </w:r>
    </w:p>
    <w:p w14:paraId="29572F8A" w14:textId="651085D5" w:rsidR="00E06277" w:rsidRPr="000908F5" w:rsidRDefault="00E06277" w:rsidP="00C807A3">
      <w:pPr>
        <w:spacing w:line="360" w:lineRule="auto"/>
      </w:pPr>
      <w:r w:rsidRPr="00EF75A4">
        <w:rPr>
          <w:rFonts w:cs="Times New Roman"/>
        </w:rPr>
        <w:t>T</w:t>
      </w:r>
      <w:r w:rsidR="006F2F61" w:rsidRPr="00EF75A4">
        <w:rPr>
          <w:rFonts w:cs="Times New Roman"/>
        </w:rPr>
        <w:t>he result of the single factor analysis of variance for blend 1, was that F</w:t>
      </w:r>
      <w:r w:rsidR="00E84659">
        <w:rPr>
          <w:rFonts w:cs="Times New Roman"/>
        </w:rPr>
        <w:t xml:space="preserve"> </w:t>
      </w:r>
      <w:r w:rsidR="006F2F61" w:rsidRPr="00EF75A4">
        <w:rPr>
          <w:rFonts w:cs="Times New Roman"/>
        </w:rPr>
        <w:t>=</w:t>
      </w:r>
      <w:r w:rsidR="00E84659">
        <w:rPr>
          <w:rFonts w:cs="Times New Roman"/>
        </w:rPr>
        <w:t xml:space="preserve"> </w:t>
      </w:r>
      <w:r w:rsidR="006F2F61" w:rsidRPr="00EF75A4">
        <w:rPr>
          <w:rFonts w:cs="Times New Roman"/>
        </w:rPr>
        <w:t>6.39</w:t>
      </w:r>
      <w:r w:rsidR="00E84659">
        <w:rPr>
          <w:rFonts w:cs="Times New Roman"/>
        </w:rPr>
        <w:t xml:space="preserve"> </w:t>
      </w:r>
      <w:r w:rsidR="006F2F61" w:rsidRPr="00EF75A4">
        <w:rPr>
          <w:rFonts w:cs="Times New Roman"/>
        </w:rPr>
        <w:t>&gt;</w:t>
      </w:r>
      <w:r w:rsidR="00E84659">
        <w:rPr>
          <w:rFonts w:cs="Times New Roman"/>
        </w:rPr>
        <w:t xml:space="preserve"> </w:t>
      </w:r>
      <w:r w:rsidR="006F2F61" w:rsidRPr="00EF75A4">
        <w:rPr>
          <w:rFonts w:cs="Times New Roman"/>
        </w:rPr>
        <w:t>F</w:t>
      </w:r>
      <w:r w:rsidR="006F2F61" w:rsidRPr="00EF75A4">
        <w:rPr>
          <w:rFonts w:cs="Times New Roman"/>
          <w:vertAlign w:val="subscript"/>
        </w:rPr>
        <w:t>crit</w:t>
      </w:r>
      <w:r w:rsidR="00E84659">
        <w:rPr>
          <w:rFonts w:cs="Times New Roman"/>
        </w:rPr>
        <w:t xml:space="preserve"> </w:t>
      </w:r>
      <w:r w:rsidR="006F2F61" w:rsidRPr="00EF75A4">
        <w:rPr>
          <w:rFonts w:cs="Times New Roman"/>
        </w:rPr>
        <w:t>=</w:t>
      </w:r>
      <w:r w:rsidR="00E84659">
        <w:rPr>
          <w:rFonts w:cs="Times New Roman"/>
        </w:rPr>
        <w:t xml:space="preserve"> </w:t>
      </w:r>
      <w:r w:rsidR="006F2F61" w:rsidRPr="00EF75A4">
        <w:rPr>
          <w:rFonts w:cs="Times New Roman"/>
        </w:rPr>
        <w:t xml:space="preserve">2.35. Thereby, it </w:t>
      </w:r>
      <w:r w:rsidR="00865207">
        <w:rPr>
          <w:rFonts w:cs="Times New Roman"/>
        </w:rPr>
        <w:t>wa</w:t>
      </w:r>
      <w:r w:rsidR="006F2F61" w:rsidRPr="00EF75A4">
        <w:rPr>
          <w:rFonts w:cs="Times New Roman"/>
        </w:rPr>
        <w:t>s possible to claim with a 95% of certainty (p=0.05) that, during the 10 hours</w:t>
      </w:r>
      <w:r w:rsidR="00AF1316">
        <w:rPr>
          <w:rFonts w:cs="Times New Roman"/>
        </w:rPr>
        <w:t xml:space="preserve"> of</w:t>
      </w:r>
      <w:r w:rsidR="006F2F61" w:rsidRPr="00EF75A4">
        <w:rPr>
          <w:rFonts w:cs="Times New Roman"/>
        </w:rPr>
        <w:t xml:space="preserve"> incubation at 22 ºC, the concentration of WS P</w:t>
      </w:r>
      <w:r w:rsidR="00B752DC">
        <w:rPr>
          <w:rFonts w:cs="Times New Roman"/>
        </w:rPr>
        <w:t>O</w:t>
      </w:r>
      <w:r w:rsidR="00B752DC" w:rsidRPr="00895F37">
        <w:rPr>
          <w:rFonts w:cs="Times New Roman"/>
          <w:vertAlign w:val="subscript"/>
        </w:rPr>
        <w:t>4</w:t>
      </w:r>
      <w:r w:rsidR="00B752DC" w:rsidRPr="00895F37">
        <w:rPr>
          <w:rFonts w:cs="Times New Roman"/>
          <w:vertAlign w:val="superscript"/>
        </w:rPr>
        <w:t>3-</w:t>
      </w:r>
      <w:r w:rsidR="006F2F61" w:rsidRPr="00EF75A4">
        <w:rPr>
          <w:rFonts w:cs="Times New Roman"/>
        </w:rPr>
        <w:t xml:space="preserve"> of blend 1 increased</w:t>
      </w:r>
      <w:r w:rsidR="00895F37">
        <w:rPr>
          <w:rFonts w:cs="Times New Roman"/>
        </w:rPr>
        <w:t xml:space="preserve"> (</w:t>
      </w:r>
      <w:r w:rsidR="00895F37" w:rsidRPr="00895F37">
        <w:rPr>
          <w:rFonts w:cs="Times New Roman"/>
        </w:rPr>
        <w:fldChar w:fldCharType="begin"/>
      </w:r>
      <w:r w:rsidR="00895F37" w:rsidRPr="00895F37">
        <w:rPr>
          <w:rFonts w:cs="Times New Roman"/>
        </w:rPr>
        <w:instrText xml:space="preserve"> REF _Ref46053620 \h  \* MERGEFORMAT </w:instrText>
      </w:r>
      <w:r w:rsidR="00895F37" w:rsidRPr="00895F37">
        <w:rPr>
          <w:rFonts w:cs="Times New Roman"/>
        </w:rPr>
      </w:r>
      <w:r w:rsidR="00895F37" w:rsidRPr="00895F37">
        <w:rPr>
          <w:rFonts w:cs="Times New Roman"/>
        </w:rPr>
        <w:fldChar w:fldCharType="separate"/>
      </w:r>
      <w:r w:rsidR="00895F37" w:rsidRPr="00895F37">
        <w:rPr>
          <w:rFonts w:cs="Times New Roman"/>
        </w:rPr>
        <w:t xml:space="preserve">Fig. </w:t>
      </w:r>
      <w:r w:rsidR="00895F37" w:rsidRPr="00895F37">
        <w:rPr>
          <w:rFonts w:cs="Times New Roman"/>
          <w:noProof/>
        </w:rPr>
        <w:t>6</w:t>
      </w:r>
      <w:r w:rsidR="00895F37" w:rsidRPr="00895F37">
        <w:rPr>
          <w:rFonts w:cs="Times New Roman"/>
        </w:rPr>
        <w:fldChar w:fldCharType="end"/>
      </w:r>
      <w:r w:rsidR="00895F37" w:rsidRPr="00895F37">
        <w:rPr>
          <w:rFonts w:cs="Times New Roman"/>
        </w:rPr>
        <w:t xml:space="preserve"> b</w:t>
      </w:r>
      <w:r w:rsidR="00895F37">
        <w:rPr>
          <w:rFonts w:cs="Times New Roman"/>
        </w:rPr>
        <w:t>)</w:t>
      </w:r>
      <w:r w:rsidR="006F2F61" w:rsidRPr="00EF75A4">
        <w:rPr>
          <w:rFonts w:cs="Times New Roman"/>
        </w:rPr>
        <w:t>.</w:t>
      </w:r>
      <w:r w:rsidR="00013B73">
        <w:rPr>
          <w:rFonts w:cs="Times New Roman"/>
        </w:rPr>
        <w:t xml:space="preserve"> </w:t>
      </w:r>
      <w:r w:rsidR="006158D1">
        <w:rPr>
          <w:rFonts w:cs="Times New Roman"/>
          <w:b/>
        </w:rPr>
        <w:t>T</w:t>
      </w:r>
      <w:r w:rsidR="00B752DC" w:rsidRPr="00192F7D">
        <w:rPr>
          <w:rFonts w:cs="Times New Roman"/>
          <w:b/>
        </w:rPr>
        <w:t xml:space="preserve">he reason for </w:t>
      </w:r>
      <w:r w:rsidR="00B33E8C" w:rsidRPr="00192F7D">
        <w:rPr>
          <w:rFonts w:cs="Times New Roman"/>
          <w:b/>
        </w:rPr>
        <w:t>the lower concentration of WS PO</w:t>
      </w:r>
      <w:r w:rsidR="00B33E8C" w:rsidRPr="00192F7D">
        <w:rPr>
          <w:rFonts w:cs="Times New Roman"/>
          <w:b/>
          <w:vertAlign w:val="subscript"/>
        </w:rPr>
        <w:t>4</w:t>
      </w:r>
      <w:r w:rsidR="00B33E8C" w:rsidRPr="00192F7D">
        <w:rPr>
          <w:rFonts w:cs="Times New Roman"/>
          <w:b/>
          <w:vertAlign w:val="superscript"/>
        </w:rPr>
        <w:t>3-</w:t>
      </w:r>
      <w:r w:rsidR="00B33E8C" w:rsidRPr="00192F7D">
        <w:rPr>
          <w:rFonts w:cs="Times New Roman"/>
          <w:b/>
        </w:rPr>
        <w:t xml:space="preserve"> in both blends</w:t>
      </w:r>
      <w:r w:rsidR="00096BD9" w:rsidRPr="00192F7D">
        <w:rPr>
          <w:rFonts w:cs="Times New Roman"/>
          <w:b/>
        </w:rPr>
        <w:t>,</w:t>
      </w:r>
      <w:r w:rsidR="00B33E8C" w:rsidRPr="00192F7D">
        <w:rPr>
          <w:rFonts w:cs="Times New Roman"/>
          <w:b/>
        </w:rPr>
        <w:t xml:space="preserve"> compared to the</w:t>
      </w:r>
      <w:r w:rsidR="00897022" w:rsidRPr="00192F7D">
        <w:rPr>
          <w:rFonts w:cs="Times New Roman"/>
          <w:b/>
        </w:rPr>
        <w:t>ir</w:t>
      </w:r>
      <w:r w:rsidR="008C15A2">
        <w:rPr>
          <w:rFonts w:cs="Times New Roman"/>
          <w:b/>
        </w:rPr>
        <w:t xml:space="preserve"> initial characteriz</w:t>
      </w:r>
      <w:r w:rsidR="00B33E8C" w:rsidRPr="00192F7D">
        <w:rPr>
          <w:rFonts w:cs="Times New Roman"/>
          <w:b/>
        </w:rPr>
        <w:t>ation (</w:t>
      </w:r>
      <w:r w:rsidR="00B33E8C" w:rsidRPr="00192F7D">
        <w:rPr>
          <w:rFonts w:cs="Times New Roman"/>
          <w:b/>
        </w:rPr>
        <w:fldChar w:fldCharType="begin"/>
      </w:r>
      <w:r w:rsidR="00B33E8C" w:rsidRPr="00192F7D">
        <w:rPr>
          <w:rFonts w:cs="Times New Roman"/>
          <w:b/>
        </w:rPr>
        <w:instrText xml:space="preserve"> REF _Ref44759336 \h  \* MERGEFORMAT </w:instrText>
      </w:r>
      <w:r w:rsidR="00B33E8C" w:rsidRPr="00192F7D">
        <w:rPr>
          <w:rFonts w:cs="Times New Roman"/>
          <w:b/>
        </w:rPr>
      </w:r>
      <w:r w:rsidR="00B33E8C" w:rsidRPr="00192F7D">
        <w:rPr>
          <w:rFonts w:cs="Times New Roman"/>
          <w:b/>
        </w:rPr>
        <w:fldChar w:fldCharType="separate"/>
      </w:r>
      <w:r w:rsidR="00B33E8C" w:rsidRPr="00192F7D">
        <w:rPr>
          <w:rFonts w:cs="Times New Roman"/>
          <w:b/>
        </w:rPr>
        <w:t xml:space="preserve">Table </w:t>
      </w:r>
      <w:r w:rsidR="00B33E8C" w:rsidRPr="00192F7D">
        <w:rPr>
          <w:rFonts w:cs="Times New Roman"/>
          <w:b/>
          <w:noProof/>
        </w:rPr>
        <w:t>3</w:t>
      </w:r>
      <w:r w:rsidR="00B33E8C" w:rsidRPr="00192F7D">
        <w:rPr>
          <w:rFonts w:cs="Times New Roman"/>
          <w:b/>
        </w:rPr>
        <w:fldChar w:fldCharType="end"/>
      </w:r>
      <w:r w:rsidR="006158D1">
        <w:rPr>
          <w:rFonts w:cs="Times New Roman"/>
          <w:b/>
        </w:rPr>
        <w:t>), would</w:t>
      </w:r>
      <w:r w:rsidR="00B56D6F" w:rsidRPr="00192F7D">
        <w:rPr>
          <w:rFonts w:cs="Times New Roman"/>
          <w:b/>
        </w:rPr>
        <w:t xml:space="preserve"> the gradual process of </w:t>
      </w:r>
      <w:r w:rsidR="00B33E8C" w:rsidRPr="00192F7D">
        <w:rPr>
          <w:rFonts w:cs="Times New Roman"/>
          <w:b/>
        </w:rPr>
        <w:t xml:space="preserve">adsorption and precipitation as described by Yagi &amp; Fukushi </w:t>
      </w:r>
      <w:r w:rsidR="00B33E8C" w:rsidRPr="00192F7D">
        <w:rPr>
          <w:rFonts w:cs="Times New Roman"/>
          <w:b/>
        </w:rPr>
        <w:fldChar w:fldCharType="begin" w:fldLock="1"/>
      </w:r>
      <w:r w:rsidR="00BB33F9">
        <w:rPr>
          <w:rFonts w:cs="Times New Roman"/>
          <w:b/>
        </w:rPr>
        <w:instrText>ADDIN CSL_CITATION {"citationItems":[{"id":"ITEM-1","itemData":{"DOI":"10.1016/j.jcis.2012.06.063","ISSN":"00219797","abstract":"The sorption behavior and mechanism of phosphate on monohydrocalcite (CaCO3{dot operator}H2O: MHC) were examined using batch sorption experiments as a function of phosphate concentrations, ionic strengths, temperatures, and reaction times. The mode of PO4 sorption is divisible into three processes depending on the phosphate loading. At low phosphate concentrations, phosphate is removed by coprecipitation of phosphate during the transformation of MHC to calcite. The sorption mode at the low-to-moderate phosphate concentrations is most likely an adsorption process because the sorption isotherm at the conditions can be fitted reasonably with the Langmuir equation. The rapid sorption kinetics at the conditions is also consistent with the adsorption reaction. The adsorption of phosphate on MHC depends strongly on ionic strength, but slightly on temperature. The maximum adsorption capacities of MHC obtained from the regression of the experimental data to the Langmuir equation are higher than those reported for stable calcium carbonate (calcite or aragonite) in any conditions. At high phosphate concentrations, the amount of sorption deviates from the Langmuir isotherm, which can fit the low-to-moderate phosphate concentrations. Speciation-saturation analyses of the reacted solutions at the conditions indicated that the solution compositions which deviate from the Langmuir equation are supersaturated with respect to a certain calcium phosphate. The obtained calcium phosphate is most likely amorphous calcium phosphate (Ca3(PO4)2{dot operator}xH2O). The formation of the calcium phosphate depends strongly on ionic strength, temperature, and reaction times. The solubility of MHC is higher than calcite and aragonite because of its metastability. Therefore, the higher solubility of MHC facilitates the formation of the calcium phosphates more than with calcite and aragonite. © 2012 Elsevier Inc.","author":[{"dropping-particle":"","family":"Yagi","given":"Shintaro","non-dropping-particle":"","parse-names":false,"suffix":""},{"dropping-particle":"","family":"Fukushi","given":"Keisuke","non-dropping-particle":"","parse-names":false,"suffix":""}],"container-title":"Journal of Colloid and Interface Science","id":"ITEM-1","issue":"1","issued":{"date-parts":[["2012"]]},"page":"128-136","publisher":"Elsevier Inc.","title":"Removal of phosphate from solution by adsorption and precipitation of calcium phosphate onto monohydrocalcite","type":"article-journal","volume":"384"},"uris":["http://www.mendeley.com/documents/?uuid=553c6630-594d-42ce-aeff-c4c4e60d49c9"]}],"mendeley":{"formattedCitation":"[20]","plainTextFormattedCitation":"[20]","previouslyFormattedCitation":"[20]"},"properties":{"noteIndex":0},"schema":"https://github.com/citation-style-language/schema/raw/master/csl-citation.json"}</w:instrText>
      </w:r>
      <w:r w:rsidR="00B33E8C" w:rsidRPr="00192F7D">
        <w:rPr>
          <w:rFonts w:cs="Times New Roman"/>
          <w:b/>
        </w:rPr>
        <w:fldChar w:fldCharType="separate"/>
      </w:r>
      <w:r w:rsidR="00D33723" w:rsidRPr="00D33723">
        <w:rPr>
          <w:rFonts w:cs="Times New Roman"/>
          <w:noProof/>
        </w:rPr>
        <w:t>[20]</w:t>
      </w:r>
      <w:r w:rsidR="00B33E8C" w:rsidRPr="00192F7D">
        <w:rPr>
          <w:rFonts w:cs="Times New Roman"/>
          <w:b/>
        </w:rPr>
        <w:fldChar w:fldCharType="end"/>
      </w:r>
      <w:r w:rsidR="00B33E8C" w:rsidRPr="00192F7D">
        <w:rPr>
          <w:rFonts w:cs="Times New Roman"/>
          <w:b/>
        </w:rPr>
        <w:t>.</w:t>
      </w:r>
      <w:r w:rsidR="00F21029" w:rsidRPr="00192F7D">
        <w:rPr>
          <w:rFonts w:cs="Times New Roman"/>
          <w:b/>
        </w:rPr>
        <w:t xml:space="preserve"> </w:t>
      </w:r>
      <w:r w:rsidR="00824F33" w:rsidRPr="00192F7D">
        <w:rPr>
          <w:rFonts w:cs="Times New Roman"/>
          <w:b/>
        </w:rPr>
        <w:t xml:space="preserve">The </w:t>
      </w:r>
      <w:r w:rsidR="00202AE5" w:rsidRPr="00192F7D">
        <w:rPr>
          <w:rFonts w:cs="Times New Roman"/>
          <w:b/>
        </w:rPr>
        <w:t>kinetic</w:t>
      </w:r>
      <w:r w:rsidR="004277A2" w:rsidRPr="00192F7D">
        <w:rPr>
          <w:rFonts w:cs="Times New Roman"/>
          <w:b/>
        </w:rPr>
        <w:t xml:space="preserve"> of adsorption</w:t>
      </w:r>
      <w:r w:rsidR="00825D95" w:rsidRPr="00192F7D">
        <w:rPr>
          <w:rFonts w:cs="Times New Roman"/>
          <w:b/>
        </w:rPr>
        <w:t xml:space="preserve"> </w:t>
      </w:r>
      <w:r w:rsidR="00543B5B" w:rsidRPr="00192F7D">
        <w:rPr>
          <w:rFonts w:cs="Times New Roman"/>
          <w:b/>
        </w:rPr>
        <w:t>was</w:t>
      </w:r>
      <w:r w:rsidR="00202AE5" w:rsidRPr="00192F7D">
        <w:rPr>
          <w:rFonts w:cs="Times New Roman"/>
          <w:b/>
        </w:rPr>
        <w:t xml:space="preserve"> faster than precipitation</w:t>
      </w:r>
      <w:r w:rsidR="005E04AA" w:rsidRPr="00192F7D">
        <w:rPr>
          <w:rFonts w:cs="Times New Roman"/>
          <w:b/>
        </w:rPr>
        <w:t>, therefore</w:t>
      </w:r>
      <w:r w:rsidR="00F90FE1" w:rsidRPr="00192F7D">
        <w:rPr>
          <w:rFonts w:cs="Times New Roman"/>
          <w:b/>
        </w:rPr>
        <w:t xml:space="preserve"> the continuous 100 rpm shaking</w:t>
      </w:r>
      <w:r w:rsidR="00AB6AAA" w:rsidRPr="00192F7D">
        <w:rPr>
          <w:rFonts w:cs="Times New Roman"/>
          <w:b/>
        </w:rPr>
        <w:t xml:space="preserve"> p</w:t>
      </w:r>
      <w:r w:rsidR="006158D1">
        <w:rPr>
          <w:rFonts w:cs="Times New Roman"/>
          <w:b/>
        </w:rPr>
        <w:t>r</w:t>
      </w:r>
      <w:r w:rsidR="00AB6AAA" w:rsidRPr="00192F7D">
        <w:rPr>
          <w:rFonts w:cs="Times New Roman"/>
          <w:b/>
        </w:rPr>
        <w:t>evented the formation of new crystals.</w:t>
      </w:r>
      <w:r w:rsidR="005E04AA" w:rsidRPr="00192F7D">
        <w:rPr>
          <w:rFonts w:cs="Times New Roman"/>
          <w:b/>
        </w:rPr>
        <w:t xml:space="preserve"> Millero et al. </w:t>
      </w:r>
      <w:r w:rsidR="005E04AA" w:rsidRPr="00192F7D">
        <w:rPr>
          <w:rStyle w:val="FootnoteReference"/>
          <w:rFonts w:cs="Times New Roman"/>
          <w:b/>
        </w:rPr>
        <w:fldChar w:fldCharType="begin" w:fldLock="1"/>
      </w:r>
      <w:r w:rsidR="00233927">
        <w:rPr>
          <w:rFonts w:cs="Times New Roman"/>
          <w:b/>
        </w:rPr>
        <w:instrText>ADDIN CSL_CITATION {"citationItems":[{"id":"ITEM-1","itemData":{"DOI":"10.1023/A:1011344117092","ISSN":"13806165","abstract":"The adsorption and desorption of phosphate on calcite and aragonite were investigated as a function of temperature (5-45 °C) and salinity (0-40) in seawater pre-equilibrated with CaCO3. An increase in temperature increased the equilibrium adsorption; whereas an increase in salinity decreased the adsorption. Adsorption measurements made in NaCl were lower than the results in seawater. The higher values in seawater were due to the presence of Mg2+ and Ca2+ ions. The increase was 5 times greater for Ca2+ than Mg2+. The effects of Ca2+ and Mg2+ are diminished with the addition of SO2-\"4 apparently due to the formation of MgSO4 and CaSO4 and CaSO4 complexes in solution and/or SO2-4 adsorption on the surface of CaCO3. The adsorbed Ca2+ and Mg2+ on CaCO3 (at carbonate sites) may act as bridges to PO3-4 ions. The bridging effect of Ca2+ is greater than Mg2+ apparently due to the stronger interactions of Ca2+ with PO3-4. The apparent effect of salinity on the adsorption of PO4 was largely due to changes in the concentration of HCO-3 in the solutions. An increase in the concentration of HCO-3 caused the adsorption of phosphate to decrease, especially at low salinities. The adsorption at the same level of HCO-3 (2 mM) was nearly independent of salinity. All of the adsorption measurements were modeled empirically using a Langmuir-type adsorption isotherm [PO4]ad = KmCm[PO4]T/(1 + Km[PO4]T), where [PO4]ad and [PO4]T are the adsorbed and total dissolved phosphate concentrations, respectively. The values of Cm (the maximum monolayer adsorption capacity, (mol/g) and Km (the adsorption equilibrium constant, g/(mol) over the entire temperature (t, °C) and salinity (S) range were fitted to Cm = 17.067 + 0.1707t - 0.4693S + 0.0082S2 (σo = 0.7) In Km = -2.412 + 0.0165t - 0.0004St - 0.0008S2 (σ = 0.1) These empirical equations reproduce all of our measurements of [PO4]ad up to 14 μmol/g and within ±0.7 μmol/g. The kinetic data showed that the phosphate uptake on carbonate minerals appears to be a multi-step process. Both the adsorption and desorption were quite fast in the first stage (less than 30 min) followed by a much slower process (lasting more than 1 week). Our results indicate that within 24 hours aragonite has a higher sorption capacity than calcite. The differences between calcite and aragonite become smaller with time. Consequently, the mineral composition of the sediments may affect the short-term phosphate adsorption and desorption on calcium carbonate. Up to 80…","author":[{"dropping-particle":"","family":"Millero","given":"Frank","non-dropping-particle":"","parse-names":false,"suffix":""},{"dropping-particle":"","family":"Huang","given":"Fen","non-dropping-particle":"","parse-names":false,"suffix":""},{"dropping-particle":"","family":"Zhu","given":"Xiaorong","non-dropping-particle":"","parse-names":false,"suffix":""},{"dropping-particle":"","family":"Liu","given":"Xuewu","non-dropping-particle":"","parse-names":false,"suffix":""},{"dropping-particle":"","family":"Zhang","given":"Jia Zhong","non-dropping-particle":"","parse-names":false,"suffix":""}],"container-title":"Aquatic Geochemistry","id":"ITEM-1","issue":"1","issued":{"date-parts":[["2001"]]},"page":"33-56","title":"Adsorption and desorption of phosphate on calcite and aragonite in seawater","type":"article-journal","volume":"7"},"uris":["http://www.mendeley.com/documents/?uuid=32fda221-99bb-4ddf-858f-d563deb53356"]}],"mendeley":{"formattedCitation":"[66]","plainTextFormattedCitation":"[66]","previouslyFormattedCitation":"[66]"},"properties":{"noteIndex":0},"schema":"https://github.com/citation-style-language/schema/raw/master/csl-citation.json"}</w:instrText>
      </w:r>
      <w:r w:rsidR="005E04AA" w:rsidRPr="00192F7D">
        <w:rPr>
          <w:rStyle w:val="FootnoteReference"/>
          <w:rFonts w:cs="Times New Roman"/>
          <w:b/>
        </w:rPr>
        <w:fldChar w:fldCharType="separate"/>
      </w:r>
      <w:r w:rsidR="00523707" w:rsidRPr="00523707">
        <w:rPr>
          <w:rFonts w:cs="Times New Roman"/>
          <w:noProof/>
        </w:rPr>
        <w:t>[66]</w:t>
      </w:r>
      <w:r w:rsidR="005E04AA" w:rsidRPr="00192F7D">
        <w:rPr>
          <w:rStyle w:val="FootnoteReference"/>
          <w:rFonts w:cs="Times New Roman"/>
          <w:b/>
        </w:rPr>
        <w:fldChar w:fldCharType="end"/>
      </w:r>
      <w:r w:rsidR="005E04AA" w:rsidRPr="00192F7D">
        <w:rPr>
          <w:rFonts w:cs="Times New Roman"/>
          <w:b/>
        </w:rPr>
        <w:t xml:space="preserve"> found that the optimum pH for the adsorption of WS PO</w:t>
      </w:r>
      <w:r w:rsidR="005E04AA" w:rsidRPr="00192F7D">
        <w:rPr>
          <w:rFonts w:cs="Times New Roman"/>
          <w:b/>
          <w:vertAlign w:val="subscript"/>
        </w:rPr>
        <w:t>4</w:t>
      </w:r>
      <w:r w:rsidR="005E04AA" w:rsidRPr="00192F7D">
        <w:rPr>
          <w:rFonts w:cs="Times New Roman"/>
          <w:b/>
          <w:vertAlign w:val="superscript"/>
        </w:rPr>
        <w:t>3-</w:t>
      </w:r>
      <w:r w:rsidR="00F75717" w:rsidRPr="00192F7D">
        <w:rPr>
          <w:rFonts w:cs="Times New Roman"/>
          <w:b/>
        </w:rPr>
        <w:t xml:space="preserve"> onto aragonite</w:t>
      </w:r>
      <w:r w:rsidR="005E04AA" w:rsidRPr="00192F7D">
        <w:rPr>
          <w:rFonts w:cs="Times New Roman"/>
          <w:b/>
        </w:rPr>
        <w:t xml:space="preserve"> </w:t>
      </w:r>
      <w:r w:rsidR="00F75717" w:rsidRPr="00192F7D">
        <w:rPr>
          <w:rFonts w:cs="Times New Roman"/>
          <w:b/>
        </w:rPr>
        <w:t>(</w:t>
      </w:r>
      <w:r w:rsidR="005E04AA" w:rsidRPr="00192F7D">
        <w:rPr>
          <w:rFonts w:cs="Times New Roman"/>
          <w:b/>
        </w:rPr>
        <w:t>CaCO</w:t>
      </w:r>
      <w:r w:rsidR="005E04AA" w:rsidRPr="00192F7D">
        <w:rPr>
          <w:rFonts w:cs="Times New Roman"/>
          <w:b/>
          <w:vertAlign w:val="subscript"/>
        </w:rPr>
        <w:t>3</w:t>
      </w:r>
      <w:r w:rsidR="00F75717" w:rsidRPr="00192F7D">
        <w:rPr>
          <w:rFonts w:cs="Times New Roman"/>
          <w:b/>
        </w:rPr>
        <w:t xml:space="preserve">) </w:t>
      </w:r>
      <w:r w:rsidR="005E04AA" w:rsidRPr="00192F7D">
        <w:rPr>
          <w:rFonts w:cs="Times New Roman"/>
          <w:b/>
        </w:rPr>
        <w:t xml:space="preserve">was </w:t>
      </w:r>
      <w:r w:rsidR="005E04AA" w:rsidRPr="00192F7D">
        <w:rPr>
          <w:rFonts w:cs="Times New Roman"/>
          <w:b/>
        </w:rPr>
        <w:lastRenderedPageBreak/>
        <w:t xml:space="preserve">8.6 at 25 </w:t>
      </w:r>
      <w:r w:rsidR="005E04AA" w:rsidRPr="00192F7D">
        <w:rPr>
          <w:rFonts w:ascii="Calibri" w:hAnsi="Calibri" w:cs="Calibri"/>
          <w:b/>
        </w:rPr>
        <w:t>º</w:t>
      </w:r>
      <w:r w:rsidR="005E04AA" w:rsidRPr="00192F7D">
        <w:rPr>
          <w:rFonts w:cs="Times New Roman"/>
          <w:b/>
        </w:rPr>
        <w:t>C. Considering the high content of calcium of both</w:t>
      </w:r>
      <w:r w:rsidR="00B56D6F" w:rsidRPr="00192F7D">
        <w:rPr>
          <w:rFonts w:cs="Times New Roman"/>
          <w:b/>
        </w:rPr>
        <w:t xml:space="preserve"> type</w:t>
      </w:r>
      <w:r w:rsidR="00CB7854" w:rsidRPr="00192F7D">
        <w:rPr>
          <w:rFonts w:cs="Times New Roman"/>
          <w:b/>
        </w:rPr>
        <w:t>s</w:t>
      </w:r>
      <w:r w:rsidR="00B56D6F" w:rsidRPr="00192F7D">
        <w:rPr>
          <w:rFonts w:cs="Times New Roman"/>
          <w:b/>
        </w:rPr>
        <w:t xml:space="preserve"> of</w:t>
      </w:r>
      <w:r w:rsidR="005E04AA" w:rsidRPr="00192F7D">
        <w:rPr>
          <w:rFonts w:cs="Times New Roman"/>
          <w:b/>
        </w:rPr>
        <w:t xml:space="preserve"> ash (Online resource 1),</w:t>
      </w:r>
      <w:r w:rsidR="006158D1">
        <w:rPr>
          <w:rFonts w:cs="Times New Roman"/>
          <w:b/>
        </w:rPr>
        <w:t xml:space="preserve"> similar pH would be desired</w:t>
      </w:r>
      <w:r w:rsidR="0011639A" w:rsidRPr="00192F7D">
        <w:rPr>
          <w:rFonts w:cs="Times New Roman"/>
          <w:b/>
        </w:rPr>
        <w:t xml:space="preserve"> in both blends to promote the adsorption.</w:t>
      </w:r>
      <w:r w:rsidR="00001FF5" w:rsidRPr="00192F7D">
        <w:rPr>
          <w:rFonts w:cs="Times New Roman"/>
          <w:b/>
        </w:rPr>
        <w:t xml:space="preserve"> Unlike the increase of the content of WS NH</w:t>
      </w:r>
      <w:r w:rsidR="00001FF5" w:rsidRPr="00192F7D">
        <w:rPr>
          <w:rFonts w:cs="Times New Roman"/>
          <w:b/>
          <w:vertAlign w:val="subscript"/>
        </w:rPr>
        <w:t>4</w:t>
      </w:r>
      <w:r w:rsidR="00001FF5" w:rsidRPr="00192F7D">
        <w:rPr>
          <w:rFonts w:cs="Times New Roman"/>
          <w:b/>
          <w:vertAlign w:val="superscript"/>
        </w:rPr>
        <w:t>+</w:t>
      </w:r>
      <w:r w:rsidR="00001FF5" w:rsidRPr="00192F7D">
        <w:rPr>
          <w:rFonts w:cs="Times New Roman"/>
          <w:b/>
        </w:rPr>
        <w:t xml:space="preserve"> &amp; WS NH</w:t>
      </w:r>
      <w:r w:rsidR="00001FF5" w:rsidRPr="00192F7D">
        <w:rPr>
          <w:rFonts w:cs="Times New Roman"/>
          <w:b/>
          <w:vertAlign w:val="subscript"/>
        </w:rPr>
        <w:t>3</w:t>
      </w:r>
      <w:r w:rsidR="00001FF5" w:rsidRPr="00192F7D">
        <w:rPr>
          <w:rFonts w:cs="Times New Roman"/>
          <w:b/>
        </w:rPr>
        <w:t xml:space="preserve"> (</w:t>
      </w:r>
      <w:r w:rsidR="00001FF5" w:rsidRPr="00192F7D">
        <w:rPr>
          <w:rFonts w:cs="Times New Roman"/>
          <w:b/>
        </w:rPr>
        <w:fldChar w:fldCharType="begin"/>
      </w:r>
      <w:r w:rsidR="00001FF5" w:rsidRPr="00192F7D">
        <w:rPr>
          <w:rFonts w:cs="Times New Roman"/>
          <w:b/>
        </w:rPr>
        <w:instrText xml:space="preserve"> REF _Ref27235160 \h  \* MERGEFORMAT </w:instrText>
      </w:r>
      <w:r w:rsidR="00001FF5" w:rsidRPr="00192F7D">
        <w:rPr>
          <w:rFonts w:cs="Times New Roman"/>
          <w:b/>
        </w:rPr>
      </w:r>
      <w:r w:rsidR="00001FF5" w:rsidRPr="00192F7D">
        <w:rPr>
          <w:rFonts w:cs="Times New Roman"/>
          <w:b/>
        </w:rPr>
        <w:fldChar w:fldCharType="separate"/>
      </w:r>
      <w:r w:rsidR="00001FF5" w:rsidRPr="00192F7D">
        <w:rPr>
          <w:rFonts w:cs="Times New Roman"/>
          <w:b/>
        </w:rPr>
        <w:t>Fig.</w:t>
      </w:r>
      <w:r w:rsidR="00001FF5" w:rsidRPr="00192F7D">
        <w:rPr>
          <w:rFonts w:cs="Times New Roman"/>
          <w:b/>
          <w:noProof/>
        </w:rPr>
        <w:t xml:space="preserve"> 3</w:t>
      </w:r>
      <w:r w:rsidR="00001FF5" w:rsidRPr="00192F7D">
        <w:rPr>
          <w:rFonts w:cs="Times New Roman"/>
          <w:b/>
        </w:rPr>
        <w:fldChar w:fldCharType="end"/>
      </w:r>
      <w:r w:rsidR="00D7171C" w:rsidRPr="00192F7D">
        <w:rPr>
          <w:rFonts w:cs="Times New Roman"/>
          <w:b/>
        </w:rPr>
        <w:t xml:space="preserve"> </w:t>
      </w:r>
      <w:r w:rsidR="00001FF5" w:rsidRPr="00192F7D">
        <w:rPr>
          <w:rFonts w:cs="Times New Roman"/>
          <w:b/>
        </w:rPr>
        <w:t>a), the raise of WS PO</w:t>
      </w:r>
      <w:r w:rsidR="00001FF5" w:rsidRPr="00192F7D">
        <w:rPr>
          <w:rFonts w:cs="Times New Roman"/>
          <w:b/>
          <w:vertAlign w:val="subscript"/>
        </w:rPr>
        <w:t>4</w:t>
      </w:r>
      <w:r w:rsidR="00001FF5" w:rsidRPr="00192F7D">
        <w:rPr>
          <w:rFonts w:cs="Times New Roman"/>
          <w:b/>
          <w:vertAlign w:val="superscript"/>
        </w:rPr>
        <w:t>3-</w:t>
      </w:r>
      <w:r w:rsidR="00001FF5" w:rsidRPr="00192F7D">
        <w:rPr>
          <w:rFonts w:cs="Times New Roman"/>
          <w:b/>
        </w:rPr>
        <w:t xml:space="preserve"> in blend 1 (</w:t>
      </w:r>
      <w:r w:rsidR="00001FF5" w:rsidRPr="00192F7D">
        <w:rPr>
          <w:rFonts w:cs="Times New Roman"/>
          <w:b/>
        </w:rPr>
        <w:fldChar w:fldCharType="begin"/>
      </w:r>
      <w:r w:rsidR="00001FF5" w:rsidRPr="00192F7D">
        <w:rPr>
          <w:rFonts w:cs="Times New Roman"/>
          <w:b/>
        </w:rPr>
        <w:instrText xml:space="preserve"> REF _Ref14027835 \h  \* MERGEFORMAT </w:instrText>
      </w:r>
      <w:r w:rsidR="00001FF5" w:rsidRPr="00192F7D">
        <w:rPr>
          <w:rFonts w:cs="Times New Roman"/>
          <w:b/>
        </w:rPr>
      </w:r>
      <w:r w:rsidR="00001FF5" w:rsidRPr="00192F7D">
        <w:rPr>
          <w:rFonts w:cs="Times New Roman"/>
          <w:b/>
        </w:rPr>
        <w:fldChar w:fldCharType="separate"/>
      </w:r>
      <w:r w:rsidR="00001FF5" w:rsidRPr="00192F7D">
        <w:rPr>
          <w:rFonts w:cs="Times New Roman"/>
          <w:b/>
        </w:rPr>
        <w:t xml:space="preserve">Fig. </w:t>
      </w:r>
      <w:r w:rsidR="00001FF5" w:rsidRPr="00192F7D">
        <w:rPr>
          <w:rFonts w:cs="Times New Roman"/>
          <w:b/>
          <w:noProof/>
        </w:rPr>
        <w:t>6</w:t>
      </w:r>
      <w:r w:rsidR="00001FF5" w:rsidRPr="00192F7D">
        <w:rPr>
          <w:rFonts w:cs="Times New Roman"/>
          <w:b/>
        </w:rPr>
        <w:fldChar w:fldCharType="end"/>
      </w:r>
      <w:r w:rsidR="00D7171C" w:rsidRPr="00192F7D">
        <w:rPr>
          <w:rFonts w:cs="Times New Roman"/>
          <w:b/>
        </w:rPr>
        <w:t xml:space="preserve"> </w:t>
      </w:r>
      <w:r w:rsidR="00001FF5" w:rsidRPr="00192F7D">
        <w:rPr>
          <w:rFonts w:cs="Times New Roman"/>
          <w:b/>
        </w:rPr>
        <w:t>b) was due to desorption rather than chemical hydrolysis.</w:t>
      </w:r>
      <w:r w:rsidR="0011639A" w:rsidRPr="00192F7D">
        <w:rPr>
          <w:rFonts w:cs="Times New Roman"/>
          <w:b/>
        </w:rPr>
        <w:t xml:space="preserve"> T</w:t>
      </w:r>
      <w:r w:rsidR="005E04AA" w:rsidRPr="00192F7D">
        <w:rPr>
          <w:rFonts w:cs="Times New Roman"/>
          <w:b/>
        </w:rPr>
        <w:t>he kinetic control</w:t>
      </w:r>
      <w:r w:rsidR="00892166" w:rsidRPr="00192F7D">
        <w:rPr>
          <w:rFonts w:cs="Times New Roman"/>
          <w:b/>
        </w:rPr>
        <w:t xml:space="preserve"> of the </w:t>
      </w:r>
      <w:r w:rsidR="005E04AA" w:rsidRPr="00192F7D">
        <w:rPr>
          <w:rFonts w:cs="Times New Roman"/>
          <w:b/>
        </w:rPr>
        <w:t>d</w:t>
      </w:r>
      <w:r w:rsidR="00892166" w:rsidRPr="00192F7D">
        <w:rPr>
          <w:rFonts w:cs="Times New Roman"/>
          <w:b/>
        </w:rPr>
        <w:t>e</w:t>
      </w:r>
      <w:r w:rsidR="005E04AA" w:rsidRPr="00192F7D">
        <w:rPr>
          <w:rFonts w:cs="Times New Roman"/>
          <w:b/>
        </w:rPr>
        <w:t>sorption w</w:t>
      </w:r>
      <w:r w:rsidR="006158D1">
        <w:rPr>
          <w:rFonts w:cs="Times New Roman"/>
          <w:b/>
        </w:rPr>
        <w:t>as only seen</w:t>
      </w:r>
      <w:r w:rsidR="005E04AA" w:rsidRPr="00192F7D">
        <w:rPr>
          <w:rFonts w:cs="Times New Roman"/>
          <w:b/>
        </w:rPr>
        <w:t xml:space="preserve"> in the</w:t>
      </w:r>
      <w:r w:rsidR="00162D28">
        <w:rPr>
          <w:rFonts w:cs="Times New Roman"/>
          <w:b/>
        </w:rPr>
        <w:t xml:space="preserve"> solubiliz</w:t>
      </w:r>
      <w:r w:rsidR="00892166" w:rsidRPr="00192F7D">
        <w:rPr>
          <w:rFonts w:cs="Times New Roman"/>
          <w:b/>
        </w:rPr>
        <w:t>ation of PO</w:t>
      </w:r>
      <w:r w:rsidR="00892166" w:rsidRPr="00192F7D">
        <w:rPr>
          <w:rFonts w:cs="Times New Roman"/>
          <w:b/>
          <w:vertAlign w:val="subscript"/>
        </w:rPr>
        <w:t>4</w:t>
      </w:r>
      <w:r w:rsidR="00892166" w:rsidRPr="00192F7D">
        <w:rPr>
          <w:rFonts w:cs="Times New Roman"/>
          <w:b/>
          <w:vertAlign w:val="superscript"/>
        </w:rPr>
        <w:t>3</w:t>
      </w:r>
      <w:r w:rsidR="00B752DC" w:rsidRPr="00192F7D">
        <w:rPr>
          <w:rFonts w:cs="Times New Roman"/>
          <w:b/>
          <w:vertAlign w:val="superscript"/>
        </w:rPr>
        <w:t>-</w:t>
      </w:r>
      <w:r w:rsidR="005E04AA" w:rsidRPr="00192F7D">
        <w:rPr>
          <w:rFonts w:cs="Times New Roman"/>
          <w:b/>
        </w:rPr>
        <w:t xml:space="preserve"> </w:t>
      </w:r>
      <w:r w:rsidR="00892166" w:rsidRPr="00192F7D">
        <w:rPr>
          <w:rFonts w:cs="Times New Roman"/>
          <w:b/>
        </w:rPr>
        <w:t xml:space="preserve">in </w:t>
      </w:r>
      <w:r w:rsidR="005E04AA" w:rsidRPr="00192F7D">
        <w:rPr>
          <w:rFonts w:cs="Times New Roman"/>
          <w:b/>
        </w:rPr>
        <w:t>blend 1</w:t>
      </w:r>
      <w:r w:rsidR="00892166" w:rsidRPr="00192F7D">
        <w:rPr>
          <w:rFonts w:cs="Times New Roman"/>
          <w:b/>
        </w:rPr>
        <w:t xml:space="preserve"> (</w:t>
      </w:r>
      <w:r w:rsidR="00892166" w:rsidRPr="00192F7D">
        <w:rPr>
          <w:rFonts w:cs="Times New Roman"/>
          <w:b/>
        </w:rPr>
        <w:fldChar w:fldCharType="begin"/>
      </w:r>
      <w:r w:rsidR="00892166" w:rsidRPr="00192F7D">
        <w:rPr>
          <w:rFonts w:cs="Times New Roman"/>
          <w:b/>
        </w:rPr>
        <w:instrText xml:space="preserve"> REF _Ref14027835 \h  \* MERGEFORMAT </w:instrText>
      </w:r>
      <w:r w:rsidR="00892166" w:rsidRPr="00192F7D">
        <w:rPr>
          <w:rFonts w:cs="Times New Roman"/>
          <w:b/>
        </w:rPr>
      </w:r>
      <w:r w:rsidR="00892166" w:rsidRPr="00192F7D">
        <w:rPr>
          <w:rFonts w:cs="Times New Roman"/>
          <w:b/>
        </w:rPr>
        <w:fldChar w:fldCharType="separate"/>
      </w:r>
      <w:r w:rsidR="00892166" w:rsidRPr="00192F7D">
        <w:rPr>
          <w:rFonts w:cs="Times New Roman"/>
          <w:b/>
        </w:rPr>
        <w:t xml:space="preserve">Fig. </w:t>
      </w:r>
      <w:r w:rsidR="00892166" w:rsidRPr="00192F7D">
        <w:rPr>
          <w:rFonts w:cs="Times New Roman"/>
          <w:b/>
          <w:noProof/>
        </w:rPr>
        <w:t>6</w:t>
      </w:r>
      <w:r w:rsidR="00892166" w:rsidRPr="00192F7D">
        <w:rPr>
          <w:rFonts w:cs="Times New Roman"/>
          <w:b/>
        </w:rPr>
        <w:fldChar w:fldCharType="end"/>
      </w:r>
      <w:r w:rsidR="00D7171C" w:rsidRPr="00192F7D">
        <w:rPr>
          <w:rFonts w:cs="Times New Roman"/>
          <w:b/>
        </w:rPr>
        <w:t xml:space="preserve"> </w:t>
      </w:r>
      <w:r w:rsidR="00892166" w:rsidRPr="00192F7D">
        <w:rPr>
          <w:rFonts w:cs="Times New Roman"/>
          <w:b/>
        </w:rPr>
        <w:t>b)</w:t>
      </w:r>
      <w:r w:rsidR="005E04AA" w:rsidRPr="00192F7D">
        <w:rPr>
          <w:rFonts w:cs="Times New Roman"/>
          <w:b/>
        </w:rPr>
        <w:t>, which had a pH slightly higher than 10 but lower than the blend 2</w:t>
      </w:r>
      <w:r w:rsidR="00892166" w:rsidRPr="00192F7D">
        <w:rPr>
          <w:rFonts w:cs="Times New Roman"/>
          <w:b/>
        </w:rPr>
        <w:t xml:space="preserve"> (</w:t>
      </w:r>
      <w:r w:rsidR="00892166" w:rsidRPr="00192F7D">
        <w:rPr>
          <w:rFonts w:cs="Times New Roman"/>
          <w:b/>
        </w:rPr>
        <w:fldChar w:fldCharType="begin"/>
      </w:r>
      <w:r w:rsidR="00892166" w:rsidRPr="00192F7D">
        <w:rPr>
          <w:rFonts w:cs="Times New Roman"/>
          <w:b/>
        </w:rPr>
        <w:instrText xml:space="preserve"> REF _Ref37333243 \h  \* MERGEFORMAT </w:instrText>
      </w:r>
      <w:r w:rsidR="00892166" w:rsidRPr="00192F7D">
        <w:rPr>
          <w:rFonts w:cs="Times New Roman"/>
          <w:b/>
        </w:rPr>
      </w:r>
      <w:r w:rsidR="00892166" w:rsidRPr="00192F7D">
        <w:rPr>
          <w:rFonts w:cs="Times New Roman"/>
          <w:b/>
        </w:rPr>
        <w:fldChar w:fldCharType="separate"/>
      </w:r>
      <w:r w:rsidR="00892166" w:rsidRPr="00192F7D">
        <w:rPr>
          <w:b/>
        </w:rPr>
        <w:t xml:space="preserve">Fig. </w:t>
      </w:r>
      <w:r w:rsidR="00892166" w:rsidRPr="00192F7D">
        <w:rPr>
          <w:b/>
          <w:noProof/>
        </w:rPr>
        <w:t>2</w:t>
      </w:r>
      <w:r w:rsidR="00892166" w:rsidRPr="00192F7D">
        <w:rPr>
          <w:rFonts w:cs="Times New Roman"/>
          <w:b/>
        </w:rPr>
        <w:fldChar w:fldCharType="end"/>
      </w:r>
      <w:r w:rsidR="00892166" w:rsidRPr="00192F7D">
        <w:rPr>
          <w:rFonts w:cs="Times New Roman"/>
          <w:b/>
        </w:rPr>
        <w:t>)</w:t>
      </w:r>
      <w:r w:rsidR="005E04AA" w:rsidRPr="00192F7D">
        <w:rPr>
          <w:rFonts w:cs="Times New Roman"/>
          <w:b/>
        </w:rPr>
        <w:t>.</w:t>
      </w:r>
      <w:r w:rsidR="00001FF5" w:rsidRPr="00192F7D">
        <w:rPr>
          <w:rFonts w:cs="Times New Roman"/>
          <w:b/>
        </w:rPr>
        <w:t xml:space="preserve"> </w:t>
      </w:r>
      <w:r w:rsidR="00246391" w:rsidRPr="00192F7D">
        <w:rPr>
          <w:rFonts w:cs="Times New Roman"/>
          <w:b/>
        </w:rPr>
        <w:t>Therefore</w:t>
      </w:r>
      <w:r w:rsidR="00001FF5" w:rsidRPr="00192F7D">
        <w:rPr>
          <w:rFonts w:cs="Times New Roman"/>
          <w:b/>
        </w:rPr>
        <w:t>,</w:t>
      </w:r>
      <w:r w:rsidR="00532DBD" w:rsidRPr="00192F7D">
        <w:rPr>
          <w:rFonts w:cs="Times New Roman"/>
          <w:b/>
        </w:rPr>
        <w:t xml:space="preserve"> the greater decrease in the WS PO</w:t>
      </w:r>
      <w:r w:rsidR="00532DBD" w:rsidRPr="00192F7D">
        <w:rPr>
          <w:rFonts w:cs="Times New Roman"/>
          <w:b/>
          <w:vertAlign w:val="subscript"/>
        </w:rPr>
        <w:t>4</w:t>
      </w:r>
      <w:r w:rsidR="00532DBD" w:rsidRPr="00192F7D">
        <w:rPr>
          <w:rFonts w:cs="Times New Roman"/>
          <w:b/>
          <w:vertAlign w:val="superscript"/>
        </w:rPr>
        <w:t>3-</w:t>
      </w:r>
      <w:r w:rsidR="00532DBD" w:rsidRPr="00192F7D">
        <w:rPr>
          <w:rFonts w:cs="Times New Roman"/>
          <w:b/>
        </w:rPr>
        <w:t xml:space="preserve"> </w:t>
      </w:r>
      <w:r w:rsidR="002104FA" w:rsidRPr="00192F7D">
        <w:rPr>
          <w:rFonts w:cs="Times New Roman"/>
          <w:b/>
        </w:rPr>
        <w:t xml:space="preserve">found in the blend 2 </w:t>
      </w:r>
      <w:r w:rsidR="00532DBD" w:rsidRPr="00192F7D">
        <w:rPr>
          <w:rFonts w:cs="Times New Roman"/>
          <w:b/>
        </w:rPr>
        <w:t>(</w:t>
      </w:r>
      <w:r w:rsidR="00532DBD" w:rsidRPr="00192F7D">
        <w:rPr>
          <w:rFonts w:cs="Times New Roman"/>
          <w:b/>
        </w:rPr>
        <w:fldChar w:fldCharType="begin"/>
      </w:r>
      <w:r w:rsidR="00532DBD" w:rsidRPr="00192F7D">
        <w:rPr>
          <w:rFonts w:cs="Times New Roman"/>
          <w:b/>
        </w:rPr>
        <w:instrText xml:space="preserve"> REF _Ref14027835 \h  \* MERGEFORMAT </w:instrText>
      </w:r>
      <w:r w:rsidR="00532DBD" w:rsidRPr="00192F7D">
        <w:rPr>
          <w:rFonts w:cs="Times New Roman"/>
          <w:b/>
        </w:rPr>
      </w:r>
      <w:r w:rsidR="00532DBD" w:rsidRPr="00192F7D">
        <w:rPr>
          <w:rFonts w:cs="Times New Roman"/>
          <w:b/>
        </w:rPr>
        <w:fldChar w:fldCharType="separate"/>
      </w:r>
      <w:r w:rsidR="00532DBD" w:rsidRPr="00192F7D">
        <w:rPr>
          <w:rFonts w:cs="Times New Roman"/>
          <w:b/>
        </w:rPr>
        <w:t xml:space="preserve">Fig. </w:t>
      </w:r>
      <w:r w:rsidR="00532DBD" w:rsidRPr="00192F7D">
        <w:rPr>
          <w:rFonts w:cs="Times New Roman"/>
          <w:b/>
          <w:noProof/>
        </w:rPr>
        <w:t>6</w:t>
      </w:r>
      <w:r w:rsidR="00532DBD" w:rsidRPr="00192F7D">
        <w:rPr>
          <w:rFonts w:cs="Times New Roman"/>
          <w:b/>
        </w:rPr>
        <w:fldChar w:fldCharType="end"/>
      </w:r>
      <w:r w:rsidR="00D7171C" w:rsidRPr="00192F7D">
        <w:rPr>
          <w:rFonts w:cs="Times New Roman"/>
          <w:b/>
        </w:rPr>
        <w:t xml:space="preserve"> </w:t>
      </w:r>
      <w:r w:rsidR="00532DBD" w:rsidRPr="00192F7D">
        <w:rPr>
          <w:rFonts w:cs="Times New Roman"/>
          <w:b/>
        </w:rPr>
        <w:t xml:space="preserve">b) in spite of </w:t>
      </w:r>
      <w:r w:rsidR="002104FA" w:rsidRPr="00192F7D">
        <w:rPr>
          <w:rFonts w:cs="Times New Roman"/>
          <w:b/>
        </w:rPr>
        <w:t>its</w:t>
      </w:r>
      <w:r w:rsidR="00532DBD" w:rsidRPr="00192F7D">
        <w:rPr>
          <w:rFonts w:cs="Times New Roman"/>
          <w:b/>
        </w:rPr>
        <w:t xml:space="preserve"> higher pH and </w:t>
      </w:r>
      <w:r w:rsidR="002104FA" w:rsidRPr="00192F7D">
        <w:rPr>
          <w:rFonts w:cs="Times New Roman"/>
          <w:b/>
        </w:rPr>
        <w:t xml:space="preserve">its </w:t>
      </w:r>
      <w:r w:rsidR="00532DBD" w:rsidRPr="00192F7D">
        <w:rPr>
          <w:rFonts w:cs="Times New Roman"/>
          <w:b/>
        </w:rPr>
        <w:t xml:space="preserve">higher ionic strength of the solution (i.e. </w:t>
      </w:r>
      <w:r w:rsidR="002104FA" w:rsidRPr="00192F7D">
        <w:rPr>
          <w:rFonts w:cs="Times New Roman"/>
          <w:b/>
        </w:rPr>
        <w:t>greater</w:t>
      </w:r>
      <w:r w:rsidR="00532DBD" w:rsidRPr="00192F7D">
        <w:rPr>
          <w:rFonts w:cs="Times New Roman"/>
          <w:b/>
        </w:rPr>
        <w:t xml:space="preserve"> salinity</w:t>
      </w:r>
      <w:r w:rsidR="00737806" w:rsidRPr="00192F7D">
        <w:rPr>
          <w:rFonts w:cs="Times New Roman"/>
          <w:b/>
        </w:rPr>
        <w:t xml:space="preserve"> due to higher content of ash</w:t>
      </w:r>
      <w:r w:rsidR="005C70F3" w:rsidRPr="00192F7D">
        <w:rPr>
          <w:rFonts w:cs="Times New Roman"/>
          <w:b/>
        </w:rPr>
        <w:t>es</w:t>
      </w:r>
      <w:r w:rsidR="00532DBD" w:rsidRPr="00192F7D">
        <w:rPr>
          <w:rFonts w:cs="Times New Roman"/>
          <w:b/>
        </w:rPr>
        <w:t>), which are factors that affect negative</w:t>
      </w:r>
      <w:r w:rsidR="006158D1">
        <w:rPr>
          <w:rFonts w:cs="Times New Roman"/>
          <w:b/>
        </w:rPr>
        <w:t>ly the adsorption process, occurred</w:t>
      </w:r>
      <w:r w:rsidR="00001FF5" w:rsidRPr="00192F7D">
        <w:rPr>
          <w:rFonts w:cs="Times New Roman"/>
          <w:b/>
        </w:rPr>
        <w:t xml:space="preserve"> because</w:t>
      </w:r>
      <w:r w:rsidR="002104FA" w:rsidRPr="00192F7D">
        <w:rPr>
          <w:rFonts w:cs="Times New Roman"/>
          <w:b/>
        </w:rPr>
        <w:t xml:space="preserve"> of</w:t>
      </w:r>
      <w:r w:rsidR="00001FF5" w:rsidRPr="00192F7D">
        <w:rPr>
          <w:rFonts w:cs="Times New Roman"/>
          <w:b/>
        </w:rPr>
        <w:t xml:space="preserve"> t</w:t>
      </w:r>
      <w:r w:rsidR="00737806" w:rsidRPr="00192F7D">
        <w:rPr>
          <w:rFonts w:cs="Times New Roman"/>
          <w:b/>
        </w:rPr>
        <w:t>he</w:t>
      </w:r>
      <w:r w:rsidR="00532DBD" w:rsidRPr="00192F7D">
        <w:rPr>
          <w:rFonts w:cs="Times New Roman"/>
          <w:b/>
        </w:rPr>
        <w:t xml:space="preserve"> twice</w:t>
      </w:r>
      <w:r w:rsidR="00737806" w:rsidRPr="00192F7D">
        <w:rPr>
          <w:rFonts w:cs="Times New Roman"/>
          <w:b/>
        </w:rPr>
        <w:t xml:space="preserve"> more</w:t>
      </w:r>
      <w:r w:rsidR="00532DBD" w:rsidRPr="00192F7D">
        <w:rPr>
          <w:rFonts w:cs="Times New Roman"/>
          <w:b/>
        </w:rPr>
        <w:t xml:space="preserve"> </w:t>
      </w:r>
      <w:r w:rsidR="002104FA" w:rsidRPr="00192F7D">
        <w:rPr>
          <w:rFonts w:cs="Times New Roman"/>
          <w:b/>
        </w:rPr>
        <w:t xml:space="preserve">content </w:t>
      </w:r>
      <w:r w:rsidR="00532DBD" w:rsidRPr="00192F7D">
        <w:rPr>
          <w:rFonts w:cs="Times New Roman"/>
          <w:b/>
        </w:rPr>
        <w:t xml:space="preserve">of </w:t>
      </w:r>
      <w:r w:rsidR="00001FF5" w:rsidRPr="00192F7D">
        <w:rPr>
          <w:rFonts w:cs="Times New Roman"/>
          <w:b/>
        </w:rPr>
        <w:t>ash</w:t>
      </w:r>
      <w:r w:rsidR="005C70F3" w:rsidRPr="00192F7D">
        <w:rPr>
          <w:rFonts w:cs="Times New Roman"/>
          <w:b/>
        </w:rPr>
        <w:t>es</w:t>
      </w:r>
      <w:r w:rsidR="002104FA" w:rsidRPr="00192F7D">
        <w:rPr>
          <w:rFonts w:cs="Times New Roman"/>
          <w:b/>
        </w:rPr>
        <w:t xml:space="preserve"> compared to blend 1</w:t>
      </w:r>
      <w:r w:rsidR="00001FF5" w:rsidRPr="00192F7D">
        <w:rPr>
          <w:rFonts w:cs="Times New Roman"/>
          <w:b/>
        </w:rPr>
        <w:t xml:space="preserve"> </w:t>
      </w:r>
      <w:r w:rsidR="00532DBD" w:rsidRPr="00192F7D">
        <w:rPr>
          <w:rFonts w:cs="Times New Roman"/>
          <w:b/>
        </w:rPr>
        <w:t>(</w:t>
      </w:r>
      <w:r w:rsidR="002104FA" w:rsidRPr="00192F7D">
        <w:rPr>
          <w:rFonts w:cs="Times New Roman"/>
          <w:b/>
        </w:rPr>
        <w:fldChar w:fldCharType="begin"/>
      </w:r>
      <w:r w:rsidR="002104FA" w:rsidRPr="00192F7D">
        <w:rPr>
          <w:rFonts w:cs="Times New Roman"/>
          <w:b/>
        </w:rPr>
        <w:instrText xml:space="preserve"> REF _Ref44759134 \h  \* MERGEFORMAT </w:instrText>
      </w:r>
      <w:r w:rsidR="002104FA" w:rsidRPr="00192F7D">
        <w:rPr>
          <w:rFonts w:cs="Times New Roman"/>
          <w:b/>
        </w:rPr>
      </w:r>
      <w:r w:rsidR="002104FA" w:rsidRPr="00192F7D">
        <w:rPr>
          <w:rFonts w:cs="Times New Roman"/>
          <w:b/>
        </w:rPr>
        <w:fldChar w:fldCharType="separate"/>
      </w:r>
      <w:r w:rsidR="002104FA" w:rsidRPr="00192F7D">
        <w:rPr>
          <w:b/>
          <w:iCs/>
        </w:rPr>
        <w:t xml:space="preserve">Table </w:t>
      </w:r>
      <w:r w:rsidR="002104FA" w:rsidRPr="00192F7D">
        <w:rPr>
          <w:b/>
          <w:iCs/>
          <w:noProof/>
        </w:rPr>
        <w:t>2</w:t>
      </w:r>
      <w:r w:rsidR="002104FA" w:rsidRPr="00192F7D">
        <w:rPr>
          <w:rFonts w:cs="Times New Roman"/>
          <w:b/>
        </w:rPr>
        <w:fldChar w:fldCharType="end"/>
      </w:r>
      <w:r w:rsidR="00532DBD" w:rsidRPr="00192F7D">
        <w:rPr>
          <w:rFonts w:cs="Times New Roman"/>
          <w:b/>
        </w:rPr>
        <w:t>).</w:t>
      </w:r>
      <w:r w:rsidR="00CC4B61" w:rsidRPr="00192F7D">
        <w:rPr>
          <w:rFonts w:cs="Times New Roman"/>
          <w:b/>
        </w:rPr>
        <w:t xml:space="preserve"> Th</w:t>
      </w:r>
      <w:r w:rsidR="00C24580" w:rsidRPr="00192F7D">
        <w:rPr>
          <w:rFonts w:cs="Times New Roman"/>
          <w:b/>
        </w:rPr>
        <w:t>is conclusion</w:t>
      </w:r>
      <w:r w:rsidR="00CC4B61" w:rsidRPr="00192F7D">
        <w:rPr>
          <w:rFonts w:cs="Times New Roman"/>
          <w:b/>
        </w:rPr>
        <w:t xml:space="preserve"> </w:t>
      </w:r>
      <w:r w:rsidR="00C24580" w:rsidRPr="00192F7D">
        <w:rPr>
          <w:rFonts w:cs="Times New Roman"/>
          <w:b/>
        </w:rPr>
        <w:t>is</w:t>
      </w:r>
      <w:r w:rsidR="00CC4B61" w:rsidRPr="00192F7D">
        <w:rPr>
          <w:rFonts w:cs="Times New Roman"/>
          <w:b/>
        </w:rPr>
        <w:t xml:space="preserve"> in agreement with the </w:t>
      </w:r>
      <w:r w:rsidR="00C24580" w:rsidRPr="00192F7D">
        <w:rPr>
          <w:rFonts w:cs="Times New Roman"/>
          <w:b/>
        </w:rPr>
        <w:t>results</w:t>
      </w:r>
      <w:r w:rsidR="00CC4B61" w:rsidRPr="00192F7D">
        <w:rPr>
          <w:rFonts w:cs="Times New Roman"/>
          <w:b/>
        </w:rPr>
        <w:t xml:space="preserve"> of Pesonen et al. </w:t>
      </w:r>
      <w:r w:rsidR="00CC4B61" w:rsidRPr="00192F7D">
        <w:rPr>
          <w:rFonts w:cs="Times New Roman"/>
          <w:b/>
        </w:rPr>
        <w:fldChar w:fldCharType="begin" w:fldLock="1"/>
      </w:r>
      <w:r w:rsidR="00BB33F9">
        <w:rPr>
          <w:rFonts w:cs="Times New Roman"/>
          <w:b/>
        </w:rPr>
        <w:instrText>ADDIN CSL_CITATION {"citationItems":[{"id":"ITEM-1","itemData":{"DOI":"10.1016/j.jece.2015.12.035","ISSN":"22133437","abstract":"Both the current growth strategy and environmental policies of the European Union (EU) aim to increase the amount of renewable energy and to improve the use of waste streams. This will increase the amount of bio-ash from biomass combustion in the future, thereby increasing the need for its utilization, with fertilizer use the most natural target for bio-ash. Wood ash, in particular, contains all the nutrients that plants need, in almost the correct proportions, excluding nitrogen, which is released into the atmosphere during combustion. Nitrogen could be added to ash fertilizers by co-granulating bio-ash, for example, with sewage sludge. However, co-granulation has not been studied extensively. This study investigated co-granulation of bio-ash with sewage sludge and lime. It measured compressive strengths, neutralizing values, and elemental concentrations of the granules. The concentrations of heavy metals (As, Cd, Cr, Cu, Pb, Ni, and Zn) in the granules were sufficiently low not to prevent their use in forest fertilizer use according to Finnish legislation. Overall, the concentrations of nutrients (Ca, K, and P) were reasonably high. The addition of lime improved the neutralizing capacity of the studied granules, and the addition of sewage sludge increased their nitrogen content. The addition of sewage sludge considerably lowered the compressive strength of the granules, and the addition of lime (slaked lime) did not improve the strength of the granules. From a technical point of view, the co-granulation was very successful.","author":[{"dropping-particle":"","family":"Pesonen","given":"Janne","non-dropping-particle":"","parse-names":false,"suffix":""},{"dropping-particle":"","family":"Kuokkanen","given":"Ville","non-dropping-particle":"","parse-names":false,"suffix":""},{"dropping-particle":"","family":"Kuokkanen","given":"Toivo","non-dropping-particle":"","parse-names":false,"suffix":""},{"dropping-particle":"","family":"Illikainen","given":"Mirja","non-dropping-particle":"","parse-names":false,"suffix":""}],"container-title":"Journal of Environmental Chemical Engineering","id":"ITEM-1","issue":"4","issued":{"date-parts":[["2016"]]},"page":"4817-4821","publisher":"Elsevier B.V.","title":"Co-granulation of bio-ash with sewage sludge and lime for fertilizer use","type":"article-journal","volume":"4"},"uris":["http://www.mendeley.com/documents/?uuid=77ff501e-6c38-446c-8ee1-3550a33c664c"]}],"mendeley":{"formattedCitation":"[28]","plainTextFormattedCitation":"[28]","previouslyFormattedCitation":"[28]"},"properties":{"noteIndex":0},"schema":"https://github.com/citation-style-language/schema/raw/master/csl-citation.json"}</w:instrText>
      </w:r>
      <w:r w:rsidR="00CC4B61" w:rsidRPr="00192F7D">
        <w:rPr>
          <w:rFonts w:cs="Times New Roman"/>
          <w:b/>
        </w:rPr>
        <w:fldChar w:fldCharType="separate"/>
      </w:r>
      <w:r w:rsidR="00D33723" w:rsidRPr="00D33723">
        <w:rPr>
          <w:rFonts w:cs="Times New Roman"/>
          <w:noProof/>
        </w:rPr>
        <w:t>[28]</w:t>
      </w:r>
      <w:r w:rsidR="00CC4B61" w:rsidRPr="00192F7D">
        <w:rPr>
          <w:rFonts w:cs="Times New Roman"/>
          <w:b/>
        </w:rPr>
        <w:fldChar w:fldCharType="end"/>
      </w:r>
      <w:r w:rsidR="00CC4B61" w:rsidRPr="00192F7D">
        <w:rPr>
          <w:rFonts w:cs="Times New Roman"/>
          <w:b/>
        </w:rPr>
        <w:t>, who obtained the gr</w:t>
      </w:r>
      <w:r w:rsidR="00EA77E9" w:rsidRPr="00192F7D">
        <w:rPr>
          <w:rFonts w:cs="Times New Roman"/>
          <w:b/>
        </w:rPr>
        <w:t>eate</w:t>
      </w:r>
      <w:r w:rsidR="00CC4B61" w:rsidRPr="00192F7D">
        <w:rPr>
          <w:rFonts w:cs="Times New Roman"/>
          <w:b/>
        </w:rPr>
        <w:t>s</w:t>
      </w:r>
      <w:r w:rsidR="00EA77E9" w:rsidRPr="00192F7D">
        <w:rPr>
          <w:rFonts w:cs="Times New Roman"/>
          <w:b/>
        </w:rPr>
        <w:t>t</w:t>
      </w:r>
      <w:r w:rsidR="00CC4B61" w:rsidRPr="00192F7D">
        <w:rPr>
          <w:rFonts w:cs="Times New Roman"/>
          <w:b/>
        </w:rPr>
        <w:t xml:space="preserve"> WS TP when the lowest amount of ash</w:t>
      </w:r>
      <w:r w:rsidR="00EA77E9" w:rsidRPr="00192F7D">
        <w:rPr>
          <w:rFonts w:cs="Times New Roman"/>
          <w:b/>
        </w:rPr>
        <w:t xml:space="preserve"> (40%) was used to prepare the blend with dewatered sewage sludge (30%) and </w:t>
      </w:r>
      <w:r w:rsidR="00A746F7">
        <w:rPr>
          <w:rFonts w:cs="Times New Roman"/>
          <w:b/>
        </w:rPr>
        <w:t>Ca(OH)</w:t>
      </w:r>
      <w:r w:rsidR="00A746F7" w:rsidRPr="00A746F7">
        <w:rPr>
          <w:rFonts w:cs="Times New Roman"/>
          <w:b/>
          <w:vertAlign w:val="subscript"/>
        </w:rPr>
        <w:t>2</w:t>
      </w:r>
      <w:r w:rsidR="00EA77E9" w:rsidRPr="00192F7D">
        <w:rPr>
          <w:rFonts w:cs="Times New Roman"/>
          <w:b/>
        </w:rPr>
        <w:t xml:space="preserve"> (30%)</w:t>
      </w:r>
      <w:r w:rsidR="00CC4B61" w:rsidRPr="00192F7D">
        <w:rPr>
          <w:rFonts w:cs="Times New Roman"/>
          <w:b/>
        </w:rPr>
        <w:t>.</w:t>
      </w:r>
      <w:r w:rsidR="00C24580" w:rsidRPr="00192F7D">
        <w:rPr>
          <w:rFonts w:cs="Times New Roman"/>
          <w:b/>
        </w:rPr>
        <w:t xml:space="preserve"> In </w:t>
      </w:r>
      <w:r w:rsidR="00D5586D">
        <w:rPr>
          <w:rFonts w:cs="Times New Roman"/>
          <w:b/>
        </w:rPr>
        <w:t>the present</w:t>
      </w:r>
      <w:r w:rsidR="00C24580" w:rsidRPr="00192F7D">
        <w:rPr>
          <w:rFonts w:cs="Times New Roman"/>
          <w:b/>
        </w:rPr>
        <w:t xml:space="preserve"> study,</w:t>
      </w:r>
      <w:r w:rsidR="002104FA" w:rsidRPr="00192F7D">
        <w:rPr>
          <w:rFonts w:cs="Times New Roman"/>
          <w:b/>
        </w:rPr>
        <w:t xml:space="preserve"> t</w:t>
      </w:r>
      <w:r w:rsidR="00A41C99" w:rsidRPr="00192F7D">
        <w:rPr>
          <w:rFonts w:cs="Times New Roman"/>
          <w:b/>
        </w:rPr>
        <w:t>he amounts of WS PO</w:t>
      </w:r>
      <w:r w:rsidR="00A41C99" w:rsidRPr="00192F7D">
        <w:rPr>
          <w:rFonts w:cs="Times New Roman"/>
          <w:b/>
          <w:vertAlign w:val="subscript"/>
        </w:rPr>
        <w:t>4</w:t>
      </w:r>
      <w:r w:rsidR="00A41C99" w:rsidRPr="00192F7D">
        <w:rPr>
          <w:rFonts w:cs="Times New Roman"/>
          <w:b/>
          <w:vertAlign w:val="superscript"/>
        </w:rPr>
        <w:t>3-</w:t>
      </w:r>
      <w:r w:rsidR="00A41C99" w:rsidRPr="00192F7D">
        <w:rPr>
          <w:rFonts w:cs="Times New Roman"/>
          <w:b/>
        </w:rPr>
        <w:t xml:space="preserve"> sorbed were 20 and 10 mmol/g Ca in blend 1 and blend 2, respectively</w:t>
      </w:r>
      <w:r w:rsidR="00A41C99" w:rsidRPr="0005240E">
        <w:rPr>
          <w:rFonts w:cs="Times New Roman"/>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ED6E1C" w14:paraId="5DF01092" w14:textId="77777777" w:rsidTr="00CF3331">
        <w:trPr>
          <w:trHeight w:val="2268"/>
        </w:trPr>
        <w:tc>
          <w:tcPr>
            <w:tcW w:w="4508" w:type="dxa"/>
          </w:tcPr>
          <w:p w14:paraId="177C6E77" w14:textId="6CD2EC97" w:rsidR="00ED6E1C" w:rsidRDefault="009C3885" w:rsidP="00C807A3">
            <w:pPr>
              <w:spacing w:line="360" w:lineRule="auto"/>
              <w:rPr>
                <w:rFonts w:cs="Times New Roman"/>
              </w:rPr>
            </w:pPr>
            <w:r w:rsidRPr="00EF75A4">
              <w:rPr>
                <w:rFonts w:cs="Times New Roman"/>
                <w:noProof/>
                <w:lang w:eastAsia="en-GB"/>
              </w:rPr>
              <w:drawing>
                <wp:inline distT="0" distB="0" distL="0" distR="0" wp14:anchorId="194A8263" wp14:editId="394A3685">
                  <wp:extent cx="2579427" cy="1719580"/>
                  <wp:effectExtent l="0" t="0" r="0" b="1397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c>
          <w:tcPr>
            <w:tcW w:w="4508" w:type="dxa"/>
          </w:tcPr>
          <w:p w14:paraId="1BA682AE" w14:textId="36C1007D" w:rsidR="00ED6E1C" w:rsidRDefault="009C3885" w:rsidP="00C807A3">
            <w:pPr>
              <w:spacing w:line="360" w:lineRule="auto"/>
              <w:rPr>
                <w:rFonts w:cs="Times New Roman"/>
              </w:rPr>
            </w:pPr>
            <w:r w:rsidRPr="00EF75A4">
              <w:rPr>
                <w:rFonts w:cs="Times New Roman"/>
                <w:noProof/>
                <w:lang w:eastAsia="en-GB"/>
              </w:rPr>
              <w:drawing>
                <wp:inline distT="0" distB="0" distL="0" distR="0" wp14:anchorId="253C8F2F" wp14:editId="035BB22A">
                  <wp:extent cx="2674620" cy="1719580"/>
                  <wp:effectExtent l="0" t="0" r="0" b="139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r>
    </w:tbl>
    <w:p w14:paraId="4E9E73FC" w14:textId="3E14C8D3" w:rsidR="00D60488" w:rsidRDefault="000542D2" w:rsidP="00D60488">
      <w:pPr>
        <w:pStyle w:val="Caption"/>
        <w:spacing w:line="360" w:lineRule="auto"/>
        <w:rPr>
          <w:rFonts w:cs="Times New Roman"/>
          <w:i w:val="0"/>
        </w:rPr>
      </w:pPr>
      <w:bookmarkStart w:id="15" w:name="_Ref14027835"/>
      <w:bookmarkStart w:id="16" w:name="_Ref46053620"/>
      <w:r w:rsidRPr="0060371A">
        <w:rPr>
          <w:rFonts w:cs="Times New Roman"/>
          <w:b/>
          <w:i w:val="0"/>
        </w:rPr>
        <w:t>Fig.</w:t>
      </w:r>
      <w:r w:rsidR="002B3B08" w:rsidRPr="0060371A">
        <w:rPr>
          <w:rFonts w:cs="Times New Roman"/>
          <w:b/>
          <w:i w:val="0"/>
        </w:rPr>
        <w:t xml:space="preserve"> </w:t>
      </w:r>
      <w:r w:rsidR="002B3B08" w:rsidRPr="0060371A">
        <w:rPr>
          <w:rFonts w:cs="Times New Roman"/>
          <w:b/>
          <w:i w:val="0"/>
          <w:noProof/>
        </w:rPr>
        <w:fldChar w:fldCharType="begin"/>
      </w:r>
      <w:r w:rsidR="002B3B08" w:rsidRPr="0060371A">
        <w:rPr>
          <w:rFonts w:cs="Times New Roman"/>
          <w:b/>
          <w:i w:val="0"/>
          <w:noProof/>
        </w:rPr>
        <w:instrText xml:space="preserve"> SEQ Figure \* ARABIC </w:instrText>
      </w:r>
      <w:r w:rsidR="002B3B08" w:rsidRPr="0060371A">
        <w:rPr>
          <w:rFonts w:cs="Times New Roman"/>
          <w:b/>
          <w:i w:val="0"/>
          <w:noProof/>
        </w:rPr>
        <w:fldChar w:fldCharType="separate"/>
      </w:r>
      <w:r w:rsidR="00E4647D">
        <w:rPr>
          <w:rFonts w:cs="Times New Roman"/>
          <w:b/>
          <w:i w:val="0"/>
          <w:noProof/>
        </w:rPr>
        <w:t>6</w:t>
      </w:r>
      <w:r w:rsidR="002B3B08" w:rsidRPr="0060371A">
        <w:rPr>
          <w:rFonts w:cs="Times New Roman"/>
          <w:b/>
          <w:i w:val="0"/>
          <w:noProof/>
        </w:rPr>
        <w:fldChar w:fldCharType="end"/>
      </w:r>
      <w:bookmarkEnd w:id="15"/>
      <w:bookmarkEnd w:id="16"/>
      <w:r w:rsidR="00175476">
        <w:rPr>
          <w:rFonts w:cs="Times New Roman"/>
          <w:i w:val="0"/>
        </w:rPr>
        <w:t xml:space="preserve"> </w:t>
      </w:r>
      <w:r w:rsidR="00D60488">
        <w:rPr>
          <w:rFonts w:cs="Times New Roman"/>
          <w:i w:val="0"/>
        </w:rPr>
        <w:t>Calculated r</w:t>
      </w:r>
      <w:r w:rsidR="002B3B08" w:rsidRPr="00B574B8">
        <w:rPr>
          <w:rFonts w:cs="Times New Roman"/>
          <w:i w:val="0"/>
        </w:rPr>
        <w:t>ate of NH</w:t>
      </w:r>
      <w:r w:rsidR="002B3B08" w:rsidRPr="00B574B8">
        <w:rPr>
          <w:rFonts w:cs="Times New Roman"/>
          <w:i w:val="0"/>
          <w:vertAlign w:val="subscript"/>
        </w:rPr>
        <w:t>3</w:t>
      </w:r>
      <w:r w:rsidR="00D60488">
        <w:rPr>
          <w:rFonts w:cs="Times New Roman"/>
          <w:i w:val="0"/>
        </w:rPr>
        <w:t>-N loss in each blend (a).</w:t>
      </w:r>
      <w:r w:rsidR="0060371A">
        <w:rPr>
          <w:rFonts w:cs="Times New Roman"/>
          <w:i w:val="0"/>
        </w:rPr>
        <w:t xml:space="preserve"> Concentration of WS PO</w:t>
      </w:r>
      <w:r w:rsidR="0060371A" w:rsidRPr="0060371A">
        <w:rPr>
          <w:rFonts w:cs="Times New Roman"/>
          <w:i w:val="0"/>
          <w:vertAlign w:val="subscript"/>
        </w:rPr>
        <w:t>4</w:t>
      </w:r>
      <w:r w:rsidR="0060371A" w:rsidRPr="0060371A">
        <w:rPr>
          <w:rFonts w:cs="Times New Roman"/>
          <w:i w:val="0"/>
          <w:vertAlign w:val="superscript"/>
        </w:rPr>
        <w:t>3-</w:t>
      </w:r>
      <w:r w:rsidR="00AD4AE9">
        <w:rPr>
          <w:rFonts w:cs="Times New Roman"/>
          <w:i w:val="0"/>
        </w:rPr>
        <w:t xml:space="preserve"> (b) in 3 g</w:t>
      </w:r>
      <w:r w:rsidR="0060371A">
        <w:rPr>
          <w:rFonts w:cs="Times New Roman"/>
          <w:i w:val="0"/>
        </w:rPr>
        <w:t xml:space="preserve"> of each of the blends (</w:t>
      </w:r>
      <w:r w:rsidR="00B42460" w:rsidRPr="006158D1">
        <w:rPr>
          <w:rFonts w:cs="Times New Roman"/>
          <w:b/>
          <w:i w:val="0"/>
        </w:rPr>
        <w:fldChar w:fldCharType="begin"/>
      </w:r>
      <w:r w:rsidR="00B42460" w:rsidRPr="006158D1">
        <w:rPr>
          <w:rFonts w:cs="Times New Roman"/>
          <w:b/>
          <w:i w:val="0"/>
        </w:rPr>
        <w:instrText xml:space="preserve"> REF _Ref44759134 \h  \* MERGEFORMAT </w:instrText>
      </w:r>
      <w:r w:rsidR="00B42460" w:rsidRPr="006158D1">
        <w:rPr>
          <w:rFonts w:cs="Times New Roman"/>
          <w:b/>
          <w:i w:val="0"/>
        </w:rPr>
      </w:r>
      <w:r w:rsidR="00B42460" w:rsidRPr="006158D1">
        <w:rPr>
          <w:rFonts w:cs="Times New Roman"/>
          <w:b/>
          <w:i w:val="0"/>
        </w:rPr>
        <w:fldChar w:fldCharType="separate"/>
      </w:r>
      <w:r w:rsidR="00B42460" w:rsidRPr="006158D1">
        <w:rPr>
          <w:b/>
          <w:i w:val="0"/>
        </w:rPr>
        <w:t xml:space="preserve">Table </w:t>
      </w:r>
      <w:r w:rsidR="00B42460" w:rsidRPr="006158D1">
        <w:rPr>
          <w:b/>
          <w:i w:val="0"/>
          <w:noProof/>
        </w:rPr>
        <w:t>2</w:t>
      </w:r>
      <w:r w:rsidR="00B42460" w:rsidRPr="006158D1">
        <w:rPr>
          <w:rFonts w:cs="Times New Roman"/>
          <w:b/>
          <w:i w:val="0"/>
        </w:rPr>
        <w:fldChar w:fldCharType="end"/>
      </w:r>
      <w:r w:rsidR="0060371A" w:rsidRPr="00AA18BC">
        <w:rPr>
          <w:rFonts w:cs="Times New Roman"/>
          <w:i w:val="0"/>
        </w:rPr>
        <w:fldChar w:fldCharType="begin"/>
      </w:r>
      <w:r w:rsidR="0060371A" w:rsidRPr="00AA18BC">
        <w:rPr>
          <w:rFonts w:cs="Times New Roman"/>
          <w:i w:val="0"/>
        </w:rPr>
        <w:instrText xml:space="preserve"> REF _Ref13331821 \h  \* MERGEFORMAT </w:instrText>
      </w:r>
      <w:r w:rsidR="0060371A" w:rsidRPr="00AA18BC">
        <w:rPr>
          <w:rFonts w:cs="Times New Roman"/>
          <w:i w:val="0"/>
        </w:rPr>
      </w:r>
      <w:r w:rsidR="0060371A" w:rsidRPr="00AA18BC">
        <w:rPr>
          <w:rFonts w:cs="Times New Roman"/>
          <w:i w:val="0"/>
        </w:rPr>
        <w:fldChar w:fldCharType="end"/>
      </w:r>
      <w:r w:rsidR="0060371A">
        <w:rPr>
          <w:rFonts w:cs="Times New Roman"/>
          <w:i w:val="0"/>
        </w:rPr>
        <w:t>) measured after</w:t>
      </w:r>
      <w:r w:rsidR="0060371A" w:rsidRPr="00247AE3">
        <w:rPr>
          <w:rFonts w:cs="Times New Roman"/>
          <w:i w:val="0"/>
        </w:rPr>
        <w:t xml:space="preserve"> the incubation at</w:t>
      </w:r>
      <w:r w:rsidR="0060371A">
        <w:rPr>
          <w:rFonts w:cs="Times New Roman"/>
          <w:i w:val="0"/>
        </w:rPr>
        <w:t xml:space="preserve"> 100 rpm and</w:t>
      </w:r>
      <w:r w:rsidR="0060371A" w:rsidRPr="00247AE3">
        <w:rPr>
          <w:rFonts w:cs="Times New Roman"/>
          <w:i w:val="0"/>
        </w:rPr>
        <w:t xml:space="preserve"> 22 ºC</w:t>
      </w:r>
    </w:p>
    <w:p w14:paraId="71405094" w14:textId="64D2DE18" w:rsidR="00FF67D6" w:rsidRPr="00EF75A4" w:rsidRDefault="00F37CE8" w:rsidP="00C807A3">
      <w:pPr>
        <w:spacing w:line="360" w:lineRule="auto"/>
        <w:rPr>
          <w:rFonts w:cs="Times New Roman"/>
        </w:rPr>
      </w:pPr>
      <w:r w:rsidRPr="006158D1">
        <w:rPr>
          <w:rFonts w:cs="Times New Roman"/>
          <w:b/>
        </w:rPr>
        <w:t xml:space="preserve">Mor et al </w:t>
      </w:r>
      <w:r w:rsidRPr="006158D1">
        <w:rPr>
          <w:rStyle w:val="FootnoteReference"/>
          <w:rFonts w:cs="Times New Roman"/>
          <w:b/>
        </w:rPr>
        <w:fldChar w:fldCharType="begin" w:fldLock="1"/>
      </w:r>
      <w:r w:rsidR="00BB33F9">
        <w:rPr>
          <w:rFonts w:cs="Times New Roman"/>
          <w:b/>
        </w:rPr>
        <w:instrText>ADDIN CSL_CITATION {"citationItems":[{"id":"ITEM-1","itemData":{"DOI":"10.1016/j.jclepro.2016.03.088","ISSN":"09596526","abstract":"Discharge of phosphate into aquatic environment by various human activities such as agricultural runoff, animal waste, sewage, industry and detergents, leads to the deterioration of water quality. Hence, the effective removal of phosphate from wastewater is essentially required. Considering this, the efficiency of locally available agro-waste rice husk was examined in batch mode for the removal of phosphate using synthetic wastewater. Characterization of adsorbent was done using Fourier transform infrared, X-ray fluorescence and X-ray diffraction spectrophotometeric analysis, which indicates the crystalline silica nature and presence of Si-O-Si group. The effect of various parameters i.e. contact time, adsorbent dose, pH and temperature were studied. Up to 89% phosphate removal was achieved at pH 6 using 2 g/L dose in 120 min of contact time. The equilibrium adsorption data shows best fit for the Langmuir isotherm model (R2 = 0.991) and pseudo-second order kinetic model (R2 = 0.978). Thermodynamic parameters (ΔG, ΔH and ΔS) were also calculated and they indicate that adsorption process is exothermic. Scanning electron microscopy reveals the rough surface of absorbent, which may increases the adsorption capacity. Based on the current study, activated rice husk ash offers efficient and cost-effective removal of phosphate from wastewater.","author":[{"dropping-particle":"","family":"Mor","given":"Suman","non-dropping-particle":"","parse-names":false,"suffix":""},{"dropping-particle":"","family":"Chhoden","given":"Kalzang","non-dropping-particle":"","parse-names":false,"suffix":""},{"dropping-particle":"","family":"Ravindra","given":"Khaiwal","non-dropping-particle":"","parse-names":false,"suffix":""}],"container-title":"Journal of Cleaner Production","id":"ITEM-1","issued":{"date-parts":[["2016"]]},"page":"673-680","publisher":"Elsevier Ltd","title":"Application of agro-waste rice husk ash for the removal of phosphate from the wastewater","type":"article-journal","volume":"129"},"uris":["http://www.mendeley.com/documents/?uuid=a5b4bfb8-6084-40a2-b71d-42641df3eb5f"]}],"mendeley":{"formattedCitation":"[21]","plainTextFormattedCitation":"[21]","previouslyFormattedCitation":"[21]"},"properties":{"noteIndex":0},"schema":"https://github.com/citation-style-language/schema/raw/master/csl-citation.json"}</w:instrText>
      </w:r>
      <w:r w:rsidRPr="006158D1">
        <w:rPr>
          <w:rStyle w:val="FootnoteReference"/>
          <w:rFonts w:cs="Times New Roman"/>
          <w:b/>
        </w:rPr>
        <w:fldChar w:fldCharType="separate"/>
      </w:r>
      <w:r w:rsidR="00D33723" w:rsidRPr="00D33723">
        <w:rPr>
          <w:rFonts w:cs="Times New Roman"/>
          <w:noProof/>
        </w:rPr>
        <w:t>[21]</w:t>
      </w:r>
      <w:r w:rsidRPr="006158D1">
        <w:rPr>
          <w:rStyle w:val="FootnoteReference"/>
          <w:rFonts w:cs="Times New Roman"/>
          <w:b/>
        </w:rPr>
        <w:fldChar w:fldCharType="end"/>
      </w:r>
      <w:r w:rsidRPr="006158D1">
        <w:rPr>
          <w:rFonts w:cs="Times New Roman"/>
          <w:b/>
        </w:rPr>
        <w:t xml:space="preserve"> had the greatest adsorption of WS PO</w:t>
      </w:r>
      <w:r w:rsidRPr="006158D1">
        <w:rPr>
          <w:rFonts w:cs="Times New Roman"/>
          <w:b/>
          <w:vertAlign w:val="subscript"/>
        </w:rPr>
        <w:t>4</w:t>
      </w:r>
      <w:r w:rsidRPr="006158D1">
        <w:rPr>
          <w:rFonts w:cs="Times New Roman"/>
          <w:b/>
          <w:vertAlign w:val="superscript"/>
        </w:rPr>
        <w:t>3-</w:t>
      </w:r>
      <w:r w:rsidRPr="006158D1">
        <w:rPr>
          <w:rFonts w:cs="Times New Roman"/>
          <w:b/>
        </w:rPr>
        <w:t xml:space="preserve"> at pH 2. </w:t>
      </w:r>
      <w:r w:rsidR="0082337F" w:rsidRPr="006158D1">
        <w:rPr>
          <w:rFonts w:cs="Times New Roman"/>
          <w:b/>
        </w:rPr>
        <w:t xml:space="preserve">On the other hand, </w:t>
      </w:r>
      <w:r w:rsidR="00527420" w:rsidRPr="006158D1">
        <w:rPr>
          <w:rFonts w:cs="Times New Roman"/>
          <w:b/>
        </w:rPr>
        <w:t xml:space="preserve">Ma et al. </w:t>
      </w:r>
      <w:r w:rsidR="00527420" w:rsidRPr="006158D1">
        <w:rPr>
          <w:rFonts w:cs="Times New Roman"/>
          <w:b/>
        </w:rPr>
        <w:fldChar w:fldCharType="begin" w:fldLock="1"/>
      </w:r>
      <w:r w:rsidR="00BB33F9">
        <w:rPr>
          <w:rFonts w:cs="Times New Roman"/>
          <w:b/>
        </w:rPr>
        <w:instrText>ADDIN CSL_CITATION {"citationItems":[{"id":"ITEM-1","itemData":{"DOI":"10.1016/j.cej.2011.05.027","ISSN":"13858947","abstract":"This paper presents a study of the adsorption of ammonium and phosphate ions from aqueous solution using a new fertilizer controlled release agent (FCRA) which is produced through graft copolymerization with wheat straw, acrylic acid (AA), acrylic amide (AM) and dimethyl diallyl ammonium chloride (DMDAAC). A series of batch experiments were conducted to examine the effects of solution pH, adsorbent dosage, the initial concentration of adsorbate and contact time. The findings indicated that the new fertilizer controlled release agent had a significant effect on the adsorption of ammonium and phosphate ions. The adsorption could reach equilibrium through 4h reaction, and had the best adsorption amount at the pH values from 4 to 8. The adsorption amount increased with the increasing initial concentration of adsorbate. The adsorption amount of NH 4+ decreased with the increasing of adsorbent dosage while the adsorption of PO 43- showed the opposite trend. Kinetic analysis showed that the adsorption of ammonium and phosphate ions on the new fertilizer controlled release agent followed the pseudo-second-order model well. Equilibrium isotherm data of adsorption of NH 4+ were well fitted to the linear Langmuir and Freundlich models, while the data of adsorption of PO 43- were well fitted to the Freundlich model. The desorption experiments also showed that the desorption of NH 4+ and PO 43- on FCRA could reach saturation at the time of 5h and 4h, respectively. And the pH had a large effect on desorption. © 2011 Elsevier B.V.","author":[{"dropping-particle":"","family":"Ma","given":"Zuohao","non-dropping-particle":"","parse-names":false,"suffix":""},{"dropping-particle":"","family":"Li","given":"Qian","non-dropping-particle":"","parse-names":false,"suffix":""},{"dropping-particle":"","family":"Yue","given":"Qinyan","non-dropping-particle":"","parse-names":false,"suffix":""},{"dropping-particle":"","family":"Gao","given":"Baoyu","non-dropping-particle":"","parse-names":false,"suffix":""},{"dropping-particle":"","family":"Li","given":"Wenhong","non-dropping-particle":"","parse-names":false,"suffix":""},{"dropping-particle":"","family":"Xu","given":"Xing","non-dropping-particle":"","parse-names":false,"suffix":""},{"dropping-particle":"","family":"Zhong","given":"Qianqian","non-dropping-particle":"","parse-names":false,"suffix":""}],"container-title":"Chemical Engineering Journal","id":"ITEM-1","issue":"3","issued":{"date-parts":[["2011"]]},"page":"1209-1217","publisher":"Elsevier B.V.","title":"Adsorption removal of ammonium and phosphate from water by fertilizer controlled release agent prepared from wheat straw","type":"article-journal","volume":"171"},"uris":["http://www.mendeley.com/documents/?uuid=5303d728-0271-4aac-a428-9fb0cc7bf493"]}],"mendeley":{"formattedCitation":"[22]","plainTextFormattedCitation":"[22]","previouslyFormattedCitation":"[22]"},"properties":{"noteIndex":0},"schema":"https://github.com/citation-style-language/schema/raw/master/csl-citation.json"}</w:instrText>
      </w:r>
      <w:r w:rsidR="00527420" w:rsidRPr="006158D1">
        <w:rPr>
          <w:rFonts w:cs="Times New Roman"/>
          <w:b/>
        </w:rPr>
        <w:fldChar w:fldCharType="separate"/>
      </w:r>
      <w:r w:rsidR="00D33723" w:rsidRPr="00D33723">
        <w:rPr>
          <w:rFonts w:cs="Times New Roman"/>
          <w:noProof/>
        </w:rPr>
        <w:t>[22]</w:t>
      </w:r>
      <w:r w:rsidR="00527420" w:rsidRPr="006158D1">
        <w:rPr>
          <w:rFonts w:cs="Times New Roman"/>
          <w:b/>
        </w:rPr>
        <w:fldChar w:fldCharType="end"/>
      </w:r>
      <w:r w:rsidR="00527420" w:rsidRPr="006158D1">
        <w:rPr>
          <w:rFonts w:cs="Times New Roman"/>
          <w:b/>
        </w:rPr>
        <w:t xml:space="preserve"> found that the pH required for the adsorption in a 25 mg PO</w:t>
      </w:r>
      <w:r w:rsidR="00527420" w:rsidRPr="006158D1">
        <w:rPr>
          <w:rFonts w:cs="Times New Roman"/>
          <w:b/>
          <w:vertAlign w:val="subscript"/>
        </w:rPr>
        <w:t>4</w:t>
      </w:r>
      <w:r w:rsidR="00527420" w:rsidRPr="006158D1">
        <w:rPr>
          <w:rFonts w:cs="Times New Roman"/>
          <w:b/>
          <w:vertAlign w:val="superscript"/>
        </w:rPr>
        <w:t>3-</w:t>
      </w:r>
      <w:r w:rsidR="00527420" w:rsidRPr="006158D1">
        <w:rPr>
          <w:rFonts w:cs="Times New Roman"/>
          <w:b/>
        </w:rPr>
        <w:t xml:space="preserve">/L solution was between 4 and 11. </w:t>
      </w:r>
      <w:r w:rsidR="00480A6E" w:rsidRPr="006158D1">
        <w:rPr>
          <w:rFonts w:cs="Times New Roman"/>
          <w:b/>
        </w:rPr>
        <w:t xml:space="preserve">In the study of Huang et al. </w:t>
      </w:r>
      <w:r w:rsidR="00480A6E" w:rsidRPr="006158D1">
        <w:rPr>
          <w:rFonts w:cs="Times New Roman"/>
          <w:b/>
        </w:rPr>
        <w:fldChar w:fldCharType="begin" w:fldLock="1"/>
      </w:r>
      <w:r w:rsidR="00BB33F9">
        <w:rPr>
          <w:rFonts w:cs="Times New Roman"/>
          <w:b/>
        </w:rPr>
        <w:instrText>ADDIN CSL_CITATION {"citationItems":[{"id":"ITEM-1","itemData":{"DOI":"10.1016/j.jclepro.2017.09.042","ISSN":"09596526","abstract":"Phosphate is an important non-renewable resource. Over the recent years, due to the rapid explosion in world population the demand for phosphate fertilizer for use in grain production is burgeoning, resulting in the phosphate resources becoming increasingly scarce. Therefore, phosphate recovery from wastes has been drawing much attention. In this study, an attempt was made to recover phosphate from swine wastewater through struvite crystallization using plant ash as the alkali reagent. An increase in the solution pH and potassium concentration induced a drop in the struvite purity and a corresponding rise in the K-struvite purity. The maximum K-struvite purity was obtained at pH 10. The competitiveness of the K-struvite formation induced a significant relationship with the potassium concentration. When the K is to TAN molar ratio was 6, the competition ratio between the K-struvite and struvite reached 93.7%. The experimental results with actual wastewater revealed the feasibility of utilizing plant ash as the alkali reagent in struvite crystallization. Under optimal conditions, ˃96% of phosphate could be recovered from swine wastewater. An economic analysis revealed that the recovery cost of the proposed process was 1.27 $/kg PO4-P, which includes the costs incurred for chemicals, energy, manpower and maintenance. In fact, 0.31 $/kg PO4-P can be saved with the proposed process compared to the one using NaOH.","author":[{"dropping-particle":"","family":"Huang","given":"Haiming","non-dropping-particle":"","parse-names":false,"suffix":""},{"dropping-particle":"","family":"Zhang","given":"Ding Ding","non-dropping-particle":"","parse-names":false,"suffix":""},{"dropping-particle":"","family":"Li","given":"Jing","non-dropping-particle":"","parse-names":false,"suffix":""},{"dropping-particle":"","family":"Guo","given":"Guojun","non-dropping-particle":"","parse-names":false,"suffix":""},{"dropping-particle":"","family":"Tang","given":"Shoufeng","non-dropping-particle":"","parse-names":false,"suffix":""}],"container-title":"Journal of Cleaner Production","id":"ITEM-1","issued":{"date-parts":[["2017"]]},"page":"338-345","publisher":"Elsevier Ltd","title":"Phosphate recovery from swine wastewater using plant ash in chemical crystallization","type":"article-journal","volume":"168"},"uris":["http://www.mendeley.com/documents/?uuid=65c33f0f-2c94-476e-aa30-638e6d6fcf0b"]}],"mendeley":{"formattedCitation":"[55]","plainTextFormattedCitation":"[55]","previouslyFormattedCitation":"[55]"},"properties":{"noteIndex":0},"schema":"https://github.com/citation-style-language/schema/raw/master/csl-citation.json"}</w:instrText>
      </w:r>
      <w:r w:rsidR="00480A6E" w:rsidRPr="006158D1">
        <w:rPr>
          <w:rFonts w:cs="Times New Roman"/>
          <w:b/>
        </w:rPr>
        <w:fldChar w:fldCharType="separate"/>
      </w:r>
      <w:r w:rsidR="00D33723" w:rsidRPr="00D33723">
        <w:rPr>
          <w:rFonts w:cs="Times New Roman"/>
          <w:noProof/>
        </w:rPr>
        <w:t>[55]</w:t>
      </w:r>
      <w:r w:rsidR="00480A6E" w:rsidRPr="006158D1">
        <w:rPr>
          <w:rFonts w:cs="Times New Roman"/>
          <w:b/>
        </w:rPr>
        <w:fldChar w:fldCharType="end"/>
      </w:r>
      <w:r w:rsidR="00480A6E" w:rsidRPr="006158D1">
        <w:rPr>
          <w:rFonts w:cs="Times New Roman"/>
          <w:b/>
        </w:rPr>
        <w:t>, the pH of the 500 mL swine wastewater raised from 7.1 to &gt;</w:t>
      </w:r>
      <w:r w:rsidR="00E84659" w:rsidRPr="006158D1">
        <w:rPr>
          <w:rFonts w:cs="Times New Roman"/>
          <w:b/>
        </w:rPr>
        <w:t xml:space="preserve"> </w:t>
      </w:r>
      <w:r w:rsidR="00480A6E" w:rsidRPr="006158D1">
        <w:rPr>
          <w:rFonts w:cs="Times New Roman"/>
          <w:b/>
        </w:rPr>
        <w:t>9 after they added 14.25 g of plant ash followed by 30-minute mixing and 30-minute precipitation.</w:t>
      </w:r>
      <w:r w:rsidR="0026714B" w:rsidRPr="006158D1">
        <w:rPr>
          <w:rFonts w:cs="Times New Roman"/>
          <w:b/>
        </w:rPr>
        <w:t xml:space="preserve"> </w:t>
      </w:r>
      <w:r w:rsidR="00FF67D6" w:rsidRPr="006158D1">
        <w:rPr>
          <w:rFonts w:cs="Times New Roman"/>
          <w:b/>
        </w:rPr>
        <w:t xml:space="preserve">Sakthivel et al. </w:t>
      </w:r>
      <w:r w:rsidR="00FF67D6" w:rsidRPr="006158D1">
        <w:rPr>
          <w:rFonts w:cs="Times New Roman"/>
          <w:b/>
        </w:rPr>
        <w:fldChar w:fldCharType="begin" w:fldLock="1"/>
      </w:r>
      <w:r w:rsidR="00BB33F9">
        <w:rPr>
          <w:rFonts w:cs="Times New Roman"/>
          <w:b/>
        </w:rPr>
        <w:instrText>ADDIN CSL_CITATION {"citationItems":[{"id":"ITEM-1","itemData":{"DOI":"10.1016/j.scitotenv.2011.12.065","ISSN":"00489697","abstract":"Struvite precipitation is a simple technology for phosphorus recovery from source-separated urine. However, production costs can be high if expensive magnesium salts are used as precipitants. Therefore, waste products can be interesting alternatives to industrially-produced magnesium salts. We investigated the technical and financial feasibility of wood ash as a magnesium source in India. In batch experiments with source-separated urine, we could precipitate 99% of the phosphate with a magnesium dosage of 2.7molMgmolP -1. The availability of the magnesium from the wood ash used in our experiment was only about 50% but this could be increased by burning the wood at temperatures well above 600°C. Depending on the wood ash used, the precipitate can contain high concentrations of heavy metals. This could be problematic if the precipitate were used as fertilizer depending on the applicable fertilizer regulations. The financial study revealed that wood ash is considerably cheaper than industrially-produced magnesium sources and even cheaper than bittern. However, the solid precipitated with wood ash is not pure struvite. Due to the high calcite and the low phosphorus content (3%), the precipitate would be better used as a phosphorus-enhanced conditioner for acidic soils. The estimated fertilizer value of the precipitate was actually slightly lower than wood ash, because 60% of the potassium dissolved into solution during precipitation and was not present in the final product. From a financial point of view and due to the high heavy metal content, wood ash is not a very suitable precipitant for struvite production. Phosphate precipitation from urine with wood ash can be useful if (1) a strong need for a soil conditioner that also contains phosphate exists, (2) potassium is abundant in the soil and (3) no other cheap precipitant, such as bittern or magnesium oxide, is available. © 2012 Elsevier B.V.","author":[{"dropping-particle":"","family":"Sakthivel","given":"S. Ramesh","non-dropping-particle":"","parse-names":false,"suffix":""},{"dropping-particle":"","family":"Tilley","given":"Elizabeth","non-dropping-particle":"","parse-names":false,"suffix":""},{"dropping-particle":"","family":"Udert","given":"Kai M.","non-dropping-particle":"","parse-names":false,"suffix":""}],"container-title":"Science of the Total Environment","id":"ITEM-1","issued":{"date-parts":[["2012"]]},"page":"68-75","publisher":"Elsevier B.V.","title":"Wood ash as a magnesium source for phosphorus recovery from source-separated urine","type":"article-journal","volume":"419"},"uris":["http://www.mendeley.com/documents/?uuid=cdc6c03d-b1bc-4fb3-9dd4-a88282c88794"]}],"mendeley":{"formattedCitation":"[54]","plainTextFormattedCitation":"[54]","previouslyFormattedCitation":"[54]"},"properties":{"noteIndex":0},"schema":"https://github.com/citation-style-language/schema/raw/master/csl-citation.json"}</w:instrText>
      </w:r>
      <w:r w:rsidR="00FF67D6" w:rsidRPr="006158D1">
        <w:rPr>
          <w:rFonts w:cs="Times New Roman"/>
          <w:b/>
          <w:vertAlign w:val="superscript"/>
        </w:rPr>
        <w:fldChar w:fldCharType="separate"/>
      </w:r>
      <w:r w:rsidR="00D33723" w:rsidRPr="00D33723">
        <w:rPr>
          <w:rFonts w:cs="Times New Roman"/>
          <w:noProof/>
        </w:rPr>
        <w:t>[54]</w:t>
      </w:r>
      <w:r w:rsidR="00FF67D6" w:rsidRPr="006158D1">
        <w:rPr>
          <w:rFonts w:cs="Times New Roman"/>
          <w:b/>
        </w:rPr>
        <w:fldChar w:fldCharType="end"/>
      </w:r>
      <w:r w:rsidR="00FF67D6" w:rsidRPr="006158D1">
        <w:rPr>
          <w:rFonts w:cs="Times New Roman"/>
          <w:b/>
        </w:rPr>
        <w:t xml:space="preserve"> </w:t>
      </w:r>
      <w:r w:rsidR="007D7030" w:rsidRPr="006158D1">
        <w:rPr>
          <w:rFonts w:cs="Times New Roman"/>
          <w:b/>
        </w:rPr>
        <w:t>reported an increase of the pH</w:t>
      </w:r>
      <w:r w:rsidR="008711B5" w:rsidRPr="006158D1">
        <w:rPr>
          <w:rFonts w:cs="Times New Roman"/>
          <w:b/>
        </w:rPr>
        <w:t>,</w:t>
      </w:r>
      <w:r w:rsidR="007D7030" w:rsidRPr="006158D1">
        <w:rPr>
          <w:rFonts w:cs="Times New Roman"/>
          <w:b/>
        </w:rPr>
        <w:t xml:space="preserve"> </w:t>
      </w:r>
      <w:r w:rsidR="00D3702D" w:rsidRPr="006158D1">
        <w:rPr>
          <w:rFonts w:cs="Times New Roman"/>
          <w:b/>
        </w:rPr>
        <w:t>from 8.77 to 9.21</w:t>
      </w:r>
      <w:r w:rsidR="008711B5" w:rsidRPr="006158D1">
        <w:rPr>
          <w:rFonts w:cs="Times New Roman"/>
          <w:b/>
        </w:rPr>
        <w:t>,</w:t>
      </w:r>
      <w:r w:rsidR="00D3702D" w:rsidRPr="006158D1">
        <w:rPr>
          <w:rFonts w:cs="Times New Roman"/>
          <w:b/>
        </w:rPr>
        <w:t xml:space="preserve"> </w:t>
      </w:r>
      <w:r w:rsidR="007D7030" w:rsidRPr="006158D1">
        <w:rPr>
          <w:rFonts w:cs="Times New Roman"/>
          <w:b/>
        </w:rPr>
        <w:t xml:space="preserve">of the </w:t>
      </w:r>
      <w:r w:rsidR="000C6DAB" w:rsidRPr="006158D1">
        <w:rPr>
          <w:rFonts w:cs="Times New Roman"/>
          <w:b/>
        </w:rPr>
        <w:t xml:space="preserve">ureolysed urine </w:t>
      </w:r>
      <w:r w:rsidR="00D3702D" w:rsidRPr="006158D1">
        <w:rPr>
          <w:rFonts w:cs="Times New Roman"/>
          <w:b/>
        </w:rPr>
        <w:t>with an initial content of WS PO</w:t>
      </w:r>
      <w:r w:rsidR="00D3702D" w:rsidRPr="006158D1">
        <w:rPr>
          <w:rFonts w:cs="Times New Roman"/>
          <w:b/>
          <w:vertAlign w:val="subscript"/>
        </w:rPr>
        <w:t>4</w:t>
      </w:r>
      <w:r w:rsidR="00D3702D" w:rsidRPr="006158D1">
        <w:rPr>
          <w:rFonts w:cs="Times New Roman"/>
          <w:b/>
          <w:vertAlign w:val="superscript"/>
        </w:rPr>
        <w:t>3-</w:t>
      </w:r>
      <w:r w:rsidR="00D3702D" w:rsidRPr="006158D1">
        <w:rPr>
          <w:rFonts w:cs="Times New Roman"/>
          <w:b/>
        </w:rPr>
        <w:t xml:space="preserve"> of</w:t>
      </w:r>
      <w:r w:rsidR="007D7030" w:rsidRPr="006158D1">
        <w:rPr>
          <w:rFonts w:cs="Times New Roman"/>
          <w:b/>
        </w:rPr>
        <w:t xml:space="preserve"> 573 mg/L after</w:t>
      </w:r>
      <w:r w:rsidR="003A03F2" w:rsidRPr="006158D1">
        <w:rPr>
          <w:rFonts w:cs="Times New Roman"/>
          <w:b/>
        </w:rPr>
        <w:t xml:space="preserve"> 15</w:t>
      </w:r>
      <w:r w:rsidR="008711B5" w:rsidRPr="006158D1">
        <w:rPr>
          <w:rFonts w:cs="Times New Roman"/>
          <w:b/>
        </w:rPr>
        <w:t xml:space="preserve"> </w:t>
      </w:r>
      <w:r w:rsidR="003A03F2" w:rsidRPr="006158D1">
        <w:rPr>
          <w:rFonts w:cs="Times New Roman"/>
          <w:b/>
        </w:rPr>
        <w:t>minute</w:t>
      </w:r>
      <w:r w:rsidR="008711B5" w:rsidRPr="006158D1">
        <w:rPr>
          <w:rFonts w:cs="Times New Roman"/>
          <w:b/>
        </w:rPr>
        <w:t>s of</w:t>
      </w:r>
      <w:r w:rsidR="003A03F2" w:rsidRPr="006158D1">
        <w:rPr>
          <w:rFonts w:cs="Times New Roman"/>
          <w:b/>
        </w:rPr>
        <w:t xml:space="preserve"> mixing and</w:t>
      </w:r>
      <w:r w:rsidR="007D7030" w:rsidRPr="006158D1">
        <w:rPr>
          <w:rFonts w:cs="Times New Roman"/>
          <w:b/>
        </w:rPr>
        <w:t xml:space="preserve"> 4 hours</w:t>
      </w:r>
      <w:r w:rsidR="008711B5" w:rsidRPr="006158D1">
        <w:rPr>
          <w:rFonts w:cs="Times New Roman"/>
          <w:b/>
        </w:rPr>
        <w:t xml:space="preserve"> of</w:t>
      </w:r>
      <w:r w:rsidR="007D7030" w:rsidRPr="006158D1">
        <w:rPr>
          <w:rFonts w:cs="Times New Roman"/>
          <w:b/>
        </w:rPr>
        <w:t xml:space="preserve"> settling. They used a</w:t>
      </w:r>
      <w:r w:rsidR="008711B5" w:rsidRPr="006158D1">
        <w:rPr>
          <w:rFonts w:cs="Times New Roman"/>
          <w:b/>
        </w:rPr>
        <w:t>n</w:t>
      </w:r>
      <w:r w:rsidR="006B0761">
        <w:rPr>
          <w:rFonts w:cs="Times New Roman"/>
          <w:b/>
        </w:rPr>
        <w:t xml:space="preserve"> ash-to-</w:t>
      </w:r>
      <w:r w:rsidR="007D7030" w:rsidRPr="006158D1">
        <w:rPr>
          <w:rFonts w:cs="Times New Roman"/>
          <w:b/>
        </w:rPr>
        <w:t>urine ratio of 1:88, which is lower than the dose of wood ash</w:t>
      </w:r>
      <w:r w:rsidR="00075D07" w:rsidRPr="006158D1">
        <w:rPr>
          <w:rFonts w:cs="Times New Roman"/>
          <w:b/>
        </w:rPr>
        <w:t>es</w:t>
      </w:r>
      <w:r w:rsidR="007D7030" w:rsidRPr="006158D1">
        <w:rPr>
          <w:rFonts w:cs="Times New Roman"/>
          <w:b/>
        </w:rPr>
        <w:t xml:space="preserve"> used in </w:t>
      </w:r>
      <w:r w:rsidR="00D5586D">
        <w:rPr>
          <w:rFonts w:cs="Times New Roman"/>
          <w:b/>
        </w:rPr>
        <w:t>the present</w:t>
      </w:r>
      <w:r w:rsidR="007D7030" w:rsidRPr="006158D1">
        <w:rPr>
          <w:rFonts w:cs="Times New Roman"/>
          <w:b/>
        </w:rPr>
        <w:t xml:space="preserve"> study (</w:t>
      </w:r>
      <w:r w:rsidR="007D7030" w:rsidRPr="006158D1">
        <w:rPr>
          <w:rFonts w:cs="Times New Roman"/>
          <w:b/>
        </w:rPr>
        <w:fldChar w:fldCharType="begin"/>
      </w:r>
      <w:r w:rsidR="007D7030" w:rsidRPr="006158D1">
        <w:rPr>
          <w:rFonts w:cs="Times New Roman"/>
          <w:b/>
        </w:rPr>
        <w:instrText xml:space="preserve"> REF _Ref44759134 \h  \* MERGEFORMAT </w:instrText>
      </w:r>
      <w:r w:rsidR="007D7030" w:rsidRPr="006158D1">
        <w:rPr>
          <w:rFonts w:cs="Times New Roman"/>
          <w:b/>
        </w:rPr>
      </w:r>
      <w:r w:rsidR="007D7030" w:rsidRPr="006158D1">
        <w:rPr>
          <w:rFonts w:cs="Times New Roman"/>
          <w:b/>
        </w:rPr>
        <w:fldChar w:fldCharType="separate"/>
      </w:r>
      <w:r w:rsidR="007D7030" w:rsidRPr="006158D1">
        <w:rPr>
          <w:b/>
          <w:iCs/>
        </w:rPr>
        <w:t xml:space="preserve">Table </w:t>
      </w:r>
      <w:r w:rsidR="007D7030" w:rsidRPr="006158D1">
        <w:rPr>
          <w:b/>
          <w:iCs/>
          <w:noProof/>
        </w:rPr>
        <w:t>2</w:t>
      </w:r>
      <w:r w:rsidR="007D7030" w:rsidRPr="006158D1">
        <w:rPr>
          <w:rFonts w:cs="Times New Roman"/>
          <w:b/>
        </w:rPr>
        <w:fldChar w:fldCharType="end"/>
      </w:r>
      <w:r w:rsidR="007D7030" w:rsidRPr="006158D1">
        <w:rPr>
          <w:rFonts w:cs="Times New Roman"/>
          <w:b/>
        </w:rPr>
        <w:t>)</w:t>
      </w:r>
      <w:r w:rsidR="006158D1">
        <w:rPr>
          <w:rFonts w:cs="Times New Roman"/>
          <w:b/>
        </w:rPr>
        <w:t>,</w:t>
      </w:r>
      <w:r w:rsidR="007D7030" w:rsidRPr="006158D1">
        <w:rPr>
          <w:rFonts w:cs="Times New Roman"/>
          <w:b/>
        </w:rPr>
        <w:t xml:space="preserve"> </w:t>
      </w:r>
      <w:r w:rsidR="004526C0" w:rsidRPr="006158D1">
        <w:rPr>
          <w:rFonts w:cs="Times New Roman"/>
          <w:b/>
        </w:rPr>
        <w:t xml:space="preserve">in spite </w:t>
      </w:r>
      <w:r w:rsidR="007D7030" w:rsidRPr="006158D1">
        <w:rPr>
          <w:rFonts w:cs="Times New Roman"/>
          <w:b/>
        </w:rPr>
        <w:t>of the higher</w:t>
      </w:r>
      <w:r w:rsidR="004526C0" w:rsidRPr="006158D1">
        <w:rPr>
          <w:rFonts w:cs="Times New Roman"/>
          <w:b/>
        </w:rPr>
        <w:t xml:space="preserve"> concentration of</w:t>
      </w:r>
      <w:r w:rsidR="007D7030" w:rsidRPr="006158D1">
        <w:rPr>
          <w:rFonts w:cs="Times New Roman"/>
          <w:b/>
        </w:rPr>
        <w:t xml:space="preserve"> PO</w:t>
      </w:r>
      <w:r w:rsidR="007D7030" w:rsidRPr="006158D1">
        <w:rPr>
          <w:rFonts w:cs="Times New Roman"/>
          <w:b/>
          <w:vertAlign w:val="subscript"/>
        </w:rPr>
        <w:t>4</w:t>
      </w:r>
      <w:r w:rsidR="007D7030" w:rsidRPr="006158D1">
        <w:rPr>
          <w:rFonts w:cs="Times New Roman"/>
          <w:b/>
          <w:vertAlign w:val="superscript"/>
        </w:rPr>
        <w:t>3-</w:t>
      </w:r>
      <w:r w:rsidR="007D7030" w:rsidRPr="006158D1">
        <w:rPr>
          <w:rFonts w:cs="Times New Roman"/>
          <w:b/>
        </w:rPr>
        <w:t xml:space="preserve"> in their </w:t>
      </w:r>
      <w:r w:rsidR="00D5586D">
        <w:rPr>
          <w:rFonts w:cs="Times New Roman"/>
          <w:b/>
        </w:rPr>
        <w:t xml:space="preserve">urine </w:t>
      </w:r>
      <w:r w:rsidR="007D7030" w:rsidRPr="006158D1">
        <w:rPr>
          <w:rFonts w:cs="Times New Roman"/>
          <w:b/>
        </w:rPr>
        <w:t xml:space="preserve">solution compared to </w:t>
      </w:r>
      <w:r w:rsidR="00D5586D">
        <w:rPr>
          <w:rFonts w:cs="Times New Roman"/>
          <w:b/>
        </w:rPr>
        <w:t>the</w:t>
      </w:r>
      <w:r w:rsidR="007D7030" w:rsidRPr="006158D1">
        <w:rPr>
          <w:rFonts w:cs="Times New Roman"/>
          <w:b/>
        </w:rPr>
        <w:t xml:space="preserve"> digestates</w:t>
      </w:r>
      <w:r w:rsidR="00D5586D">
        <w:rPr>
          <w:rFonts w:cs="Times New Roman"/>
          <w:b/>
        </w:rPr>
        <w:t xml:space="preserve"> of the this work</w:t>
      </w:r>
      <w:r w:rsidR="007D7030" w:rsidRPr="006158D1">
        <w:rPr>
          <w:rFonts w:cs="Times New Roman"/>
          <w:b/>
        </w:rPr>
        <w:t xml:space="preserve"> (</w:t>
      </w:r>
      <w:r w:rsidR="007D7030" w:rsidRPr="006158D1">
        <w:rPr>
          <w:rFonts w:cs="Times New Roman"/>
          <w:b/>
        </w:rPr>
        <w:fldChar w:fldCharType="begin"/>
      </w:r>
      <w:r w:rsidR="007D7030" w:rsidRPr="006158D1">
        <w:rPr>
          <w:rFonts w:cs="Times New Roman"/>
          <w:b/>
        </w:rPr>
        <w:instrText xml:space="preserve"> REF _Ref44759336 \h  \* MERGEFORMAT </w:instrText>
      </w:r>
      <w:r w:rsidR="007D7030" w:rsidRPr="006158D1">
        <w:rPr>
          <w:rFonts w:cs="Times New Roman"/>
          <w:b/>
        </w:rPr>
      </w:r>
      <w:r w:rsidR="007D7030" w:rsidRPr="006158D1">
        <w:rPr>
          <w:rFonts w:cs="Times New Roman"/>
          <w:b/>
        </w:rPr>
        <w:fldChar w:fldCharType="separate"/>
      </w:r>
      <w:r w:rsidR="007D7030" w:rsidRPr="006158D1">
        <w:rPr>
          <w:rFonts w:cs="Times New Roman"/>
          <w:b/>
        </w:rPr>
        <w:t xml:space="preserve">Table </w:t>
      </w:r>
      <w:r w:rsidR="007D7030" w:rsidRPr="006158D1">
        <w:rPr>
          <w:rFonts w:cs="Times New Roman"/>
          <w:b/>
          <w:noProof/>
        </w:rPr>
        <w:t>3</w:t>
      </w:r>
      <w:r w:rsidR="007D7030" w:rsidRPr="006158D1">
        <w:rPr>
          <w:rFonts w:cs="Times New Roman"/>
          <w:b/>
        </w:rPr>
        <w:fldChar w:fldCharType="end"/>
      </w:r>
      <w:r w:rsidR="007D7030" w:rsidRPr="006158D1">
        <w:rPr>
          <w:rFonts w:cs="Times New Roman"/>
          <w:b/>
        </w:rPr>
        <w:t>).</w:t>
      </w:r>
      <w:r w:rsidR="00B5339F" w:rsidRPr="006158D1">
        <w:rPr>
          <w:rFonts w:cs="Times New Roman"/>
          <w:b/>
        </w:rPr>
        <w:t xml:space="preserve"> </w:t>
      </w:r>
      <w:r w:rsidR="00FF67D6" w:rsidRPr="00EF75A4">
        <w:rPr>
          <w:rFonts w:cs="Times New Roman"/>
        </w:rPr>
        <w:t>They only considered the WS fractions of the elements to achieve the ratio 1.5 mol (Mg + Ca)/mol P for the production of struvite</w:t>
      </w:r>
      <w:r w:rsidR="008D6098">
        <w:rPr>
          <w:rFonts w:cs="Times New Roman"/>
        </w:rPr>
        <w:t xml:space="preserve"> and octacalcium phosphate </w:t>
      </w:r>
      <w:r w:rsidR="008D6098" w:rsidRPr="00EF75A4">
        <w:rPr>
          <w:rFonts w:cs="Times New Roman"/>
        </w:rPr>
        <w:t>(Ca</w:t>
      </w:r>
      <w:r w:rsidR="008D6098" w:rsidRPr="00EF75A4">
        <w:rPr>
          <w:rFonts w:cs="Times New Roman"/>
          <w:vertAlign w:val="subscript"/>
        </w:rPr>
        <w:t>8</w:t>
      </w:r>
      <w:r w:rsidR="008D6098" w:rsidRPr="00EF75A4">
        <w:rPr>
          <w:rFonts w:cs="Times New Roman"/>
        </w:rPr>
        <w:t>H</w:t>
      </w:r>
      <w:r w:rsidR="008D6098" w:rsidRPr="00EF75A4">
        <w:rPr>
          <w:rFonts w:cs="Times New Roman"/>
          <w:vertAlign w:val="subscript"/>
        </w:rPr>
        <w:t>2</w:t>
      </w:r>
      <w:r w:rsidR="008D6098" w:rsidRPr="00EF75A4">
        <w:rPr>
          <w:rFonts w:cs="Times New Roman"/>
        </w:rPr>
        <w:t>(PO</w:t>
      </w:r>
      <w:r w:rsidR="008D6098" w:rsidRPr="00EF75A4">
        <w:rPr>
          <w:rFonts w:cs="Times New Roman"/>
          <w:vertAlign w:val="subscript"/>
        </w:rPr>
        <w:t>4</w:t>
      </w:r>
      <w:r w:rsidR="008D6098" w:rsidRPr="00EF75A4">
        <w:rPr>
          <w:rFonts w:cs="Times New Roman"/>
        </w:rPr>
        <w:t>)</w:t>
      </w:r>
      <w:r w:rsidR="008D6098" w:rsidRPr="00EF75A4">
        <w:rPr>
          <w:rFonts w:cs="Times New Roman"/>
          <w:vertAlign w:val="subscript"/>
        </w:rPr>
        <w:t>6</w:t>
      </w:r>
      <w:r w:rsidR="008D6098">
        <w:rPr>
          <w:rFonts w:cs="Times New Roman"/>
        </w:rPr>
        <w:t>*</w:t>
      </w:r>
      <w:r w:rsidR="008D6098" w:rsidRPr="00EF75A4">
        <w:rPr>
          <w:rFonts w:cs="Times New Roman"/>
        </w:rPr>
        <w:t>5H</w:t>
      </w:r>
      <w:r w:rsidR="008D6098" w:rsidRPr="00EF75A4">
        <w:rPr>
          <w:rFonts w:cs="Times New Roman"/>
          <w:vertAlign w:val="subscript"/>
        </w:rPr>
        <w:t>2</w:t>
      </w:r>
      <w:r w:rsidR="008D6098" w:rsidRPr="00EF75A4">
        <w:rPr>
          <w:rFonts w:cs="Times New Roman"/>
        </w:rPr>
        <w:t>O)</w:t>
      </w:r>
      <w:r w:rsidR="00FF67D6" w:rsidRPr="00EF75A4">
        <w:rPr>
          <w:rFonts w:cs="Times New Roman"/>
        </w:rPr>
        <w:t>, without taking into account the excess of WS NH</w:t>
      </w:r>
      <w:r w:rsidR="00FF67D6" w:rsidRPr="00EF75A4">
        <w:rPr>
          <w:rFonts w:cs="Times New Roman"/>
          <w:vertAlign w:val="subscript"/>
        </w:rPr>
        <w:t>4</w:t>
      </w:r>
      <w:r w:rsidR="00FF67D6" w:rsidRPr="00EF75A4">
        <w:rPr>
          <w:rFonts w:cs="Times New Roman"/>
          <w:vertAlign w:val="superscript"/>
        </w:rPr>
        <w:t>+</w:t>
      </w:r>
      <w:r w:rsidR="00094E81">
        <w:rPr>
          <w:rFonts w:cs="Times New Roman"/>
        </w:rPr>
        <w:t>-</w:t>
      </w:r>
      <w:r w:rsidR="00FF67D6" w:rsidRPr="00EF75A4">
        <w:rPr>
          <w:rFonts w:cs="Times New Roman"/>
        </w:rPr>
        <w:t>N</w:t>
      </w:r>
      <w:r w:rsidR="00C65899">
        <w:rPr>
          <w:rFonts w:cs="Times New Roman"/>
        </w:rPr>
        <w:t xml:space="preserve"> in the urine</w:t>
      </w:r>
      <w:r w:rsidR="00FF67D6" w:rsidRPr="00EF75A4">
        <w:rPr>
          <w:rFonts w:cs="Times New Roman"/>
        </w:rPr>
        <w:t>. The 53% of the Mg in their wood ash was soluble. Accor</w:t>
      </w:r>
      <w:r w:rsidR="002C6CBB">
        <w:rPr>
          <w:rFonts w:cs="Times New Roman"/>
        </w:rPr>
        <w:t xml:space="preserve">ding to </w:t>
      </w:r>
      <w:r w:rsidR="00FF67D6" w:rsidRPr="00EF75A4">
        <w:rPr>
          <w:rFonts w:cs="Times New Roman"/>
        </w:rPr>
        <w:t>Drosg</w:t>
      </w:r>
      <w:r w:rsidR="002C6CBB">
        <w:rPr>
          <w:rFonts w:cs="Times New Roman"/>
        </w:rPr>
        <w:t xml:space="preserve"> et al. </w:t>
      </w:r>
      <w:r w:rsidR="002C6CBB">
        <w:rPr>
          <w:rFonts w:cs="Times New Roman"/>
        </w:rPr>
        <w:fldChar w:fldCharType="begin" w:fldLock="1"/>
      </w:r>
      <w:r w:rsidR="00233927">
        <w:rPr>
          <w:rFonts w:cs="Times New Roman"/>
        </w:rPr>
        <w:instrText>ADDIN CSL_CITATION {"citationItems":[{"id":"ITEM-1","itemData":{"DOI":"10.2166/wst.2013.075","abstract":"Anaerobic digestion is widely used as an important source of renewable energy. With the increasing number and capacity of biogas plants also, adequate treatment technologies for whole digestate – the residue from anaerobic digestion – are gaining attention. In this study the state of the art of digestate processing is analysed, and currently used treatment schemes and the various technological processes involved are evaluated. The study combines data and experiences from existing large-scale digestate processing facilities in Austria, Germany, Switzerland and Italy, as well as know-how from technology providers and relevant research projects. However, the field of digestate processing is still quite new and little detailed information about the performance of different technologies at industrial scale is available. Digestate processing is gaining importance since digestate utilisation can become an important bottleneck when increasing biogas production. In addition, the production of renewable fertiliser from digestate is increasingly of interest to replace fossil fertilisers. This study is the first profound attempt to establish an assessment of the state-of-the-art technologies in use.","author":[{"dropping-particle":"","family":"Fuchs","given":"W.","non-dropping-particle":"","parse-names":false,"suffix":""},{"dropping-particle":"","family":"Drosg","given":"B.","non-dropping-particle":"","parse-names":false,"suffix":""}],"container-title":"Waster Science &amp; Technology","id":"ITEM-1","issue":"9","issued":{"date-parts":[["2013"]]},"page":"1984-1993","title":"Assessment of the state of the art of technologies for the processing of digestate residue from anaerobic digesters","type":"article-journal","volume":"67"},"uris":["http://www.mendeley.com/documents/?uuid=b7b57848-b6d7-4dfc-bfab-0bd7b5d7a37b"]}],"mendeley":{"formattedCitation":"[67]","plainTextFormattedCitation":"[67]","previouslyFormattedCitation":"[67]"},"properties":{"noteIndex":0},"schema":"https://github.com/citation-style-language/schema/raw/master/csl-citation.json"}</w:instrText>
      </w:r>
      <w:r w:rsidR="002C6CBB">
        <w:rPr>
          <w:rFonts w:cs="Times New Roman"/>
        </w:rPr>
        <w:fldChar w:fldCharType="separate"/>
      </w:r>
      <w:r w:rsidR="00523707" w:rsidRPr="00523707">
        <w:rPr>
          <w:rFonts w:cs="Times New Roman"/>
          <w:noProof/>
        </w:rPr>
        <w:t>[67]</w:t>
      </w:r>
      <w:r w:rsidR="002C6CBB">
        <w:rPr>
          <w:rFonts w:cs="Times New Roman"/>
        </w:rPr>
        <w:fldChar w:fldCharType="end"/>
      </w:r>
      <w:r w:rsidR="00FB1A27">
        <w:rPr>
          <w:rFonts w:cs="Times New Roman"/>
        </w:rPr>
        <w:t>, a nutrient ratio of Mg/N/</w:t>
      </w:r>
      <w:r w:rsidR="00FF67D6" w:rsidRPr="00EF75A4">
        <w:rPr>
          <w:rFonts w:cs="Times New Roman"/>
        </w:rPr>
        <w:t>P</w:t>
      </w:r>
      <w:r w:rsidR="00FB1A27">
        <w:rPr>
          <w:rFonts w:cs="Times New Roman"/>
        </w:rPr>
        <w:t>:</w:t>
      </w:r>
      <w:r w:rsidR="00FF67D6" w:rsidRPr="00EF75A4">
        <w:rPr>
          <w:rFonts w:cs="Times New Roman"/>
        </w:rPr>
        <w:t>1</w:t>
      </w:r>
      <w:r w:rsidR="00FB1A27">
        <w:rPr>
          <w:rFonts w:cs="Times New Roman"/>
        </w:rPr>
        <w:t>.3/1/</w:t>
      </w:r>
      <w:r w:rsidR="00B62C32">
        <w:rPr>
          <w:rFonts w:cs="Times New Roman"/>
        </w:rPr>
        <w:t>0.9 is necessary to maximiz</w:t>
      </w:r>
      <w:r w:rsidR="00FF67D6" w:rsidRPr="00EF75A4">
        <w:rPr>
          <w:rFonts w:cs="Times New Roman"/>
        </w:rPr>
        <w:t>e the precipitation of struvite. Because of the high ammonium content of the digestate</w:t>
      </w:r>
      <w:r w:rsidR="002B1080">
        <w:rPr>
          <w:rFonts w:cs="Times New Roman"/>
        </w:rPr>
        <w:t>s</w:t>
      </w:r>
      <w:r w:rsidR="00FF67D6" w:rsidRPr="00EF75A4">
        <w:rPr>
          <w:rFonts w:cs="Times New Roman"/>
        </w:rPr>
        <w:t xml:space="preserve">, the addition of magnesium oxide and phosphoric acid is a common procedure. The </w:t>
      </w:r>
      <w:r w:rsidR="00FB1A27">
        <w:rPr>
          <w:rFonts w:cs="Times New Roman"/>
        </w:rPr>
        <w:t>Mg/N/</w:t>
      </w:r>
      <w:r w:rsidR="00C65899">
        <w:rPr>
          <w:rFonts w:cs="Times New Roman"/>
        </w:rPr>
        <w:t>P total nutrient ratios 1.1</w:t>
      </w:r>
      <w:r w:rsidR="00FB1A27">
        <w:rPr>
          <w:rFonts w:cs="Times New Roman"/>
        </w:rPr>
        <w:t>/1/</w:t>
      </w:r>
      <w:r w:rsidR="00C65899">
        <w:rPr>
          <w:rFonts w:cs="Times New Roman"/>
        </w:rPr>
        <w:t>0.4 and 2.5</w:t>
      </w:r>
      <w:r w:rsidR="00FB1A27">
        <w:rPr>
          <w:rFonts w:cs="Times New Roman"/>
        </w:rPr>
        <w:t>/1/</w:t>
      </w:r>
      <w:r w:rsidR="00C65899">
        <w:rPr>
          <w:rFonts w:cs="Times New Roman"/>
        </w:rPr>
        <w:t>1</w:t>
      </w:r>
      <w:r w:rsidR="00FF67D6" w:rsidRPr="00EF75A4">
        <w:rPr>
          <w:rFonts w:cs="Times New Roman"/>
        </w:rPr>
        <w:t xml:space="preserve"> correspond to the blend 1 and blend 2, respectively.</w:t>
      </w:r>
    </w:p>
    <w:p w14:paraId="777DCA26" w14:textId="7F2AB8D2" w:rsidR="0009439E" w:rsidRDefault="009A2869" w:rsidP="005B505C">
      <w:pPr>
        <w:spacing w:line="360" w:lineRule="auto"/>
        <w:rPr>
          <w:rFonts w:cs="Times New Roman"/>
        </w:rPr>
      </w:pPr>
      <w:r w:rsidRPr="006158D1">
        <w:rPr>
          <w:rFonts w:cs="Times New Roman"/>
          <w:b/>
        </w:rPr>
        <w:t>Com</w:t>
      </w:r>
      <w:r w:rsidR="00933712" w:rsidRPr="006158D1">
        <w:rPr>
          <w:rFonts w:cs="Times New Roman"/>
          <w:b/>
        </w:rPr>
        <w:t>p</w:t>
      </w:r>
      <w:r w:rsidRPr="006158D1">
        <w:rPr>
          <w:rFonts w:cs="Times New Roman"/>
          <w:b/>
        </w:rPr>
        <w:t>aring the values</w:t>
      </w:r>
      <w:r w:rsidR="007D4A51" w:rsidRPr="006158D1">
        <w:rPr>
          <w:rFonts w:cs="Times New Roman"/>
          <w:b/>
        </w:rPr>
        <w:t xml:space="preserve"> of </w:t>
      </w:r>
      <w:r w:rsidR="007D4A51" w:rsidRPr="006158D1">
        <w:rPr>
          <w:rFonts w:cs="Times New Roman"/>
          <w:b/>
        </w:rPr>
        <w:fldChar w:fldCharType="begin"/>
      </w:r>
      <w:r w:rsidR="007D4A51" w:rsidRPr="006158D1">
        <w:rPr>
          <w:rFonts w:cs="Times New Roman"/>
          <w:b/>
        </w:rPr>
        <w:instrText xml:space="preserve"> REF _Ref14027835 \h  \* MERGEFORMAT </w:instrText>
      </w:r>
      <w:r w:rsidR="007D4A51" w:rsidRPr="006158D1">
        <w:rPr>
          <w:rFonts w:cs="Times New Roman"/>
          <w:b/>
        </w:rPr>
      </w:r>
      <w:r w:rsidR="007D4A51" w:rsidRPr="006158D1">
        <w:rPr>
          <w:rFonts w:cs="Times New Roman"/>
          <w:b/>
        </w:rPr>
        <w:fldChar w:fldCharType="separate"/>
      </w:r>
      <w:r w:rsidR="007D4A51" w:rsidRPr="006158D1">
        <w:rPr>
          <w:rFonts w:cs="Times New Roman"/>
          <w:b/>
        </w:rPr>
        <w:t xml:space="preserve">Fig. </w:t>
      </w:r>
      <w:r w:rsidR="007D4A51" w:rsidRPr="006158D1">
        <w:rPr>
          <w:rFonts w:cs="Times New Roman"/>
          <w:b/>
          <w:noProof/>
        </w:rPr>
        <w:t>6</w:t>
      </w:r>
      <w:r w:rsidR="007D4A51" w:rsidRPr="006158D1">
        <w:rPr>
          <w:rFonts w:cs="Times New Roman"/>
          <w:b/>
        </w:rPr>
        <w:fldChar w:fldCharType="end"/>
      </w:r>
      <w:r w:rsidR="00D7171C" w:rsidRPr="006158D1">
        <w:rPr>
          <w:rFonts w:cs="Times New Roman"/>
          <w:b/>
        </w:rPr>
        <w:t xml:space="preserve"> </w:t>
      </w:r>
      <w:r w:rsidR="00360066">
        <w:rPr>
          <w:rFonts w:cs="Times New Roman"/>
          <w:b/>
        </w:rPr>
        <w:t>(</w:t>
      </w:r>
      <w:r w:rsidR="007D4A51" w:rsidRPr="006158D1">
        <w:rPr>
          <w:rFonts w:cs="Times New Roman"/>
          <w:b/>
        </w:rPr>
        <w:t>b</w:t>
      </w:r>
      <w:r w:rsidR="00360066">
        <w:rPr>
          <w:rFonts w:cs="Times New Roman"/>
          <w:b/>
        </w:rPr>
        <w:t>)</w:t>
      </w:r>
      <w:r w:rsidR="007D4A51" w:rsidRPr="006158D1">
        <w:rPr>
          <w:rFonts w:cs="Times New Roman"/>
          <w:b/>
        </w:rPr>
        <w:t xml:space="preserve"> with</w:t>
      </w:r>
      <w:r w:rsidRPr="006158D1">
        <w:rPr>
          <w:rFonts w:cs="Times New Roman"/>
          <w:b/>
        </w:rPr>
        <w:t xml:space="preserve"> the initial ch</w:t>
      </w:r>
      <w:r w:rsidR="008C15A2">
        <w:rPr>
          <w:rFonts w:cs="Times New Roman"/>
          <w:b/>
        </w:rPr>
        <w:t>aracteriz</w:t>
      </w:r>
      <w:r w:rsidRPr="006158D1">
        <w:rPr>
          <w:rFonts w:cs="Times New Roman"/>
          <w:b/>
        </w:rPr>
        <w:t>ation (</w:t>
      </w:r>
      <w:r w:rsidRPr="006158D1">
        <w:rPr>
          <w:rFonts w:cs="Times New Roman"/>
          <w:b/>
        </w:rPr>
        <w:fldChar w:fldCharType="begin"/>
      </w:r>
      <w:r w:rsidRPr="006158D1">
        <w:rPr>
          <w:rFonts w:cs="Times New Roman"/>
          <w:b/>
        </w:rPr>
        <w:instrText xml:space="preserve"> REF _Ref44759336 \h </w:instrText>
      </w:r>
      <w:r w:rsidR="003D42CB" w:rsidRPr="006158D1">
        <w:rPr>
          <w:rFonts w:cs="Times New Roman"/>
          <w:b/>
        </w:rPr>
        <w:instrText xml:space="preserve"> \* MERGEFORMAT </w:instrText>
      </w:r>
      <w:r w:rsidRPr="006158D1">
        <w:rPr>
          <w:rFonts w:cs="Times New Roman"/>
          <w:b/>
        </w:rPr>
      </w:r>
      <w:r w:rsidRPr="006158D1">
        <w:rPr>
          <w:rFonts w:cs="Times New Roman"/>
          <w:b/>
        </w:rPr>
        <w:fldChar w:fldCharType="separate"/>
      </w:r>
      <w:r w:rsidRPr="006158D1">
        <w:rPr>
          <w:rFonts w:cs="Times New Roman"/>
          <w:b/>
        </w:rPr>
        <w:t xml:space="preserve">Table </w:t>
      </w:r>
      <w:r w:rsidRPr="006158D1">
        <w:rPr>
          <w:rFonts w:cs="Times New Roman"/>
          <w:b/>
          <w:noProof/>
        </w:rPr>
        <w:t>3</w:t>
      </w:r>
      <w:r w:rsidRPr="006158D1">
        <w:rPr>
          <w:rFonts w:cs="Times New Roman"/>
          <w:b/>
        </w:rPr>
        <w:fldChar w:fldCharType="end"/>
      </w:r>
      <w:r w:rsidRPr="006158D1">
        <w:rPr>
          <w:rFonts w:cs="Times New Roman"/>
          <w:b/>
        </w:rPr>
        <w:t>)</w:t>
      </w:r>
      <w:r w:rsidR="00667405" w:rsidRPr="006158D1">
        <w:rPr>
          <w:rFonts w:cs="Times New Roman"/>
          <w:b/>
        </w:rPr>
        <w:t>, it wa</w:t>
      </w:r>
      <w:r w:rsidR="007D4A51" w:rsidRPr="006158D1">
        <w:rPr>
          <w:rFonts w:cs="Times New Roman"/>
          <w:b/>
        </w:rPr>
        <w:t>s possible to conclude that both</w:t>
      </w:r>
      <w:r w:rsidR="00E06277" w:rsidRPr="00EF75A4">
        <w:rPr>
          <w:rFonts w:cs="Times New Roman"/>
        </w:rPr>
        <w:t xml:space="preserve"> doses of ash</w:t>
      </w:r>
      <w:r w:rsidR="00075D07">
        <w:rPr>
          <w:rFonts w:cs="Times New Roman"/>
        </w:rPr>
        <w:t>es</w:t>
      </w:r>
      <w:r w:rsidR="00E06277" w:rsidRPr="00EF75A4">
        <w:rPr>
          <w:rFonts w:cs="Times New Roman"/>
        </w:rPr>
        <w:t xml:space="preserve"> used in </w:t>
      </w:r>
      <w:r w:rsidR="00B012AB">
        <w:rPr>
          <w:rFonts w:cs="Times New Roman"/>
        </w:rPr>
        <w:t>this work</w:t>
      </w:r>
      <w:r w:rsidR="00D447AF">
        <w:rPr>
          <w:rFonts w:cs="Times New Roman"/>
        </w:rPr>
        <w:t xml:space="preserve"> (</w:t>
      </w:r>
      <w:r w:rsidR="00D447AF" w:rsidRPr="00D447AF">
        <w:rPr>
          <w:rFonts w:cs="Times New Roman"/>
        </w:rPr>
        <w:fldChar w:fldCharType="begin"/>
      </w:r>
      <w:r w:rsidR="00D447AF" w:rsidRPr="00D447AF">
        <w:rPr>
          <w:rFonts w:cs="Times New Roman"/>
        </w:rPr>
        <w:instrText xml:space="preserve"> REF _Ref44759134 \h  \* MERGEFORMAT </w:instrText>
      </w:r>
      <w:r w:rsidR="00D447AF" w:rsidRPr="00D447AF">
        <w:rPr>
          <w:rFonts w:cs="Times New Roman"/>
        </w:rPr>
      </w:r>
      <w:r w:rsidR="00D447AF" w:rsidRPr="00D447AF">
        <w:rPr>
          <w:rFonts w:cs="Times New Roman"/>
        </w:rPr>
        <w:fldChar w:fldCharType="separate"/>
      </w:r>
      <w:r w:rsidR="00D447AF" w:rsidRPr="00D447AF">
        <w:rPr>
          <w:b/>
        </w:rPr>
        <w:t xml:space="preserve">Table </w:t>
      </w:r>
      <w:r w:rsidR="00D447AF" w:rsidRPr="00D447AF">
        <w:rPr>
          <w:b/>
          <w:noProof/>
        </w:rPr>
        <w:t>2</w:t>
      </w:r>
      <w:r w:rsidR="00D447AF" w:rsidRPr="00D447AF">
        <w:rPr>
          <w:rFonts w:cs="Times New Roman"/>
        </w:rPr>
        <w:fldChar w:fldCharType="end"/>
      </w:r>
      <w:r w:rsidR="00D447AF">
        <w:rPr>
          <w:rFonts w:cs="Times New Roman"/>
        </w:rPr>
        <w:t>)</w:t>
      </w:r>
      <w:r w:rsidR="00E06277" w:rsidRPr="00EF75A4">
        <w:rPr>
          <w:rFonts w:cs="Times New Roman"/>
        </w:rPr>
        <w:t xml:space="preserve"> decreased the availability of </w:t>
      </w:r>
      <w:r w:rsidR="002E0F38" w:rsidRPr="006158D1">
        <w:rPr>
          <w:rFonts w:cs="Times New Roman"/>
          <w:b/>
        </w:rPr>
        <w:t>phosphorus</w:t>
      </w:r>
      <w:r w:rsidR="00E06277" w:rsidRPr="00EF75A4">
        <w:rPr>
          <w:rFonts w:cs="Times New Roman"/>
        </w:rPr>
        <w:t xml:space="preserve">. Approximately </w:t>
      </w:r>
      <w:r w:rsidR="005B505C">
        <w:rPr>
          <w:rFonts w:cs="Times New Roman"/>
        </w:rPr>
        <w:lastRenderedPageBreak/>
        <w:t>1 mmol of</w:t>
      </w:r>
      <w:r w:rsidR="00E06277" w:rsidRPr="00EF75A4">
        <w:rPr>
          <w:rFonts w:cs="Times New Roman"/>
        </w:rPr>
        <w:t xml:space="preserve"> PO</w:t>
      </w:r>
      <w:r w:rsidR="00E06277" w:rsidRPr="00EF75A4">
        <w:rPr>
          <w:rFonts w:cs="Times New Roman"/>
          <w:vertAlign w:val="subscript"/>
        </w:rPr>
        <w:t>4</w:t>
      </w:r>
      <w:r w:rsidR="00E06277" w:rsidRPr="00EF75A4">
        <w:rPr>
          <w:rFonts w:cs="Times New Roman"/>
          <w:vertAlign w:val="superscript"/>
        </w:rPr>
        <w:t>3-</w:t>
      </w:r>
      <w:r w:rsidR="00E06277" w:rsidRPr="00EF75A4">
        <w:rPr>
          <w:rFonts w:cs="Times New Roman"/>
        </w:rPr>
        <w:t xml:space="preserve"> was </w:t>
      </w:r>
      <w:r w:rsidR="005B505C">
        <w:rPr>
          <w:rFonts w:cs="Times New Roman"/>
        </w:rPr>
        <w:t>removed</w:t>
      </w:r>
      <w:r w:rsidR="00694AD6">
        <w:rPr>
          <w:rFonts w:cs="Times New Roman"/>
        </w:rPr>
        <w:t xml:space="preserve"> f</w:t>
      </w:r>
      <w:r w:rsidR="005B505C">
        <w:rPr>
          <w:rFonts w:cs="Times New Roman"/>
        </w:rPr>
        <w:t>r</w:t>
      </w:r>
      <w:r w:rsidR="00694AD6">
        <w:rPr>
          <w:rFonts w:cs="Times New Roman"/>
        </w:rPr>
        <w:t>o</w:t>
      </w:r>
      <w:r w:rsidR="005B505C">
        <w:rPr>
          <w:rFonts w:cs="Times New Roman"/>
        </w:rPr>
        <w:t>m the WS phase</w:t>
      </w:r>
      <w:r w:rsidR="00E06277" w:rsidRPr="00EF75A4">
        <w:rPr>
          <w:rFonts w:cs="Times New Roman"/>
        </w:rPr>
        <w:t xml:space="preserve"> in 1 kg of each blend at the time of blending. </w:t>
      </w:r>
      <w:r w:rsidR="00FF67D6" w:rsidRPr="00EF75A4">
        <w:rPr>
          <w:rFonts w:cs="Times New Roman"/>
        </w:rPr>
        <w:t>On the other hand, 87 and 20 mmol of WS NH</w:t>
      </w:r>
      <w:r w:rsidR="00FF67D6" w:rsidRPr="00EF75A4">
        <w:rPr>
          <w:rFonts w:cs="Times New Roman"/>
          <w:vertAlign w:val="subscript"/>
        </w:rPr>
        <w:t>4</w:t>
      </w:r>
      <w:r w:rsidR="00FF67D6" w:rsidRPr="00EF75A4">
        <w:rPr>
          <w:rFonts w:cs="Times New Roman"/>
          <w:vertAlign w:val="superscript"/>
        </w:rPr>
        <w:t>+</w:t>
      </w:r>
      <w:r w:rsidR="00FF67D6" w:rsidRPr="00EF75A4">
        <w:rPr>
          <w:rFonts w:cs="Times New Roman"/>
        </w:rPr>
        <w:t xml:space="preserve"> were discounted from 1 kg of the blend 1 and the blend</w:t>
      </w:r>
      <w:r w:rsidR="00933C00">
        <w:rPr>
          <w:rFonts w:cs="Times New Roman"/>
        </w:rPr>
        <w:t xml:space="preserve"> </w:t>
      </w:r>
      <w:r w:rsidR="00FF67D6" w:rsidRPr="00EF75A4">
        <w:rPr>
          <w:rFonts w:cs="Times New Roman"/>
        </w:rPr>
        <w:t xml:space="preserve">2, </w:t>
      </w:r>
      <w:r w:rsidR="00FF67D6" w:rsidRPr="00713E31">
        <w:rPr>
          <w:rFonts w:cs="Times New Roman"/>
        </w:rPr>
        <w:t>respectively</w:t>
      </w:r>
      <w:r w:rsidR="007D4A51" w:rsidRPr="00713E31">
        <w:rPr>
          <w:rFonts w:cs="Times New Roman"/>
        </w:rPr>
        <w:t xml:space="preserve"> (</w:t>
      </w:r>
      <w:r w:rsidR="007D4A51" w:rsidRPr="00713E31">
        <w:rPr>
          <w:rFonts w:cs="Times New Roman"/>
        </w:rPr>
        <w:fldChar w:fldCharType="begin"/>
      </w:r>
      <w:r w:rsidR="007D4A51" w:rsidRPr="00713E31">
        <w:rPr>
          <w:rFonts w:cs="Times New Roman"/>
        </w:rPr>
        <w:instrText xml:space="preserve"> REF _Ref27235160 \h  \* MERGEFORMAT </w:instrText>
      </w:r>
      <w:r w:rsidR="007D4A51" w:rsidRPr="00713E31">
        <w:rPr>
          <w:rFonts w:cs="Times New Roman"/>
        </w:rPr>
      </w:r>
      <w:r w:rsidR="007D4A51" w:rsidRPr="00713E31">
        <w:rPr>
          <w:rFonts w:cs="Times New Roman"/>
        </w:rPr>
        <w:fldChar w:fldCharType="separate"/>
      </w:r>
      <w:r w:rsidR="007D4A51" w:rsidRPr="00713E31">
        <w:rPr>
          <w:rFonts w:cs="Times New Roman"/>
        </w:rPr>
        <w:t xml:space="preserve">Fig. </w:t>
      </w:r>
      <w:r w:rsidR="007D4A51" w:rsidRPr="00713E31">
        <w:rPr>
          <w:rFonts w:cs="Times New Roman"/>
          <w:noProof/>
        </w:rPr>
        <w:t>3</w:t>
      </w:r>
      <w:r w:rsidR="007D4A51" w:rsidRPr="00713E31">
        <w:rPr>
          <w:rFonts w:cs="Times New Roman"/>
        </w:rPr>
        <w:fldChar w:fldCharType="end"/>
      </w:r>
      <w:r w:rsidR="00D7171C" w:rsidRPr="00713E31">
        <w:rPr>
          <w:rFonts w:cs="Times New Roman"/>
        </w:rPr>
        <w:t xml:space="preserve"> </w:t>
      </w:r>
      <w:r w:rsidR="007D4A51" w:rsidRPr="00713E31">
        <w:rPr>
          <w:rFonts w:cs="Times New Roman"/>
        </w:rPr>
        <w:t>a)</w:t>
      </w:r>
      <w:r w:rsidR="00FF67D6" w:rsidRPr="00713E31">
        <w:rPr>
          <w:rFonts w:cs="Times New Roman"/>
        </w:rPr>
        <w:t>.</w:t>
      </w:r>
      <w:r w:rsidR="005B505C" w:rsidRPr="005B505C">
        <w:rPr>
          <w:rFonts w:cs="Times New Roman"/>
        </w:rPr>
        <w:t xml:space="preserve"> </w:t>
      </w:r>
      <w:r w:rsidR="005B505C">
        <w:rPr>
          <w:rFonts w:cs="Times New Roman"/>
        </w:rPr>
        <w:t xml:space="preserve">Although the </w:t>
      </w:r>
      <w:r w:rsidR="005B505C" w:rsidRPr="00713E31">
        <w:rPr>
          <w:rFonts w:cs="Times New Roman"/>
        </w:rPr>
        <w:t>77% of the potassium of the ashes was soluble</w:t>
      </w:r>
      <w:r w:rsidR="005B505C">
        <w:rPr>
          <w:rFonts w:cs="Times New Roman"/>
        </w:rPr>
        <w:t>,</w:t>
      </w:r>
      <w:r w:rsidR="00FF67D6" w:rsidRPr="00713E31">
        <w:rPr>
          <w:rFonts w:cs="Times New Roman"/>
        </w:rPr>
        <w:t xml:space="preserve"> </w:t>
      </w:r>
      <w:r w:rsidR="005B505C">
        <w:rPr>
          <w:rFonts w:cs="Times New Roman"/>
        </w:rPr>
        <w:t>the formation of either struvite or K-struvite</w:t>
      </w:r>
      <w:r w:rsidR="005B505C" w:rsidRPr="00EF75A4">
        <w:rPr>
          <w:rFonts w:cs="Times New Roman"/>
        </w:rPr>
        <w:t xml:space="preserve"> in </w:t>
      </w:r>
      <w:r w:rsidR="005B505C">
        <w:rPr>
          <w:rFonts w:cs="Times New Roman"/>
        </w:rPr>
        <w:t>the</w:t>
      </w:r>
      <w:r w:rsidR="005B505C" w:rsidRPr="00EF75A4">
        <w:rPr>
          <w:rFonts w:cs="Times New Roman"/>
        </w:rPr>
        <w:t xml:space="preserve"> blends</w:t>
      </w:r>
      <w:r w:rsidR="005B505C">
        <w:rPr>
          <w:rFonts w:cs="Times New Roman"/>
        </w:rPr>
        <w:t xml:space="preserve"> was unlikely </w:t>
      </w:r>
      <w:r w:rsidR="00911F02">
        <w:rPr>
          <w:rFonts w:cs="Times New Roman"/>
        </w:rPr>
        <w:t>bec</w:t>
      </w:r>
      <w:r w:rsidR="005B505C">
        <w:rPr>
          <w:rFonts w:cs="Times New Roman"/>
        </w:rPr>
        <w:t>a</w:t>
      </w:r>
      <w:r w:rsidR="00911F02">
        <w:rPr>
          <w:rFonts w:cs="Times New Roman"/>
        </w:rPr>
        <w:t>u</w:t>
      </w:r>
      <w:r w:rsidR="005B505C">
        <w:rPr>
          <w:rFonts w:cs="Times New Roman"/>
        </w:rPr>
        <w:t>se</w:t>
      </w:r>
      <w:r w:rsidR="001331A1">
        <w:rPr>
          <w:rFonts w:cs="Times New Roman"/>
        </w:rPr>
        <w:t xml:space="preserve"> less than 1% of the magnesium</w:t>
      </w:r>
      <w:r w:rsidR="008A293C">
        <w:rPr>
          <w:rFonts w:cs="Times New Roman"/>
        </w:rPr>
        <w:t xml:space="preserve"> </w:t>
      </w:r>
      <w:r w:rsidR="008A293C" w:rsidRPr="008A293C">
        <w:rPr>
          <w:rFonts w:cs="Times New Roman"/>
          <w:b/>
        </w:rPr>
        <w:t>provided by the ashes</w:t>
      </w:r>
      <w:r w:rsidR="00FF67D6" w:rsidRPr="00EF75A4">
        <w:rPr>
          <w:rFonts w:cs="Times New Roman"/>
        </w:rPr>
        <w:t xml:space="preserve"> was soluble</w:t>
      </w:r>
      <w:r w:rsidR="001331A1">
        <w:rPr>
          <w:rFonts w:cs="Times New Roman"/>
        </w:rPr>
        <w:t xml:space="preserve"> (Online resource </w:t>
      </w:r>
      <w:r w:rsidR="00A4570B">
        <w:rPr>
          <w:rFonts w:cs="Times New Roman"/>
        </w:rPr>
        <w:t>1</w:t>
      </w:r>
      <w:r w:rsidR="001331A1">
        <w:rPr>
          <w:rFonts w:cs="Times New Roman"/>
        </w:rPr>
        <w:t>)</w:t>
      </w:r>
      <w:r w:rsidR="00FF67D6" w:rsidRPr="00EF75A4">
        <w:rPr>
          <w:rFonts w:cs="Times New Roman"/>
        </w:rPr>
        <w:t xml:space="preserve">. Moreover, given the high content of calcium of </w:t>
      </w:r>
      <w:r w:rsidR="00807036">
        <w:rPr>
          <w:rFonts w:cs="Times New Roman"/>
        </w:rPr>
        <w:t>the</w:t>
      </w:r>
      <w:r w:rsidR="00FF67D6" w:rsidRPr="00EF75A4">
        <w:rPr>
          <w:rFonts w:cs="Times New Roman"/>
        </w:rPr>
        <w:t xml:space="preserve"> ashes, it was expected that the decrease of the WS P</w:t>
      </w:r>
      <w:r w:rsidR="001331A1">
        <w:rPr>
          <w:rFonts w:cs="Times New Roman"/>
        </w:rPr>
        <w:t>O</w:t>
      </w:r>
      <w:r w:rsidR="001331A1" w:rsidRPr="001331A1">
        <w:rPr>
          <w:rFonts w:cs="Times New Roman"/>
          <w:vertAlign w:val="subscript"/>
        </w:rPr>
        <w:t>4</w:t>
      </w:r>
      <w:r w:rsidR="001331A1" w:rsidRPr="001331A1">
        <w:rPr>
          <w:rFonts w:cs="Times New Roman"/>
          <w:vertAlign w:val="superscript"/>
        </w:rPr>
        <w:t>3-</w:t>
      </w:r>
      <w:r w:rsidR="00FF67D6" w:rsidRPr="00EF75A4">
        <w:rPr>
          <w:rFonts w:cs="Times New Roman"/>
        </w:rPr>
        <w:t xml:space="preserve"> was due to a mixture of sorption and precipitation reactions </w:t>
      </w:r>
      <w:r w:rsidR="00FF67D6" w:rsidRPr="00EF75A4">
        <w:rPr>
          <w:rFonts w:cs="Times New Roman"/>
        </w:rPr>
        <w:fldChar w:fldCharType="begin" w:fldLock="1"/>
      </w:r>
      <w:r w:rsidR="00233927">
        <w:rPr>
          <w:rFonts w:cs="Times New Roman"/>
        </w:rPr>
        <w:instrText>ADDIN CSL_CITATION {"citationItems":[{"id":"ITEM-1","itemData":{"DOI":"10.1023/A:1009709005147","ISSN":"13851314","abstract":"P-removal from soil solution is mainly due to adsorption and precipitation reactions. For calcareous soils two pathways have been proposed as being relevant: partitioning on soil surfaces and precipitation induced by Ca2+ ions in solution. To define P-speciation in soil and reduce P-immobilisation following fertilisation, the relative importance of these two reactions needs to be quantitatively established. This investigation, conducted on two calcareous soils, suggests that Ca-ion activity in the liquid phase is mainly responsible for the formation of insoluble Ca-P phases. Our study was carried out by determining: a) batch sorption isotherms at different slurry concentrations, times of contact, pH and indifferent electrolyte concentrations; b) supernatant isotherms on soil suspensions; c) insolubilisation kinetics of P added to soil columns. The shape of the sorption isotherms indicated that adsorption predominated at low concentrations (below approximately 0.5 mM); above this level precipitation became predominant. Precipitation from solution was demonstrated by adding increasing amounts of phosphate to soil suspension supernatants and precipitation levels comparable to those observed in sorption isotherms were obtained. Thus, carbonate mineral surfaces were not necessary for the induction of P precipitation. The formation of Ca-P mineral phases was increased with reaction time and was governed by the concentration of Ca-ions, pH and indifferent electrolyte concentration. P added at the top of soil columns was rapidly insolubilised: after 5 weeks the P-Olsen value was reduced to about 60% and P was not transported to the deepest layers but remained in the surface ones. These results suggest that, for soils with a high reservoir of exchangeable cations able to form insoluble P phases, precipitation is the predominant mechanism which reduces P availability for plants.","author":[{"dropping-particle":"","family":"Tunesi","given":"Simonetta","non-dropping-particle":"","parse-names":false,"suffix":""},{"dropping-particle":"","family":"Poggi","given":"Valeria","non-dropping-particle":"","parse-names":false,"suffix":""},{"dropping-particle":"","family":"Gessa","given":"Carlo","non-dropping-particle":"","parse-names":false,"suffix":""}],"container-title":"Nutrient Cycling in Agroecosystems","id":"ITEM-1","issue":"3","issued":{"date-parts":[["1999"]]},"page":"219-227","title":"Phosphate adsorption and precipitation in calcareous soils: The role of calcium ions in solution and carbonate minerals","type":"article-journal","volume":"53"},"uris":["http://www.mendeley.com/documents/?uuid=1bd6676b-1b8c-4fb2-886c-2c90af4571a9"]}],"mendeley":{"formattedCitation":"[68]","plainTextFormattedCitation":"[68]","previouslyFormattedCitation":"[68]"},"properties":{"noteIndex":0},"schema":"https://github.com/citation-style-language/schema/raw/master/csl-citation.json"}</w:instrText>
      </w:r>
      <w:r w:rsidR="00FF67D6" w:rsidRPr="00EF75A4">
        <w:rPr>
          <w:rFonts w:cs="Times New Roman"/>
          <w:vertAlign w:val="superscript"/>
        </w:rPr>
        <w:fldChar w:fldCharType="separate"/>
      </w:r>
      <w:r w:rsidR="00523707" w:rsidRPr="00523707">
        <w:rPr>
          <w:rFonts w:cs="Times New Roman"/>
          <w:noProof/>
        </w:rPr>
        <w:t>[68]</w:t>
      </w:r>
      <w:r w:rsidR="00FF67D6" w:rsidRPr="00EF75A4">
        <w:rPr>
          <w:rFonts w:cs="Times New Roman"/>
        </w:rPr>
        <w:fldChar w:fldCharType="end"/>
      </w:r>
      <w:r w:rsidR="00FF67D6" w:rsidRPr="00EF75A4">
        <w:rPr>
          <w:rFonts w:cs="Times New Roman"/>
        </w:rPr>
        <w:t>. Howev</w:t>
      </w:r>
      <w:r w:rsidR="001331A1">
        <w:rPr>
          <w:rFonts w:cs="Times New Roman"/>
        </w:rPr>
        <w:t>er, since less than 1% of the calcium</w:t>
      </w:r>
      <w:r w:rsidR="00FF67D6" w:rsidRPr="00EF75A4">
        <w:rPr>
          <w:rFonts w:cs="Times New Roman"/>
        </w:rPr>
        <w:t xml:space="preserve"> of </w:t>
      </w:r>
      <w:r w:rsidR="00807036">
        <w:rPr>
          <w:rFonts w:cs="Times New Roman"/>
        </w:rPr>
        <w:t>the</w:t>
      </w:r>
      <w:r w:rsidR="00FF67D6" w:rsidRPr="00EF75A4">
        <w:rPr>
          <w:rFonts w:cs="Times New Roman"/>
        </w:rPr>
        <w:t xml:space="preserve"> ashes was soluble, the precipitation of a calcium phosphate compound was </w:t>
      </w:r>
      <w:r w:rsidR="00B82056">
        <w:rPr>
          <w:rFonts w:cs="Times New Roman"/>
        </w:rPr>
        <w:t>less feasible</w:t>
      </w:r>
      <w:r w:rsidR="00FF67D6" w:rsidRPr="00EF75A4">
        <w:rPr>
          <w:rFonts w:cs="Times New Roman"/>
        </w:rPr>
        <w:t xml:space="preserve">. Sakthivel et al. </w:t>
      </w:r>
      <w:r w:rsidR="00FF67D6" w:rsidRPr="00EF75A4">
        <w:rPr>
          <w:rFonts w:cs="Times New Roman"/>
        </w:rPr>
        <w:fldChar w:fldCharType="begin" w:fldLock="1"/>
      </w:r>
      <w:r w:rsidR="00BB33F9">
        <w:rPr>
          <w:rFonts w:cs="Times New Roman"/>
        </w:rPr>
        <w:instrText>ADDIN CSL_CITATION {"citationItems":[{"id":"ITEM-1","itemData":{"DOI":"10.1016/j.scitotenv.2011.12.065","ISSN":"00489697","abstract":"Struvite precipitation is a simple technology for phosphorus recovery from source-separated urine. However, production costs can be high if expensive magnesium salts are used as precipitants. Therefore, waste products can be interesting alternatives to industrially-produced magnesium salts. We investigated the technical and financial feasibility of wood ash as a magnesium source in India. In batch experiments with source-separated urine, we could precipitate 99% of the phosphate with a magnesium dosage of 2.7molMgmolP -1. The availability of the magnesium from the wood ash used in our experiment was only about 50% but this could be increased by burning the wood at temperatures well above 600°C. Depending on the wood ash used, the precipitate can contain high concentrations of heavy metals. This could be problematic if the precipitate were used as fertilizer depending on the applicable fertilizer regulations. The financial study revealed that wood ash is considerably cheaper than industrially-produced magnesium sources and even cheaper than bittern. However, the solid precipitated with wood ash is not pure struvite. Due to the high calcite and the low phosphorus content (3%), the precipitate would be better used as a phosphorus-enhanced conditioner for acidic soils. The estimated fertilizer value of the precipitate was actually slightly lower than wood ash, because 60% of the potassium dissolved into solution during precipitation and was not present in the final product. From a financial point of view and due to the high heavy metal content, wood ash is not a very suitable precipitant for struvite production. Phosphate precipitation from urine with wood ash can be useful if (1) a strong need for a soil conditioner that also contains phosphate exists, (2) potassium is abundant in the soil and (3) no other cheap precipitant, such as bittern or magnesium oxide, is available. © 2012 Elsevier B.V.","author":[{"dropping-particle":"","family":"Sakthivel","given":"S. Ramesh","non-dropping-particle":"","parse-names":false,"suffix":""},{"dropping-particle":"","family":"Tilley","given":"Elizabeth","non-dropping-particle":"","parse-names":false,"suffix":""},{"dropping-particle":"","family":"Udert","given":"Kai M.","non-dropping-particle":"","parse-names":false,"suffix":""}],"container-title":"Science of the Total Environment","id":"ITEM-1","issued":{"date-parts":[["2012"]]},"page":"68-75","publisher":"Elsevier B.V.","title":"Wood ash as a magnesium source for phosphorus recovery from source-separated urine","type":"article-journal","volume":"419"},"uris":["http://www.mendeley.com/documents/?uuid=cdc6c03d-b1bc-4fb3-9dd4-a88282c88794"]}],"mendeley":{"formattedCitation":"[54]","plainTextFormattedCitation":"[54]","previouslyFormattedCitation":"[54]"},"properties":{"noteIndex":0},"schema":"https://github.com/citation-style-language/schema/raw/master/csl-citation.json"}</w:instrText>
      </w:r>
      <w:r w:rsidR="00FF67D6" w:rsidRPr="00EF75A4">
        <w:rPr>
          <w:rFonts w:cs="Times New Roman"/>
        </w:rPr>
        <w:fldChar w:fldCharType="separate"/>
      </w:r>
      <w:r w:rsidR="00D33723" w:rsidRPr="00D33723">
        <w:rPr>
          <w:rFonts w:cs="Times New Roman"/>
          <w:noProof/>
        </w:rPr>
        <w:t>[54]</w:t>
      </w:r>
      <w:r w:rsidR="00FF67D6" w:rsidRPr="00EF75A4">
        <w:rPr>
          <w:rFonts w:cs="Times New Roman"/>
        </w:rPr>
        <w:fldChar w:fldCharType="end"/>
      </w:r>
      <w:r w:rsidR="00FF67D6" w:rsidRPr="00EF75A4">
        <w:rPr>
          <w:rFonts w:cs="Times New Roman"/>
        </w:rPr>
        <w:t xml:space="preserve"> reported calcite (CaCO</w:t>
      </w:r>
      <w:r w:rsidR="00FF67D6" w:rsidRPr="00EF75A4">
        <w:rPr>
          <w:rFonts w:cs="Times New Roman"/>
          <w:vertAlign w:val="subscript"/>
        </w:rPr>
        <w:t>3</w:t>
      </w:r>
      <w:r w:rsidR="00FF67D6" w:rsidRPr="00EF75A4">
        <w:rPr>
          <w:rFonts w:cs="Times New Roman"/>
        </w:rPr>
        <w:t>) as the main compound in the precipitate and struvite as the only phosphate compound detected. Other compounds such as hydroxyap</w:t>
      </w:r>
      <w:r w:rsidR="008D6098">
        <w:rPr>
          <w:rFonts w:cs="Times New Roman"/>
        </w:rPr>
        <w:t>atite and octacalcium phosphate</w:t>
      </w:r>
      <w:r w:rsidR="00FF67D6" w:rsidRPr="00EF75A4">
        <w:rPr>
          <w:rFonts w:cs="Times New Roman"/>
        </w:rPr>
        <w:t xml:space="preserve"> were described as intermediates because they were not found in the precipitate. </w:t>
      </w:r>
      <w:r w:rsidR="001331A1">
        <w:rPr>
          <w:rFonts w:cs="Times New Roman"/>
        </w:rPr>
        <w:t>According to</w:t>
      </w:r>
      <w:r w:rsidR="00FF67D6" w:rsidRPr="00EF75A4">
        <w:rPr>
          <w:rFonts w:cs="Times New Roman"/>
        </w:rPr>
        <w:t xml:space="preserve"> Yagi and Fukushi</w:t>
      </w:r>
      <w:r w:rsidR="001331A1">
        <w:rPr>
          <w:rFonts w:cs="Times New Roman"/>
        </w:rPr>
        <w:t xml:space="preserve"> </w:t>
      </w:r>
      <w:r w:rsidR="001331A1">
        <w:rPr>
          <w:rFonts w:cs="Times New Roman"/>
        </w:rPr>
        <w:fldChar w:fldCharType="begin" w:fldLock="1"/>
      </w:r>
      <w:r w:rsidR="00BB33F9">
        <w:rPr>
          <w:rFonts w:cs="Times New Roman"/>
        </w:rPr>
        <w:instrText>ADDIN CSL_CITATION {"citationItems":[{"id":"ITEM-1","itemData":{"DOI":"10.1016/j.jcis.2012.06.063","ISSN":"00219797","abstract":"The sorption behavior and mechanism of phosphate on monohydrocalcite (CaCO3{dot operator}H2O: MHC) were examined using batch sorption experiments as a function of phosphate concentrations, ionic strengths, temperatures, and reaction times. The mode of PO4 sorption is divisible into three processes depending on the phosphate loading. At low phosphate concentrations, phosphate is removed by coprecipitation of phosphate during the transformation of MHC to calcite. The sorption mode at the low-to-moderate phosphate concentrations is most likely an adsorption process because the sorption isotherm at the conditions can be fitted reasonably with the Langmuir equation. The rapid sorption kinetics at the conditions is also consistent with the adsorption reaction. The adsorption of phosphate on MHC depends strongly on ionic strength, but slightly on temperature. The maximum adsorption capacities of MHC obtained from the regression of the experimental data to the Langmuir equation are higher than those reported for stable calcium carbonate (calcite or aragonite) in any conditions. At high phosphate concentrations, the amount of sorption deviates from the Langmuir isotherm, which can fit the low-to-moderate phosphate concentrations. Speciation-saturation analyses of the reacted solutions at the conditions indicated that the solution compositions which deviate from the Langmuir equation are supersaturated with respect to a certain calcium phosphate. The obtained calcium phosphate is most likely amorphous calcium phosphate (Ca3(PO4)2{dot operator}xH2O). The formation of the calcium phosphate depends strongly on ionic strength, temperature, and reaction times. The solubility of MHC is higher than calcite and aragonite because of its metastability. Therefore, the higher solubility of MHC facilitates the formation of the calcium phosphates more than with calcite and aragonite. © 2012 Elsevier Inc.","author":[{"dropping-particle":"","family":"Yagi","given":"Shintaro","non-dropping-particle":"","parse-names":false,"suffix":""},{"dropping-particle":"","family":"Fukushi","given":"Keisuke","non-dropping-particle":"","parse-names":false,"suffix":""}],"container-title":"Journal of Colloid and Interface Science","id":"ITEM-1","issue":"1","issued":{"date-parts":[["2012"]]},"page":"128-136","publisher":"Elsevier Inc.","title":"Removal of phosphate from solution by adsorption and precipitation of calcium phosphate onto monohydrocalcite","type":"article-journal","volume":"384"},"uris":["http://www.mendeley.com/documents/?uuid=553c6630-594d-42ce-aeff-c4c4e60d49c9"]}],"mendeley":{"formattedCitation":"[20]","plainTextFormattedCitation":"[20]","previouslyFormattedCitation":"[20]"},"properties":{"noteIndex":0},"schema":"https://github.com/citation-style-language/schema/raw/master/csl-citation.json"}</w:instrText>
      </w:r>
      <w:r w:rsidR="001331A1">
        <w:rPr>
          <w:rFonts w:cs="Times New Roman"/>
        </w:rPr>
        <w:fldChar w:fldCharType="separate"/>
      </w:r>
      <w:r w:rsidR="00D33723" w:rsidRPr="00D33723">
        <w:rPr>
          <w:rFonts w:cs="Times New Roman"/>
          <w:noProof/>
        </w:rPr>
        <w:t>[20]</w:t>
      </w:r>
      <w:r w:rsidR="001331A1">
        <w:rPr>
          <w:rFonts w:cs="Times New Roman"/>
        </w:rPr>
        <w:fldChar w:fldCharType="end"/>
      </w:r>
      <w:r w:rsidR="00FF67D6" w:rsidRPr="00EF75A4">
        <w:rPr>
          <w:rFonts w:cs="Times New Roman"/>
        </w:rPr>
        <w:t>, calcium phosphates with lower concentrations than 1 wt.% could not be detected from the XRD patterns.</w:t>
      </w:r>
      <w:r w:rsidR="001C64E0">
        <w:rPr>
          <w:rFonts w:cs="Times New Roman"/>
        </w:rPr>
        <w:t xml:space="preserve"> </w:t>
      </w:r>
      <w:r w:rsidR="001D0326" w:rsidRPr="006158D1">
        <w:rPr>
          <w:rFonts w:cs="Times New Roman"/>
          <w:b/>
        </w:rPr>
        <w:t xml:space="preserve">Yagi &amp; Fukushi </w:t>
      </w:r>
      <w:r w:rsidR="001D0326" w:rsidRPr="006158D1">
        <w:rPr>
          <w:rStyle w:val="FootnoteReference"/>
          <w:rFonts w:cs="Times New Roman"/>
          <w:b/>
        </w:rPr>
        <w:fldChar w:fldCharType="begin" w:fldLock="1"/>
      </w:r>
      <w:r w:rsidR="00BB33F9">
        <w:rPr>
          <w:rFonts w:cs="Times New Roman"/>
          <w:b/>
        </w:rPr>
        <w:instrText>ADDIN CSL_CITATION {"citationItems":[{"id":"ITEM-1","itemData":{"DOI":"10.1016/j.jcis.2012.06.063","ISSN":"00219797","abstract":"The sorption behavior and mechanism of phosphate on monohydrocalcite (CaCO3{dot operator}H2O: MHC) were examined using batch sorption experiments as a function of phosphate concentrations, ionic strengths, temperatures, and reaction times. The mode of PO4 sorption is divisible into three processes depending on the phosphate loading. At low phosphate concentrations, phosphate is removed by coprecipitation of phosphate during the transformation of MHC to calcite. The sorption mode at the low-to-moderate phosphate concentrations is most likely an adsorption process because the sorption isotherm at the conditions can be fitted reasonably with the Langmuir equation. The rapid sorption kinetics at the conditions is also consistent with the adsorption reaction. The adsorption of phosphate on MHC depends strongly on ionic strength, but slightly on temperature. The maximum adsorption capacities of MHC obtained from the regression of the experimental data to the Langmuir equation are higher than those reported for stable calcium carbonate (calcite or aragonite) in any conditions. At high phosphate concentrations, the amount of sorption deviates from the Langmuir isotherm, which can fit the low-to-moderate phosphate concentrations. Speciation-saturation analyses of the reacted solutions at the conditions indicated that the solution compositions which deviate from the Langmuir equation are supersaturated with respect to a certain calcium phosphate. The obtained calcium phosphate is most likely amorphous calcium phosphate (Ca3(PO4)2{dot operator}xH2O). The formation of the calcium phosphate depends strongly on ionic strength, temperature, and reaction times. The solubility of MHC is higher than calcite and aragonite because of its metastability. Therefore, the higher solubility of MHC facilitates the formation of the calcium phosphates more than with calcite and aragonite. © 2012 Elsevier Inc.","author":[{"dropping-particle":"","family":"Yagi","given":"Shintaro","non-dropping-particle":"","parse-names":false,"suffix":""},{"dropping-particle":"","family":"Fukushi","given":"Keisuke","non-dropping-particle":"","parse-names":false,"suffix":""}],"container-title":"Journal of Colloid and Interface Science","id":"ITEM-1","issue":"1","issued":{"date-parts":[["2012"]]},"page":"128-136","publisher":"Elsevier Inc.","title":"Removal of phosphate from solution by adsorption and precipitation of calcium phosphate onto monohydrocalcite","type":"article-journal","volume":"384"},"uris":["http://www.mendeley.com/documents/?uuid=553c6630-594d-42ce-aeff-c4c4e60d49c9"]}],"mendeley":{"formattedCitation":"[20]","plainTextFormattedCitation":"[20]","previouslyFormattedCitation":"[20]"},"properties":{"noteIndex":0},"schema":"https://github.com/citation-style-language/schema/raw/master/csl-citation.json"}</w:instrText>
      </w:r>
      <w:r w:rsidR="001D0326" w:rsidRPr="006158D1">
        <w:rPr>
          <w:rStyle w:val="FootnoteReference"/>
          <w:rFonts w:cs="Times New Roman"/>
          <w:b/>
        </w:rPr>
        <w:fldChar w:fldCharType="separate"/>
      </w:r>
      <w:r w:rsidR="00D33723" w:rsidRPr="00D33723">
        <w:rPr>
          <w:rFonts w:cs="Times New Roman"/>
          <w:noProof/>
        </w:rPr>
        <w:t>[20]</w:t>
      </w:r>
      <w:r w:rsidR="001D0326" w:rsidRPr="006158D1">
        <w:rPr>
          <w:rStyle w:val="FootnoteReference"/>
          <w:rFonts w:cs="Times New Roman"/>
          <w:b/>
        </w:rPr>
        <w:fldChar w:fldCharType="end"/>
      </w:r>
      <w:r w:rsidR="001D0326" w:rsidRPr="006158D1">
        <w:rPr>
          <w:rFonts w:cs="Times New Roman"/>
          <w:b/>
        </w:rPr>
        <w:t xml:space="preserve"> studied the adsorption</w:t>
      </w:r>
      <w:r w:rsidR="00F95EB0" w:rsidRPr="006158D1">
        <w:rPr>
          <w:rFonts w:cs="Times New Roman"/>
          <w:b/>
        </w:rPr>
        <w:t xml:space="preserve"> and precipitation</w:t>
      </w:r>
      <w:r w:rsidR="006158D1" w:rsidRPr="006158D1">
        <w:rPr>
          <w:rFonts w:cs="Times New Roman"/>
          <w:b/>
        </w:rPr>
        <w:t xml:space="preserve"> by</w:t>
      </w:r>
      <w:r w:rsidR="001D0326" w:rsidRPr="006158D1">
        <w:rPr>
          <w:rFonts w:cs="Times New Roman"/>
          <w:b/>
        </w:rPr>
        <w:t xml:space="preserve"> </w:t>
      </w:r>
      <w:r w:rsidR="0009439E" w:rsidRPr="006158D1">
        <w:rPr>
          <w:rFonts w:cs="Times New Roman"/>
          <w:b/>
        </w:rPr>
        <w:t xml:space="preserve">adding </w:t>
      </w:r>
      <w:r w:rsidR="001D0326" w:rsidRPr="006158D1">
        <w:rPr>
          <w:rFonts w:cs="Times New Roman"/>
          <w:b/>
        </w:rPr>
        <w:t>100 mg monohydrocalcite (CaCO</w:t>
      </w:r>
      <w:r w:rsidR="001D0326" w:rsidRPr="006158D1">
        <w:rPr>
          <w:rFonts w:cs="Times New Roman"/>
          <w:b/>
          <w:vertAlign w:val="subscript"/>
        </w:rPr>
        <w:t>3</w:t>
      </w:r>
      <w:r w:rsidR="001D0326" w:rsidRPr="006158D1">
        <w:rPr>
          <w:rFonts w:cs="Times New Roman"/>
          <w:b/>
        </w:rPr>
        <w:t>*H</w:t>
      </w:r>
      <w:r w:rsidR="001D0326" w:rsidRPr="006158D1">
        <w:rPr>
          <w:rFonts w:cs="Times New Roman"/>
          <w:b/>
          <w:vertAlign w:val="subscript"/>
        </w:rPr>
        <w:t>2</w:t>
      </w:r>
      <w:r w:rsidR="001D0326" w:rsidRPr="006158D1">
        <w:rPr>
          <w:rFonts w:cs="Times New Roman"/>
          <w:b/>
        </w:rPr>
        <w:t xml:space="preserve">O) </w:t>
      </w:r>
      <w:r w:rsidR="0009439E" w:rsidRPr="006158D1">
        <w:rPr>
          <w:rFonts w:cs="Times New Roman"/>
          <w:b/>
        </w:rPr>
        <w:t xml:space="preserve">to </w:t>
      </w:r>
      <w:r w:rsidR="001D0326" w:rsidRPr="006158D1">
        <w:rPr>
          <w:rFonts w:cs="Times New Roman"/>
          <w:b/>
        </w:rPr>
        <w:t>50 mL solutions ranging form 0.95 to 19.95 mg PO</w:t>
      </w:r>
      <w:r w:rsidR="001D0326" w:rsidRPr="006158D1">
        <w:rPr>
          <w:rFonts w:cs="Times New Roman"/>
          <w:b/>
          <w:vertAlign w:val="subscript"/>
        </w:rPr>
        <w:t>4</w:t>
      </w:r>
      <w:r w:rsidR="001D0326" w:rsidRPr="006158D1">
        <w:rPr>
          <w:rFonts w:cs="Times New Roman"/>
          <w:b/>
          <w:vertAlign w:val="superscript"/>
        </w:rPr>
        <w:t>3-</w:t>
      </w:r>
      <w:r w:rsidR="001D0326" w:rsidRPr="006158D1">
        <w:rPr>
          <w:rFonts w:cs="Times New Roman"/>
          <w:b/>
        </w:rPr>
        <w:t>/L under continuous stirring for 6 to 216 hours.</w:t>
      </w:r>
      <w:r w:rsidR="004577C1" w:rsidRPr="006158D1">
        <w:rPr>
          <w:rFonts w:cs="Times New Roman"/>
          <w:b/>
        </w:rPr>
        <w:t xml:space="preserve"> The lower </w:t>
      </w:r>
      <w:r w:rsidR="00A06A54" w:rsidRPr="006158D1">
        <w:rPr>
          <w:rFonts w:cs="Times New Roman"/>
          <w:b/>
        </w:rPr>
        <w:t xml:space="preserve">chemical </w:t>
      </w:r>
      <w:r w:rsidR="004577C1" w:rsidRPr="006158D1">
        <w:rPr>
          <w:rFonts w:cs="Times New Roman"/>
          <w:b/>
        </w:rPr>
        <w:t>stability of the CaCO</w:t>
      </w:r>
      <w:r w:rsidR="004577C1" w:rsidRPr="006158D1">
        <w:rPr>
          <w:rFonts w:cs="Times New Roman"/>
          <w:b/>
          <w:vertAlign w:val="subscript"/>
        </w:rPr>
        <w:t>3</w:t>
      </w:r>
      <w:r w:rsidR="004577C1" w:rsidRPr="006158D1">
        <w:rPr>
          <w:rFonts w:cs="Times New Roman"/>
          <w:b/>
        </w:rPr>
        <w:t>*H</w:t>
      </w:r>
      <w:r w:rsidR="004577C1" w:rsidRPr="006158D1">
        <w:rPr>
          <w:rFonts w:cs="Times New Roman"/>
          <w:b/>
          <w:vertAlign w:val="subscript"/>
        </w:rPr>
        <w:t>2</w:t>
      </w:r>
      <w:r w:rsidR="004577C1" w:rsidRPr="006158D1">
        <w:rPr>
          <w:rFonts w:cs="Times New Roman"/>
          <w:b/>
        </w:rPr>
        <w:t xml:space="preserve">O make this </w:t>
      </w:r>
      <w:r w:rsidR="00EC16D4" w:rsidRPr="006158D1">
        <w:rPr>
          <w:rFonts w:cs="Times New Roman"/>
          <w:b/>
        </w:rPr>
        <w:t>material</w:t>
      </w:r>
      <w:r w:rsidR="004577C1" w:rsidRPr="006158D1">
        <w:rPr>
          <w:rFonts w:cs="Times New Roman"/>
          <w:b/>
        </w:rPr>
        <w:t xml:space="preserve"> more reactive and more suitable for </w:t>
      </w:r>
      <w:r w:rsidR="004243F0" w:rsidRPr="006158D1">
        <w:rPr>
          <w:rFonts w:cs="Times New Roman"/>
          <w:b/>
        </w:rPr>
        <w:t>d</w:t>
      </w:r>
      <w:r w:rsidR="0099277F" w:rsidRPr="006158D1">
        <w:rPr>
          <w:rFonts w:cs="Times New Roman"/>
          <w:b/>
        </w:rPr>
        <w:t>ecreasing</w:t>
      </w:r>
      <w:r w:rsidR="004243F0" w:rsidRPr="006158D1">
        <w:rPr>
          <w:rFonts w:cs="Times New Roman"/>
          <w:b/>
        </w:rPr>
        <w:t xml:space="preserve"> the availability </w:t>
      </w:r>
      <w:r w:rsidR="004577C1" w:rsidRPr="006158D1">
        <w:rPr>
          <w:rFonts w:cs="Times New Roman"/>
          <w:b/>
        </w:rPr>
        <w:t xml:space="preserve">of </w:t>
      </w:r>
      <w:r w:rsidR="00F95EB0" w:rsidRPr="006158D1">
        <w:rPr>
          <w:rFonts w:cs="Times New Roman"/>
          <w:b/>
        </w:rPr>
        <w:t xml:space="preserve">the </w:t>
      </w:r>
      <w:r w:rsidR="004577C1" w:rsidRPr="006158D1">
        <w:rPr>
          <w:rFonts w:cs="Times New Roman"/>
          <w:b/>
        </w:rPr>
        <w:t>WS P</w:t>
      </w:r>
      <w:r w:rsidR="004243F0" w:rsidRPr="006158D1">
        <w:rPr>
          <w:rFonts w:cs="Times New Roman"/>
          <w:b/>
        </w:rPr>
        <w:t>O</w:t>
      </w:r>
      <w:r w:rsidR="004243F0" w:rsidRPr="006158D1">
        <w:rPr>
          <w:rFonts w:cs="Times New Roman"/>
          <w:b/>
          <w:vertAlign w:val="subscript"/>
        </w:rPr>
        <w:t>4</w:t>
      </w:r>
      <w:r w:rsidR="004243F0" w:rsidRPr="006158D1">
        <w:rPr>
          <w:rFonts w:cs="Times New Roman"/>
          <w:b/>
          <w:vertAlign w:val="superscript"/>
        </w:rPr>
        <w:t>3-</w:t>
      </w:r>
      <w:r w:rsidR="00F95EB0" w:rsidRPr="006158D1">
        <w:rPr>
          <w:rFonts w:cs="Times New Roman"/>
          <w:b/>
        </w:rPr>
        <w:t xml:space="preserve">. </w:t>
      </w:r>
      <w:r w:rsidR="001D0326" w:rsidRPr="006158D1">
        <w:rPr>
          <w:rFonts w:cs="Times New Roman"/>
          <w:b/>
        </w:rPr>
        <w:t>The initial pH of the</w:t>
      </w:r>
      <w:r w:rsidR="00CB728F" w:rsidRPr="006158D1">
        <w:rPr>
          <w:rFonts w:cs="Times New Roman"/>
          <w:b/>
        </w:rPr>
        <w:t>ir</w:t>
      </w:r>
      <w:r w:rsidR="001D0326" w:rsidRPr="006158D1">
        <w:rPr>
          <w:rFonts w:cs="Times New Roman"/>
          <w:b/>
        </w:rPr>
        <w:t xml:space="preserve"> ble</w:t>
      </w:r>
      <w:r w:rsidR="00DB52FC" w:rsidRPr="006158D1">
        <w:rPr>
          <w:rFonts w:cs="Times New Roman"/>
          <w:b/>
        </w:rPr>
        <w:t>nd of 10.3, decreased until 8.3–</w:t>
      </w:r>
      <w:r w:rsidR="001D0326" w:rsidRPr="006158D1">
        <w:rPr>
          <w:rFonts w:cs="Times New Roman"/>
          <w:b/>
        </w:rPr>
        <w:t>8.8 after 24 hours due to the diffusion of the atmospheric CO</w:t>
      </w:r>
      <w:r w:rsidR="001D0326" w:rsidRPr="006158D1">
        <w:rPr>
          <w:rFonts w:cs="Times New Roman"/>
          <w:b/>
          <w:vertAlign w:val="subscript"/>
        </w:rPr>
        <w:t>2</w:t>
      </w:r>
      <w:r w:rsidR="001D0326" w:rsidRPr="006158D1">
        <w:rPr>
          <w:rFonts w:cs="Times New Roman"/>
          <w:b/>
        </w:rPr>
        <w:t xml:space="preserve">. </w:t>
      </w:r>
      <w:r w:rsidR="0009439E" w:rsidRPr="006158D1">
        <w:rPr>
          <w:rFonts w:cs="Times New Roman"/>
          <w:b/>
        </w:rPr>
        <w:t>They reported a decrease of 88% in the concentration of WS PO</w:t>
      </w:r>
      <w:r w:rsidR="0009439E" w:rsidRPr="006158D1">
        <w:rPr>
          <w:rFonts w:cs="Times New Roman"/>
          <w:b/>
          <w:vertAlign w:val="subscript"/>
        </w:rPr>
        <w:t>4</w:t>
      </w:r>
      <w:r w:rsidR="0009439E" w:rsidRPr="006158D1">
        <w:rPr>
          <w:rFonts w:cs="Times New Roman"/>
          <w:b/>
          <w:vertAlign w:val="superscript"/>
        </w:rPr>
        <w:t>3-</w:t>
      </w:r>
      <w:r w:rsidR="0009439E" w:rsidRPr="006158D1">
        <w:rPr>
          <w:rFonts w:cs="Times New Roman"/>
          <w:b/>
        </w:rPr>
        <w:t xml:space="preserve"> after 120 hours. Sakthivel et al. </w:t>
      </w:r>
      <w:r w:rsidR="0009439E" w:rsidRPr="006158D1">
        <w:rPr>
          <w:rFonts w:cs="Times New Roman"/>
          <w:b/>
        </w:rPr>
        <w:fldChar w:fldCharType="begin" w:fldLock="1"/>
      </w:r>
      <w:r w:rsidR="00BB33F9">
        <w:rPr>
          <w:rFonts w:cs="Times New Roman"/>
          <w:b/>
        </w:rPr>
        <w:instrText>ADDIN CSL_CITATION {"citationItems":[{"id":"ITEM-1","itemData":{"DOI":"10.1016/j.scitotenv.2011.12.065","ISSN":"00489697","abstract":"Struvite precipitation is a simple technology for phosphorus recovery from source-separated urine. However, production costs can be high if expensive magnesium salts are used as precipitants. Therefore, waste products can be interesting alternatives to industrially-produced magnesium salts. We investigated the technical and financial feasibility of wood ash as a magnesium source in India. In batch experiments with source-separated urine, we could precipitate 99% of the phosphate with a magnesium dosage of 2.7molMgmolP -1. The availability of the magnesium from the wood ash used in our experiment was only about 50% but this could be increased by burning the wood at temperatures well above 600°C. Depending on the wood ash used, the precipitate can contain high concentrations of heavy metals. This could be problematic if the precipitate were used as fertilizer depending on the applicable fertilizer regulations. The financial study revealed that wood ash is considerably cheaper than industrially-produced magnesium sources and even cheaper than bittern. However, the solid precipitated with wood ash is not pure struvite. Due to the high calcite and the low phosphorus content (3%), the precipitate would be better used as a phosphorus-enhanced conditioner for acidic soils. The estimated fertilizer value of the precipitate was actually slightly lower than wood ash, because 60% of the potassium dissolved into solution during precipitation and was not present in the final product. From a financial point of view and due to the high heavy metal content, wood ash is not a very suitable precipitant for struvite production. Phosphate precipitation from urine with wood ash can be useful if (1) a strong need for a soil conditioner that also contains phosphate exists, (2) potassium is abundant in the soil and (3) no other cheap precipitant, such as bittern or magnesium oxide, is available. © 2012 Elsevier B.V.","author":[{"dropping-particle":"","family":"Sakthivel","given":"S. Ramesh","non-dropping-particle":"","parse-names":false,"suffix":""},{"dropping-particle":"","family":"Tilley","given":"Elizabeth","non-dropping-particle":"","parse-names":false,"suffix":""},{"dropping-particle":"","family":"Udert","given":"Kai M.","non-dropping-particle":"","parse-names":false,"suffix":""}],"container-title":"Science of the Total Environment","id":"ITEM-1","issued":{"date-parts":[["2012"]]},"page":"68-75","publisher":"Elsevier B.V.","title":"Wood ash as a magnesium source for phosphorus recovery from source-separated urine","type":"article-journal","volume":"419"},"uris":["http://www.mendeley.com/documents/?uuid=cdc6c03d-b1bc-4fb3-9dd4-a88282c88794"]}],"mendeley":{"formattedCitation":"[54]","plainTextFormattedCitation":"[54]","previouslyFormattedCitation":"[54]"},"properties":{"noteIndex":0},"schema":"https://github.com/citation-style-language/schema/raw/master/csl-citation.json"}</w:instrText>
      </w:r>
      <w:r w:rsidR="0009439E" w:rsidRPr="006158D1">
        <w:rPr>
          <w:rFonts w:cs="Times New Roman"/>
          <w:b/>
        </w:rPr>
        <w:fldChar w:fldCharType="separate"/>
      </w:r>
      <w:r w:rsidR="00D33723" w:rsidRPr="00D33723">
        <w:rPr>
          <w:rFonts w:cs="Times New Roman"/>
          <w:noProof/>
        </w:rPr>
        <w:t>[54]</w:t>
      </w:r>
      <w:r w:rsidR="0009439E" w:rsidRPr="006158D1">
        <w:rPr>
          <w:rFonts w:cs="Times New Roman"/>
          <w:b/>
        </w:rPr>
        <w:fldChar w:fldCharType="end"/>
      </w:r>
      <w:r w:rsidR="0009439E" w:rsidRPr="006158D1">
        <w:rPr>
          <w:rFonts w:cs="Times New Roman"/>
          <w:b/>
        </w:rPr>
        <w:t xml:space="preserve"> reported a decrease of WS PO</w:t>
      </w:r>
      <w:r w:rsidR="0009439E" w:rsidRPr="006158D1">
        <w:rPr>
          <w:rFonts w:cs="Times New Roman"/>
          <w:b/>
          <w:vertAlign w:val="subscript"/>
        </w:rPr>
        <w:t>4</w:t>
      </w:r>
      <w:r w:rsidR="0009439E" w:rsidRPr="006158D1">
        <w:rPr>
          <w:rFonts w:cs="Times New Roman"/>
          <w:b/>
          <w:vertAlign w:val="superscript"/>
        </w:rPr>
        <w:t>3-</w:t>
      </w:r>
      <w:r w:rsidR="0009439E" w:rsidRPr="006158D1">
        <w:rPr>
          <w:rFonts w:cs="Times New Roman"/>
          <w:b/>
        </w:rPr>
        <w:t xml:space="preserve"> in less time (i.e. 87% removal after 0.5 hours, 97% removal after 1.5 hours, and 99.5% removal after </w:t>
      </w:r>
      <w:r w:rsidR="00CB728F" w:rsidRPr="006158D1">
        <w:rPr>
          <w:rFonts w:cs="Times New Roman"/>
          <w:b/>
        </w:rPr>
        <w:t>4</w:t>
      </w:r>
      <w:r w:rsidR="0009439E" w:rsidRPr="006158D1">
        <w:rPr>
          <w:rFonts w:cs="Times New Roman"/>
          <w:b/>
        </w:rPr>
        <w:t xml:space="preserve"> hours of add</w:t>
      </w:r>
      <w:r w:rsidR="00CB728F" w:rsidRPr="006158D1">
        <w:rPr>
          <w:rFonts w:cs="Times New Roman"/>
          <w:b/>
        </w:rPr>
        <w:t xml:space="preserve">ing the ash). In </w:t>
      </w:r>
      <w:r w:rsidR="00807036">
        <w:rPr>
          <w:rFonts w:cs="Times New Roman"/>
          <w:b/>
        </w:rPr>
        <w:t>the present</w:t>
      </w:r>
      <w:r w:rsidR="00CB728F" w:rsidRPr="006158D1">
        <w:rPr>
          <w:rFonts w:cs="Times New Roman"/>
          <w:b/>
        </w:rPr>
        <w:t xml:space="preserve"> study, </w:t>
      </w:r>
      <w:r w:rsidR="0009439E" w:rsidRPr="006158D1">
        <w:rPr>
          <w:rFonts w:cs="Times New Roman"/>
          <w:b/>
        </w:rPr>
        <w:t>reduction</w:t>
      </w:r>
      <w:r w:rsidR="00CB728F" w:rsidRPr="006158D1">
        <w:rPr>
          <w:rFonts w:cs="Times New Roman"/>
          <w:b/>
        </w:rPr>
        <w:t>s</w:t>
      </w:r>
      <w:r w:rsidR="0009439E" w:rsidRPr="006158D1">
        <w:rPr>
          <w:rFonts w:cs="Times New Roman"/>
          <w:b/>
        </w:rPr>
        <w:t xml:space="preserve"> of the concentration of the WS PO</w:t>
      </w:r>
      <w:r w:rsidR="0009439E" w:rsidRPr="006158D1">
        <w:rPr>
          <w:rFonts w:cs="Times New Roman"/>
          <w:b/>
          <w:vertAlign w:val="subscript"/>
        </w:rPr>
        <w:t>4</w:t>
      </w:r>
      <w:r w:rsidR="0009439E" w:rsidRPr="006158D1">
        <w:rPr>
          <w:rFonts w:cs="Times New Roman"/>
          <w:b/>
          <w:vertAlign w:val="superscript"/>
        </w:rPr>
        <w:t>3-</w:t>
      </w:r>
      <w:r w:rsidR="0009439E" w:rsidRPr="006158D1">
        <w:rPr>
          <w:rFonts w:cs="Times New Roman"/>
          <w:b/>
        </w:rPr>
        <w:t xml:space="preserve"> of 66% and 95% were achieved at the time of preparing the blend 1 and the blend 2, respectively (</w:t>
      </w:r>
      <w:r w:rsidR="0009439E" w:rsidRPr="006158D1">
        <w:rPr>
          <w:rFonts w:cs="Times New Roman"/>
          <w:b/>
        </w:rPr>
        <w:fldChar w:fldCharType="begin"/>
      </w:r>
      <w:r w:rsidR="0009439E" w:rsidRPr="006158D1">
        <w:rPr>
          <w:rFonts w:cs="Times New Roman"/>
          <w:b/>
        </w:rPr>
        <w:instrText xml:space="preserve"> REF _Ref14027835 \h  \* MERGEFORMAT </w:instrText>
      </w:r>
      <w:r w:rsidR="0009439E" w:rsidRPr="006158D1">
        <w:rPr>
          <w:rFonts w:cs="Times New Roman"/>
          <w:b/>
        </w:rPr>
      </w:r>
      <w:r w:rsidR="0009439E" w:rsidRPr="006158D1">
        <w:rPr>
          <w:rFonts w:cs="Times New Roman"/>
          <w:b/>
        </w:rPr>
        <w:fldChar w:fldCharType="separate"/>
      </w:r>
      <w:r w:rsidR="0009439E" w:rsidRPr="006158D1">
        <w:rPr>
          <w:rFonts w:cs="Times New Roman"/>
          <w:b/>
        </w:rPr>
        <w:t xml:space="preserve">Fig. </w:t>
      </w:r>
      <w:r w:rsidR="0009439E" w:rsidRPr="006158D1">
        <w:rPr>
          <w:rFonts w:cs="Times New Roman"/>
          <w:b/>
          <w:noProof/>
        </w:rPr>
        <w:t>6</w:t>
      </w:r>
      <w:r w:rsidR="0009439E" w:rsidRPr="006158D1">
        <w:rPr>
          <w:rFonts w:cs="Times New Roman"/>
          <w:b/>
        </w:rPr>
        <w:fldChar w:fldCharType="end"/>
      </w:r>
      <w:r w:rsidR="0009439E" w:rsidRPr="006158D1">
        <w:rPr>
          <w:rFonts w:cs="Times New Roman"/>
          <w:b/>
        </w:rPr>
        <w:t xml:space="preserve"> b).</w:t>
      </w:r>
    </w:p>
    <w:p w14:paraId="4B602F0F" w14:textId="2EA021C8" w:rsidR="00FF67D6" w:rsidRPr="00EF75A4" w:rsidRDefault="0021294E" w:rsidP="00C807A3">
      <w:pPr>
        <w:spacing w:line="360" w:lineRule="auto"/>
        <w:rPr>
          <w:rFonts w:cs="Times New Roman"/>
        </w:rPr>
      </w:pPr>
      <w:r w:rsidRPr="00713E31">
        <w:rPr>
          <w:rFonts w:cs="Times New Roman"/>
        </w:rPr>
        <w:t>In the study of</w:t>
      </w:r>
      <w:r w:rsidR="0009439E" w:rsidRPr="00713E31">
        <w:rPr>
          <w:rFonts w:cs="Times New Roman"/>
        </w:rPr>
        <w:t xml:space="preserve"> Yagi &amp; Fukushi </w:t>
      </w:r>
      <w:r w:rsidR="0009439E" w:rsidRPr="00713E31">
        <w:rPr>
          <w:rFonts w:cs="Times New Roman"/>
        </w:rPr>
        <w:fldChar w:fldCharType="begin" w:fldLock="1"/>
      </w:r>
      <w:r w:rsidR="00BB33F9">
        <w:rPr>
          <w:rFonts w:cs="Times New Roman"/>
        </w:rPr>
        <w:instrText>ADDIN CSL_CITATION {"citationItems":[{"id":"ITEM-1","itemData":{"DOI":"10.1016/j.jcis.2012.06.063","ISSN":"00219797","abstract":"The sorption behavior and mechanism of phosphate on monohydrocalcite (CaCO3{dot operator}H2O: MHC) were examined using batch sorption experiments as a function of phosphate concentrations, ionic strengths, temperatures, and reaction times. The mode of PO4 sorption is divisible into three processes depending on the phosphate loading. At low phosphate concentrations, phosphate is removed by coprecipitation of phosphate during the transformation of MHC to calcite. The sorption mode at the low-to-moderate phosphate concentrations is most likely an adsorption process because the sorption isotherm at the conditions can be fitted reasonably with the Langmuir equation. The rapid sorption kinetics at the conditions is also consistent with the adsorption reaction. The adsorption of phosphate on MHC depends strongly on ionic strength, but slightly on temperature. The maximum adsorption capacities of MHC obtained from the regression of the experimental data to the Langmuir equation are higher than those reported for stable calcium carbonate (calcite or aragonite) in any conditions. At high phosphate concentrations, the amount of sorption deviates from the Langmuir isotherm, which can fit the low-to-moderate phosphate concentrations. Speciation-saturation analyses of the reacted solutions at the conditions indicated that the solution compositions which deviate from the Langmuir equation are supersaturated with respect to a certain calcium phosphate. The obtained calcium phosphate is most likely amorphous calcium phosphate (Ca3(PO4)2{dot operator}xH2O). The formation of the calcium phosphate depends strongly on ionic strength, temperature, and reaction times. The solubility of MHC is higher than calcite and aragonite because of its metastability. Therefore, the higher solubility of MHC facilitates the formation of the calcium phosphates more than with calcite and aragonite. © 2012 Elsevier Inc.","author":[{"dropping-particle":"","family":"Yagi","given":"Shintaro","non-dropping-particle":"","parse-names":false,"suffix":""},{"dropping-particle":"","family":"Fukushi","given":"Keisuke","non-dropping-particle":"","parse-names":false,"suffix":""}],"container-title":"Journal of Colloid and Interface Science","id":"ITEM-1","issue":"1","issued":{"date-parts":[["2012"]]},"page":"128-136","publisher":"Elsevier Inc.","title":"Removal of phosphate from solution by adsorption and precipitation of calcium phosphate onto monohydrocalcite","type":"article-journal","volume":"384"},"uris":["http://www.mendeley.com/documents/?uuid=553c6630-594d-42ce-aeff-c4c4e60d49c9"]}],"mendeley":{"formattedCitation":"[20]","plainTextFormattedCitation":"[20]","previouslyFormattedCitation":"[20]"},"properties":{"noteIndex":0},"schema":"https://github.com/citation-style-language/schema/raw/master/csl-citation.json"}</w:instrText>
      </w:r>
      <w:r w:rsidR="0009439E" w:rsidRPr="00713E31">
        <w:rPr>
          <w:rFonts w:cs="Times New Roman"/>
        </w:rPr>
        <w:fldChar w:fldCharType="separate"/>
      </w:r>
      <w:r w:rsidR="00D33723" w:rsidRPr="00D33723">
        <w:rPr>
          <w:rFonts w:cs="Times New Roman"/>
          <w:noProof/>
        </w:rPr>
        <w:t>[20]</w:t>
      </w:r>
      <w:r w:rsidR="0009439E" w:rsidRPr="00713E31">
        <w:rPr>
          <w:rFonts w:cs="Times New Roman"/>
        </w:rPr>
        <w:fldChar w:fldCharType="end"/>
      </w:r>
      <w:r w:rsidR="0009439E" w:rsidRPr="00713E31">
        <w:rPr>
          <w:rFonts w:cs="Times New Roman"/>
        </w:rPr>
        <w:t>, t</w:t>
      </w:r>
      <w:r w:rsidR="00FF67D6" w:rsidRPr="00713E31">
        <w:rPr>
          <w:rFonts w:cs="Times New Roman"/>
        </w:rPr>
        <w:t>he most effective way of removing the P</w:t>
      </w:r>
      <w:r w:rsidR="00D63C9D" w:rsidRPr="00713E31">
        <w:rPr>
          <w:rFonts w:cs="Times New Roman"/>
        </w:rPr>
        <w:t>O</w:t>
      </w:r>
      <w:r w:rsidR="00D63C9D" w:rsidRPr="00713E31">
        <w:rPr>
          <w:rFonts w:cs="Times New Roman"/>
          <w:vertAlign w:val="subscript"/>
        </w:rPr>
        <w:t>4</w:t>
      </w:r>
      <w:r w:rsidR="00D63C9D" w:rsidRPr="00713E31">
        <w:rPr>
          <w:rFonts w:cs="Times New Roman"/>
          <w:vertAlign w:val="superscript"/>
        </w:rPr>
        <w:t>3-</w:t>
      </w:r>
      <w:r w:rsidR="00FF67D6" w:rsidRPr="00713E31">
        <w:rPr>
          <w:rFonts w:cs="Times New Roman"/>
        </w:rPr>
        <w:t xml:space="preserve"> </w:t>
      </w:r>
      <w:r w:rsidR="004243F0" w:rsidRPr="00713E31">
        <w:rPr>
          <w:rFonts w:cs="Times New Roman"/>
        </w:rPr>
        <w:t xml:space="preserve">from the WS phase </w:t>
      </w:r>
      <w:r w:rsidRPr="00713E31">
        <w:rPr>
          <w:rFonts w:cs="Times New Roman"/>
        </w:rPr>
        <w:t>wa</w:t>
      </w:r>
      <w:r w:rsidR="008C60E1" w:rsidRPr="00713E31">
        <w:rPr>
          <w:rFonts w:cs="Times New Roman"/>
        </w:rPr>
        <w:t xml:space="preserve">s </w:t>
      </w:r>
      <w:r w:rsidR="00FF67D6" w:rsidRPr="00713E31">
        <w:rPr>
          <w:rFonts w:cs="Times New Roman"/>
        </w:rPr>
        <w:t xml:space="preserve">via precipitation rather than adsorption onto Ca. </w:t>
      </w:r>
      <w:r w:rsidR="004577C1" w:rsidRPr="00713E31">
        <w:rPr>
          <w:rFonts w:cs="Times New Roman"/>
        </w:rPr>
        <w:t>I</w:t>
      </w:r>
      <w:r w:rsidR="00FF67D6" w:rsidRPr="00713E31">
        <w:rPr>
          <w:rFonts w:cs="Times New Roman"/>
        </w:rPr>
        <w:t>n</w:t>
      </w:r>
      <w:r w:rsidR="00FF67D6" w:rsidRPr="00EF75A4">
        <w:rPr>
          <w:rFonts w:cs="Times New Roman"/>
        </w:rPr>
        <w:t xml:space="preserve"> order to promote precipitation of calcium phophates</w:t>
      </w:r>
      <w:r w:rsidR="00CF7451" w:rsidRPr="00CF7451">
        <w:rPr>
          <w:rFonts w:cs="Times New Roman"/>
        </w:rPr>
        <w:t xml:space="preserve"> </w:t>
      </w:r>
      <w:r w:rsidR="00CF7451" w:rsidRPr="00EF75A4">
        <w:rPr>
          <w:rFonts w:cs="Times New Roman"/>
        </w:rPr>
        <w:t>in their system</w:t>
      </w:r>
      <w:r w:rsidR="00607B91">
        <w:rPr>
          <w:rFonts w:cs="Times New Roman"/>
        </w:rPr>
        <w:t>, it</w:t>
      </w:r>
      <w:r w:rsidR="00FF67D6" w:rsidRPr="00EF75A4">
        <w:rPr>
          <w:rFonts w:cs="Times New Roman"/>
        </w:rPr>
        <w:t xml:space="preserve"> </w:t>
      </w:r>
      <w:r w:rsidR="008C60E1">
        <w:rPr>
          <w:rFonts w:cs="Times New Roman"/>
        </w:rPr>
        <w:t>w</w:t>
      </w:r>
      <w:r>
        <w:rPr>
          <w:rFonts w:cs="Times New Roman"/>
        </w:rPr>
        <w:t>as</w:t>
      </w:r>
      <w:r w:rsidR="008C60E1" w:rsidRPr="00EF75A4">
        <w:rPr>
          <w:rFonts w:cs="Times New Roman"/>
        </w:rPr>
        <w:t xml:space="preserve"> </w:t>
      </w:r>
      <w:r w:rsidR="00FF67D6" w:rsidRPr="00EF75A4">
        <w:rPr>
          <w:rFonts w:cs="Times New Roman"/>
        </w:rPr>
        <w:t xml:space="preserve">required a concentration </w:t>
      </w:r>
      <w:r w:rsidR="0087005C">
        <w:rPr>
          <w:rFonts w:cs="Times New Roman"/>
        </w:rPr>
        <w:t xml:space="preserve">of WS </w:t>
      </w:r>
      <w:r w:rsidR="0087005C" w:rsidRPr="00EF75A4">
        <w:rPr>
          <w:rFonts w:cs="Times New Roman"/>
        </w:rPr>
        <w:t>PO</w:t>
      </w:r>
      <w:r w:rsidR="0087005C" w:rsidRPr="00EF75A4">
        <w:rPr>
          <w:rFonts w:cs="Times New Roman"/>
          <w:vertAlign w:val="subscript"/>
        </w:rPr>
        <w:t>4</w:t>
      </w:r>
      <w:r w:rsidR="0087005C" w:rsidRPr="00EF75A4">
        <w:rPr>
          <w:rFonts w:cs="Times New Roman"/>
          <w:vertAlign w:val="superscript"/>
        </w:rPr>
        <w:t>3-</w:t>
      </w:r>
      <w:r w:rsidR="0087005C">
        <w:rPr>
          <w:rFonts w:cs="Times New Roman"/>
        </w:rPr>
        <w:t xml:space="preserve"> </w:t>
      </w:r>
      <w:r w:rsidR="00607B91">
        <w:rPr>
          <w:rFonts w:cs="Times New Roman"/>
        </w:rPr>
        <w:t>higher than</w:t>
      </w:r>
      <w:r w:rsidR="0087005C">
        <w:rPr>
          <w:rFonts w:cs="Times New Roman"/>
        </w:rPr>
        <w:t xml:space="preserve"> 10.45 mg</w:t>
      </w:r>
      <w:r w:rsidR="00FF67D6" w:rsidRPr="00EF75A4">
        <w:rPr>
          <w:rFonts w:cs="Times New Roman"/>
        </w:rPr>
        <w:t>/L and a soluble sorption agent, such as CaCO</w:t>
      </w:r>
      <w:r w:rsidR="00FF67D6" w:rsidRPr="00EF75A4">
        <w:rPr>
          <w:rFonts w:cs="Times New Roman"/>
          <w:vertAlign w:val="subscript"/>
        </w:rPr>
        <w:t>3</w:t>
      </w:r>
      <w:r w:rsidR="00FF67D6" w:rsidRPr="00EF75A4">
        <w:rPr>
          <w:rFonts w:cs="Times New Roman"/>
        </w:rPr>
        <w:t>*H</w:t>
      </w:r>
      <w:r w:rsidR="00FF67D6" w:rsidRPr="00EF75A4">
        <w:rPr>
          <w:rFonts w:cs="Times New Roman"/>
          <w:vertAlign w:val="subscript"/>
        </w:rPr>
        <w:t>2</w:t>
      </w:r>
      <w:r w:rsidR="00FF67D6" w:rsidRPr="00EF75A4">
        <w:rPr>
          <w:rFonts w:cs="Times New Roman"/>
        </w:rPr>
        <w:t>O.</w:t>
      </w:r>
      <w:r w:rsidR="000B6FBA">
        <w:rPr>
          <w:rFonts w:cs="Times New Roman"/>
        </w:rPr>
        <w:t xml:space="preserve"> </w:t>
      </w:r>
      <w:r w:rsidR="000B6FBA" w:rsidRPr="006158D1">
        <w:rPr>
          <w:rFonts w:cs="Times New Roman"/>
          <w:b/>
        </w:rPr>
        <w:t>O</w:t>
      </w:r>
      <w:r w:rsidR="0009439E" w:rsidRPr="006158D1">
        <w:rPr>
          <w:rFonts w:cs="Times New Roman"/>
          <w:b/>
        </w:rPr>
        <w:t>ther process parameter that could</w:t>
      </w:r>
      <w:r w:rsidR="000B6FBA" w:rsidRPr="006158D1">
        <w:rPr>
          <w:rFonts w:cs="Times New Roman"/>
          <w:b/>
        </w:rPr>
        <w:t xml:space="preserve"> </w:t>
      </w:r>
      <w:r w:rsidR="005452C3" w:rsidRPr="006158D1">
        <w:rPr>
          <w:rFonts w:cs="Times New Roman"/>
          <w:b/>
        </w:rPr>
        <w:t>reduce</w:t>
      </w:r>
      <w:r w:rsidR="004243F0" w:rsidRPr="006158D1">
        <w:rPr>
          <w:rFonts w:cs="Times New Roman"/>
          <w:b/>
        </w:rPr>
        <w:t xml:space="preserve"> the availability </w:t>
      </w:r>
      <w:r w:rsidR="00EE1260">
        <w:rPr>
          <w:rFonts w:cs="Times New Roman"/>
          <w:b/>
        </w:rPr>
        <w:t>of the</w:t>
      </w:r>
      <w:r w:rsidR="0087005C">
        <w:rPr>
          <w:rFonts w:cs="Times New Roman"/>
          <w:b/>
        </w:rPr>
        <w:t xml:space="preserve"> WS</w:t>
      </w:r>
      <w:r w:rsidR="00EE1260">
        <w:rPr>
          <w:rFonts w:cs="Times New Roman"/>
          <w:b/>
        </w:rPr>
        <w:t xml:space="preserve"> </w:t>
      </w:r>
      <w:r w:rsidR="000B6FBA" w:rsidRPr="006158D1">
        <w:rPr>
          <w:rFonts w:cs="Times New Roman"/>
          <w:b/>
        </w:rPr>
        <w:t>PO</w:t>
      </w:r>
      <w:r w:rsidR="000B6FBA" w:rsidRPr="006158D1">
        <w:rPr>
          <w:rFonts w:cs="Times New Roman"/>
          <w:b/>
          <w:vertAlign w:val="subscript"/>
        </w:rPr>
        <w:t>4</w:t>
      </w:r>
      <w:r w:rsidR="000B6FBA" w:rsidRPr="006158D1">
        <w:rPr>
          <w:rFonts w:cs="Times New Roman"/>
          <w:b/>
          <w:vertAlign w:val="superscript"/>
        </w:rPr>
        <w:t>3-</w:t>
      </w:r>
      <w:r w:rsidR="000B6FBA" w:rsidRPr="006158D1">
        <w:rPr>
          <w:rFonts w:cs="Times New Roman"/>
          <w:b/>
        </w:rPr>
        <w:t xml:space="preserve"> is the</w:t>
      </w:r>
      <w:r w:rsidR="006158D1">
        <w:rPr>
          <w:rFonts w:cs="Times New Roman"/>
          <w:b/>
        </w:rPr>
        <w:t xml:space="preserve"> operating</w:t>
      </w:r>
      <w:r w:rsidR="000B6FBA" w:rsidRPr="006158D1">
        <w:rPr>
          <w:rFonts w:cs="Times New Roman"/>
          <w:b/>
        </w:rPr>
        <w:t xml:space="preserve"> temperature.</w:t>
      </w:r>
      <w:r w:rsidR="00FF67D6" w:rsidRPr="006158D1">
        <w:rPr>
          <w:rFonts w:cs="Times New Roman"/>
          <w:b/>
        </w:rPr>
        <w:t xml:space="preserve"> Yagi an</w:t>
      </w:r>
      <w:r w:rsidR="001331A1" w:rsidRPr="006158D1">
        <w:rPr>
          <w:rFonts w:cs="Times New Roman"/>
          <w:b/>
        </w:rPr>
        <w:t xml:space="preserve">d Fukushi </w:t>
      </w:r>
      <w:r w:rsidR="001331A1" w:rsidRPr="006158D1">
        <w:rPr>
          <w:rFonts w:cs="Times New Roman"/>
          <w:b/>
        </w:rPr>
        <w:fldChar w:fldCharType="begin" w:fldLock="1"/>
      </w:r>
      <w:r w:rsidR="00BB33F9">
        <w:rPr>
          <w:rFonts w:cs="Times New Roman"/>
          <w:b/>
        </w:rPr>
        <w:instrText>ADDIN CSL_CITATION {"citationItems":[{"id":"ITEM-1","itemData":{"DOI":"10.1016/j.jcis.2012.06.063","ISSN":"00219797","abstract":"The sorption behavior and mechanism of phosphate on monohydrocalcite (CaCO3{dot operator}H2O: MHC) were examined using batch sorption experiments as a function of phosphate concentrations, ionic strengths, temperatures, and reaction times. The mode of PO4 sorption is divisible into three processes depending on the phosphate loading. At low phosphate concentrations, phosphate is removed by coprecipitation of phosphate during the transformation of MHC to calcite. The sorption mode at the low-to-moderate phosphate concentrations is most likely an adsorption process because the sorption isotherm at the conditions can be fitted reasonably with the Langmuir equation. The rapid sorption kinetics at the conditions is also consistent with the adsorption reaction. The adsorption of phosphate on MHC depends strongly on ionic strength, but slightly on temperature. The maximum adsorption capacities of MHC obtained from the regression of the experimental data to the Langmuir equation are higher than those reported for stable calcium carbonate (calcite or aragonite) in any conditions. At high phosphate concentrations, the amount of sorption deviates from the Langmuir isotherm, which can fit the low-to-moderate phosphate concentrations. Speciation-saturation analyses of the reacted solutions at the conditions indicated that the solution compositions which deviate from the Langmuir equation are supersaturated with respect to a certain calcium phosphate. The obtained calcium phosphate is most likely amorphous calcium phosphate (Ca3(PO4)2{dot operator}xH2O). The formation of the calcium phosphate depends strongly on ionic strength, temperature, and reaction times. The solubility of MHC is higher than calcite and aragonite because of its metastability. Therefore, the higher solubility of MHC facilitates the formation of the calcium phosphates more than with calcite and aragonite. © 2012 Elsevier Inc.","author":[{"dropping-particle":"","family":"Yagi","given":"Shintaro","non-dropping-particle":"","parse-names":false,"suffix":""},{"dropping-particle":"","family":"Fukushi","given":"Keisuke","non-dropping-particle":"","parse-names":false,"suffix":""}],"container-title":"Journal of Colloid and Interface Science","id":"ITEM-1","issue":"1","issued":{"date-parts":[["2012"]]},"page":"128-136","publisher":"Elsevier Inc.","title":"Removal of phosphate from solution by adsorption and precipitation of calcium phosphate onto monohydrocalcite","type":"article-journal","volume":"384"},"uris":["http://www.mendeley.com/documents/?uuid=553c6630-594d-42ce-aeff-c4c4e60d49c9"]}],"mendeley":{"formattedCitation":"[20]","plainTextFormattedCitation":"[20]","previouslyFormattedCitation":"[20]"},"properties":{"noteIndex":0},"schema":"https://github.com/citation-style-language/schema/raw/master/csl-citation.json"}</w:instrText>
      </w:r>
      <w:r w:rsidR="001331A1" w:rsidRPr="006158D1">
        <w:rPr>
          <w:rFonts w:cs="Times New Roman"/>
          <w:b/>
        </w:rPr>
        <w:fldChar w:fldCharType="separate"/>
      </w:r>
      <w:r w:rsidR="00D33723" w:rsidRPr="00D33723">
        <w:rPr>
          <w:rFonts w:cs="Times New Roman"/>
          <w:noProof/>
        </w:rPr>
        <w:t>[20]</w:t>
      </w:r>
      <w:r w:rsidR="001331A1" w:rsidRPr="006158D1">
        <w:rPr>
          <w:rFonts w:cs="Times New Roman"/>
          <w:b/>
        </w:rPr>
        <w:fldChar w:fldCharType="end"/>
      </w:r>
      <w:r w:rsidR="004577C1" w:rsidRPr="006158D1">
        <w:rPr>
          <w:rFonts w:cs="Times New Roman"/>
          <w:b/>
        </w:rPr>
        <w:t xml:space="preserve"> found the greatest removal </w:t>
      </w:r>
      <w:r w:rsidR="00607B91" w:rsidRPr="006158D1">
        <w:rPr>
          <w:rFonts w:cs="Times New Roman"/>
          <w:b/>
        </w:rPr>
        <w:t>of the WS PO</w:t>
      </w:r>
      <w:r w:rsidR="00607B91" w:rsidRPr="006158D1">
        <w:rPr>
          <w:rFonts w:cs="Times New Roman"/>
          <w:b/>
          <w:vertAlign w:val="subscript"/>
        </w:rPr>
        <w:t>4</w:t>
      </w:r>
      <w:r w:rsidR="00607B91" w:rsidRPr="006158D1">
        <w:rPr>
          <w:rFonts w:cs="Times New Roman"/>
          <w:b/>
          <w:vertAlign w:val="superscript"/>
        </w:rPr>
        <w:t>3-</w:t>
      </w:r>
      <w:r w:rsidR="00607B91" w:rsidRPr="006158D1">
        <w:rPr>
          <w:rFonts w:cs="Times New Roman"/>
          <w:b/>
        </w:rPr>
        <w:t xml:space="preserve"> </w:t>
      </w:r>
      <w:r w:rsidR="00010174">
        <w:rPr>
          <w:rFonts w:cs="Times New Roman"/>
          <w:b/>
        </w:rPr>
        <w:t>at the highest</w:t>
      </w:r>
      <w:r w:rsidR="004577C1" w:rsidRPr="006158D1">
        <w:rPr>
          <w:rFonts w:cs="Times New Roman"/>
          <w:b/>
        </w:rPr>
        <w:t xml:space="preserve"> temperature that they tested (15, 25, and 35 </w:t>
      </w:r>
      <w:r w:rsidR="004577C1" w:rsidRPr="006158D1">
        <w:rPr>
          <w:rFonts w:ascii="Calibri" w:hAnsi="Calibri" w:cs="Calibri"/>
          <w:b/>
        </w:rPr>
        <w:t>º</w:t>
      </w:r>
      <w:r w:rsidR="004577C1" w:rsidRPr="006158D1">
        <w:rPr>
          <w:rFonts w:cs="Times New Roman"/>
          <w:b/>
        </w:rPr>
        <w:t>C).</w:t>
      </w:r>
      <w:r w:rsidR="00FF67D6" w:rsidRPr="006158D1">
        <w:rPr>
          <w:rFonts w:cs="Times New Roman"/>
          <w:b/>
        </w:rPr>
        <w:t xml:space="preserve"> </w:t>
      </w:r>
      <w:r w:rsidR="004577C1" w:rsidRPr="006158D1">
        <w:rPr>
          <w:rFonts w:cs="Times New Roman"/>
          <w:b/>
        </w:rPr>
        <w:t xml:space="preserve">On the other hand, Mor et al </w:t>
      </w:r>
      <w:r w:rsidR="004577C1" w:rsidRPr="006158D1">
        <w:rPr>
          <w:rStyle w:val="FootnoteReference"/>
          <w:rFonts w:cs="Times New Roman"/>
          <w:b/>
        </w:rPr>
        <w:fldChar w:fldCharType="begin" w:fldLock="1"/>
      </w:r>
      <w:r w:rsidR="00BB33F9">
        <w:rPr>
          <w:rFonts w:cs="Times New Roman"/>
          <w:b/>
        </w:rPr>
        <w:instrText>ADDIN CSL_CITATION {"citationItems":[{"id":"ITEM-1","itemData":{"DOI":"10.1016/j.jclepro.2016.03.088","ISSN":"09596526","abstract":"Discharge of phosphate into aquatic environment by various human activities such as agricultural runoff, animal waste, sewage, industry and detergents, leads to the deterioration of water quality. Hence, the effective removal of phosphate from wastewater is essentially required. Considering this, the efficiency of locally available agro-waste rice husk was examined in batch mode for the removal of phosphate using synthetic wastewater. Characterization of adsorbent was done using Fourier transform infrared, X-ray fluorescence and X-ray diffraction spectrophotometeric analysis, which indicates the crystalline silica nature and presence of Si-O-Si group. The effect of various parameters i.e. contact time, adsorbent dose, pH and temperature were studied. Up to 89% phosphate removal was achieved at pH 6 using 2 g/L dose in 120 min of contact time. The equilibrium adsorption data shows best fit for the Langmuir isotherm model (R2 = 0.991) and pseudo-second order kinetic model (R2 = 0.978). Thermodynamic parameters (ΔG, ΔH and ΔS) were also calculated and they indicate that adsorption process is exothermic. Scanning electron microscopy reveals the rough surface of absorbent, which may increases the adsorption capacity. Based on the current study, activated rice husk ash offers efficient and cost-effective removal of phosphate from wastewater.","author":[{"dropping-particle":"","family":"Mor","given":"Suman","non-dropping-particle":"","parse-names":false,"suffix":""},{"dropping-particle":"","family":"Chhoden","given":"Kalzang","non-dropping-particle":"","parse-names":false,"suffix":""},{"dropping-particle":"","family":"Ravindra","given":"Khaiwal","non-dropping-particle":"","parse-names":false,"suffix":""}],"container-title":"Journal of Cleaner Production","id":"ITEM-1","issued":{"date-parts":[["2016"]]},"page":"673-680","publisher":"Elsevier Ltd","title":"Application of agro-waste rice husk ash for the removal of phosphate from the wastewater","type":"article-journal","volume":"129"},"uris":["http://www.mendeley.com/documents/?uuid=a5b4bfb8-6084-40a2-b71d-42641df3eb5f"]}],"mendeley":{"formattedCitation":"[21]","plainTextFormattedCitation":"[21]","previouslyFormattedCitation":"[21]"},"properties":{"noteIndex":0},"schema":"https://github.com/citation-style-language/schema/raw/master/csl-citation.json"}</w:instrText>
      </w:r>
      <w:r w:rsidR="004577C1" w:rsidRPr="006158D1">
        <w:rPr>
          <w:rStyle w:val="FootnoteReference"/>
          <w:rFonts w:cs="Times New Roman"/>
          <w:b/>
        </w:rPr>
        <w:fldChar w:fldCharType="separate"/>
      </w:r>
      <w:r w:rsidR="00D33723" w:rsidRPr="00D33723">
        <w:rPr>
          <w:rFonts w:cs="Times New Roman"/>
          <w:noProof/>
        </w:rPr>
        <w:t>[21]</w:t>
      </w:r>
      <w:r w:rsidR="004577C1" w:rsidRPr="006158D1">
        <w:rPr>
          <w:rStyle w:val="FootnoteReference"/>
          <w:rFonts w:cs="Times New Roman"/>
          <w:b/>
        </w:rPr>
        <w:fldChar w:fldCharType="end"/>
      </w:r>
      <w:r w:rsidR="004577C1" w:rsidRPr="006158D1">
        <w:rPr>
          <w:rFonts w:cs="Times New Roman"/>
          <w:b/>
        </w:rPr>
        <w:t xml:space="preserve"> found that the removal of WS PO</w:t>
      </w:r>
      <w:r w:rsidR="004577C1" w:rsidRPr="006158D1">
        <w:rPr>
          <w:rFonts w:cs="Times New Roman"/>
          <w:b/>
          <w:vertAlign w:val="subscript"/>
        </w:rPr>
        <w:t>4</w:t>
      </w:r>
      <w:r w:rsidR="004577C1" w:rsidRPr="006158D1">
        <w:rPr>
          <w:rFonts w:cs="Times New Roman"/>
          <w:b/>
          <w:vertAlign w:val="superscript"/>
        </w:rPr>
        <w:t>3-</w:t>
      </w:r>
      <w:r w:rsidR="004577C1" w:rsidRPr="006158D1">
        <w:rPr>
          <w:rFonts w:cs="Times New Roman"/>
          <w:b/>
        </w:rPr>
        <w:t xml:space="preserve"> was better at 30 </w:t>
      </w:r>
      <w:r w:rsidR="008C60E1" w:rsidRPr="006158D1">
        <w:rPr>
          <w:rFonts w:ascii="Calibri" w:hAnsi="Calibri" w:cs="Calibri"/>
          <w:b/>
        </w:rPr>
        <w:t>º</w:t>
      </w:r>
      <w:r w:rsidR="004577C1" w:rsidRPr="006158D1">
        <w:rPr>
          <w:rFonts w:cs="Times New Roman"/>
          <w:b/>
        </w:rPr>
        <w:t xml:space="preserve">C </w:t>
      </w:r>
      <w:r w:rsidR="008C60E1" w:rsidRPr="006158D1">
        <w:rPr>
          <w:rFonts w:cs="Times New Roman"/>
          <w:b/>
        </w:rPr>
        <w:t>t</w:t>
      </w:r>
      <w:r w:rsidR="004577C1" w:rsidRPr="006158D1">
        <w:rPr>
          <w:rFonts w:cs="Times New Roman"/>
          <w:b/>
        </w:rPr>
        <w:t>han at a</w:t>
      </w:r>
      <w:r w:rsidR="006158D1">
        <w:rPr>
          <w:rFonts w:cs="Times New Roman"/>
          <w:b/>
        </w:rPr>
        <w:t>ny of the other temperature</w:t>
      </w:r>
      <w:r w:rsidR="004577C1" w:rsidRPr="006158D1">
        <w:rPr>
          <w:rFonts w:cs="Times New Roman"/>
          <w:b/>
        </w:rPr>
        <w:t xml:space="preserve"> that they tested (25, 35, and 40 </w:t>
      </w:r>
      <w:r w:rsidR="004577C1" w:rsidRPr="006158D1">
        <w:rPr>
          <w:rFonts w:ascii="Calibri" w:hAnsi="Calibri" w:cs="Calibri"/>
          <w:b/>
        </w:rPr>
        <w:t>º</w:t>
      </w:r>
      <w:r w:rsidR="004577C1" w:rsidRPr="006158D1">
        <w:rPr>
          <w:rFonts w:cs="Times New Roman"/>
          <w:b/>
        </w:rPr>
        <w:t>C).</w:t>
      </w:r>
      <w:r w:rsidR="00B729D0" w:rsidRPr="006158D1">
        <w:rPr>
          <w:rFonts w:cs="Times New Roman"/>
          <w:b/>
        </w:rPr>
        <w:t xml:space="preserve"> Moreover, </w:t>
      </w:r>
      <w:r w:rsidR="001646E5" w:rsidRPr="006158D1">
        <w:rPr>
          <w:rFonts w:cs="Times New Roman"/>
          <w:b/>
        </w:rPr>
        <w:t xml:space="preserve">it is necessary to take into account that </w:t>
      </w:r>
      <w:r w:rsidR="00B729D0" w:rsidRPr="006158D1">
        <w:rPr>
          <w:rFonts w:cs="Times New Roman"/>
          <w:b/>
        </w:rPr>
        <w:t>the increase of the temperature</w:t>
      </w:r>
      <w:r w:rsidR="001646E5" w:rsidRPr="006158D1">
        <w:rPr>
          <w:rFonts w:cs="Times New Roman"/>
          <w:b/>
        </w:rPr>
        <w:t xml:space="preserve"> of the blend</w:t>
      </w:r>
      <w:r w:rsidR="005931F6" w:rsidRPr="006158D1">
        <w:rPr>
          <w:rFonts w:cs="Times New Roman"/>
          <w:b/>
        </w:rPr>
        <w:t>s</w:t>
      </w:r>
      <w:r w:rsidR="00B729D0" w:rsidRPr="006158D1">
        <w:rPr>
          <w:rFonts w:cs="Times New Roman"/>
          <w:b/>
        </w:rPr>
        <w:t xml:space="preserve"> </w:t>
      </w:r>
      <w:r w:rsidR="001646E5" w:rsidRPr="006158D1">
        <w:rPr>
          <w:rFonts w:cs="Times New Roman"/>
          <w:b/>
        </w:rPr>
        <w:t>could lead to higher NH</w:t>
      </w:r>
      <w:r w:rsidR="001646E5" w:rsidRPr="006158D1">
        <w:rPr>
          <w:rFonts w:cs="Times New Roman"/>
          <w:b/>
          <w:vertAlign w:val="subscript"/>
        </w:rPr>
        <w:t>3</w:t>
      </w:r>
      <w:r w:rsidR="00B346E9">
        <w:rPr>
          <w:rFonts w:cs="Times New Roman"/>
          <w:b/>
          <w:vertAlign w:val="subscript"/>
        </w:rPr>
        <w:t xml:space="preserve"> aq</w:t>
      </w:r>
      <w:r w:rsidR="00162D28">
        <w:rPr>
          <w:rFonts w:cs="Times New Roman"/>
          <w:b/>
        </w:rPr>
        <w:t xml:space="preserve"> volatiliz</w:t>
      </w:r>
      <w:r w:rsidR="001646E5" w:rsidRPr="006158D1">
        <w:rPr>
          <w:rFonts w:cs="Times New Roman"/>
          <w:b/>
        </w:rPr>
        <w:t xml:space="preserve">ation </w:t>
      </w:r>
      <w:r w:rsidR="001646E5" w:rsidRPr="006158D1">
        <w:rPr>
          <w:rFonts w:cs="Times New Roman"/>
          <w:b/>
        </w:rPr>
        <w:fldChar w:fldCharType="begin" w:fldLock="1"/>
      </w:r>
      <w:r w:rsidR="00BB33F9">
        <w:rPr>
          <w:rFonts w:cs="Times New Roman"/>
          <w:b/>
        </w:rPr>
        <w:instrText>ADDIN CSL_CITATION {"citationItems":[{"id":"ITEM-1","itemData":{"DOI":"10.1016/j.watres.2016.09.054","ISSN":"18792448","abstract":"To prevent acetoclastic methanogens from ammonia inhibition in anaerobic digestion of protein-rich substrates, ammonia needs to be removed or recovered from digestate. This paper presents an innovative ammonia recovery process that couples vacuum thermal stripping with acid absorption. Ammonia is stripped out of digestate boiling at a temperature below the normal boiling point due to vacuum. Stripped ammonia is absorbed to a sulfuric acid solution, forming ammonium sulfate crystals as a marketable product. Three common types of digestate were found to have boiling point temperature-vacuum curves similar to water. Seven combinations of boiling temperature and vacuum (50 °C 16.6 kPa, 58 °C 20.0 kPa, 65 °C 25.1 kPa, 70 °C 33.6 kPa, 80 °C 54.0 kPa, 90 °C 74.2 kPa, and 100 °C 101.3 kPa) were tested for batch stripping of ammonia in dairy manure digestate. 93.3–99.9% of ammonia was stripped in 3 h. The Lewis-Whitman model fitted ammonia stripping process well. Ammonia mass transfer coefficient was significantly higher at boiling temperature 65–100 °C and vacuum pressure 25.1–101.3 kPa than 50–58 °C and 16.6–20.0 kPa. The low ammonia saturation concentrations (0–24 mg N/L) suggested a large driving force to strip ammonia. The optimum boiling point temperature – vacuum pressure for ammonia recovery in a recirculation line of a mesophilic digester was 65 °C and 25.1 kPa, at which the ammonia mass transfer coefficient was as high as 37.3 mm/h. Installation of a demister and liquid trap could avoid negative effects of higher stripping temperature and stronger vacuum on formation of ammonium sulfate crystals. Pilot tests demonstrated that high-purity ammonium sulfate crystals could be produced by controlling sulfuric acid content and maintaining acid solution saturated with ammonium sulfate. Although volatile organic compounds such as cyclohexene were found in the final acid solutions, no volatile organic compounds were found in the recovered crystals.","author":[{"dropping-particle":"","family":"Ukwuani","given":"Anayo T.","non-dropping-particle":"","parse-names":false,"suffix":""},{"dropping-particle":"","family":"Tao","given":"Wendong","non-dropping-particle":"","parse-names":false,"suffix":""}],"container-title":"Water Research","id":"ITEM-1","issued":{"date-parts":[["2016"]]},"page":"108-115","publisher":"Elsevier Ltd","title":"Developing a vacuum thermal stripping – acid absorption process for ammonia recovery from anaerobic digester effluent","type":"article-journal","volume":"106"},"uris":["http://www.mendeley.com/documents/?uuid=fc6168fc-9dd1-4b8a-a0f6-88e62fd6319a"]}],"mendeley":{"formattedCitation":"[38]","plainTextFormattedCitation":"[38]","previouslyFormattedCitation":"[38]"},"properties":{"noteIndex":0},"schema":"https://github.com/citation-style-language/schema/raw/master/csl-citation.json"}</w:instrText>
      </w:r>
      <w:r w:rsidR="001646E5" w:rsidRPr="006158D1">
        <w:rPr>
          <w:rFonts w:cs="Times New Roman"/>
          <w:b/>
        </w:rPr>
        <w:fldChar w:fldCharType="separate"/>
      </w:r>
      <w:r w:rsidR="00D33723" w:rsidRPr="00D33723">
        <w:rPr>
          <w:rFonts w:cs="Times New Roman"/>
          <w:noProof/>
        </w:rPr>
        <w:t>[38]</w:t>
      </w:r>
      <w:r w:rsidR="001646E5" w:rsidRPr="006158D1">
        <w:rPr>
          <w:rFonts w:cs="Times New Roman"/>
          <w:b/>
        </w:rPr>
        <w:fldChar w:fldCharType="end"/>
      </w:r>
      <w:r w:rsidR="001646E5" w:rsidRPr="006158D1">
        <w:rPr>
          <w:rFonts w:cs="Times New Roman"/>
          <w:b/>
        </w:rPr>
        <w:t>.</w:t>
      </w:r>
    </w:p>
    <w:p w14:paraId="4AEE1D7B" w14:textId="08922FC4" w:rsidR="006F2F61" w:rsidRPr="00713E31" w:rsidRDefault="00A151AC" w:rsidP="00C807A3">
      <w:pPr>
        <w:spacing w:line="360" w:lineRule="auto"/>
        <w:rPr>
          <w:rFonts w:cs="Times New Roman"/>
        </w:rPr>
      </w:pPr>
      <w:r w:rsidRPr="00713E31">
        <w:rPr>
          <w:rFonts w:cs="Times New Roman"/>
        </w:rPr>
        <w:t>T</w:t>
      </w:r>
      <w:r w:rsidR="00787C20" w:rsidRPr="00713E31">
        <w:rPr>
          <w:rFonts w:cs="Times New Roman"/>
        </w:rPr>
        <w:t>he phosphorus</w:t>
      </w:r>
      <w:r w:rsidR="00920630" w:rsidRPr="00713E31">
        <w:rPr>
          <w:rFonts w:cs="Times New Roman"/>
        </w:rPr>
        <w:t xml:space="preserve"> was not expected to </w:t>
      </w:r>
      <w:r w:rsidR="004D1199" w:rsidRPr="00713E31">
        <w:rPr>
          <w:rFonts w:cs="Times New Roman"/>
        </w:rPr>
        <w:t>be lost</w:t>
      </w:r>
      <w:r w:rsidR="00117B2A" w:rsidRPr="00713E31">
        <w:rPr>
          <w:rFonts w:cs="Times New Roman"/>
        </w:rPr>
        <w:t xml:space="preserve"> via gas exchange </w:t>
      </w:r>
      <w:r w:rsidR="0056502B" w:rsidRPr="00713E31">
        <w:rPr>
          <w:rFonts w:cs="Times New Roman"/>
        </w:rPr>
        <w:t>under the conditions</w:t>
      </w:r>
      <w:r w:rsidR="003764A7" w:rsidRPr="00713E31">
        <w:rPr>
          <w:rFonts w:cs="Times New Roman"/>
        </w:rPr>
        <w:t xml:space="preserve"> of incubation </w:t>
      </w:r>
      <w:r w:rsidR="00120952" w:rsidRPr="00713E31">
        <w:rPr>
          <w:rFonts w:cs="Times New Roman"/>
        </w:rPr>
        <w:t xml:space="preserve">of </w:t>
      </w:r>
      <w:r w:rsidR="00807036" w:rsidRPr="00713E31">
        <w:rPr>
          <w:rFonts w:cs="Times New Roman"/>
        </w:rPr>
        <w:t>this work</w:t>
      </w:r>
      <w:r w:rsidR="003764A7" w:rsidRPr="00713E31">
        <w:rPr>
          <w:rFonts w:cs="Times New Roman"/>
        </w:rPr>
        <w:t xml:space="preserve"> (i.e. 10 hours at 100 rpm and 22 </w:t>
      </w:r>
      <w:r w:rsidR="003764A7" w:rsidRPr="00713E31">
        <w:rPr>
          <w:rFonts w:ascii="Calibri" w:hAnsi="Calibri" w:cs="Calibri"/>
        </w:rPr>
        <w:t>º</w:t>
      </w:r>
      <w:r w:rsidR="003764A7" w:rsidRPr="00713E31">
        <w:rPr>
          <w:rFonts w:cs="Times New Roman"/>
        </w:rPr>
        <w:t>C)</w:t>
      </w:r>
      <w:r w:rsidR="00152AAF" w:rsidRPr="00713E31">
        <w:rPr>
          <w:rFonts w:cs="Times New Roman"/>
        </w:rPr>
        <w:t xml:space="preserve"> and</w:t>
      </w:r>
      <w:r w:rsidR="004D1199" w:rsidRPr="00713E31">
        <w:rPr>
          <w:rFonts w:cs="Times New Roman"/>
        </w:rPr>
        <w:t xml:space="preserve"> the </w:t>
      </w:r>
      <w:r w:rsidR="00920630" w:rsidRPr="00713E31">
        <w:rPr>
          <w:rFonts w:cs="Times New Roman"/>
        </w:rPr>
        <w:t>total</w:t>
      </w:r>
      <w:r w:rsidR="004D1199" w:rsidRPr="00713E31">
        <w:rPr>
          <w:rFonts w:cs="Times New Roman"/>
        </w:rPr>
        <w:t xml:space="preserve"> </w:t>
      </w:r>
      <w:r w:rsidR="00C70058" w:rsidRPr="00713E31">
        <w:rPr>
          <w:rFonts w:cs="Times New Roman"/>
        </w:rPr>
        <w:t xml:space="preserve">initial </w:t>
      </w:r>
      <w:r w:rsidR="004D1199" w:rsidRPr="00713E31">
        <w:rPr>
          <w:rFonts w:cs="Times New Roman"/>
        </w:rPr>
        <w:t xml:space="preserve">amount </w:t>
      </w:r>
      <w:r w:rsidR="00920630" w:rsidRPr="00713E31">
        <w:rPr>
          <w:rFonts w:cs="Times New Roman"/>
        </w:rPr>
        <w:t xml:space="preserve">would </w:t>
      </w:r>
      <w:r w:rsidR="00B018E2" w:rsidRPr="00713E31">
        <w:rPr>
          <w:rFonts w:cs="Times New Roman"/>
        </w:rPr>
        <w:t xml:space="preserve">thereby </w:t>
      </w:r>
      <w:r w:rsidR="00696F7D" w:rsidRPr="00713E31">
        <w:rPr>
          <w:rFonts w:cs="Times New Roman"/>
        </w:rPr>
        <w:t xml:space="preserve">be </w:t>
      </w:r>
      <w:r w:rsidR="00EF2AA8" w:rsidRPr="00713E31">
        <w:rPr>
          <w:rFonts w:cs="Times New Roman"/>
        </w:rPr>
        <w:t xml:space="preserve">expected to </w:t>
      </w:r>
      <w:r w:rsidR="004D1199" w:rsidRPr="00713E31">
        <w:rPr>
          <w:rFonts w:cs="Times New Roman"/>
        </w:rPr>
        <w:t>remain</w:t>
      </w:r>
      <w:r w:rsidR="00EF2AA8" w:rsidRPr="00713E31">
        <w:rPr>
          <w:rFonts w:cs="Times New Roman"/>
        </w:rPr>
        <w:t xml:space="preserve"> split into</w:t>
      </w:r>
      <w:r w:rsidR="004D1199" w:rsidRPr="00713E31">
        <w:rPr>
          <w:rFonts w:cs="Times New Roman"/>
        </w:rPr>
        <w:t xml:space="preserve"> the WS</w:t>
      </w:r>
      <w:r w:rsidR="00562C41" w:rsidRPr="00713E31">
        <w:rPr>
          <w:rFonts w:cs="Times New Roman"/>
        </w:rPr>
        <w:t xml:space="preserve"> phase</w:t>
      </w:r>
      <w:r w:rsidR="004D1199" w:rsidRPr="00713E31">
        <w:rPr>
          <w:rFonts w:cs="Times New Roman"/>
        </w:rPr>
        <w:t xml:space="preserve"> and </w:t>
      </w:r>
      <w:r w:rsidR="00562C41" w:rsidRPr="00713E31">
        <w:rPr>
          <w:rFonts w:cs="Times New Roman"/>
        </w:rPr>
        <w:t xml:space="preserve">the </w:t>
      </w:r>
      <w:r w:rsidR="004D1199" w:rsidRPr="00713E31">
        <w:rPr>
          <w:rFonts w:cs="Times New Roman"/>
        </w:rPr>
        <w:t xml:space="preserve">WI phase of </w:t>
      </w:r>
      <w:r w:rsidR="00562C41" w:rsidRPr="00713E31">
        <w:rPr>
          <w:rFonts w:cs="Times New Roman"/>
        </w:rPr>
        <w:t xml:space="preserve">each </w:t>
      </w:r>
      <w:r w:rsidR="004D1199" w:rsidRPr="00713E31">
        <w:rPr>
          <w:rFonts w:cs="Times New Roman"/>
        </w:rPr>
        <w:t>blend.</w:t>
      </w:r>
      <w:r w:rsidR="00696F7D" w:rsidRPr="00713E31">
        <w:rPr>
          <w:rFonts w:cs="Times New Roman"/>
        </w:rPr>
        <w:t xml:space="preserve"> </w:t>
      </w:r>
      <w:r w:rsidR="00920630" w:rsidRPr="00713E31">
        <w:rPr>
          <w:rFonts w:cs="Times New Roman"/>
        </w:rPr>
        <w:t>T</w:t>
      </w:r>
      <w:r w:rsidR="00CD3D34" w:rsidRPr="00713E31">
        <w:rPr>
          <w:rFonts w:cs="Times New Roman"/>
        </w:rPr>
        <w:t>he phosphorus</w:t>
      </w:r>
      <w:r w:rsidR="00BF75F1" w:rsidRPr="00713E31">
        <w:rPr>
          <w:rFonts w:cs="Times New Roman"/>
        </w:rPr>
        <w:t xml:space="preserve"> in the ashes </w:t>
      </w:r>
      <w:r w:rsidRPr="00713E31">
        <w:rPr>
          <w:rFonts w:cs="Times New Roman"/>
        </w:rPr>
        <w:t>wa</w:t>
      </w:r>
      <w:r w:rsidR="003D614E" w:rsidRPr="00713E31">
        <w:rPr>
          <w:rFonts w:cs="Times New Roman"/>
        </w:rPr>
        <w:t xml:space="preserve">s </w:t>
      </w:r>
      <w:r w:rsidR="00BF75F1" w:rsidRPr="00713E31">
        <w:rPr>
          <w:rFonts w:cs="Times New Roman"/>
        </w:rPr>
        <w:t>in the form of PO</w:t>
      </w:r>
      <w:r w:rsidR="00BF75F1" w:rsidRPr="00713E31">
        <w:rPr>
          <w:rFonts w:cs="Times New Roman"/>
          <w:vertAlign w:val="subscript"/>
        </w:rPr>
        <w:t>4</w:t>
      </w:r>
      <w:r w:rsidR="00BF75F1" w:rsidRPr="00713E31">
        <w:rPr>
          <w:rFonts w:cs="Times New Roman"/>
          <w:vertAlign w:val="superscript"/>
        </w:rPr>
        <w:t>3-</w:t>
      </w:r>
      <w:r w:rsidR="00F6581E" w:rsidRPr="00713E31">
        <w:rPr>
          <w:rFonts w:cs="Times New Roman"/>
        </w:rPr>
        <w:t xml:space="preserve"> </w:t>
      </w:r>
      <w:r w:rsidR="00F6581E" w:rsidRPr="00713E31">
        <w:rPr>
          <w:rFonts w:cs="Times New Roman"/>
        </w:rPr>
        <w:fldChar w:fldCharType="begin" w:fldLock="1"/>
      </w:r>
      <w:r w:rsidR="00233927">
        <w:rPr>
          <w:rFonts w:cs="Times New Roman"/>
        </w:rPr>
        <w:instrText>ADDIN CSL_CITATION {"citationItems":[{"id":"ITEM-1","itemData":{"DOI":"10.1016/j.wasman.2017.09.008","ISSN":"18792456","abstract":"In Denmark, increasing amounts of wood ashes are generated from biomass combustion for energy production. The utilisation of ashes on top of forest soil for liming purposes has been proposed as an alternative to landfilling. Danish wood ash samples were collected and characterised with respect to chemical composition, mineralogy and leaching properties (batch leaching at L/S 2 and 10 L/kg, and pH-dependent leaching at 10 L/kg). Large variations in the ash liming properties were observed (ANC7.5: 1.8–6.4 meq H+/g), indicating that similar soil application dosages may result in different liming effects. High contents of Ca, Si, P, K and Mg were observed in all samples, while the highest contents of S and N were found in fly ashes and mixed ashes (combination of fly and bottom ashes). Similarly, the highest contents of some trace metals, e.g. Cd, Mo and Se, were observed for fly ash. Releases of major, minor and trace elements were affected significantly by pH: high releases of PO43−, Mg, Zn, Cu and Cd were found for acidic conditions relevant to forest soils, while the highest releases of Mo and Cr were observed in alkaline conditions. Mineral phases were selected based on XRD analyses and the existing literature, and they were applied as inputs for the geochemical modelling of pH-dependent leaching. Mineral dissolution was found adequate for a wide range of major elements and nutrients, while the description of trace elements could be done only for parts of the pH-range. Content and leaching of PAHs were observed below detection limits. The source-term release of Ca, K, Mg, Mn, and P in acidic conditions relevant to forest soils was higher than ten years of atmospheric deposition, in contrast to the relatively low release of Al, Fe and Na. The potential release of Cd was found to be the most critical element compared with soil quality criteria, whereas the maximum theoretical loads of Ba, Cd, Cr, Sr, Mo, Ni, Pb, Sb, Se, Sn and V were relatively low.","author":[{"dropping-particle":"","family":"Maresca","given":"A.","non-dropping-particle":"","parse-names":false,"suffix":""},{"dropping-particle":"","family":"Hyks","given":"J.","non-dropping-particle":"","parse-names":false,"suffix":""},{"dropping-particle":"","family":"Astrup","given":"T. F.","non-dropping-particle":"","parse-names":false,"suffix":""}],"container-title":"Waste Management","id":"ITEM-1","issued":{"date-parts":[["2017"]]},"page":"127-138","publisher":"Elsevier Ltd","title":"Recirculation of biomass ashes onto forest soils: ash composition, mineralogy and leaching properties","type":"article-journal","volume":"70"},"uris":["http://www.mendeley.com/documents/?uuid=8527fda0-c560-40d9-8134-c64fed3f3d0a"]}],"mendeley":{"formattedCitation":"[69]","plainTextFormattedCitation":"[69]","previouslyFormattedCitation":"[69]"},"properties":{"noteIndex":0},"schema":"https://github.com/citation-style-language/schema/raw/master/csl-citation.json"}</w:instrText>
      </w:r>
      <w:r w:rsidR="00F6581E" w:rsidRPr="00713E31">
        <w:rPr>
          <w:rFonts w:cs="Times New Roman"/>
          <w:vertAlign w:val="superscript"/>
        </w:rPr>
        <w:fldChar w:fldCharType="separate"/>
      </w:r>
      <w:r w:rsidR="00523707" w:rsidRPr="00523707">
        <w:rPr>
          <w:rFonts w:cs="Times New Roman"/>
          <w:noProof/>
        </w:rPr>
        <w:t>[69]</w:t>
      </w:r>
      <w:r w:rsidR="00F6581E" w:rsidRPr="00713E31">
        <w:rPr>
          <w:rFonts w:cs="Times New Roman"/>
        </w:rPr>
        <w:fldChar w:fldCharType="end"/>
      </w:r>
      <w:r w:rsidR="00F6581E" w:rsidRPr="00713E31">
        <w:rPr>
          <w:rFonts w:cs="Times New Roman"/>
        </w:rPr>
        <w:t>,</w:t>
      </w:r>
      <w:r w:rsidR="00BF75F1" w:rsidRPr="00713E31">
        <w:rPr>
          <w:rFonts w:cs="Times New Roman"/>
        </w:rPr>
        <w:t xml:space="preserve"> </w:t>
      </w:r>
      <w:r w:rsidRPr="00713E31">
        <w:rPr>
          <w:rFonts w:cs="Times New Roman"/>
        </w:rPr>
        <w:t>whether</w:t>
      </w:r>
      <w:r w:rsidR="00233BEF" w:rsidRPr="00713E31">
        <w:rPr>
          <w:rFonts w:cs="Times New Roman"/>
        </w:rPr>
        <w:t xml:space="preserve"> it</w:t>
      </w:r>
      <w:r w:rsidRPr="00713E31">
        <w:rPr>
          <w:rFonts w:cs="Times New Roman"/>
        </w:rPr>
        <w:t xml:space="preserve"> was</w:t>
      </w:r>
      <w:r w:rsidR="00D628CB" w:rsidRPr="00713E31">
        <w:rPr>
          <w:rFonts w:cs="Times New Roman"/>
        </w:rPr>
        <w:t xml:space="preserve"> part of the</w:t>
      </w:r>
      <w:r w:rsidR="00BF75F1" w:rsidRPr="00713E31">
        <w:rPr>
          <w:rFonts w:cs="Times New Roman"/>
        </w:rPr>
        <w:t xml:space="preserve"> WS</w:t>
      </w:r>
      <w:r w:rsidR="00D628CB" w:rsidRPr="00713E31">
        <w:rPr>
          <w:rFonts w:cs="Times New Roman"/>
        </w:rPr>
        <w:t xml:space="preserve"> TP</w:t>
      </w:r>
      <w:r w:rsidR="00BF75F1" w:rsidRPr="00713E31">
        <w:rPr>
          <w:rFonts w:cs="Times New Roman"/>
        </w:rPr>
        <w:t xml:space="preserve"> or</w:t>
      </w:r>
      <w:r w:rsidR="00D628CB" w:rsidRPr="00713E31">
        <w:rPr>
          <w:rFonts w:cs="Times New Roman"/>
        </w:rPr>
        <w:t xml:space="preserve"> the</w:t>
      </w:r>
      <w:r w:rsidR="00BF75F1" w:rsidRPr="00713E31">
        <w:rPr>
          <w:rFonts w:cs="Times New Roman"/>
        </w:rPr>
        <w:t xml:space="preserve"> WI</w:t>
      </w:r>
      <w:r w:rsidR="00280B49" w:rsidRPr="00713E31">
        <w:rPr>
          <w:rFonts w:cs="Times New Roman"/>
        </w:rPr>
        <w:t xml:space="preserve"> </w:t>
      </w:r>
      <w:r w:rsidR="00D628CB" w:rsidRPr="00713E31">
        <w:rPr>
          <w:rFonts w:cs="Times New Roman"/>
        </w:rPr>
        <w:t>TP</w:t>
      </w:r>
      <w:r w:rsidR="00280B49" w:rsidRPr="00713E31">
        <w:rPr>
          <w:rFonts w:cs="Times New Roman"/>
        </w:rPr>
        <w:t>.</w:t>
      </w:r>
      <w:r w:rsidR="00BF75F1" w:rsidRPr="00713E31">
        <w:rPr>
          <w:rFonts w:cs="Times New Roman"/>
        </w:rPr>
        <w:t xml:space="preserve"> </w:t>
      </w:r>
      <w:r w:rsidR="001E2A3C" w:rsidRPr="00713E31">
        <w:rPr>
          <w:rFonts w:cs="Times New Roman"/>
        </w:rPr>
        <w:t>On the other hand,</w:t>
      </w:r>
      <w:r w:rsidR="001676E9" w:rsidRPr="00713E31">
        <w:rPr>
          <w:rFonts w:cs="Times New Roman"/>
        </w:rPr>
        <w:t xml:space="preserve"> the </w:t>
      </w:r>
      <w:r w:rsidR="0020635C" w:rsidRPr="00713E31">
        <w:rPr>
          <w:rFonts w:cs="Times New Roman"/>
        </w:rPr>
        <w:t>phosphorus</w:t>
      </w:r>
      <w:r w:rsidR="001676E9" w:rsidRPr="00713E31">
        <w:rPr>
          <w:rFonts w:cs="Times New Roman"/>
        </w:rPr>
        <w:t xml:space="preserve"> of the digestates </w:t>
      </w:r>
      <w:r w:rsidR="00120952" w:rsidRPr="00713E31">
        <w:rPr>
          <w:rFonts w:cs="Times New Roman"/>
        </w:rPr>
        <w:t>was</w:t>
      </w:r>
      <w:r w:rsidR="00920630" w:rsidRPr="00713E31">
        <w:rPr>
          <w:rFonts w:cs="Times New Roman"/>
        </w:rPr>
        <w:t xml:space="preserve"> </w:t>
      </w:r>
      <w:r w:rsidR="001676E9" w:rsidRPr="00713E31">
        <w:rPr>
          <w:rFonts w:cs="Times New Roman"/>
        </w:rPr>
        <w:t xml:space="preserve">a mixture </w:t>
      </w:r>
      <w:r w:rsidR="00C70058" w:rsidRPr="00713E31">
        <w:rPr>
          <w:rFonts w:cs="Times New Roman"/>
        </w:rPr>
        <w:t>PO</w:t>
      </w:r>
      <w:r w:rsidR="00C70058" w:rsidRPr="00713E31">
        <w:rPr>
          <w:rFonts w:cs="Times New Roman"/>
          <w:vertAlign w:val="subscript"/>
        </w:rPr>
        <w:t>4</w:t>
      </w:r>
      <w:r w:rsidR="00C70058" w:rsidRPr="00713E31">
        <w:rPr>
          <w:rFonts w:cs="Times New Roman"/>
          <w:vertAlign w:val="superscript"/>
        </w:rPr>
        <w:t>3-</w:t>
      </w:r>
      <w:r w:rsidR="001676E9" w:rsidRPr="00713E31">
        <w:rPr>
          <w:rFonts w:cs="Times New Roman"/>
        </w:rPr>
        <w:t xml:space="preserve">, polyphosphates and </w:t>
      </w:r>
      <w:r w:rsidR="0020635C" w:rsidRPr="00713E31">
        <w:rPr>
          <w:rFonts w:cs="Times New Roman"/>
        </w:rPr>
        <w:t>phosphorus</w:t>
      </w:r>
      <w:r w:rsidR="001676E9" w:rsidRPr="00713E31">
        <w:rPr>
          <w:rFonts w:cs="Times New Roman"/>
        </w:rPr>
        <w:t xml:space="preserve"> associated to organic molecules (P</w:t>
      </w:r>
      <w:r w:rsidR="001676E9" w:rsidRPr="00713E31">
        <w:rPr>
          <w:rFonts w:cs="Times New Roman"/>
          <w:vertAlign w:val="subscript"/>
        </w:rPr>
        <w:t>org</w:t>
      </w:r>
      <w:r w:rsidR="001676E9" w:rsidRPr="00713E31">
        <w:rPr>
          <w:rFonts w:cs="Times New Roman"/>
        </w:rPr>
        <w:t xml:space="preserve">). </w:t>
      </w:r>
      <w:r w:rsidR="00562C41" w:rsidRPr="00713E31">
        <w:rPr>
          <w:rFonts w:cs="Times New Roman"/>
        </w:rPr>
        <w:t>Unlike</w:t>
      </w:r>
      <w:r w:rsidR="001676E9" w:rsidRPr="00713E31">
        <w:rPr>
          <w:rFonts w:cs="Times New Roman"/>
        </w:rPr>
        <w:t xml:space="preserve"> the</w:t>
      </w:r>
      <w:r w:rsidR="002D4D4E" w:rsidRPr="00713E31">
        <w:rPr>
          <w:rFonts w:cs="Times New Roman"/>
        </w:rPr>
        <w:t xml:space="preserve"> WS</w:t>
      </w:r>
      <w:r w:rsidR="001676E9" w:rsidRPr="00713E31">
        <w:rPr>
          <w:rFonts w:cs="Times New Roman"/>
        </w:rPr>
        <w:t xml:space="preserve"> N</w:t>
      </w:r>
      <w:r w:rsidR="001676E9" w:rsidRPr="00713E31">
        <w:rPr>
          <w:rFonts w:cs="Times New Roman"/>
          <w:vertAlign w:val="subscript"/>
        </w:rPr>
        <w:t>org</w:t>
      </w:r>
      <w:r w:rsidR="001676E9" w:rsidRPr="00713E31">
        <w:rPr>
          <w:rFonts w:cs="Times New Roman"/>
        </w:rPr>
        <w:t>, the</w:t>
      </w:r>
      <w:r w:rsidR="00AC6B1D" w:rsidRPr="00713E31">
        <w:rPr>
          <w:rFonts w:cs="Times New Roman"/>
        </w:rPr>
        <w:t xml:space="preserve"> WS</w:t>
      </w:r>
      <w:r w:rsidR="001676E9" w:rsidRPr="00713E31">
        <w:rPr>
          <w:rFonts w:cs="Times New Roman"/>
        </w:rPr>
        <w:t xml:space="preserve"> P</w:t>
      </w:r>
      <w:r w:rsidR="001676E9" w:rsidRPr="00713E31">
        <w:rPr>
          <w:rFonts w:cs="Times New Roman"/>
          <w:vertAlign w:val="subscript"/>
        </w:rPr>
        <w:t>org</w:t>
      </w:r>
      <w:r w:rsidR="001676E9" w:rsidRPr="00713E31">
        <w:rPr>
          <w:rFonts w:cs="Times New Roman"/>
        </w:rPr>
        <w:t xml:space="preserve"> </w:t>
      </w:r>
      <w:r w:rsidR="00CD3D34" w:rsidRPr="00713E31">
        <w:rPr>
          <w:rFonts w:cs="Times New Roman"/>
        </w:rPr>
        <w:t xml:space="preserve">is minimal (i.e. less than </w:t>
      </w:r>
      <w:r w:rsidR="001676E9" w:rsidRPr="00713E31">
        <w:rPr>
          <w:rFonts w:cs="Times New Roman"/>
        </w:rPr>
        <w:t>25% of th</w:t>
      </w:r>
      <w:r w:rsidR="00CD3D34" w:rsidRPr="00713E31">
        <w:rPr>
          <w:rFonts w:cs="Times New Roman"/>
        </w:rPr>
        <w:t xml:space="preserve">e WS </w:t>
      </w:r>
      <w:r w:rsidR="00AC6B1D" w:rsidRPr="00713E31">
        <w:rPr>
          <w:rFonts w:cs="Times New Roman"/>
        </w:rPr>
        <w:t>TP</w:t>
      </w:r>
      <w:r w:rsidR="001676E9" w:rsidRPr="00713E31">
        <w:rPr>
          <w:rFonts w:cs="Times New Roman"/>
        </w:rPr>
        <w:t xml:space="preserve">) in organic amendments </w:t>
      </w:r>
      <w:r w:rsidR="001676E9" w:rsidRPr="00713E31">
        <w:rPr>
          <w:rFonts w:cs="Times New Roman"/>
        </w:rPr>
        <w:fldChar w:fldCharType="begin" w:fldLock="1"/>
      </w:r>
      <w:r w:rsidR="00233927">
        <w:rPr>
          <w:rFonts w:cs="Times New Roman"/>
        </w:rPr>
        <w:instrText>ADDIN CSL_CITATION {"citationItems":[{"id":"ITEM-1","itemData":{"DOI":"10.2134/jeq2000.00472425002900050012x","author":[{"dropping-particle":"","family":"Sharpley","given":"Andrew","non-dropping-particle":"","parse-names":false,"suffix":""},{"dropping-particle":"","family":"Moyer","given":"Barton","non-dropping-particle":"","parse-names":false,"suffix":""}],"container-title":"Journal of Environment Quality","id":"ITEM-1","issue":"5","issued":{"date-parts":[["2000"]]},"page":"1462-1469","title":"Phosphorus forms in manure and compost and their release during simulated rainfall","type":"article-journal","volume":"29"},"uris":["http://www.mendeley.com/documents/?uuid=b12a2090-5d91-4f6b-956e-abe827d43f87"]}],"mendeley":{"formattedCitation":"[70]","plainTextFormattedCitation":"[70]","previouslyFormattedCitation":"[70]"},"properties":{"noteIndex":0},"schema":"https://github.com/citation-style-language/schema/raw/master/csl-citation.json"}</w:instrText>
      </w:r>
      <w:r w:rsidR="001676E9" w:rsidRPr="00713E31">
        <w:rPr>
          <w:rFonts w:cs="Times New Roman"/>
        </w:rPr>
        <w:fldChar w:fldCharType="separate"/>
      </w:r>
      <w:r w:rsidR="00523707" w:rsidRPr="00523707">
        <w:rPr>
          <w:rFonts w:cs="Times New Roman"/>
          <w:noProof/>
        </w:rPr>
        <w:t>[70]</w:t>
      </w:r>
      <w:r w:rsidR="001676E9" w:rsidRPr="00713E31">
        <w:rPr>
          <w:rFonts w:cs="Times New Roman"/>
        </w:rPr>
        <w:fldChar w:fldCharType="end"/>
      </w:r>
      <w:r w:rsidR="001676E9" w:rsidRPr="00713E31">
        <w:rPr>
          <w:rFonts w:cs="Times New Roman"/>
        </w:rPr>
        <w:t>.</w:t>
      </w:r>
      <w:r w:rsidR="00D31746" w:rsidRPr="00713E31">
        <w:rPr>
          <w:rFonts w:cs="Times New Roman"/>
        </w:rPr>
        <w:t xml:space="preserve"> In this </w:t>
      </w:r>
      <w:r w:rsidR="009E41C1" w:rsidRPr="00713E31">
        <w:rPr>
          <w:rFonts w:cs="Times New Roman"/>
        </w:rPr>
        <w:t>way</w:t>
      </w:r>
      <w:r w:rsidR="00D31746" w:rsidRPr="00713E31">
        <w:rPr>
          <w:rFonts w:cs="Times New Roman"/>
        </w:rPr>
        <w:t xml:space="preserve">, the determination of the </w:t>
      </w:r>
      <w:r w:rsidR="00AC6B1D" w:rsidRPr="00713E31">
        <w:rPr>
          <w:rFonts w:cs="Times New Roman"/>
        </w:rPr>
        <w:t>dissolved reactive phosphorus</w:t>
      </w:r>
      <w:r w:rsidR="00D31746" w:rsidRPr="00713E31">
        <w:rPr>
          <w:rFonts w:cs="Times New Roman"/>
        </w:rPr>
        <w:t>, which is the WS P</w:t>
      </w:r>
      <w:r w:rsidR="00E90D75" w:rsidRPr="00713E31">
        <w:rPr>
          <w:rFonts w:cs="Times New Roman"/>
        </w:rPr>
        <w:t>O</w:t>
      </w:r>
      <w:r w:rsidR="00E90D75" w:rsidRPr="00713E31">
        <w:rPr>
          <w:rFonts w:cs="Times New Roman"/>
          <w:vertAlign w:val="subscript"/>
        </w:rPr>
        <w:t>4</w:t>
      </w:r>
      <w:r w:rsidR="00E90D75" w:rsidRPr="00713E31">
        <w:rPr>
          <w:rFonts w:cs="Times New Roman"/>
          <w:vertAlign w:val="superscript"/>
        </w:rPr>
        <w:t>3-</w:t>
      </w:r>
      <w:r w:rsidR="00D31746" w:rsidRPr="00713E31">
        <w:rPr>
          <w:rFonts w:cs="Times New Roman"/>
        </w:rPr>
        <w:t xml:space="preserve"> that </w:t>
      </w:r>
      <w:r w:rsidR="003140BE" w:rsidRPr="00713E31">
        <w:rPr>
          <w:rFonts w:cs="Times New Roman"/>
        </w:rPr>
        <w:t xml:space="preserve">responds </w:t>
      </w:r>
      <w:r w:rsidR="00D31746" w:rsidRPr="00713E31">
        <w:rPr>
          <w:rFonts w:cs="Times New Roman"/>
        </w:rPr>
        <w:t xml:space="preserve">to the molybdate colorimetric test without previous hydrolysis </w:t>
      </w:r>
      <w:r w:rsidR="00D31746" w:rsidRPr="00713E31">
        <w:rPr>
          <w:rFonts w:cs="Times New Roman"/>
        </w:rPr>
        <w:fldChar w:fldCharType="begin" w:fldLock="1"/>
      </w:r>
      <w:r w:rsidR="00233927">
        <w:rPr>
          <w:rFonts w:cs="Times New Roman"/>
        </w:rPr>
        <w:instrText>ADDIN CSL_CITATION {"citationItems":[{"id":"ITEM-1","itemData":{"ISBN":"1581613962","author":[{"dropping-particle":"","family":"Pote","given":"D. H.","non-dropping-particle":"","parse-names":false,"suffix":""},{"dropping-particle":"","family":"Daniel","given":"T. C.","non-dropping-particle":"","parse-names":false,"suffix":""}],"container-title":"Methods of phosphorus analysis for soils, sediments, residuals, and waters","editor":[{"dropping-particle":"","family":"Pierzynski","given":"Gary M.","non-dropping-particle":"","parse-names":false,"suffix":""},{"dropping-particle":"","family":"Hodges","given":"Steven C.","non-dropping-particle":"","parse-names":false,"suffix":""}],"id":"ITEM-1","issued":{"date-parts":[["2000"]]},"page":"91-97","publisher-place":"Manhattan, KS","title":"Analyzing for dissolved reactive phophorus in water samples","type":"chapter"},"uris":["http://www.mendeley.com/documents/?uuid=003ba125-3a66-4cf2-9ad0-93622fdc113b"]}],"mendeley":{"formattedCitation":"[71]","plainTextFormattedCitation":"[71]","previouslyFormattedCitation":"[71]"},"properties":{"noteIndex":0},"schema":"https://github.com/citation-style-language/schema/raw/master/csl-citation.json"}</w:instrText>
      </w:r>
      <w:r w:rsidR="00D31746" w:rsidRPr="00713E31">
        <w:rPr>
          <w:rFonts w:cs="Times New Roman"/>
        </w:rPr>
        <w:fldChar w:fldCharType="separate"/>
      </w:r>
      <w:r w:rsidR="00523707" w:rsidRPr="00523707">
        <w:rPr>
          <w:rFonts w:cs="Times New Roman"/>
          <w:noProof/>
        </w:rPr>
        <w:t>[71]</w:t>
      </w:r>
      <w:r w:rsidR="00D31746" w:rsidRPr="00713E31">
        <w:rPr>
          <w:rFonts w:cs="Times New Roman"/>
        </w:rPr>
        <w:fldChar w:fldCharType="end"/>
      </w:r>
      <w:r w:rsidR="003140BE" w:rsidRPr="00713E31">
        <w:rPr>
          <w:rFonts w:cs="Times New Roman"/>
        </w:rPr>
        <w:t xml:space="preserve">, </w:t>
      </w:r>
      <w:r w:rsidR="009E41C1" w:rsidRPr="00713E31">
        <w:rPr>
          <w:rFonts w:cs="Times New Roman"/>
        </w:rPr>
        <w:t>could give</w:t>
      </w:r>
      <w:r w:rsidR="00AC6B1D" w:rsidRPr="00713E31">
        <w:rPr>
          <w:rFonts w:cs="Times New Roman"/>
        </w:rPr>
        <w:t xml:space="preserve"> </w:t>
      </w:r>
      <w:r w:rsidR="003140BE" w:rsidRPr="00713E31">
        <w:rPr>
          <w:rFonts w:cs="Times New Roman"/>
        </w:rPr>
        <w:t>a good idea of the</w:t>
      </w:r>
      <w:r w:rsidR="00AC6B1D" w:rsidRPr="00713E31">
        <w:rPr>
          <w:rFonts w:cs="Times New Roman"/>
        </w:rPr>
        <w:t xml:space="preserve"> WS TP</w:t>
      </w:r>
      <w:r w:rsidR="003764A7" w:rsidRPr="00713E31">
        <w:rPr>
          <w:rFonts w:cs="Times New Roman"/>
        </w:rPr>
        <w:t xml:space="preserve"> in the blends</w:t>
      </w:r>
      <w:r w:rsidR="00D31746" w:rsidRPr="00713E31">
        <w:rPr>
          <w:rFonts w:cs="Times New Roman"/>
        </w:rPr>
        <w:t>.</w:t>
      </w:r>
      <w:r w:rsidR="003140BE" w:rsidRPr="00713E31">
        <w:rPr>
          <w:rFonts w:cs="Times New Roman"/>
        </w:rPr>
        <w:t xml:space="preserve"> </w:t>
      </w:r>
      <w:r w:rsidR="00AC6B1D" w:rsidRPr="00713E31">
        <w:rPr>
          <w:rFonts w:cs="Times New Roman"/>
        </w:rPr>
        <w:t>It should be noted that</w:t>
      </w:r>
      <w:r w:rsidR="00B060A9" w:rsidRPr="00713E31">
        <w:rPr>
          <w:rFonts w:cs="Times New Roman"/>
        </w:rPr>
        <w:t xml:space="preserve"> s</w:t>
      </w:r>
      <w:r w:rsidR="003140BE" w:rsidRPr="00713E31">
        <w:rPr>
          <w:rFonts w:cs="Times New Roman"/>
        </w:rPr>
        <w:t xml:space="preserve">ome of the particulate P and </w:t>
      </w:r>
      <w:r w:rsidR="001002DC" w:rsidRPr="00713E31">
        <w:rPr>
          <w:rFonts w:cs="Times New Roman"/>
        </w:rPr>
        <w:t xml:space="preserve">WS </w:t>
      </w:r>
      <w:r w:rsidR="00233BEF" w:rsidRPr="00713E31">
        <w:rPr>
          <w:rFonts w:cs="Times New Roman"/>
        </w:rPr>
        <w:t>P</w:t>
      </w:r>
      <w:r w:rsidR="00233BEF" w:rsidRPr="00713E31">
        <w:rPr>
          <w:rFonts w:cs="Times New Roman"/>
          <w:vertAlign w:val="subscript"/>
        </w:rPr>
        <w:t>org</w:t>
      </w:r>
      <w:r w:rsidR="00233BEF" w:rsidRPr="00713E31">
        <w:rPr>
          <w:rFonts w:cs="Times New Roman"/>
        </w:rPr>
        <w:t xml:space="preserve"> </w:t>
      </w:r>
      <w:r w:rsidR="00050712" w:rsidRPr="00713E31">
        <w:rPr>
          <w:rFonts w:cs="Times New Roman"/>
        </w:rPr>
        <w:t>we</w:t>
      </w:r>
      <w:r w:rsidR="00920630" w:rsidRPr="00713E31">
        <w:rPr>
          <w:rFonts w:cs="Times New Roman"/>
        </w:rPr>
        <w:t>re anticipated to</w:t>
      </w:r>
      <w:r w:rsidR="00233BEF" w:rsidRPr="00713E31">
        <w:rPr>
          <w:rFonts w:cs="Times New Roman"/>
        </w:rPr>
        <w:t xml:space="preserve"> be hydrolysed </w:t>
      </w:r>
      <w:r w:rsidR="003140BE" w:rsidRPr="00713E31">
        <w:rPr>
          <w:rFonts w:cs="Times New Roman"/>
        </w:rPr>
        <w:t>easily</w:t>
      </w:r>
      <w:r w:rsidR="00233BEF" w:rsidRPr="00713E31">
        <w:rPr>
          <w:rFonts w:cs="Times New Roman"/>
        </w:rPr>
        <w:t xml:space="preserve"> </w:t>
      </w:r>
      <w:r w:rsidR="00233BEF" w:rsidRPr="00713E31">
        <w:rPr>
          <w:rFonts w:cs="Times New Roman"/>
        </w:rPr>
        <w:fldChar w:fldCharType="begin" w:fldLock="1"/>
      </w:r>
      <w:r w:rsidR="00233927">
        <w:rPr>
          <w:rFonts w:cs="Times New Roman"/>
        </w:rPr>
        <w:instrText>ADDIN CSL_CITATION {"citationItems":[{"id":"ITEM-1","itemData":{"DOI":"10.1016/j.still.2012.05.001","ISSN":"01671987","abstract":"Organic phosphorus (P) is an important source of phosphate for plants both in natural environments and in cultivated soils. Growing plants with high P recycling capacity may increase the importance of organic forms in phosphate availability mainly in undisturbed soils. The aim of this study was to evaluate the effect of long period of cultivation of different winter species under different soil management systems in the distribution of soil organic P forms, in the P content stored into the soil microbial biomass (SMB) and in the acid phosphatase enzyme activity. The experiment was established in 1986 with six winter treatments (blue lupine, hairy vetch, oat, radish, wheat and fallow) implanted in a Rhodic Hapludox in southern Brazil, under no-tillage system (NT) and conventional tillage system (CT). The crops were cultivated with rational use of chemical phosphate fertilizer, according to plant needs and soil type maintaining high levels of soil organic carbon leading to P organic form accumulation. Growing crops during the winter period in highly weathered subtropical soil increases the importance of microbial interactions in the P cycle, especially in the NT, where a large amount of crop residues is annually added to the soil surface, increasing soil organic P level, P content stored into the SMB and acid phosphatase enzyme activity. © 2012 Elsevier B.V.","author":[{"dropping-particle":"","family":"Tiecher","given":"Tales","non-dropping-particle":"","parse-names":false,"suffix":""},{"dropping-particle":"","family":"Santos","given":"Danilo Rheinheimer","non-dropping-particle":"dos","parse-names":false,"suffix":""},{"dropping-particle":"","family":"Calegari","given":"Ademir","non-dropping-particle":"","parse-names":false,"suffix":""}],"container-title":"Soil and Tillage Research","id":"ITEM-1","issued":{"date-parts":[["2012"]]},"page":"57-67","publisher":"Elsevier B.V.","title":"Soil organic phosphorus forms under different soil management systems and winter crops, in a long term experiment","type":"article-journal","volume":"124"},"uris":["http://www.mendeley.com/documents/?uuid=24e7162e-126b-42bc-98e7-8711b2cdb9a6"]}],"mendeley":{"formattedCitation":"[72]","plainTextFormattedCitation":"[72]","previouslyFormattedCitation":"[72]"},"properties":{"noteIndex":0},"schema":"https://github.com/citation-style-language/schema/raw/master/csl-citation.json"}</w:instrText>
      </w:r>
      <w:r w:rsidR="00233BEF" w:rsidRPr="00713E31">
        <w:rPr>
          <w:rFonts w:cs="Times New Roman"/>
        </w:rPr>
        <w:fldChar w:fldCharType="separate"/>
      </w:r>
      <w:r w:rsidR="00523707" w:rsidRPr="00523707">
        <w:rPr>
          <w:rFonts w:cs="Times New Roman"/>
          <w:noProof/>
        </w:rPr>
        <w:t>[72]</w:t>
      </w:r>
      <w:r w:rsidR="00233BEF" w:rsidRPr="00713E31">
        <w:rPr>
          <w:rFonts w:cs="Times New Roman"/>
        </w:rPr>
        <w:fldChar w:fldCharType="end"/>
      </w:r>
      <w:r w:rsidR="007B3047" w:rsidRPr="00713E31">
        <w:rPr>
          <w:rFonts w:cs="Times New Roman"/>
        </w:rPr>
        <w:t>, even with the reagents of th</w:t>
      </w:r>
      <w:r w:rsidR="004D38E2" w:rsidRPr="00713E31">
        <w:rPr>
          <w:rFonts w:cs="Times New Roman"/>
        </w:rPr>
        <w:t>e</w:t>
      </w:r>
      <w:r w:rsidR="001002DC" w:rsidRPr="00713E31">
        <w:rPr>
          <w:rFonts w:cs="Times New Roman"/>
        </w:rPr>
        <w:t xml:space="preserve"> improved colorimetric m</w:t>
      </w:r>
      <w:r w:rsidR="006F466D" w:rsidRPr="00713E31">
        <w:rPr>
          <w:rFonts w:cs="Times New Roman"/>
        </w:rPr>
        <w:t>ethod of Murphy and Riley</w:t>
      </w:r>
      <w:r w:rsidR="001002DC" w:rsidRPr="00713E31">
        <w:rPr>
          <w:rFonts w:cs="Times New Roman"/>
        </w:rPr>
        <w:t xml:space="preserve"> </w:t>
      </w:r>
      <w:r w:rsidR="001002DC" w:rsidRPr="00713E31">
        <w:rPr>
          <w:rFonts w:cs="Times New Roman"/>
        </w:rPr>
        <w:fldChar w:fldCharType="begin" w:fldLock="1"/>
      </w:r>
      <w:r w:rsidR="00233927">
        <w:rPr>
          <w:rFonts w:cs="Times New Roman"/>
        </w:rPr>
        <w:instrText>ADDIN CSL_CITATION {"citationItems":[{"id":"ITEM-1","itemData":{"ISBN":"1581613962","author":[{"dropping-particle":"","family":"Pote","given":"D. H.","non-dropping-particle":"","parse-names":false,"suffix":""},{"dropping-particle":"","family":"Daniel","given":"T. C.","non-dropping-particle":"","parse-names":false,"suffix":""}],"container-title":"Methods of phosphorus analysis for soils, sediments, residuals, and waters","editor":[{"dropping-particle":"","family":"Pierzynski","given":"Gary M.","non-dropping-particle":"","parse-names":false,"suffix":""},{"dropping-particle":"","family":"Hodges","given":"Steven C.","non-dropping-particle":"","parse-names":false,"suffix":""}],"id":"ITEM-1","issued":{"date-parts":[["2000"]]},"page":"91-97","publisher-place":"Manhattan, KS","title":"Analyzing for dissolved reactive phophorus in water samples","type":"chapter"},"uris":["http://www.mendeley.com/documents/?uuid=003ba125-3a66-4cf2-9ad0-93622fdc113b"]}],"mendeley":{"formattedCitation":"[71]","plainTextFormattedCitation":"[71]","previouslyFormattedCitation":"[71]"},"properties":{"noteIndex":0},"schema":"https://github.com/citation-style-language/schema/raw/master/csl-citation.json"}</w:instrText>
      </w:r>
      <w:r w:rsidR="001002DC" w:rsidRPr="00713E31">
        <w:rPr>
          <w:rFonts w:cs="Times New Roman"/>
        </w:rPr>
        <w:fldChar w:fldCharType="separate"/>
      </w:r>
      <w:r w:rsidR="00523707" w:rsidRPr="00523707">
        <w:rPr>
          <w:rFonts w:cs="Times New Roman"/>
          <w:noProof/>
        </w:rPr>
        <w:t>[71]</w:t>
      </w:r>
      <w:r w:rsidR="001002DC" w:rsidRPr="00713E31">
        <w:rPr>
          <w:rFonts w:cs="Times New Roman"/>
        </w:rPr>
        <w:fldChar w:fldCharType="end"/>
      </w:r>
      <w:r w:rsidR="00CF018E" w:rsidRPr="00713E31">
        <w:rPr>
          <w:rFonts w:cs="Times New Roman"/>
        </w:rPr>
        <w:t xml:space="preserve"> which was used in </w:t>
      </w:r>
      <w:r w:rsidR="00807036" w:rsidRPr="00713E31">
        <w:rPr>
          <w:rFonts w:cs="Times New Roman"/>
        </w:rPr>
        <w:t>the present</w:t>
      </w:r>
      <w:r w:rsidR="00CF018E" w:rsidRPr="00713E31">
        <w:rPr>
          <w:rFonts w:cs="Times New Roman"/>
        </w:rPr>
        <w:t xml:space="preserve"> study</w:t>
      </w:r>
      <w:r w:rsidR="00233BEF" w:rsidRPr="00713E31">
        <w:rPr>
          <w:rFonts w:cs="Times New Roman"/>
        </w:rPr>
        <w:t>.</w:t>
      </w:r>
    </w:p>
    <w:p w14:paraId="22BA6569" w14:textId="20C8089C" w:rsidR="00766AD2" w:rsidRDefault="00766AD2" w:rsidP="00C807A3">
      <w:pPr>
        <w:pStyle w:val="Heading2"/>
        <w:spacing w:line="360" w:lineRule="auto"/>
        <w:rPr>
          <w:rFonts w:cs="Times New Roman"/>
        </w:rPr>
      </w:pPr>
      <w:r w:rsidRPr="00EF75A4">
        <w:rPr>
          <w:rFonts w:cs="Times New Roman"/>
        </w:rPr>
        <w:lastRenderedPageBreak/>
        <w:t>Conclusion</w:t>
      </w:r>
      <w:r w:rsidR="00C63F24" w:rsidRPr="00EF75A4">
        <w:rPr>
          <w:rFonts w:cs="Times New Roman"/>
        </w:rPr>
        <w:t>s</w:t>
      </w:r>
    </w:p>
    <w:p w14:paraId="3F238D55" w14:textId="6BD0F7F7" w:rsidR="00863846" w:rsidRPr="00863846" w:rsidRDefault="00BB0036" w:rsidP="00ED6D6B">
      <w:pPr>
        <w:spacing w:line="360" w:lineRule="auto"/>
        <w:rPr>
          <w:rFonts w:cs="Times New Roman"/>
        </w:rPr>
      </w:pPr>
      <w:r w:rsidRPr="00EF75A4">
        <w:rPr>
          <w:rFonts w:cs="Times New Roman"/>
        </w:rPr>
        <w:t xml:space="preserve">The </w:t>
      </w:r>
      <w:r>
        <w:rPr>
          <w:rFonts w:cs="Times New Roman"/>
        </w:rPr>
        <w:t>changes in the availabilities of nitrogen, carbon, and phosphorus</w:t>
      </w:r>
      <w:r w:rsidRPr="00EF75A4">
        <w:rPr>
          <w:rFonts w:cs="Times New Roman"/>
        </w:rPr>
        <w:t xml:space="preserve"> </w:t>
      </w:r>
      <w:r>
        <w:rPr>
          <w:rFonts w:cs="Times New Roman"/>
        </w:rPr>
        <w:t>in</w:t>
      </w:r>
      <w:r w:rsidRPr="00EF75A4">
        <w:rPr>
          <w:rFonts w:cs="Times New Roman"/>
        </w:rPr>
        <w:t xml:space="preserve"> food</w:t>
      </w:r>
      <w:r>
        <w:rPr>
          <w:rFonts w:cs="Times New Roman"/>
        </w:rPr>
        <w:t xml:space="preserve"> waste</w:t>
      </w:r>
      <w:r w:rsidRPr="00EF75A4">
        <w:rPr>
          <w:rFonts w:cs="Times New Roman"/>
        </w:rPr>
        <w:t xml:space="preserve"> and </w:t>
      </w:r>
      <w:r>
        <w:rPr>
          <w:rFonts w:cs="Times New Roman"/>
        </w:rPr>
        <w:t>agro-industrial</w:t>
      </w:r>
      <w:r w:rsidRPr="00EF75A4">
        <w:rPr>
          <w:rFonts w:cs="Times New Roman"/>
        </w:rPr>
        <w:t xml:space="preserve"> waste</w:t>
      </w:r>
      <w:r>
        <w:rPr>
          <w:rFonts w:cs="Times New Roman"/>
        </w:rPr>
        <w:t xml:space="preserve"> digestates</w:t>
      </w:r>
      <w:r w:rsidRPr="00EF75A4">
        <w:rPr>
          <w:rFonts w:cs="Times New Roman"/>
        </w:rPr>
        <w:t xml:space="preserve"> </w:t>
      </w:r>
      <w:r>
        <w:rPr>
          <w:rFonts w:cs="Times New Roman"/>
        </w:rPr>
        <w:t>due to the addition of</w:t>
      </w:r>
      <w:r w:rsidRPr="00EF75A4">
        <w:rPr>
          <w:rFonts w:cs="Times New Roman"/>
        </w:rPr>
        <w:t xml:space="preserve"> wood ashes</w:t>
      </w:r>
      <w:r>
        <w:rPr>
          <w:rFonts w:cs="Times New Roman"/>
        </w:rPr>
        <w:t>,</w:t>
      </w:r>
      <w:r w:rsidRPr="00EF75A4">
        <w:rPr>
          <w:rFonts w:cs="Times New Roman"/>
        </w:rPr>
        <w:t xml:space="preserve"> w</w:t>
      </w:r>
      <w:r>
        <w:rPr>
          <w:rFonts w:cs="Times New Roman"/>
        </w:rPr>
        <w:t>ere monitored f</w:t>
      </w:r>
      <w:r w:rsidR="00807036">
        <w:rPr>
          <w:rFonts w:cs="Times New Roman"/>
        </w:rPr>
        <w:t>or ten</w:t>
      </w:r>
      <w:r w:rsidRPr="00EF75A4">
        <w:rPr>
          <w:rFonts w:cs="Times New Roman"/>
        </w:rPr>
        <w:t xml:space="preserve"> hours of incubation.</w:t>
      </w:r>
      <w:r w:rsidRPr="00966B23">
        <w:rPr>
          <w:rFonts w:cs="Times New Roman"/>
        </w:rPr>
        <w:t xml:space="preserve"> </w:t>
      </w:r>
      <w:r w:rsidR="00B9164D" w:rsidRPr="00167B5E">
        <w:rPr>
          <w:rFonts w:cs="Times New Roman"/>
          <w:b/>
        </w:rPr>
        <w:t>It was proposed that the NO</w:t>
      </w:r>
      <w:r w:rsidR="00B9164D" w:rsidRPr="00167B5E">
        <w:rPr>
          <w:rFonts w:cs="Times New Roman"/>
          <w:b/>
          <w:vertAlign w:val="subscript"/>
        </w:rPr>
        <w:t>3</w:t>
      </w:r>
      <w:r w:rsidR="00B9164D" w:rsidRPr="00167B5E">
        <w:rPr>
          <w:rFonts w:cs="Times New Roman"/>
          <w:b/>
          <w:vertAlign w:val="superscript"/>
        </w:rPr>
        <w:t>-</w:t>
      </w:r>
      <w:r w:rsidR="00B9164D" w:rsidRPr="00167B5E">
        <w:rPr>
          <w:rFonts w:cs="Times New Roman"/>
          <w:b/>
        </w:rPr>
        <w:t xml:space="preserve">-N was lost </w:t>
      </w:r>
      <w:r w:rsidR="00852C03">
        <w:rPr>
          <w:rFonts w:cs="Times New Roman"/>
          <w:b/>
        </w:rPr>
        <w:t>as N</w:t>
      </w:r>
      <w:r w:rsidR="00852C03" w:rsidRPr="00852C03">
        <w:rPr>
          <w:rFonts w:cs="Times New Roman"/>
          <w:b/>
          <w:vertAlign w:val="subscript"/>
        </w:rPr>
        <w:t>2</w:t>
      </w:r>
      <w:r w:rsidR="00852C03">
        <w:rPr>
          <w:rFonts w:cs="Times New Roman"/>
          <w:b/>
        </w:rPr>
        <w:t>O</w:t>
      </w:r>
      <w:r w:rsidR="00852C03" w:rsidRPr="00ED4883">
        <w:rPr>
          <w:rFonts w:cs="Times New Roman"/>
          <w:b/>
          <w:vertAlign w:val="subscript"/>
        </w:rPr>
        <w:t xml:space="preserve"> gas</w:t>
      </w:r>
      <w:r w:rsidR="00852C03">
        <w:rPr>
          <w:rFonts w:cs="Times New Roman"/>
          <w:b/>
        </w:rPr>
        <w:t xml:space="preserve"> </w:t>
      </w:r>
      <w:r w:rsidR="00B9164D" w:rsidRPr="00167B5E">
        <w:rPr>
          <w:rFonts w:cs="Times New Roman"/>
          <w:b/>
        </w:rPr>
        <w:t>due to</w:t>
      </w:r>
      <w:r w:rsidR="00852C03">
        <w:rPr>
          <w:rFonts w:cs="Times New Roman"/>
          <w:b/>
        </w:rPr>
        <w:t xml:space="preserve"> the</w:t>
      </w:r>
      <w:r w:rsidR="00B9164D" w:rsidRPr="00167B5E">
        <w:rPr>
          <w:rFonts w:cs="Times New Roman"/>
          <w:b/>
        </w:rPr>
        <w:t xml:space="preserve"> reducing effect of the alkali and alkaline earth</w:t>
      </w:r>
      <w:r w:rsidR="006A14EE" w:rsidRPr="00167B5E">
        <w:rPr>
          <w:rFonts w:cs="Times New Roman"/>
          <w:b/>
        </w:rPr>
        <w:t xml:space="preserve"> metals</w:t>
      </w:r>
      <w:r w:rsidR="00B9164D" w:rsidRPr="00167B5E">
        <w:rPr>
          <w:rFonts w:cs="Times New Roman"/>
          <w:b/>
        </w:rPr>
        <w:t xml:space="preserve"> contained in the ashes. </w:t>
      </w:r>
      <w:r w:rsidRPr="00676780">
        <w:rPr>
          <w:rFonts w:cs="Times New Roman"/>
        </w:rPr>
        <w:t>The high pH of the blends (&gt; 10),</w:t>
      </w:r>
      <w:r w:rsidRPr="00676780">
        <w:t xml:space="preserve"> </w:t>
      </w:r>
      <w:r w:rsidR="00162D28" w:rsidRPr="00676780">
        <w:rPr>
          <w:rFonts w:cs="Times New Roman"/>
        </w:rPr>
        <w:t>promoted the volatiliz</w:t>
      </w:r>
      <w:r w:rsidRPr="00676780">
        <w:rPr>
          <w:rFonts w:cs="Times New Roman"/>
        </w:rPr>
        <w:t>ation of NH</w:t>
      </w:r>
      <w:r w:rsidRPr="00676780">
        <w:rPr>
          <w:rFonts w:cs="Times New Roman"/>
          <w:vertAlign w:val="subscript"/>
        </w:rPr>
        <w:t>4</w:t>
      </w:r>
      <w:r w:rsidRPr="00676780">
        <w:rPr>
          <w:rFonts w:cs="Times New Roman"/>
          <w:vertAlign w:val="superscript"/>
        </w:rPr>
        <w:t>+</w:t>
      </w:r>
      <w:r w:rsidR="00162D28" w:rsidRPr="00676780">
        <w:rPr>
          <w:rFonts w:cs="Times New Roman"/>
        </w:rPr>
        <w:t>-N and the solubiliz</w:t>
      </w:r>
      <w:r w:rsidRPr="00676780">
        <w:rPr>
          <w:rFonts w:cs="Times New Roman"/>
        </w:rPr>
        <w:t>ation of carbon.</w:t>
      </w:r>
      <w:r w:rsidR="00B9164D" w:rsidRPr="00676780">
        <w:rPr>
          <w:rFonts w:cs="Times New Roman"/>
        </w:rPr>
        <w:t xml:space="preserve"> </w:t>
      </w:r>
      <w:r w:rsidRPr="00676780">
        <w:rPr>
          <w:rFonts w:cs="Times New Roman"/>
        </w:rPr>
        <w:t xml:space="preserve">The </w:t>
      </w:r>
      <w:r w:rsidR="00543B5B" w:rsidRPr="00676780">
        <w:rPr>
          <w:rFonts w:cs="Times New Roman"/>
        </w:rPr>
        <w:t>extents of these phenomena were</w:t>
      </w:r>
      <w:r w:rsidR="00D17D0A" w:rsidRPr="00676780">
        <w:rPr>
          <w:rFonts w:cs="Times New Roman"/>
        </w:rPr>
        <w:t xml:space="preserve"> </w:t>
      </w:r>
      <w:r w:rsidRPr="00676780">
        <w:rPr>
          <w:rFonts w:cs="Times New Roman"/>
        </w:rPr>
        <w:t>related to the composition of the digestates</w:t>
      </w:r>
      <w:r w:rsidR="00142E9C">
        <w:rPr>
          <w:rFonts w:cs="Times New Roman"/>
        </w:rPr>
        <w:t xml:space="preserve"> and the ashes</w:t>
      </w:r>
      <w:r w:rsidRPr="00676780">
        <w:rPr>
          <w:rFonts w:cs="Times New Roman"/>
        </w:rPr>
        <w:t>. The greatest loss of nitrogen took place at the time of</w:t>
      </w:r>
      <w:r w:rsidR="00807036" w:rsidRPr="00676780">
        <w:rPr>
          <w:rFonts w:cs="Times New Roman"/>
        </w:rPr>
        <w:t xml:space="preserve"> blending and during the first three</w:t>
      </w:r>
      <w:r w:rsidRPr="00676780">
        <w:rPr>
          <w:rFonts w:cs="Times New Roman"/>
        </w:rPr>
        <w:t xml:space="preserve"> hours after the preparation of the mixture</w:t>
      </w:r>
      <w:r w:rsidR="00543B5B" w:rsidRPr="00676780">
        <w:rPr>
          <w:rFonts w:cs="Times New Roman"/>
        </w:rPr>
        <w:t>s</w:t>
      </w:r>
      <w:r w:rsidRPr="00676780">
        <w:rPr>
          <w:rFonts w:cs="Times New Roman"/>
        </w:rPr>
        <w:t>.</w:t>
      </w:r>
      <w:r w:rsidRPr="00167B5E">
        <w:rPr>
          <w:rFonts w:cs="Times New Roman"/>
          <w:b/>
        </w:rPr>
        <w:t xml:space="preserve"> </w:t>
      </w:r>
      <w:r w:rsidRPr="00676780">
        <w:rPr>
          <w:rFonts w:cs="Times New Roman"/>
        </w:rPr>
        <w:t>On the other hand, the loss of carbon via CO</w:t>
      </w:r>
      <w:r w:rsidRPr="00676780">
        <w:rPr>
          <w:rFonts w:cs="Times New Roman"/>
          <w:vertAlign w:val="subscript"/>
        </w:rPr>
        <w:t>2</w:t>
      </w:r>
      <w:r w:rsidRPr="00676780">
        <w:rPr>
          <w:rFonts w:cs="Times New Roman"/>
        </w:rPr>
        <w:t xml:space="preserve"> release was regarded as negligible at the high pH of the blends. In terms of phosphorus availability, t</w:t>
      </w:r>
      <w:r w:rsidR="00080D76" w:rsidRPr="00676780">
        <w:rPr>
          <w:rFonts w:cs="Times New Roman"/>
        </w:rPr>
        <w:t>he</w:t>
      </w:r>
      <w:r w:rsidR="00543B5B" w:rsidRPr="00676780">
        <w:rPr>
          <w:rFonts w:cs="Times New Roman"/>
        </w:rPr>
        <w:t xml:space="preserve"> sorption kinetic</w:t>
      </w:r>
      <w:r w:rsidR="00080D76" w:rsidRPr="00676780">
        <w:rPr>
          <w:rFonts w:cs="Times New Roman"/>
        </w:rPr>
        <w:t xml:space="preserve"> and equilibrium </w:t>
      </w:r>
      <w:r w:rsidRPr="00676780">
        <w:rPr>
          <w:rFonts w:cs="Times New Roman"/>
        </w:rPr>
        <w:t>of the WS PO</w:t>
      </w:r>
      <w:r w:rsidRPr="00676780">
        <w:rPr>
          <w:rFonts w:cs="Times New Roman"/>
          <w:vertAlign w:val="subscript"/>
        </w:rPr>
        <w:t>4</w:t>
      </w:r>
      <w:r w:rsidRPr="00676780">
        <w:rPr>
          <w:rFonts w:cs="Times New Roman"/>
          <w:vertAlign w:val="superscript"/>
        </w:rPr>
        <w:t>3-</w:t>
      </w:r>
      <w:r w:rsidRPr="00676780">
        <w:rPr>
          <w:rFonts w:cs="Times New Roman"/>
        </w:rPr>
        <w:t xml:space="preserve"> of the digestates were determined by the amount of ashes in the blends. </w:t>
      </w:r>
      <w:r w:rsidR="005C0AFB" w:rsidRPr="00676780">
        <w:rPr>
          <w:rFonts w:cs="Times New Roman"/>
        </w:rPr>
        <w:t>Herein,</w:t>
      </w:r>
      <w:r w:rsidR="008378CC" w:rsidRPr="00676780">
        <w:rPr>
          <w:rFonts w:cs="Times New Roman"/>
        </w:rPr>
        <w:t xml:space="preserve"> </w:t>
      </w:r>
      <w:r w:rsidR="005C0AFB" w:rsidRPr="00676780">
        <w:rPr>
          <w:rFonts w:cs="Times New Roman"/>
        </w:rPr>
        <w:t>i</w:t>
      </w:r>
      <w:r w:rsidR="008378CC" w:rsidRPr="00676780">
        <w:rPr>
          <w:rFonts w:cs="Times New Roman"/>
        </w:rPr>
        <w:t>t was possible to identify the best samples for the preparation o</w:t>
      </w:r>
      <w:r w:rsidR="00A712A5" w:rsidRPr="00676780">
        <w:rPr>
          <w:rFonts w:cs="Times New Roman"/>
        </w:rPr>
        <w:t>f</w:t>
      </w:r>
      <w:r w:rsidR="00AC3475" w:rsidRPr="00676780">
        <w:rPr>
          <w:rFonts w:cs="Times New Roman"/>
        </w:rPr>
        <w:t xml:space="preserve"> a</w:t>
      </w:r>
      <w:r w:rsidR="008378CC" w:rsidRPr="00676780">
        <w:rPr>
          <w:rFonts w:cs="Times New Roman"/>
        </w:rPr>
        <w:t xml:space="preserve"> slow</w:t>
      </w:r>
      <w:r w:rsidR="00FD2EF0" w:rsidRPr="00676780">
        <w:rPr>
          <w:rFonts w:cs="Times New Roman"/>
        </w:rPr>
        <w:t>-</w:t>
      </w:r>
      <w:r w:rsidR="008378CC" w:rsidRPr="00676780">
        <w:rPr>
          <w:rFonts w:cs="Times New Roman"/>
        </w:rPr>
        <w:t>release fertili</w:t>
      </w:r>
      <w:r w:rsidR="008D62C9" w:rsidRPr="00676780">
        <w:rPr>
          <w:rFonts w:cs="Times New Roman"/>
        </w:rPr>
        <w:t>z</w:t>
      </w:r>
      <w:r w:rsidR="008378CC" w:rsidRPr="00676780">
        <w:rPr>
          <w:rFonts w:cs="Times New Roman"/>
        </w:rPr>
        <w:t>er.</w:t>
      </w:r>
      <w:r w:rsidR="005C0AFB" w:rsidRPr="00676780">
        <w:rPr>
          <w:rFonts w:cs="Times New Roman"/>
        </w:rPr>
        <w:t xml:space="preserve"> Digestates with high content of </w:t>
      </w:r>
      <w:r w:rsidR="00673808" w:rsidRPr="00676780">
        <w:rPr>
          <w:rFonts w:cs="Times New Roman"/>
        </w:rPr>
        <w:t>NH</w:t>
      </w:r>
      <w:r w:rsidR="00673808" w:rsidRPr="00676780">
        <w:rPr>
          <w:rFonts w:cs="Times New Roman"/>
          <w:vertAlign w:val="subscript"/>
        </w:rPr>
        <w:t>4</w:t>
      </w:r>
      <w:r w:rsidR="00673808" w:rsidRPr="00676780">
        <w:rPr>
          <w:rFonts w:cs="Times New Roman"/>
          <w:vertAlign w:val="superscript"/>
        </w:rPr>
        <w:t>+</w:t>
      </w:r>
      <w:r w:rsidR="00673808" w:rsidRPr="00676780">
        <w:rPr>
          <w:rFonts w:cs="Times New Roman"/>
        </w:rPr>
        <w:t>-N</w:t>
      </w:r>
      <w:r w:rsidR="005C0AFB" w:rsidRPr="00676780">
        <w:rPr>
          <w:rFonts w:cs="Times New Roman"/>
        </w:rPr>
        <w:t xml:space="preserve"> or other easily converted forms</w:t>
      </w:r>
      <w:r w:rsidR="006C7595" w:rsidRPr="00676780">
        <w:rPr>
          <w:rFonts w:cs="Times New Roman"/>
        </w:rPr>
        <w:t>, such as FWD</w:t>
      </w:r>
      <w:r w:rsidR="005C0AFB" w:rsidRPr="00676780">
        <w:rPr>
          <w:rFonts w:cs="Times New Roman"/>
        </w:rPr>
        <w:t>,</w:t>
      </w:r>
      <w:r w:rsidR="008C7E89" w:rsidRPr="00676780">
        <w:rPr>
          <w:rFonts w:cs="Times New Roman"/>
        </w:rPr>
        <w:t xml:space="preserve"> were</w:t>
      </w:r>
      <w:r w:rsidR="003D33F9" w:rsidRPr="00676780">
        <w:rPr>
          <w:rFonts w:cs="Times New Roman"/>
        </w:rPr>
        <w:t xml:space="preserve"> anticipated</w:t>
      </w:r>
      <w:r w:rsidR="005C0AFB" w:rsidRPr="00676780">
        <w:rPr>
          <w:rFonts w:cs="Times New Roman"/>
        </w:rPr>
        <w:t xml:space="preserve"> </w:t>
      </w:r>
      <w:r w:rsidR="003D33F9" w:rsidRPr="00676780">
        <w:rPr>
          <w:rFonts w:cs="Times New Roman"/>
        </w:rPr>
        <w:t>to have</w:t>
      </w:r>
      <w:r w:rsidR="005C0AFB" w:rsidRPr="00676780">
        <w:rPr>
          <w:rFonts w:cs="Times New Roman"/>
        </w:rPr>
        <w:t xml:space="preserve"> greater losses via </w:t>
      </w:r>
      <w:r w:rsidR="00673808" w:rsidRPr="00676780">
        <w:rPr>
          <w:rFonts w:cs="Times New Roman"/>
        </w:rPr>
        <w:t>NH</w:t>
      </w:r>
      <w:r w:rsidR="00145169">
        <w:rPr>
          <w:rFonts w:cs="Times New Roman"/>
          <w:vertAlign w:val="subscript"/>
        </w:rPr>
        <w:t>3 aq</w:t>
      </w:r>
      <w:r w:rsidR="00673808" w:rsidRPr="00676780">
        <w:rPr>
          <w:rFonts w:cs="Times New Roman"/>
        </w:rPr>
        <w:t xml:space="preserve"> </w:t>
      </w:r>
      <w:r w:rsidR="00162D28" w:rsidRPr="00676780">
        <w:rPr>
          <w:rFonts w:cs="Times New Roman"/>
        </w:rPr>
        <w:t>volatiliz</w:t>
      </w:r>
      <w:r w:rsidR="005C0AFB" w:rsidRPr="00676780">
        <w:rPr>
          <w:rFonts w:cs="Times New Roman"/>
        </w:rPr>
        <w:t>ation</w:t>
      </w:r>
      <w:r w:rsidR="00596DA8" w:rsidRPr="00676780">
        <w:rPr>
          <w:rFonts w:cs="Times New Roman"/>
        </w:rPr>
        <w:t xml:space="preserve">. In this way, the </w:t>
      </w:r>
      <w:r w:rsidR="005C0AFB" w:rsidRPr="00676780">
        <w:rPr>
          <w:rFonts w:cs="Times New Roman"/>
        </w:rPr>
        <w:t xml:space="preserve">PVWD </w:t>
      </w:r>
      <w:r w:rsidR="008C7E89" w:rsidRPr="00676780">
        <w:rPr>
          <w:rFonts w:cs="Times New Roman"/>
        </w:rPr>
        <w:t>was the most suitable d</w:t>
      </w:r>
      <w:r w:rsidR="005C0AFB" w:rsidRPr="00676780">
        <w:rPr>
          <w:rFonts w:cs="Times New Roman"/>
        </w:rPr>
        <w:t xml:space="preserve">igestate </w:t>
      </w:r>
      <w:r w:rsidR="00F91122" w:rsidRPr="00676780">
        <w:rPr>
          <w:rFonts w:cs="Times New Roman"/>
        </w:rPr>
        <w:t>f</w:t>
      </w:r>
      <w:r w:rsidR="005C0AFB" w:rsidRPr="00676780">
        <w:rPr>
          <w:rFonts w:cs="Times New Roman"/>
        </w:rPr>
        <w:t xml:space="preserve">or the production of a </w:t>
      </w:r>
      <w:r w:rsidR="00FD2EF0" w:rsidRPr="00676780">
        <w:rPr>
          <w:rFonts w:cs="Times New Roman"/>
        </w:rPr>
        <w:t>controlled-</w:t>
      </w:r>
      <w:r w:rsidR="005C0AFB" w:rsidRPr="00676780">
        <w:rPr>
          <w:rFonts w:cs="Times New Roman"/>
        </w:rPr>
        <w:t>release</w:t>
      </w:r>
      <w:r w:rsidR="008D62C9" w:rsidRPr="00676780">
        <w:rPr>
          <w:rFonts w:cs="Times New Roman"/>
        </w:rPr>
        <w:t xml:space="preserve"> fertiliz</w:t>
      </w:r>
      <w:r w:rsidR="005C0AFB" w:rsidRPr="00676780">
        <w:rPr>
          <w:rFonts w:cs="Times New Roman"/>
        </w:rPr>
        <w:t>er.</w:t>
      </w:r>
      <w:r w:rsidR="005C0AFB" w:rsidRPr="008E3E92">
        <w:rPr>
          <w:rFonts w:cs="Times New Roman"/>
        </w:rPr>
        <w:t xml:space="preserve"> </w:t>
      </w:r>
      <w:r w:rsidR="00596DA8" w:rsidRPr="005F32FA">
        <w:rPr>
          <w:rFonts w:cs="Times New Roman"/>
          <w:b/>
        </w:rPr>
        <w:t>I</w:t>
      </w:r>
      <w:r w:rsidR="005C0AFB" w:rsidRPr="005F32FA">
        <w:rPr>
          <w:rFonts w:cs="Times New Roman"/>
          <w:b/>
        </w:rPr>
        <w:t>n terms o</w:t>
      </w:r>
      <w:r w:rsidR="00F87B66" w:rsidRPr="005F32FA">
        <w:rPr>
          <w:rFonts w:cs="Times New Roman"/>
          <w:b/>
        </w:rPr>
        <w:t xml:space="preserve">f </w:t>
      </w:r>
      <w:r w:rsidR="005C0AFB" w:rsidRPr="005F32FA">
        <w:rPr>
          <w:rFonts w:cs="Times New Roman"/>
          <w:b/>
        </w:rPr>
        <w:t>ash</w:t>
      </w:r>
      <w:r w:rsidR="00E714A3" w:rsidRPr="005F32FA">
        <w:rPr>
          <w:rFonts w:cs="Times New Roman"/>
          <w:b/>
        </w:rPr>
        <w:t>es</w:t>
      </w:r>
      <w:r w:rsidR="005C0AFB" w:rsidRPr="005F32FA">
        <w:rPr>
          <w:rFonts w:cs="Times New Roman"/>
          <w:b/>
        </w:rPr>
        <w:t>,</w:t>
      </w:r>
      <w:r w:rsidR="00713E31" w:rsidRPr="005F32FA">
        <w:rPr>
          <w:rFonts w:cs="Times New Roman"/>
          <w:b/>
        </w:rPr>
        <w:t xml:space="preserve"> the </w:t>
      </w:r>
      <w:r w:rsidR="000443BD" w:rsidRPr="005F32FA">
        <w:rPr>
          <w:rFonts w:cs="Times New Roman"/>
          <w:b/>
        </w:rPr>
        <w:t>WFA could be preferred due to its better properties as sorbent (i.e. smaller particle size and greater concentration of calcium and magnesium).</w:t>
      </w:r>
      <w:r w:rsidR="00CD7A4E" w:rsidRPr="005F32FA">
        <w:rPr>
          <w:rFonts w:cs="Times New Roman"/>
          <w:b/>
        </w:rPr>
        <w:t xml:space="preserve"> On the other hand, the WBA </w:t>
      </w:r>
      <w:r w:rsidR="00CD1033" w:rsidRPr="005F32FA">
        <w:rPr>
          <w:rFonts w:cs="Times New Roman"/>
          <w:b/>
        </w:rPr>
        <w:t xml:space="preserve">was the main fraction produced in grate combustion chamber, hence using this fraction would have a greater positive impact </w:t>
      </w:r>
      <w:r w:rsidR="003F45D8">
        <w:rPr>
          <w:rFonts w:cs="Times New Roman"/>
          <w:b/>
        </w:rPr>
        <w:t>o</w:t>
      </w:r>
      <w:r w:rsidR="00CD1033" w:rsidRPr="005F32FA">
        <w:rPr>
          <w:rFonts w:cs="Times New Roman"/>
          <w:b/>
        </w:rPr>
        <w:t>n the circular economy.</w:t>
      </w:r>
      <w:r w:rsidR="00C62608" w:rsidRPr="005F32FA">
        <w:rPr>
          <w:rFonts w:cs="Times New Roman"/>
          <w:b/>
        </w:rPr>
        <w:t xml:space="preserve"> Furthermore, the </w:t>
      </w:r>
      <w:r w:rsidR="00863846" w:rsidRPr="005F32FA">
        <w:rPr>
          <w:rFonts w:cs="Times New Roman"/>
          <w:b/>
        </w:rPr>
        <w:t>high</w:t>
      </w:r>
      <w:r w:rsidR="00C62608" w:rsidRPr="005F32FA">
        <w:rPr>
          <w:rFonts w:cs="Times New Roman"/>
          <w:b/>
        </w:rPr>
        <w:t xml:space="preserve">er pH of WBA could be used to </w:t>
      </w:r>
      <w:r w:rsidR="0045261F">
        <w:rPr>
          <w:rFonts w:cs="Times New Roman"/>
          <w:b/>
        </w:rPr>
        <w:t>enhance</w:t>
      </w:r>
      <w:r w:rsidR="00C62608" w:rsidRPr="005F32FA">
        <w:rPr>
          <w:rFonts w:cs="Times New Roman"/>
          <w:b/>
        </w:rPr>
        <w:t xml:space="preserve"> the NH</w:t>
      </w:r>
      <w:r w:rsidR="00C62608" w:rsidRPr="005F32FA">
        <w:rPr>
          <w:rFonts w:cs="Times New Roman"/>
          <w:b/>
          <w:vertAlign w:val="subscript"/>
        </w:rPr>
        <w:t>3</w:t>
      </w:r>
      <w:r w:rsidR="00B96B31">
        <w:rPr>
          <w:rFonts w:cs="Times New Roman"/>
          <w:b/>
          <w:vertAlign w:val="subscript"/>
        </w:rPr>
        <w:t xml:space="preserve"> aq</w:t>
      </w:r>
      <w:r w:rsidR="00C62608" w:rsidRPr="005F32FA">
        <w:rPr>
          <w:rFonts w:cs="Times New Roman"/>
          <w:b/>
        </w:rPr>
        <w:t xml:space="preserve"> strippin</w:t>
      </w:r>
      <w:r w:rsidR="00BB7684">
        <w:rPr>
          <w:rFonts w:cs="Times New Roman"/>
          <w:b/>
        </w:rPr>
        <w:t>g from the digestates which would</w:t>
      </w:r>
      <w:r w:rsidR="00C62608" w:rsidRPr="005F32FA">
        <w:rPr>
          <w:rFonts w:cs="Times New Roman"/>
          <w:b/>
        </w:rPr>
        <w:t xml:space="preserve"> be recovered with </w:t>
      </w:r>
      <w:r w:rsidR="00863846" w:rsidRPr="005F32FA">
        <w:rPr>
          <w:rFonts w:cs="Times New Roman"/>
          <w:b/>
        </w:rPr>
        <w:t>a</w:t>
      </w:r>
      <w:r w:rsidR="00C62608" w:rsidRPr="005F32FA">
        <w:rPr>
          <w:rFonts w:cs="Times New Roman"/>
          <w:b/>
        </w:rPr>
        <w:t xml:space="preserve"> H</w:t>
      </w:r>
      <w:r w:rsidR="00C62608" w:rsidRPr="005F32FA">
        <w:rPr>
          <w:rFonts w:cs="Times New Roman"/>
          <w:b/>
          <w:vertAlign w:val="subscript"/>
        </w:rPr>
        <w:t>2</w:t>
      </w:r>
      <w:r w:rsidR="00C62608" w:rsidRPr="005F32FA">
        <w:rPr>
          <w:rFonts w:cs="Times New Roman"/>
          <w:b/>
        </w:rPr>
        <w:t>SO</w:t>
      </w:r>
      <w:r w:rsidR="00C62608" w:rsidRPr="005F32FA">
        <w:rPr>
          <w:rFonts w:cs="Times New Roman"/>
          <w:b/>
          <w:vertAlign w:val="subscript"/>
        </w:rPr>
        <w:t>4</w:t>
      </w:r>
      <w:r w:rsidR="00C62608" w:rsidRPr="005F32FA">
        <w:rPr>
          <w:rFonts w:cs="Times New Roman"/>
          <w:b/>
        </w:rPr>
        <w:t xml:space="preserve"> trap. Although the pH of WFA is lower, </w:t>
      </w:r>
      <w:r w:rsidR="00863846" w:rsidRPr="005F32FA">
        <w:rPr>
          <w:rFonts w:cs="Times New Roman"/>
          <w:b/>
        </w:rPr>
        <w:t>still required the use of acid to prevent the loss of nitrogen and the carbon solubilisation. Finally, s</w:t>
      </w:r>
      <w:r w:rsidR="00F87B66" w:rsidRPr="005F32FA">
        <w:rPr>
          <w:rFonts w:cs="Times New Roman"/>
          <w:b/>
        </w:rPr>
        <w:t xml:space="preserve">ince </w:t>
      </w:r>
      <w:r w:rsidR="00020DA7" w:rsidRPr="005F32FA">
        <w:rPr>
          <w:rFonts w:cs="Times New Roman"/>
          <w:b/>
        </w:rPr>
        <w:t>ashes are an im</w:t>
      </w:r>
      <w:r w:rsidR="007820BA" w:rsidRPr="005F32FA">
        <w:rPr>
          <w:rFonts w:cs="Times New Roman"/>
          <w:b/>
        </w:rPr>
        <w:t>portant source of nutrients (i.e</w:t>
      </w:r>
      <w:r w:rsidR="00020DA7" w:rsidRPr="005F32FA">
        <w:rPr>
          <w:rFonts w:cs="Times New Roman"/>
          <w:b/>
        </w:rPr>
        <w:t xml:space="preserve">. </w:t>
      </w:r>
      <w:r w:rsidR="007820BA" w:rsidRPr="005F32FA">
        <w:rPr>
          <w:rFonts w:cs="Times New Roman"/>
          <w:b/>
        </w:rPr>
        <w:t>the WFA was richer in phosphorus while WBA was richer in potassium</w:t>
      </w:r>
      <w:r w:rsidR="00020DA7" w:rsidRPr="005F32FA">
        <w:rPr>
          <w:rFonts w:cs="Times New Roman"/>
          <w:b/>
        </w:rPr>
        <w:t>), the blending ratio should not be entirely based on reducing the availability of the components of organic wastes to</w:t>
      </w:r>
      <w:r w:rsidR="00BB7684">
        <w:rPr>
          <w:rFonts w:cs="Times New Roman"/>
          <w:b/>
        </w:rPr>
        <w:t xml:space="preserve"> improve the dewatering and to</w:t>
      </w:r>
      <w:r w:rsidR="00020DA7" w:rsidRPr="005F32FA">
        <w:rPr>
          <w:rFonts w:cs="Times New Roman"/>
          <w:b/>
        </w:rPr>
        <w:t xml:space="preserve"> produce slow-release fertilizers nor on the </w:t>
      </w:r>
      <w:r w:rsidR="005E0A63" w:rsidRPr="005F32FA">
        <w:rPr>
          <w:rFonts w:cs="Times New Roman"/>
          <w:b/>
        </w:rPr>
        <w:t>self-hardening</w:t>
      </w:r>
      <w:r w:rsidR="00020DA7" w:rsidRPr="005F32FA">
        <w:rPr>
          <w:rFonts w:cs="Times New Roman"/>
          <w:b/>
        </w:rPr>
        <w:t xml:space="preserve"> </w:t>
      </w:r>
      <w:r w:rsidR="00F87B66" w:rsidRPr="005F32FA">
        <w:rPr>
          <w:rFonts w:cs="Times New Roman"/>
          <w:b/>
        </w:rPr>
        <w:t>to improve the granulation process</w:t>
      </w:r>
      <w:r w:rsidR="00020DA7" w:rsidRPr="005F32FA">
        <w:rPr>
          <w:rFonts w:cs="Times New Roman"/>
          <w:b/>
        </w:rPr>
        <w:t>.</w:t>
      </w:r>
    </w:p>
    <w:p w14:paraId="4C62250F" w14:textId="77777777" w:rsidR="00B03DA0" w:rsidRPr="00EF75A4" w:rsidRDefault="00B03DA0" w:rsidP="00B03DA0">
      <w:pPr>
        <w:pStyle w:val="Heading2"/>
        <w:spacing w:line="360" w:lineRule="auto"/>
        <w:rPr>
          <w:rFonts w:cs="Times New Roman"/>
        </w:rPr>
      </w:pPr>
      <w:r w:rsidRPr="00EF75A4">
        <w:rPr>
          <w:rFonts w:cs="Times New Roman"/>
        </w:rPr>
        <w:t>Acknowledgments</w:t>
      </w:r>
    </w:p>
    <w:p w14:paraId="487BD97E" w14:textId="705B28D0" w:rsidR="00B03DA0" w:rsidRDefault="00B03DA0" w:rsidP="003D33F9">
      <w:pPr>
        <w:spacing w:line="360" w:lineRule="auto"/>
        <w:rPr>
          <w:rFonts w:cs="Times New Roman"/>
        </w:rPr>
      </w:pPr>
      <w:r w:rsidRPr="00EF75A4">
        <w:rPr>
          <w:rFonts w:cs="Times New Roman"/>
        </w:rPr>
        <w:t>The authors would like to acknowledge the support for funding provided by the doctoral training network (DTN) of the Engineering and Physical Sciences Research Council (EPSRC) and the Natural Environment Research Council (NERC, NE/L014122/1).</w:t>
      </w:r>
    </w:p>
    <w:p w14:paraId="43F32625" w14:textId="7E653D5E" w:rsidR="00C63F24" w:rsidRPr="00EF75A4" w:rsidRDefault="00C63F24" w:rsidP="00C807A3">
      <w:pPr>
        <w:pStyle w:val="Heading2"/>
        <w:spacing w:line="360" w:lineRule="auto"/>
        <w:rPr>
          <w:rFonts w:cs="Times New Roman"/>
        </w:rPr>
      </w:pPr>
      <w:r w:rsidRPr="00EF75A4">
        <w:rPr>
          <w:rFonts w:cs="Times New Roman"/>
        </w:rPr>
        <w:t>References</w:t>
      </w:r>
    </w:p>
    <w:p w14:paraId="0B09F077" w14:textId="36EA6B79" w:rsidR="00233927" w:rsidRPr="00233927" w:rsidRDefault="00DB2078" w:rsidP="00233927">
      <w:pPr>
        <w:widowControl w:val="0"/>
        <w:autoSpaceDE w:val="0"/>
        <w:autoSpaceDN w:val="0"/>
        <w:adjustRightInd w:val="0"/>
        <w:spacing w:line="360" w:lineRule="auto"/>
        <w:ind w:left="640" w:hanging="640"/>
        <w:rPr>
          <w:rFonts w:cs="Times New Roman"/>
          <w:noProof/>
          <w:szCs w:val="24"/>
        </w:rPr>
      </w:pPr>
      <w:r w:rsidRPr="00EF75A4">
        <w:rPr>
          <w:rFonts w:cs="Times New Roman"/>
        </w:rPr>
        <w:fldChar w:fldCharType="begin" w:fldLock="1"/>
      </w:r>
      <w:r w:rsidRPr="00EF75A4">
        <w:rPr>
          <w:rFonts w:cs="Times New Roman"/>
        </w:rPr>
        <w:instrText xml:space="preserve">ADDIN Mendeley Bibliography CSL_BIBLIOGRAPHY </w:instrText>
      </w:r>
      <w:r w:rsidRPr="00EF75A4">
        <w:rPr>
          <w:rFonts w:cs="Times New Roman"/>
        </w:rPr>
        <w:fldChar w:fldCharType="separate"/>
      </w:r>
      <w:r w:rsidR="00233927" w:rsidRPr="00233927">
        <w:rPr>
          <w:rFonts w:cs="Times New Roman"/>
          <w:noProof/>
          <w:szCs w:val="24"/>
        </w:rPr>
        <w:t xml:space="preserve">1. </w:t>
      </w:r>
      <w:r w:rsidR="00233927" w:rsidRPr="00233927">
        <w:rPr>
          <w:rFonts w:cs="Times New Roman"/>
          <w:noProof/>
          <w:szCs w:val="24"/>
        </w:rPr>
        <w:tab/>
      </w:r>
      <w:r w:rsidR="00E77DE9" w:rsidRPr="00FD62D8">
        <w:rPr>
          <w:rFonts w:cs="Times New Roman"/>
          <w:noProof/>
          <w:szCs w:val="24"/>
        </w:rPr>
        <w:t>UK government. Cl</w:t>
      </w:r>
      <w:r w:rsidR="00E77DE9">
        <w:rPr>
          <w:rFonts w:cs="Times New Roman"/>
          <w:noProof/>
          <w:szCs w:val="24"/>
        </w:rPr>
        <w:t>ean air strategy 2019</w:t>
      </w:r>
      <w:r w:rsidR="00E77DE9" w:rsidRPr="00FD62D8">
        <w:rPr>
          <w:rFonts w:cs="Times New Roman"/>
          <w:noProof/>
          <w:szCs w:val="24"/>
        </w:rPr>
        <w:t>. Department for Environment, Food &amp; Rural Affairs. 2019. https://www.gov.uk/government/publications/clean-air-strategy-2019</w:t>
      </w:r>
      <w:r w:rsidR="00E77DE9">
        <w:rPr>
          <w:rFonts w:cs="Times New Roman"/>
          <w:noProof/>
          <w:szCs w:val="24"/>
        </w:rPr>
        <w:t>. Accessed 15 July 2020</w:t>
      </w:r>
    </w:p>
    <w:p w14:paraId="175AB7A9" w14:textId="7B01765C"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2. </w:t>
      </w:r>
      <w:r w:rsidRPr="00233927">
        <w:rPr>
          <w:rFonts w:cs="Times New Roman"/>
          <w:noProof/>
          <w:szCs w:val="24"/>
        </w:rPr>
        <w:tab/>
      </w:r>
      <w:r w:rsidR="00E77DE9" w:rsidRPr="000F4B5E">
        <w:rPr>
          <w:rFonts w:cs="Times New Roman"/>
          <w:noProof/>
          <w:szCs w:val="24"/>
        </w:rPr>
        <w:t>Northern Ireland Department of Agriculture Environment and Rural Affairs: Nitrate Directive partial derogation. https://www.daera-ni.gov.uk/articles/nitrates-directive (2019). Accessed 8 February 2019</w:t>
      </w:r>
    </w:p>
    <w:p w14:paraId="0E448B3D" w14:textId="319549B1"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3. </w:t>
      </w:r>
      <w:r w:rsidRPr="00233927">
        <w:rPr>
          <w:rFonts w:cs="Times New Roman"/>
          <w:noProof/>
          <w:szCs w:val="24"/>
        </w:rPr>
        <w:tab/>
      </w:r>
      <w:r w:rsidR="00E77DE9" w:rsidRPr="000F4B5E">
        <w:rPr>
          <w:rFonts w:cs="Times New Roman"/>
          <w:noProof/>
          <w:szCs w:val="24"/>
        </w:rPr>
        <w:t>Rop, K., Karuku, G.N., Mbui, D., Michira, I., Njomo, N.: Formulation of slow release NPK fertilizer (cellulose-graft-poly(acrylamide)/nano-hydroxyapatite/soluble fertilizer) composite and evaluating its N mineralization potential. Ann Agric Sci. 63(2), 163</w:t>
      </w:r>
      <w:r w:rsidR="00E77DE9">
        <w:rPr>
          <w:rFonts w:cs="Times New Roman"/>
        </w:rPr>
        <w:t>–</w:t>
      </w:r>
      <w:r w:rsidR="00E77DE9" w:rsidRPr="000F4B5E">
        <w:rPr>
          <w:rFonts w:cs="Times New Roman"/>
          <w:noProof/>
          <w:szCs w:val="24"/>
        </w:rPr>
        <w:t>172 (2018)</w:t>
      </w:r>
    </w:p>
    <w:p w14:paraId="769E6984" w14:textId="275A0D72"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4. </w:t>
      </w:r>
      <w:r w:rsidRPr="00233927">
        <w:rPr>
          <w:rFonts w:cs="Times New Roman"/>
          <w:noProof/>
          <w:szCs w:val="24"/>
        </w:rPr>
        <w:tab/>
      </w:r>
      <w:r w:rsidR="00E77DE9" w:rsidRPr="000F4B5E">
        <w:rPr>
          <w:rFonts w:cs="Times New Roman"/>
          <w:noProof/>
          <w:szCs w:val="24"/>
        </w:rPr>
        <w:t>WRAP: Quality Protocol Poultry Litter Ash. https://www.gov.uk/government/uploads/system/uploads/attachment_data/file/296435/geho0812bwpk-</w:t>
      </w:r>
      <w:r w:rsidR="00E77DE9" w:rsidRPr="000F4B5E">
        <w:rPr>
          <w:rFonts w:cs="Times New Roman"/>
          <w:noProof/>
          <w:szCs w:val="24"/>
        </w:rPr>
        <w:lastRenderedPageBreak/>
        <w:t>e-e.pdf (2012). Accessed 18 November 2016</w:t>
      </w:r>
    </w:p>
    <w:p w14:paraId="1D7F5CC2" w14:textId="77777777" w:rsidR="00E77DE9" w:rsidRPr="00BE4465" w:rsidRDefault="00233927" w:rsidP="00E77DE9">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5. </w:t>
      </w:r>
      <w:r w:rsidRPr="00233927">
        <w:rPr>
          <w:rFonts w:cs="Times New Roman"/>
          <w:noProof/>
          <w:szCs w:val="24"/>
        </w:rPr>
        <w:tab/>
      </w:r>
      <w:r w:rsidR="00E77DE9" w:rsidRPr="00307E6E">
        <w:rPr>
          <w:rFonts w:cs="Times New Roman"/>
          <w:noProof/>
          <w:szCs w:val="24"/>
        </w:rPr>
        <w:t>Demeyer, A., Voundi Nkana, J.C., Verloo, M.G.: Characteristics of wood ash and influence on soil properties and nutrient uptake: An overview. Bioresour Technol. 77(3), 287–295 (2001)</w:t>
      </w:r>
    </w:p>
    <w:p w14:paraId="3E0A2674" w14:textId="2EEA0387"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6. </w:t>
      </w:r>
      <w:r w:rsidRPr="00233927">
        <w:rPr>
          <w:rFonts w:cs="Times New Roman"/>
          <w:noProof/>
          <w:szCs w:val="24"/>
        </w:rPr>
        <w:tab/>
      </w:r>
      <w:r w:rsidR="00E77DE9" w:rsidRPr="00BE4465">
        <w:rPr>
          <w:rFonts w:cs="Times New Roman"/>
          <w:noProof/>
          <w:szCs w:val="24"/>
        </w:rPr>
        <w:t>Tambone</w:t>
      </w:r>
      <w:r w:rsidR="00E77DE9">
        <w:rPr>
          <w:rFonts w:cs="Times New Roman"/>
          <w:noProof/>
          <w:szCs w:val="24"/>
        </w:rPr>
        <w:t>,</w:t>
      </w:r>
      <w:r w:rsidR="00E77DE9" w:rsidRPr="00BE4465">
        <w:rPr>
          <w:rFonts w:cs="Times New Roman"/>
          <w:noProof/>
          <w:szCs w:val="24"/>
        </w:rPr>
        <w:t xml:space="preserve"> F</w:t>
      </w:r>
      <w:r w:rsidR="00E77DE9">
        <w:rPr>
          <w:rFonts w:cs="Times New Roman"/>
          <w:noProof/>
          <w:szCs w:val="24"/>
        </w:rPr>
        <w:t>.</w:t>
      </w:r>
      <w:r w:rsidR="00E77DE9" w:rsidRPr="00BE4465">
        <w:rPr>
          <w:rFonts w:cs="Times New Roman"/>
          <w:noProof/>
          <w:szCs w:val="24"/>
        </w:rPr>
        <w:t>, Orzi</w:t>
      </w:r>
      <w:r w:rsidR="00E77DE9">
        <w:rPr>
          <w:rFonts w:cs="Times New Roman"/>
          <w:noProof/>
          <w:szCs w:val="24"/>
        </w:rPr>
        <w:t>,</w:t>
      </w:r>
      <w:r w:rsidR="00E77DE9" w:rsidRPr="00BE4465">
        <w:rPr>
          <w:rFonts w:cs="Times New Roman"/>
          <w:noProof/>
          <w:szCs w:val="24"/>
        </w:rPr>
        <w:t xml:space="preserve"> V</w:t>
      </w:r>
      <w:r w:rsidR="00E77DE9">
        <w:rPr>
          <w:rFonts w:cs="Times New Roman"/>
          <w:noProof/>
          <w:szCs w:val="24"/>
        </w:rPr>
        <w:t>.</w:t>
      </w:r>
      <w:r w:rsidR="00E77DE9" w:rsidRPr="00BE4465">
        <w:rPr>
          <w:rFonts w:cs="Times New Roman"/>
          <w:noProof/>
          <w:szCs w:val="24"/>
        </w:rPr>
        <w:t>, Zilio</w:t>
      </w:r>
      <w:r w:rsidR="00E77DE9">
        <w:rPr>
          <w:rFonts w:cs="Times New Roman"/>
          <w:noProof/>
          <w:szCs w:val="24"/>
        </w:rPr>
        <w:t>,</w:t>
      </w:r>
      <w:r w:rsidR="00E77DE9" w:rsidRPr="00BE4465">
        <w:rPr>
          <w:rFonts w:cs="Times New Roman"/>
          <w:noProof/>
          <w:szCs w:val="24"/>
        </w:rPr>
        <w:t xml:space="preserve"> M</w:t>
      </w:r>
      <w:r w:rsidR="00E77DE9">
        <w:rPr>
          <w:rFonts w:cs="Times New Roman"/>
          <w:noProof/>
          <w:szCs w:val="24"/>
        </w:rPr>
        <w:t>.</w:t>
      </w:r>
      <w:r w:rsidR="00E77DE9" w:rsidRPr="00BE4465">
        <w:rPr>
          <w:rFonts w:cs="Times New Roman"/>
          <w:noProof/>
          <w:szCs w:val="24"/>
        </w:rPr>
        <w:t>, Adani</w:t>
      </w:r>
      <w:r w:rsidR="00E77DE9">
        <w:rPr>
          <w:rFonts w:cs="Times New Roman"/>
          <w:noProof/>
          <w:szCs w:val="24"/>
        </w:rPr>
        <w:t>,</w:t>
      </w:r>
      <w:r w:rsidR="00E77DE9" w:rsidRPr="00BE4465">
        <w:rPr>
          <w:rFonts w:cs="Times New Roman"/>
          <w:noProof/>
          <w:szCs w:val="24"/>
        </w:rPr>
        <w:t xml:space="preserve"> F.</w:t>
      </w:r>
      <w:r w:rsidR="00E77DE9">
        <w:rPr>
          <w:rFonts w:cs="Times New Roman"/>
          <w:noProof/>
          <w:szCs w:val="24"/>
        </w:rPr>
        <w:t>:</w:t>
      </w:r>
      <w:r w:rsidR="00E77DE9" w:rsidRPr="00BE4465">
        <w:rPr>
          <w:rFonts w:cs="Times New Roman"/>
          <w:noProof/>
          <w:szCs w:val="24"/>
        </w:rPr>
        <w:t xml:space="preserve"> Measuring the organic amendment properties of the liquid fraction of digestate. Waste Manag</w:t>
      </w:r>
      <w:r w:rsidR="00E77DE9">
        <w:rPr>
          <w:rFonts w:cs="Times New Roman"/>
          <w:noProof/>
          <w:szCs w:val="24"/>
        </w:rPr>
        <w:t>. 88, 21–27 (2019)</w:t>
      </w:r>
    </w:p>
    <w:p w14:paraId="2671F7A0" w14:textId="69D22656"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7. </w:t>
      </w:r>
      <w:r w:rsidRPr="00233927">
        <w:rPr>
          <w:rFonts w:cs="Times New Roman"/>
          <w:noProof/>
          <w:szCs w:val="24"/>
        </w:rPr>
        <w:tab/>
      </w:r>
      <w:r w:rsidR="00E77DE9" w:rsidRPr="00307E6E">
        <w:rPr>
          <w:rFonts w:cs="Times New Roman"/>
          <w:noProof/>
          <w:szCs w:val="24"/>
        </w:rPr>
        <w:t>Walker, M., Banks, C., Heaven, S., Frederickson, J.: Residual biogas potential test for digestates. http://www.wrap.org.uk/sites/files/wrap/Residual Biogas Potential.pdf (2010). Accessed 20 November 2016</w:t>
      </w:r>
    </w:p>
    <w:p w14:paraId="7D357389" w14:textId="0D92F936"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8. </w:t>
      </w:r>
      <w:r w:rsidRPr="00233927">
        <w:rPr>
          <w:rFonts w:cs="Times New Roman"/>
          <w:noProof/>
          <w:szCs w:val="24"/>
        </w:rPr>
        <w:tab/>
      </w:r>
      <w:r w:rsidR="00E77DE9" w:rsidRPr="00307E6E">
        <w:rPr>
          <w:rFonts w:cs="Times New Roman"/>
          <w:noProof/>
          <w:szCs w:val="24"/>
        </w:rPr>
        <w:t>WRAP: PAS 100:2011 Specification for Composted Materials. http://www.wrap.org.uk/system/files/private/PAS-100-2011.pdf (2011). Accessed 3 December 2016</w:t>
      </w:r>
    </w:p>
    <w:p w14:paraId="069E5ABD" w14:textId="3AF81A26"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9. </w:t>
      </w:r>
      <w:r w:rsidRPr="00233927">
        <w:rPr>
          <w:rFonts w:cs="Times New Roman"/>
          <w:noProof/>
          <w:szCs w:val="24"/>
        </w:rPr>
        <w:tab/>
      </w:r>
      <w:r w:rsidR="00E77DE9" w:rsidRPr="00FD62D8">
        <w:rPr>
          <w:rFonts w:cs="Times New Roman"/>
          <w:noProof/>
          <w:szCs w:val="24"/>
        </w:rPr>
        <w:t>Steenari</w:t>
      </w:r>
      <w:r w:rsidR="00E77DE9">
        <w:rPr>
          <w:rFonts w:cs="Times New Roman"/>
          <w:noProof/>
          <w:szCs w:val="24"/>
        </w:rPr>
        <w:t>,</w:t>
      </w:r>
      <w:r w:rsidR="00E77DE9" w:rsidRPr="00FD62D8">
        <w:rPr>
          <w:rFonts w:cs="Times New Roman"/>
          <w:noProof/>
          <w:szCs w:val="24"/>
        </w:rPr>
        <w:t xml:space="preserve"> B</w:t>
      </w:r>
      <w:r w:rsidR="00E77DE9">
        <w:rPr>
          <w:rFonts w:cs="Times New Roman"/>
          <w:noProof/>
          <w:szCs w:val="24"/>
        </w:rPr>
        <w:t>.</w:t>
      </w:r>
      <w:r w:rsidR="00E77DE9" w:rsidRPr="00FD62D8">
        <w:rPr>
          <w:rFonts w:cs="Times New Roman"/>
          <w:noProof/>
          <w:szCs w:val="24"/>
        </w:rPr>
        <w:t>M</w:t>
      </w:r>
      <w:r w:rsidR="00E77DE9">
        <w:rPr>
          <w:rFonts w:cs="Times New Roman"/>
          <w:noProof/>
          <w:szCs w:val="24"/>
        </w:rPr>
        <w:t>.</w:t>
      </w:r>
      <w:r w:rsidR="00E77DE9" w:rsidRPr="00FD62D8">
        <w:rPr>
          <w:rFonts w:cs="Times New Roman"/>
          <w:noProof/>
          <w:szCs w:val="24"/>
        </w:rPr>
        <w:t>, Lindqvist</w:t>
      </w:r>
      <w:r w:rsidR="00E77DE9">
        <w:rPr>
          <w:rFonts w:cs="Times New Roman"/>
          <w:noProof/>
          <w:szCs w:val="24"/>
        </w:rPr>
        <w:t>,</w:t>
      </w:r>
      <w:r w:rsidR="00E77DE9" w:rsidRPr="00FD62D8">
        <w:rPr>
          <w:rFonts w:cs="Times New Roman"/>
          <w:noProof/>
          <w:szCs w:val="24"/>
        </w:rPr>
        <w:t xml:space="preserve"> O.</w:t>
      </w:r>
      <w:r w:rsidR="00E77DE9">
        <w:rPr>
          <w:rFonts w:cs="Times New Roman"/>
          <w:noProof/>
          <w:szCs w:val="24"/>
        </w:rPr>
        <w:t>:</w:t>
      </w:r>
      <w:r w:rsidR="00E77DE9" w:rsidRPr="00FD62D8">
        <w:rPr>
          <w:rFonts w:cs="Times New Roman"/>
          <w:noProof/>
          <w:szCs w:val="24"/>
        </w:rPr>
        <w:t xml:space="preserve"> Stabilisation of biofuel ashes for recycling to forest soil. Biomass and Bioenergy. 13(1–2)</w:t>
      </w:r>
      <w:r w:rsidR="00E77DE9">
        <w:rPr>
          <w:rFonts w:cs="Times New Roman"/>
          <w:noProof/>
          <w:szCs w:val="24"/>
        </w:rPr>
        <w:t>, 39–50 (</w:t>
      </w:r>
      <w:r w:rsidR="00E77DE9" w:rsidRPr="00FD62D8">
        <w:rPr>
          <w:rFonts w:cs="Times New Roman"/>
          <w:noProof/>
          <w:szCs w:val="24"/>
        </w:rPr>
        <w:t>199</w:t>
      </w:r>
      <w:r w:rsidR="00E77DE9">
        <w:rPr>
          <w:rFonts w:cs="Times New Roman"/>
          <w:noProof/>
          <w:szCs w:val="24"/>
        </w:rPr>
        <w:t>7)</w:t>
      </w:r>
    </w:p>
    <w:p w14:paraId="040BC3D4" w14:textId="2A59F406"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10. </w:t>
      </w:r>
      <w:r w:rsidRPr="00233927">
        <w:rPr>
          <w:rFonts w:cs="Times New Roman"/>
          <w:noProof/>
          <w:szCs w:val="24"/>
        </w:rPr>
        <w:tab/>
      </w:r>
      <w:r w:rsidR="00E77DE9" w:rsidRPr="00BE4465">
        <w:rPr>
          <w:rFonts w:cs="Times New Roman"/>
          <w:noProof/>
          <w:szCs w:val="24"/>
        </w:rPr>
        <w:t>Romero-Güiza</w:t>
      </w:r>
      <w:r w:rsidR="00E77DE9">
        <w:rPr>
          <w:rFonts w:cs="Times New Roman"/>
          <w:noProof/>
          <w:szCs w:val="24"/>
        </w:rPr>
        <w:t>,</w:t>
      </w:r>
      <w:r w:rsidR="00E77DE9" w:rsidRPr="00BE4465">
        <w:rPr>
          <w:rFonts w:cs="Times New Roman"/>
          <w:noProof/>
          <w:szCs w:val="24"/>
        </w:rPr>
        <w:t xml:space="preserve"> M</w:t>
      </w:r>
      <w:r w:rsidR="00E77DE9">
        <w:rPr>
          <w:rFonts w:cs="Times New Roman"/>
          <w:noProof/>
          <w:szCs w:val="24"/>
        </w:rPr>
        <w:t>.</w:t>
      </w:r>
      <w:r w:rsidR="00E77DE9" w:rsidRPr="00BE4465">
        <w:rPr>
          <w:rFonts w:cs="Times New Roman"/>
          <w:noProof/>
          <w:szCs w:val="24"/>
        </w:rPr>
        <w:t>S</w:t>
      </w:r>
      <w:r w:rsidR="00E77DE9">
        <w:rPr>
          <w:rFonts w:cs="Times New Roman"/>
          <w:noProof/>
          <w:szCs w:val="24"/>
        </w:rPr>
        <w:t>.</w:t>
      </w:r>
      <w:r w:rsidR="00E77DE9" w:rsidRPr="00BE4465">
        <w:rPr>
          <w:rFonts w:cs="Times New Roman"/>
          <w:noProof/>
          <w:szCs w:val="24"/>
        </w:rPr>
        <w:t>, Vila</w:t>
      </w:r>
      <w:r w:rsidR="00E77DE9">
        <w:rPr>
          <w:rFonts w:cs="Times New Roman"/>
          <w:noProof/>
          <w:szCs w:val="24"/>
        </w:rPr>
        <w:t>,</w:t>
      </w:r>
      <w:r w:rsidR="00E77DE9" w:rsidRPr="00BE4465">
        <w:rPr>
          <w:rFonts w:cs="Times New Roman"/>
          <w:noProof/>
          <w:szCs w:val="24"/>
        </w:rPr>
        <w:t xml:space="preserve"> J</w:t>
      </w:r>
      <w:r w:rsidR="00E77DE9">
        <w:rPr>
          <w:rFonts w:cs="Times New Roman"/>
          <w:noProof/>
          <w:szCs w:val="24"/>
        </w:rPr>
        <w:t>.</w:t>
      </w:r>
      <w:r w:rsidR="00E77DE9" w:rsidRPr="00BE4465">
        <w:rPr>
          <w:rFonts w:cs="Times New Roman"/>
          <w:noProof/>
          <w:szCs w:val="24"/>
        </w:rPr>
        <w:t>, Mata-Alvarez</w:t>
      </w:r>
      <w:r w:rsidR="00E77DE9">
        <w:rPr>
          <w:rFonts w:cs="Times New Roman"/>
          <w:noProof/>
          <w:szCs w:val="24"/>
        </w:rPr>
        <w:t>,</w:t>
      </w:r>
      <w:r w:rsidR="00E77DE9" w:rsidRPr="00BE4465">
        <w:rPr>
          <w:rFonts w:cs="Times New Roman"/>
          <w:noProof/>
          <w:szCs w:val="24"/>
        </w:rPr>
        <w:t xml:space="preserve"> J</w:t>
      </w:r>
      <w:r w:rsidR="00E77DE9">
        <w:rPr>
          <w:rFonts w:cs="Times New Roman"/>
          <w:noProof/>
          <w:szCs w:val="24"/>
        </w:rPr>
        <w:t>.</w:t>
      </w:r>
      <w:r w:rsidR="00E77DE9" w:rsidRPr="00BE4465">
        <w:rPr>
          <w:rFonts w:cs="Times New Roman"/>
          <w:noProof/>
          <w:szCs w:val="24"/>
        </w:rPr>
        <w:t>, Chimenos</w:t>
      </w:r>
      <w:r w:rsidR="00E77DE9">
        <w:rPr>
          <w:rFonts w:cs="Times New Roman"/>
          <w:noProof/>
          <w:szCs w:val="24"/>
        </w:rPr>
        <w:t>,</w:t>
      </w:r>
      <w:r w:rsidR="00E77DE9" w:rsidRPr="00BE4465">
        <w:rPr>
          <w:rFonts w:cs="Times New Roman"/>
          <w:noProof/>
          <w:szCs w:val="24"/>
        </w:rPr>
        <w:t xml:space="preserve"> J</w:t>
      </w:r>
      <w:r w:rsidR="00E77DE9">
        <w:rPr>
          <w:rFonts w:cs="Times New Roman"/>
          <w:noProof/>
          <w:szCs w:val="24"/>
        </w:rPr>
        <w:t>.</w:t>
      </w:r>
      <w:r w:rsidR="00E77DE9" w:rsidRPr="00BE4465">
        <w:rPr>
          <w:rFonts w:cs="Times New Roman"/>
          <w:noProof/>
          <w:szCs w:val="24"/>
        </w:rPr>
        <w:t>M</w:t>
      </w:r>
      <w:r w:rsidR="00E77DE9">
        <w:rPr>
          <w:rFonts w:cs="Times New Roman"/>
          <w:noProof/>
          <w:szCs w:val="24"/>
        </w:rPr>
        <w:t>.</w:t>
      </w:r>
      <w:r w:rsidR="00E77DE9" w:rsidRPr="00BE4465">
        <w:rPr>
          <w:rFonts w:cs="Times New Roman"/>
          <w:noProof/>
          <w:szCs w:val="24"/>
        </w:rPr>
        <w:t>, Astals</w:t>
      </w:r>
      <w:r w:rsidR="00E77DE9">
        <w:rPr>
          <w:rFonts w:cs="Times New Roman"/>
          <w:noProof/>
          <w:szCs w:val="24"/>
        </w:rPr>
        <w:t>,</w:t>
      </w:r>
      <w:r w:rsidR="00E77DE9" w:rsidRPr="00BE4465">
        <w:rPr>
          <w:rFonts w:cs="Times New Roman"/>
          <w:noProof/>
          <w:szCs w:val="24"/>
        </w:rPr>
        <w:t xml:space="preserve"> S.</w:t>
      </w:r>
      <w:r w:rsidR="00E77DE9">
        <w:rPr>
          <w:rFonts w:cs="Times New Roman"/>
          <w:noProof/>
          <w:szCs w:val="24"/>
        </w:rPr>
        <w:t>:</w:t>
      </w:r>
      <w:r w:rsidR="00E77DE9" w:rsidRPr="00BE4465">
        <w:rPr>
          <w:rFonts w:cs="Times New Roman"/>
          <w:noProof/>
          <w:szCs w:val="24"/>
        </w:rPr>
        <w:t xml:space="preserve"> The role of additives on anaerobic digestion: A review. </w:t>
      </w:r>
      <w:r w:rsidR="00E77DE9" w:rsidRPr="008D3DDD">
        <w:rPr>
          <w:rFonts w:cs="Times New Roman"/>
          <w:noProof/>
          <w:szCs w:val="24"/>
        </w:rPr>
        <w:t>Renew Sustain Energy Rev. 58, 1486–1499 (2016)</w:t>
      </w:r>
    </w:p>
    <w:p w14:paraId="52645436" w14:textId="1BF80D47"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11. </w:t>
      </w:r>
      <w:r w:rsidRPr="00233927">
        <w:rPr>
          <w:rFonts w:cs="Times New Roman"/>
          <w:noProof/>
          <w:szCs w:val="24"/>
        </w:rPr>
        <w:tab/>
      </w:r>
      <w:r w:rsidR="00E77DE9" w:rsidRPr="00307E6E">
        <w:rPr>
          <w:rFonts w:cs="Times New Roman"/>
          <w:noProof/>
          <w:szCs w:val="24"/>
        </w:rPr>
        <w:t>Guerrero, L., Da Silva, C., Barahona, A., Montalvo, S., Huiliñir, C., Borja, R., Peirano, E., Toledo, M., Carvajal, A.: Fly ash as stimulant for anaerobic digestion: effect over hydrolytic stage and methane generation rate. Water Sci Technol. 80(7), 1384–1391 (2019)</w:t>
      </w:r>
    </w:p>
    <w:p w14:paraId="6DFF7E4C" w14:textId="2CEBF9FD"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12. </w:t>
      </w:r>
      <w:r w:rsidRPr="00233927">
        <w:rPr>
          <w:rFonts w:cs="Times New Roman"/>
          <w:noProof/>
          <w:szCs w:val="24"/>
        </w:rPr>
        <w:tab/>
      </w:r>
      <w:r w:rsidR="00E77DE9" w:rsidRPr="00307E6E">
        <w:rPr>
          <w:rFonts w:cs="Times New Roman"/>
          <w:noProof/>
          <w:szCs w:val="24"/>
        </w:rPr>
        <w:t>Huiliñir, C., Pinto-Villegas, P., Castillo, A., Montalvo, S., Guerrero, L.: Biochemical methane potential from sewage sludge: Effect of an aerobic pretreatment and fly ash addition as source of trace elements. Waste Manag. 64, 140–148 (2017)</w:t>
      </w:r>
    </w:p>
    <w:p w14:paraId="7D9D0BE9" w14:textId="213BCBDF"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13. </w:t>
      </w:r>
      <w:r w:rsidRPr="00233927">
        <w:rPr>
          <w:rFonts w:cs="Times New Roman"/>
          <w:noProof/>
          <w:szCs w:val="24"/>
        </w:rPr>
        <w:tab/>
      </w:r>
      <w:r w:rsidR="0062612A" w:rsidRPr="00307E6E">
        <w:rPr>
          <w:rFonts w:cs="Times New Roman"/>
          <w:noProof/>
          <w:szCs w:val="24"/>
        </w:rPr>
        <w:t>Lo, H.M., Liu, M.H., Pai, T.Y., Liu, W.F., Lin, C.Y., Wang, S.C., Banks, C.J., Hung, C.H., Chiang, C.F., Lin, K.C., Chen, P.H., Chen, J.K., Chiu, H.Y., Su, M.H., Kurniawan, T.A., Wu, K.C., Hsieh, C.Y., Hsu, H.S.: Biostabilization assessment of MSW co-disposed with MSWI fly ash in anaerobic bioreactors. J Hazard Mater. 162(2–3), 1233–1242 (2009)</w:t>
      </w:r>
    </w:p>
    <w:p w14:paraId="0CDEF5D7" w14:textId="1BB45B99"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14. </w:t>
      </w:r>
      <w:r w:rsidRPr="00233927">
        <w:rPr>
          <w:rFonts w:cs="Times New Roman"/>
          <w:noProof/>
          <w:szCs w:val="24"/>
        </w:rPr>
        <w:tab/>
      </w:r>
      <w:r w:rsidR="0062612A" w:rsidRPr="001D4108">
        <w:rPr>
          <w:rFonts w:cs="Times New Roman"/>
          <w:noProof/>
          <w:szCs w:val="24"/>
        </w:rPr>
        <w:t>Bougnom</w:t>
      </w:r>
      <w:r w:rsidR="0062612A">
        <w:rPr>
          <w:rFonts w:cs="Times New Roman"/>
          <w:noProof/>
          <w:szCs w:val="24"/>
        </w:rPr>
        <w:t>,</w:t>
      </w:r>
      <w:r w:rsidR="0062612A" w:rsidRPr="001D4108">
        <w:rPr>
          <w:rFonts w:cs="Times New Roman"/>
          <w:noProof/>
          <w:szCs w:val="24"/>
        </w:rPr>
        <w:t xml:space="preserve"> B</w:t>
      </w:r>
      <w:r w:rsidR="0062612A">
        <w:rPr>
          <w:rFonts w:cs="Times New Roman"/>
          <w:noProof/>
          <w:szCs w:val="24"/>
        </w:rPr>
        <w:t>.</w:t>
      </w:r>
      <w:r w:rsidR="0062612A" w:rsidRPr="001D4108">
        <w:rPr>
          <w:rFonts w:cs="Times New Roman"/>
          <w:noProof/>
          <w:szCs w:val="24"/>
        </w:rPr>
        <w:t>P</w:t>
      </w:r>
      <w:r w:rsidR="0062612A">
        <w:rPr>
          <w:rFonts w:cs="Times New Roman"/>
          <w:noProof/>
          <w:szCs w:val="24"/>
        </w:rPr>
        <w:t>.</w:t>
      </w:r>
      <w:r w:rsidR="0062612A" w:rsidRPr="001D4108">
        <w:rPr>
          <w:rFonts w:cs="Times New Roman"/>
          <w:noProof/>
          <w:szCs w:val="24"/>
        </w:rPr>
        <w:t>, Niederkofler</w:t>
      </w:r>
      <w:r w:rsidR="0062612A">
        <w:rPr>
          <w:rFonts w:cs="Times New Roman"/>
          <w:noProof/>
          <w:szCs w:val="24"/>
        </w:rPr>
        <w:t>,</w:t>
      </w:r>
      <w:r w:rsidR="0062612A" w:rsidRPr="001D4108">
        <w:rPr>
          <w:rFonts w:cs="Times New Roman"/>
          <w:noProof/>
          <w:szCs w:val="24"/>
        </w:rPr>
        <w:t xml:space="preserve"> C</w:t>
      </w:r>
      <w:r w:rsidR="0062612A">
        <w:rPr>
          <w:rFonts w:cs="Times New Roman"/>
          <w:noProof/>
          <w:szCs w:val="24"/>
        </w:rPr>
        <w:t>.</w:t>
      </w:r>
      <w:r w:rsidR="0062612A" w:rsidRPr="001D4108">
        <w:rPr>
          <w:rFonts w:cs="Times New Roman"/>
          <w:noProof/>
          <w:szCs w:val="24"/>
        </w:rPr>
        <w:t>, Knapp</w:t>
      </w:r>
      <w:r w:rsidR="0062612A">
        <w:rPr>
          <w:rFonts w:cs="Times New Roman"/>
          <w:noProof/>
          <w:szCs w:val="24"/>
        </w:rPr>
        <w:t>,</w:t>
      </w:r>
      <w:r w:rsidR="0062612A" w:rsidRPr="001D4108">
        <w:rPr>
          <w:rFonts w:cs="Times New Roman"/>
          <w:noProof/>
          <w:szCs w:val="24"/>
        </w:rPr>
        <w:t xml:space="preserve"> B</w:t>
      </w:r>
      <w:r w:rsidR="0062612A">
        <w:rPr>
          <w:rFonts w:cs="Times New Roman"/>
          <w:noProof/>
          <w:szCs w:val="24"/>
        </w:rPr>
        <w:t>.</w:t>
      </w:r>
      <w:r w:rsidR="0062612A" w:rsidRPr="001D4108">
        <w:rPr>
          <w:rFonts w:cs="Times New Roman"/>
          <w:noProof/>
          <w:szCs w:val="24"/>
        </w:rPr>
        <w:t>A</w:t>
      </w:r>
      <w:r w:rsidR="0062612A">
        <w:rPr>
          <w:rFonts w:cs="Times New Roman"/>
          <w:noProof/>
          <w:szCs w:val="24"/>
        </w:rPr>
        <w:t>.</w:t>
      </w:r>
      <w:r w:rsidR="0062612A" w:rsidRPr="001D4108">
        <w:rPr>
          <w:rFonts w:cs="Times New Roman"/>
          <w:noProof/>
          <w:szCs w:val="24"/>
        </w:rPr>
        <w:t>, Stimpfl</w:t>
      </w:r>
      <w:r w:rsidR="0062612A">
        <w:rPr>
          <w:rFonts w:cs="Times New Roman"/>
          <w:noProof/>
          <w:szCs w:val="24"/>
        </w:rPr>
        <w:t>,</w:t>
      </w:r>
      <w:r w:rsidR="0062612A" w:rsidRPr="001D4108">
        <w:rPr>
          <w:rFonts w:cs="Times New Roman"/>
          <w:noProof/>
          <w:szCs w:val="24"/>
        </w:rPr>
        <w:t xml:space="preserve"> E</w:t>
      </w:r>
      <w:r w:rsidR="0062612A">
        <w:rPr>
          <w:rFonts w:cs="Times New Roman"/>
          <w:noProof/>
          <w:szCs w:val="24"/>
        </w:rPr>
        <w:t>.</w:t>
      </w:r>
      <w:r w:rsidR="0062612A" w:rsidRPr="001D4108">
        <w:rPr>
          <w:rFonts w:cs="Times New Roman"/>
          <w:noProof/>
          <w:szCs w:val="24"/>
        </w:rPr>
        <w:t>, Insam</w:t>
      </w:r>
      <w:r w:rsidR="0062612A">
        <w:rPr>
          <w:rFonts w:cs="Times New Roman"/>
          <w:noProof/>
          <w:szCs w:val="24"/>
        </w:rPr>
        <w:t>,</w:t>
      </w:r>
      <w:r w:rsidR="0062612A" w:rsidRPr="001D4108">
        <w:rPr>
          <w:rFonts w:cs="Times New Roman"/>
          <w:noProof/>
          <w:szCs w:val="24"/>
        </w:rPr>
        <w:t xml:space="preserve"> H.</w:t>
      </w:r>
      <w:r w:rsidR="0062612A">
        <w:rPr>
          <w:rFonts w:cs="Times New Roman"/>
          <w:noProof/>
          <w:szCs w:val="24"/>
        </w:rPr>
        <w:t>:</w:t>
      </w:r>
      <w:r w:rsidR="0062612A" w:rsidRPr="001D4108">
        <w:rPr>
          <w:rFonts w:cs="Times New Roman"/>
          <w:noProof/>
          <w:szCs w:val="24"/>
        </w:rPr>
        <w:t xml:space="preserve"> Residues from renewable energy production: Their value for fertilizing pastures. Biomass and Bioenergy. 39</w:t>
      </w:r>
      <w:r w:rsidR="0062612A">
        <w:rPr>
          <w:rFonts w:cs="Times New Roman"/>
          <w:noProof/>
          <w:szCs w:val="24"/>
        </w:rPr>
        <w:t xml:space="preserve">, </w:t>
      </w:r>
      <w:r w:rsidR="0062612A" w:rsidRPr="001D4108">
        <w:rPr>
          <w:rFonts w:cs="Times New Roman"/>
          <w:noProof/>
          <w:szCs w:val="24"/>
        </w:rPr>
        <w:t>290–</w:t>
      </w:r>
      <w:r w:rsidR="0062612A">
        <w:rPr>
          <w:rFonts w:cs="Times New Roman"/>
          <w:noProof/>
          <w:szCs w:val="24"/>
        </w:rPr>
        <w:t>29</w:t>
      </w:r>
      <w:r w:rsidR="0062612A" w:rsidRPr="001D4108">
        <w:rPr>
          <w:rFonts w:cs="Times New Roman"/>
          <w:noProof/>
          <w:szCs w:val="24"/>
        </w:rPr>
        <w:t>5</w:t>
      </w:r>
      <w:r w:rsidR="0062612A">
        <w:rPr>
          <w:rFonts w:cs="Times New Roman"/>
          <w:noProof/>
          <w:szCs w:val="24"/>
        </w:rPr>
        <w:t xml:space="preserve"> (2012)</w:t>
      </w:r>
    </w:p>
    <w:p w14:paraId="6089E6E3" w14:textId="0A688159"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15. </w:t>
      </w:r>
      <w:r w:rsidRPr="00233927">
        <w:rPr>
          <w:rFonts w:cs="Times New Roman"/>
          <w:noProof/>
          <w:szCs w:val="24"/>
        </w:rPr>
        <w:tab/>
      </w:r>
      <w:r w:rsidR="0062612A" w:rsidRPr="001D4108">
        <w:rPr>
          <w:rFonts w:cs="Times New Roman"/>
          <w:noProof/>
          <w:szCs w:val="24"/>
        </w:rPr>
        <w:t>Fernández-Delgado Juárez</w:t>
      </w:r>
      <w:r w:rsidR="0062612A">
        <w:rPr>
          <w:rFonts w:cs="Times New Roman"/>
          <w:noProof/>
          <w:szCs w:val="24"/>
        </w:rPr>
        <w:t>,</w:t>
      </w:r>
      <w:r w:rsidR="0062612A" w:rsidRPr="001D4108">
        <w:rPr>
          <w:rFonts w:cs="Times New Roman"/>
          <w:noProof/>
          <w:szCs w:val="24"/>
        </w:rPr>
        <w:t xml:space="preserve"> M</w:t>
      </w:r>
      <w:r w:rsidR="0062612A">
        <w:rPr>
          <w:rFonts w:cs="Times New Roman"/>
          <w:noProof/>
          <w:szCs w:val="24"/>
        </w:rPr>
        <w:t>.</w:t>
      </w:r>
      <w:r w:rsidR="0062612A" w:rsidRPr="001D4108">
        <w:rPr>
          <w:rFonts w:cs="Times New Roman"/>
          <w:noProof/>
          <w:szCs w:val="24"/>
        </w:rPr>
        <w:t>, Waldhuber</w:t>
      </w:r>
      <w:r w:rsidR="0062612A">
        <w:rPr>
          <w:rFonts w:cs="Times New Roman"/>
          <w:noProof/>
          <w:szCs w:val="24"/>
        </w:rPr>
        <w:t>,</w:t>
      </w:r>
      <w:r w:rsidR="0062612A" w:rsidRPr="001D4108">
        <w:rPr>
          <w:rFonts w:cs="Times New Roman"/>
          <w:noProof/>
          <w:szCs w:val="24"/>
        </w:rPr>
        <w:t xml:space="preserve"> S</w:t>
      </w:r>
      <w:r w:rsidR="0062612A">
        <w:rPr>
          <w:rFonts w:cs="Times New Roman"/>
          <w:noProof/>
          <w:szCs w:val="24"/>
        </w:rPr>
        <w:t>.</w:t>
      </w:r>
      <w:r w:rsidR="0062612A" w:rsidRPr="001D4108">
        <w:rPr>
          <w:rFonts w:cs="Times New Roman"/>
          <w:noProof/>
          <w:szCs w:val="24"/>
        </w:rPr>
        <w:t>, Knapp</w:t>
      </w:r>
      <w:r w:rsidR="0062612A">
        <w:rPr>
          <w:rFonts w:cs="Times New Roman"/>
          <w:noProof/>
          <w:szCs w:val="24"/>
        </w:rPr>
        <w:t>,</w:t>
      </w:r>
      <w:r w:rsidR="0062612A" w:rsidRPr="001D4108">
        <w:rPr>
          <w:rFonts w:cs="Times New Roman"/>
          <w:noProof/>
          <w:szCs w:val="24"/>
        </w:rPr>
        <w:t xml:space="preserve"> A</w:t>
      </w:r>
      <w:r w:rsidR="0062612A">
        <w:rPr>
          <w:rFonts w:cs="Times New Roman"/>
          <w:noProof/>
          <w:szCs w:val="24"/>
        </w:rPr>
        <w:t>.</w:t>
      </w:r>
      <w:r w:rsidR="0062612A" w:rsidRPr="001D4108">
        <w:rPr>
          <w:rFonts w:cs="Times New Roman"/>
          <w:noProof/>
          <w:szCs w:val="24"/>
        </w:rPr>
        <w:t>, Partl</w:t>
      </w:r>
      <w:r w:rsidR="0062612A">
        <w:rPr>
          <w:rFonts w:cs="Times New Roman"/>
          <w:noProof/>
          <w:szCs w:val="24"/>
        </w:rPr>
        <w:t>,</w:t>
      </w:r>
      <w:r w:rsidR="0062612A" w:rsidRPr="001D4108">
        <w:rPr>
          <w:rFonts w:cs="Times New Roman"/>
          <w:noProof/>
          <w:szCs w:val="24"/>
        </w:rPr>
        <w:t xml:space="preserve"> C</w:t>
      </w:r>
      <w:r w:rsidR="0062612A">
        <w:rPr>
          <w:rFonts w:cs="Times New Roman"/>
          <w:noProof/>
          <w:szCs w:val="24"/>
        </w:rPr>
        <w:t>.</w:t>
      </w:r>
      <w:r w:rsidR="0062612A" w:rsidRPr="001D4108">
        <w:rPr>
          <w:rFonts w:cs="Times New Roman"/>
          <w:noProof/>
          <w:szCs w:val="24"/>
        </w:rPr>
        <w:t>, Gómez-Brandón</w:t>
      </w:r>
      <w:r w:rsidR="0062612A">
        <w:rPr>
          <w:rFonts w:cs="Times New Roman"/>
          <w:noProof/>
          <w:szCs w:val="24"/>
        </w:rPr>
        <w:t>,</w:t>
      </w:r>
      <w:r w:rsidR="0062612A" w:rsidRPr="001D4108">
        <w:rPr>
          <w:rFonts w:cs="Times New Roman"/>
          <w:noProof/>
          <w:szCs w:val="24"/>
        </w:rPr>
        <w:t xml:space="preserve"> M</w:t>
      </w:r>
      <w:r w:rsidR="0062612A">
        <w:rPr>
          <w:rFonts w:cs="Times New Roman"/>
          <w:noProof/>
          <w:szCs w:val="24"/>
        </w:rPr>
        <w:t>.</w:t>
      </w:r>
      <w:r w:rsidR="0062612A" w:rsidRPr="001D4108">
        <w:rPr>
          <w:rFonts w:cs="Times New Roman"/>
          <w:noProof/>
          <w:szCs w:val="24"/>
        </w:rPr>
        <w:t>, Insam</w:t>
      </w:r>
      <w:r w:rsidR="0062612A">
        <w:rPr>
          <w:rFonts w:cs="Times New Roman"/>
          <w:noProof/>
          <w:szCs w:val="24"/>
        </w:rPr>
        <w:t>,</w:t>
      </w:r>
      <w:r w:rsidR="0062612A" w:rsidRPr="001D4108">
        <w:rPr>
          <w:rFonts w:cs="Times New Roman"/>
          <w:noProof/>
          <w:szCs w:val="24"/>
        </w:rPr>
        <w:t xml:space="preserve"> H.</w:t>
      </w:r>
      <w:r w:rsidR="0062612A">
        <w:rPr>
          <w:rFonts w:cs="Times New Roman"/>
          <w:noProof/>
          <w:szCs w:val="24"/>
        </w:rPr>
        <w:t>:</w:t>
      </w:r>
      <w:r w:rsidR="0062612A" w:rsidRPr="001D4108">
        <w:rPr>
          <w:rFonts w:cs="Times New Roman"/>
          <w:noProof/>
          <w:szCs w:val="24"/>
        </w:rPr>
        <w:t xml:space="preserve"> Wood ash effects on chemical and microbiological properties of digestate- and manure-amended soils. Biol Fertil Soils. 49(5)</w:t>
      </w:r>
      <w:r w:rsidR="0062612A">
        <w:rPr>
          <w:rFonts w:cs="Times New Roman"/>
          <w:noProof/>
          <w:szCs w:val="24"/>
        </w:rPr>
        <w:t xml:space="preserve">, </w:t>
      </w:r>
      <w:r w:rsidR="0062612A" w:rsidRPr="001D4108">
        <w:rPr>
          <w:rFonts w:cs="Times New Roman"/>
          <w:noProof/>
          <w:szCs w:val="24"/>
        </w:rPr>
        <w:t>575–</w:t>
      </w:r>
      <w:r w:rsidR="0062612A">
        <w:rPr>
          <w:rFonts w:cs="Times New Roman"/>
          <w:noProof/>
          <w:szCs w:val="24"/>
        </w:rPr>
        <w:t>5</w:t>
      </w:r>
      <w:r w:rsidR="0062612A" w:rsidRPr="001D4108">
        <w:rPr>
          <w:rFonts w:cs="Times New Roman"/>
          <w:noProof/>
          <w:szCs w:val="24"/>
        </w:rPr>
        <w:t>85</w:t>
      </w:r>
      <w:r w:rsidR="0062612A">
        <w:rPr>
          <w:rFonts w:cs="Times New Roman"/>
          <w:noProof/>
          <w:szCs w:val="24"/>
        </w:rPr>
        <w:t xml:space="preserve"> (2013)</w:t>
      </w:r>
    </w:p>
    <w:p w14:paraId="256B6BA2" w14:textId="7FE8230D"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16. </w:t>
      </w:r>
      <w:r w:rsidRPr="00233927">
        <w:rPr>
          <w:rFonts w:cs="Times New Roman"/>
          <w:noProof/>
          <w:szCs w:val="24"/>
        </w:rPr>
        <w:tab/>
      </w:r>
      <w:r w:rsidR="0062612A" w:rsidRPr="00307E6E">
        <w:rPr>
          <w:rFonts w:cs="Times New Roman"/>
          <w:noProof/>
          <w:szCs w:val="24"/>
        </w:rPr>
        <w:t>UK government: Sewage sludge in agriculture: code of practice for England, Wales and Northern Ireland. https://www.gov.uk/government/publications/sewage-sludge-in-agriculture-code-of-practice/sewage-sludge-in-agriculture-code-of-practice-for-england-wales-and-northern-ireland (2018). Accessed 13 February 2017</w:t>
      </w:r>
    </w:p>
    <w:p w14:paraId="250CDF2C" w14:textId="6927D114"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17. </w:t>
      </w:r>
      <w:r w:rsidRPr="00233927">
        <w:rPr>
          <w:rFonts w:cs="Times New Roman"/>
          <w:noProof/>
          <w:szCs w:val="24"/>
        </w:rPr>
        <w:tab/>
      </w:r>
      <w:r w:rsidR="0062612A" w:rsidRPr="00307E6E">
        <w:rPr>
          <w:rFonts w:cs="Times New Roman"/>
          <w:noProof/>
          <w:szCs w:val="24"/>
        </w:rPr>
        <w:t xml:space="preserve">Metcalf &amp; Eddy, AECOM: Advanced alkaline stabilisation technologies. In: Tchobanoglous, G., </w:t>
      </w:r>
      <w:r w:rsidR="0062612A" w:rsidRPr="00307E6E">
        <w:rPr>
          <w:rFonts w:cs="Times New Roman"/>
          <w:noProof/>
          <w:szCs w:val="24"/>
        </w:rPr>
        <w:lastRenderedPageBreak/>
        <w:t>Stensel, H.D., Tsuchihashi, R., Burton, F. (eds.) Wastewater Engineering: Treatment and Resource Recovery. Fifth ed., pp. 1501–1502. Mc Graw Hill, New York (2002)</w:t>
      </w:r>
    </w:p>
    <w:p w14:paraId="79DA7319" w14:textId="7914A749"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18. </w:t>
      </w:r>
      <w:r w:rsidRPr="00233927">
        <w:rPr>
          <w:rFonts w:cs="Times New Roman"/>
          <w:noProof/>
          <w:szCs w:val="24"/>
        </w:rPr>
        <w:tab/>
      </w:r>
      <w:r w:rsidR="0062612A" w:rsidRPr="00307E6E">
        <w:rPr>
          <w:rFonts w:cs="Times New Roman"/>
          <w:noProof/>
          <w:szCs w:val="24"/>
        </w:rPr>
        <w:t>Jamali, M.K., Kazi, T.G., Arain, M.B., Afridi, H.I., Memon, A.R., Jalbani, N., Shah, A.: Use of Sewage Sludge After Liming as Fertilizer for Maize Growth. Pedosphere. 18(2), 203–213 (2008)</w:t>
      </w:r>
    </w:p>
    <w:p w14:paraId="4C7E774C" w14:textId="061BB179"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19. </w:t>
      </w:r>
      <w:r w:rsidRPr="00233927">
        <w:rPr>
          <w:rFonts w:cs="Times New Roman"/>
          <w:noProof/>
          <w:szCs w:val="24"/>
        </w:rPr>
        <w:tab/>
      </w:r>
      <w:r w:rsidR="0062612A" w:rsidRPr="00FD62D8">
        <w:rPr>
          <w:rFonts w:cs="Times New Roman"/>
          <w:noProof/>
          <w:szCs w:val="24"/>
        </w:rPr>
        <w:t>Fivelman</w:t>
      </w:r>
      <w:r w:rsidR="0062612A">
        <w:rPr>
          <w:rFonts w:cs="Times New Roman"/>
          <w:noProof/>
          <w:szCs w:val="24"/>
        </w:rPr>
        <w:t>,</w:t>
      </w:r>
      <w:r w:rsidR="0062612A" w:rsidRPr="00FD62D8">
        <w:rPr>
          <w:rFonts w:cs="Times New Roman"/>
          <w:noProof/>
          <w:szCs w:val="24"/>
        </w:rPr>
        <w:t xml:space="preserve"> Q.</w:t>
      </w:r>
      <w:r w:rsidR="0062612A">
        <w:rPr>
          <w:rFonts w:cs="Times New Roman"/>
          <w:noProof/>
          <w:szCs w:val="24"/>
        </w:rPr>
        <w:t>:</w:t>
      </w:r>
      <w:r w:rsidR="0062612A" w:rsidRPr="00FD62D8">
        <w:rPr>
          <w:rFonts w:cs="Times New Roman"/>
          <w:noProof/>
          <w:szCs w:val="24"/>
        </w:rPr>
        <w:t xml:space="preserve"> Granular Fertiliser from Anaer</w:t>
      </w:r>
      <w:r w:rsidR="0062612A">
        <w:rPr>
          <w:rFonts w:cs="Times New Roman"/>
          <w:noProof/>
          <w:szCs w:val="24"/>
        </w:rPr>
        <w:t>obic Digestate Liquor</w:t>
      </w:r>
      <w:r w:rsidR="0062612A" w:rsidRPr="00FD62D8">
        <w:rPr>
          <w:rFonts w:cs="Times New Roman"/>
          <w:noProof/>
          <w:szCs w:val="24"/>
        </w:rPr>
        <w:t>. http://www.wrap.org.uk/sites/files/wrap/ADFerTech - DIAD 2 feasibility study.pdf</w:t>
      </w:r>
      <w:r w:rsidR="0062612A">
        <w:rPr>
          <w:rFonts w:cs="Times New Roman"/>
          <w:noProof/>
          <w:szCs w:val="24"/>
        </w:rPr>
        <w:t>. Accesed 26 January 2018</w:t>
      </w:r>
    </w:p>
    <w:p w14:paraId="2AB38A22" w14:textId="3544DCF6"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20. </w:t>
      </w:r>
      <w:r w:rsidRPr="00233927">
        <w:rPr>
          <w:rFonts w:cs="Times New Roman"/>
          <w:noProof/>
          <w:szCs w:val="24"/>
        </w:rPr>
        <w:tab/>
      </w:r>
      <w:r w:rsidR="0062612A" w:rsidRPr="004F1648">
        <w:rPr>
          <w:rFonts w:cs="Times New Roman"/>
          <w:noProof/>
          <w:szCs w:val="24"/>
        </w:rPr>
        <w:t>Yagi, S., Fukushi, K.: Removal of phosphate from solution by adsorption and precipitation of calcium phosphate onto monohydrocalcite. J Colloid Interface Sci. 384(1), 128–36 (2012)</w:t>
      </w:r>
    </w:p>
    <w:p w14:paraId="44C706EE" w14:textId="3105159C"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21. </w:t>
      </w:r>
      <w:r w:rsidRPr="00233927">
        <w:rPr>
          <w:rFonts w:cs="Times New Roman"/>
          <w:noProof/>
          <w:szCs w:val="24"/>
        </w:rPr>
        <w:tab/>
      </w:r>
      <w:r w:rsidR="0062612A" w:rsidRPr="00307E6E">
        <w:rPr>
          <w:rFonts w:cs="Times New Roman"/>
          <w:noProof/>
          <w:szCs w:val="24"/>
        </w:rPr>
        <w:t>Mor, S., Chhoden, K., Ravindra, K.: Application of agro-waste rice husk ash for the removal of phosphate from the wastewater. J Clean Prod [Internet]. 129, 673–680 (2016)</w:t>
      </w:r>
    </w:p>
    <w:p w14:paraId="2261A45E" w14:textId="5F851C4C"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22. </w:t>
      </w:r>
      <w:r w:rsidRPr="00233927">
        <w:rPr>
          <w:rFonts w:cs="Times New Roman"/>
          <w:noProof/>
          <w:szCs w:val="24"/>
        </w:rPr>
        <w:tab/>
      </w:r>
      <w:r w:rsidR="0062612A" w:rsidRPr="00047506">
        <w:rPr>
          <w:rFonts w:cs="Times New Roman"/>
          <w:noProof/>
          <w:szCs w:val="24"/>
        </w:rPr>
        <w:t>Ma, Z., Li, Q., Yue, Q., Gao, B., Li, W., Xu, X., Zhong, Q.: Adsorption removal of ammonium and phosphate from water by fertilizer controlled release agent prepared from wheat straw. Chem Eng J. 171(3), 1209–1217 (2011)</w:t>
      </w:r>
    </w:p>
    <w:p w14:paraId="16EB5DB4" w14:textId="4AB5F624"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23. </w:t>
      </w:r>
      <w:r w:rsidRPr="00233927">
        <w:rPr>
          <w:rFonts w:cs="Times New Roman"/>
          <w:noProof/>
          <w:szCs w:val="24"/>
        </w:rPr>
        <w:tab/>
      </w:r>
      <w:r w:rsidR="0062612A" w:rsidRPr="001D4108">
        <w:rPr>
          <w:rFonts w:cs="Times New Roman"/>
          <w:noProof/>
          <w:szCs w:val="24"/>
        </w:rPr>
        <w:t>Insam</w:t>
      </w:r>
      <w:r w:rsidR="0062612A">
        <w:rPr>
          <w:rFonts w:cs="Times New Roman"/>
          <w:noProof/>
          <w:szCs w:val="24"/>
        </w:rPr>
        <w:t>,</w:t>
      </w:r>
      <w:r w:rsidR="0062612A" w:rsidRPr="001D4108">
        <w:rPr>
          <w:rFonts w:cs="Times New Roman"/>
          <w:noProof/>
          <w:szCs w:val="24"/>
        </w:rPr>
        <w:t xml:space="preserve"> H</w:t>
      </w:r>
      <w:r w:rsidR="0062612A">
        <w:rPr>
          <w:rFonts w:cs="Times New Roman"/>
          <w:noProof/>
          <w:szCs w:val="24"/>
        </w:rPr>
        <w:t>.</w:t>
      </w:r>
      <w:r w:rsidR="0062612A" w:rsidRPr="001D4108">
        <w:rPr>
          <w:rFonts w:cs="Times New Roman"/>
          <w:noProof/>
          <w:szCs w:val="24"/>
        </w:rPr>
        <w:t>, Franke-Whittle</w:t>
      </w:r>
      <w:r w:rsidR="0062612A">
        <w:rPr>
          <w:rFonts w:cs="Times New Roman"/>
          <w:noProof/>
          <w:szCs w:val="24"/>
        </w:rPr>
        <w:t>,</w:t>
      </w:r>
      <w:r w:rsidR="0062612A" w:rsidRPr="001D4108">
        <w:rPr>
          <w:rFonts w:cs="Times New Roman"/>
          <w:noProof/>
          <w:szCs w:val="24"/>
        </w:rPr>
        <w:t xml:space="preserve"> I</w:t>
      </w:r>
      <w:r w:rsidR="0062612A">
        <w:rPr>
          <w:rFonts w:cs="Times New Roman"/>
          <w:noProof/>
          <w:szCs w:val="24"/>
        </w:rPr>
        <w:t>.</w:t>
      </w:r>
      <w:r w:rsidR="0062612A" w:rsidRPr="001D4108">
        <w:rPr>
          <w:rFonts w:cs="Times New Roman"/>
          <w:noProof/>
          <w:szCs w:val="24"/>
        </w:rPr>
        <w:t>H</w:t>
      </w:r>
      <w:r w:rsidR="0062612A">
        <w:rPr>
          <w:rFonts w:cs="Times New Roman"/>
          <w:noProof/>
          <w:szCs w:val="24"/>
        </w:rPr>
        <w:t>.</w:t>
      </w:r>
      <w:r w:rsidR="0062612A" w:rsidRPr="001D4108">
        <w:rPr>
          <w:rFonts w:cs="Times New Roman"/>
          <w:noProof/>
          <w:szCs w:val="24"/>
        </w:rPr>
        <w:t>, Knapp</w:t>
      </w:r>
      <w:r w:rsidR="0062612A">
        <w:rPr>
          <w:rFonts w:cs="Times New Roman"/>
          <w:noProof/>
          <w:szCs w:val="24"/>
        </w:rPr>
        <w:t>,</w:t>
      </w:r>
      <w:r w:rsidR="0062612A" w:rsidRPr="001D4108">
        <w:rPr>
          <w:rFonts w:cs="Times New Roman"/>
          <w:noProof/>
          <w:szCs w:val="24"/>
        </w:rPr>
        <w:t xml:space="preserve"> B</w:t>
      </w:r>
      <w:r w:rsidR="0062612A">
        <w:rPr>
          <w:rFonts w:cs="Times New Roman"/>
          <w:noProof/>
          <w:szCs w:val="24"/>
        </w:rPr>
        <w:t>.</w:t>
      </w:r>
      <w:r w:rsidR="0062612A" w:rsidRPr="001D4108">
        <w:rPr>
          <w:rFonts w:cs="Times New Roman"/>
          <w:noProof/>
          <w:szCs w:val="24"/>
        </w:rPr>
        <w:t>A</w:t>
      </w:r>
      <w:r w:rsidR="0062612A">
        <w:rPr>
          <w:rFonts w:cs="Times New Roman"/>
          <w:noProof/>
          <w:szCs w:val="24"/>
        </w:rPr>
        <w:t>.</w:t>
      </w:r>
      <w:r w:rsidR="0062612A" w:rsidRPr="001D4108">
        <w:rPr>
          <w:rFonts w:cs="Times New Roman"/>
          <w:noProof/>
          <w:szCs w:val="24"/>
        </w:rPr>
        <w:t>, Plank</w:t>
      </w:r>
      <w:r w:rsidR="0062612A">
        <w:rPr>
          <w:rFonts w:cs="Times New Roman"/>
          <w:noProof/>
          <w:szCs w:val="24"/>
        </w:rPr>
        <w:t>,</w:t>
      </w:r>
      <w:r w:rsidR="0062612A" w:rsidRPr="001D4108">
        <w:rPr>
          <w:rFonts w:cs="Times New Roman"/>
          <w:noProof/>
          <w:szCs w:val="24"/>
        </w:rPr>
        <w:t xml:space="preserve"> R.</w:t>
      </w:r>
      <w:r w:rsidR="0062612A">
        <w:rPr>
          <w:rFonts w:cs="Times New Roman"/>
          <w:noProof/>
          <w:szCs w:val="24"/>
        </w:rPr>
        <w:t>:</w:t>
      </w:r>
      <w:r w:rsidR="0062612A" w:rsidRPr="001D4108">
        <w:rPr>
          <w:rFonts w:cs="Times New Roman"/>
          <w:noProof/>
          <w:szCs w:val="24"/>
        </w:rPr>
        <w:t xml:space="preserve"> Use of wood ash and anaerobic sludge for grassland fertilization: Effects on plants and microbes. </w:t>
      </w:r>
      <w:r w:rsidR="0062612A">
        <w:rPr>
          <w:rFonts w:cs="Times New Roman"/>
          <w:noProof/>
          <w:szCs w:val="24"/>
        </w:rPr>
        <w:t xml:space="preserve">Die </w:t>
      </w:r>
      <w:r w:rsidR="0062612A" w:rsidRPr="001D4108">
        <w:rPr>
          <w:rFonts w:cs="Times New Roman"/>
          <w:noProof/>
          <w:szCs w:val="24"/>
        </w:rPr>
        <w:t>Bodenkultur. 60(2)</w:t>
      </w:r>
      <w:r w:rsidR="0062612A">
        <w:rPr>
          <w:rFonts w:cs="Times New Roman"/>
          <w:noProof/>
          <w:szCs w:val="24"/>
        </w:rPr>
        <w:t xml:space="preserve">, </w:t>
      </w:r>
      <w:r w:rsidR="0062612A" w:rsidRPr="001D4108">
        <w:rPr>
          <w:rFonts w:cs="Times New Roman"/>
          <w:noProof/>
          <w:szCs w:val="24"/>
        </w:rPr>
        <w:t>39–51</w:t>
      </w:r>
      <w:r w:rsidR="0062612A">
        <w:rPr>
          <w:rFonts w:cs="Times New Roman"/>
          <w:noProof/>
          <w:szCs w:val="24"/>
        </w:rPr>
        <w:t xml:space="preserve"> (2009)</w:t>
      </w:r>
    </w:p>
    <w:p w14:paraId="5E7674AA" w14:textId="1AB1F032"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24. </w:t>
      </w:r>
      <w:r w:rsidRPr="00233927">
        <w:rPr>
          <w:rFonts w:cs="Times New Roman"/>
          <w:noProof/>
          <w:szCs w:val="24"/>
        </w:rPr>
        <w:tab/>
      </w:r>
      <w:r w:rsidR="0062612A" w:rsidRPr="00307E6E">
        <w:rPr>
          <w:rFonts w:cs="Times New Roman"/>
          <w:noProof/>
          <w:szCs w:val="24"/>
        </w:rPr>
        <w:t>Randall, D.G., Krähenbühl, M., Köpping, I., Larsen, T.A., Udert, K.M.: A novel approach for stabilizing fresh urine by calcium hydroxide addition. Water Res. 95, 361–369 (2016)</w:t>
      </w:r>
    </w:p>
    <w:p w14:paraId="01669965" w14:textId="64B3918D"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25. </w:t>
      </w:r>
      <w:r w:rsidRPr="00233927">
        <w:rPr>
          <w:rFonts w:cs="Times New Roman"/>
          <w:noProof/>
          <w:szCs w:val="24"/>
        </w:rPr>
        <w:tab/>
      </w:r>
      <w:r w:rsidR="0062612A" w:rsidRPr="007860B2">
        <w:rPr>
          <w:rFonts w:cs="Times New Roman"/>
          <w:noProof/>
          <w:szCs w:val="24"/>
        </w:rPr>
        <w:t>Kim, J.S., Lee, Y.Y., Kim, T.H.: A review on alkaline pretreatment technology for bioconversion of lignocellulosic biomass. Bioresour Technol. 199, 42–48 (2016)</w:t>
      </w:r>
    </w:p>
    <w:p w14:paraId="58175FED" w14:textId="3AA3B92F"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26. </w:t>
      </w:r>
      <w:r w:rsidRPr="00233927">
        <w:rPr>
          <w:rFonts w:cs="Times New Roman"/>
          <w:noProof/>
          <w:szCs w:val="24"/>
        </w:rPr>
        <w:tab/>
      </w:r>
      <w:r w:rsidR="0062612A" w:rsidRPr="00D909A1">
        <w:rPr>
          <w:rFonts w:cs="Times New Roman"/>
          <w:noProof/>
          <w:szCs w:val="24"/>
        </w:rPr>
        <w:t>Tavakkoli, E., Rengasamy, P., Smith, E., Mcdonald, GK.: The effect of cation-anion interactions on soil pH and solubility of organic carbon. Eur J Soil Sci. 66(6), 1054–1062 (2015)</w:t>
      </w:r>
    </w:p>
    <w:p w14:paraId="13C7F5B2" w14:textId="1C8E120E"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27. </w:t>
      </w:r>
      <w:r w:rsidRPr="00233927">
        <w:rPr>
          <w:rFonts w:cs="Times New Roman"/>
          <w:noProof/>
          <w:szCs w:val="24"/>
        </w:rPr>
        <w:tab/>
      </w:r>
      <w:r w:rsidR="0062612A" w:rsidRPr="007860B2">
        <w:rPr>
          <w:rFonts w:cs="Times New Roman"/>
          <w:noProof/>
          <w:szCs w:val="24"/>
        </w:rPr>
        <w:t>Mudryk, K., Frączek, J., Wróbel, M., Jewiarz, M., Dziedzic, K.: Agglomeration of Ash-Based Fertilizer Mixtures from Biomass Combustion and Digestate. In: Mudryk, K., Werle, S. (eds.) Renewable Energy Sources: Engineering, Technology, Innovation, pp. 823</w:t>
      </w:r>
      <w:r w:rsidR="0062612A">
        <w:rPr>
          <w:rFonts w:cs="Times New Roman"/>
        </w:rPr>
        <w:t>–</w:t>
      </w:r>
      <w:r w:rsidR="0062612A" w:rsidRPr="007860B2">
        <w:rPr>
          <w:rFonts w:cs="Times New Roman"/>
          <w:noProof/>
          <w:szCs w:val="24"/>
        </w:rPr>
        <w:t>834. Springer (2018)</w:t>
      </w:r>
    </w:p>
    <w:p w14:paraId="7929707F" w14:textId="5A07719E"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28. </w:t>
      </w:r>
      <w:r w:rsidRPr="00233927">
        <w:rPr>
          <w:rFonts w:cs="Times New Roman"/>
          <w:noProof/>
          <w:szCs w:val="24"/>
        </w:rPr>
        <w:tab/>
      </w:r>
      <w:r w:rsidR="0062612A" w:rsidRPr="00FD62D8">
        <w:rPr>
          <w:rFonts w:cs="Times New Roman"/>
          <w:noProof/>
          <w:szCs w:val="24"/>
        </w:rPr>
        <w:t>Pesonen</w:t>
      </w:r>
      <w:r w:rsidR="0062612A">
        <w:rPr>
          <w:rFonts w:cs="Times New Roman"/>
          <w:noProof/>
          <w:szCs w:val="24"/>
        </w:rPr>
        <w:t>,</w:t>
      </w:r>
      <w:r w:rsidR="0062612A" w:rsidRPr="00FD62D8">
        <w:rPr>
          <w:rFonts w:cs="Times New Roman"/>
          <w:noProof/>
          <w:szCs w:val="24"/>
        </w:rPr>
        <w:t xml:space="preserve"> J</w:t>
      </w:r>
      <w:r w:rsidR="0062612A">
        <w:rPr>
          <w:rFonts w:cs="Times New Roman"/>
          <w:noProof/>
          <w:szCs w:val="24"/>
        </w:rPr>
        <w:t>.</w:t>
      </w:r>
      <w:r w:rsidR="0062612A" w:rsidRPr="00FD62D8">
        <w:rPr>
          <w:rFonts w:cs="Times New Roman"/>
          <w:noProof/>
          <w:szCs w:val="24"/>
        </w:rPr>
        <w:t>, Kuokkanen</w:t>
      </w:r>
      <w:r w:rsidR="0062612A">
        <w:rPr>
          <w:rFonts w:cs="Times New Roman"/>
          <w:noProof/>
          <w:szCs w:val="24"/>
        </w:rPr>
        <w:t>,</w:t>
      </w:r>
      <w:r w:rsidR="0062612A" w:rsidRPr="00FD62D8">
        <w:rPr>
          <w:rFonts w:cs="Times New Roman"/>
          <w:noProof/>
          <w:szCs w:val="24"/>
        </w:rPr>
        <w:t xml:space="preserve"> V</w:t>
      </w:r>
      <w:r w:rsidR="0062612A">
        <w:rPr>
          <w:rFonts w:cs="Times New Roman"/>
          <w:noProof/>
          <w:szCs w:val="24"/>
        </w:rPr>
        <w:t>.</w:t>
      </w:r>
      <w:r w:rsidR="0062612A" w:rsidRPr="00FD62D8">
        <w:rPr>
          <w:rFonts w:cs="Times New Roman"/>
          <w:noProof/>
          <w:szCs w:val="24"/>
        </w:rPr>
        <w:t>, Kuokkanen</w:t>
      </w:r>
      <w:r w:rsidR="0062612A">
        <w:rPr>
          <w:rFonts w:cs="Times New Roman"/>
          <w:noProof/>
          <w:szCs w:val="24"/>
        </w:rPr>
        <w:t>,</w:t>
      </w:r>
      <w:r w:rsidR="0062612A" w:rsidRPr="00FD62D8">
        <w:rPr>
          <w:rFonts w:cs="Times New Roman"/>
          <w:noProof/>
          <w:szCs w:val="24"/>
        </w:rPr>
        <w:t xml:space="preserve"> T</w:t>
      </w:r>
      <w:r w:rsidR="0062612A">
        <w:rPr>
          <w:rFonts w:cs="Times New Roman"/>
          <w:noProof/>
          <w:szCs w:val="24"/>
        </w:rPr>
        <w:t>.</w:t>
      </w:r>
      <w:r w:rsidR="0062612A" w:rsidRPr="00FD62D8">
        <w:rPr>
          <w:rFonts w:cs="Times New Roman"/>
          <w:noProof/>
          <w:szCs w:val="24"/>
        </w:rPr>
        <w:t>, Illikainen</w:t>
      </w:r>
      <w:r w:rsidR="0062612A">
        <w:rPr>
          <w:rFonts w:cs="Times New Roman"/>
          <w:noProof/>
          <w:szCs w:val="24"/>
        </w:rPr>
        <w:t>,</w:t>
      </w:r>
      <w:r w:rsidR="0062612A" w:rsidRPr="00FD62D8">
        <w:rPr>
          <w:rFonts w:cs="Times New Roman"/>
          <w:noProof/>
          <w:szCs w:val="24"/>
        </w:rPr>
        <w:t xml:space="preserve"> M.</w:t>
      </w:r>
      <w:r w:rsidR="0062612A">
        <w:rPr>
          <w:rFonts w:cs="Times New Roman"/>
          <w:noProof/>
          <w:szCs w:val="24"/>
        </w:rPr>
        <w:t>:</w:t>
      </w:r>
      <w:r w:rsidR="0062612A" w:rsidRPr="00FD62D8">
        <w:rPr>
          <w:rFonts w:cs="Times New Roman"/>
          <w:noProof/>
          <w:szCs w:val="24"/>
        </w:rPr>
        <w:t xml:space="preserve"> Co-granulation of bio-ash with sewage sludge and lime for fertilizer us</w:t>
      </w:r>
      <w:r w:rsidR="0062612A">
        <w:rPr>
          <w:rFonts w:cs="Times New Roman"/>
          <w:noProof/>
          <w:szCs w:val="24"/>
        </w:rPr>
        <w:t>e. J Environ Chem Eng</w:t>
      </w:r>
      <w:r w:rsidR="0062612A" w:rsidRPr="00FD62D8">
        <w:rPr>
          <w:rFonts w:cs="Times New Roman"/>
          <w:noProof/>
          <w:szCs w:val="24"/>
        </w:rPr>
        <w:t>.</w:t>
      </w:r>
      <w:r w:rsidR="0062612A">
        <w:rPr>
          <w:rFonts w:cs="Times New Roman"/>
          <w:noProof/>
          <w:szCs w:val="24"/>
        </w:rPr>
        <w:t xml:space="preserve"> 4(4), </w:t>
      </w:r>
      <w:r w:rsidR="0062612A" w:rsidRPr="00FD62D8">
        <w:rPr>
          <w:rFonts w:cs="Times New Roman"/>
          <w:noProof/>
          <w:szCs w:val="24"/>
        </w:rPr>
        <w:t>4817–</w:t>
      </w:r>
      <w:r w:rsidR="0062612A">
        <w:rPr>
          <w:rFonts w:cs="Times New Roman"/>
          <w:noProof/>
          <w:szCs w:val="24"/>
        </w:rPr>
        <w:t>48</w:t>
      </w:r>
      <w:r w:rsidR="0062612A" w:rsidRPr="00FD62D8">
        <w:rPr>
          <w:rFonts w:cs="Times New Roman"/>
          <w:noProof/>
          <w:szCs w:val="24"/>
        </w:rPr>
        <w:t>21</w:t>
      </w:r>
      <w:r w:rsidR="0062612A">
        <w:rPr>
          <w:rFonts w:cs="Times New Roman"/>
          <w:noProof/>
          <w:szCs w:val="24"/>
        </w:rPr>
        <w:t xml:space="preserve"> (</w:t>
      </w:r>
      <w:r w:rsidR="0062612A" w:rsidRPr="00FD62D8">
        <w:rPr>
          <w:rFonts w:cs="Times New Roman"/>
          <w:noProof/>
          <w:szCs w:val="24"/>
        </w:rPr>
        <w:t>2016</w:t>
      </w:r>
      <w:r w:rsidR="0062612A">
        <w:rPr>
          <w:rFonts w:cs="Times New Roman"/>
          <w:noProof/>
          <w:szCs w:val="24"/>
        </w:rPr>
        <w:t>)</w:t>
      </w:r>
    </w:p>
    <w:p w14:paraId="45CDB93D" w14:textId="2B8F8935"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29. </w:t>
      </w:r>
      <w:r w:rsidRPr="00233927">
        <w:rPr>
          <w:rFonts w:cs="Times New Roman"/>
          <w:noProof/>
          <w:szCs w:val="24"/>
        </w:rPr>
        <w:tab/>
      </w:r>
      <w:r w:rsidR="0062612A" w:rsidRPr="00FD62D8">
        <w:rPr>
          <w:rFonts w:cs="Times New Roman"/>
          <w:noProof/>
          <w:szCs w:val="24"/>
        </w:rPr>
        <w:t>Moilanen</w:t>
      </w:r>
      <w:r w:rsidR="0062612A">
        <w:rPr>
          <w:rFonts w:cs="Times New Roman"/>
          <w:noProof/>
          <w:szCs w:val="24"/>
        </w:rPr>
        <w:t>,</w:t>
      </w:r>
      <w:r w:rsidR="0062612A" w:rsidRPr="00FD62D8">
        <w:rPr>
          <w:rFonts w:cs="Times New Roman"/>
          <w:noProof/>
          <w:szCs w:val="24"/>
        </w:rPr>
        <w:t xml:space="preserve"> M</w:t>
      </w:r>
      <w:r w:rsidR="0062612A">
        <w:rPr>
          <w:rFonts w:cs="Times New Roman"/>
          <w:noProof/>
          <w:szCs w:val="24"/>
        </w:rPr>
        <w:t>.</w:t>
      </w:r>
      <w:r w:rsidR="0062612A" w:rsidRPr="00FD62D8">
        <w:rPr>
          <w:rFonts w:cs="Times New Roman"/>
          <w:noProof/>
          <w:szCs w:val="24"/>
        </w:rPr>
        <w:t>, Saarsalmi</w:t>
      </w:r>
      <w:r w:rsidR="0062612A">
        <w:rPr>
          <w:rFonts w:cs="Times New Roman"/>
          <w:noProof/>
          <w:szCs w:val="24"/>
        </w:rPr>
        <w:t>,</w:t>
      </w:r>
      <w:r w:rsidR="0062612A" w:rsidRPr="00FD62D8">
        <w:rPr>
          <w:rFonts w:cs="Times New Roman"/>
          <w:noProof/>
          <w:szCs w:val="24"/>
        </w:rPr>
        <w:t xml:space="preserve"> A</w:t>
      </w:r>
      <w:r w:rsidR="0062612A">
        <w:rPr>
          <w:rFonts w:cs="Times New Roman"/>
          <w:noProof/>
          <w:szCs w:val="24"/>
        </w:rPr>
        <w:t>.</w:t>
      </w:r>
      <w:r w:rsidR="0062612A" w:rsidRPr="00FD62D8">
        <w:rPr>
          <w:rFonts w:cs="Times New Roman"/>
          <w:noProof/>
          <w:szCs w:val="24"/>
        </w:rPr>
        <w:t>, Kukkola</w:t>
      </w:r>
      <w:r w:rsidR="0062612A">
        <w:rPr>
          <w:rFonts w:cs="Times New Roman"/>
          <w:noProof/>
          <w:szCs w:val="24"/>
        </w:rPr>
        <w:t>,</w:t>
      </w:r>
      <w:r w:rsidR="0062612A" w:rsidRPr="00FD62D8">
        <w:rPr>
          <w:rFonts w:cs="Times New Roman"/>
          <w:noProof/>
          <w:szCs w:val="24"/>
        </w:rPr>
        <w:t xml:space="preserve"> M</w:t>
      </w:r>
      <w:r w:rsidR="0062612A">
        <w:rPr>
          <w:rFonts w:cs="Times New Roman"/>
          <w:noProof/>
          <w:szCs w:val="24"/>
        </w:rPr>
        <w:t>.</w:t>
      </w:r>
      <w:r w:rsidR="0062612A" w:rsidRPr="00FD62D8">
        <w:rPr>
          <w:rFonts w:cs="Times New Roman"/>
          <w:noProof/>
          <w:szCs w:val="24"/>
        </w:rPr>
        <w:t>, Issakainen</w:t>
      </w:r>
      <w:r w:rsidR="0062612A">
        <w:rPr>
          <w:rFonts w:cs="Times New Roman"/>
          <w:noProof/>
          <w:szCs w:val="24"/>
        </w:rPr>
        <w:t>,</w:t>
      </w:r>
      <w:r w:rsidR="0062612A" w:rsidRPr="00FD62D8">
        <w:rPr>
          <w:rFonts w:cs="Times New Roman"/>
          <w:noProof/>
          <w:szCs w:val="24"/>
        </w:rPr>
        <w:t xml:space="preserve"> J.</w:t>
      </w:r>
      <w:r w:rsidR="0062612A">
        <w:rPr>
          <w:rFonts w:cs="Times New Roman"/>
          <w:noProof/>
          <w:szCs w:val="24"/>
        </w:rPr>
        <w:t>:</w:t>
      </w:r>
      <w:r w:rsidR="0062612A" w:rsidRPr="00FD62D8">
        <w:rPr>
          <w:rFonts w:cs="Times New Roman"/>
          <w:noProof/>
          <w:szCs w:val="24"/>
        </w:rPr>
        <w:t xml:space="preserve"> Effects of stabilized wood ash on nutrient status and growth of Scots pine - Comparison between uplands and peatl</w:t>
      </w:r>
      <w:r w:rsidR="0062612A">
        <w:rPr>
          <w:rFonts w:cs="Times New Roman"/>
          <w:noProof/>
          <w:szCs w:val="24"/>
        </w:rPr>
        <w:t>ands. For Ecol Manage</w:t>
      </w:r>
      <w:r w:rsidR="0062612A" w:rsidRPr="00FD62D8">
        <w:rPr>
          <w:rFonts w:cs="Times New Roman"/>
          <w:noProof/>
          <w:szCs w:val="24"/>
        </w:rPr>
        <w:t>.</w:t>
      </w:r>
      <w:r w:rsidR="0062612A">
        <w:rPr>
          <w:rFonts w:cs="Times New Roman"/>
          <w:noProof/>
          <w:szCs w:val="24"/>
        </w:rPr>
        <w:t xml:space="preserve"> </w:t>
      </w:r>
      <w:r w:rsidR="0062612A" w:rsidRPr="00FD62D8">
        <w:rPr>
          <w:rFonts w:cs="Times New Roman"/>
          <w:noProof/>
          <w:szCs w:val="24"/>
        </w:rPr>
        <w:t>2</w:t>
      </w:r>
      <w:r w:rsidR="0062612A">
        <w:rPr>
          <w:rFonts w:cs="Times New Roman"/>
          <w:noProof/>
          <w:szCs w:val="24"/>
        </w:rPr>
        <w:t xml:space="preserve">95, </w:t>
      </w:r>
      <w:r w:rsidR="0062612A" w:rsidRPr="00FD62D8">
        <w:rPr>
          <w:rFonts w:cs="Times New Roman"/>
          <w:noProof/>
          <w:szCs w:val="24"/>
        </w:rPr>
        <w:t>136–</w:t>
      </w:r>
      <w:r w:rsidR="0062612A">
        <w:rPr>
          <w:rFonts w:cs="Times New Roman"/>
          <w:noProof/>
          <w:szCs w:val="24"/>
        </w:rPr>
        <w:t>1</w:t>
      </w:r>
      <w:r w:rsidR="0062612A" w:rsidRPr="00FD62D8">
        <w:rPr>
          <w:rFonts w:cs="Times New Roman"/>
          <w:noProof/>
          <w:szCs w:val="24"/>
        </w:rPr>
        <w:t>44</w:t>
      </w:r>
      <w:r w:rsidR="0062612A">
        <w:rPr>
          <w:rFonts w:cs="Times New Roman"/>
          <w:noProof/>
          <w:szCs w:val="24"/>
        </w:rPr>
        <w:t xml:space="preserve"> (</w:t>
      </w:r>
      <w:r w:rsidR="0062612A" w:rsidRPr="00FD62D8">
        <w:rPr>
          <w:rFonts w:cs="Times New Roman"/>
          <w:noProof/>
          <w:szCs w:val="24"/>
        </w:rPr>
        <w:t>2013</w:t>
      </w:r>
      <w:r w:rsidR="0062612A">
        <w:rPr>
          <w:rFonts w:cs="Times New Roman"/>
          <w:noProof/>
          <w:szCs w:val="24"/>
        </w:rPr>
        <w:t>)</w:t>
      </w:r>
    </w:p>
    <w:p w14:paraId="004831CE" w14:textId="1CCF2C15"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30. </w:t>
      </w:r>
      <w:r w:rsidRPr="00233927">
        <w:rPr>
          <w:rFonts w:cs="Times New Roman"/>
          <w:noProof/>
          <w:szCs w:val="24"/>
        </w:rPr>
        <w:tab/>
      </w:r>
      <w:r w:rsidR="0062612A" w:rsidRPr="00FD62D8">
        <w:rPr>
          <w:rFonts w:cs="Times New Roman"/>
          <w:noProof/>
          <w:szCs w:val="24"/>
        </w:rPr>
        <w:t>Jewiarz</w:t>
      </w:r>
      <w:r w:rsidR="0062612A">
        <w:rPr>
          <w:rFonts w:cs="Times New Roman"/>
          <w:noProof/>
          <w:szCs w:val="24"/>
        </w:rPr>
        <w:t>,</w:t>
      </w:r>
      <w:r w:rsidR="0062612A" w:rsidRPr="00FD62D8">
        <w:rPr>
          <w:rFonts w:cs="Times New Roman"/>
          <w:noProof/>
          <w:szCs w:val="24"/>
        </w:rPr>
        <w:t xml:space="preserve"> M</w:t>
      </w:r>
      <w:r w:rsidR="0062612A">
        <w:rPr>
          <w:rFonts w:cs="Times New Roman"/>
          <w:noProof/>
          <w:szCs w:val="24"/>
        </w:rPr>
        <w:t>.</w:t>
      </w:r>
      <w:r w:rsidR="0062612A" w:rsidRPr="00FD62D8">
        <w:rPr>
          <w:rFonts w:cs="Times New Roman"/>
          <w:noProof/>
          <w:szCs w:val="24"/>
        </w:rPr>
        <w:t>, Wróbel</w:t>
      </w:r>
      <w:r w:rsidR="0062612A">
        <w:rPr>
          <w:rFonts w:cs="Times New Roman"/>
          <w:noProof/>
          <w:szCs w:val="24"/>
        </w:rPr>
        <w:t>,</w:t>
      </w:r>
      <w:r w:rsidR="0062612A" w:rsidRPr="00FD62D8">
        <w:rPr>
          <w:rFonts w:cs="Times New Roman"/>
          <w:noProof/>
          <w:szCs w:val="24"/>
        </w:rPr>
        <w:t xml:space="preserve"> M</w:t>
      </w:r>
      <w:r w:rsidR="0062612A">
        <w:rPr>
          <w:rFonts w:cs="Times New Roman"/>
          <w:noProof/>
          <w:szCs w:val="24"/>
        </w:rPr>
        <w:t>.</w:t>
      </w:r>
      <w:r w:rsidR="0062612A" w:rsidRPr="00FD62D8">
        <w:rPr>
          <w:rFonts w:cs="Times New Roman"/>
          <w:noProof/>
          <w:szCs w:val="24"/>
        </w:rPr>
        <w:t>, Fraczek</w:t>
      </w:r>
      <w:r w:rsidR="0062612A">
        <w:rPr>
          <w:rFonts w:cs="Times New Roman"/>
          <w:noProof/>
          <w:szCs w:val="24"/>
        </w:rPr>
        <w:t>,</w:t>
      </w:r>
      <w:r w:rsidR="0062612A" w:rsidRPr="00FD62D8">
        <w:rPr>
          <w:rFonts w:cs="Times New Roman"/>
          <w:noProof/>
          <w:szCs w:val="24"/>
        </w:rPr>
        <w:t xml:space="preserve"> J</w:t>
      </w:r>
      <w:r w:rsidR="0062612A">
        <w:rPr>
          <w:rFonts w:cs="Times New Roman"/>
          <w:noProof/>
          <w:szCs w:val="24"/>
        </w:rPr>
        <w:t>.</w:t>
      </w:r>
      <w:r w:rsidR="0062612A" w:rsidRPr="00FD62D8">
        <w:rPr>
          <w:rFonts w:cs="Times New Roman"/>
          <w:noProof/>
          <w:szCs w:val="24"/>
        </w:rPr>
        <w:t>, Mudryk</w:t>
      </w:r>
      <w:r w:rsidR="0062612A">
        <w:rPr>
          <w:rFonts w:cs="Times New Roman"/>
          <w:noProof/>
          <w:szCs w:val="24"/>
        </w:rPr>
        <w:t>,</w:t>
      </w:r>
      <w:r w:rsidR="0062612A" w:rsidRPr="00FD62D8">
        <w:rPr>
          <w:rFonts w:cs="Times New Roman"/>
          <w:noProof/>
          <w:szCs w:val="24"/>
        </w:rPr>
        <w:t xml:space="preserve"> K</w:t>
      </w:r>
      <w:r w:rsidR="0062612A">
        <w:rPr>
          <w:rFonts w:cs="Times New Roman"/>
          <w:noProof/>
          <w:szCs w:val="24"/>
        </w:rPr>
        <w:t>.</w:t>
      </w:r>
      <w:r w:rsidR="0062612A" w:rsidRPr="00FD62D8">
        <w:rPr>
          <w:rFonts w:cs="Times New Roman"/>
          <w:noProof/>
          <w:szCs w:val="24"/>
        </w:rPr>
        <w:t>, Dziedzic</w:t>
      </w:r>
      <w:r w:rsidR="0062612A">
        <w:rPr>
          <w:rFonts w:cs="Times New Roman"/>
          <w:noProof/>
          <w:szCs w:val="24"/>
        </w:rPr>
        <w:t>,</w:t>
      </w:r>
      <w:r w:rsidR="0062612A" w:rsidRPr="00FD62D8">
        <w:rPr>
          <w:rFonts w:cs="Times New Roman"/>
          <w:noProof/>
          <w:szCs w:val="24"/>
        </w:rPr>
        <w:t xml:space="preserve"> K.</w:t>
      </w:r>
      <w:r w:rsidR="0062612A">
        <w:rPr>
          <w:rFonts w:cs="Times New Roman"/>
          <w:noProof/>
          <w:szCs w:val="24"/>
        </w:rPr>
        <w:t>:</w:t>
      </w:r>
      <w:r w:rsidR="0062612A" w:rsidRPr="00FD62D8">
        <w:rPr>
          <w:rFonts w:cs="Times New Roman"/>
          <w:noProof/>
          <w:szCs w:val="24"/>
        </w:rPr>
        <w:t xml:space="preserve"> Digestate, ash and Trichoderm based fertilizer-production line concept design. MATEC Web Conf.</w:t>
      </w:r>
      <w:r w:rsidR="0062612A">
        <w:rPr>
          <w:rFonts w:cs="Times New Roman"/>
          <w:noProof/>
          <w:szCs w:val="24"/>
        </w:rPr>
        <w:t xml:space="preserve"> 168, </w:t>
      </w:r>
      <w:r w:rsidR="0062612A" w:rsidRPr="00FD62D8">
        <w:rPr>
          <w:rFonts w:cs="Times New Roman"/>
          <w:noProof/>
          <w:szCs w:val="24"/>
        </w:rPr>
        <w:t>1–6</w:t>
      </w:r>
      <w:r w:rsidR="0062612A">
        <w:rPr>
          <w:rFonts w:cs="Times New Roman"/>
          <w:noProof/>
          <w:szCs w:val="24"/>
        </w:rPr>
        <w:t xml:space="preserve"> (</w:t>
      </w:r>
      <w:r w:rsidR="0062612A" w:rsidRPr="00FD62D8">
        <w:rPr>
          <w:rFonts w:cs="Times New Roman"/>
          <w:noProof/>
          <w:szCs w:val="24"/>
        </w:rPr>
        <w:t>2018</w:t>
      </w:r>
      <w:r w:rsidR="0062612A">
        <w:rPr>
          <w:rFonts w:cs="Times New Roman"/>
          <w:noProof/>
          <w:szCs w:val="24"/>
        </w:rPr>
        <w:t>)</w:t>
      </w:r>
    </w:p>
    <w:p w14:paraId="6CAB5ABD" w14:textId="1FB7C4FF"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31. </w:t>
      </w:r>
      <w:r w:rsidRPr="00233927">
        <w:rPr>
          <w:rFonts w:cs="Times New Roman"/>
          <w:noProof/>
          <w:szCs w:val="24"/>
        </w:rPr>
        <w:tab/>
      </w:r>
      <w:r w:rsidR="0062612A" w:rsidRPr="007860B2">
        <w:rPr>
          <w:rFonts w:cs="Times New Roman"/>
          <w:noProof/>
          <w:szCs w:val="24"/>
        </w:rPr>
        <w:t>Zheng, Y., Ke, L., Xia, D., Zheng, Y., Wang, Y., Li, H., Qingbiao, L.: Enhancement of digestates dewaterability by CTAB combined with CFA pretreatment. Sep Purif Technol. 163, 282–289 (2016)</w:t>
      </w:r>
    </w:p>
    <w:p w14:paraId="04C4F9A1" w14:textId="42224FE6"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lastRenderedPageBreak/>
        <w:t xml:space="preserve">32. </w:t>
      </w:r>
      <w:r w:rsidRPr="00233927">
        <w:rPr>
          <w:rFonts w:cs="Times New Roman"/>
          <w:noProof/>
          <w:szCs w:val="24"/>
        </w:rPr>
        <w:tab/>
      </w:r>
      <w:r w:rsidR="0062612A" w:rsidRPr="001D4108">
        <w:rPr>
          <w:rFonts w:cs="Times New Roman"/>
          <w:noProof/>
          <w:szCs w:val="24"/>
        </w:rPr>
        <w:t>WRAP</w:t>
      </w:r>
      <w:r w:rsidR="0062612A">
        <w:rPr>
          <w:rFonts w:cs="Times New Roman"/>
          <w:noProof/>
          <w:szCs w:val="24"/>
        </w:rPr>
        <w:t>:</w:t>
      </w:r>
      <w:r w:rsidR="0062612A" w:rsidRPr="001D4108">
        <w:rPr>
          <w:rFonts w:cs="Times New Roman"/>
          <w:noProof/>
          <w:szCs w:val="24"/>
        </w:rPr>
        <w:t xml:space="preserve"> PAS 110:2014 Specification for whole digestate, separated liquor and separated fibre derived from the anaerobic digestion of source-segregated biodegradable materials</w:t>
      </w:r>
      <w:r w:rsidR="0062612A">
        <w:rPr>
          <w:rFonts w:cs="Times New Roman"/>
          <w:noProof/>
          <w:szCs w:val="24"/>
        </w:rPr>
        <w:t>.</w:t>
      </w:r>
      <w:r w:rsidR="0062612A" w:rsidRPr="001D4108">
        <w:rPr>
          <w:rFonts w:cs="Times New Roman"/>
          <w:noProof/>
          <w:szCs w:val="24"/>
        </w:rPr>
        <w:t xml:space="preserve"> http://www.wrap.org.uk/content/bsi-pas-110-specification-digestate</w:t>
      </w:r>
      <w:r w:rsidR="0062612A">
        <w:rPr>
          <w:rFonts w:cs="Times New Roman"/>
          <w:noProof/>
          <w:szCs w:val="24"/>
        </w:rPr>
        <w:t xml:space="preserve"> (2014)</w:t>
      </w:r>
      <w:r w:rsidR="0062612A" w:rsidRPr="00101CB1">
        <w:rPr>
          <w:rFonts w:cs="Times New Roman"/>
          <w:noProof/>
          <w:szCs w:val="24"/>
        </w:rPr>
        <w:t>. Accessed 20 November 2016</w:t>
      </w:r>
    </w:p>
    <w:p w14:paraId="13A945D2" w14:textId="5313113D"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33. </w:t>
      </w:r>
      <w:r w:rsidRPr="00233927">
        <w:rPr>
          <w:rFonts w:cs="Times New Roman"/>
          <w:noProof/>
          <w:szCs w:val="24"/>
        </w:rPr>
        <w:tab/>
      </w:r>
      <w:r w:rsidR="0062612A" w:rsidRPr="007860B2">
        <w:rPr>
          <w:rFonts w:cs="Times New Roman"/>
          <w:noProof/>
          <w:szCs w:val="24"/>
        </w:rPr>
        <w:t>Schwab, P.: Soil solution. In: Huang, P.M., Li, Y., Sumner, M.E. (eds.) Handbook of soil sciences: properties and processes. Second ed., pp. 353</w:t>
      </w:r>
      <w:r w:rsidR="0062612A">
        <w:rPr>
          <w:rFonts w:cs="Times New Roman"/>
        </w:rPr>
        <w:t>–</w:t>
      </w:r>
      <w:r w:rsidR="0062612A" w:rsidRPr="007860B2">
        <w:rPr>
          <w:rFonts w:cs="Times New Roman"/>
          <w:noProof/>
          <w:szCs w:val="24"/>
        </w:rPr>
        <w:t>376. CRC Press, Boca Raton Florida (2012)</w:t>
      </w:r>
    </w:p>
    <w:p w14:paraId="5FE842D5" w14:textId="0203FBE8"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34. </w:t>
      </w:r>
      <w:r w:rsidRPr="00233927">
        <w:rPr>
          <w:rFonts w:cs="Times New Roman"/>
          <w:noProof/>
          <w:szCs w:val="24"/>
        </w:rPr>
        <w:tab/>
      </w:r>
      <w:r w:rsidR="001B3F50" w:rsidRPr="007860B2">
        <w:rPr>
          <w:rFonts w:cs="Times New Roman"/>
          <w:noProof/>
          <w:szCs w:val="24"/>
        </w:rPr>
        <w:t>Alburquerque, J.A., de la Fuente, C., Bernal, M.P.: Chemical properties of anaerobic digestates affecting C and N dynamics in amended soils. Agric Ecosyst Environ. 160, 15–22 (2012)</w:t>
      </w:r>
    </w:p>
    <w:p w14:paraId="6C58D266" w14:textId="5BB98369"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35. </w:t>
      </w:r>
      <w:r w:rsidRPr="00233927">
        <w:rPr>
          <w:rFonts w:cs="Times New Roman"/>
          <w:noProof/>
          <w:szCs w:val="24"/>
        </w:rPr>
        <w:tab/>
      </w:r>
      <w:r w:rsidR="001B3F50" w:rsidRPr="007860B2">
        <w:rPr>
          <w:rFonts w:cs="Times New Roman"/>
          <w:noProof/>
          <w:szCs w:val="24"/>
        </w:rPr>
        <w:t>Urgun-Demirtas, M., Sattayatewa, C., Pagilla, K.R.: Bioavailability of Dissolved Organic Nitrogen in Treated Effluents. Water Environ Res. 80(5), 397–406 (2008)</w:t>
      </w:r>
    </w:p>
    <w:p w14:paraId="268C77E9" w14:textId="740F0B32"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36. </w:t>
      </w:r>
      <w:r w:rsidRPr="00233927">
        <w:rPr>
          <w:rFonts w:cs="Times New Roman"/>
          <w:noProof/>
          <w:szCs w:val="24"/>
        </w:rPr>
        <w:tab/>
      </w:r>
      <w:r w:rsidR="001B3F50" w:rsidRPr="00FD62D8">
        <w:rPr>
          <w:rFonts w:cs="Times New Roman"/>
          <w:noProof/>
          <w:szCs w:val="24"/>
        </w:rPr>
        <w:t>Ndegwa</w:t>
      </w:r>
      <w:r w:rsidR="001B3F50">
        <w:rPr>
          <w:rFonts w:cs="Times New Roman"/>
          <w:noProof/>
          <w:szCs w:val="24"/>
        </w:rPr>
        <w:t>,</w:t>
      </w:r>
      <w:r w:rsidR="001B3F50" w:rsidRPr="00FD62D8">
        <w:rPr>
          <w:rFonts w:cs="Times New Roman"/>
          <w:noProof/>
          <w:szCs w:val="24"/>
        </w:rPr>
        <w:t xml:space="preserve"> P</w:t>
      </w:r>
      <w:r w:rsidR="001B3F50">
        <w:rPr>
          <w:rFonts w:cs="Times New Roman"/>
          <w:noProof/>
          <w:szCs w:val="24"/>
        </w:rPr>
        <w:t>.</w:t>
      </w:r>
      <w:r w:rsidR="001B3F50" w:rsidRPr="00FD62D8">
        <w:rPr>
          <w:rFonts w:cs="Times New Roman"/>
          <w:noProof/>
          <w:szCs w:val="24"/>
        </w:rPr>
        <w:t>M</w:t>
      </w:r>
      <w:r w:rsidR="001B3F50">
        <w:rPr>
          <w:rFonts w:cs="Times New Roman"/>
          <w:noProof/>
          <w:szCs w:val="24"/>
        </w:rPr>
        <w:t>.</w:t>
      </w:r>
      <w:r w:rsidR="001B3F50" w:rsidRPr="00FD62D8">
        <w:rPr>
          <w:rFonts w:cs="Times New Roman"/>
          <w:noProof/>
          <w:szCs w:val="24"/>
        </w:rPr>
        <w:t>, Vaddella</w:t>
      </w:r>
      <w:r w:rsidR="001B3F50">
        <w:rPr>
          <w:rFonts w:cs="Times New Roman"/>
          <w:noProof/>
          <w:szCs w:val="24"/>
        </w:rPr>
        <w:t>,</w:t>
      </w:r>
      <w:r w:rsidR="001B3F50" w:rsidRPr="00FD62D8">
        <w:rPr>
          <w:rFonts w:cs="Times New Roman"/>
          <w:noProof/>
          <w:szCs w:val="24"/>
        </w:rPr>
        <w:t xml:space="preserve"> V</w:t>
      </w:r>
      <w:r w:rsidR="001B3F50">
        <w:rPr>
          <w:rFonts w:cs="Times New Roman"/>
          <w:noProof/>
          <w:szCs w:val="24"/>
        </w:rPr>
        <w:t>.</w:t>
      </w:r>
      <w:r w:rsidR="001B3F50" w:rsidRPr="00FD62D8">
        <w:rPr>
          <w:rFonts w:cs="Times New Roman"/>
          <w:noProof/>
          <w:szCs w:val="24"/>
        </w:rPr>
        <w:t>K</w:t>
      </w:r>
      <w:r w:rsidR="001B3F50">
        <w:rPr>
          <w:rFonts w:cs="Times New Roman"/>
          <w:noProof/>
          <w:szCs w:val="24"/>
        </w:rPr>
        <w:t>.</w:t>
      </w:r>
      <w:r w:rsidR="001B3F50" w:rsidRPr="00FD62D8">
        <w:rPr>
          <w:rFonts w:cs="Times New Roman"/>
          <w:noProof/>
          <w:szCs w:val="24"/>
        </w:rPr>
        <w:t>, Hristov</w:t>
      </w:r>
      <w:r w:rsidR="001B3F50">
        <w:rPr>
          <w:rFonts w:cs="Times New Roman"/>
          <w:noProof/>
          <w:szCs w:val="24"/>
        </w:rPr>
        <w:t>,</w:t>
      </w:r>
      <w:r w:rsidR="001B3F50" w:rsidRPr="00FD62D8">
        <w:rPr>
          <w:rFonts w:cs="Times New Roman"/>
          <w:noProof/>
          <w:szCs w:val="24"/>
        </w:rPr>
        <w:t xml:space="preserve"> A</w:t>
      </w:r>
      <w:r w:rsidR="001B3F50">
        <w:rPr>
          <w:rFonts w:cs="Times New Roman"/>
          <w:noProof/>
          <w:szCs w:val="24"/>
        </w:rPr>
        <w:t>.</w:t>
      </w:r>
      <w:r w:rsidR="001B3F50" w:rsidRPr="00FD62D8">
        <w:rPr>
          <w:rFonts w:cs="Times New Roman"/>
          <w:noProof/>
          <w:szCs w:val="24"/>
        </w:rPr>
        <w:t>N</w:t>
      </w:r>
      <w:r w:rsidR="001B3F50">
        <w:rPr>
          <w:rFonts w:cs="Times New Roman"/>
          <w:noProof/>
          <w:szCs w:val="24"/>
        </w:rPr>
        <w:t>.</w:t>
      </w:r>
      <w:r w:rsidR="001B3F50" w:rsidRPr="00FD62D8">
        <w:rPr>
          <w:rFonts w:cs="Times New Roman"/>
          <w:noProof/>
          <w:szCs w:val="24"/>
        </w:rPr>
        <w:t>, Joo</w:t>
      </w:r>
      <w:r w:rsidR="001B3F50">
        <w:rPr>
          <w:rFonts w:cs="Times New Roman"/>
          <w:noProof/>
          <w:szCs w:val="24"/>
        </w:rPr>
        <w:t>,</w:t>
      </w:r>
      <w:r w:rsidR="001B3F50" w:rsidRPr="00FD62D8">
        <w:rPr>
          <w:rFonts w:cs="Times New Roman"/>
          <w:noProof/>
          <w:szCs w:val="24"/>
        </w:rPr>
        <w:t xml:space="preserve"> H</w:t>
      </w:r>
      <w:r w:rsidR="001B3F50">
        <w:rPr>
          <w:rFonts w:cs="Times New Roman"/>
          <w:noProof/>
          <w:szCs w:val="24"/>
        </w:rPr>
        <w:t>.</w:t>
      </w:r>
      <w:r w:rsidR="001B3F50" w:rsidRPr="00FD62D8">
        <w:rPr>
          <w:rFonts w:cs="Times New Roman"/>
          <w:noProof/>
          <w:szCs w:val="24"/>
        </w:rPr>
        <w:t>S.</w:t>
      </w:r>
      <w:r w:rsidR="001B3F50">
        <w:rPr>
          <w:rFonts w:cs="Times New Roman"/>
          <w:noProof/>
          <w:szCs w:val="24"/>
        </w:rPr>
        <w:t>:</w:t>
      </w:r>
      <w:r w:rsidR="001B3F50" w:rsidRPr="00FD62D8">
        <w:rPr>
          <w:rFonts w:cs="Times New Roman"/>
          <w:noProof/>
          <w:szCs w:val="24"/>
        </w:rPr>
        <w:t xml:space="preserve"> Measuring Concentrations of Ammonia in Ambient Air or Exhaust Air Stream using Acid Traps. J Environ Qual. </w:t>
      </w:r>
      <w:r w:rsidR="001B3F50">
        <w:rPr>
          <w:rFonts w:cs="Times New Roman"/>
          <w:noProof/>
          <w:szCs w:val="24"/>
        </w:rPr>
        <w:t xml:space="preserve">38(2), </w:t>
      </w:r>
      <w:r w:rsidR="001B3F50" w:rsidRPr="00FD62D8">
        <w:rPr>
          <w:rFonts w:cs="Times New Roman"/>
          <w:noProof/>
          <w:szCs w:val="24"/>
        </w:rPr>
        <w:t>647–</w:t>
      </w:r>
      <w:r w:rsidR="001B3F50">
        <w:rPr>
          <w:rFonts w:cs="Times New Roman"/>
          <w:noProof/>
          <w:szCs w:val="24"/>
        </w:rPr>
        <w:t>653 (2009)</w:t>
      </w:r>
    </w:p>
    <w:p w14:paraId="75E0EC00" w14:textId="4C7D2F42"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37. </w:t>
      </w:r>
      <w:r w:rsidRPr="00233927">
        <w:rPr>
          <w:rFonts w:cs="Times New Roman"/>
          <w:noProof/>
          <w:szCs w:val="24"/>
        </w:rPr>
        <w:tab/>
      </w:r>
      <w:r w:rsidR="001B3F50" w:rsidRPr="00FD62D8">
        <w:rPr>
          <w:rFonts w:cs="Times New Roman"/>
          <w:noProof/>
          <w:szCs w:val="24"/>
        </w:rPr>
        <w:t>Whelan</w:t>
      </w:r>
      <w:r w:rsidR="001B3F50">
        <w:rPr>
          <w:rFonts w:cs="Times New Roman"/>
          <w:noProof/>
          <w:szCs w:val="24"/>
        </w:rPr>
        <w:t>,</w:t>
      </w:r>
      <w:r w:rsidR="001B3F50" w:rsidRPr="00FD62D8">
        <w:rPr>
          <w:rFonts w:cs="Times New Roman"/>
          <w:noProof/>
          <w:szCs w:val="24"/>
        </w:rPr>
        <w:t xml:space="preserve"> M</w:t>
      </w:r>
      <w:r w:rsidR="001B3F50">
        <w:rPr>
          <w:rFonts w:cs="Times New Roman"/>
          <w:noProof/>
          <w:szCs w:val="24"/>
        </w:rPr>
        <w:t>.</w:t>
      </w:r>
      <w:r w:rsidR="001B3F50" w:rsidRPr="00FD62D8">
        <w:rPr>
          <w:rFonts w:cs="Times New Roman"/>
          <w:noProof/>
          <w:szCs w:val="24"/>
        </w:rPr>
        <w:t>J</w:t>
      </w:r>
      <w:r w:rsidR="001B3F50">
        <w:rPr>
          <w:rFonts w:cs="Times New Roman"/>
          <w:noProof/>
          <w:szCs w:val="24"/>
        </w:rPr>
        <w:t>.</w:t>
      </w:r>
      <w:r w:rsidR="001B3F50" w:rsidRPr="00FD62D8">
        <w:rPr>
          <w:rFonts w:cs="Times New Roman"/>
          <w:noProof/>
          <w:szCs w:val="24"/>
        </w:rPr>
        <w:t>, Everitt</w:t>
      </w:r>
      <w:r w:rsidR="001B3F50">
        <w:rPr>
          <w:rFonts w:cs="Times New Roman"/>
          <w:noProof/>
          <w:szCs w:val="24"/>
        </w:rPr>
        <w:t>,</w:t>
      </w:r>
      <w:r w:rsidR="001B3F50" w:rsidRPr="00FD62D8">
        <w:rPr>
          <w:rFonts w:cs="Times New Roman"/>
          <w:noProof/>
          <w:szCs w:val="24"/>
        </w:rPr>
        <w:t xml:space="preserve"> T</w:t>
      </w:r>
      <w:r w:rsidR="001B3F50">
        <w:rPr>
          <w:rFonts w:cs="Times New Roman"/>
          <w:noProof/>
          <w:szCs w:val="24"/>
        </w:rPr>
        <w:t>.</w:t>
      </w:r>
      <w:r w:rsidR="001B3F50" w:rsidRPr="00FD62D8">
        <w:rPr>
          <w:rFonts w:cs="Times New Roman"/>
          <w:noProof/>
          <w:szCs w:val="24"/>
        </w:rPr>
        <w:t>, Villa</w:t>
      </w:r>
      <w:r w:rsidR="001B3F50">
        <w:rPr>
          <w:rFonts w:cs="Times New Roman"/>
          <w:noProof/>
          <w:szCs w:val="24"/>
        </w:rPr>
        <w:t>,</w:t>
      </w:r>
      <w:r w:rsidR="001B3F50" w:rsidRPr="00FD62D8">
        <w:rPr>
          <w:rFonts w:cs="Times New Roman"/>
          <w:noProof/>
          <w:szCs w:val="24"/>
        </w:rPr>
        <w:t xml:space="preserve"> R.</w:t>
      </w:r>
      <w:r w:rsidR="001B3F50">
        <w:rPr>
          <w:rFonts w:cs="Times New Roman"/>
          <w:noProof/>
          <w:szCs w:val="24"/>
        </w:rPr>
        <w:t>:</w:t>
      </w:r>
      <w:r w:rsidR="001B3F50" w:rsidRPr="00FD62D8">
        <w:rPr>
          <w:rFonts w:cs="Times New Roman"/>
          <w:noProof/>
          <w:szCs w:val="24"/>
        </w:rPr>
        <w:t xml:space="preserve"> A mass transfer model of ammonia volatilisation from anaerobic digestate. Wast</w:t>
      </w:r>
      <w:r w:rsidR="001B3F50">
        <w:rPr>
          <w:rFonts w:cs="Times New Roman"/>
          <w:noProof/>
          <w:szCs w:val="24"/>
        </w:rPr>
        <w:t xml:space="preserve">e Manag. 30(10), </w:t>
      </w:r>
      <w:r w:rsidR="001B3F50" w:rsidRPr="00FD62D8">
        <w:rPr>
          <w:rFonts w:cs="Times New Roman"/>
          <w:noProof/>
          <w:szCs w:val="24"/>
        </w:rPr>
        <w:t>1808–</w:t>
      </w:r>
      <w:r w:rsidR="001B3F50">
        <w:rPr>
          <w:rFonts w:cs="Times New Roman"/>
          <w:noProof/>
          <w:szCs w:val="24"/>
        </w:rPr>
        <w:t>18</w:t>
      </w:r>
      <w:r w:rsidR="001B3F50" w:rsidRPr="00FD62D8">
        <w:rPr>
          <w:rFonts w:cs="Times New Roman"/>
          <w:noProof/>
          <w:szCs w:val="24"/>
        </w:rPr>
        <w:t>12</w:t>
      </w:r>
      <w:r w:rsidR="001B3F50">
        <w:rPr>
          <w:rFonts w:cs="Times New Roman"/>
          <w:noProof/>
          <w:szCs w:val="24"/>
        </w:rPr>
        <w:t xml:space="preserve"> (2010)</w:t>
      </w:r>
    </w:p>
    <w:p w14:paraId="50CAAB58" w14:textId="4504A3FC"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38. </w:t>
      </w:r>
      <w:r w:rsidRPr="00233927">
        <w:rPr>
          <w:rFonts w:cs="Times New Roman"/>
          <w:noProof/>
          <w:szCs w:val="24"/>
        </w:rPr>
        <w:tab/>
      </w:r>
      <w:r w:rsidR="001B3F50" w:rsidRPr="00FD62D8">
        <w:rPr>
          <w:rFonts w:cs="Times New Roman"/>
          <w:noProof/>
          <w:szCs w:val="24"/>
        </w:rPr>
        <w:t>Ukwuani</w:t>
      </w:r>
      <w:r w:rsidR="001B3F50">
        <w:rPr>
          <w:rFonts w:cs="Times New Roman"/>
          <w:noProof/>
          <w:szCs w:val="24"/>
        </w:rPr>
        <w:t>,</w:t>
      </w:r>
      <w:r w:rsidR="001B3F50" w:rsidRPr="00FD62D8">
        <w:rPr>
          <w:rFonts w:cs="Times New Roman"/>
          <w:noProof/>
          <w:szCs w:val="24"/>
        </w:rPr>
        <w:t xml:space="preserve"> A</w:t>
      </w:r>
      <w:r w:rsidR="001B3F50">
        <w:rPr>
          <w:rFonts w:cs="Times New Roman"/>
          <w:noProof/>
          <w:szCs w:val="24"/>
        </w:rPr>
        <w:t>.</w:t>
      </w:r>
      <w:r w:rsidR="001B3F50" w:rsidRPr="00FD62D8">
        <w:rPr>
          <w:rFonts w:cs="Times New Roman"/>
          <w:noProof/>
          <w:szCs w:val="24"/>
        </w:rPr>
        <w:t>T</w:t>
      </w:r>
      <w:r w:rsidR="001B3F50">
        <w:rPr>
          <w:rFonts w:cs="Times New Roman"/>
          <w:noProof/>
          <w:szCs w:val="24"/>
        </w:rPr>
        <w:t>.</w:t>
      </w:r>
      <w:r w:rsidR="001B3F50" w:rsidRPr="00FD62D8">
        <w:rPr>
          <w:rFonts w:cs="Times New Roman"/>
          <w:noProof/>
          <w:szCs w:val="24"/>
        </w:rPr>
        <w:t>, Tao</w:t>
      </w:r>
      <w:r w:rsidR="001B3F50">
        <w:rPr>
          <w:rFonts w:cs="Times New Roman"/>
          <w:noProof/>
          <w:szCs w:val="24"/>
        </w:rPr>
        <w:t>,</w:t>
      </w:r>
      <w:r w:rsidR="001B3F50" w:rsidRPr="00FD62D8">
        <w:rPr>
          <w:rFonts w:cs="Times New Roman"/>
          <w:noProof/>
          <w:szCs w:val="24"/>
        </w:rPr>
        <w:t xml:space="preserve"> W.</w:t>
      </w:r>
      <w:r w:rsidR="001B3F50">
        <w:rPr>
          <w:rFonts w:cs="Times New Roman"/>
          <w:noProof/>
          <w:szCs w:val="24"/>
        </w:rPr>
        <w:t>:</w:t>
      </w:r>
      <w:r w:rsidR="001B3F50" w:rsidRPr="00FD62D8">
        <w:rPr>
          <w:rFonts w:cs="Times New Roman"/>
          <w:noProof/>
          <w:szCs w:val="24"/>
        </w:rPr>
        <w:t xml:space="preserve"> Developing a vacuum thermal stripping – acid absorption process for ammonia recovery from anaerobic digester efflue</w:t>
      </w:r>
      <w:r w:rsidR="001B3F50">
        <w:rPr>
          <w:rFonts w:cs="Times New Roman"/>
          <w:noProof/>
          <w:szCs w:val="24"/>
        </w:rPr>
        <w:t>nt. Water Res</w:t>
      </w:r>
      <w:r w:rsidR="001B3F50" w:rsidRPr="00FD62D8">
        <w:rPr>
          <w:rFonts w:cs="Times New Roman"/>
          <w:noProof/>
          <w:szCs w:val="24"/>
        </w:rPr>
        <w:t>.</w:t>
      </w:r>
      <w:r w:rsidR="001B3F50">
        <w:rPr>
          <w:rFonts w:cs="Times New Roman"/>
          <w:noProof/>
          <w:szCs w:val="24"/>
        </w:rPr>
        <w:t xml:space="preserve"> 106, </w:t>
      </w:r>
      <w:r w:rsidR="001B3F50" w:rsidRPr="00FD62D8">
        <w:rPr>
          <w:rFonts w:cs="Times New Roman"/>
          <w:noProof/>
          <w:szCs w:val="24"/>
        </w:rPr>
        <w:t>108–</w:t>
      </w:r>
      <w:r w:rsidR="001B3F50">
        <w:rPr>
          <w:rFonts w:cs="Times New Roman"/>
          <w:noProof/>
          <w:szCs w:val="24"/>
        </w:rPr>
        <w:t>1</w:t>
      </w:r>
      <w:r w:rsidR="001B3F50" w:rsidRPr="00FD62D8">
        <w:rPr>
          <w:rFonts w:cs="Times New Roman"/>
          <w:noProof/>
          <w:szCs w:val="24"/>
        </w:rPr>
        <w:t>15</w:t>
      </w:r>
      <w:r w:rsidR="001B3F50">
        <w:rPr>
          <w:rFonts w:cs="Times New Roman"/>
          <w:noProof/>
          <w:szCs w:val="24"/>
        </w:rPr>
        <w:t xml:space="preserve"> (</w:t>
      </w:r>
      <w:r w:rsidR="001B3F50" w:rsidRPr="00FD62D8">
        <w:rPr>
          <w:rFonts w:cs="Times New Roman"/>
          <w:noProof/>
          <w:szCs w:val="24"/>
        </w:rPr>
        <w:t>2016</w:t>
      </w:r>
      <w:r w:rsidR="001B3F50">
        <w:rPr>
          <w:rFonts w:cs="Times New Roman"/>
          <w:noProof/>
          <w:szCs w:val="24"/>
        </w:rPr>
        <w:t>)</w:t>
      </w:r>
    </w:p>
    <w:p w14:paraId="0A1C25D0" w14:textId="4D02DAAA"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39. </w:t>
      </w:r>
      <w:r w:rsidRPr="00233927">
        <w:rPr>
          <w:rFonts w:cs="Times New Roman"/>
          <w:noProof/>
          <w:szCs w:val="24"/>
        </w:rPr>
        <w:tab/>
      </w:r>
      <w:r w:rsidR="001B3F50" w:rsidRPr="007860B2">
        <w:rPr>
          <w:rFonts w:cs="Times New Roman"/>
          <w:noProof/>
          <w:szCs w:val="24"/>
        </w:rPr>
        <w:t>Shcherbakov, V.V., Artemkina, Y.M., Ponomareva, T.N., Kirillov, A.D.: Electrical conductivity of the ammonia-water system. Russ J Inorg Chem. 54(2), 277–279 (2009)</w:t>
      </w:r>
    </w:p>
    <w:p w14:paraId="74E3640B" w14:textId="27ADDA68"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40. </w:t>
      </w:r>
      <w:r w:rsidRPr="00233927">
        <w:rPr>
          <w:rFonts w:cs="Times New Roman"/>
          <w:noProof/>
          <w:szCs w:val="24"/>
        </w:rPr>
        <w:tab/>
      </w:r>
      <w:r w:rsidR="001B3F50" w:rsidRPr="001D4108">
        <w:rPr>
          <w:rFonts w:cs="Times New Roman"/>
          <w:noProof/>
          <w:szCs w:val="24"/>
        </w:rPr>
        <w:t>Chindaprasirt</w:t>
      </w:r>
      <w:r w:rsidR="001B3F50">
        <w:rPr>
          <w:rFonts w:cs="Times New Roman"/>
          <w:noProof/>
          <w:szCs w:val="24"/>
        </w:rPr>
        <w:t>,</w:t>
      </w:r>
      <w:r w:rsidR="001B3F50" w:rsidRPr="001D4108">
        <w:rPr>
          <w:rFonts w:cs="Times New Roman"/>
          <w:noProof/>
          <w:szCs w:val="24"/>
        </w:rPr>
        <w:t xml:space="preserve"> P</w:t>
      </w:r>
      <w:r w:rsidR="001B3F50">
        <w:rPr>
          <w:rFonts w:cs="Times New Roman"/>
          <w:noProof/>
          <w:szCs w:val="24"/>
        </w:rPr>
        <w:t>.</w:t>
      </w:r>
      <w:r w:rsidR="001B3F50" w:rsidRPr="001D4108">
        <w:rPr>
          <w:rFonts w:cs="Times New Roman"/>
          <w:noProof/>
          <w:szCs w:val="24"/>
        </w:rPr>
        <w:t>, Jaturapitakkul</w:t>
      </w:r>
      <w:r w:rsidR="001B3F50">
        <w:rPr>
          <w:rFonts w:cs="Times New Roman"/>
          <w:noProof/>
          <w:szCs w:val="24"/>
        </w:rPr>
        <w:t>,</w:t>
      </w:r>
      <w:r w:rsidR="001B3F50" w:rsidRPr="001D4108">
        <w:rPr>
          <w:rFonts w:cs="Times New Roman"/>
          <w:noProof/>
          <w:szCs w:val="24"/>
        </w:rPr>
        <w:t xml:space="preserve"> C</w:t>
      </w:r>
      <w:r w:rsidR="001B3F50">
        <w:rPr>
          <w:rFonts w:cs="Times New Roman"/>
          <w:noProof/>
          <w:szCs w:val="24"/>
        </w:rPr>
        <w:t>.</w:t>
      </w:r>
      <w:r w:rsidR="001B3F50" w:rsidRPr="001D4108">
        <w:rPr>
          <w:rFonts w:cs="Times New Roman"/>
          <w:noProof/>
          <w:szCs w:val="24"/>
        </w:rPr>
        <w:t>, Chalee</w:t>
      </w:r>
      <w:r w:rsidR="001B3F50">
        <w:rPr>
          <w:rFonts w:cs="Times New Roman"/>
          <w:noProof/>
          <w:szCs w:val="24"/>
        </w:rPr>
        <w:t>,</w:t>
      </w:r>
      <w:r w:rsidR="001B3F50" w:rsidRPr="001D4108">
        <w:rPr>
          <w:rFonts w:cs="Times New Roman"/>
          <w:noProof/>
          <w:szCs w:val="24"/>
        </w:rPr>
        <w:t xml:space="preserve"> W</w:t>
      </w:r>
      <w:r w:rsidR="001B3F50">
        <w:rPr>
          <w:rFonts w:cs="Times New Roman"/>
          <w:noProof/>
          <w:szCs w:val="24"/>
        </w:rPr>
        <w:t>.</w:t>
      </w:r>
      <w:r w:rsidR="001B3F50" w:rsidRPr="001D4108">
        <w:rPr>
          <w:rFonts w:cs="Times New Roman"/>
          <w:noProof/>
          <w:szCs w:val="24"/>
        </w:rPr>
        <w:t>, Rattanasak</w:t>
      </w:r>
      <w:r w:rsidR="001B3F50">
        <w:rPr>
          <w:rFonts w:cs="Times New Roman"/>
          <w:noProof/>
          <w:szCs w:val="24"/>
        </w:rPr>
        <w:t>,</w:t>
      </w:r>
      <w:r w:rsidR="001B3F50" w:rsidRPr="001D4108">
        <w:rPr>
          <w:rFonts w:cs="Times New Roman"/>
          <w:noProof/>
          <w:szCs w:val="24"/>
        </w:rPr>
        <w:t xml:space="preserve"> U.</w:t>
      </w:r>
      <w:r w:rsidR="001B3F50">
        <w:rPr>
          <w:rFonts w:cs="Times New Roman"/>
          <w:noProof/>
          <w:szCs w:val="24"/>
        </w:rPr>
        <w:t>:</w:t>
      </w:r>
      <w:r w:rsidR="001B3F50" w:rsidRPr="001D4108">
        <w:rPr>
          <w:rFonts w:cs="Times New Roman"/>
          <w:noProof/>
          <w:szCs w:val="24"/>
        </w:rPr>
        <w:t xml:space="preserve"> Comparative study on the characteristics of fly ash and bottom ash geopolymers. Waste Manag. 29(2)</w:t>
      </w:r>
      <w:r w:rsidR="001B3F50">
        <w:rPr>
          <w:rFonts w:cs="Times New Roman"/>
          <w:noProof/>
          <w:szCs w:val="24"/>
        </w:rPr>
        <w:t xml:space="preserve">, </w:t>
      </w:r>
      <w:r w:rsidR="001B3F50" w:rsidRPr="001D4108">
        <w:rPr>
          <w:rFonts w:cs="Times New Roman"/>
          <w:noProof/>
          <w:szCs w:val="24"/>
        </w:rPr>
        <w:t>539–</w:t>
      </w:r>
      <w:r w:rsidR="001B3F50">
        <w:rPr>
          <w:rFonts w:cs="Times New Roman"/>
          <w:noProof/>
          <w:szCs w:val="24"/>
        </w:rPr>
        <w:t>5</w:t>
      </w:r>
      <w:r w:rsidR="001B3F50" w:rsidRPr="001D4108">
        <w:rPr>
          <w:rFonts w:cs="Times New Roman"/>
          <w:noProof/>
          <w:szCs w:val="24"/>
        </w:rPr>
        <w:t>43</w:t>
      </w:r>
      <w:r w:rsidR="001B3F50">
        <w:rPr>
          <w:rFonts w:cs="Times New Roman"/>
          <w:noProof/>
          <w:szCs w:val="24"/>
        </w:rPr>
        <w:t xml:space="preserve"> (2009)</w:t>
      </w:r>
    </w:p>
    <w:p w14:paraId="5281DEC6" w14:textId="34FD7727"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41. </w:t>
      </w:r>
      <w:r w:rsidRPr="00233927">
        <w:rPr>
          <w:rFonts w:cs="Times New Roman"/>
          <w:noProof/>
          <w:szCs w:val="24"/>
        </w:rPr>
        <w:tab/>
      </w:r>
      <w:r w:rsidR="006C657A" w:rsidRPr="007860B2">
        <w:rPr>
          <w:rFonts w:cs="Times New Roman"/>
          <w:noProof/>
          <w:szCs w:val="24"/>
        </w:rPr>
        <w:t>Karoline, K.: Chemistry of wood ash leachates and the filter effect of soil columns on leachate composition. University of Natural Resources and Life Sciences Vienna. http://epub.boku.ac.at/urn:nbn:at:at-ubbw:1-4762 (2012). Accessed 5 March 2019</w:t>
      </w:r>
    </w:p>
    <w:p w14:paraId="5B4C379B" w14:textId="199DF141"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42. </w:t>
      </w:r>
      <w:r w:rsidRPr="00233927">
        <w:rPr>
          <w:rFonts w:cs="Times New Roman"/>
          <w:noProof/>
          <w:szCs w:val="24"/>
        </w:rPr>
        <w:tab/>
      </w:r>
      <w:r w:rsidR="006C657A" w:rsidRPr="007860B2">
        <w:rPr>
          <w:rFonts w:cs="Times New Roman"/>
          <w:noProof/>
          <w:szCs w:val="24"/>
        </w:rPr>
        <w:t>Sakai, E., Miyahara, S., Ohsawa, S., Lee, SH., Daimon, M.: Hydration of fly ash cement. Cem Concr Res. 35(6), 1135–1140 (2005)</w:t>
      </w:r>
    </w:p>
    <w:p w14:paraId="15FE21CF" w14:textId="561E50C8"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43. </w:t>
      </w:r>
      <w:r w:rsidRPr="00233927">
        <w:rPr>
          <w:rFonts w:cs="Times New Roman"/>
          <w:noProof/>
          <w:szCs w:val="24"/>
        </w:rPr>
        <w:tab/>
      </w:r>
      <w:r w:rsidR="006C657A" w:rsidRPr="007860B2">
        <w:rPr>
          <w:rFonts w:cs="Times New Roman"/>
          <w:noProof/>
          <w:szCs w:val="24"/>
        </w:rPr>
        <w:t>Wei, X., Li, Z.: Study on hydration of Portland cement with fly ash using electrical measurement. Mater Struct Constr. 38(277):411–417 (2005)</w:t>
      </w:r>
    </w:p>
    <w:p w14:paraId="5163B646" w14:textId="433DC35A"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44. </w:t>
      </w:r>
      <w:r w:rsidRPr="00233927">
        <w:rPr>
          <w:rFonts w:cs="Times New Roman"/>
          <w:noProof/>
          <w:szCs w:val="24"/>
        </w:rPr>
        <w:tab/>
      </w:r>
      <w:r w:rsidR="006C657A" w:rsidRPr="004F1648">
        <w:rPr>
          <w:rFonts w:cs="Times New Roman"/>
          <w:noProof/>
          <w:szCs w:val="24"/>
        </w:rPr>
        <w:t>Agmon, N.: The Grotthuss mechanism. Chemical Physics Letters. 244 (5</w:t>
      </w:r>
      <w:r w:rsidR="006C657A">
        <w:rPr>
          <w:rFonts w:cs="Times New Roman"/>
        </w:rPr>
        <w:t>–</w:t>
      </w:r>
      <w:r w:rsidR="006C657A" w:rsidRPr="004F1648">
        <w:rPr>
          <w:rFonts w:cs="Times New Roman"/>
          <w:noProof/>
          <w:szCs w:val="24"/>
        </w:rPr>
        <w:t>6), 456</w:t>
      </w:r>
      <w:r w:rsidR="006C657A">
        <w:rPr>
          <w:rFonts w:cs="Times New Roman"/>
        </w:rPr>
        <w:t>–</w:t>
      </w:r>
      <w:r w:rsidR="006C657A" w:rsidRPr="004F1648">
        <w:rPr>
          <w:rFonts w:cs="Times New Roman"/>
          <w:noProof/>
          <w:szCs w:val="24"/>
        </w:rPr>
        <w:t>462 (1995)</w:t>
      </w:r>
    </w:p>
    <w:p w14:paraId="79547E7B" w14:textId="28BA6E5C"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45. </w:t>
      </w:r>
      <w:r w:rsidRPr="00233927">
        <w:rPr>
          <w:rFonts w:cs="Times New Roman"/>
          <w:noProof/>
          <w:szCs w:val="24"/>
        </w:rPr>
        <w:tab/>
      </w:r>
      <w:r w:rsidR="00FE61F7" w:rsidRPr="007860B2">
        <w:rPr>
          <w:rFonts w:cs="Times New Roman"/>
          <w:noProof/>
          <w:szCs w:val="24"/>
        </w:rPr>
        <w:t>Fangueiro, D., Hjorth, M., Gioelli, F.: Acidification of animal slurry - A review. J Environ Manage. 149, 46–56 (2015)</w:t>
      </w:r>
    </w:p>
    <w:p w14:paraId="398539D5" w14:textId="142C7B72"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46. </w:t>
      </w:r>
      <w:r w:rsidRPr="00233927">
        <w:rPr>
          <w:rFonts w:cs="Times New Roman"/>
          <w:noProof/>
          <w:szCs w:val="24"/>
        </w:rPr>
        <w:tab/>
      </w:r>
      <w:r w:rsidR="00FE61F7" w:rsidRPr="007860B2">
        <w:rPr>
          <w:rFonts w:cs="Times New Roman"/>
          <w:noProof/>
          <w:szCs w:val="24"/>
        </w:rPr>
        <w:t>López Torres, M., Espinosa Lloréns, M. del C.: Effect of alkaline pretreatment on anaerobic digestion of solid wastes. Waste Manag. 28(11), 2229–2234 (2008)</w:t>
      </w:r>
    </w:p>
    <w:p w14:paraId="470871AD" w14:textId="14796255"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47. </w:t>
      </w:r>
      <w:r w:rsidRPr="00233927">
        <w:rPr>
          <w:rFonts w:cs="Times New Roman"/>
          <w:noProof/>
          <w:szCs w:val="24"/>
        </w:rPr>
        <w:tab/>
      </w:r>
      <w:r w:rsidR="00FE61F7" w:rsidRPr="007860B2">
        <w:rPr>
          <w:rFonts w:cs="Times New Roman"/>
          <w:noProof/>
          <w:szCs w:val="24"/>
        </w:rPr>
        <w:t xml:space="preserve">Fourie, M.: What can electrical conductivity tell us about our soil? Trace&amp;Save. </w:t>
      </w:r>
      <w:r w:rsidR="00FE61F7" w:rsidRPr="007860B2">
        <w:rPr>
          <w:rFonts w:cs="Times New Roman"/>
          <w:noProof/>
          <w:szCs w:val="24"/>
        </w:rPr>
        <w:lastRenderedPageBreak/>
        <w:t>http://traceandsave.com/what-can-electrical-conductivity-tell-us-about-our-soil/ (2020). Accessed 1 April 2020</w:t>
      </w:r>
    </w:p>
    <w:p w14:paraId="29FDD6C3" w14:textId="657E3BCE"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48. </w:t>
      </w:r>
      <w:r w:rsidRPr="00233927">
        <w:rPr>
          <w:rFonts w:cs="Times New Roman"/>
          <w:noProof/>
          <w:szCs w:val="24"/>
        </w:rPr>
        <w:tab/>
      </w:r>
      <w:r w:rsidR="00FE61F7" w:rsidRPr="007860B2">
        <w:rPr>
          <w:rFonts w:cs="Times New Roman"/>
          <w:noProof/>
          <w:szCs w:val="24"/>
        </w:rPr>
        <w:t>Garfí, M., Gelman, P., Comas, J., Carrasco, W., Ferrer, I.: Agricultural reuse of the digestate from low-cost tubular digesters in rural Andean communities. Waste Manag. 31(12), 2584–2589 (2011)</w:t>
      </w:r>
    </w:p>
    <w:p w14:paraId="0A24B350" w14:textId="002EB844"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49. </w:t>
      </w:r>
      <w:r w:rsidRPr="00233927">
        <w:rPr>
          <w:rFonts w:cs="Times New Roman"/>
          <w:noProof/>
          <w:szCs w:val="24"/>
        </w:rPr>
        <w:tab/>
      </w:r>
      <w:r w:rsidR="00FE61F7" w:rsidRPr="007860B2">
        <w:rPr>
          <w:rFonts w:cs="Times New Roman"/>
          <w:noProof/>
          <w:szCs w:val="24"/>
        </w:rPr>
        <w:t>Jones, C.A., Koenig, R.T., Ellsworth, J.W., Brown, B.D., Jackson, G.D.: Extension Soil Fertility Specialist Management of Urea Fertilizer to Minimize Volatilization. Montana State University. http://www.extension.uidaho.edu/Nutrient/pdf/smallgrain/New/Management of Urea fertilizer to minimize volatilization.pdf (2007). Accessed 18 September 2018</w:t>
      </w:r>
    </w:p>
    <w:p w14:paraId="3CFFA794" w14:textId="258D01DE"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50. </w:t>
      </w:r>
      <w:r w:rsidRPr="00233927">
        <w:rPr>
          <w:rFonts w:cs="Times New Roman"/>
          <w:noProof/>
          <w:szCs w:val="24"/>
        </w:rPr>
        <w:tab/>
      </w:r>
      <w:r w:rsidR="00FE61F7" w:rsidRPr="001D4108">
        <w:rPr>
          <w:rFonts w:cs="Times New Roman"/>
          <w:noProof/>
          <w:szCs w:val="24"/>
        </w:rPr>
        <w:t>Verdouw</w:t>
      </w:r>
      <w:r w:rsidR="00FE61F7">
        <w:rPr>
          <w:rFonts w:cs="Times New Roman"/>
          <w:noProof/>
          <w:szCs w:val="24"/>
        </w:rPr>
        <w:t>,</w:t>
      </w:r>
      <w:r w:rsidR="00FE61F7" w:rsidRPr="001D4108">
        <w:rPr>
          <w:rFonts w:cs="Times New Roman"/>
          <w:noProof/>
          <w:szCs w:val="24"/>
        </w:rPr>
        <w:t xml:space="preserve"> H</w:t>
      </w:r>
      <w:r w:rsidR="00FE61F7">
        <w:rPr>
          <w:rFonts w:cs="Times New Roman"/>
          <w:noProof/>
          <w:szCs w:val="24"/>
        </w:rPr>
        <w:t>.</w:t>
      </w:r>
      <w:r w:rsidR="00FE61F7" w:rsidRPr="001D4108">
        <w:rPr>
          <w:rFonts w:cs="Times New Roman"/>
          <w:noProof/>
          <w:szCs w:val="24"/>
        </w:rPr>
        <w:t>, Van Echteld</w:t>
      </w:r>
      <w:r w:rsidR="00FE61F7">
        <w:rPr>
          <w:rFonts w:cs="Times New Roman"/>
          <w:noProof/>
          <w:szCs w:val="24"/>
        </w:rPr>
        <w:t>,</w:t>
      </w:r>
      <w:r w:rsidR="00FE61F7" w:rsidRPr="001D4108">
        <w:rPr>
          <w:rFonts w:cs="Times New Roman"/>
          <w:noProof/>
          <w:szCs w:val="24"/>
        </w:rPr>
        <w:t xml:space="preserve"> C</w:t>
      </w:r>
      <w:r w:rsidR="00FE61F7">
        <w:rPr>
          <w:rFonts w:cs="Times New Roman"/>
          <w:noProof/>
          <w:szCs w:val="24"/>
        </w:rPr>
        <w:t>.</w:t>
      </w:r>
      <w:r w:rsidR="00FE61F7" w:rsidRPr="001D4108">
        <w:rPr>
          <w:rFonts w:cs="Times New Roman"/>
          <w:noProof/>
          <w:szCs w:val="24"/>
        </w:rPr>
        <w:t>J</w:t>
      </w:r>
      <w:r w:rsidR="00FE61F7">
        <w:rPr>
          <w:rFonts w:cs="Times New Roman"/>
          <w:noProof/>
          <w:szCs w:val="24"/>
        </w:rPr>
        <w:t>.</w:t>
      </w:r>
      <w:r w:rsidR="00FE61F7" w:rsidRPr="001D4108">
        <w:rPr>
          <w:rFonts w:cs="Times New Roman"/>
          <w:noProof/>
          <w:szCs w:val="24"/>
        </w:rPr>
        <w:t>A</w:t>
      </w:r>
      <w:r w:rsidR="00FE61F7">
        <w:rPr>
          <w:rFonts w:cs="Times New Roman"/>
          <w:noProof/>
          <w:szCs w:val="24"/>
        </w:rPr>
        <w:t>.</w:t>
      </w:r>
      <w:r w:rsidR="00FE61F7" w:rsidRPr="001D4108">
        <w:rPr>
          <w:rFonts w:cs="Times New Roman"/>
          <w:noProof/>
          <w:szCs w:val="24"/>
        </w:rPr>
        <w:t>, Dekkers</w:t>
      </w:r>
      <w:r w:rsidR="00FE61F7">
        <w:rPr>
          <w:rFonts w:cs="Times New Roman"/>
          <w:noProof/>
          <w:szCs w:val="24"/>
        </w:rPr>
        <w:t>,</w:t>
      </w:r>
      <w:r w:rsidR="00FE61F7" w:rsidRPr="001D4108">
        <w:rPr>
          <w:rFonts w:cs="Times New Roman"/>
          <w:noProof/>
          <w:szCs w:val="24"/>
        </w:rPr>
        <w:t xml:space="preserve"> E</w:t>
      </w:r>
      <w:r w:rsidR="00FE61F7">
        <w:rPr>
          <w:rFonts w:cs="Times New Roman"/>
          <w:noProof/>
          <w:szCs w:val="24"/>
        </w:rPr>
        <w:t>.</w:t>
      </w:r>
      <w:r w:rsidR="00FE61F7" w:rsidRPr="001D4108">
        <w:rPr>
          <w:rFonts w:cs="Times New Roman"/>
          <w:noProof/>
          <w:szCs w:val="24"/>
        </w:rPr>
        <w:t>M</w:t>
      </w:r>
      <w:r w:rsidR="00FE61F7">
        <w:rPr>
          <w:rFonts w:cs="Times New Roman"/>
          <w:noProof/>
          <w:szCs w:val="24"/>
        </w:rPr>
        <w:t>.</w:t>
      </w:r>
      <w:r w:rsidR="00FE61F7" w:rsidRPr="001D4108">
        <w:rPr>
          <w:rFonts w:cs="Times New Roman"/>
          <w:noProof/>
          <w:szCs w:val="24"/>
        </w:rPr>
        <w:t>J.</w:t>
      </w:r>
      <w:r w:rsidR="00FE61F7">
        <w:rPr>
          <w:rFonts w:cs="Times New Roman"/>
          <w:noProof/>
          <w:szCs w:val="24"/>
        </w:rPr>
        <w:t>:</w:t>
      </w:r>
      <w:r w:rsidR="00FE61F7" w:rsidRPr="001D4108">
        <w:rPr>
          <w:rFonts w:cs="Times New Roman"/>
          <w:noProof/>
          <w:szCs w:val="24"/>
        </w:rPr>
        <w:t xml:space="preserve"> Ammonia determination based on indophenol formation with sodium salicylate. Water Res. 12(6):399–402 </w:t>
      </w:r>
      <w:r w:rsidR="00FE61F7">
        <w:rPr>
          <w:rFonts w:cs="Times New Roman"/>
          <w:noProof/>
          <w:szCs w:val="24"/>
        </w:rPr>
        <w:t>(1978)</w:t>
      </w:r>
    </w:p>
    <w:p w14:paraId="36CCB65A" w14:textId="2B91357F"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51. </w:t>
      </w:r>
      <w:r w:rsidRPr="00233927">
        <w:rPr>
          <w:rFonts w:cs="Times New Roman"/>
          <w:noProof/>
          <w:szCs w:val="24"/>
        </w:rPr>
        <w:tab/>
      </w:r>
      <w:r w:rsidR="00FE61F7" w:rsidRPr="001D4108">
        <w:rPr>
          <w:rFonts w:cs="Times New Roman"/>
          <w:noProof/>
          <w:szCs w:val="24"/>
        </w:rPr>
        <w:t>SEAL Analytical</w:t>
      </w:r>
      <w:r w:rsidR="00FE61F7">
        <w:rPr>
          <w:rFonts w:cs="Times New Roman"/>
          <w:noProof/>
          <w:szCs w:val="24"/>
        </w:rPr>
        <w:t>:</w:t>
      </w:r>
      <w:r w:rsidR="00FE61F7" w:rsidRPr="001D4108">
        <w:rPr>
          <w:rFonts w:cs="Times New Roman"/>
          <w:noProof/>
          <w:szCs w:val="24"/>
        </w:rPr>
        <w:t xml:space="preserve"> AutoAnalyzer Method no. G-102-93 Rev. 8. In: Instruction</w:t>
      </w:r>
      <w:r w:rsidR="00FE61F7">
        <w:rPr>
          <w:rFonts w:cs="Times New Roman"/>
          <w:noProof/>
          <w:szCs w:val="24"/>
        </w:rPr>
        <w:t>s</w:t>
      </w:r>
      <w:r w:rsidR="00FE61F7" w:rsidRPr="001D4108">
        <w:rPr>
          <w:rFonts w:cs="Times New Roman"/>
          <w:noProof/>
          <w:szCs w:val="24"/>
        </w:rPr>
        <w:t xml:space="preserve"> manual</w:t>
      </w:r>
      <w:r w:rsidR="00FE61F7">
        <w:rPr>
          <w:rFonts w:cs="Times New Roman"/>
          <w:noProof/>
          <w:szCs w:val="24"/>
        </w:rPr>
        <w:t>,</w:t>
      </w:r>
      <w:r w:rsidR="00FE61F7" w:rsidRPr="001D4108">
        <w:rPr>
          <w:rFonts w:cs="Times New Roman"/>
          <w:noProof/>
          <w:szCs w:val="24"/>
        </w:rPr>
        <w:t xml:space="preserve"> p</w:t>
      </w:r>
      <w:r w:rsidR="00FE61F7">
        <w:rPr>
          <w:rFonts w:cs="Times New Roman"/>
          <w:noProof/>
          <w:szCs w:val="24"/>
        </w:rPr>
        <w:t>p</w:t>
      </w:r>
      <w:r w:rsidR="00FE61F7" w:rsidRPr="001D4108">
        <w:rPr>
          <w:rFonts w:cs="Times New Roman"/>
          <w:noProof/>
          <w:szCs w:val="24"/>
        </w:rPr>
        <w:t xml:space="preserve">. </w:t>
      </w:r>
      <w:r w:rsidR="00FE61F7">
        <w:rPr>
          <w:rFonts w:cs="Times New Roman"/>
          <w:noProof/>
          <w:szCs w:val="24"/>
        </w:rPr>
        <w:t>1-10 (2012)</w:t>
      </w:r>
    </w:p>
    <w:p w14:paraId="667C6F83" w14:textId="15BED8CB"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52. </w:t>
      </w:r>
      <w:r w:rsidRPr="00233927">
        <w:rPr>
          <w:rFonts w:cs="Times New Roman"/>
          <w:noProof/>
          <w:szCs w:val="24"/>
        </w:rPr>
        <w:tab/>
      </w:r>
      <w:r w:rsidR="00FE61F7" w:rsidRPr="00307E6E">
        <w:rPr>
          <w:rFonts w:cs="Times New Roman"/>
          <w:noProof/>
          <w:szCs w:val="24"/>
        </w:rPr>
        <w:t>Méndez, J.M., Jiménez, B.E., Barrios, J.A.: Improved alkaline stabilization of municipal wastewater sludge. Water Sci Technol. 46(10), 139–146 (2002)</w:t>
      </w:r>
    </w:p>
    <w:p w14:paraId="4ECEE61B" w14:textId="4F22CF33"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53. </w:t>
      </w:r>
      <w:r w:rsidRPr="00233927">
        <w:rPr>
          <w:rFonts w:cs="Times New Roman"/>
          <w:noProof/>
          <w:szCs w:val="24"/>
        </w:rPr>
        <w:tab/>
      </w:r>
      <w:r w:rsidR="00FE61F7" w:rsidRPr="00047506">
        <w:rPr>
          <w:rFonts w:cs="Times New Roman"/>
          <w:noProof/>
          <w:szCs w:val="24"/>
        </w:rPr>
        <w:t>Eggeman, T.: Ammonia. In: Kirk-Othmer Encyclopedia of Chemical Technology. Fourth edi., pp. 461</w:t>
      </w:r>
      <w:r w:rsidR="00FE61F7">
        <w:rPr>
          <w:rFonts w:cs="Times New Roman"/>
        </w:rPr>
        <w:t>–</w:t>
      </w:r>
      <w:r w:rsidR="00FE61F7" w:rsidRPr="00047506">
        <w:rPr>
          <w:rFonts w:cs="Times New Roman"/>
          <w:noProof/>
          <w:szCs w:val="24"/>
        </w:rPr>
        <w:t xml:space="preserve">462. John Wiley &amp; Sons, Inc., New </w:t>
      </w:r>
      <w:r w:rsidR="00FE61F7">
        <w:rPr>
          <w:rFonts w:cs="Times New Roman"/>
          <w:noProof/>
          <w:szCs w:val="24"/>
        </w:rPr>
        <w:t>York (1992)</w:t>
      </w:r>
    </w:p>
    <w:p w14:paraId="725E7AC3" w14:textId="34161733"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54. </w:t>
      </w:r>
      <w:r w:rsidRPr="00233927">
        <w:rPr>
          <w:rFonts w:cs="Times New Roman"/>
          <w:noProof/>
          <w:szCs w:val="24"/>
        </w:rPr>
        <w:tab/>
      </w:r>
      <w:r w:rsidR="00FE61F7" w:rsidRPr="00047506">
        <w:rPr>
          <w:rFonts w:cs="Times New Roman"/>
          <w:noProof/>
          <w:szCs w:val="24"/>
        </w:rPr>
        <w:t>Sakthivel, S.R., Tilley, E., Udert, K.M.: Wood ash as a magnesium source for phosphorus recovery from source-separated urine. Sci Total Environ. 419, 68–75 (2012)</w:t>
      </w:r>
    </w:p>
    <w:p w14:paraId="2D988CB1" w14:textId="688856FA"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55. </w:t>
      </w:r>
      <w:r w:rsidRPr="00233927">
        <w:rPr>
          <w:rFonts w:cs="Times New Roman"/>
          <w:noProof/>
          <w:szCs w:val="24"/>
        </w:rPr>
        <w:tab/>
      </w:r>
      <w:r w:rsidR="00FE61F7" w:rsidRPr="00047506">
        <w:rPr>
          <w:rFonts w:cs="Times New Roman"/>
          <w:noProof/>
          <w:szCs w:val="24"/>
        </w:rPr>
        <w:t>Huang, H., Zhang, D.D., Li, J., Guo, G., Tang, S.: Phosphate recovery from swine wastewater using plant ash in chemical crystallization. J Clean Prod. 168, 338–345 (2017)</w:t>
      </w:r>
    </w:p>
    <w:p w14:paraId="505A33E6" w14:textId="6DBE6E8D"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56. </w:t>
      </w:r>
      <w:r w:rsidRPr="00233927">
        <w:rPr>
          <w:rFonts w:cs="Times New Roman"/>
          <w:noProof/>
          <w:szCs w:val="24"/>
        </w:rPr>
        <w:tab/>
      </w:r>
      <w:r w:rsidR="00FE61F7" w:rsidRPr="00047506">
        <w:rPr>
          <w:rFonts w:cs="Times New Roman"/>
          <w:noProof/>
          <w:szCs w:val="24"/>
        </w:rPr>
        <w:t>Fanning, J.C.: The chemical reduction of nitrate in aqueous solution. Coord Chem Rev. 199(1), 159–179 (2000)</w:t>
      </w:r>
    </w:p>
    <w:p w14:paraId="2F85D0FA" w14:textId="3AAC26DB"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57. </w:t>
      </w:r>
      <w:r w:rsidRPr="00233927">
        <w:rPr>
          <w:rFonts w:cs="Times New Roman"/>
          <w:noProof/>
          <w:szCs w:val="24"/>
        </w:rPr>
        <w:tab/>
      </w:r>
      <w:r w:rsidR="00FE61F7" w:rsidRPr="00047506">
        <w:rPr>
          <w:rFonts w:cs="Times New Roman"/>
          <w:noProof/>
          <w:szCs w:val="24"/>
        </w:rPr>
        <w:t>Öztürk, N., Bektaş, T.E.: Nitrate removal from aqueous solution by adsorption onto various materials. J Hazard Mater. 112(1–2), 155–</w:t>
      </w:r>
      <w:r w:rsidR="00FE61F7">
        <w:rPr>
          <w:rFonts w:cs="Times New Roman"/>
          <w:noProof/>
          <w:szCs w:val="24"/>
        </w:rPr>
        <w:t>1</w:t>
      </w:r>
      <w:r w:rsidR="00FE61F7" w:rsidRPr="00047506">
        <w:rPr>
          <w:rFonts w:cs="Times New Roman"/>
          <w:noProof/>
          <w:szCs w:val="24"/>
        </w:rPr>
        <w:t>62 (2004)</w:t>
      </w:r>
    </w:p>
    <w:p w14:paraId="3BAED92B" w14:textId="7AAC2CD0"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58. </w:t>
      </w:r>
      <w:r w:rsidRPr="00233927">
        <w:rPr>
          <w:rFonts w:cs="Times New Roman"/>
          <w:noProof/>
          <w:szCs w:val="24"/>
        </w:rPr>
        <w:tab/>
      </w:r>
      <w:r w:rsidR="00FE61F7" w:rsidRPr="00047506">
        <w:rPr>
          <w:rFonts w:cs="Times New Roman"/>
          <w:noProof/>
          <w:szCs w:val="24"/>
        </w:rPr>
        <w:t>Stjepanović, M., Velić, N., Lončarić, A., Gašo-Sokač, D., Bušić, V., Habuda-Stanić, M.: Adsorptive removal of nitrate from wastewater using modified lignocellulosic waste material. J Mol Liq. 285, 535–544 (2019)</w:t>
      </w:r>
    </w:p>
    <w:p w14:paraId="3DCE1200" w14:textId="42382F5C"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59. </w:t>
      </w:r>
      <w:r w:rsidRPr="00233927">
        <w:rPr>
          <w:rFonts w:cs="Times New Roman"/>
          <w:noProof/>
          <w:szCs w:val="24"/>
        </w:rPr>
        <w:tab/>
      </w:r>
      <w:r w:rsidR="00FE61F7" w:rsidRPr="00047506">
        <w:rPr>
          <w:rFonts w:cs="Times New Roman"/>
          <w:noProof/>
          <w:szCs w:val="24"/>
        </w:rPr>
        <w:t>Johansen, A., Carter, M.S., Jensen, E.S., Hauggard-Nielsen, H., Ambus, P.: Effects of digestate from anaerobically digested cattle slurry and plant materials on soil microbial community and emission of CO</w:t>
      </w:r>
      <w:r w:rsidR="00FE61F7" w:rsidRPr="00AA132E">
        <w:rPr>
          <w:rFonts w:cs="Times New Roman"/>
          <w:noProof/>
          <w:szCs w:val="24"/>
          <w:vertAlign w:val="subscript"/>
        </w:rPr>
        <w:t>2</w:t>
      </w:r>
      <w:r w:rsidR="00FE61F7" w:rsidRPr="00047506">
        <w:rPr>
          <w:rFonts w:cs="Times New Roman"/>
          <w:noProof/>
          <w:szCs w:val="24"/>
        </w:rPr>
        <w:t xml:space="preserve"> and N</w:t>
      </w:r>
      <w:r w:rsidR="00FE61F7" w:rsidRPr="00AA132E">
        <w:rPr>
          <w:rFonts w:cs="Times New Roman"/>
          <w:noProof/>
          <w:szCs w:val="24"/>
          <w:vertAlign w:val="subscript"/>
        </w:rPr>
        <w:t>2</w:t>
      </w:r>
      <w:r w:rsidR="00FE61F7" w:rsidRPr="00047506">
        <w:rPr>
          <w:rFonts w:cs="Times New Roman"/>
          <w:noProof/>
          <w:szCs w:val="24"/>
        </w:rPr>
        <w:t>O. Appl Soil Ecol. 63, 36–44 (2013)</w:t>
      </w:r>
    </w:p>
    <w:p w14:paraId="25955980" w14:textId="098AC3D0"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60. </w:t>
      </w:r>
      <w:r w:rsidRPr="00233927">
        <w:rPr>
          <w:rFonts w:cs="Times New Roman"/>
          <w:noProof/>
          <w:szCs w:val="24"/>
        </w:rPr>
        <w:tab/>
      </w:r>
      <w:r w:rsidR="00DF497C" w:rsidRPr="00047506">
        <w:rPr>
          <w:rFonts w:cs="Times New Roman"/>
          <w:noProof/>
          <w:szCs w:val="24"/>
        </w:rPr>
        <w:t>Wang, Y., Cao, W., Zhang, X., Guo, J.: Abiotic nitrate loss and nitrogenous trace gas emission from Chinese acidic forest soils. Environ Sci Pollut Res. 24(28), 22679–22687 (2017)</w:t>
      </w:r>
    </w:p>
    <w:p w14:paraId="6D97529F" w14:textId="10EA5C32"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61. </w:t>
      </w:r>
      <w:r w:rsidRPr="00233927">
        <w:rPr>
          <w:rFonts w:cs="Times New Roman"/>
          <w:noProof/>
          <w:szCs w:val="24"/>
        </w:rPr>
        <w:tab/>
      </w:r>
      <w:r w:rsidR="00DF497C" w:rsidRPr="00047506">
        <w:rPr>
          <w:rFonts w:cs="Times New Roman"/>
          <w:noProof/>
          <w:szCs w:val="24"/>
        </w:rPr>
        <w:t>Buchwald, C., Gra</w:t>
      </w:r>
      <w:r w:rsidR="00DF497C">
        <w:rPr>
          <w:rFonts w:cs="Times New Roman"/>
          <w:noProof/>
          <w:szCs w:val="24"/>
        </w:rPr>
        <w:t>bb, K., Hansel, C.M., Wankel, S.</w:t>
      </w:r>
      <w:r w:rsidR="00DF497C" w:rsidRPr="00047506">
        <w:rPr>
          <w:rFonts w:cs="Times New Roman"/>
          <w:noProof/>
          <w:szCs w:val="24"/>
        </w:rPr>
        <w:t>D.: Constraining the role of iron in environmental nitrogen transformations: Dual stable isotope systematics of abiotic NO</w:t>
      </w:r>
      <w:r w:rsidR="00DF497C" w:rsidRPr="00AA132E">
        <w:rPr>
          <w:rFonts w:cs="Times New Roman"/>
          <w:noProof/>
          <w:szCs w:val="24"/>
          <w:vertAlign w:val="subscript"/>
        </w:rPr>
        <w:t>2</w:t>
      </w:r>
      <w:r w:rsidR="00DF497C" w:rsidRPr="00AA132E">
        <w:rPr>
          <w:rFonts w:cs="Times New Roman"/>
          <w:noProof/>
          <w:szCs w:val="24"/>
          <w:vertAlign w:val="superscript"/>
        </w:rPr>
        <w:t>-</w:t>
      </w:r>
      <w:r w:rsidR="00DF497C" w:rsidRPr="00047506">
        <w:rPr>
          <w:rFonts w:cs="Times New Roman"/>
          <w:noProof/>
          <w:szCs w:val="24"/>
        </w:rPr>
        <w:t xml:space="preserve"> reduction by Fe(II) and its production of N</w:t>
      </w:r>
      <w:r w:rsidR="00DF497C" w:rsidRPr="00AA132E">
        <w:rPr>
          <w:rFonts w:cs="Times New Roman"/>
          <w:noProof/>
          <w:szCs w:val="24"/>
          <w:vertAlign w:val="subscript"/>
        </w:rPr>
        <w:t>2</w:t>
      </w:r>
      <w:r w:rsidR="00DF497C" w:rsidRPr="00047506">
        <w:rPr>
          <w:rFonts w:cs="Times New Roman"/>
          <w:noProof/>
          <w:szCs w:val="24"/>
        </w:rPr>
        <w:t>O. Geochim Cosmochim Acta. 186, 1–12 (2016)</w:t>
      </w:r>
    </w:p>
    <w:p w14:paraId="614996C5" w14:textId="33BDCBC8"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lastRenderedPageBreak/>
        <w:t xml:space="preserve">62. </w:t>
      </w:r>
      <w:r w:rsidRPr="00233927">
        <w:rPr>
          <w:rFonts w:cs="Times New Roman"/>
          <w:noProof/>
          <w:szCs w:val="24"/>
        </w:rPr>
        <w:tab/>
      </w:r>
      <w:r w:rsidR="00DF497C" w:rsidRPr="00047506">
        <w:rPr>
          <w:rFonts w:cs="Times New Roman"/>
          <w:noProof/>
          <w:szCs w:val="24"/>
        </w:rPr>
        <w:t>Perakis, S.S., Hedin, L.O.: Nitrogen loss from unpolluted South American forests mainly via dissolved organic compounds. Nature. 415(6870), 416–419 (2002)</w:t>
      </w:r>
    </w:p>
    <w:p w14:paraId="5F29EAE4" w14:textId="6F9C68C9"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63. </w:t>
      </w:r>
      <w:r w:rsidRPr="00233927">
        <w:rPr>
          <w:rFonts w:cs="Times New Roman"/>
          <w:noProof/>
          <w:szCs w:val="24"/>
        </w:rPr>
        <w:tab/>
      </w:r>
      <w:r w:rsidR="00DF497C" w:rsidRPr="00047506">
        <w:rPr>
          <w:rFonts w:cs="Times New Roman"/>
          <w:noProof/>
          <w:szCs w:val="24"/>
        </w:rPr>
        <w:t>Ahmed, S., Einfalt, D., Kazda, M.: Co-Digestion of Sugar Beet Silage Increases Biogas Yield from Fibrous Substrates. Biomed Res Int (2016). http://dx.doi.org/10.1155/2016/2147513</w:t>
      </w:r>
    </w:p>
    <w:p w14:paraId="6625192C" w14:textId="666AB6C8"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64. </w:t>
      </w:r>
      <w:r w:rsidRPr="00233927">
        <w:rPr>
          <w:rFonts w:cs="Times New Roman"/>
          <w:noProof/>
          <w:szCs w:val="24"/>
        </w:rPr>
        <w:tab/>
      </w:r>
      <w:r w:rsidR="00DF497C" w:rsidRPr="00047506">
        <w:rPr>
          <w:rFonts w:cs="Times New Roman"/>
          <w:noProof/>
          <w:szCs w:val="24"/>
        </w:rPr>
        <w:t>Strosser, E.: Methods for determination of labile soil organic matter: An overview. J Agrobiol. 27(2), 49–60 (2011)</w:t>
      </w:r>
    </w:p>
    <w:p w14:paraId="38439FDA" w14:textId="4FF34696"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65. </w:t>
      </w:r>
      <w:r w:rsidRPr="00233927">
        <w:rPr>
          <w:rFonts w:cs="Times New Roman"/>
          <w:noProof/>
          <w:szCs w:val="24"/>
        </w:rPr>
        <w:tab/>
      </w:r>
      <w:r w:rsidR="00DF497C" w:rsidRPr="00047506">
        <w:rPr>
          <w:rFonts w:cs="Times New Roman"/>
          <w:noProof/>
          <w:szCs w:val="24"/>
        </w:rPr>
        <w:t xml:space="preserve">Handojo, L.A., Indarto, A., Shofinita, D., Saadi, M.R., Yulistia, D., Hasyyati, F.I.: Calcium Soap from Palm Fatty Acid Distillate for Ruminant Feed: The Influence of Initial Mixing Temperature. </w:t>
      </w:r>
      <w:r w:rsidR="00DF497C">
        <w:rPr>
          <w:rFonts w:cs="Times New Roman"/>
          <w:noProof/>
          <w:szCs w:val="24"/>
        </w:rPr>
        <w:t>IOP Conf Ser Mater Sci Eng (2018</w:t>
      </w:r>
      <w:r w:rsidR="00DF497C" w:rsidRPr="00047506">
        <w:rPr>
          <w:rFonts w:cs="Times New Roman"/>
          <w:noProof/>
          <w:szCs w:val="24"/>
        </w:rPr>
        <w:t>). https://doi.org/ 10.1088/1755-1315/141/1/012010</w:t>
      </w:r>
    </w:p>
    <w:p w14:paraId="15583322" w14:textId="0A7B8BC2"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66. </w:t>
      </w:r>
      <w:r w:rsidRPr="00233927">
        <w:rPr>
          <w:rFonts w:cs="Times New Roman"/>
          <w:noProof/>
          <w:szCs w:val="24"/>
        </w:rPr>
        <w:tab/>
      </w:r>
      <w:r w:rsidR="00DF497C" w:rsidRPr="004F1648">
        <w:rPr>
          <w:rFonts w:cs="Times New Roman"/>
          <w:noProof/>
          <w:szCs w:val="24"/>
        </w:rPr>
        <w:t>Millero, F., Huang, F., Zhu, X., Liu, X., Zhang, J.Z.: Adsorption and desorption of phosphate on calcite and aragonite in seawater. Aquat Geochemistry. 7(1), 33–56 (2001)</w:t>
      </w:r>
    </w:p>
    <w:p w14:paraId="73AE5705" w14:textId="153FEADC"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67. </w:t>
      </w:r>
      <w:r w:rsidRPr="00233927">
        <w:rPr>
          <w:rFonts w:cs="Times New Roman"/>
          <w:noProof/>
          <w:szCs w:val="24"/>
        </w:rPr>
        <w:tab/>
      </w:r>
      <w:r w:rsidR="00DF497C" w:rsidRPr="00BF55DB">
        <w:rPr>
          <w:rFonts w:cs="Times New Roman"/>
          <w:noProof/>
          <w:szCs w:val="24"/>
        </w:rPr>
        <w:t>Drosg, B., Fuchs, W., Al Seadi, T., Madsen, M., Linke, B</w:t>
      </w:r>
      <w:r w:rsidR="00DF497C">
        <w:rPr>
          <w:rFonts w:cs="Times New Roman"/>
          <w:noProof/>
          <w:szCs w:val="24"/>
        </w:rPr>
        <w:t xml:space="preserve">.: Nutrient recovery by biogas digestate processing. IEA Bioenergy. </w:t>
      </w:r>
      <w:r w:rsidR="00DF497C" w:rsidRPr="00BF55DB">
        <w:rPr>
          <w:rFonts w:cs="Times New Roman"/>
          <w:noProof/>
          <w:szCs w:val="24"/>
        </w:rPr>
        <w:t>http://www.iea-biogas.net/files/daten-redaktion/download/Technical%20Brochures/NUTRIENT_RECOVERY_RZ_web2.pdf</w:t>
      </w:r>
      <w:r w:rsidR="00DF497C">
        <w:rPr>
          <w:rFonts w:cs="Times New Roman"/>
          <w:noProof/>
          <w:szCs w:val="24"/>
        </w:rPr>
        <w:t>. Accessed 2 October 2016</w:t>
      </w:r>
    </w:p>
    <w:p w14:paraId="024D5973" w14:textId="6F7D46E7"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68. </w:t>
      </w:r>
      <w:r w:rsidRPr="00233927">
        <w:rPr>
          <w:rFonts w:cs="Times New Roman"/>
          <w:noProof/>
          <w:szCs w:val="24"/>
        </w:rPr>
        <w:tab/>
      </w:r>
      <w:r w:rsidR="00DF497C" w:rsidRPr="004F1648">
        <w:rPr>
          <w:rFonts w:cs="Times New Roman"/>
          <w:noProof/>
          <w:szCs w:val="24"/>
        </w:rPr>
        <w:t>Tunesi, S., Poggi, V., Gessa, C.: Phosphate adsorption and precipitation in calcareous soils: The role of calcium ions in solution and carbonate minerals. Nutr Cycl Agroecosystems. 53(3), 219–227 (1999)</w:t>
      </w:r>
    </w:p>
    <w:p w14:paraId="6C6D435A" w14:textId="4BFFBDBD"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69. </w:t>
      </w:r>
      <w:r w:rsidRPr="00233927">
        <w:rPr>
          <w:rFonts w:cs="Times New Roman"/>
          <w:noProof/>
          <w:szCs w:val="24"/>
        </w:rPr>
        <w:tab/>
      </w:r>
      <w:r w:rsidR="00DF497C" w:rsidRPr="004F1648">
        <w:rPr>
          <w:rFonts w:cs="Times New Roman"/>
          <w:noProof/>
          <w:szCs w:val="24"/>
        </w:rPr>
        <w:t>Maresca, A., Hyks, J., Astrup, T.F.: Recirculation of biomass ashes onto forest soils: ash composition, mineralogy and leaching properties. Waste Manag. 70, 127–138 (2017)</w:t>
      </w:r>
    </w:p>
    <w:p w14:paraId="36BDC4D7" w14:textId="70C115D3"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70. </w:t>
      </w:r>
      <w:r w:rsidRPr="00233927">
        <w:rPr>
          <w:rFonts w:cs="Times New Roman"/>
          <w:noProof/>
          <w:szCs w:val="24"/>
        </w:rPr>
        <w:tab/>
      </w:r>
      <w:r w:rsidR="00DF497C" w:rsidRPr="004F1648">
        <w:rPr>
          <w:rFonts w:cs="Times New Roman"/>
          <w:noProof/>
          <w:szCs w:val="24"/>
        </w:rPr>
        <w:t>Sharpley, A., Moyer, B.: Phosphorus forms in manure and compost and their release during simulated rainfall. J Environ Qual. 29(5), 1462–1469 (2000)</w:t>
      </w:r>
    </w:p>
    <w:p w14:paraId="2935414D" w14:textId="77B213A0" w:rsidR="00233927" w:rsidRPr="00233927" w:rsidRDefault="00233927" w:rsidP="00233927">
      <w:pPr>
        <w:widowControl w:val="0"/>
        <w:autoSpaceDE w:val="0"/>
        <w:autoSpaceDN w:val="0"/>
        <w:adjustRightInd w:val="0"/>
        <w:spacing w:line="360" w:lineRule="auto"/>
        <w:ind w:left="640" w:hanging="640"/>
        <w:rPr>
          <w:rFonts w:cs="Times New Roman"/>
          <w:noProof/>
          <w:szCs w:val="24"/>
        </w:rPr>
      </w:pPr>
      <w:r w:rsidRPr="00233927">
        <w:rPr>
          <w:rFonts w:cs="Times New Roman"/>
          <w:noProof/>
          <w:szCs w:val="24"/>
        </w:rPr>
        <w:t xml:space="preserve">71. </w:t>
      </w:r>
      <w:r w:rsidRPr="00233927">
        <w:rPr>
          <w:rFonts w:cs="Times New Roman"/>
          <w:noProof/>
          <w:szCs w:val="24"/>
        </w:rPr>
        <w:tab/>
      </w:r>
      <w:r w:rsidR="00DF497C" w:rsidRPr="004F1648">
        <w:rPr>
          <w:rFonts w:cs="Times New Roman"/>
          <w:noProof/>
          <w:szCs w:val="24"/>
        </w:rPr>
        <w:t>Pote, D.H., Daniel, T.C.: Analyzing for dissolved reactive phophorus in water samples. In: Pierzynski, G.M., Hodges, S.C. (eds). Methods of phosphorus analysis for soils, sediments, residuals, and waters pp. 91</w:t>
      </w:r>
      <w:r w:rsidR="00DF497C">
        <w:rPr>
          <w:rFonts w:cs="Times New Roman"/>
        </w:rPr>
        <w:t>–</w:t>
      </w:r>
      <w:r w:rsidR="00DF497C" w:rsidRPr="004F1648">
        <w:rPr>
          <w:rFonts w:cs="Times New Roman"/>
          <w:noProof/>
          <w:szCs w:val="24"/>
        </w:rPr>
        <w:t>97. North Carolina State University, Manhattan Kansas (2000)</w:t>
      </w:r>
    </w:p>
    <w:p w14:paraId="7B16EE9A" w14:textId="4AAFD8C4" w:rsidR="00233927" w:rsidRPr="00233927" w:rsidRDefault="00233927" w:rsidP="00233927">
      <w:pPr>
        <w:widowControl w:val="0"/>
        <w:autoSpaceDE w:val="0"/>
        <w:autoSpaceDN w:val="0"/>
        <w:adjustRightInd w:val="0"/>
        <w:spacing w:line="360" w:lineRule="auto"/>
        <w:ind w:left="640" w:hanging="640"/>
        <w:rPr>
          <w:rFonts w:cs="Times New Roman"/>
          <w:noProof/>
        </w:rPr>
      </w:pPr>
      <w:r w:rsidRPr="00233927">
        <w:rPr>
          <w:rFonts w:cs="Times New Roman"/>
          <w:noProof/>
          <w:szCs w:val="24"/>
        </w:rPr>
        <w:t xml:space="preserve">72. </w:t>
      </w:r>
      <w:r w:rsidRPr="00233927">
        <w:rPr>
          <w:rFonts w:cs="Times New Roman"/>
          <w:noProof/>
          <w:szCs w:val="24"/>
        </w:rPr>
        <w:tab/>
      </w:r>
      <w:r w:rsidR="00DF497C" w:rsidRPr="004F1648">
        <w:rPr>
          <w:rFonts w:cs="Times New Roman"/>
          <w:noProof/>
          <w:szCs w:val="24"/>
        </w:rPr>
        <w:t>Tiecher, T., dos Santos, D.R., Calegari, A.: Soil organic phosphorus forms under different soil management systems and winter crops, in a long term experiment. Soil Tillage Res. 124, 57–67 (2012)</w:t>
      </w:r>
    </w:p>
    <w:p w14:paraId="0CF041FA" w14:textId="385551B8" w:rsidR="00C74DB2" w:rsidRPr="00EF75A4" w:rsidRDefault="00DB2078" w:rsidP="00DB2078">
      <w:pPr>
        <w:spacing w:line="360" w:lineRule="auto"/>
        <w:rPr>
          <w:rFonts w:cs="Times New Roman"/>
        </w:rPr>
      </w:pPr>
      <w:r w:rsidRPr="00EF75A4">
        <w:rPr>
          <w:rFonts w:cs="Times New Roman"/>
        </w:rPr>
        <w:fldChar w:fldCharType="end"/>
      </w:r>
    </w:p>
    <w:sectPr w:rsidR="00C74DB2" w:rsidRPr="00EF75A4" w:rsidSect="00F2320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5D1E66" w14:textId="77777777" w:rsidR="00E46501" w:rsidRDefault="00E46501" w:rsidP="00916C5D">
      <w:pPr>
        <w:spacing w:after="0" w:line="240" w:lineRule="auto"/>
      </w:pPr>
      <w:r>
        <w:separator/>
      </w:r>
    </w:p>
  </w:endnote>
  <w:endnote w:type="continuationSeparator" w:id="0">
    <w:p w14:paraId="00994C29" w14:textId="77777777" w:rsidR="00E46501" w:rsidRDefault="00E46501" w:rsidP="0091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8446247"/>
      <w:docPartObj>
        <w:docPartGallery w:val="Page Numbers (Bottom of Page)"/>
        <w:docPartUnique/>
      </w:docPartObj>
    </w:sdtPr>
    <w:sdtEndPr>
      <w:rPr>
        <w:noProof/>
      </w:rPr>
    </w:sdtEndPr>
    <w:sdtContent>
      <w:p w14:paraId="112B39BD" w14:textId="291C058F" w:rsidR="00E46501" w:rsidRDefault="00E46501">
        <w:pPr>
          <w:pStyle w:val="Footer"/>
          <w:jc w:val="right"/>
        </w:pPr>
        <w:r>
          <w:fldChar w:fldCharType="begin"/>
        </w:r>
        <w:r>
          <w:instrText xml:space="preserve"> PAGE   \* MERGEFORMAT </w:instrText>
        </w:r>
        <w:r>
          <w:fldChar w:fldCharType="separate"/>
        </w:r>
        <w:r w:rsidR="00FB1266">
          <w:rPr>
            <w:noProof/>
          </w:rPr>
          <w:t>5</w:t>
        </w:r>
        <w:r>
          <w:rPr>
            <w:noProof/>
          </w:rPr>
          <w:fldChar w:fldCharType="end"/>
        </w:r>
      </w:p>
    </w:sdtContent>
  </w:sdt>
  <w:p w14:paraId="4252C567" w14:textId="77777777" w:rsidR="00E46501" w:rsidRDefault="00E46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667945"/>
      <w:docPartObj>
        <w:docPartGallery w:val="Page Numbers (Bottom of Page)"/>
        <w:docPartUnique/>
      </w:docPartObj>
    </w:sdtPr>
    <w:sdtEndPr>
      <w:rPr>
        <w:noProof/>
      </w:rPr>
    </w:sdtEndPr>
    <w:sdtContent>
      <w:p w14:paraId="6BDA6A15" w14:textId="056B8CD3" w:rsidR="00E46501" w:rsidRDefault="00E46501">
        <w:pPr>
          <w:pStyle w:val="Footer"/>
          <w:jc w:val="right"/>
        </w:pPr>
        <w:r>
          <w:fldChar w:fldCharType="begin"/>
        </w:r>
        <w:r>
          <w:instrText xml:space="preserve"> PAGE   \* MERGEFORMAT </w:instrText>
        </w:r>
        <w:r>
          <w:fldChar w:fldCharType="separate"/>
        </w:r>
        <w:r w:rsidR="00FB1266">
          <w:rPr>
            <w:noProof/>
          </w:rPr>
          <w:t>18</w:t>
        </w:r>
        <w:r>
          <w:rPr>
            <w:noProof/>
          </w:rPr>
          <w:fldChar w:fldCharType="end"/>
        </w:r>
      </w:p>
    </w:sdtContent>
  </w:sdt>
  <w:p w14:paraId="35248BCF" w14:textId="77777777" w:rsidR="00E46501" w:rsidRDefault="00E465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590683" w14:textId="77777777" w:rsidR="00E46501" w:rsidRDefault="00E46501" w:rsidP="00916C5D">
      <w:pPr>
        <w:spacing w:after="0" w:line="240" w:lineRule="auto"/>
      </w:pPr>
      <w:r>
        <w:separator/>
      </w:r>
    </w:p>
  </w:footnote>
  <w:footnote w:type="continuationSeparator" w:id="0">
    <w:p w14:paraId="27B3704F" w14:textId="77777777" w:rsidR="00E46501" w:rsidRDefault="00E46501" w:rsidP="00916C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010A"/>
    <w:multiLevelType w:val="hybridMultilevel"/>
    <w:tmpl w:val="D34C96FC"/>
    <w:lvl w:ilvl="0" w:tplc="A320A058">
      <w:start w:val="10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92C26"/>
    <w:multiLevelType w:val="hybridMultilevel"/>
    <w:tmpl w:val="DAF8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983990"/>
    <w:multiLevelType w:val="hybridMultilevel"/>
    <w:tmpl w:val="7C52D330"/>
    <w:lvl w:ilvl="0" w:tplc="E610B11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5163A5"/>
    <w:multiLevelType w:val="hybridMultilevel"/>
    <w:tmpl w:val="1DB86BB0"/>
    <w:lvl w:ilvl="0" w:tplc="91D2A986">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E17C6E"/>
    <w:multiLevelType w:val="hybridMultilevel"/>
    <w:tmpl w:val="1676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E2346C"/>
    <w:multiLevelType w:val="hybridMultilevel"/>
    <w:tmpl w:val="E0BAEE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4B5F6F"/>
    <w:multiLevelType w:val="hybridMultilevel"/>
    <w:tmpl w:val="599872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3B0611"/>
    <w:multiLevelType w:val="hybridMultilevel"/>
    <w:tmpl w:val="446C79B0"/>
    <w:lvl w:ilvl="0" w:tplc="855A6C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2B4144"/>
    <w:multiLevelType w:val="hybridMultilevel"/>
    <w:tmpl w:val="D7602EDC"/>
    <w:lvl w:ilvl="0" w:tplc="4DD42E98">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E910F2"/>
    <w:multiLevelType w:val="hybridMultilevel"/>
    <w:tmpl w:val="967C8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6502C"/>
    <w:multiLevelType w:val="hybridMultilevel"/>
    <w:tmpl w:val="27368B66"/>
    <w:lvl w:ilvl="0" w:tplc="D242AA12">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731672"/>
    <w:multiLevelType w:val="multilevel"/>
    <w:tmpl w:val="944C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F640CC"/>
    <w:multiLevelType w:val="multilevel"/>
    <w:tmpl w:val="2CA623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vertAlign w:val="baseli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B8E22D3"/>
    <w:multiLevelType w:val="hybridMultilevel"/>
    <w:tmpl w:val="8BBC0C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8A4B48"/>
    <w:multiLevelType w:val="hybridMultilevel"/>
    <w:tmpl w:val="B470A96C"/>
    <w:lvl w:ilvl="0" w:tplc="1D04A39A">
      <w:start w:val="5"/>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4045CF"/>
    <w:multiLevelType w:val="multilevel"/>
    <w:tmpl w:val="80C6AF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1824DB4"/>
    <w:multiLevelType w:val="hybridMultilevel"/>
    <w:tmpl w:val="5A7808B8"/>
    <w:lvl w:ilvl="0" w:tplc="1DA6D810">
      <w:start w:val="3"/>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EB1C0D"/>
    <w:multiLevelType w:val="hybridMultilevel"/>
    <w:tmpl w:val="FBEAFE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9F5B81"/>
    <w:multiLevelType w:val="hybridMultilevel"/>
    <w:tmpl w:val="708879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D4E7E22"/>
    <w:multiLevelType w:val="hybridMultilevel"/>
    <w:tmpl w:val="AA9CA5DA"/>
    <w:lvl w:ilvl="0" w:tplc="EAF8E96E">
      <w:start w:val="9"/>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FE1BF9"/>
    <w:multiLevelType w:val="hybridMultilevel"/>
    <w:tmpl w:val="C4A2F928"/>
    <w:lvl w:ilvl="0" w:tplc="5BCC1F86">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5"/>
  </w:num>
  <w:num w:numId="4">
    <w:abstractNumId w:val="10"/>
  </w:num>
  <w:num w:numId="5">
    <w:abstractNumId w:val="13"/>
  </w:num>
  <w:num w:numId="6">
    <w:abstractNumId w:val="17"/>
  </w:num>
  <w:num w:numId="7">
    <w:abstractNumId w:val="3"/>
  </w:num>
  <w:num w:numId="8">
    <w:abstractNumId w:val="0"/>
  </w:num>
  <w:num w:numId="9">
    <w:abstractNumId w:val="2"/>
  </w:num>
  <w:num w:numId="10">
    <w:abstractNumId w:val="12"/>
  </w:num>
  <w:num w:numId="11">
    <w:abstractNumId w:val="20"/>
  </w:num>
  <w:num w:numId="12">
    <w:abstractNumId w:val="16"/>
  </w:num>
  <w:num w:numId="13">
    <w:abstractNumId w:val="7"/>
  </w:num>
  <w:num w:numId="14">
    <w:abstractNumId w:val="19"/>
  </w:num>
  <w:num w:numId="15">
    <w:abstractNumId w:val="6"/>
  </w:num>
  <w:num w:numId="16">
    <w:abstractNumId w:val="4"/>
  </w:num>
  <w:num w:numId="17">
    <w:abstractNumId w:val="14"/>
  </w:num>
  <w:num w:numId="18">
    <w:abstractNumId w:val="9"/>
  </w:num>
  <w:num w:numId="19">
    <w:abstractNumId w:val="18"/>
  </w:num>
  <w:num w:numId="20">
    <w:abstractNumId w:val="1"/>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s-ES"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GB" w:vendorID="64" w:dllVersion="4096" w:nlCheck="1" w:checkStyle="0"/>
  <w:activeWritingStyle w:appName="MSWord" w:lang="es-ES" w:vendorID="64" w:dllVersion="4096" w:nlCheck="1" w:checkStyle="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18D"/>
    <w:rsid w:val="00000E92"/>
    <w:rsid w:val="00001660"/>
    <w:rsid w:val="00001FF5"/>
    <w:rsid w:val="00002B82"/>
    <w:rsid w:val="0000328F"/>
    <w:rsid w:val="00003EAC"/>
    <w:rsid w:val="000047AB"/>
    <w:rsid w:val="00004A49"/>
    <w:rsid w:val="000055F3"/>
    <w:rsid w:val="00005FB3"/>
    <w:rsid w:val="00010174"/>
    <w:rsid w:val="00010A1F"/>
    <w:rsid w:val="00010E97"/>
    <w:rsid w:val="0001124E"/>
    <w:rsid w:val="00011B61"/>
    <w:rsid w:val="00011E14"/>
    <w:rsid w:val="000134AD"/>
    <w:rsid w:val="00013B73"/>
    <w:rsid w:val="00015254"/>
    <w:rsid w:val="000159B3"/>
    <w:rsid w:val="00015A22"/>
    <w:rsid w:val="00016BAB"/>
    <w:rsid w:val="00017771"/>
    <w:rsid w:val="00017810"/>
    <w:rsid w:val="000179D7"/>
    <w:rsid w:val="0002049A"/>
    <w:rsid w:val="00020650"/>
    <w:rsid w:val="00020DA7"/>
    <w:rsid w:val="00020EB3"/>
    <w:rsid w:val="00021242"/>
    <w:rsid w:val="00022920"/>
    <w:rsid w:val="00022E1D"/>
    <w:rsid w:val="0002325C"/>
    <w:rsid w:val="0002325E"/>
    <w:rsid w:val="00023C25"/>
    <w:rsid w:val="000240A2"/>
    <w:rsid w:val="0002462A"/>
    <w:rsid w:val="0002488A"/>
    <w:rsid w:val="00025060"/>
    <w:rsid w:val="00025A03"/>
    <w:rsid w:val="00025C09"/>
    <w:rsid w:val="00026D80"/>
    <w:rsid w:val="000276F1"/>
    <w:rsid w:val="00027D34"/>
    <w:rsid w:val="00030362"/>
    <w:rsid w:val="0003077F"/>
    <w:rsid w:val="00030C88"/>
    <w:rsid w:val="00030F0C"/>
    <w:rsid w:val="00031F38"/>
    <w:rsid w:val="000322AF"/>
    <w:rsid w:val="00032340"/>
    <w:rsid w:val="00032E1A"/>
    <w:rsid w:val="000336CE"/>
    <w:rsid w:val="00034514"/>
    <w:rsid w:val="00034E43"/>
    <w:rsid w:val="000352C7"/>
    <w:rsid w:val="00035601"/>
    <w:rsid w:val="00035A24"/>
    <w:rsid w:val="00036500"/>
    <w:rsid w:val="000366B4"/>
    <w:rsid w:val="00036CFC"/>
    <w:rsid w:val="00036D00"/>
    <w:rsid w:val="000376E7"/>
    <w:rsid w:val="00040C14"/>
    <w:rsid w:val="00041079"/>
    <w:rsid w:val="00041B38"/>
    <w:rsid w:val="000427A8"/>
    <w:rsid w:val="00042D6C"/>
    <w:rsid w:val="000436F8"/>
    <w:rsid w:val="00043C52"/>
    <w:rsid w:val="00043F6D"/>
    <w:rsid w:val="00044035"/>
    <w:rsid w:val="00044136"/>
    <w:rsid w:val="000443BD"/>
    <w:rsid w:val="00044D5B"/>
    <w:rsid w:val="000455D0"/>
    <w:rsid w:val="000469BB"/>
    <w:rsid w:val="00046A0B"/>
    <w:rsid w:val="00046D86"/>
    <w:rsid w:val="00047506"/>
    <w:rsid w:val="000505CC"/>
    <w:rsid w:val="00050712"/>
    <w:rsid w:val="00050BD4"/>
    <w:rsid w:val="000511B0"/>
    <w:rsid w:val="00051676"/>
    <w:rsid w:val="00051A3B"/>
    <w:rsid w:val="00051D05"/>
    <w:rsid w:val="000520EB"/>
    <w:rsid w:val="000522DD"/>
    <w:rsid w:val="0005235B"/>
    <w:rsid w:val="0005240E"/>
    <w:rsid w:val="00053273"/>
    <w:rsid w:val="0005332F"/>
    <w:rsid w:val="00053C8D"/>
    <w:rsid w:val="00053D96"/>
    <w:rsid w:val="000542D2"/>
    <w:rsid w:val="00054747"/>
    <w:rsid w:val="00054D40"/>
    <w:rsid w:val="00054E6A"/>
    <w:rsid w:val="00054F52"/>
    <w:rsid w:val="00055688"/>
    <w:rsid w:val="000556D8"/>
    <w:rsid w:val="00055711"/>
    <w:rsid w:val="00055A4D"/>
    <w:rsid w:val="00055C6A"/>
    <w:rsid w:val="00055EE9"/>
    <w:rsid w:val="00056868"/>
    <w:rsid w:val="00056B9E"/>
    <w:rsid w:val="0005744C"/>
    <w:rsid w:val="00057780"/>
    <w:rsid w:val="0006015A"/>
    <w:rsid w:val="00060B03"/>
    <w:rsid w:val="00061FC0"/>
    <w:rsid w:val="000621A1"/>
    <w:rsid w:val="00062A84"/>
    <w:rsid w:val="00062F7D"/>
    <w:rsid w:val="00064A4C"/>
    <w:rsid w:val="00065994"/>
    <w:rsid w:val="00065C38"/>
    <w:rsid w:val="00065D71"/>
    <w:rsid w:val="000662CC"/>
    <w:rsid w:val="00066688"/>
    <w:rsid w:val="000669D6"/>
    <w:rsid w:val="00067F11"/>
    <w:rsid w:val="0007044A"/>
    <w:rsid w:val="00070537"/>
    <w:rsid w:val="00070903"/>
    <w:rsid w:val="00070A55"/>
    <w:rsid w:val="00070B7F"/>
    <w:rsid w:val="00070DAE"/>
    <w:rsid w:val="00070F3C"/>
    <w:rsid w:val="00071578"/>
    <w:rsid w:val="0007195A"/>
    <w:rsid w:val="00071F32"/>
    <w:rsid w:val="000720E3"/>
    <w:rsid w:val="000722BF"/>
    <w:rsid w:val="00073880"/>
    <w:rsid w:val="00073AFA"/>
    <w:rsid w:val="00073F58"/>
    <w:rsid w:val="00074AA5"/>
    <w:rsid w:val="0007531E"/>
    <w:rsid w:val="00075D07"/>
    <w:rsid w:val="00076220"/>
    <w:rsid w:val="0007661A"/>
    <w:rsid w:val="00076A94"/>
    <w:rsid w:val="000772FE"/>
    <w:rsid w:val="00077E0E"/>
    <w:rsid w:val="000800E9"/>
    <w:rsid w:val="00080CC3"/>
    <w:rsid w:val="00080D76"/>
    <w:rsid w:val="00082715"/>
    <w:rsid w:val="00082B67"/>
    <w:rsid w:val="00083175"/>
    <w:rsid w:val="0008426F"/>
    <w:rsid w:val="00084EC8"/>
    <w:rsid w:val="00085AA3"/>
    <w:rsid w:val="000862B7"/>
    <w:rsid w:val="0008719F"/>
    <w:rsid w:val="000876F7"/>
    <w:rsid w:val="00087A5D"/>
    <w:rsid w:val="00087AA3"/>
    <w:rsid w:val="000908F5"/>
    <w:rsid w:val="00091259"/>
    <w:rsid w:val="00091370"/>
    <w:rsid w:val="000922DE"/>
    <w:rsid w:val="000928F4"/>
    <w:rsid w:val="00093BC1"/>
    <w:rsid w:val="00093CDC"/>
    <w:rsid w:val="00093FF1"/>
    <w:rsid w:val="0009439E"/>
    <w:rsid w:val="00094E81"/>
    <w:rsid w:val="0009534F"/>
    <w:rsid w:val="000959A7"/>
    <w:rsid w:val="00095DED"/>
    <w:rsid w:val="00096112"/>
    <w:rsid w:val="00096BD9"/>
    <w:rsid w:val="00096D78"/>
    <w:rsid w:val="0009726D"/>
    <w:rsid w:val="000972A4"/>
    <w:rsid w:val="00097433"/>
    <w:rsid w:val="0009767E"/>
    <w:rsid w:val="00097B48"/>
    <w:rsid w:val="000A045A"/>
    <w:rsid w:val="000A05BC"/>
    <w:rsid w:val="000A0CDC"/>
    <w:rsid w:val="000A120D"/>
    <w:rsid w:val="000A152A"/>
    <w:rsid w:val="000A23B7"/>
    <w:rsid w:val="000A2F3D"/>
    <w:rsid w:val="000A3286"/>
    <w:rsid w:val="000A4607"/>
    <w:rsid w:val="000A5098"/>
    <w:rsid w:val="000A6836"/>
    <w:rsid w:val="000A73A0"/>
    <w:rsid w:val="000B0F4D"/>
    <w:rsid w:val="000B1512"/>
    <w:rsid w:val="000B1892"/>
    <w:rsid w:val="000B20B5"/>
    <w:rsid w:val="000B24F7"/>
    <w:rsid w:val="000B2E26"/>
    <w:rsid w:val="000B389C"/>
    <w:rsid w:val="000B3F74"/>
    <w:rsid w:val="000B41FF"/>
    <w:rsid w:val="000B42EF"/>
    <w:rsid w:val="000B436D"/>
    <w:rsid w:val="000B44B1"/>
    <w:rsid w:val="000B4DD5"/>
    <w:rsid w:val="000B69CA"/>
    <w:rsid w:val="000B6C85"/>
    <w:rsid w:val="000B6FBA"/>
    <w:rsid w:val="000B737C"/>
    <w:rsid w:val="000B779F"/>
    <w:rsid w:val="000B7D4C"/>
    <w:rsid w:val="000C2F30"/>
    <w:rsid w:val="000C3321"/>
    <w:rsid w:val="000C35B3"/>
    <w:rsid w:val="000C3A25"/>
    <w:rsid w:val="000C4414"/>
    <w:rsid w:val="000C46FC"/>
    <w:rsid w:val="000C58C2"/>
    <w:rsid w:val="000C5C15"/>
    <w:rsid w:val="000C6B9A"/>
    <w:rsid w:val="000C6D4B"/>
    <w:rsid w:val="000C6DAB"/>
    <w:rsid w:val="000C72B6"/>
    <w:rsid w:val="000C7F73"/>
    <w:rsid w:val="000C7FD1"/>
    <w:rsid w:val="000D06C2"/>
    <w:rsid w:val="000D0BD2"/>
    <w:rsid w:val="000D0D76"/>
    <w:rsid w:val="000D0DB2"/>
    <w:rsid w:val="000D0E0E"/>
    <w:rsid w:val="000D1148"/>
    <w:rsid w:val="000D1A6E"/>
    <w:rsid w:val="000D1D9C"/>
    <w:rsid w:val="000D3434"/>
    <w:rsid w:val="000D37DB"/>
    <w:rsid w:val="000D3A86"/>
    <w:rsid w:val="000D4564"/>
    <w:rsid w:val="000D4783"/>
    <w:rsid w:val="000D487C"/>
    <w:rsid w:val="000D4F02"/>
    <w:rsid w:val="000D5F46"/>
    <w:rsid w:val="000D629A"/>
    <w:rsid w:val="000D6D6D"/>
    <w:rsid w:val="000D6FA0"/>
    <w:rsid w:val="000D712E"/>
    <w:rsid w:val="000D7975"/>
    <w:rsid w:val="000D7D5F"/>
    <w:rsid w:val="000D7E1C"/>
    <w:rsid w:val="000D7E60"/>
    <w:rsid w:val="000E06BE"/>
    <w:rsid w:val="000E07CE"/>
    <w:rsid w:val="000E1123"/>
    <w:rsid w:val="000E1CA9"/>
    <w:rsid w:val="000E2067"/>
    <w:rsid w:val="000E25C4"/>
    <w:rsid w:val="000E35D4"/>
    <w:rsid w:val="000E3611"/>
    <w:rsid w:val="000E3D3B"/>
    <w:rsid w:val="000E3E13"/>
    <w:rsid w:val="000E498B"/>
    <w:rsid w:val="000E4C88"/>
    <w:rsid w:val="000E53DD"/>
    <w:rsid w:val="000E53E9"/>
    <w:rsid w:val="000E53F4"/>
    <w:rsid w:val="000E5834"/>
    <w:rsid w:val="000E5AD6"/>
    <w:rsid w:val="000E648D"/>
    <w:rsid w:val="000E67AA"/>
    <w:rsid w:val="000E742D"/>
    <w:rsid w:val="000E7A5A"/>
    <w:rsid w:val="000F00E5"/>
    <w:rsid w:val="000F11E1"/>
    <w:rsid w:val="000F1403"/>
    <w:rsid w:val="000F19E1"/>
    <w:rsid w:val="000F22AA"/>
    <w:rsid w:val="000F334B"/>
    <w:rsid w:val="000F39CF"/>
    <w:rsid w:val="000F3BBC"/>
    <w:rsid w:val="000F4A15"/>
    <w:rsid w:val="000F4B5E"/>
    <w:rsid w:val="000F6057"/>
    <w:rsid w:val="000F6323"/>
    <w:rsid w:val="000F750B"/>
    <w:rsid w:val="000F7E75"/>
    <w:rsid w:val="00100225"/>
    <w:rsid w:val="001002DC"/>
    <w:rsid w:val="0010056B"/>
    <w:rsid w:val="00100C7F"/>
    <w:rsid w:val="00100EC8"/>
    <w:rsid w:val="0010114F"/>
    <w:rsid w:val="001014C6"/>
    <w:rsid w:val="00101CB1"/>
    <w:rsid w:val="00101CC7"/>
    <w:rsid w:val="00102611"/>
    <w:rsid w:val="00102835"/>
    <w:rsid w:val="0010286F"/>
    <w:rsid w:val="00102DB6"/>
    <w:rsid w:val="001034FE"/>
    <w:rsid w:val="001036E3"/>
    <w:rsid w:val="00103DB3"/>
    <w:rsid w:val="00103E61"/>
    <w:rsid w:val="00103FB5"/>
    <w:rsid w:val="001050B8"/>
    <w:rsid w:val="0010696F"/>
    <w:rsid w:val="001079A4"/>
    <w:rsid w:val="00107AD4"/>
    <w:rsid w:val="00107CC9"/>
    <w:rsid w:val="001100EB"/>
    <w:rsid w:val="001103AD"/>
    <w:rsid w:val="00111E68"/>
    <w:rsid w:val="00112074"/>
    <w:rsid w:val="00112717"/>
    <w:rsid w:val="0011293E"/>
    <w:rsid w:val="00112F9B"/>
    <w:rsid w:val="0011379E"/>
    <w:rsid w:val="001137A3"/>
    <w:rsid w:val="001143F5"/>
    <w:rsid w:val="001147F4"/>
    <w:rsid w:val="001150D9"/>
    <w:rsid w:val="001161E9"/>
    <w:rsid w:val="0011639A"/>
    <w:rsid w:val="00116903"/>
    <w:rsid w:val="00117B2A"/>
    <w:rsid w:val="00117FD1"/>
    <w:rsid w:val="0012058C"/>
    <w:rsid w:val="0012078C"/>
    <w:rsid w:val="00120952"/>
    <w:rsid w:val="00120D0A"/>
    <w:rsid w:val="001219BE"/>
    <w:rsid w:val="00121D50"/>
    <w:rsid w:val="00122719"/>
    <w:rsid w:val="00123DFA"/>
    <w:rsid w:val="001249B6"/>
    <w:rsid w:val="00124BDA"/>
    <w:rsid w:val="001268F7"/>
    <w:rsid w:val="00126AD9"/>
    <w:rsid w:val="00130E3E"/>
    <w:rsid w:val="0013121A"/>
    <w:rsid w:val="00131FFD"/>
    <w:rsid w:val="00132180"/>
    <w:rsid w:val="00132968"/>
    <w:rsid w:val="00132F54"/>
    <w:rsid w:val="001331A1"/>
    <w:rsid w:val="0013330E"/>
    <w:rsid w:val="00134F06"/>
    <w:rsid w:val="00135EF4"/>
    <w:rsid w:val="0013601F"/>
    <w:rsid w:val="001363AA"/>
    <w:rsid w:val="0013650D"/>
    <w:rsid w:val="00136E9A"/>
    <w:rsid w:val="001372A9"/>
    <w:rsid w:val="0013732A"/>
    <w:rsid w:val="00137415"/>
    <w:rsid w:val="0013752B"/>
    <w:rsid w:val="00137A04"/>
    <w:rsid w:val="00137D2E"/>
    <w:rsid w:val="00140362"/>
    <w:rsid w:val="00140897"/>
    <w:rsid w:val="00141103"/>
    <w:rsid w:val="001412BC"/>
    <w:rsid w:val="00141362"/>
    <w:rsid w:val="00142A8C"/>
    <w:rsid w:val="00142E9C"/>
    <w:rsid w:val="00143621"/>
    <w:rsid w:val="001436AB"/>
    <w:rsid w:val="001439E4"/>
    <w:rsid w:val="00143CBB"/>
    <w:rsid w:val="00143D5D"/>
    <w:rsid w:val="00144C93"/>
    <w:rsid w:val="00144F78"/>
    <w:rsid w:val="0014509C"/>
    <w:rsid w:val="00145169"/>
    <w:rsid w:val="0014521E"/>
    <w:rsid w:val="0014583B"/>
    <w:rsid w:val="00146594"/>
    <w:rsid w:val="0014692F"/>
    <w:rsid w:val="00150286"/>
    <w:rsid w:val="00152AAF"/>
    <w:rsid w:val="00152B3D"/>
    <w:rsid w:val="00152D39"/>
    <w:rsid w:val="001556F6"/>
    <w:rsid w:val="001562A9"/>
    <w:rsid w:val="001562F7"/>
    <w:rsid w:val="001563B7"/>
    <w:rsid w:val="001563BD"/>
    <w:rsid w:val="00156C59"/>
    <w:rsid w:val="0015748B"/>
    <w:rsid w:val="00160465"/>
    <w:rsid w:val="00160849"/>
    <w:rsid w:val="00160D1A"/>
    <w:rsid w:val="00160DF4"/>
    <w:rsid w:val="001610D3"/>
    <w:rsid w:val="001613E4"/>
    <w:rsid w:val="00161501"/>
    <w:rsid w:val="00161617"/>
    <w:rsid w:val="00161753"/>
    <w:rsid w:val="001617E3"/>
    <w:rsid w:val="00161C73"/>
    <w:rsid w:val="001623B9"/>
    <w:rsid w:val="00162D28"/>
    <w:rsid w:val="00163199"/>
    <w:rsid w:val="00164227"/>
    <w:rsid w:val="001646E5"/>
    <w:rsid w:val="001649BB"/>
    <w:rsid w:val="00165163"/>
    <w:rsid w:val="001651F6"/>
    <w:rsid w:val="00165A65"/>
    <w:rsid w:val="001664E0"/>
    <w:rsid w:val="0016681B"/>
    <w:rsid w:val="00166B0C"/>
    <w:rsid w:val="00166B4F"/>
    <w:rsid w:val="0016755F"/>
    <w:rsid w:val="001676E9"/>
    <w:rsid w:val="00167B5E"/>
    <w:rsid w:val="00167B6D"/>
    <w:rsid w:val="0017010F"/>
    <w:rsid w:val="001701A9"/>
    <w:rsid w:val="00170346"/>
    <w:rsid w:val="001705F8"/>
    <w:rsid w:val="001709D9"/>
    <w:rsid w:val="00170B9B"/>
    <w:rsid w:val="00170F3E"/>
    <w:rsid w:val="001710EF"/>
    <w:rsid w:val="00171732"/>
    <w:rsid w:val="00172A0E"/>
    <w:rsid w:val="00173895"/>
    <w:rsid w:val="00173BBE"/>
    <w:rsid w:val="00175476"/>
    <w:rsid w:val="00175498"/>
    <w:rsid w:val="00175829"/>
    <w:rsid w:val="001759FE"/>
    <w:rsid w:val="00175A8D"/>
    <w:rsid w:val="00175C9E"/>
    <w:rsid w:val="00175CA8"/>
    <w:rsid w:val="00175D17"/>
    <w:rsid w:val="0017626D"/>
    <w:rsid w:val="00176418"/>
    <w:rsid w:val="00176AD2"/>
    <w:rsid w:val="00176BAF"/>
    <w:rsid w:val="00177B32"/>
    <w:rsid w:val="0018031A"/>
    <w:rsid w:val="00180667"/>
    <w:rsid w:val="00180893"/>
    <w:rsid w:val="001814F2"/>
    <w:rsid w:val="001820B9"/>
    <w:rsid w:val="001828B0"/>
    <w:rsid w:val="00183C1C"/>
    <w:rsid w:val="00183E85"/>
    <w:rsid w:val="00184A4B"/>
    <w:rsid w:val="00185014"/>
    <w:rsid w:val="00185B36"/>
    <w:rsid w:val="00185C03"/>
    <w:rsid w:val="00186181"/>
    <w:rsid w:val="00186708"/>
    <w:rsid w:val="00187A68"/>
    <w:rsid w:val="001903D5"/>
    <w:rsid w:val="001913BB"/>
    <w:rsid w:val="0019201C"/>
    <w:rsid w:val="001921CB"/>
    <w:rsid w:val="00192F7D"/>
    <w:rsid w:val="001938AB"/>
    <w:rsid w:val="00193B3F"/>
    <w:rsid w:val="00194F87"/>
    <w:rsid w:val="0019614B"/>
    <w:rsid w:val="00197B86"/>
    <w:rsid w:val="001A01EA"/>
    <w:rsid w:val="001A03AE"/>
    <w:rsid w:val="001A071D"/>
    <w:rsid w:val="001A0868"/>
    <w:rsid w:val="001A1875"/>
    <w:rsid w:val="001A1BE5"/>
    <w:rsid w:val="001A30D5"/>
    <w:rsid w:val="001A355C"/>
    <w:rsid w:val="001A39F8"/>
    <w:rsid w:val="001A4474"/>
    <w:rsid w:val="001A4822"/>
    <w:rsid w:val="001A506C"/>
    <w:rsid w:val="001A5350"/>
    <w:rsid w:val="001A6C85"/>
    <w:rsid w:val="001A7B37"/>
    <w:rsid w:val="001B1493"/>
    <w:rsid w:val="001B1BDD"/>
    <w:rsid w:val="001B1EEF"/>
    <w:rsid w:val="001B1F45"/>
    <w:rsid w:val="001B39BD"/>
    <w:rsid w:val="001B3BF2"/>
    <w:rsid w:val="001B3CDB"/>
    <w:rsid w:val="001B3F50"/>
    <w:rsid w:val="001B432A"/>
    <w:rsid w:val="001B43F1"/>
    <w:rsid w:val="001B4E54"/>
    <w:rsid w:val="001B57EC"/>
    <w:rsid w:val="001B619B"/>
    <w:rsid w:val="001B68F5"/>
    <w:rsid w:val="001B77FD"/>
    <w:rsid w:val="001C0B68"/>
    <w:rsid w:val="001C0D71"/>
    <w:rsid w:val="001C1ABD"/>
    <w:rsid w:val="001C1CE4"/>
    <w:rsid w:val="001C2195"/>
    <w:rsid w:val="001C24DC"/>
    <w:rsid w:val="001C2805"/>
    <w:rsid w:val="001C33B5"/>
    <w:rsid w:val="001C3F34"/>
    <w:rsid w:val="001C64E0"/>
    <w:rsid w:val="001C6A76"/>
    <w:rsid w:val="001C75B6"/>
    <w:rsid w:val="001D0326"/>
    <w:rsid w:val="001D06B3"/>
    <w:rsid w:val="001D0D87"/>
    <w:rsid w:val="001D11CF"/>
    <w:rsid w:val="001D1CC0"/>
    <w:rsid w:val="001D1DF9"/>
    <w:rsid w:val="001D4108"/>
    <w:rsid w:val="001D451C"/>
    <w:rsid w:val="001D5FBC"/>
    <w:rsid w:val="001D627A"/>
    <w:rsid w:val="001D6456"/>
    <w:rsid w:val="001D64DA"/>
    <w:rsid w:val="001D739B"/>
    <w:rsid w:val="001D7887"/>
    <w:rsid w:val="001D7D59"/>
    <w:rsid w:val="001D7FBE"/>
    <w:rsid w:val="001E0E3D"/>
    <w:rsid w:val="001E11EF"/>
    <w:rsid w:val="001E2A3C"/>
    <w:rsid w:val="001E2D15"/>
    <w:rsid w:val="001E301A"/>
    <w:rsid w:val="001E3AF5"/>
    <w:rsid w:val="001E428E"/>
    <w:rsid w:val="001E456F"/>
    <w:rsid w:val="001E52B3"/>
    <w:rsid w:val="001E5B10"/>
    <w:rsid w:val="001E5B52"/>
    <w:rsid w:val="001E5CB7"/>
    <w:rsid w:val="001E61AB"/>
    <w:rsid w:val="001E65AB"/>
    <w:rsid w:val="001E6D77"/>
    <w:rsid w:val="001E70E0"/>
    <w:rsid w:val="001E7475"/>
    <w:rsid w:val="001F1151"/>
    <w:rsid w:val="001F1408"/>
    <w:rsid w:val="001F1CC7"/>
    <w:rsid w:val="001F1F25"/>
    <w:rsid w:val="001F3DD0"/>
    <w:rsid w:val="001F3FF6"/>
    <w:rsid w:val="001F4465"/>
    <w:rsid w:val="001F4734"/>
    <w:rsid w:val="001F4AF3"/>
    <w:rsid w:val="001F50C6"/>
    <w:rsid w:val="001F5F10"/>
    <w:rsid w:val="001F6864"/>
    <w:rsid w:val="001F6D30"/>
    <w:rsid w:val="0020013E"/>
    <w:rsid w:val="00200C57"/>
    <w:rsid w:val="00200CB2"/>
    <w:rsid w:val="002024CA"/>
    <w:rsid w:val="00202AE5"/>
    <w:rsid w:val="00202BC5"/>
    <w:rsid w:val="00203263"/>
    <w:rsid w:val="00204994"/>
    <w:rsid w:val="00205145"/>
    <w:rsid w:val="00205AA9"/>
    <w:rsid w:val="002062EF"/>
    <w:rsid w:val="0020635C"/>
    <w:rsid w:val="00206488"/>
    <w:rsid w:val="0020669C"/>
    <w:rsid w:val="002071B7"/>
    <w:rsid w:val="002104FA"/>
    <w:rsid w:val="00210683"/>
    <w:rsid w:val="00211040"/>
    <w:rsid w:val="0021142F"/>
    <w:rsid w:val="00211B96"/>
    <w:rsid w:val="0021294E"/>
    <w:rsid w:val="00212A70"/>
    <w:rsid w:val="00212C95"/>
    <w:rsid w:val="00214A85"/>
    <w:rsid w:val="00216F1D"/>
    <w:rsid w:val="00216F44"/>
    <w:rsid w:val="00221BDC"/>
    <w:rsid w:val="00221D69"/>
    <w:rsid w:val="00221F7B"/>
    <w:rsid w:val="0022226B"/>
    <w:rsid w:val="002226B6"/>
    <w:rsid w:val="00222EC7"/>
    <w:rsid w:val="002233D5"/>
    <w:rsid w:val="00224898"/>
    <w:rsid w:val="00224924"/>
    <w:rsid w:val="00224FD5"/>
    <w:rsid w:val="002257C2"/>
    <w:rsid w:val="00227A2B"/>
    <w:rsid w:val="00230EE8"/>
    <w:rsid w:val="002314A5"/>
    <w:rsid w:val="00231851"/>
    <w:rsid w:val="00233223"/>
    <w:rsid w:val="00233406"/>
    <w:rsid w:val="00233737"/>
    <w:rsid w:val="00233927"/>
    <w:rsid w:val="00233B9D"/>
    <w:rsid w:val="00233BEF"/>
    <w:rsid w:val="00233E02"/>
    <w:rsid w:val="0023432E"/>
    <w:rsid w:val="00234935"/>
    <w:rsid w:val="00234F98"/>
    <w:rsid w:val="00235476"/>
    <w:rsid w:val="0023590B"/>
    <w:rsid w:val="002364B5"/>
    <w:rsid w:val="0023659C"/>
    <w:rsid w:val="0023697C"/>
    <w:rsid w:val="00236CF8"/>
    <w:rsid w:val="00237986"/>
    <w:rsid w:val="00237E5B"/>
    <w:rsid w:val="0024036A"/>
    <w:rsid w:val="0024097B"/>
    <w:rsid w:val="00240FE4"/>
    <w:rsid w:val="00241D70"/>
    <w:rsid w:val="002422BF"/>
    <w:rsid w:val="00242688"/>
    <w:rsid w:val="00243A71"/>
    <w:rsid w:val="00243CB1"/>
    <w:rsid w:val="00244141"/>
    <w:rsid w:val="0024452A"/>
    <w:rsid w:val="0024478C"/>
    <w:rsid w:val="00245BFA"/>
    <w:rsid w:val="00246391"/>
    <w:rsid w:val="00246A96"/>
    <w:rsid w:val="00246F47"/>
    <w:rsid w:val="002478DB"/>
    <w:rsid w:val="00247AE3"/>
    <w:rsid w:val="002503A6"/>
    <w:rsid w:val="00250FA7"/>
    <w:rsid w:val="002516AD"/>
    <w:rsid w:val="00251E5A"/>
    <w:rsid w:val="00251F54"/>
    <w:rsid w:val="00252818"/>
    <w:rsid w:val="00252C35"/>
    <w:rsid w:val="00253146"/>
    <w:rsid w:val="0025314D"/>
    <w:rsid w:val="002537BD"/>
    <w:rsid w:val="00253919"/>
    <w:rsid w:val="002544A3"/>
    <w:rsid w:val="00255057"/>
    <w:rsid w:val="0025523E"/>
    <w:rsid w:val="00255AEE"/>
    <w:rsid w:val="00255C0E"/>
    <w:rsid w:val="00255E09"/>
    <w:rsid w:val="00256166"/>
    <w:rsid w:val="00256516"/>
    <w:rsid w:val="00256AE2"/>
    <w:rsid w:val="00256C07"/>
    <w:rsid w:val="0025781D"/>
    <w:rsid w:val="002604AB"/>
    <w:rsid w:val="002605B1"/>
    <w:rsid w:val="00260D4B"/>
    <w:rsid w:val="0026168A"/>
    <w:rsid w:val="00261ED1"/>
    <w:rsid w:val="002624BC"/>
    <w:rsid w:val="00262E48"/>
    <w:rsid w:val="00263A61"/>
    <w:rsid w:val="002648F2"/>
    <w:rsid w:val="00265AE4"/>
    <w:rsid w:val="00265B58"/>
    <w:rsid w:val="00265BD7"/>
    <w:rsid w:val="00266019"/>
    <w:rsid w:val="00266F72"/>
    <w:rsid w:val="0026702A"/>
    <w:rsid w:val="0026714B"/>
    <w:rsid w:val="00267E99"/>
    <w:rsid w:val="00270620"/>
    <w:rsid w:val="002707FD"/>
    <w:rsid w:val="002708FA"/>
    <w:rsid w:val="00270FB5"/>
    <w:rsid w:val="00271132"/>
    <w:rsid w:val="0027185D"/>
    <w:rsid w:val="00271C1D"/>
    <w:rsid w:val="00272761"/>
    <w:rsid w:val="0027297E"/>
    <w:rsid w:val="00272A3B"/>
    <w:rsid w:val="002741A2"/>
    <w:rsid w:val="00274334"/>
    <w:rsid w:val="0027443B"/>
    <w:rsid w:val="00274FD4"/>
    <w:rsid w:val="002751FC"/>
    <w:rsid w:val="0027532A"/>
    <w:rsid w:val="00275385"/>
    <w:rsid w:val="00275D66"/>
    <w:rsid w:val="002768EE"/>
    <w:rsid w:val="00276C67"/>
    <w:rsid w:val="00277626"/>
    <w:rsid w:val="00277DBF"/>
    <w:rsid w:val="002809E3"/>
    <w:rsid w:val="00280B49"/>
    <w:rsid w:val="00280F19"/>
    <w:rsid w:val="00281F26"/>
    <w:rsid w:val="00283209"/>
    <w:rsid w:val="0028322F"/>
    <w:rsid w:val="00283279"/>
    <w:rsid w:val="00283607"/>
    <w:rsid w:val="00284B79"/>
    <w:rsid w:val="00284BBB"/>
    <w:rsid w:val="00284DCB"/>
    <w:rsid w:val="00285452"/>
    <w:rsid w:val="002870F0"/>
    <w:rsid w:val="0028717B"/>
    <w:rsid w:val="00290871"/>
    <w:rsid w:val="00290F9C"/>
    <w:rsid w:val="002918E0"/>
    <w:rsid w:val="00291AFA"/>
    <w:rsid w:val="00291D0F"/>
    <w:rsid w:val="002930E4"/>
    <w:rsid w:val="00293362"/>
    <w:rsid w:val="002939E3"/>
    <w:rsid w:val="0029608E"/>
    <w:rsid w:val="002A0C49"/>
    <w:rsid w:val="002A0F9B"/>
    <w:rsid w:val="002A115E"/>
    <w:rsid w:val="002A2BC2"/>
    <w:rsid w:val="002A302A"/>
    <w:rsid w:val="002A307F"/>
    <w:rsid w:val="002A3D54"/>
    <w:rsid w:val="002A4C01"/>
    <w:rsid w:val="002A5980"/>
    <w:rsid w:val="002A5B45"/>
    <w:rsid w:val="002A653E"/>
    <w:rsid w:val="002A68AA"/>
    <w:rsid w:val="002A699E"/>
    <w:rsid w:val="002A6C54"/>
    <w:rsid w:val="002A6DE9"/>
    <w:rsid w:val="002B0296"/>
    <w:rsid w:val="002B0C42"/>
    <w:rsid w:val="002B1080"/>
    <w:rsid w:val="002B1342"/>
    <w:rsid w:val="002B15CC"/>
    <w:rsid w:val="002B33C6"/>
    <w:rsid w:val="002B3B08"/>
    <w:rsid w:val="002B4DB5"/>
    <w:rsid w:val="002B5003"/>
    <w:rsid w:val="002B58E6"/>
    <w:rsid w:val="002B5C92"/>
    <w:rsid w:val="002B5CAA"/>
    <w:rsid w:val="002B66E5"/>
    <w:rsid w:val="002B7700"/>
    <w:rsid w:val="002B78A5"/>
    <w:rsid w:val="002C0621"/>
    <w:rsid w:val="002C067C"/>
    <w:rsid w:val="002C24E4"/>
    <w:rsid w:val="002C2D7C"/>
    <w:rsid w:val="002C3228"/>
    <w:rsid w:val="002C3A71"/>
    <w:rsid w:val="002C4AA7"/>
    <w:rsid w:val="002C5021"/>
    <w:rsid w:val="002C6139"/>
    <w:rsid w:val="002C631D"/>
    <w:rsid w:val="002C64C6"/>
    <w:rsid w:val="002C6CBB"/>
    <w:rsid w:val="002C7067"/>
    <w:rsid w:val="002C7ADE"/>
    <w:rsid w:val="002C7C39"/>
    <w:rsid w:val="002D0ACC"/>
    <w:rsid w:val="002D1C4D"/>
    <w:rsid w:val="002D1FE8"/>
    <w:rsid w:val="002D2A5A"/>
    <w:rsid w:val="002D2EB0"/>
    <w:rsid w:val="002D34AF"/>
    <w:rsid w:val="002D3564"/>
    <w:rsid w:val="002D3CC0"/>
    <w:rsid w:val="002D3CD4"/>
    <w:rsid w:val="002D41CA"/>
    <w:rsid w:val="002D44F1"/>
    <w:rsid w:val="002D4D4E"/>
    <w:rsid w:val="002D4E12"/>
    <w:rsid w:val="002D4E2D"/>
    <w:rsid w:val="002D52B0"/>
    <w:rsid w:val="002D5502"/>
    <w:rsid w:val="002D5DD3"/>
    <w:rsid w:val="002D68F4"/>
    <w:rsid w:val="002D6922"/>
    <w:rsid w:val="002D7D38"/>
    <w:rsid w:val="002D7EBF"/>
    <w:rsid w:val="002E03AD"/>
    <w:rsid w:val="002E04A7"/>
    <w:rsid w:val="002E089B"/>
    <w:rsid w:val="002E09DD"/>
    <w:rsid w:val="002E0C0F"/>
    <w:rsid w:val="002E0DFD"/>
    <w:rsid w:val="002E0F38"/>
    <w:rsid w:val="002E16B4"/>
    <w:rsid w:val="002E191E"/>
    <w:rsid w:val="002E3934"/>
    <w:rsid w:val="002E52EF"/>
    <w:rsid w:val="002E605C"/>
    <w:rsid w:val="002E6B0B"/>
    <w:rsid w:val="002E6B51"/>
    <w:rsid w:val="002E7272"/>
    <w:rsid w:val="002F0949"/>
    <w:rsid w:val="002F0FCD"/>
    <w:rsid w:val="002F148A"/>
    <w:rsid w:val="002F22BB"/>
    <w:rsid w:val="002F3085"/>
    <w:rsid w:val="002F33D9"/>
    <w:rsid w:val="002F3FDE"/>
    <w:rsid w:val="002F52EE"/>
    <w:rsid w:val="002F535A"/>
    <w:rsid w:val="002F56B4"/>
    <w:rsid w:val="002F5EE6"/>
    <w:rsid w:val="002F7E34"/>
    <w:rsid w:val="00300318"/>
    <w:rsid w:val="00300F23"/>
    <w:rsid w:val="00301415"/>
    <w:rsid w:val="0030192F"/>
    <w:rsid w:val="00301966"/>
    <w:rsid w:val="00302936"/>
    <w:rsid w:val="003040ED"/>
    <w:rsid w:val="0030417C"/>
    <w:rsid w:val="003049E1"/>
    <w:rsid w:val="00304FF1"/>
    <w:rsid w:val="0030508D"/>
    <w:rsid w:val="00305E83"/>
    <w:rsid w:val="00306003"/>
    <w:rsid w:val="0030614D"/>
    <w:rsid w:val="00306A8C"/>
    <w:rsid w:val="00306FEB"/>
    <w:rsid w:val="003073F0"/>
    <w:rsid w:val="00307E6E"/>
    <w:rsid w:val="00310129"/>
    <w:rsid w:val="00311402"/>
    <w:rsid w:val="0031182E"/>
    <w:rsid w:val="00311BAA"/>
    <w:rsid w:val="00311D86"/>
    <w:rsid w:val="00311F0F"/>
    <w:rsid w:val="00312083"/>
    <w:rsid w:val="0031296B"/>
    <w:rsid w:val="0031313E"/>
    <w:rsid w:val="003132D1"/>
    <w:rsid w:val="00313BAD"/>
    <w:rsid w:val="00313D29"/>
    <w:rsid w:val="003140BE"/>
    <w:rsid w:val="003141DA"/>
    <w:rsid w:val="003145D6"/>
    <w:rsid w:val="003149B0"/>
    <w:rsid w:val="003159A7"/>
    <w:rsid w:val="003160EC"/>
    <w:rsid w:val="00316A83"/>
    <w:rsid w:val="00317516"/>
    <w:rsid w:val="003178D2"/>
    <w:rsid w:val="00317E0C"/>
    <w:rsid w:val="00320488"/>
    <w:rsid w:val="003212F8"/>
    <w:rsid w:val="00321B13"/>
    <w:rsid w:val="00322E90"/>
    <w:rsid w:val="00322E94"/>
    <w:rsid w:val="003237A0"/>
    <w:rsid w:val="003249E9"/>
    <w:rsid w:val="00325CB4"/>
    <w:rsid w:val="00326A34"/>
    <w:rsid w:val="0032771E"/>
    <w:rsid w:val="00327C1F"/>
    <w:rsid w:val="0033016D"/>
    <w:rsid w:val="0033179B"/>
    <w:rsid w:val="00331D99"/>
    <w:rsid w:val="00331F48"/>
    <w:rsid w:val="00332964"/>
    <w:rsid w:val="00332A69"/>
    <w:rsid w:val="003331FA"/>
    <w:rsid w:val="0033345E"/>
    <w:rsid w:val="00333517"/>
    <w:rsid w:val="00333799"/>
    <w:rsid w:val="003348B2"/>
    <w:rsid w:val="00334D23"/>
    <w:rsid w:val="0033523C"/>
    <w:rsid w:val="00335568"/>
    <w:rsid w:val="0033595A"/>
    <w:rsid w:val="0033653A"/>
    <w:rsid w:val="00337794"/>
    <w:rsid w:val="00337B52"/>
    <w:rsid w:val="00340773"/>
    <w:rsid w:val="00340FF3"/>
    <w:rsid w:val="003414B5"/>
    <w:rsid w:val="00341538"/>
    <w:rsid w:val="00343099"/>
    <w:rsid w:val="00343243"/>
    <w:rsid w:val="003435F3"/>
    <w:rsid w:val="00343A93"/>
    <w:rsid w:val="003441FA"/>
    <w:rsid w:val="0034491A"/>
    <w:rsid w:val="00344E39"/>
    <w:rsid w:val="00345134"/>
    <w:rsid w:val="0034594F"/>
    <w:rsid w:val="00347064"/>
    <w:rsid w:val="00347F98"/>
    <w:rsid w:val="003504A9"/>
    <w:rsid w:val="003504DC"/>
    <w:rsid w:val="00350900"/>
    <w:rsid w:val="00350A32"/>
    <w:rsid w:val="00351019"/>
    <w:rsid w:val="00351ACF"/>
    <w:rsid w:val="00352987"/>
    <w:rsid w:val="00352E9E"/>
    <w:rsid w:val="00353057"/>
    <w:rsid w:val="00353178"/>
    <w:rsid w:val="0035421E"/>
    <w:rsid w:val="003547D1"/>
    <w:rsid w:val="003549D7"/>
    <w:rsid w:val="00355E85"/>
    <w:rsid w:val="00356791"/>
    <w:rsid w:val="00356F00"/>
    <w:rsid w:val="00357EE9"/>
    <w:rsid w:val="00360066"/>
    <w:rsid w:val="00360752"/>
    <w:rsid w:val="00360D72"/>
    <w:rsid w:val="003627FA"/>
    <w:rsid w:val="003639A3"/>
    <w:rsid w:val="00363BAD"/>
    <w:rsid w:val="00364A73"/>
    <w:rsid w:val="00364D63"/>
    <w:rsid w:val="003653E6"/>
    <w:rsid w:val="00365DD2"/>
    <w:rsid w:val="00366364"/>
    <w:rsid w:val="00366E8E"/>
    <w:rsid w:val="0037080C"/>
    <w:rsid w:val="0037192D"/>
    <w:rsid w:val="00371E43"/>
    <w:rsid w:val="00372255"/>
    <w:rsid w:val="00373045"/>
    <w:rsid w:val="0037334F"/>
    <w:rsid w:val="00374520"/>
    <w:rsid w:val="0037467E"/>
    <w:rsid w:val="00374843"/>
    <w:rsid w:val="00374CE6"/>
    <w:rsid w:val="00374D07"/>
    <w:rsid w:val="003751DF"/>
    <w:rsid w:val="0037553B"/>
    <w:rsid w:val="003764A7"/>
    <w:rsid w:val="0038011F"/>
    <w:rsid w:val="003801CE"/>
    <w:rsid w:val="0038095D"/>
    <w:rsid w:val="00380B8D"/>
    <w:rsid w:val="00380BE9"/>
    <w:rsid w:val="003816E8"/>
    <w:rsid w:val="00381CA6"/>
    <w:rsid w:val="00381D21"/>
    <w:rsid w:val="003827A0"/>
    <w:rsid w:val="003839CC"/>
    <w:rsid w:val="00383D12"/>
    <w:rsid w:val="00383EAE"/>
    <w:rsid w:val="00384017"/>
    <w:rsid w:val="003841F1"/>
    <w:rsid w:val="00384568"/>
    <w:rsid w:val="00385253"/>
    <w:rsid w:val="003858A3"/>
    <w:rsid w:val="00385960"/>
    <w:rsid w:val="003870D4"/>
    <w:rsid w:val="003873DB"/>
    <w:rsid w:val="00390350"/>
    <w:rsid w:val="00390CCC"/>
    <w:rsid w:val="00391208"/>
    <w:rsid w:val="00391A5A"/>
    <w:rsid w:val="00392063"/>
    <w:rsid w:val="003922B3"/>
    <w:rsid w:val="00392936"/>
    <w:rsid w:val="00392FB0"/>
    <w:rsid w:val="00393203"/>
    <w:rsid w:val="00394257"/>
    <w:rsid w:val="00394CB5"/>
    <w:rsid w:val="00395309"/>
    <w:rsid w:val="0039538D"/>
    <w:rsid w:val="00395927"/>
    <w:rsid w:val="00395B0F"/>
    <w:rsid w:val="00395EF2"/>
    <w:rsid w:val="00395F4F"/>
    <w:rsid w:val="00396281"/>
    <w:rsid w:val="003969B3"/>
    <w:rsid w:val="00397696"/>
    <w:rsid w:val="003A03F2"/>
    <w:rsid w:val="003A0F54"/>
    <w:rsid w:val="003A150E"/>
    <w:rsid w:val="003A1700"/>
    <w:rsid w:val="003A194E"/>
    <w:rsid w:val="003A24DF"/>
    <w:rsid w:val="003A24E5"/>
    <w:rsid w:val="003A2E83"/>
    <w:rsid w:val="003A4003"/>
    <w:rsid w:val="003A4587"/>
    <w:rsid w:val="003A496A"/>
    <w:rsid w:val="003A5E4B"/>
    <w:rsid w:val="003A6A41"/>
    <w:rsid w:val="003A7152"/>
    <w:rsid w:val="003A7508"/>
    <w:rsid w:val="003A7ED6"/>
    <w:rsid w:val="003B14E1"/>
    <w:rsid w:val="003B189D"/>
    <w:rsid w:val="003B1B67"/>
    <w:rsid w:val="003B1C6F"/>
    <w:rsid w:val="003B1FE4"/>
    <w:rsid w:val="003B2037"/>
    <w:rsid w:val="003B26CA"/>
    <w:rsid w:val="003B2CCF"/>
    <w:rsid w:val="003B39FD"/>
    <w:rsid w:val="003B3A4B"/>
    <w:rsid w:val="003B3E35"/>
    <w:rsid w:val="003B3E8F"/>
    <w:rsid w:val="003B4413"/>
    <w:rsid w:val="003B45B9"/>
    <w:rsid w:val="003B5358"/>
    <w:rsid w:val="003B53E8"/>
    <w:rsid w:val="003B581F"/>
    <w:rsid w:val="003B5C1D"/>
    <w:rsid w:val="003B6843"/>
    <w:rsid w:val="003B77F7"/>
    <w:rsid w:val="003C0BA5"/>
    <w:rsid w:val="003C1D1D"/>
    <w:rsid w:val="003C3D88"/>
    <w:rsid w:val="003C43A6"/>
    <w:rsid w:val="003C4A50"/>
    <w:rsid w:val="003C570E"/>
    <w:rsid w:val="003C6474"/>
    <w:rsid w:val="003C64E4"/>
    <w:rsid w:val="003C6A7A"/>
    <w:rsid w:val="003C6DB3"/>
    <w:rsid w:val="003C7559"/>
    <w:rsid w:val="003C7F42"/>
    <w:rsid w:val="003C7F53"/>
    <w:rsid w:val="003D111F"/>
    <w:rsid w:val="003D1C0E"/>
    <w:rsid w:val="003D2C25"/>
    <w:rsid w:val="003D33F9"/>
    <w:rsid w:val="003D3FDE"/>
    <w:rsid w:val="003D42CB"/>
    <w:rsid w:val="003D4EBC"/>
    <w:rsid w:val="003D614E"/>
    <w:rsid w:val="003D61F6"/>
    <w:rsid w:val="003D6B81"/>
    <w:rsid w:val="003D6D61"/>
    <w:rsid w:val="003D700B"/>
    <w:rsid w:val="003D7183"/>
    <w:rsid w:val="003D76F9"/>
    <w:rsid w:val="003D77AA"/>
    <w:rsid w:val="003E01EE"/>
    <w:rsid w:val="003E0244"/>
    <w:rsid w:val="003E0311"/>
    <w:rsid w:val="003E0D8D"/>
    <w:rsid w:val="003E122E"/>
    <w:rsid w:val="003E17D5"/>
    <w:rsid w:val="003E287F"/>
    <w:rsid w:val="003E2982"/>
    <w:rsid w:val="003E3027"/>
    <w:rsid w:val="003E4C1D"/>
    <w:rsid w:val="003E5234"/>
    <w:rsid w:val="003E5883"/>
    <w:rsid w:val="003E63C1"/>
    <w:rsid w:val="003E6874"/>
    <w:rsid w:val="003E6B73"/>
    <w:rsid w:val="003E718B"/>
    <w:rsid w:val="003E758B"/>
    <w:rsid w:val="003F017E"/>
    <w:rsid w:val="003F091E"/>
    <w:rsid w:val="003F0F9F"/>
    <w:rsid w:val="003F1195"/>
    <w:rsid w:val="003F15F3"/>
    <w:rsid w:val="003F1DA5"/>
    <w:rsid w:val="003F229C"/>
    <w:rsid w:val="003F32B1"/>
    <w:rsid w:val="003F3521"/>
    <w:rsid w:val="003F3539"/>
    <w:rsid w:val="003F3E0A"/>
    <w:rsid w:val="003F45D8"/>
    <w:rsid w:val="003F4AE7"/>
    <w:rsid w:val="003F68D0"/>
    <w:rsid w:val="003F6907"/>
    <w:rsid w:val="003F6C8A"/>
    <w:rsid w:val="003F6F18"/>
    <w:rsid w:val="003F7416"/>
    <w:rsid w:val="003F7561"/>
    <w:rsid w:val="004001FC"/>
    <w:rsid w:val="00401EBC"/>
    <w:rsid w:val="004028FE"/>
    <w:rsid w:val="00402958"/>
    <w:rsid w:val="00402E20"/>
    <w:rsid w:val="004030D3"/>
    <w:rsid w:val="0040384D"/>
    <w:rsid w:val="00403BE7"/>
    <w:rsid w:val="00403CCA"/>
    <w:rsid w:val="00404484"/>
    <w:rsid w:val="00404731"/>
    <w:rsid w:val="00404B47"/>
    <w:rsid w:val="00405B41"/>
    <w:rsid w:val="0040671E"/>
    <w:rsid w:val="00407278"/>
    <w:rsid w:val="004074C1"/>
    <w:rsid w:val="00407958"/>
    <w:rsid w:val="00407F8E"/>
    <w:rsid w:val="004105E3"/>
    <w:rsid w:val="00410A00"/>
    <w:rsid w:val="00411472"/>
    <w:rsid w:val="00412931"/>
    <w:rsid w:val="00412B0C"/>
    <w:rsid w:val="00412FF4"/>
    <w:rsid w:val="00413025"/>
    <w:rsid w:val="004135EE"/>
    <w:rsid w:val="0041499B"/>
    <w:rsid w:val="00415FB4"/>
    <w:rsid w:val="00416BD1"/>
    <w:rsid w:val="00417063"/>
    <w:rsid w:val="004175A3"/>
    <w:rsid w:val="004176C6"/>
    <w:rsid w:val="0042024B"/>
    <w:rsid w:val="004221DA"/>
    <w:rsid w:val="0042302D"/>
    <w:rsid w:val="00423BAA"/>
    <w:rsid w:val="00423E42"/>
    <w:rsid w:val="00424394"/>
    <w:rsid w:val="004243F0"/>
    <w:rsid w:val="00424A87"/>
    <w:rsid w:val="00425A38"/>
    <w:rsid w:val="004271D0"/>
    <w:rsid w:val="004277A2"/>
    <w:rsid w:val="00427DFF"/>
    <w:rsid w:val="00427E70"/>
    <w:rsid w:val="004301D0"/>
    <w:rsid w:val="00430377"/>
    <w:rsid w:val="004307DA"/>
    <w:rsid w:val="00432069"/>
    <w:rsid w:val="00432F20"/>
    <w:rsid w:val="00433015"/>
    <w:rsid w:val="004334E2"/>
    <w:rsid w:val="00433875"/>
    <w:rsid w:val="00434133"/>
    <w:rsid w:val="0043450C"/>
    <w:rsid w:val="0043508F"/>
    <w:rsid w:val="0043525F"/>
    <w:rsid w:val="004358BF"/>
    <w:rsid w:val="0043619F"/>
    <w:rsid w:val="00437B9B"/>
    <w:rsid w:val="0044016A"/>
    <w:rsid w:val="004406DE"/>
    <w:rsid w:val="00440A77"/>
    <w:rsid w:val="00441415"/>
    <w:rsid w:val="00441B40"/>
    <w:rsid w:val="00443378"/>
    <w:rsid w:val="00443F4B"/>
    <w:rsid w:val="00444806"/>
    <w:rsid w:val="00444822"/>
    <w:rsid w:val="00444F8F"/>
    <w:rsid w:val="004454BD"/>
    <w:rsid w:val="0044740E"/>
    <w:rsid w:val="004474FE"/>
    <w:rsid w:val="004506D3"/>
    <w:rsid w:val="00451050"/>
    <w:rsid w:val="00451802"/>
    <w:rsid w:val="0045261F"/>
    <w:rsid w:val="004526C0"/>
    <w:rsid w:val="00452DEF"/>
    <w:rsid w:val="00453220"/>
    <w:rsid w:val="00454538"/>
    <w:rsid w:val="004549A1"/>
    <w:rsid w:val="00454CDA"/>
    <w:rsid w:val="00454EF2"/>
    <w:rsid w:val="004555A5"/>
    <w:rsid w:val="0045619C"/>
    <w:rsid w:val="00456EF7"/>
    <w:rsid w:val="004570E4"/>
    <w:rsid w:val="004577C1"/>
    <w:rsid w:val="00457BE7"/>
    <w:rsid w:val="00457E55"/>
    <w:rsid w:val="00460BE1"/>
    <w:rsid w:val="00460C9C"/>
    <w:rsid w:val="004612C3"/>
    <w:rsid w:val="004614C6"/>
    <w:rsid w:val="004620E9"/>
    <w:rsid w:val="00462AF9"/>
    <w:rsid w:val="00463B39"/>
    <w:rsid w:val="004640B4"/>
    <w:rsid w:val="00465352"/>
    <w:rsid w:val="00465DAD"/>
    <w:rsid w:val="00466271"/>
    <w:rsid w:val="0046637B"/>
    <w:rsid w:val="004664CD"/>
    <w:rsid w:val="0046695A"/>
    <w:rsid w:val="00467114"/>
    <w:rsid w:val="00467AB2"/>
    <w:rsid w:val="00470BF1"/>
    <w:rsid w:val="00470DCD"/>
    <w:rsid w:val="00470EA0"/>
    <w:rsid w:val="00472B46"/>
    <w:rsid w:val="004737A7"/>
    <w:rsid w:val="004740CB"/>
    <w:rsid w:val="00474113"/>
    <w:rsid w:val="004742E7"/>
    <w:rsid w:val="00474535"/>
    <w:rsid w:val="004747B5"/>
    <w:rsid w:val="00474CF5"/>
    <w:rsid w:val="00475547"/>
    <w:rsid w:val="00475CCB"/>
    <w:rsid w:val="004767A9"/>
    <w:rsid w:val="00476E4B"/>
    <w:rsid w:val="00476ED5"/>
    <w:rsid w:val="0047729D"/>
    <w:rsid w:val="00477914"/>
    <w:rsid w:val="00477BF8"/>
    <w:rsid w:val="00480633"/>
    <w:rsid w:val="00480A6E"/>
    <w:rsid w:val="00481A08"/>
    <w:rsid w:val="0048250E"/>
    <w:rsid w:val="0048307F"/>
    <w:rsid w:val="00483916"/>
    <w:rsid w:val="00483B22"/>
    <w:rsid w:val="00483B87"/>
    <w:rsid w:val="00484717"/>
    <w:rsid w:val="00485035"/>
    <w:rsid w:val="0048610B"/>
    <w:rsid w:val="00486DB5"/>
    <w:rsid w:val="00487870"/>
    <w:rsid w:val="00490234"/>
    <w:rsid w:val="00490A9C"/>
    <w:rsid w:val="00490EEB"/>
    <w:rsid w:val="00490FA7"/>
    <w:rsid w:val="00491E4C"/>
    <w:rsid w:val="00492B2E"/>
    <w:rsid w:val="00492CBB"/>
    <w:rsid w:val="00492DA9"/>
    <w:rsid w:val="0049301B"/>
    <w:rsid w:val="00493186"/>
    <w:rsid w:val="00493867"/>
    <w:rsid w:val="004940E3"/>
    <w:rsid w:val="0049616E"/>
    <w:rsid w:val="004962EC"/>
    <w:rsid w:val="00496610"/>
    <w:rsid w:val="0049663B"/>
    <w:rsid w:val="00496B3C"/>
    <w:rsid w:val="00496DB5"/>
    <w:rsid w:val="00497999"/>
    <w:rsid w:val="00497CE7"/>
    <w:rsid w:val="004A1034"/>
    <w:rsid w:val="004A11C6"/>
    <w:rsid w:val="004A1DC9"/>
    <w:rsid w:val="004A2446"/>
    <w:rsid w:val="004A25AB"/>
    <w:rsid w:val="004A29F7"/>
    <w:rsid w:val="004A3438"/>
    <w:rsid w:val="004A34CD"/>
    <w:rsid w:val="004A3B27"/>
    <w:rsid w:val="004A45A2"/>
    <w:rsid w:val="004A4712"/>
    <w:rsid w:val="004A47E0"/>
    <w:rsid w:val="004A47E7"/>
    <w:rsid w:val="004A4E83"/>
    <w:rsid w:val="004A5B57"/>
    <w:rsid w:val="004A6232"/>
    <w:rsid w:val="004A7056"/>
    <w:rsid w:val="004A71F4"/>
    <w:rsid w:val="004A7968"/>
    <w:rsid w:val="004B0176"/>
    <w:rsid w:val="004B0336"/>
    <w:rsid w:val="004B1123"/>
    <w:rsid w:val="004B2918"/>
    <w:rsid w:val="004B2D70"/>
    <w:rsid w:val="004B3B13"/>
    <w:rsid w:val="004B3BBE"/>
    <w:rsid w:val="004B3E8C"/>
    <w:rsid w:val="004B4570"/>
    <w:rsid w:val="004B4DE3"/>
    <w:rsid w:val="004B5DA4"/>
    <w:rsid w:val="004B6DAA"/>
    <w:rsid w:val="004B6EA5"/>
    <w:rsid w:val="004B7A83"/>
    <w:rsid w:val="004C03AE"/>
    <w:rsid w:val="004C08EF"/>
    <w:rsid w:val="004C0B60"/>
    <w:rsid w:val="004C0DFD"/>
    <w:rsid w:val="004C22E2"/>
    <w:rsid w:val="004C230E"/>
    <w:rsid w:val="004C2F92"/>
    <w:rsid w:val="004C37C4"/>
    <w:rsid w:val="004C4BCC"/>
    <w:rsid w:val="004C552D"/>
    <w:rsid w:val="004C5727"/>
    <w:rsid w:val="004C6A68"/>
    <w:rsid w:val="004C7851"/>
    <w:rsid w:val="004D02FE"/>
    <w:rsid w:val="004D080C"/>
    <w:rsid w:val="004D0D4D"/>
    <w:rsid w:val="004D0D9C"/>
    <w:rsid w:val="004D1199"/>
    <w:rsid w:val="004D2464"/>
    <w:rsid w:val="004D24A1"/>
    <w:rsid w:val="004D34DF"/>
    <w:rsid w:val="004D36AB"/>
    <w:rsid w:val="004D3815"/>
    <w:rsid w:val="004D38E2"/>
    <w:rsid w:val="004D4057"/>
    <w:rsid w:val="004D4EB5"/>
    <w:rsid w:val="004D6CAA"/>
    <w:rsid w:val="004D7265"/>
    <w:rsid w:val="004D747B"/>
    <w:rsid w:val="004D7D9E"/>
    <w:rsid w:val="004E0087"/>
    <w:rsid w:val="004E0479"/>
    <w:rsid w:val="004E0706"/>
    <w:rsid w:val="004E0D76"/>
    <w:rsid w:val="004E0F0D"/>
    <w:rsid w:val="004E2438"/>
    <w:rsid w:val="004E28F4"/>
    <w:rsid w:val="004E2908"/>
    <w:rsid w:val="004E3027"/>
    <w:rsid w:val="004E3345"/>
    <w:rsid w:val="004E3D0B"/>
    <w:rsid w:val="004E48FD"/>
    <w:rsid w:val="004E4A1C"/>
    <w:rsid w:val="004E64D4"/>
    <w:rsid w:val="004E73B3"/>
    <w:rsid w:val="004E79DA"/>
    <w:rsid w:val="004F12AF"/>
    <w:rsid w:val="004F1596"/>
    <w:rsid w:val="004F1648"/>
    <w:rsid w:val="004F175D"/>
    <w:rsid w:val="004F1B2F"/>
    <w:rsid w:val="004F1CBF"/>
    <w:rsid w:val="004F1D9E"/>
    <w:rsid w:val="004F1E9F"/>
    <w:rsid w:val="004F263A"/>
    <w:rsid w:val="004F29E7"/>
    <w:rsid w:val="004F2C94"/>
    <w:rsid w:val="004F4282"/>
    <w:rsid w:val="004F4AD8"/>
    <w:rsid w:val="004F4E26"/>
    <w:rsid w:val="004F6048"/>
    <w:rsid w:val="004F6F77"/>
    <w:rsid w:val="004F72B4"/>
    <w:rsid w:val="004F761D"/>
    <w:rsid w:val="004F767C"/>
    <w:rsid w:val="004F7D25"/>
    <w:rsid w:val="00500AE6"/>
    <w:rsid w:val="005014E2"/>
    <w:rsid w:val="00501A81"/>
    <w:rsid w:val="0050315C"/>
    <w:rsid w:val="00503939"/>
    <w:rsid w:val="00503B03"/>
    <w:rsid w:val="005043F3"/>
    <w:rsid w:val="00505593"/>
    <w:rsid w:val="00505F6E"/>
    <w:rsid w:val="0050608E"/>
    <w:rsid w:val="00506999"/>
    <w:rsid w:val="00506D5E"/>
    <w:rsid w:val="00506DFF"/>
    <w:rsid w:val="0050704C"/>
    <w:rsid w:val="0050785E"/>
    <w:rsid w:val="00507FEE"/>
    <w:rsid w:val="00510221"/>
    <w:rsid w:val="00511AF6"/>
    <w:rsid w:val="0051209C"/>
    <w:rsid w:val="005125C2"/>
    <w:rsid w:val="005130D4"/>
    <w:rsid w:val="005131DD"/>
    <w:rsid w:val="005132FB"/>
    <w:rsid w:val="00513E14"/>
    <w:rsid w:val="0051447F"/>
    <w:rsid w:val="005145F1"/>
    <w:rsid w:val="00514884"/>
    <w:rsid w:val="005152AF"/>
    <w:rsid w:val="0051551D"/>
    <w:rsid w:val="00515538"/>
    <w:rsid w:val="00515FDE"/>
    <w:rsid w:val="005162B8"/>
    <w:rsid w:val="00516345"/>
    <w:rsid w:val="005166FD"/>
    <w:rsid w:val="00516FA1"/>
    <w:rsid w:val="005174D8"/>
    <w:rsid w:val="00517937"/>
    <w:rsid w:val="00520777"/>
    <w:rsid w:val="005219B4"/>
    <w:rsid w:val="00521CFD"/>
    <w:rsid w:val="00521DD9"/>
    <w:rsid w:val="005226EE"/>
    <w:rsid w:val="0052365B"/>
    <w:rsid w:val="00523707"/>
    <w:rsid w:val="005247A2"/>
    <w:rsid w:val="0052611E"/>
    <w:rsid w:val="005268AC"/>
    <w:rsid w:val="00526B31"/>
    <w:rsid w:val="00526C03"/>
    <w:rsid w:val="00526DF2"/>
    <w:rsid w:val="00526ED5"/>
    <w:rsid w:val="00527367"/>
    <w:rsid w:val="00527420"/>
    <w:rsid w:val="005275F2"/>
    <w:rsid w:val="00527D2A"/>
    <w:rsid w:val="00527F6D"/>
    <w:rsid w:val="005307CB"/>
    <w:rsid w:val="00530972"/>
    <w:rsid w:val="00530B65"/>
    <w:rsid w:val="00532A5D"/>
    <w:rsid w:val="00532DBD"/>
    <w:rsid w:val="005345F4"/>
    <w:rsid w:val="005352E0"/>
    <w:rsid w:val="005358AC"/>
    <w:rsid w:val="00536A8E"/>
    <w:rsid w:val="005370CB"/>
    <w:rsid w:val="005371EB"/>
    <w:rsid w:val="005372B9"/>
    <w:rsid w:val="00537C18"/>
    <w:rsid w:val="005402EC"/>
    <w:rsid w:val="00541A9F"/>
    <w:rsid w:val="005421D4"/>
    <w:rsid w:val="005426A8"/>
    <w:rsid w:val="00543103"/>
    <w:rsid w:val="00543120"/>
    <w:rsid w:val="00543B5B"/>
    <w:rsid w:val="005444FD"/>
    <w:rsid w:val="00544A6D"/>
    <w:rsid w:val="00544E23"/>
    <w:rsid w:val="00545199"/>
    <w:rsid w:val="005452C3"/>
    <w:rsid w:val="005455F7"/>
    <w:rsid w:val="00545B21"/>
    <w:rsid w:val="00545F6A"/>
    <w:rsid w:val="005460FA"/>
    <w:rsid w:val="00546950"/>
    <w:rsid w:val="00546BE5"/>
    <w:rsid w:val="00546D55"/>
    <w:rsid w:val="00550287"/>
    <w:rsid w:val="00550684"/>
    <w:rsid w:val="00550FC4"/>
    <w:rsid w:val="00553A2B"/>
    <w:rsid w:val="00554D9C"/>
    <w:rsid w:val="00555AB2"/>
    <w:rsid w:val="00556255"/>
    <w:rsid w:val="005573C4"/>
    <w:rsid w:val="00557519"/>
    <w:rsid w:val="005575F0"/>
    <w:rsid w:val="00557662"/>
    <w:rsid w:val="00560B94"/>
    <w:rsid w:val="00560D05"/>
    <w:rsid w:val="00560E90"/>
    <w:rsid w:val="00561B8D"/>
    <w:rsid w:val="00562C41"/>
    <w:rsid w:val="005640D2"/>
    <w:rsid w:val="00564E93"/>
    <w:rsid w:val="0056502B"/>
    <w:rsid w:val="005658D2"/>
    <w:rsid w:val="005666AA"/>
    <w:rsid w:val="00566709"/>
    <w:rsid w:val="00566E08"/>
    <w:rsid w:val="00566ED9"/>
    <w:rsid w:val="0056759E"/>
    <w:rsid w:val="005703A1"/>
    <w:rsid w:val="0057057E"/>
    <w:rsid w:val="005706AC"/>
    <w:rsid w:val="00570DBF"/>
    <w:rsid w:val="005729FA"/>
    <w:rsid w:val="00572BBE"/>
    <w:rsid w:val="005732E5"/>
    <w:rsid w:val="0057364C"/>
    <w:rsid w:val="005741A2"/>
    <w:rsid w:val="005745C3"/>
    <w:rsid w:val="00574AD8"/>
    <w:rsid w:val="00574D02"/>
    <w:rsid w:val="00575B4C"/>
    <w:rsid w:val="00577532"/>
    <w:rsid w:val="00577C90"/>
    <w:rsid w:val="00582419"/>
    <w:rsid w:val="00583103"/>
    <w:rsid w:val="005832BF"/>
    <w:rsid w:val="00583577"/>
    <w:rsid w:val="005838D0"/>
    <w:rsid w:val="00583D61"/>
    <w:rsid w:val="0058404A"/>
    <w:rsid w:val="00584453"/>
    <w:rsid w:val="00584475"/>
    <w:rsid w:val="005849D5"/>
    <w:rsid w:val="005853B5"/>
    <w:rsid w:val="00585545"/>
    <w:rsid w:val="00586627"/>
    <w:rsid w:val="00586655"/>
    <w:rsid w:val="00586A38"/>
    <w:rsid w:val="00586A86"/>
    <w:rsid w:val="00587A51"/>
    <w:rsid w:val="00590556"/>
    <w:rsid w:val="005911CC"/>
    <w:rsid w:val="005931F6"/>
    <w:rsid w:val="0059322C"/>
    <w:rsid w:val="0059478C"/>
    <w:rsid w:val="00594FFD"/>
    <w:rsid w:val="005952F8"/>
    <w:rsid w:val="00595770"/>
    <w:rsid w:val="00596DA8"/>
    <w:rsid w:val="00597AE2"/>
    <w:rsid w:val="005A0D0D"/>
    <w:rsid w:val="005A1F53"/>
    <w:rsid w:val="005A279C"/>
    <w:rsid w:val="005A2D8A"/>
    <w:rsid w:val="005A2E7C"/>
    <w:rsid w:val="005A2F7D"/>
    <w:rsid w:val="005A3D74"/>
    <w:rsid w:val="005A43E2"/>
    <w:rsid w:val="005A4737"/>
    <w:rsid w:val="005A47F5"/>
    <w:rsid w:val="005A597A"/>
    <w:rsid w:val="005A5A3F"/>
    <w:rsid w:val="005A5F96"/>
    <w:rsid w:val="005A60B1"/>
    <w:rsid w:val="005A6594"/>
    <w:rsid w:val="005A6732"/>
    <w:rsid w:val="005A6FC8"/>
    <w:rsid w:val="005A7287"/>
    <w:rsid w:val="005A7962"/>
    <w:rsid w:val="005B046B"/>
    <w:rsid w:val="005B1290"/>
    <w:rsid w:val="005B1502"/>
    <w:rsid w:val="005B1F17"/>
    <w:rsid w:val="005B1FAA"/>
    <w:rsid w:val="005B248A"/>
    <w:rsid w:val="005B2543"/>
    <w:rsid w:val="005B2E8A"/>
    <w:rsid w:val="005B2E96"/>
    <w:rsid w:val="005B32C4"/>
    <w:rsid w:val="005B3B37"/>
    <w:rsid w:val="005B3D98"/>
    <w:rsid w:val="005B4372"/>
    <w:rsid w:val="005B4A1B"/>
    <w:rsid w:val="005B4D5C"/>
    <w:rsid w:val="005B4D82"/>
    <w:rsid w:val="005B4F94"/>
    <w:rsid w:val="005B505C"/>
    <w:rsid w:val="005B5282"/>
    <w:rsid w:val="005B52DD"/>
    <w:rsid w:val="005B5A52"/>
    <w:rsid w:val="005B6605"/>
    <w:rsid w:val="005B6B05"/>
    <w:rsid w:val="005B7255"/>
    <w:rsid w:val="005B7B0E"/>
    <w:rsid w:val="005C0AFB"/>
    <w:rsid w:val="005C0C1D"/>
    <w:rsid w:val="005C1EE2"/>
    <w:rsid w:val="005C27FF"/>
    <w:rsid w:val="005C3E95"/>
    <w:rsid w:val="005C5A71"/>
    <w:rsid w:val="005C6809"/>
    <w:rsid w:val="005C70F3"/>
    <w:rsid w:val="005C7831"/>
    <w:rsid w:val="005D0349"/>
    <w:rsid w:val="005D03A8"/>
    <w:rsid w:val="005D0B21"/>
    <w:rsid w:val="005D208A"/>
    <w:rsid w:val="005D22EA"/>
    <w:rsid w:val="005D3243"/>
    <w:rsid w:val="005D39C7"/>
    <w:rsid w:val="005D3C06"/>
    <w:rsid w:val="005D49BA"/>
    <w:rsid w:val="005D4FA6"/>
    <w:rsid w:val="005D5BDA"/>
    <w:rsid w:val="005D66FD"/>
    <w:rsid w:val="005D6C34"/>
    <w:rsid w:val="005D6C70"/>
    <w:rsid w:val="005D6EB8"/>
    <w:rsid w:val="005D715A"/>
    <w:rsid w:val="005D78FA"/>
    <w:rsid w:val="005D7C55"/>
    <w:rsid w:val="005E026B"/>
    <w:rsid w:val="005E0413"/>
    <w:rsid w:val="005E04AA"/>
    <w:rsid w:val="005E0A63"/>
    <w:rsid w:val="005E0BAE"/>
    <w:rsid w:val="005E136F"/>
    <w:rsid w:val="005E2568"/>
    <w:rsid w:val="005E2DC2"/>
    <w:rsid w:val="005E324D"/>
    <w:rsid w:val="005E3433"/>
    <w:rsid w:val="005E37CB"/>
    <w:rsid w:val="005E3CF6"/>
    <w:rsid w:val="005E3E8A"/>
    <w:rsid w:val="005E4287"/>
    <w:rsid w:val="005E486E"/>
    <w:rsid w:val="005E6237"/>
    <w:rsid w:val="005E62E2"/>
    <w:rsid w:val="005E6BF4"/>
    <w:rsid w:val="005E73D8"/>
    <w:rsid w:val="005E751F"/>
    <w:rsid w:val="005F0B39"/>
    <w:rsid w:val="005F1EF6"/>
    <w:rsid w:val="005F32FA"/>
    <w:rsid w:val="005F33F9"/>
    <w:rsid w:val="005F5309"/>
    <w:rsid w:val="005F5327"/>
    <w:rsid w:val="005F60E1"/>
    <w:rsid w:val="005F69A9"/>
    <w:rsid w:val="005F7856"/>
    <w:rsid w:val="005F7DF8"/>
    <w:rsid w:val="00601A93"/>
    <w:rsid w:val="00601CCF"/>
    <w:rsid w:val="00601D7C"/>
    <w:rsid w:val="0060208F"/>
    <w:rsid w:val="00602CB3"/>
    <w:rsid w:val="0060307E"/>
    <w:rsid w:val="0060371A"/>
    <w:rsid w:val="006037DB"/>
    <w:rsid w:val="0060395D"/>
    <w:rsid w:val="00604394"/>
    <w:rsid w:val="00604CB7"/>
    <w:rsid w:val="00604D9D"/>
    <w:rsid w:val="0060550D"/>
    <w:rsid w:val="00606BF1"/>
    <w:rsid w:val="00607ACF"/>
    <w:rsid w:val="00607B91"/>
    <w:rsid w:val="00607EB2"/>
    <w:rsid w:val="00610252"/>
    <w:rsid w:val="0061141D"/>
    <w:rsid w:val="00611A7D"/>
    <w:rsid w:val="0061243B"/>
    <w:rsid w:val="006128AF"/>
    <w:rsid w:val="00613800"/>
    <w:rsid w:val="00613EC2"/>
    <w:rsid w:val="00614486"/>
    <w:rsid w:val="00614D70"/>
    <w:rsid w:val="00614EAE"/>
    <w:rsid w:val="006158D1"/>
    <w:rsid w:val="00616A33"/>
    <w:rsid w:val="00616EC6"/>
    <w:rsid w:val="006171FC"/>
    <w:rsid w:val="0061747B"/>
    <w:rsid w:val="00617B03"/>
    <w:rsid w:val="00620550"/>
    <w:rsid w:val="00620A18"/>
    <w:rsid w:val="00621608"/>
    <w:rsid w:val="0062244A"/>
    <w:rsid w:val="00623677"/>
    <w:rsid w:val="00624D1A"/>
    <w:rsid w:val="00624FD5"/>
    <w:rsid w:val="006252AA"/>
    <w:rsid w:val="00625935"/>
    <w:rsid w:val="00625978"/>
    <w:rsid w:val="0062612A"/>
    <w:rsid w:val="00626D11"/>
    <w:rsid w:val="00627242"/>
    <w:rsid w:val="00630937"/>
    <w:rsid w:val="00630ADC"/>
    <w:rsid w:val="00630B9D"/>
    <w:rsid w:val="00631E87"/>
    <w:rsid w:val="00632A51"/>
    <w:rsid w:val="00633038"/>
    <w:rsid w:val="00634DFC"/>
    <w:rsid w:val="00636978"/>
    <w:rsid w:val="0063759A"/>
    <w:rsid w:val="006409F7"/>
    <w:rsid w:val="00640FAC"/>
    <w:rsid w:val="0064150D"/>
    <w:rsid w:val="00641B41"/>
    <w:rsid w:val="00641E0C"/>
    <w:rsid w:val="00642209"/>
    <w:rsid w:val="006424CC"/>
    <w:rsid w:val="00642961"/>
    <w:rsid w:val="00642F0A"/>
    <w:rsid w:val="0064452C"/>
    <w:rsid w:val="00644DC9"/>
    <w:rsid w:val="0064533C"/>
    <w:rsid w:val="00645641"/>
    <w:rsid w:val="00650035"/>
    <w:rsid w:val="00650637"/>
    <w:rsid w:val="006515E8"/>
    <w:rsid w:val="00651729"/>
    <w:rsid w:val="006519DE"/>
    <w:rsid w:val="00651A4E"/>
    <w:rsid w:val="00651B70"/>
    <w:rsid w:val="00651CD5"/>
    <w:rsid w:val="0065251D"/>
    <w:rsid w:val="006529C2"/>
    <w:rsid w:val="00652CFB"/>
    <w:rsid w:val="0065411C"/>
    <w:rsid w:val="00654634"/>
    <w:rsid w:val="00654C4B"/>
    <w:rsid w:val="00654D71"/>
    <w:rsid w:val="00654FA2"/>
    <w:rsid w:val="006556A3"/>
    <w:rsid w:val="00655964"/>
    <w:rsid w:val="0065607F"/>
    <w:rsid w:val="00657C9B"/>
    <w:rsid w:val="00660A97"/>
    <w:rsid w:val="00660ADB"/>
    <w:rsid w:val="00661329"/>
    <w:rsid w:val="006616F6"/>
    <w:rsid w:val="00661FF4"/>
    <w:rsid w:val="006620AE"/>
    <w:rsid w:val="00662ABD"/>
    <w:rsid w:val="00662CF2"/>
    <w:rsid w:val="00662D43"/>
    <w:rsid w:val="00662E90"/>
    <w:rsid w:val="00662F8D"/>
    <w:rsid w:val="006631EC"/>
    <w:rsid w:val="00663309"/>
    <w:rsid w:val="006639B3"/>
    <w:rsid w:val="00663FE8"/>
    <w:rsid w:val="006644DD"/>
    <w:rsid w:val="00664863"/>
    <w:rsid w:val="00665E1A"/>
    <w:rsid w:val="0066670D"/>
    <w:rsid w:val="00666BDC"/>
    <w:rsid w:val="00666C2A"/>
    <w:rsid w:val="00666E52"/>
    <w:rsid w:val="00667405"/>
    <w:rsid w:val="0066762D"/>
    <w:rsid w:val="006706FD"/>
    <w:rsid w:val="00670AD5"/>
    <w:rsid w:val="0067138F"/>
    <w:rsid w:val="00671B89"/>
    <w:rsid w:val="00672B01"/>
    <w:rsid w:val="006732F1"/>
    <w:rsid w:val="00673808"/>
    <w:rsid w:val="00673862"/>
    <w:rsid w:val="00673A5E"/>
    <w:rsid w:val="00673B30"/>
    <w:rsid w:val="00674014"/>
    <w:rsid w:val="006742C0"/>
    <w:rsid w:val="006742DB"/>
    <w:rsid w:val="0067532E"/>
    <w:rsid w:val="006756E7"/>
    <w:rsid w:val="00675CD0"/>
    <w:rsid w:val="00676725"/>
    <w:rsid w:val="00676780"/>
    <w:rsid w:val="00676C25"/>
    <w:rsid w:val="006772C1"/>
    <w:rsid w:val="00677B9E"/>
    <w:rsid w:val="00677BA9"/>
    <w:rsid w:val="00680317"/>
    <w:rsid w:val="00680512"/>
    <w:rsid w:val="006809CD"/>
    <w:rsid w:val="00680D4E"/>
    <w:rsid w:val="006811D8"/>
    <w:rsid w:val="00681256"/>
    <w:rsid w:val="006817EE"/>
    <w:rsid w:val="0068194A"/>
    <w:rsid w:val="00683403"/>
    <w:rsid w:val="00683CF1"/>
    <w:rsid w:val="00683D05"/>
    <w:rsid w:val="00683E6B"/>
    <w:rsid w:val="00684140"/>
    <w:rsid w:val="00684F2A"/>
    <w:rsid w:val="006856D4"/>
    <w:rsid w:val="00685781"/>
    <w:rsid w:val="00685CEC"/>
    <w:rsid w:val="006869FD"/>
    <w:rsid w:val="00690AD7"/>
    <w:rsid w:val="00690C20"/>
    <w:rsid w:val="00691CB4"/>
    <w:rsid w:val="00691DC8"/>
    <w:rsid w:val="00692331"/>
    <w:rsid w:val="00692851"/>
    <w:rsid w:val="006928CD"/>
    <w:rsid w:val="00692DF7"/>
    <w:rsid w:val="00693759"/>
    <w:rsid w:val="00693825"/>
    <w:rsid w:val="00693907"/>
    <w:rsid w:val="006946DB"/>
    <w:rsid w:val="00694AD6"/>
    <w:rsid w:val="00694BD9"/>
    <w:rsid w:val="00694E10"/>
    <w:rsid w:val="00695285"/>
    <w:rsid w:val="00695A80"/>
    <w:rsid w:val="00695B19"/>
    <w:rsid w:val="00696BBE"/>
    <w:rsid w:val="00696D01"/>
    <w:rsid w:val="00696F7D"/>
    <w:rsid w:val="00697A4A"/>
    <w:rsid w:val="006A04F1"/>
    <w:rsid w:val="006A0872"/>
    <w:rsid w:val="006A14EE"/>
    <w:rsid w:val="006A1889"/>
    <w:rsid w:val="006A4883"/>
    <w:rsid w:val="006A4C1A"/>
    <w:rsid w:val="006A51F4"/>
    <w:rsid w:val="006A529E"/>
    <w:rsid w:val="006A5348"/>
    <w:rsid w:val="006A536A"/>
    <w:rsid w:val="006A58B2"/>
    <w:rsid w:val="006A6D1A"/>
    <w:rsid w:val="006B0761"/>
    <w:rsid w:val="006B0844"/>
    <w:rsid w:val="006B0ADF"/>
    <w:rsid w:val="006B1B2B"/>
    <w:rsid w:val="006B2987"/>
    <w:rsid w:val="006B2E88"/>
    <w:rsid w:val="006B4013"/>
    <w:rsid w:val="006B40D4"/>
    <w:rsid w:val="006B43BE"/>
    <w:rsid w:val="006B46B8"/>
    <w:rsid w:val="006B66FB"/>
    <w:rsid w:val="006B75E9"/>
    <w:rsid w:val="006B7794"/>
    <w:rsid w:val="006B7EC4"/>
    <w:rsid w:val="006B7FBC"/>
    <w:rsid w:val="006C0649"/>
    <w:rsid w:val="006C1413"/>
    <w:rsid w:val="006C21E7"/>
    <w:rsid w:val="006C2967"/>
    <w:rsid w:val="006C4B9A"/>
    <w:rsid w:val="006C5634"/>
    <w:rsid w:val="006C657A"/>
    <w:rsid w:val="006C7595"/>
    <w:rsid w:val="006C79B0"/>
    <w:rsid w:val="006C7D35"/>
    <w:rsid w:val="006D05FB"/>
    <w:rsid w:val="006D1D5A"/>
    <w:rsid w:val="006D1E2B"/>
    <w:rsid w:val="006D300A"/>
    <w:rsid w:val="006D36FE"/>
    <w:rsid w:val="006D3BA2"/>
    <w:rsid w:val="006D4591"/>
    <w:rsid w:val="006D4745"/>
    <w:rsid w:val="006D4E40"/>
    <w:rsid w:val="006D5D4C"/>
    <w:rsid w:val="006D5D96"/>
    <w:rsid w:val="006D6564"/>
    <w:rsid w:val="006D6986"/>
    <w:rsid w:val="006D6B3E"/>
    <w:rsid w:val="006E09B5"/>
    <w:rsid w:val="006E1197"/>
    <w:rsid w:val="006E1398"/>
    <w:rsid w:val="006E145B"/>
    <w:rsid w:val="006E1964"/>
    <w:rsid w:val="006E1D50"/>
    <w:rsid w:val="006E2331"/>
    <w:rsid w:val="006E2900"/>
    <w:rsid w:val="006E2C17"/>
    <w:rsid w:val="006E2F1F"/>
    <w:rsid w:val="006E3DA9"/>
    <w:rsid w:val="006E5B94"/>
    <w:rsid w:val="006E66B8"/>
    <w:rsid w:val="006E78FF"/>
    <w:rsid w:val="006E7D0C"/>
    <w:rsid w:val="006F0230"/>
    <w:rsid w:val="006F0BB9"/>
    <w:rsid w:val="006F0FD9"/>
    <w:rsid w:val="006F1440"/>
    <w:rsid w:val="006F14C0"/>
    <w:rsid w:val="006F15A1"/>
    <w:rsid w:val="006F19A6"/>
    <w:rsid w:val="006F1D5E"/>
    <w:rsid w:val="006F1EB9"/>
    <w:rsid w:val="006F25E6"/>
    <w:rsid w:val="006F29BF"/>
    <w:rsid w:val="006F29E4"/>
    <w:rsid w:val="006F2F61"/>
    <w:rsid w:val="006F33D1"/>
    <w:rsid w:val="006F40C2"/>
    <w:rsid w:val="006F450A"/>
    <w:rsid w:val="006F4663"/>
    <w:rsid w:val="006F466D"/>
    <w:rsid w:val="006F5978"/>
    <w:rsid w:val="006F6272"/>
    <w:rsid w:val="0070003E"/>
    <w:rsid w:val="007003CB"/>
    <w:rsid w:val="007007D4"/>
    <w:rsid w:val="0070112A"/>
    <w:rsid w:val="00701462"/>
    <w:rsid w:val="00703375"/>
    <w:rsid w:val="007035CD"/>
    <w:rsid w:val="00705BE0"/>
    <w:rsid w:val="00707FB0"/>
    <w:rsid w:val="007101EB"/>
    <w:rsid w:val="00710C71"/>
    <w:rsid w:val="00711B72"/>
    <w:rsid w:val="00711DA2"/>
    <w:rsid w:val="0071256F"/>
    <w:rsid w:val="00713762"/>
    <w:rsid w:val="00713E31"/>
    <w:rsid w:val="00714E69"/>
    <w:rsid w:val="007151E1"/>
    <w:rsid w:val="00715238"/>
    <w:rsid w:val="00716B43"/>
    <w:rsid w:val="00716FDC"/>
    <w:rsid w:val="00721761"/>
    <w:rsid w:val="007218C1"/>
    <w:rsid w:val="00721AA9"/>
    <w:rsid w:val="007231C4"/>
    <w:rsid w:val="007238EB"/>
    <w:rsid w:val="007242AE"/>
    <w:rsid w:val="0072485F"/>
    <w:rsid w:val="00724E40"/>
    <w:rsid w:val="00726106"/>
    <w:rsid w:val="00726290"/>
    <w:rsid w:val="00726409"/>
    <w:rsid w:val="0072650A"/>
    <w:rsid w:val="00726EB5"/>
    <w:rsid w:val="007272DA"/>
    <w:rsid w:val="007273FC"/>
    <w:rsid w:val="0072755C"/>
    <w:rsid w:val="00730071"/>
    <w:rsid w:val="00730864"/>
    <w:rsid w:val="0073093B"/>
    <w:rsid w:val="00730ADD"/>
    <w:rsid w:val="00731398"/>
    <w:rsid w:val="007316B3"/>
    <w:rsid w:val="007317B0"/>
    <w:rsid w:val="00731990"/>
    <w:rsid w:val="00731C78"/>
    <w:rsid w:val="007324D6"/>
    <w:rsid w:val="00732842"/>
    <w:rsid w:val="00732FAC"/>
    <w:rsid w:val="00733442"/>
    <w:rsid w:val="007339B5"/>
    <w:rsid w:val="00733B4F"/>
    <w:rsid w:val="00733EED"/>
    <w:rsid w:val="007342FA"/>
    <w:rsid w:val="00734A5E"/>
    <w:rsid w:val="00735052"/>
    <w:rsid w:val="007357B7"/>
    <w:rsid w:val="00735FEE"/>
    <w:rsid w:val="00736266"/>
    <w:rsid w:val="0073660F"/>
    <w:rsid w:val="0073667D"/>
    <w:rsid w:val="00737806"/>
    <w:rsid w:val="00737D4C"/>
    <w:rsid w:val="00740DAC"/>
    <w:rsid w:val="00741170"/>
    <w:rsid w:val="007415AF"/>
    <w:rsid w:val="0074250B"/>
    <w:rsid w:val="0074299C"/>
    <w:rsid w:val="00742A14"/>
    <w:rsid w:val="00742D4B"/>
    <w:rsid w:val="007431C4"/>
    <w:rsid w:val="007433EA"/>
    <w:rsid w:val="0074535F"/>
    <w:rsid w:val="0074596F"/>
    <w:rsid w:val="00745C37"/>
    <w:rsid w:val="00745D75"/>
    <w:rsid w:val="00746329"/>
    <w:rsid w:val="00746921"/>
    <w:rsid w:val="00746A95"/>
    <w:rsid w:val="007474C2"/>
    <w:rsid w:val="0074792E"/>
    <w:rsid w:val="0074799F"/>
    <w:rsid w:val="00750077"/>
    <w:rsid w:val="00750EC4"/>
    <w:rsid w:val="00751842"/>
    <w:rsid w:val="007518F2"/>
    <w:rsid w:val="00752765"/>
    <w:rsid w:val="00753709"/>
    <w:rsid w:val="007545DF"/>
    <w:rsid w:val="00754911"/>
    <w:rsid w:val="00754E01"/>
    <w:rsid w:val="00756088"/>
    <w:rsid w:val="00756169"/>
    <w:rsid w:val="007565E1"/>
    <w:rsid w:val="0075690C"/>
    <w:rsid w:val="00757E1B"/>
    <w:rsid w:val="00760713"/>
    <w:rsid w:val="0076076B"/>
    <w:rsid w:val="007609A7"/>
    <w:rsid w:val="00761E93"/>
    <w:rsid w:val="007639E9"/>
    <w:rsid w:val="007640BF"/>
    <w:rsid w:val="0076457B"/>
    <w:rsid w:val="00764653"/>
    <w:rsid w:val="00764FE6"/>
    <w:rsid w:val="00765605"/>
    <w:rsid w:val="00765BEC"/>
    <w:rsid w:val="00765DB8"/>
    <w:rsid w:val="007667F6"/>
    <w:rsid w:val="00766AD2"/>
    <w:rsid w:val="007675DC"/>
    <w:rsid w:val="00770A6C"/>
    <w:rsid w:val="00771DBA"/>
    <w:rsid w:val="00772C64"/>
    <w:rsid w:val="00773B63"/>
    <w:rsid w:val="00773BB0"/>
    <w:rsid w:val="00773DAD"/>
    <w:rsid w:val="00773F6F"/>
    <w:rsid w:val="00773FBA"/>
    <w:rsid w:val="0077405D"/>
    <w:rsid w:val="0077438F"/>
    <w:rsid w:val="0077441B"/>
    <w:rsid w:val="0077452C"/>
    <w:rsid w:val="00774583"/>
    <w:rsid w:val="00774974"/>
    <w:rsid w:val="00775098"/>
    <w:rsid w:val="007751A9"/>
    <w:rsid w:val="0077584F"/>
    <w:rsid w:val="007759CD"/>
    <w:rsid w:val="00775BC1"/>
    <w:rsid w:val="00777205"/>
    <w:rsid w:val="00780259"/>
    <w:rsid w:val="00780568"/>
    <w:rsid w:val="0078111F"/>
    <w:rsid w:val="00781328"/>
    <w:rsid w:val="00781707"/>
    <w:rsid w:val="007820BA"/>
    <w:rsid w:val="00782292"/>
    <w:rsid w:val="00782F1A"/>
    <w:rsid w:val="007832C3"/>
    <w:rsid w:val="0078409D"/>
    <w:rsid w:val="00784D53"/>
    <w:rsid w:val="0078556E"/>
    <w:rsid w:val="00785604"/>
    <w:rsid w:val="007860B2"/>
    <w:rsid w:val="007862C2"/>
    <w:rsid w:val="00787027"/>
    <w:rsid w:val="007873FE"/>
    <w:rsid w:val="007874BB"/>
    <w:rsid w:val="007876E8"/>
    <w:rsid w:val="0078783D"/>
    <w:rsid w:val="00787C20"/>
    <w:rsid w:val="00787C48"/>
    <w:rsid w:val="00790410"/>
    <w:rsid w:val="00790A5C"/>
    <w:rsid w:val="00790ADB"/>
    <w:rsid w:val="00791032"/>
    <w:rsid w:val="007911DF"/>
    <w:rsid w:val="00792674"/>
    <w:rsid w:val="00793116"/>
    <w:rsid w:val="00793708"/>
    <w:rsid w:val="00794092"/>
    <w:rsid w:val="007946B1"/>
    <w:rsid w:val="00794778"/>
    <w:rsid w:val="00795FB4"/>
    <w:rsid w:val="00796ED6"/>
    <w:rsid w:val="0079743D"/>
    <w:rsid w:val="007A04AD"/>
    <w:rsid w:val="007A2B40"/>
    <w:rsid w:val="007A4BBF"/>
    <w:rsid w:val="007A5B44"/>
    <w:rsid w:val="007A6326"/>
    <w:rsid w:val="007A66A0"/>
    <w:rsid w:val="007A67B1"/>
    <w:rsid w:val="007A68A9"/>
    <w:rsid w:val="007A7A67"/>
    <w:rsid w:val="007A7F3A"/>
    <w:rsid w:val="007B0A11"/>
    <w:rsid w:val="007B0C4C"/>
    <w:rsid w:val="007B1F5D"/>
    <w:rsid w:val="007B268F"/>
    <w:rsid w:val="007B3047"/>
    <w:rsid w:val="007B4188"/>
    <w:rsid w:val="007B42E1"/>
    <w:rsid w:val="007B4403"/>
    <w:rsid w:val="007B4656"/>
    <w:rsid w:val="007B4EF0"/>
    <w:rsid w:val="007B52DB"/>
    <w:rsid w:val="007B57E7"/>
    <w:rsid w:val="007C0E3D"/>
    <w:rsid w:val="007C0FD9"/>
    <w:rsid w:val="007C11F0"/>
    <w:rsid w:val="007C1457"/>
    <w:rsid w:val="007C2458"/>
    <w:rsid w:val="007C3069"/>
    <w:rsid w:val="007C5977"/>
    <w:rsid w:val="007C69A9"/>
    <w:rsid w:val="007C6AC8"/>
    <w:rsid w:val="007C77DF"/>
    <w:rsid w:val="007C78BE"/>
    <w:rsid w:val="007C7A8F"/>
    <w:rsid w:val="007D0BA3"/>
    <w:rsid w:val="007D1FF0"/>
    <w:rsid w:val="007D224F"/>
    <w:rsid w:val="007D27B5"/>
    <w:rsid w:val="007D34F4"/>
    <w:rsid w:val="007D40E6"/>
    <w:rsid w:val="007D4557"/>
    <w:rsid w:val="007D48B1"/>
    <w:rsid w:val="007D4A51"/>
    <w:rsid w:val="007D61C7"/>
    <w:rsid w:val="007D7030"/>
    <w:rsid w:val="007D71CF"/>
    <w:rsid w:val="007D7208"/>
    <w:rsid w:val="007D74E0"/>
    <w:rsid w:val="007D773B"/>
    <w:rsid w:val="007D7C79"/>
    <w:rsid w:val="007E000C"/>
    <w:rsid w:val="007E077E"/>
    <w:rsid w:val="007E3AD4"/>
    <w:rsid w:val="007E3C00"/>
    <w:rsid w:val="007E3E6D"/>
    <w:rsid w:val="007E5620"/>
    <w:rsid w:val="007E594D"/>
    <w:rsid w:val="007E618C"/>
    <w:rsid w:val="007E66F1"/>
    <w:rsid w:val="007E6A65"/>
    <w:rsid w:val="007E746E"/>
    <w:rsid w:val="007E7934"/>
    <w:rsid w:val="007F0023"/>
    <w:rsid w:val="007F013E"/>
    <w:rsid w:val="007F0D64"/>
    <w:rsid w:val="007F1228"/>
    <w:rsid w:val="007F12D6"/>
    <w:rsid w:val="007F2897"/>
    <w:rsid w:val="007F3083"/>
    <w:rsid w:val="007F33AA"/>
    <w:rsid w:val="007F45A9"/>
    <w:rsid w:val="007F4819"/>
    <w:rsid w:val="007F529A"/>
    <w:rsid w:val="007F5412"/>
    <w:rsid w:val="007F5A56"/>
    <w:rsid w:val="007F6626"/>
    <w:rsid w:val="007F6CB1"/>
    <w:rsid w:val="007F6E15"/>
    <w:rsid w:val="007F75F2"/>
    <w:rsid w:val="007F7660"/>
    <w:rsid w:val="007F7792"/>
    <w:rsid w:val="007F78DC"/>
    <w:rsid w:val="008003C8"/>
    <w:rsid w:val="008009AD"/>
    <w:rsid w:val="0080141A"/>
    <w:rsid w:val="008015DD"/>
    <w:rsid w:val="00802C19"/>
    <w:rsid w:val="008041FB"/>
    <w:rsid w:val="008042FD"/>
    <w:rsid w:val="00804CAC"/>
    <w:rsid w:val="00805BE6"/>
    <w:rsid w:val="00806262"/>
    <w:rsid w:val="00806D74"/>
    <w:rsid w:val="00807036"/>
    <w:rsid w:val="0080726C"/>
    <w:rsid w:val="008075D3"/>
    <w:rsid w:val="00807FE6"/>
    <w:rsid w:val="00811489"/>
    <w:rsid w:val="00811FD1"/>
    <w:rsid w:val="0081226F"/>
    <w:rsid w:val="00813F15"/>
    <w:rsid w:val="0081405C"/>
    <w:rsid w:val="00814708"/>
    <w:rsid w:val="00814730"/>
    <w:rsid w:val="008148E3"/>
    <w:rsid w:val="00814CC1"/>
    <w:rsid w:val="00815402"/>
    <w:rsid w:val="00816FAE"/>
    <w:rsid w:val="00817501"/>
    <w:rsid w:val="00820664"/>
    <w:rsid w:val="00820E8B"/>
    <w:rsid w:val="00821994"/>
    <w:rsid w:val="00821A03"/>
    <w:rsid w:val="008223F2"/>
    <w:rsid w:val="008226E0"/>
    <w:rsid w:val="00822AF9"/>
    <w:rsid w:val="00823092"/>
    <w:rsid w:val="0082337F"/>
    <w:rsid w:val="0082433B"/>
    <w:rsid w:val="008245DE"/>
    <w:rsid w:val="00824F33"/>
    <w:rsid w:val="00825D4C"/>
    <w:rsid w:val="00825D95"/>
    <w:rsid w:val="00827308"/>
    <w:rsid w:val="00827B47"/>
    <w:rsid w:val="00830311"/>
    <w:rsid w:val="008304EC"/>
    <w:rsid w:val="00830E49"/>
    <w:rsid w:val="008314B1"/>
    <w:rsid w:val="00832152"/>
    <w:rsid w:val="008331BD"/>
    <w:rsid w:val="00833312"/>
    <w:rsid w:val="0083341D"/>
    <w:rsid w:val="00833EC1"/>
    <w:rsid w:val="008347C0"/>
    <w:rsid w:val="00834965"/>
    <w:rsid w:val="00835207"/>
    <w:rsid w:val="008354E9"/>
    <w:rsid w:val="00835B61"/>
    <w:rsid w:val="008360A9"/>
    <w:rsid w:val="008378CC"/>
    <w:rsid w:val="00840599"/>
    <w:rsid w:val="00840CF0"/>
    <w:rsid w:val="00841E0E"/>
    <w:rsid w:val="00842E11"/>
    <w:rsid w:val="00844169"/>
    <w:rsid w:val="008447AA"/>
    <w:rsid w:val="008452F2"/>
    <w:rsid w:val="008459BC"/>
    <w:rsid w:val="00846B69"/>
    <w:rsid w:val="00847157"/>
    <w:rsid w:val="00847B67"/>
    <w:rsid w:val="00850C15"/>
    <w:rsid w:val="0085117F"/>
    <w:rsid w:val="0085287E"/>
    <w:rsid w:val="00852AD1"/>
    <w:rsid w:val="00852C03"/>
    <w:rsid w:val="00853A56"/>
    <w:rsid w:val="008541AD"/>
    <w:rsid w:val="00854A3A"/>
    <w:rsid w:val="00855716"/>
    <w:rsid w:val="00855798"/>
    <w:rsid w:val="00855FE3"/>
    <w:rsid w:val="00856E9C"/>
    <w:rsid w:val="00857C4E"/>
    <w:rsid w:val="0086056E"/>
    <w:rsid w:val="008606B7"/>
    <w:rsid w:val="008607BE"/>
    <w:rsid w:val="00861A66"/>
    <w:rsid w:val="00861E4C"/>
    <w:rsid w:val="00861FB1"/>
    <w:rsid w:val="00862696"/>
    <w:rsid w:val="00862F8D"/>
    <w:rsid w:val="00863358"/>
    <w:rsid w:val="00863846"/>
    <w:rsid w:val="00863DC3"/>
    <w:rsid w:val="008643C8"/>
    <w:rsid w:val="00864A56"/>
    <w:rsid w:val="00865130"/>
    <w:rsid w:val="00865207"/>
    <w:rsid w:val="008672E3"/>
    <w:rsid w:val="0086730C"/>
    <w:rsid w:val="0087005C"/>
    <w:rsid w:val="008711B5"/>
    <w:rsid w:val="008717B2"/>
    <w:rsid w:val="00871B76"/>
    <w:rsid w:val="00871E1E"/>
    <w:rsid w:val="0087419F"/>
    <w:rsid w:val="008748E6"/>
    <w:rsid w:val="00874903"/>
    <w:rsid w:val="00875356"/>
    <w:rsid w:val="00875B00"/>
    <w:rsid w:val="008776F0"/>
    <w:rsid w:val="008777C6"/>
    <w:rsid w:val="00877A9A"/>
    <w:rsid w:val="00877BD1"/>
    <w:rsid w:val="00877DBC"/>
    <w:rsid w:val="00880107"/>
    <w:rsid w:val="008801B5"/>
    <w:rsid w:val="00880570"/>
    <w:rsid w:val="0088097C"/>
    <w:rsid w:val="00881725"/>
    <w:rsid w:val="00881F5D"/>
    <w:rsid w:val="008820B0"/>
    <w:rsid w:val="00882260"/>
    <w:rsid w:val="00882952"/>
    <w:rsid w:val="00882D66"/>
    <w:rsid w:val="00883400"/>
    <w:rsid w:val="0088489B"/>
    <w:rsid w:val="008848F0"/>
    <w:rsid w:val="00884F26"/>
    <w:rsid w:val="00885CAA"/>
    <w:rsid w:val="00885D66"/>
    <w:rsid w:val="00885F90"/>
    <w:rsid w:val="00886026"/>
    <w:rsid w:val="00886DDE"/>
    <w:rsid w:val="008872B9"/>
    <w:rsid w:val="008873D1"/>
    <w:rsid w:val="00887F38"/>
    <w:rsid w:val="00887F5B"/>
    <w:rsid w:val="00890088"/>
    <w:rsid w:val="00890153"/>
    <w:rsid w:val="008902BD"/>
    <w:rsid w:val="00890B6C"/>
    <w:rsid w:val="00890BE8"/>
    <w:rsid w:val="00890E19"/>
    <w:rsid w:val="00890E70"/>
    <w:rsid w:val="00891569"/>
    <w:rsid w:val="008920A0"/>
    <w:rsid w:val="00892166"/>
    <w:rsid w:val="0089223C"/>
    <w:rsid w:val="0089320E"/>
    <w:rsid w:val="008939D3"/>
    <w:rsid w:val="00893A9E"/>
    <w:rsid w:val="00894059"/>
    <w:rsid w:val="00894B77"/>
    <w:rsid w:val="00894CDF"/>
    <w:rsid w:val="00895603"/>
    <w:rsid w:val="00895F37"/>
    <w:rsid w:val="008962FD"/>
    <w:rsid w:val="00896586"/>
    <w:rsid w:val="00897022"/>
    <w:rsid w:val="008974C3"/>
    <w:rsid w:val="008978C5"/>
    <w:rsid w:val="008979EF"/>
    <w:rsid w:val="008A05BF"/>
    <w:rsid w:val="008A079D"/>
    <w:rsid w:val="008A24C6"/>
    <w:rsid w:val="008A293C"/>
    <w:rsid w:val="008A2EE6"/>
    <w:rsid w:val="008A300C"/>
    <w:rsid w:val="008A3D8F"/>
    <w:rsid w:val="008A4399"/>
    <w:rsid w:val="008A529D"/>
    <w:rsid w:val="008A57CE"/>
    <w:rsid w:val="008A658B"/>
    <w:rsid w:val="008A6DE9"/>
    <w:rsid w:val="008A6F5F"/>
    <w:rsid w:val="008A732C"/>
    <w:rsid w:val="008A7550"/>
    <w:rsid w:val="008B096A"/>
    <w:rsid w:val="008B38DF"/>
    <w:rsid w:val="008B4922"/>
    <w:rsid w:val="008B5005"/>
    <w:rsid w:val="008B5295"/>
    <w:rsid w:val="008B532E"/>
    <w:rsid w:val="008B5373"/>
    <w:rsid w:val="008B54D6"/>
    <w:rsid w:val="008B57E1"/>
    <w:rsid w:val="008B5F33"/>
    <w:rsid w:val="008B646B"/>
    <w:rsid w:val="008B6D4A"/>
    <w:rsid w:val="008B7CCE"/>
    <w:rsid w:val="008C0901"/>
    <w:rsid w:val="008C091C"/>
    <w:rsid w:val="008C0E27"/>
    <w:rsid w:val="008C15A2"/>
    <w:rsid w:val="008C1630"/>
    <w:rsid w:val="008C22D3"/>
    <w:rsid w:val="008C2314"/>
    <w:rsid w:val="008C244B"/>
    <w:rsid w:val="008C2B71"/>
    <w:rsid w:val="008C34C3"/>
    <w:rsid w:val="008C34EC"/>
    <w:rsid w:val="008C3C9E"/>
    <w:rsid w:val="008C483C"/>
    <w:rsid w:val="008C60E1"/>
    <w:rsid w:val="008C63B9"/>
    <w:rsid w:val="008C7E89"/>
    <w:rsid w:val="008D087F"/>
    <w:rsid w:val="008D0A3B"/>
    <w:rsid w:val="008D0DF4"/>
    <w:rsid w:val="008D0F01"/>
    <w:rsid w:val="008D15D2"/>
    <w:rsid w:val="008D1A8E"/>
    <w:rsid w:val="008D3CC0"/>
    <w:rsid w:val="008D3DDD"/>
    <w:rsid w:val="008D42C6"/>
    <w:rsid w:val="008D4541"/>
    <w:rsid w:val="008D54FE"/>
    <w:rsid w:val="008D5FE6"/>
    <w:rsid w:val="008D6098"/>
    <w:rsid w:val="008D62C9"/>
    <w:rsid w:val="008D6419"/>
    <w:rsid w:val="008D778B"/>
    <w:rsid w:val="008D7976"/>
    <w:rsid w:val="008E125A"/>
    <w:rsid w:val="008E23D4"/>
    <w:rsid w:val="008E243C"/>
    <w:rsid w:val="008E2C8B"/>
    <w:rsid w:val="008E2E18"/>
    <w:rsid w:val="008E3D86"/>
    <w:rsid w:val="008E3E92"/>
    <w:rsid w:val="008E3FF1"/>
    <w:rsid w:val="008E410F"/>
    <w:rsid w:val="008E429F"/>
    <w:rsid w:val="008E4479"/>
    <w:rsid w:val="008E44F5"/>
    <w:rsid w:val="008E4690"/>
    <w:rsid w:val="008E517A"/>
    <w:rsid w:val="008E651B"/>
    <w:rsid w:val="008E7842"/>
    <w:rsid w:val="008E79FE"/>
    <w:rsid w:val="008F0F10"/>
    <w:rsid w:val="008F0F8B"/>
    <w:rsid w:val="008F138F"/>
    <w:rsid w:val="008F1633"/>
    <w:rsid w:val="008F1AFA"/>
    <w:rsid w:val="008F20C3"/>
    <w:rsid w:val="008F4130"/>
    <w:rsid w:val="008F4797"/>
    <w:rsid w:val="008F4802"/>
    <w:rsid w:val="008F50C7"/>
    <w:rsid w:val="008F67F7"/>
    <w:rsid w:val="008F6C29"/>
    <w:rsid w:val="008F6D7D"/>
    <w:rsid w:val="008F6FE3"/>
    <w:rsid w:val="008F7159"/>
    <w:rsid w:val="009000D9"/>
    <w:rsid w:val="00901806"/>
    <w:rsid w:val="009019C3"/>
    <w:rsid w:val="00901F41"/>
    <w:rsid w:val="0090256C"/>
    <w:rsid w:val="00902C7D"/>
    <w:rsid w:val="00902FC4"/>
    <w:rsid w:val="00903201"/>
    <w:rsid w:val="00903FA9"/>
    <w:rsid w:val="0090414A"/>
    <w:rsid w:val="009042DC"/>
    <w:rsid w:val="009042DF"/>
    <w:rsid w:val="009046CA"/>
    <w:rsid w:val="00905921"/>
    <w:rsid w:val="00905D6E"/>
    <w:rsid w:val="009060BD"/>
    <w:rsid w:val="009063CD"/>
    <w:rsid w:val="00906F57"/>
    <w:rsid w:val="00907259"/>
    <w:rsid w:val="00907926"/>
    <w:rsid w:val="00910505"/>
    <w:rsid w:val="00910D8C"/>
    <w:rsid w:val="009113FA"/>
    <w:rsid w:val="009114DC"/>
    <w:rsid w:val="009114FA"/>
    <w:rsid w:val="00911F02"/>
    <w:rsid w:val="00912BE9"/>
    <w:rsid w:val="00912CF9"/>
    <w:rsid w:val="00912F58"/>
    <w:rsid w:val="009131FE"/>
    <w:rsid w:val="00913928"/>
    <w:rsid w:val="009139A2"/>
    <w:rsid w:val="0091403A"/>
    <w:rsid w:val="009140E6"/>
    <w:rsid w:val="00914AED"/>
    <w:rsid w:val="0091549F"/>
    <w:rsid w:val="00916074"/>
    <w:rsid w:val="0091649E"/>
    <w:rsid w:val="00916C5D"/>
    <w:rsid w:val="00917C65"/>
    <w:rsid w:val="00920630"/>
    <w:rsid w:val="00920679"/>
    <w:rsid w:val="0092086A"/>
    <w:rsid w:val="00920A5C"/>
    <w:rsid w:val="0092111F"/>
    <w:rsid w:val="0092130A"/>
    <w:rsid w:val="00921E3B"/>
    <w:rsid w:val="00922862"/>
    <w:rsid w:val="0092302D"/>
    <w:rsid w:val="009244AB"/>
    <w:rsid w:val="00925A58"/>
    <w:rsid w:val="00926330"/>
    <w:rsid w:val="009264C7"/>
    <w:rsid w:val="0092674A"/>
    <w:rsid w:val="0092681D"/>
    <w:rsid w:val="00926D66"/>
    <w:rsid w:val="009309B9"/>
    <w:rsid w:val="00931508"/>
    <w:rsid w:val="00931C5B"/>
    <w:rsid w:val="00931E2C"/>
    <w:rsid w:val="00932384"/>
    <w:rsid w:val="00933535"/>
    <w:rsid w:val="00933712"/>
    <w:rsid w:val="00933C00"/>
    <w:rsid w:val="00934076"/>
    <w:rsid w:val="009346AE"/>
    <w:rsid w:val="00934E42"/>
    <w:rsid w:val="00935B49"/>
    <w:rsid w:val="00935B71"/>
    <w:rsid w:val="0093684C"/>
    <w:rsid w:val="0093687B"/>
    <w:rsid w:val="009368A6"/>
    <w:rsid w:val="00937105"/>
    <w:rsid w:val="00937370"/>
    <w:rsid w:val="00937773"/>
    <w:rsid w:val="00937F5E"/>
    <w:rsid w:val="00940DD5"/>
    <w:rsid w:val="009410AC"/>
    <w:rsid w:val="009411AB"/>
    <w:rsid w:val="00941860"/>
    <w:rsid w:val="00941D12"/>
    <w:rsid w:val="00942481"/>
    <w:rsid w:val="00943ACF"/>
    <w:rsid w:val="00944383"/>
    <w:rsid w:val="009444EC"/>
    <w:rsid w:val="00944E51"/>
    <w:rsid w:val="009453AE"/>
    <w:rsid w:val="009457FA"/>
    <w:rsid w:val="00945830"/>
    <w:rsid w:val="00945EFE"/>
    <w:rsid w:val="00946288"/>
    <w:rsid w:val="0094658B"/>
    <w:rsid w:val="00946ADD"/>
    <w:rsid w:val="009475F6"/>
    <w:rsid w:val="00950B79"/>
    <w:rsid w:val="009511E2"/>
    <w:rsid w:val="00951A9C"/>
    <w:rsid w:val="00951B21"/>
    <w:rsid w:val="0095259B"/>
    <w:rsid w:val="00953394"/>
    <w:rsid w:val="00954C31"/>
    <w:rsid w:val="0095507C"/>
    <w:rsid w:val="00955362"/>
    <w:rsid w:val="00955A2D"/>
    <w:rsid w:val="009564F5"/>
    <w:rsid w:val="009567F8"/>
    <w:rsid w:val="0095695F"/>
    <w:rsid w:val="00956BA5"/>
    <w:rsid w:val="00956F8A"/>
    <w:rsid w:val="00957725"/>
    <w:rsid w:val="00960505"/>
    <w:rsid w:val="00960990"/>
    <w:rsid w:val="009617EB"/>
    <w:rsid w:val="00961AAC"/>
    <w:rsid w:val="00962F07"/>
    <w:rsid w:val="00963A06"/>
    <w:rsid w:val="00963C18"/>
    <w:rsid w:val="0096418A"/>
    <w:rsid w:val="009645DD"/>
    <w:rsid w:val="00964CC0"/>
    <w:rsid w:val="00964F4D"/>
    <w:rsid w:val="009658A1"/>
    <w:rsid w:val="00965940"/>
    <w:rsid w:val="0096680F"/>
    <w:rsid w:val="00966B23"/>
    <w:rsid w:val="009676CB"/>
    <w:rsid w:val="00970019"/>
    <w:rsid w:val="00972338"/>
    <w:rsid w:val="0097273A"/>
    <w:rsid w:val="009737C1"/>
    <w:rsid w:val="00973AD4"/>
    <w:rsid w:val="00973C6B"/>
    <w:rsid w:val="00973C9B"/>
    <w:rsid w:val="00974272"/>
    <w:rsid w:val="00974A00"/>
    <w:rsid w:val="00975508"/>
    <w:rsid w:val="00975C76"/>
    <w:rsid w:val="00975EF3"/>
    <w:rsid w:val="00977188"/>
    <w:rsid w:val="00977822"/>
    <w:rsid w:val="0098113C"/>
    <w:rsid w:val="00981923"/>
    <w:rsid w:val="00982465"/>
    <w:rsid w:val="00982DAD"/>
    <w:rsid w:val="009848F4"/>
    <w:rsid w:val="00984B71"/>
    <w:rsid w:val="009854A0"/>
    <w:rsid w:val="009866E0"/>
    <w:rsid w:val="00986709"/>
    <w:rsid w:val="00986BBC"/>
    <w:rsid w:val="00986F4E"/>
    <w:rsid w:val="009873B8"/>
    <w:rsid w:val="009875B9"/>
    <w:rsid w:val="009875EC"/>
    <w:rsid w:val="00987733"/>
    <w:rsid w:val="009877ED"/>
    <w:rsid w:val="00990E4A"/>
    <w:rsid w:val="0099277F"/>
    <w:rsid w:val="00992AFC"/>
    <w:rsid w:val="00992D4C"/>
    <w:rsid w:val="009934D0"/>
    <w:rsid w:val="0099397F"/>
    <w:rsid w:val="009944D7"/>
    <w:rsid w:val="00994C14"/>
    <w:rsid w:val="00995B16"/>
    <w:rsid w:val="0099657E"/>
    <w:rsid w:val="00996E31"/>
    <w:rsid w:val="009974C3"/>
    <w:rsid w:val="00997DEB"/>
    <w:rsid w:val="00997F0A"/>
    <w:rsid w:val="009A0C0C"/>
    <w:rsid w:val="009A1389"/>
    <w:rsid w:val="009A1D02"/>
    <w:rsid w:val="009A2869"/>
    <w:rsid w:val="009A3983"/>
    <w:rsid w:val="009A3A7E"/>
    <w:rsid w:val="009A3D34"/>
    <w:rsid w:val="009A4597"/>
    <w:rsid w:val="009A4C22"/>
    <w:rsid w:val="009A5120"/>
    <w:rsid w:val="009A63CE"/>
    <w:rsid w:val="009A68B0"/>
    <w:rsid w:val="009A7378"/>
    <w:rsid w:val="009B11B8"/>
    <w:rsid w:val="009B1749"/>
    <w:rsid w:val="009B18E5"/>
    <w:rsid w:val="009B242F"/>
    <w:rsid w:val="009B24BD"/>
    <w:rsid w:val="009B2A2D"/>
    <w:rsid w:val="009B3215"/>
    <w:rsid w:val="009B34FB"/>
    <w:rsid w:val="009B409A"/>
    <w:rsid w:val="009B4813"/>
    <w:rsid w:val="009B59AA"/>
    <w:rsid w:val="009B5AB4"/>
    <w:rsid w:val="009B6321"/>
    <w:rsid w:val="009B63ED"/>
    <w:rsid w:val="009B7248"/>
    <w:rsid w:val="009B7376"/>
    <w:rsid w:val="009C0CBF"/>
    <w:rsid w:val="009C1042"/>
    <w:rsid w:val="009C143E"/>
    <w:rsid w:val="009C24A5"/>
    <w:rsid w:val="009C2654"/>
    <w:rsid w:val="009C2EDC"/>
    <w:rsid w:val="009C333F"/>
    <w:rsid w:val="009C3590"/>
    <w:rsid w:val="009C3885"/>
    <w:rsid w:val="009C3AE1"/>
    <w:rsid w:val="009C3EC0"/>
    <w:rsid w:val="009C4322"/>
    <w:rsid w:val="009C5805"/>
    <w:rsid w:val="009C6712"/>
    <w:rsid w:val="009C691F"/>
    <w:rsid w:val="009C722D"/>
    <w:rsid w:val="009C78E9"/>
    <w:rsid w:val="009C794F"/>
    <w:rsid w:val="009C7E11"/>
    <w:rsid w:val="009D081A"/>
    <w:rsid w:val="009D0C0F"/>
    <w:rsid w:val="009D10D6"/>
    <w:rsid w:val="009D158A"/>
    <w:rsid w:val="009D25C2"/>
    <w:rsid w:val="009D3210"/>
    <w:rsid w:val="009D358A"/>
    <w:rsid w:val="009D3B3D"/>
    <w:rsid w:val="009D3B66"/>
    <w:rsid w:val="009D3FE8"/>
    <w:rsid w:val="009D40F2"/>
    <w:rsid w:val="009D556D"/>
    <w:rsid w:val="009D5ED1"/>
    <w:rsid w:val="009D5ED3"/>
    <w:rsid w:val="009D5F3D"/>
    <w:rsid w:val="009D6656"/>
    <w:rsid w:val="009D6CB8"/>
    <w:rsid w:val="009D6FAF"/>
    <w:rsid w:val="009D7C4C"/>
    <w:rsid w:val="009D7DFD"/>
    <w:rsid w:val="009E07C2"/>
    <w:rsid w:val="009E084F"/>
    <w:rsid w:val="009E0866"/>
    <w:rsid w:val="009E0D70"/>
    <w:rsid w:val="009E19EC"/>
    <w:rsid w:val="009E1F28"/>
    <w:rsid w:val="009E2622"/>
    <w:rsid w:val="009E2A6B"/>
    <w:rsid w:val="009E2FDE"/>
    <w:rsid w:val="009E3294"/>
    <w:rsid w:val="009E41C1"/>
    <w:rsid w:val="009E45A6"/>
    <w:rsid w:val="009E46A3"/>
    <w:rsid w:val="009E60FE"/>
    <w:rsid w:val="009E62C0"/>
    <w:rsid w:val="009E72E1"/>
    <w:rsid w:val="009F05BF"/>
    <w:rsid w:val="009F1255"/>
    <w:rsid w:val="009F194A"/>
    <w:rsid w:val="009F1B86"/>
    <w:rsid w:val="009F2431"/>
    <w:rsid w:val="009F2B1E"/>
    <w:rsid w:val="009F2EA8"/>
    <w:rsid w:val="009F3AD3"/>
    <w:rsid w:val="009F3B99"/>
    <w:rsid w:val="009F3E8B"/>
    <w:rsid w:val="009F4012"/>
    <w:rsid w:val="009F45BE"/>
    <w:rsid w:val="009F4667"/>
    <w:rsid w:val="009F5082"/>
    <w:rsid w:val="009F50D0"/>
    <w:rsid w:val="009F518B"/>
    <w:rsid w:val="009F5288"/>
    <w:rsid w:val="009F561E"/>
    <w:rsid w:val="009F615F"/>
    <w:rsid w:val="009F6C2A"/>
    <w:rsid w:val="00A003BF"/>
    <w:rsid w:val="00A00FB8"/>
    <w:rsid w:val="00A02E40"/>
    <w:rsid w:val="00A032F3"/>
    <w:rsid w:val="00A03401"/>
    <w:rsid w:val="00A034D7"/>
    <w:rsid w:val="00A040D6"/>
    <w:rsid w:val="00A044DC"/>
    <w:rsid w:val="00A04CF1"/>
    <w:rsid w:val="00A053D6"/>
    <w:rsid w:val="00A05AEA"/>
    <w:rsid w:val="00A05EBA"/>
    <w:rsid w:val="00A068FB"/>
    <w:rsid w:val="00A06A54"/>
    <w:rsid w:val="00A06CEC"/>
    <w:rsid w:val="00A070BC"/>
    <w:rsid w:val="00A07B3C"/>
    <w:rsid w:val="00A10682"/>
    <w:rsid w:val="00A10D66"/>
    <w:rsid w:val="00A10ECF"/>
    <w:rsid w:val="00A114E2"/>
    <w:rsid w:val="00A11F7D"/>
    <w:rsid w:val="00A1276B"/>
    <w:rsid w:val="00A12885"/>
    <w:rsid w:val="00A12B2E"/>
    <w:rsid w:val="00A130C8"/>
    <w:rsid w:val="00A1379E"/>
    <w:rsid w:val="00A13BC5"/>
    <w:rsid w:val="00A13D2A"/>
    <w:rsid w:val="00A14607"/>
    <w:rsid w:val="00A14616"/>
    <w:rsid w:val="00A14850"/>
    <w:rsid w:val="00A14892"/>
    <w:rsid w:val="00A151AC"/>
    <w:rsid w:val="00A15E4C"/>
    <w:rsid w:val="00A1647A"/>
    <w:rsid w:val="00A16F67"/>
    <w:rsid w:val="00A17152"/>
    <w:rsid w:val="00A173A2"/>
    <w:rsid w:val="00A20184"/>
    <w:rsid w:val="00A209FA"/>
    <w:rsid w:val="00A211CE"/>
    <w:rsid w:val="00A21A33"/>
    <w:rsid w:val="00A22A83"/>
    <w:rsid w:val="00A22E88"/>
    <w:rsid w:val="00A236B3"/>
    <w:rsid w:val="00A23DA4"/>
    <w:rsid w:val="00A2468D"/>
    <w:rsid w:val="00A2493A"/>
    <w:rsid w:val="00A249DF"/>
    <w:rsid w:val="00A25B33"/>
    <w:rsid w:val="00A277B7"/>
    <w:rsid w:val="00A3001D"/>
    <w:rsid w:val="00A309B4"/>
    <w:rsid w:val="00A312D4"/>
    <w:rsid w:val="00A31EB7"/>
    <w:rsid w:val="00A32244"/>
    <w:rsid w:val="00A3253F"/>
    <w:rsid w:val="00A32BEB"/>
    <w:rsid w:val="00A337F5"/>
    <w:rsid w:val="00A33963"/>
    <w:rsid w:val="00A352EC"/>
    <w:rsid w:val="00A361E7"/>
    <w:rsid w:val="00A362A2"/>
    <w:rsid w:val="00A37864"/>
    <w:rsid w:val="00A4055F"/>
    <w:rsid w:val="00A407B7"/>
    <w:rsid w:val="00A41C99"/>
    <w:rsid w:val="00A41F83"/>
    <w:rsid w:val="00A423BE"/>
    <w:rsid w:val="00A42723"/>
    <w:rsid w:val="00A42A28"/>
    <w:rsid w:val="00A43ED6"/>
    <w:rsid w:val="00A44653"/>
    <w:rsid w:val="00A44A6E"/>
    <w:rsid w:val="00A4570B"/>
    <w:rsid w:val="00A45A23"/>
    <w:rsid w:val="00A45B68"/>
    <w:rsid w:val="00A45FC2"/>
    <w:rsid w:val="00A466E4"/>
    <w:rsid w:val="00A469B6"/>
    <w:rsid w:val="00A471AA"/>
    <w:rsid w:val="00A4778F"/>
    <w:rsid w:val="00A50866"/>
    <w:rsid w:val="00A5117B"/>
    <w:rsid w:val="00A512A0"/>
    <w:rsid w:val="00A51855"/>
    <w:rsid w:val="00A5255A"/>
    <w:rsid w:val="00A52816"/>
    <w:rsid w:val="00A5293E"/>
    <w:rsid w:val="00A53023"/>
    <w:rsid w:val="00A54516"/>
    <w:rsid w:val="00A5475E"/>
    <w:rsid w:val="00A55C16"/>
    <w:rsid w:val="00A56358"/>
    <w:rsid w:val="00A568B5"/>
    <w:rsid w:val="00A57EF3"/>
    <w:rsid w:val="00A57F6B"/>
    <w:rsid w:val="00A60369"/>
    <w:rsid w:val="00A60744"/>
    <w:rsid w:val="00A61377"/>
    <w:rsid w:val="00A6161F"/>
    <w:rsid w:val="00A61C3D"/>
    <w:rsid w:val="00A61FDB"/>
    <w:rsid w:val="00A62498"/>
    <w:rsid w:val="00A63916"/>
    <w:rsid w:val="00A63965"/>
    <w:rsid w:val="00A65198"/>
    <w:rsid w:val="00A667AE"/>
    <w:rsid w:val="00A67E53"/>
    <w:rsid w:val="00A67FBD"/>
    <w:rsid w:val="00A67FE6"/>
    <w:rsid w:val="00A70130"/>
    <w:rsid w:val="00A70B2E"/>
    <w:rsid w:val="00A70D64"/>
    <w:rsid w:val="00A712A5"/>
    <w:rsid w:val="00A7303D"/>
    <w:rsid w:val="00A732D6"/>
    <w:rsid w:val="00A7341B"/>
    <w:rsid w:val="00A746F7"/>
    <w:rsid w:val="00A74745"/>
    <w:rsid w:val="00A748F0"/>
    <w:rsid w:val="00A748F4"/>
    <w:rsid w:val="00A75939"/>
    <w:rsid w:val="00A762D0"/>
    <w:rsid w:val="00A76A2E"/>
    <w:rsid w:val="00A771C3"/>
    <w:rsid w:val="00A77322"/>
    <w:rsid w:val="00A801A7"/>
    <w:rsid w:val="00A8154F"/>
    <w:rsid w:val="00A819F2"/>
    <w:rsid w:val="00A81C18"/>
    <w:rsid w:val="00A81CD1"/>
    <w:rsid w:val="00A81E06"/>
    <w:rsid w:val="00A8201E"/>
    <w:rsid w:val="00A82495"/>
    <w:rsid w:val="00A83400"/>
    <w:rsid w:val="00A8357C"/>
    <w:rsid w:val="00A83751"/>
    <w:rsid w:val="00A84292"/>
    <w:rsid w:val="00A844EF"/>
    <w:rsid w:val="00A84A57"/>
    <w:rsid w:val="00A84EEE"/>
    <w:rsid w:val="00A857FF"/>
    <w:rsid w:val="00A85B7C"/>
    <w:rsid w:val="00A8610F"/>
    <w:rsid w:val="00A86FB5"/>
    <w:rsid w:val="00A900B3"/>
    <w:rsid w:val="00A90117"/>
    <w:rsid w:val="00A90393"/>
    <w:rsid w:val="00A9163E"/>
    <w:rsid w:val="00A91F11"/>
    <w:rsid w:val="00A9331E"/>
    <w:rsid w:val="00A93687"/>
    <w:rsid w:val="00A93862"/>
    <w:rsid w:val="00A93DB0"/>
    <w:rsid w:val="00A94952"/>
    <w:rsid w:val="00A94AD1"/>
    <w:rsid w:val="00A95E61"/>
    <w:rsid w:val="00A96AB5"/>
    <w:rsid w:val="00A96F8E"/>
    <w:rsid w:val="00A979E5"/>
    <w:rsid w:val="00A97AB1"/>
    <w:rsid w:val="00AA0D15"/>
    <w:rsid w:val="00AA132E"/>
    <w:rsid w:val="00AA1398"/>
    <w:rsid w:val="00AA18BC"/>
    <w:rsid w:val="00AA2798"/>
    <w:rsid w:val="00AA2CA5"/>
    <w:rsid w:val="00AA3003"/>
    <w:rsid w:val="00AA3B3D"/>
    <w:rsid w:val="00AA4872"/>
    <w:rsid w:val="00AA59E3"/>
    <w:rsid w:val="00AA5D63"/>
    <w:rsid w:val="00AA615A"/>
    <w:rsid w:val="00AB047D"/>
    <w:rsid w:val="00AB04AF"/>
    <w:rsid w:val="00AB058D"/>
    <w:rsid w:val="00AB14BC"/>
    <w:rsid w:val="00AB5667"/>
    <w:rsid w:val="00AB5987"/>
    <w:rsid w:val="00AB5D05"/>
    <w:rsid w:val="00AB66EE"/>
    <w:rsid w:val="00AB6AAA"/>
    <w:rsid w:val="00AB6C89"/>
    <w:rsid w:val="00AB6E22"/>
    <w:rsid w:val="00AB7604"/>
    <w:rsid w:val="00AB77A0"/>
    <w:rsid w:val="00AC00D2"/>
    <w:rsid w:val="00AC1362"/>
    <w:rsid w:val="00AC192B"/>
    <w:rsid w:val="00AC2053"/>
    <w:rsid w:val="00AC2263"/>
    <w:rsid w:val="00AC3315"/>
    <w:rsid w:val="00AC3337"/>
    <w:rsid w:val="00AC334B"/>
    <w:rsid w:val="00AC3475"/>
    <w:rsid w:val="00AC3716"/>
    <w:rsid w:val="00AC4383"/>
    <w:rsid w:val="00AC4E6D"/>
    <w:rsid w:val="00AC5704"/>
    <w:rsid w:val="00AC67BA"/>
    <w:rsid w:val="00AC6B1D"/>
    <w:rsid w:val="00AC6D2C"/>
    <w:rsid w:val="00AC6F8A"/>
    <w:rsid w:val="00AC75ED"/>
    <w:rsid w:val="00AD05F0"/>
    <w:rsid w:val="00AD0E78"/>
    <w:rsid w:val="00AD2617"/>
    <w:rsid w:val="00AD301A"/>
    <w:rsid w:val="00AD3071"/>
    <w:rsid w:val="00AD3954"/>
    <w:rsid w:val="00AD4024"/>
    <w:rsid w:val="00AD4469"/>
    <w:rsid w:val="00AD4893"/>
    <w:rsid w:val="00AD4AE9"/>
    <w:rsid w:val="00AD4EE6"/>
    <w:rsid w:val="00AD6CDE"/>
    <w:rsid w:val="00AD70DA"/>
    <w:rsid w:val="00AD7172"/>
    <w:rsid w:val="00AD71AD"/>
    <w:rsid w:val="00AD76FE"/>
    <w:rsid w:val="00AE0295"/>
    <w:rsid w:val="00AE1396"/>
    <w:rsid w:val="00AE2FD4"/>
    <w:rsid w:val="00AE579A"/>
    <w:rsid w:val="00AE5F16"/>
    <w:rsid w:val="00AE61EC"/>
    <w:rsid w:val="00AE63BA"/>
    <w:rsid w:val="00AE644F"/>
    <w:rsid w:val="00AE780B"/>
    <w:rsid w:val="00AF00ED"/>
    <w:rsid w:val="00AF00F4"/>
    <w:rsid w:val="00AF0B75"/>
    <w:rsid w:val="00AF0D72"/>
    <w:rsid w:val="00AF12BC"/>
    <w:rsid w:val="00AF1316"/>
    <w:rsid w:val="00AF20B4"/>
    <w:rsid w:val="00AF2411"/>
    <w:rsid w:val="00AF2A2A"/>
    <w:rsid w:val="00AF65A7"/>
    <w:rsid w:val="00AF6669"/>
    <w:rsid w:val="00AF6851"/>
    <w:rsid w:val="00AF6C6A"/>
    <w:rsid w:val="00AF6E49"/>
    <w:rsid w:val="00AF6EA4"/>
    <w:rsid w:val="00AF7577"/>
    <w:rsid w:val="00AF7C3A"/>
    <w:rsid w:val="00AF7DEF"/>
    <w:rsid w:val="00AF7E84"/>
    <w:rsid w:val="00B00504"/>
    <w:rsid w:val="00B00607"/>
    <w:rsid w:val="00B01133"/>
    <w:rsid w:val="00B012AB"/>
    <w:rsid w:val="00B0188F"/>
    <w:rsid w:val="00B018E2"/>
    <w:rsid w:val="00B01A56"/>
    <w:rsid w:val="00B02600"/>
    <w:rsid w:val="00B027FA"/>
    <w:rsid w:val="00B02B68"/>
    <w:rsid w:val="00B0362C"/>
    <w:rsid w:val="00B03719"/>
    <w:rsid w:val="00B038C1"/>
    <w:rsid w:val="00B039C1"/>
    <w:rsid w:val="00B03DA0"/>
    <w:rsid w:val="00B043E6"/>
    <w:rsid w:val="00B047B7"/>
    <w:rsid w:val="00B04D6B"/>
    <w:rsid w:val="00B04E2B"/>
    <w:rsid w:val="00B060A9"/>
    <w:rsid w:val="00B061F8"/>
    <w:rsid w:val="00B071DF"/>
    <w:rsid w:val="00B10070"/>
    <w:rsid w:val="00B10842"/>
    <w:rsid w:val="00B1091E"/>
    <w:rsid w:val="00B112F0"/>
    <w:rsid w:val="00B11410"/>
    <w:rsid w:val="00B11EC3"/>
    <w:rsid w:val="00B1288D"/>
    <w:rsid w:val="00B13908"/>
    <w:rsid w:val="00B148DA"/>
    <w:rsid w:val="00B14C77"/>
    <w:rsid w:val="00B14DE5"/>
    <w:rsid w:val="00B15D61"/>
    <w:rsid w:val="00B1618F"/>
    <w:rsid w:val="00B178A2"/>
    <w:rsid w:val="00B17E40"/>
    <w:rsid w:val="00B20394"/>
    <w:rsid w:val="00B204EB"/>
    <w:rsid w:val="00B20511"/>
    <w:rsid w:val="00B2080B"/>
    <w:rsid w:val="00B20877"/>
    <w:rsid w:val="00B20D0D"/>
    <w:rsid w:val="00B2154D"/>
    <w:rsid w:val="00B21A6B"/>
    <w:rsid w:val="00B226E1"/>
    <w:rsid w:val="00B22719"/>
    <w:rsid w:val="00B22847"/>
    <w:rsid w:val="00B235D8"/>
    <w:rsid w:val="00B23AF3"/>
    <w:rsid w:val="00B2436A"/>
    <w:rsid w:val="00B2495D"/>
    <w:rsid w:val="00B24A47"/>
    <w:rsid w:val="00B25594"/>
    <w:rsid w:val="00B2647F"/>
    <w:rsid w:val="00B2686A"/>
    <w:rsid w:val="00B268B0"/>
    <w:rsid w:val="00B27156"/>
    <w:rsid w:val="00B27C86"/>
    <w:rsid w:val="00B308CE"/>
    <w:rsid w:val="00B30C87"/>
    <w:rsid w:val="00B30C97"/>
    <w:rsid w:val="00B312B9"/>
    <w:rsid w:val="00B31C1D"/>
    <w:rsid w:val="00B31E23"/>
    <w:rsid w:val="00B322E9"/>
    <w:rsid w:val="00B32528"/>
    <w:rsid w:val="00B32B1F"/>
    <w:rsid w:val="00B32F4F"/>
    <w:rsid w:val="00B33436"/>
    <w:rsid w:val="00B33525"/>
    <w:rsid w:val="00B33B04"/>
    <w:rsid w:val="00B33E8C"/>
    <w:rsid w:val="00B346E9"/>
    <w:rsid w:val="00B34EE0"/>
    <w:rsid w:val="00B35825"/>
    <w:rsid w:val="00B40CBF"/>
    <w:rsid w:val="00B41859"/>
    <w:rsid w:val="00B41CA7"/>
    <w:rsid w:val="00B41EBF"/>
    <w:rsid w:val="00B420F5"/>
    <w:rsid w:val="00B42460"/>
    <w:rsid w:val="00B42887"/>
    <w:rsid w:val="00B42BD5"/>
    <w:rsid w:val="00B42F96"/>
    <w:rsid w:val="00B430A5"/>
    <w:rsid w:val="00B43C20"/>
    <w:rsid w:val="00B447F7"/>
    <w:rsid w:val="00B44FB2"/>
    <w:rsid w:val="00B45654"/>
    <w:rsid w:val="00B45931"/>
    <w:rsid w:val="00B45D82"/>
    <w:rsid w:val="00B45FBA"/>
    <w:rsid w:val="00B461A5"/>
    <w:rsid w:val="00B47140"/>
    <w:rsid w:val="00B47147"/>
    <w:rsid w:val="00B47F6C"/>
    <w:rsid w:val="00B511E2"/>
    <w:rsid w:val="00B51705"/>
    <w:rsid w:val="00B51999"/>
    <w:rsid w:val="00B52819"/>
    <w:rsid w:val="00B52878"/>
    <w:rsid w:val="00B529AE"/>
    <w:rsid w:val="00B5339F"/>
    <w:rsid w:val="00B53D33"/>
    <w:rsid w:val="00B55462"/>
    <w:rsid w:val="00B55AAF"/>
    <w:rsid w:val="00B5678D"/>
    <w:rsid w:val="00B56D6F"/>
    <w:rsid w:val="00B57458"/>
    <w:rsid w:val="00B574B8"/>
    <w:rsid w:val="00B5785C"/>
    <w:rsid w:val="00B60CBC"/>
    <w:rsid w:val="00B618BF"/>
    <w:rsid w:val="00B62C32"/>
    <w:rsid w:val="00B62F09"/>
    <w:rsid w:val="00B63E0C"/>
    <w:rsid w:val="00B645E3"/>
    <w:rsid w:val="00B64764"/>
    <w:rsid w:val="00B64873"/>
    <w:rsid w:val="00B65016"/>
    <w:rsid w:val="00B6504B"/>
    <w:rsid w:val="00B66ABF"/>
    <w:rsid w:val="00B67082"/>
    <w:rsid w:val="00B677DD"/>
    <w:rsid w:val="00B70075"/>
    <w:rsid w:val="00B704B0"/>
    <w:rsid w:val="00B70738"/>
    <w:rsid w:val="00B70989"/>
    <w:rsid w:val="00B70F31"/>
    <w:rsid w:val="00B71614"/>
    <w:rsid w:val="00B71C13"/>
    <w:rsid w:val="00B72188"/>
    <w:rsid w:val="00B72796"/>
    <w:rsid w:val="00B72832"/>
    <w:rsid w:val="00B729D0"/>
    <w:rsid w:val="00B72B01"/>
    <w:rsid w:val="00B72C27"/>
    <w:rsid w:val="00B72F4A"/>
    <w:rsid w:val="00B73310"/>
    <w:rsid w:val="00B74385"/>
    <w:rsid w:val="00B74D8C"/>
    <w:rsid w:val="00B75221"/>
    <w:rsid w:val="00B7523F"/>
    <w:rsid w:val="00B752DC"/>
    <w:rsid w:val="00B75844"/>
    <w:rsid w:val="00B761AA"/>
    <w:rsid w:val="00B76D5E"/>
    <w:rsid w:val="00B77B08"/>
    <w:rsid w:val="00B77D1F"/>
    <w:rsid w:val="00B77E7C"/>
    <w:rsid w:val="00B803E6"/>
    <w:rsid w:val="00B8084C"/>
    <w:rsid w:val="00B80BC0"/>
    <w:rsid w:val="00B810E6"/>
    <w:rsid w:val="00B81721"/>
    <w:rsid w:val="00B81904"/>
    <w:rsid w:val="00B81A26"/>
    <w:rsid w:val="00B82056"/>
    <w:rsid w:val="00B820BF"/>
    <w:rsid w:val="00B82999"/>
    <w:rsid w:val="00B830AE"/>
    <w:rsid w:val="00B833E9"/>
    <w:rsid w:val="00B83979"/>
    <w:rsid w:val="00B83ED0"/>
    <w:rsid w:val="00B83FD1"/>
    <w:rsid w:val="00B8442F"/>
    <w:rsid w:val="00B84470"/>
    <w:rsid w:val="00B84AC0"/>
    <w:rsid w:val="00B8509F"/>
    <w:rsid w:val="00B8634B"/>
    <w:rsid w:val="00B865BB"/>
    <w:rsid w:val="00B878E4"/>
    <w:rsid w:val="00B9057B"/>
    <w:rsid w:val="00B90632"/>
    <w:rsid w:val="00B90760"/>
    <w:rsid w:val="00B90BB5"/>
    <w:rsid w:val="00B911D8"/>
    <w:rsid w:val="00B9164D"/>
    <w:rsid w:val="00B91C06"/>
    <w:rsid w:val="00B92398"/>
    <w:rsid w:val="00B9418E"/>
    <w:rsid w:val="00B9509E"/>
    <w:rsid w:val="00B95196"/>
    <w:rsid w:val="00B955E6"/>
    <w:rsid w:val="00B956CE"/>
    <w:rsid w:val="00B95708"/>
    <w:rsid w:val="00B96963"/>
    <w:rsid w:val="00B96980"/>
    <w:rsid w:val="00B96AAF"/>
    <w:rsid w:val="00B96B07"/>
    <w:rsid w:val="00B96B31"/>
    <w:rsid w:val="00B972AB"/>
    <w:rsid w:val="00B97A55"/>
    <w:rsid w:val="00B97F8E"/>
    <w:rsid w:val="00BA0E30"/>
    <w:rsid w:val="00BA14D8"/>
    <w:rsid w:val="00BA41AE"/>
    <w:rsid w:val="00BA4559"/>
    <w:rsid w:val="00BA5993"/>
    <w:rsid w:val="00BA605A"/>
    <w:rsid w:val="00BA7285"/>
    <w:rsid w:val="00BA7649"/>
    <w:rsid w:val="00BA798E"/>
    <w:rsid w:val="00BB0036"/>
    <w:rsid w:val="00BB06E1"/>
    <w:rsid w:val="00BB12FA"/>
    <w:rsid w:val="00BB33B8"/>
    <w:rsid w:val="00BB33F9"/>
    <w:rsid w:val="00BB4385"/>
    <w:rsid w:val="00BB4D6B"/>
    <w:rsid w:val="00BB52B0"/>
    <w:rsid w:val="00BB5F1B"/>
    <w:rsid w:val="00BB5F1E"/>
    <w:rsid w:val="00BB65C1"/>
    <w:rsid w:val="00BB6CB6"/>
    <w:rsid w:val="00BB7684"/>
    <w:rsid w:val="00BC0324"/>
    <w:rsid w:val="00BC0400"/>
    <w:rsid w:val="00BC0AE1"/>
    <w:rsid w:val="00BC24A2"/>
    <w:rsid w:val="00BC2665"/>
    <w:rsid w:val="00BC3107"/>
    <w:rsid w:val="00BC31C7"/>
    <w:rsid w:val="00BC3BC7"/>
    <w:rsid w:val="00BC3C57"/>
    <w:rsid w:val="00BC3F60"/>
    <w:rsid w:val="00BC46E4"/>
    <w:rsid w:val="00BC4AB4"/>
    <w:rsid w:val="00BC5095"/>
    <w:rsid w:val="00BC51D3"/>
    <w:rsid w:val="00BC5A5E"/>
    <w:rsid w:val="00BC6474"/>
    <w:rsid w:val="00BC66D8"/>
    <w:rsid w:val="00BC6A2B"/>
    <w:rsid w:val="00BC6D11"/>
    <w:rsid w:val="00BD02E8"/>
    <w:rsid w:val="00BD0A77"/>
    <w:rsid w:val="00BD1C98"/>
    <w:rsid w:val="00BD24D7"/>
    <w:rsid w:val="00BD29BB"/>
    <w:rsid w:val="00BD333F"/>
    <w:rsid w:val="00BD36D8"/>
    <w:rsid w:val="00BD4397"/>
    <w:rsid w:val="00BD4DCE"/>
    <w:rsid w:val="00BD5990"/>
    <w:rsid w:val="00BD60F4"/>
    <w:rsid w:val="00BD6621"/>
    <w:rsid w:val="00BD66D9"/>
    <w:rsid w:val="00BD6858"/>
    <w:rsid w:val="00BD6A73"/>
    <w:rsid w:val="00BD73C4"/>
    <w:rsid w:val="00BD7E0C"/>
    <w:rsid w:val="00BE0DDC"/>
    <w:rsid w:val="00BE0E73"/>
    <w:rsid w:val="00BE1329"/>
    <w:rsid w:val="00BE17F7"/>
    <w:rsid w:val="00BE1AB8"/>
    <w:rsid w:val="00BE26F1"/>
    <w:rsid w:val="00BE32CE"/>
    <w:rsid w:val="00BE4345"/>
    <w:rsid w:val="00BE4465"/>
    <w:rsid w:val="00BE4DF6"/>
    <w:rsid w:val="00BE56F5"/>
    <w:rsid w:val="00BF02D2"/>
    <w:rsid w:val="00BF0F8E"/>
    <w:rsid w:val="00BF1BF6"/>
    <w:rsid w:val="00BF274A"/>
    <w:rsid w:val="00BF29E2"/>
    <w:rsid w:val="00BF3600"/>
    <w:rsid w:val="00BF3992"/>
    <w:rsid w:val="00BF3AD6"/>
    <w:rsid w:val="00BF55DB"/>
    <w:rsid w:val="00BF5821"/>
    <w:rsid w:val="00BF5AE3"/>
    <w:rsid w:val="00BF6474"/>
    <w:rsid w:val="00BF64F7"/>
    <w:rsid w:val="00BF6E1E"/>
    <w:rsid w:val="00BF6E95"/>
    <w:rsid w:val="00BF75F1"/>
    <w:rsid w:val="00C00BC7"/>
    <w:rsid w:val="00C00C31"/>
    <w:rsid w:val="00C0135B"/>
    <w:rsid w:val="00C013DA"/>
    <w:rsid w:val="00C01A7E"/>
    <w:rsid w:val="00C01B49"/>
    <w:rsid w:val="00C01CCC"/>
    <w:rsid w:val="00C0223C"/>
    <w:rsid w:val="00C0585E"/>
    <w:rsid w:val="00C067E7"/>
    <w:rsid w:val="00C0691C"/>
    <w:rsid w:val="00C06C97"/>
    <w:rsid w:val="00C07164"/>
    <w:rsid w:val="00C072A6"/>
    <w:rsid w:val="00C1048C"/>
    <w:rsid w:val="00C10D05"/>
    <w:rsid w:val="00C1143D"/>
    <w:rsid w:val="00C11C0C"/>
    <w:rsid w:val="00C11FA1"/>
    <w:rsid w:val="00C124DF"/>
    <w:rsid w:val="00C12AD9"/>
    <w:rsid w:val="00C12C43"/>
    <w:rsid w:val="00C1333C"/>
    <w:rsid w:val="00C13B61"/>
    <w:rsid w:val="00C14414"/>
    <w:rsid w:val="00C15394"/>
    <w:rsid w:val="00C166A4"/>
    <w:rsid w:val="00C16AEC"/>
    <w:rsid w:val="00C20548"/>
    <w:rsid w:val="00C20564"/>
    <w:rsid w:val="00C212CA"/>
    <w:rsid w:val="00C21DD2"/>
    <w:rsid w:val="00C221E4"/>
    <w:rsid w:val="00C22EEF"/>
    <w:rsid w:val="00C232C7"/>
    <w:rsid w:val="00C2408A"/>
    <w:rsid w:val="00C24580"/>
    <w:rsid w:val="00C24793"/>
    <w:rsid w:val="00C266C1"/>
    <w:rsid w:val="00C2700B"/>
    <w:rsid w:val="00C273FB"/>
    <w:rsid w:val="00C31377"/>
    <w:rsid w:val="00C31614"/>
    <w:rsid w:val="00C321AB"/>
    <w:rsid w:val="00C3279C"/>
    <w:rsid w:val="00C33AED"/>
    <w:rsid w:val="00C33EEE"/>
    <w:rsid w:val="00C340F5"/>
    <w:rsid w:val="00C350F1"/>
    <w:rsid w:val="00C3550F"/>
    <w:rsid w:val="00C365D4"/>
    <w:rsid w:val="00C3678F"/>
    <w:rsid w:val="00C372A9"/>
    <w:rsid w:val="00C377D5"/>
    <w:rsid w:val="00C37AD3"/>
    <w:rsid w:val="00C40393"/>
    <w:rsid w:val="00C40ADC"/>
    <w:rsid w:val="00C413C8"/>
    <w:rsid w:val="00C41CAF"/>
    <w:rsid w:val="00C42FE6"/>
    <w:rsid w:val="00C4320E"/>
    <w:rsid w:val="00C45750"/>
    <w:rsid w:val="00C46033"/>
    <w:rsid w:val="00C46620"/>
    <w:rsid w:val="00C46C6D"/>
    <w:rsid w:val="00C4779F"/>
    <w:rsid w:val="00C47D71"/>
    <w:rsid w:val="00C5066F"/>
    <w:rsid w:val="00C5295E"/>
    <w:rsid w:val="00C52BFF"/>
    <w:rsid w:val="00C533BA"/>
    <w:rsid w:val="00C53816"/>
    <w:rsid w:val="00C53FDF"/>
    <w:rsid w:val="00C541FA"/>
    <w:rsid w:val="00C542A5"/>
    <w:rsid w:val="00C55DD8"/>
    <w:rsid w:val="00C5697A"/>
    <w:rsid w:val="00C56DBA"/>
    <w:rsid w:val="00C57A20"/>
    <w:rsid w:val="00C60955"/>
    <w:rsid w:val="00C61226"/>
    <w:rsid w:val="00C62608"/>
    <w:rsid w:val="00C62719"/>
    <w:rsid w:val="00C62AC5"/>
    <w:rsid w:val="00C62FFF"/>
    <w:rsid w:val="00C6312E"/>
    <w:rsid w:val="00C6394E"/>
    <w:rsid w:val="00C63A19"/>
    <w:rsid w:val="00C63A75"/>
    <w:rsid w:val="00C63F24"/>
    <w:rsid w:val="00C6417B"/>
    <w:rsid w:val="00C64803"/>
    <w:rsid w:val="00C64950"/>
    <w:rsid w:val="00C64E83"/>
    <w:rsid w:val="00C64FA8"/>
    <w:rsid w:val="00C65043"/>
    <w:rsid w:val="00C6562D"/>
    <w:rsid w:val="00C65742"/>
    <w:rsid w:val="00C65899"/>
    <w:rsid w:val="00C66C12"/>
    <w:rsid w:val="00C674BF"/>
    <w:rsid w:val="00C70058"/>
    <w:rsid w:val="00C70311"/>
    <w:rsid w:val="00C70D30"/>
    <w:rsid w:val="00C70F34"/>
    <w:rsid w:val="00C71017"/>
    <w:rsid w:val="00C7150B"/>
    <w:rsid w:val="00C71EE2"/>
    <w:rsid w:val="00C71F91"/>
    <w:rsid w:val="00C72800"/>
    <w:rsid w:val="00C728F5"/>
    <w:rsid w:val="00C72A66"/>
    <w:rsid w:val="00C72B84"/>
    <w:rsid w:val="00C731B4"/>
    <w:rsid w:val="00C73E1F"/>
    <w:rsid w:val="00C73EFB"/>
    <w:rsid w:val="00C741CD"/>
    <w:rsid w:val="00C74DB2"/>
    <w:rsid w:val="00C74F74"/>
    <w:rsid w:val="00C7565F"/>
    <w:rsid w:val="00C758D6"/>
    <w:rsid w:val="00C76BE2"/>
    <w:rsid w:val="00C77A2E"/>
    <w:rsid w:val="00C77E58"/>
    <w:rsid w:val="00C807A3"/>
    <w:rsid w:val="00C810E8"/>
    <w:rsid w:val="00C8189F"/>
    <w:rsid w:val="00C81AE3"/>
    <w:rsid w:val="00C81E3D"/>
    <w:rsid w:val="00C82D97"/>
    <w:rsid w:val="00C837B9"/>
    <w:rsid w:val="00C83C79"/>
    <w:rsid w:val="00C840B4"/>
    <w:rsid w:val="00C841F7"/>
    <w:rsid w:val="00C85049"/>
    <w:rsid w:val="00C86654"/>
    <w:rsid w:val="00C86D09"/>
    <w:rsid w:val="00C86D2F"/>
    <w:rsid w:val="00C86F6B"/>
    <w:rsid w:val="00C90B06"/>
    <w:rsid w:val="00C91547"/>
    <w:rsid w:val="00C92CD8"/>
    <w:rsid w:val="00C93394"/>
    <w:rsid w:val="00C945E7"/>
    <w:rsid w:val="00C949F0"/>
    <w:rsid w:val="00C958FE"/>
    <w:rsid w:val="00C9671C"/>
    <w:rsid w:val="00C97CA5"/>
    <w:rsid w:val="00C97FB1"/>
    <w:rsid w:val="00CA0411"/>
    <w:rsid w:val="00CA0D1C"/>
    <w:rsid w:val="00CA1C33"/>
    <w:rsid w:val="00CA1C51"/>
    <w:rsid w:val="00CA1E20"/>
    <w:rsid w:val="00CA2563"/>
    <w:rsid w:val="00CA277E"/>
    <w:rsid w:val="00CA2E5D"/>
    <w:rsid w:val="00CA3CE7"/>
    <w:rsid w:val="00CA4360"/>
    <w:rsid w:val="00CA5166"/>
    <w:rsid w:val="00CA54C4"/>
    <w:rsid w:val="00CA5513"/>
    <w:rsid w:val="00CA5B86"/>
    <w:rsid w:val="00CA7B51"/>
    <w:rsid w:val="00CB1210"/>
    <w:rsid w:val="00CB16A7"/>
    <w:rsid w:val="00CB24C4"/>
    <w:rsid w:val="00CB36B3"/>
    <w:rsid w:val="00CB506E"/>
    <w:rsid w:val="00CB59DD"/>
    <w:rsid w:val="00CB5F99"/>
    <w:rsid w:val="00CB658F"/>
    <w:rsid w:val="00CB7009"/>
    <w:rsid w:val="00CB7011"/>
    <w:rsid w:val="00CB702F"/>
    <w:rsid w:val="00CB728F"/>
    <w:rsid w:val="00CB7475"/>
    <w:rsid w:val="00CB7854"/>
    <w:rsid w:val="00CB79C7"/>
    <w:rsid w:val="00CC12FF"/>
    <w:rsid w:val="00CC1DA3"/>
    <w:rsid w:val="00CC2158"/>
    <w:rsid w:val="00CC3177"/>
    <w:rsid w:val="00CC320C"/>
    <w:rsid w:val="00CC3365"/>
    <w:rsid w:val="00CC3578"/>
    <w:rsid w:val="00CC4428"/>
    <w:rsid w:val="00CC4482"/>
    <w:rsid w:val="00CC4831"/>
    <w:rsid w:val="00CC48E4"/>
    <w:rsid w:val="00CC4B61"/>
    <w:rsid w:val="00CC4ED9"/>
    <w:rsid w:val="00CC500E"/>
    <w:rsid w:val="00CC51A5"/>
    <w:rsid w:val="00CC5CB6"/>
    <w:rsid w:val="00CC5FE3"/>
    <w:rsid w:val="00CC645B"/>
    <w:rsid w:val="00CC6D70"/>
    <w:rsid w:val="00CC711D"/>
    <w:rsid w:val="00CC7403"/>
    <w:rsid w:val="00CC753E"/>
    <w:rsid w:val="00CC7634"/>
    <w:rsid w:val="00CC7CE4"/>
    <w:rsid w:val="00CD1033"/>
    <w:rsid w:val="00CD17D7"/>
    <w:rsid w:val="00CD1964"/>
    <w:rsid w:val="00CD22DE"/>
    <w:rsid w:val="00CD2400"/>
    <w:rsid w:val="00CD2CA0"/>
    <w:rsid w:val="00CD3AEF"/>
    <w:rsid w:val="00CD3D34"/>
    <w:rsid w:val="00CD432A"/>
    <w:rsid w:val="00CD5D64"/>
    <w:rsid w:val="00CD646A"/>
    <w:rsid w:val="00CD6D5B"/>
    <w:rsid w:val="00CD70DF"/>
    <w:rsid w:val="00CD7A4E"/>
    <w:rsid w:val="00CE03C4"/>
    <w:rsid w:val="00CE0AAE"/>
    <w:rsid w:val="00CE11C6"/>
    <w:rsid w:val="00CE14D1"/>
    <w:rsid w:val="00CE1AA5"/>
    <w:rsid w:val="00CE1E2A"/>
    <w:rsid w:val="00CE234B"/>
    <w:rsid w:val="00CE28AC"/>
    <w:rsid w:val="00CE3B78"/>
    <w:rsid w:val="00CE3DD1"/>
    <w:rsid w:val="00CE441D"/>
    <w:rsid w:val="00CE48D2"/>
    <w:rsid w:val="00CE563C"/>
    <w:rsid w:val="00CE599D"/>
    <w:rsid w:val="00CE671F"/>
    <w:rsid w:val="00CE6C50"/>
    <w:rsid w:val="00CE6DED"/>
    <w:rsid w:val="00CE6E2B"/>
    <w:rsid w:val="00CE7172"/>
    <w:rsid w:val="00CE7FB7"/>
    <w:rsid w:val="00CF018E"/>
    <w:rsid w:val="00CF030C"/>
    <w:rsid w:val="00CF0A9C"/>
    <w:rsid w:val="00CF1134"/>
    <w:rsid w:val="00CF148D"/>
    <w:rsid w:val="00CF1B54"/>
    <w:rsid w:val="00CF2C73"/>
    <w:rsid w:val="00CF2C91"/>
    <w:rsid w:val="00CF3259"/>
    <w:rsid w:val="00CF3331"/>
    <w:rsid w:val="00CF35A4"/>
    <w:rsid w:val="00CF390C"/>
    <w:rsid w:val="00CF4F0B"/>
    <w:rsid w:val="00CF53CC"/>
    <w:rsid w:val="00CF53DD"/>
    <w:rsid w:val="00CF570C"/>
    <w:rsid w:val="00CF5D41"/>
    <w:rsid w:val="00CF6466"/>
    <w:rsid w:val="00CF6570"/>
    <w:rsid w:val="00CF6DC1"/>
    <w:rsid w:val="00CF7451"/>
    <w:rsid w:val="00CF758F"/>
    <w:rsid w:val="00D0014C"/>
    <w:rsid w:val="00D00352"/>
    <w:rsid w:val="00D0070D"/>
    <w:rsid w:val="00D007CE"/>
    <w:rsid w:val="00D00CA6"/>
    <w:rsid w:val="00D019BA"/>
    <w:rsid w:val="00D03470"/>
    <w:rsid w:val="00D03F68"/>
    <w:rsid w:val="00D0407F"/>
    <w:rsid w:val="00D05840"/>
    <w:rsid w:val="00D06BFD"/>
    <w:rsid w:val="00D07052"/>
    <w:rsid w:val="00D077ED"/>
    <w:rsid w:val="00D124A0"/>
    <w:rsid w:val="00D1282D"/>
    <w:rsid w:val="00D136B1"/>
    <w:rsid w:val="00D14437"/>
    <w:rsid w:val="00D1449A"/>
    <w:rsid w:val="00D14D42"/>
    <w:rsid w:val="00D150F1"/>
    <w:rsid w:val="00D15F4F"/>
    <w:rsid w:val="00D163FD"/>
    <w:rsid w:val="00D1661E"/>
    <w:rsid w:val="00D166A9"/>
    <w:rsid w:val="00D16B93"/>
    <w:rsid w:val="00D16DB0"/>
    <w:rsid w:val="00D176FC"/>
    <w:rsid w:val="00D178EA"/>
    <w:rsid w:val="00D17D0A"/>
    <w:rsid w:val="00D17F1A"/>
    <w:rsid w:val="00D2013A"/>
    <w:rsid w:val="00D202B2"/>
    <w:rsid w:val="00D206F6"/>
    <w:rsid w:val="00D214B1"/>
    <w:rsid w:val="00D22856"/>
    <w:rsid w:val="00D23414"/>
    <w:rsid w:val="00D23631"/>
    <w:rsid w:val="00D23F0E"/>
    <w:rsid w:val="00D24481"/>
    <w:rsid w:val="00D24597"/>
    <w:rsid w:val="00D248AB"/>
    <w:rsid w:val="00D249B4"/>
    <w:rsid w:val="00D25C06"/>
    <w:rsid w:val="00D25D20"/>
    <w:rsid w:val="00D25EC9"/>
    <w:rsid w:val="00D264CB"/>
    <w:rsid w:val="00D2794E"/>
    <w:rsid w:val="00D30352"/>
    <w:rsid w:val="00D31746"/>
    <w:rsid w:val="00D317FD"/>
    <w:rsid w:val="00D31B5E"/>
    <w:rsid w:val="00D31EE2"/>
    <w:rsid w:val="00D32658"/>
    <w:rsid w:val="00D33723"/>
    <w:rsid w:val="00D33784"/>
    <w:rsid w:val="00D338D7"/>
    <w:rsid w:val="00D34EDD"/>
    <w:rsid w:val="00D35987"/>
    <w:rsid w:val="00D36673"/>
    <w:rsid w:val="00D3702D"/>
    <w:rsid w:val="00D379EB"/>
    <w:rsid w:val="00D37D21"/>
    <w:rsid w:val="00D37ED9"/>
    <w:rsid w:val="00D40ED8"/>
    <w:rsid w:val="00D414D1"/>
    <w:rsid w:val="00D41599"/>
    <w:rsid w:val="00D418F8"/>
    <w:rsid w:val="00D42956"/>
    <w:rsid w:val="00D43133"/>
    <w:rsid w:val="00D43335"/>
    <w:rsid w:val="00D43ED4"/>
    <w:rsid w:val="00D43F54"/>
    <w:rsid w:val="00D447AF"/>
    <w:rsid w:val="00D45A36"/>
    <w:rsid w:val="00D45CB7"/>
    <w:rsid w:val="00D466F5"/>
    <w:rsid w:val="00D46A68"/>
    <w:rsid w:val="00D4715B"/>
    <w:rsid w:val="00D474AB"/>
    <w:rsid w:val="00D47597"/>
    <w:rsid w:val="00D501F7"/>
    <w:rsid w:val="00D503E3"/>
    <w:rsid w:val="00D506B1"/>
    <w:rsid w:val="00D50DD1"/>
    <w:rsid w:val="00D513C3"/>
    <w:rsid w:val="00D5144F"/>
    <w:rsid w:val="00D516B3"/>
    <w:rsid w:val="00D51838"/>
    <w:rsid w:val="00D52215"/>
    <w:rsid w:val="00D5259D"/>
    <w:rsid w:val="00D53335"/>
    <w:rsid w:val="00D53958"/>
    <w:rsid w:val="00D53992"/>
    <w:rsid w:val="00D53A7E"/>
    <w:rsid w:val="00D54F4E"/>
    <w:rsid w:val="00D550A8"/>
    <w:rsid w:val="00D554F6"/>
    <w:rsid w:val="00D5586D"/>
    <w:rsid w:val="00D55AE6"/>
    <w:rsid w:val="00D561D4"/>
    <w:rsid w:val="00D562E1"/>
    <w:rsid w:val="00D565AE"/>
    <w:rsid w:val="00D566FC"/>
    <w:rsid w:val="00D5750A"/>
    <w:rsid w:val="00D57E1B"/>
    <w:rsid w:val="00D6009B"/>
    <w:rsid w:val="00D60488"/>
    <w:rsid w:val="00D60FE4"/>
    <w:rsid w:val="00D61062"/>
    <w:rsid w:val="00D61F49"/>
    <w:rsid w:val="00D623E1"/>
    <w:rsid w:val="00D628CB"/>
    <w:rsid w:val="00D62C68"/>
    <w:rsid w:val="00D632C7"/>
    <w:rsid w:val="00D63C9D"/>
    <w:rsid w:val="00D63F7C"/>
    <w:rsid w:val="00D643C4"/>
    <w:rsid w:val="00D64A28"/>
    <w:rsid w:val="00D64DD0"/>
    <w:rsid w:val="00D65161"/>
    <w:rsid w:val="00D65209"/>
    <w:rsid w:val="00D6521B"/>
    <w:rsid w:val="00D65DA8"/>
    <w:rsid w:val="00D65E69"/>
    <w:rsid w:val="00D65F14"/>
    <w:rsid w:val="00D66242"/>
    <w:rsid w:val="00D669A4"/>
    <w:rsid w:val="00D670EB"/>
    <w:rsid w:val="00D700B8"/>
    <w:rsid w:val="00D70D29"/>
    <w:rsid w:val="00D71221"/>
    <w:rsid w:val="00D7171C"/>
    <w:rsid w:val="00D71F61"/>
    <w:rsid w:val="00D72338"/>
    <w:rsid w:val="00D72A29"/>
    <w:rsid w:val="00D72E51"/>
    <w:rsid w:val="00D7561C"/>
    <w:rsid w:val="00D756ED"/>
    <w:rsid w:val="00D7570E"/>
    <w:rsid w:val="00D75A86"/>
    <w:rsid w:val="00D763CD"/>
    <w:rsid w:val="00D76873"/>
    <w:rsid w:val="00D77361"/>
    <w:rsid w:val="00D77576"/>
    <w:rsid w:val="00D80BC9"/>
    <w:rsid w:val="00D812B6"/>
    <w:rsid w:val="00D81512"/>
    <w:rsid w:val="00D8251F"/>
    <w:rsid w:val="00D83E7D"/>
    <w:rsid w:val="00D8467D"/>
    <w:rsid w:val="00D851A4"/>
    <w:rsid w:val="00D8536A"/>
    <w:rsid w:val="00D856DC"/>
    <w:rsid w:val="00D873B6"/>
    <w:rsid w:val="00D874D1"/>
    <w:rsid w:val="00D87530"/>
    <w:rsid w:val="00D909A1"/>
    <w:rsid w:val="00D91F5C"/>
    <w:rsid w:val="00D9347F"/>
    <w:rsid w:val="00D93957"/>
    <w:rsid w:val="00D94225"/>
    <w:rsid w:val="00D94D2A"/>
    <w:rsid w:val="00D9591F"/>
    <w:rsid w:val="00D96122"/>
    <w:rsid w:val="00D96998"/>
    <w:rsid w:val="00D969AB"/>
    <w:rsid w:val="00D96D25"/>
    <w:rsid w:val="00D96D94"/>
    <w:rsid w:val="00D96E58"/>
    <w:rsid w:val="00D97D53"/>
    <w:rsid w:val="00DA0867"/>
    <w:rsid w:val="00DA0C79"/>
    <w:rsid w:val="00DA19DC"/>
    <w:rsid w:val="00DA1BF1"/>
    <w:rsid w:val="00DA270F"/>
    <w:rsid w:val="00DA3336"/>
    <w:rsid w:val="00DA3466"/>
    <w:rsid w:val="00DA3D65"/>
    <w:rsid w:val="00DA4368"/>
    <w:rsid w:val="00DA46B1"/>
    <w:rsid w:val="00DA4A44"/>
    <w:rsid w:val="00DA4FA7"/>
    <w:rsid w:val="00DA60A4"/>
    <w:rsid w:val="00DA7574"/>
    <w:rsid w:val="00DA760F"/>
    <w:rsid w:val="00DA7680"/>
    <w:rsid w:val="00DB0314"/>
    <w:rsid w:val="00DB0442"/>
    <w:rsid w:val="00DB09F8"/>
    <w:rsid w:val="00DB0B7A"/>
    <w:rsid w:val="00DB1714"/>
    <w:rsid w:val="00DB2078"/>
    <w:rsid w:val="00DB42E6"/>
    <w:rsid w:val="00DB52FC"/>
    <w:rsid w:val="00DB5842"/>
    <w:rsid w:val="00DB64F4"/>
    <w:rsid w:val="00DB6756"/>
    <w:rsid w:val="00DB676E"/>
    <w:rsid w:val="00DB6CC6"/>
    <w:rsid w:val="00DC21FD"/>
    <w:rsid w:val="00DC25ED"/>
    <w:rsid w:val="00DC289D"/>
    <w:rsid w:val="00DC30A2"/>
    <w:rsid w:val="00DC35F7"/>
    <w:rsid w:val="00DC3849"/>
    <w:rsid w:val="00DC3CEB"/>
    <w:rsid w:val="00DC4ACC"/>
    <w:rsid w:val="00DC6FF3"/>
    <w:rsid w:val="00DC7AE0"/>
    <w:rsid w:val="00DC7FD9"/>
    <w:rsid w:val="00DD0906"/>
    <w:rsid w:val="00DD1127"/>
    <w:rsid w:val="00DD3BCB"/>
    <w:rsid w:val="00DD4A3A"/>
    <w:rsid w:val="00DD5165"/>
    <w:rsid w:val="00DD52E5"/>
    <w:rsid w:val="00DD557E"/>
    <w:rsid w:val="00DD6134"/>
    <w:rsid w:val="00DD63CD"/>
    <w:rsid w:val="00DD7923"/>
    <w:rsid w:val="00DD7AA1"/>
    <w:rsid w:val="00DE03F7"/>
    <w:rsid w:val="00DE0779"/>
    <w:rsid w:val="00DE0877"/>
    <w:rsid w:val="00DE0E95"/>
    <w:rsid w:val="00DE13DB"/>
    <w:rsid w:val="00DE1452"/>
    <w:rsid w:val="00DE232B"/>
    <w:rsid w:val="00DE2344"/>
    <w:rsid w:val="00DE480B"/>
    <w:rsid w:val="00DE48F5"/>
    <w:rsid w:val="00DE4989"/>
    <w:rsid w:val="00DE4CF9"/>
    <w:rsid w:val="00DE4DA4"/>
    <w:rsid w:val="00DE4ED1"/>
    <w:rsid w:val="00DE52CA"/>
    <w:rsid w:val="00DE633E"/>
    <w:rsid w:val="00DE7634"/>
    <w:rsid w:val="00DE768C"/>
    <w:rsid w:val="00DF01C0"/>
    <w:rsid w:val="00DF08AF"/>
    <w:rsid w:val="00DF12B2"/>
    <w:rsid w:val="00DF3090"/>
    <w:rsid w:val="00DF497C"/>
    <w:rsid w:val="00DF4D99"/>
    <w:rsid w:val="00DF4E3F"/>
    <w:rsid w:val="00DF6A3D"/>
    <w:rsid w:val="00DF6A61"/>
    <w:rsid w:val="00DF6AF8"/>
    <w:rsid w:val="00DF6C3D"/>
    <w:rsid w:val="00DF7D4B"/>
    <w:rsid w:val="00E00122"/>
    <w:rsid w:val="00E0037E"/>
    <w:rsid w:val="00E00B0F"/>
    <w:rsid w:val="00E01588"/>
    <w:rsid w:val="00E03590"/>
    <w:rsid w:val="00E04D45"/>
    <w:rsid w:val="00E05202"/>
    <w:rsid w:val="00E05D10"/>
    <w:rsid w:val="00E06277"/>
    <w:rsid w:val="00E0651E"/>
    <w:rsid w:val="00E06ACF"/>
    <w:rsid w:val="00E070C9"/>
    <w:rsid w:val="00E071C1"/>
    <w:rsid w:val="00E10E9A"/>
    <w:rsid w:val="00E117F3"/>
    <w:rsid w:val="00E119FA"/>
    <w:rsid w:val="00E127DB"/>
    <w:rsid w:val="00E12862"/>
    <w:rsid w:val="00E12D14"/>
    <w:rsid w:val="00E134B0"/>
    <w:rsid w:val="00E135FA"/>
    <w:rsid w:val="00E13BFC"/>
    <w:rsid w:val="00E142A4"/>
    <w:rsid w:val="00E1492B"/>
    <w:rsid w:val="00E149F3"/>
    <w:rsid w:val="00E14BE8"/>
    <w:rsid w:val="00E14C09"/>
    <w:rsid w:val="00E14D0F"/>
    <w:rsid w:val="00E14F16"/>
    <w:rsid w:val="00E1529D"/>
    <w:rsid w:val="00E16033"/>
    <w:rsid w:val="00E16CCD"/>
    <w:rsid w:val="00E17466"/>
    <w:rsid w:val="00E17C8B"/>
    <w:rsid w:val="00E207A8"/>
    <w:rsid w:val="00E20CDD"/>
    <w:rsid w:val="00E21199"/>
    <w:rsid w:val="00E22185"/>
    <w:rsid w:val="00E2226D"/>
    <w:rsid w:val="00E226F6"/>
    <w:rsid w:val="00E22F25"/>
    <w:rsid w:val="00E234FA"/>
    <w:rsid w:val="00E23A18"/>
    <w:rsid w:val="00E23DC9"/>
    <w:rsid w:val="00E23FAC"/>
    <w:rsid w:val="00E24CB8"/>
    <w:rsid w:val="00E256E0"/>
    <w:rsid w:val="00E257C9"/>
    <w:rsid w:val="00E26B24"/>
    <w:rsid w:val="00E27688"/>
    <w:rsid w:val="00E27E39"/>
    <w:rsid w:val="00E30B0F"/>
    <w:rsid w:val="00E30F53"/>
    <w:rsid w:val="00E31464"/>
    <w:rsid w:val="00E3181E"/>
    <w:rsid w:val="00E31958"/>
    <w:rsid w:val="00E31EE4"/>
    <w:rsid w:val="00E32367"/>
    <w:rsid w:val="00E32745"/>
    <w:rsid w:val="00E32DE2"/>
    <w:rsid w:val="00E33418"/>
    <w:rsid w:val="00E33492"/>
    <w:rsid w:val="00E33D8C"/>
    <w:rsid w:val="00E33E0E"/>
    <w:rsid w:val="00E33E99"/>
    <w:rsid w:val="00E346DC"/>
    <w:rsid w:val="00E3491A"/>
    <w:rsid w:val="00E355AF"/>
    <w:rsid w:val="00E35D16"/>
    <w:rsid w:val="00E36169"/>
    <w:rsid w:val="00E37DA5"/>
    <w:rsid w:val="00E37ECF"/>
    <w:rsid w:val="00E41B2D"/>
    <w:rsid w:val="00E422C3"/>
    <w:rsid w:val="00E43130"/>
    <w:rsid w:val="00E43191"/>
    <w:rsid w:val="00E43455"/>
    <w:rsid w:val="00E43669"/>
    <w:rsid w:val="00E43D8F"/>
    <w:rsid w:val="00E44988"/>
    <w:rsid w:val="00E44A9D"/>
    <w:rsid w:val="00E453FE"/>
    <w:rsid w:val="00E45548"/>
    <w:rsid w:val="00E45FCB"/>
    <w:rsid w:val="00E4609E"/>
    <w:rsid w:val="00E4647D"/>
    <w:rsid w:val="00E46501"/>
    <w:rsid w:val="00E46666"/>
    <w:rsid w:val="00E46804"/>
    <w:rsid w:val="00E46B5B"/>
    <w:rsid w:val="00E46D9E"/>
    <w:rsid w:val="00E471AD"/>
    <w:rsid w:val="00E47BBC"/>
    <w:rsid w:val="00E47CD8"/>
    <w:rsid w:val="00E508DD"/>
    <w:rsid w:val="00E50DC4"/>
    <w:rsid w:val="00E51018"/>
    <w:rsid w:val="00E52057"/>
    <w:rsid w:val="00E5287C"/>
    <w:rsid w:val="00E532B2"/>
    <w:rsid w:val="00E53CD2"/>
    <w:rsid w:val="00E545C2"/>
    <w:rsid w:val="00E549A6"/>
    <w:rsid w:val="00E54DF9"/>
    <w:rsid w:val="00E54E1D"/>
    <w:rsid w:val="00E56853"/>
    <w:rsid w:val="00E568D7"/>
    <w:rsid w:val="00E56A55"/>
    <w:rsid w:val="00E5761C"/>
    <w:rsid w:val="00E576CA"/>
    <w:rsid w:val="00E57FCD"/>
    <w:rsid w:val="00E607E1"/>
    <w:rsid w:val="00E61AC4"/>
    <w:rsid w:val="00E61EEC"/>
    <w:rsid w:val="00E62074"/>
    <w:rsid w:val="00E62B91"/>
    <w:rsid w:val="00E6334F"/>
    <w:rsid w:val="00E63B44"/>
    <w:rsid w:val="00E64777"/>
    <w:rsid w:val="00E64A2A"/>
    <w:rsid w:val="00E64DD1"/>
    <w:rsid w:val="00E64FD0"/>
    <w:rsid w:val="00E65083"/>
    <w:rsid w:val="00E6624C"/>
    <w:rsid w:val="00E665DB"/>
    <w:rsid w:val="00E66E17"/>
    <w:rsid w:val="00E67801"/>
    <w:rsid w:val="00E67F62"/>
    <w:rsid w:val="00E705ED"/>
    <w:rsid w:val="00E70A79"/>
    <w:rsid w:val="00E70B2E"/>
    <w:rsid w:val="00E70BC9"/>
    <w:rsid w:val="00E7149C"/>
    <w:rsid w:val="00E714A3"/>
    <w:rsid w:val="00E71B8A"/>
    <w:rsid w:val="00E71FBB"/>
    <w:rsid w:val="00E7235C"/>
    <w:rsid w:val="00E724FF"/>
    <w:rsid w:val="00E72AB8"/>
    <w:rsid w:val="00E72BF3"/>
    <w:rsid w:val="00E73455"/>
    <w:rsid w:val="00E7399E"/>
    <w:rsid w:val="00E749A7"/>
    <w:rsid w:val="00E74E6C"/>
    <w:rsid w:val="00E75226"/>
    <w:rsid w:val="00E76065"/>
    <w:rsid w:val="00E76176"/>
    <w:rsid w:val="00E76A95"/>
    <w:rsid w:val="00E77100"/>
    <w:rsid w:val="00E77CDD"/>
    <w:rsid w:val="00E77D49"/>
    <w:rsid w:val="00E77DE9"/>
    <w:rsid w:val="00E81BDF"/>
    <w:rsid w:val="00E81CBF"/>
    <w:rsid w:val="00E83527"/>
    <w:rsid w:val="00E835AD"/>
    <w:rsid w:val="00E840D9"/>
    <w:rsid w:val="00E84659"/>
    <w:rsid w:val="00E84B2C"/>
    <w:rsid w:val="00E84D9F"/>
    <w:rsid w:val="00E84F6B"/>
    <w:rsid w:val="00E851B7"/>
    <w:rsid w:val="00E85428"/>
    <w:rsid w:val="00E85BE1"/>
    <w:rsid w:val="00E85D94"/>
    <w:rsid w:val="00E862F0"/>
    <w:rsid w:val="00E86669"/>
    <w:rsid w:val="00E86933"/>
    <w:rsid w:val="00E87160"/>
    <w:rsid w:val="00E90094"/>
    <w:rsid w:val="00E90526"/>
    <w:rsid w:val="00E90872"/>
    <w:rsid w:val="00E908AD"/>
    <w:rsid w:val="00E90D6C"/>
    <w:rsid w:val="00E90D75"/>
    <w:rsid w:val="00E90FFB"/>
    <w:rsid w:val="00E919B9"/>
    <w:rsid w:val="00E91B40"/>
    <w:rsid w:val="00E92350"/>
    <w:rsid w:val="00E93764"/>
    <w:rsid w:val="00E93FB6"/>
    <w:rsid w:val="00E94F95"/>
    <w:rsid w:val="00E95424"/>
    <w:rsid w:val="00E95D84"/>
    <w:rsid w:val="00E964E5"/>
    <w:rsid w:val="00E96517"/>
    <w:rsid w:val="00E96C6A"/>
    <w:rsid w:val="00E970CB"/>
    <w:rsid w:val="00E97F96"/>
    <w:rsid w:val="00EA030F"/>
    <w:rsid w:val="00EA107C"/>
    <w:rsid w:val="00EA1B27"/>
    <w:rsid w:val="00EA2471"/>
    <w:rsid w:val="00EA308C"/>
    <w:rsid w:val="00EA36AB"/>
    <w:rsid w:val="00EA4549"/>
    <w:rsid w:val="00EA4D26"/>
    <w:rsid w:val="00EA5724"/>
    <w:rsid w:val="00EA66DF"/>
    <w:rsid w:val="00EA698A"/>
    <w:rsid w:val="00EA6B55"/>
    <w:rsid w:val="00EA77E9"/>
    <w:rsid w:val="00EB0831"/>
    <w:rsid w:val="00EB198C"/>
    <w:rsid w:val="00EB1ABD"/>
    <w:rsid w:val="00EB1C72"/>
    <w:rsid w:val="00EB1CAC"/>
    <w:rsid w:val="00EB24BF"/>
    <w:rsid w:val="00EB2F0D"/>
    <w:rsid w:val="00EB321C"/>
    <w:rsid w:val="00EB36E2"/>
    <w:rsid w:val="00EB3A12"/>
    <w:rsid w:val="00EB3BA4"/>
    <w:rsid w:val="00EB491C"/>
    <w:rsid w:val="00EB5164"/>
    <w:rsid w:val="00EB5D2E"/>
    <w:rsid w:val="00EB67DF"/>
    <w:rsid w:val="00EB6CC3"/>
    <w:rsid w:val="00EB6FD2"/>
    <w:rsid w:val="00EB7224"/>
    <w:rsid w:val="00EC097A"/>
    <w:rsid w:val="00EC0B79"/>
    <w:rsid w:val="00EC0C9A"/>
    <w:rsid w:val="00EC164D"/>
    <w:rsid w:val="00EC16D4"/>
    <w:rsid w:val="00EC1CF4"/>
    <w:rsid w:val="00EC293E"/>
    <w:rsid w:val="00EC3210"/>
    <w:rsid w:val="00EC393B"/>
    <w:rsid w:val="00EC52CB"/>
    <w:rsid w:val="00EC5956"/>
    <w:rsid w:val="00EC5DC1"/>
    <w:rsid w:val="00ED010F"/>
    <w:rsid w:val="00ED1B91"/>
    <w:rsid w:val="00ED231A"/>
    <w:rsid w:val="00ED29DD"/>
    <w:rsid w:val="00ED2C5F"/>
    <w:rsid w:val="00ED2D2A"/>
    <w:rsid w:val="00ED3071"/>
    <w:rsid w:val="00ED3100"/>
    <w:rsid w:val="00ED3852"/>
    <w:rsid w:val="00ED42DB"/>
    <w:rsid w:val="00ED46E7"/>
    <w:rsid w:val="00ED4883"/>
    <w:rsid w:val="00ED4CED"/>
    <w:rsid w:val="00ED5098"/>
    <w:rsid w:val="00ED518B"/>
    <w:rsid w:val="00ED51FE"/>
    <w:rsid w:val="00ED57FE"/>
    <w:rsid w:val="00ED60C7"/>
    <w:rsid w:val="00ED6D6B"/>
    <w:rsid w:val="00ED6E1C"/>
    <w:rsid w:val="00ED723A"/>
    <w:rsid w:val="00ED737E"/>
    <w:rsid w:val="00ED754E"/>
    <w:rsid w:val="00EE067D"/>
    <w:rsid w:val="00EE091A"/>
    <w:rsid w:val="00EE0E6D"/>
    <w:rsid w:val="00EE0ED5"/>
    <w:rsid w:val="00EE118D"/>
    <w:rsid w:val="00EE1260"/>
    <w:rsid w:val="00EE15CD"/>
    <w:rsid w:val="00EE25D1"/>
    <w:rsid w:val="00EE2EB6"/>
    <w:rsid w:val="00EE2EE6"/>
    <w:rsid w:val="00EE2FD5"/>
    <w:rsid w:val="00EE3484"/>
    <w:rsid w:val="00EE5242"/>
    <w:rsid w:val="00EE5C1B"/>
    <w:rsid w:val="00EE5D04"/>
    <w:rsid w:val="00EE6054"/>
    <w:rsid w:val="00EE75EC"/>
    <w:rsid w:val="00EF086F"/>
    <w:rsid w:val="00EF0CCA"/>
    <w:rsid w:val="00EF0D9E"/>
    <w:rsid w:val="00EF1234"/>
    <w:rsid w:val="00EF1CBC"/>
    <w:rsid w:val="00EF2AA8"/>
    <w:rsid w:val="00EF3F50"/>
    <w:rsid w:val="00EF4794"/>
    <w:rsid w:val="00EF48C5"/>
    <w:rsid w:val="00EF61DC"/>
    <w:rsid w:val="00EF67F1"/>
    <w:rsid w:val="00EF6AAE"/>
    <w:rsid w:val="00EF6D95"/>
    <w:rsid w:val="00EF75A4"/>
    <w:rsid w:val="00EF799F"/>
    <w:rsid w:val="00F0099B"/>
    <w:rsid w:val="00F00D0F"/>
    <w:rsid w:val="00F00E97"/>
    <w:rsid w:val="00F02663"/>
    <w:rsid w:val="00F02678"/>
    <w:rsid w:val="00F02ECA"/>
    <w:rsid w:val="00F02F85"/>
    <w:rsid w:val="00F0330A"/>
    <w:rsid w:val="00F04399"/>
    <w:rsid w:val="00F04B98"/>
    <w:rsid w:val="00F05326"/>
    <w:rsid w:val="00F054DE"/>
    <w:rsid w:val="00F05910"/>
    <w:rsid w:val="00F06E4E"/>
    <w:rsid w:val="00F0744A"/>
    <w:rsid w:val="00F07860"/>
    <w:rsid w:val="00F1083B"/>
    <w:rsid w:val="00F122E6"/>
    <w:rsid w:val="00F12AF5"/>
    <w:rsid w:val="00F130D1"/>
    <w:rsid w:val="00F1383A"/>
    <w:rsid w:val="00F1477A"/>
    <w:rsid w:val="00F148DC"/>
    <w:rsid w:val="00F15C1D"/>
    <w:rsid w:val="00F170CE"/>
    <w:rsid w:val="00F200AC"/>
    <w:rsid w:val="00F207D3"/>
    <w:rsid w:val="00F2087D"/>
    <w:rsid w:val="00F21029"/>
    <w:rsid w:val="00F212C7"/>
    <w:rsid w:val="00F21744"/>
    <w:rsid w:val="00F21B43"/>
    <w:rsid w:val="00F2320C"/>
    <w:rsid w:val="00F23DD0"/>
    <w:rsid w:val="00F24154"/>
    <w:rsid w:val="00F244EA"/>
    <w:rsid w:val="00F259C9"/>
    <w:rsid w:val="00F25CA0"/>
    <w:rsid w:val="00F25E38"/>
    <w:rsid w:val="00F25E40"/>
    <w:rsid w:val="00F26147"/>
    <w:rsid w:val="00F26477"/>
    <w:rsid w:val="00F269A2"/>
    <w:rsid w:val="00F276F5"/>
    <w:rsid w:val="00F27BD3"/>
    <w:rsid w:val="00F3000F"/>
    <w:rsid w:val="00F31C76"/>
    <w:rsid w:val="00F33014"/>
    <w:rsid w:val="00F33940"/>
    <w:rsid w:val="00F33CC0"/>
    <w:rsid w:val="00F344FF"/>
    <w:rsid w:val="00F35C3F"/>
    <w:rsid w:val="00F35F23"/>
    <w:rsid w:val="00F36B6F"/>
    <w:rsid w:val="00F36E0F"/>
    <w:rsid w:val="00F36FAC"/>
    <w:rsid w:val="00F37246"/>
    <w:rsid w:val="00F3776A"/>
    <w:rsid w:val="00F37A0E"/>
    <w:rsid w:val="00F37CE8"/>
    <w:rsid w:val="00F37EDD"/>
    <w:rsid w:val="00F424EE"/>
    <w:rsid w:val="00F4297C"/>
    <w:rsid w:val="00F42B6D"/>
    <w:rsid w:val="00F42C24"/>
    <w:rsid w:val="00F430C2"/>
    <w:rsid w:val="00F431B5"/>
    <w:rsid w:val="00F438CE"/>
    <w:rsid w:val="00F43E99"/>
    <w:rsid w:val="00F4428E"/>
    <w:rsid w:val="00F44340"/>
    <w:rsid w:val="00F4475F"/>
    <w:rsid w:val="00F45088"/>
    <w:rsid w:val="00F45321"/>
    <w:rsid w:val="00F45FC7"/>
    <w:rsid w:val="00F46195"/>
    <w:rsid w:val="00F46816"/>
    <w:rsid w:val="00F46CE0"/>
    <w:rsid w:val="00F500DD"/>
    <w:rsid w:val="00F50C65"/>
    <w:rsid w:val="00F51902"/>
    <w:rsid w:val="00F51F18"/>
    <w:rsid w:val="00F5216A"/>
    <w:rsid w:val="00F522E6"/>
    <w:rsid w:val="00F526B4"/>
    <w:rsid w:val="00F526F4"/>
    <w:rsid w:val="00F52F04"/>
    <w:rsid w:val="00F53C89"/>
    <w:rsid w:val="00F548F6"/>
    <w:rsid w:val="00F54F88"/>
    <w:rsid w:val="00F555BF"/>
    <w:rsid w:val="00F55C34"/>
    <w:rsid w:val="00F55CAE"/>
    <w:rsid w:val="00F56120"/>
    <w:rsid w:val="00F56B50"/>
    <w:rsid w:val="00F57E5B"/>
    <w:rsid w:val="00F61AAF"/>
    <w:rsid w:val="00F62731"/>
    <w:rsid w:val="00F629F0"/>
    <w:rsid w:val="00F6315C"/>
    <w:rsid w:val="00F6360A"/>
    <w:rsid w:val="00F63706"/>
    <w:rsid w:val="00F63FAA"/>
    <w:rsid w:val="00F6467A"/>
    <w:rsid w:val="00F6497D"/>
    <w:rsid w:val="00F64CA6"/>
    <w:rsid w:val="00F6581E"/>
    <w:rsid w:val="00F65858"/>
    <w:rsid w:val="00F66153"/>
    <w:rsid w:val="00F6786A"/>
    <w:rsid w:val="00F7104E"/>
    <w:rsid w:val="00F72025"/>
    <w:rsid w:val="00F72680"/>
    <w:rsid w:val="00F7301A"/>
    <w:rsid w:val="00F731C5"/>
    <w:rsid w:val="00F746F3"/>
    <w:rsid w:val="00F74DE5"/>
    <w:rsid w:val="00F74F15"/>
    <w:rsid w:val="00F75717"/>
    <w:rsid w:val="00F75F8A"/>
    <w:rsid w:val="00F76952"/>
    <w:rsid w:val="00F76A77"/>
    <w:rsid w:val="00F76B45"/>
    <w:rsid w:val="00F7748F"/>
    <w:rsid w:val="00F778AB"/>
    <w:rsid w:val="00F77C03"/>
    <w:rsid w:val="00F804BD"/>
    <w:rsid w:val="00F81880"/>
    <w:rsid w:val="00F8198F"/>
    <w:rsid w:val="00F825E4"/>
    <w:rsid w:val="00F83168"/>
    <w:rsid w:val="00F84CFB"/>
    <w:rsid w:val="00F850E7"/>
    <w:rsid w:val="00F8548F"/>
    <w:rsid w:val="00F85669"/>
    <w:rsid w:val="00F864D8"/>
    <w:rsid w:val="00F86C8F"/>
    <w:rsid w:val="00F86DCE"/>
    <w:rsid w:val="00F87B66"/>
    <w:rsid w:val="00F87E2D"/>
    <w:rsid w:val="00F907C7"/>
    <w:rsid w:val="00F90FE1"/>
    <w:rsid w:val="00F91122"/>
    <w:rsid w:val="00F91668"/>
    <w:rsid w:val="00F91880"/>
    <w:rsid w:val="00F91A82"/>
    <w:rsid w:val="00F91F3C"/>
    <w:rsid w:val="00F9346A"/>
    <w:rsid w:val="00F94415"/>
    <w:rsid w:val="00F94B33"/>
    <w:rsid w:val="00F95A88"/>
    <w:rsid w:val="00F95D0E"/>
    <w:rsid w:val="00F95EB0"/>
    <w:rsid w:val="00F964CD"/>
    <w:rsid w:val="00F971B2"/>
    <w:rsid w:val="00F973C7"/>
    <w:rsid w:val="00F97B7B"/>
    <w:rsid w:val="00F97F10"/>
    <w:rsid w:val="00FA03B8"/>
    <w:rsid w:val="00FA0774"/>
    <w:rsid w:val="00FA0E80"/>
    <w:rsid w:val="00FA1010"/>
    <w:rsid w:val="00FA1411"/>
    <w:rsid w:val="00FA1A17"/>
    <w:rsid w:val="00FA2C49"/>
    <w:rsid w:val="00FA50BA"/>
    <w:rsid w:val="00FA525C"/>
    <w:rsid w:val="00FA5459"/>
    <w:rsid w:val="00FA56A7"/>
    <w:rsid w:val="00FA5DB5"/>
    <w:rsid w:val="00FA63FB"/>
    <w:rsid w:val="00FA6DC9"/>
    <w:rsid w:val="00FB017E"/>
    <w:rsid w:val="00FB0BC0"/>
    <w:rsid w:val="00FB0E30"/>
    <w:rsid w:val="00FB1266"/>
    <w:rsid w:val="00FB166A"/>
    <w:rsid w:val="00FB1A27"/>
    <w:rsid w:val="00FB1BA1"/>
    <w:rsid w:val="00FB2A00"/>
    <w:rsid w:val="00FB2BE5"/>
    <w:rsid w:val="00FB30A6"/>
    <w:rsid w:val="00FB33C5"/>
    <w:rsid w:val="00FB34A2"/>
    <w:rsid w:val="00FB3771"/>
    <w:rsid w:val="00FB3F4E"/>
    <w:rsid w:val="00FB4140"/>
    <w:rsid w:val="00FB5296"/>
    <w:rsid w:val="00FB5688"/>
    <w:rsid w:val="00FB5C68"/>
    <w:rsid w:val="00FB6B4C"/>
    <w:rsid w:val="00FB6BB9"/>
    <w:rsid w:val="00FB74AB"/>
    <w:rsid w:val="00FB7718"/>
    <w:rsid w:val="00FC0800"/>
    <w:rsid w:val="00FC0809"/>
    <w:rsid w:val="00FC0B94"/>
    <w:rsid w:val="00FC0FA7"/>
    <w:rsid w:val="00FC171B"/>
    <w:rsid w:val="00FC1A6D"/>
    <w:rsid w:val="00FC1D3A"/>
    <w:rsid w:val="00FC2742"/>
    <w:rsid w:val="00FC3967"/>
    <w:rsid w:val="00FC3ED2"/>
    <w:rsid w:val="00FC471B"/>
    <w:rsid w:val="00FC4915"/>
    <w:rsid w:val="00FC4B4B"/>
    <w:rsid w:val="00FC4BAD"/>
    <w:rsid w:val="00FC58A5"/>
    <w:rsid w:val="00FC5E78"/>
    <w:rsid w:val="00FC61A0"/>
    <w:rsid w:val="00FC7395"/>
    <w:rsid w:val="00FD00E4"/>
    <w:rsid w:val="00FD0E4A"/>
    <w:rsid w:val="00FD12FA"/>
    <w:rsid w:val="00FD1448"/>
    <w:rsid w:val="00FD2EF0"/>
    <w:rsid w:val="00FD3384"/>
    <w:rsid w:val="00FD3A9F"/>
    <w:rsid w:val="00FD4E59"/>
    <w:rsid w:val="00FD56E7"/>
    <w:rsid w:val="00FD5719"/>
    <w:rsid w:val="00FD62D8"/>
    <w:rsid w:val="00FD657C"/>
    <w:rsid w:val="00FD69DE"/>
    <w:rsid w:val="00FD7302"/>
    <w:rsid w:val="00FD7641"/>
    <w:rsid w:val="00FE08C6"/>
    <w:rsid w:val="00FE0A77"/>
    <w:rsid w:val="00FE1238"/>
    <w:rsid w:val="00FE12BE"/>
    <w:rsid w:val="00FE1530"/>
    <w:rsid w:val="00FE1BB7"/>
    <w:rsid w:val="00FE1F83"/>
    <w:rsid w:val="00FE27BB"/>
    <w:rsid w:val="00FE2C60"/>
    <w:rsid w:val="00FE334D"/>
    <w:rsid w:val="00FE3AB6"/>
    <w:rsid w:val="00FE3D3E"/>
    <w:rsid w:val="00FE44B7"/>
    <w:rsid w:val="00FE4AE8"/>
    <w:rsid w:val="00FE5C6A"/>
    <w:rsid w:val="00FE61F7"/>
    <w:rsid w:val="00FE66AE"/>
    <w:rsid w:val="00FE6746"/>
    <w:rsid w:val="00FE6EB6"/>
    <w:rsid w:val="00FE7194"/>
    <w:rsid w:val="00FE7D82"/>
    <w:rsid w:val="00FF0120"/>
    <w:rsid w:val="00FF0D94"/>
    <w:rsid w:val="00FF121C"/>
    <w:rsid w:val="00FF176D"/>
    <w:rsid w:val="00FF2B5D"/>
    <w:rsid w:val="00FF2E47"/>
    <w:rsid w:val="00FF2F5B"/>
    <w:rsid w:val="00FF350C"/>
    <w:rsid w:val="00FF43C3"/>
    <w:rsid w:val="00FF4D0D"/>
    <w:rsid w:val="00FF5AD7"/>
    <w:rsid w:val="00FF5EB6"/>
    <w:rsid w:val="00FF67D6"/>
    <w:rsid w:val="00FF6E79"/>
    <w:rsid w:val="00FF7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9F0C20"/>
  <w15:chartTrackingRefBased/>
  <w15:docId w15:val="{6B5F28A1-4A38-43D3-84F6-11A2E35A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5A4"/>
    <w:rPr>
      <w:rFonts w:ascii="Times New Roman" w:hAnsi="Times New Roman"/>
      <w:sz w:val="20"/>
    </w:rPr>
  </w:style>
  <w:style w:type="paragraph" w:styleId="Heading1">
    <w:name w:val="heading 1"/>
    <w:basedOn w:val="Normal"/>
    <w:next w:val="Normal"/>
    <w:link w:val="Heading1Char"/>
    <w:autoRedefine/>
    <w:uiPriority w:val="9"/>
    <w:rsid w:val="00916C5D"/>
    <w:pPr>
      <w:keepNext/>
      <w:keepLines/>
      <w:spacing w:before="240" w:after="0"/>
      <w:outlineLvl w:val="0"/>
    </w:pPr>
    <w:rPr>
      <w:rFonts w:eastAsiaTheme="majorEastAsia" w:cstheme="majorBidi"/>
      <w:sz w:val="26"/>
      <w:szCs w:val="32"/>
    </w:rPr>
  </w:style>
  <w:style w:type="paragraph" w:styleId="Heading2">
    <w:name w:val="heading 2"/>
    <w:basedOn w:val="Normal"/>
    <w:next w:val="Normal"/>
    <w:link w:val="Heading2Char"/>
    <w:autoRedefine/>
    <w:uiPriority w:val="9"/>
    <w:unhideWhenUsed/>
    <w:rsid w:val="00916C5D"/>
    <w:pPr>
      <w:keepNext/>
      <w:keepLines/>
      <w:spacing w:before="40" w:after="0"/>
      <w:outlineLvl w:val="1"/>
    </w:pPr>
    <w:rPr>
      <w:rFonts w:eastAsiaTheme="majorEastAsia" w:cstheme="majorBidi"/>
      <w:sz w:val="24"/>
      <w:szCs w:val="26"/>
    </w:rPr>
  </w:style>
  <w:style w:type="paragraph" w:styleId="Heading3">
    <w:name w:val="heading 3"/>
    <w:basedOn w:val="Normal"/>
    <w:next w:val="Normal"/>
    <w:link w:val="Heading3Char"/>
    <w:autoRedefine/>
    <w:uiPriority w:val="9"/>
    <w:unhideWhenUsed/>
    <w:rsid w:val="00EF75A4"/>
    <w:pPr>
      <w:keepNext/>
      <w:keepLines/>
      <w:spacing w:before="40" w:after="0"/>
      <w:outlineLvl w:val="2"/>
    </w:pPr>
    <w:rPr>
      <w:rFonts w:eastAsiaTheme="majorEastAsia" w:cs="Times New Roman"/>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6C5D"/>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rsid w:val="00916C5D"/>
    <w:rPr>
      <w:rFonts w:ascii="Times New Roman" w:eastAsiaTheme="majorEastAsia" w:hAnsi="Times New Roman" w:cstheme="majorBidi"/>
      <w:sz w:val="24"/>
      <w:szCs w:val="26"/>
    </w:rPr>
  </w:style>
  <w:style w:type="paragraph" w:styleId="Caption">
    <w:name w:val="caption"/>
    <w:basedOn w:val="Normal"/>
    <w:next w:val="Normal"/>
    <w:uiPriority w:val="35"/>
    <w:unhideWhenUsed/>
    <w:qFormat/>
    <w:rsid w:val="00F91F3C"/>
    <w:pPr>
      <w:spacing w:after="200" w:line="240" w:lineRule="auto"/>
    </w:pPr>
    <w:rPr>
      <w:i/>
      <w:iCs/>
      <w:szCs w:val="18"/>
    </w:rPr>
  </w:style>
  <w:style w:type="table" w:styleId="TableGridLight">
    <w:name w:val="Grid Table Light"/>
    <w:basedOn w:val="TableNormal"/>
    <w:uiPriority w:val="40"/>
    <w:rsid w:val="00C639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DD63CD"/>
    <w:rPr>
      <w:sz w:val="16"/>
      <w:szCs w:val="16"/>
    </w:rPr>
  </w:style>
  <w:style w:type="paragraph" w:styleId="CommentText">
    <w:name w:val="annotation text"/>
    <w:basedOn w:val="Normal"/>
    <w:link w:val="CommentTextChar"/>
    <w:uiPriority w:val="99"/>
    <w:unhideWhenUsed/>
    <w:rsid w:val="00DD63CD"/>
    <w:pPr>
      <w:spacing w:line="240" w:lineRule="auto"/>
    </w:pPr>
    <w:rPr>
      <w:szCs w:val="20"/>
    </w:rPr>
  </w:style>
  <w:style w:type="character" w:customStyle="1" w:styleId="CommentTextChar">
    <w:name w:val="Comment Text Char"/>
    <w:basedOn w:val="DefaultParagraphFont"/>
    <w:link w:val="CommentText"/>
    <w:uiPriority w:val="99"/>
    <w:rsid w:val="00DD63CD"/>
    <w:rPr>
      <w:sz w:val="20"/>
      <w:szCs w:val="20"/>
    </w:rPr>
  </w:style>
  <w:style w:type="paragraph" w:styleId="BalloonText">
    <w:name w:val="Balloon Text"/>
    <w:basedOn w:val="Normal"/>
    <w:link w:val="BalloonTextChar"/>
    <w:uiPriority w:val="99"/>
    <w:semiHidden/>
    <w:unhideWhenUsed/>
    <w:rsid w:val="00DD63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63CD"/>
    <w:rPr>
      <w:rFonts w:ascii="Segoe UI" w:hAnsi="Segoe UI" w:cs="Segoe UI"/>
      <w:sz w:val="18"/>
      <w:szCs w:val="18"/>
    </w:rPr>
  </w:style>
  <w:style w:type="character" w:customStyle="1" w:styleId="Heading3Char">
    <w:name w:val="Heading 3 Char"/>
    <w:basedOn w:val="DefaultParagraphFont"/>
    <w:link w:val="Heading3"/>
    <w:uiPriority w:val="9"/>
    <w:rsid w:val="00EF75A4"/>
    <w:rPr>
      <w:rFonts w:ascii="Times New Roman" w:eastAsiaTheme="majorEastAsia" w:hAnsi="Times New Roman" w:cs="Times New Roman"/>
      <w:szCs w:val="24"/>
    </w:rPr>
  </w:style>
  <w:style w:type="paragraph" w:styleId="ListParagraph">
    <w:name w:val="List Paragraph"/>
    <w:basedOn w:val="Normal"/>
    <w:uiPriority w:val="34"/>
    <w:qFormat/>
    <w:rsid w:val="00337B52"/>
    <w:pPr>
      <w:ind w:left="720"/>
      <w:contextualSpacing/>
    </w:pPr>
  </w:style>
  <w:style w:type="table" w:styleId="TableGrid">
    <w:name w:val="Table Grid"/>
    <w:basedOn w:val="TableNormal"/>
    <w:uiPriority w:val="39"/>
    <w:rsid w:val="0033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15A22"/>
    <w:rPr>
      <w:b/>
      <w:bCs/>
    </w:rPr>
  </w:style>
  <w:style w:type="character" w:customStyle="1" w:styleId="CommentSubjectChar">
    <w:name w:val="Comment Subject Char"/>
    <w:basedOn w:val="CommentTextChar"/>
    <w:link w:val="CommentSubject"/>
    <w:uiPriority w:val="99"/>
    <w:semiHidden/>
    <w:rsid w:val="00015A22"/>
    <w:rPr>
      <w:b/>
      <w:bCs/>
      <w:sz w:val="20"/>
      <w:szCs w:val="20"/>
    </w:rPr>
  </w:style>
  <w:style w:type="paragraph" w:styleId="NormalWeb">
    <w:name w:val="Normal (Web)"/>
    <w:basedOn w:val="Normal"/>
    <w:uiPriority w:val="99"/>
    <w:semiHidden/>
    <w:unhideWhenUsed/>
    <w:rsid w:val="00B00607"/>
    <w:pPr>
      <w:spacing w:before="100" w:beforeAutospacing="1" w:after="100" w:afterAutospacing="1" w:line="240" w:lineRule="auto"/>
    </w:pPr>
    <w:rPr>
      <w:rFonts w:eastAsia="Times New Roman" w:cs="Times New Roman"/>
      <w:sz w:val="24"/>
      <w:szCs w:val="24"/>
      <w:lang w:eastAsia="en-GB"/>
    </w:rPr>
  </w:style>
  <w:style w:type="character" w:styleId="Hyperlink">
    <w:name w:val="Hyperlink"/>
    <w:basedOn w:val="DefaultParagraphFont"/>
    <w:uiPriority w:val="99"/>
    <w:unhideWhenUsed/>
    <w:rsid w:val="0033345E"/>
    <w:rPr>
      <w:color w:val="0563C1" w:themeColor="hyperlink"/>
      <w:u w:val="single"/>
    </w:rPr>
  </w:style>
  <w:style w:type="character" w:styleId="PlaceholderText">
    <w:name w:val="Placeholder Text"/>
    <w:basedOn w:val="DefaultParagraphFont"/>
    <w:uiPriority w:val="99"/>
    <w:semiHidden/>
    <w:rsid w:val="008347C0"/>
    <w:rPr>
      <w:color w:val="808080"/>
    </w:rPr>
  </w:style>
  <w:style w:type="paragraph" w:styleId="Revision">
    <w:name w:val="Revision"/>
    <w:hidden/>
    <w:uiPriority w:val="99"/>
    <w:semiHidden/>
    <w:rsid w:val="00574D02"/>
    <w:pPr>
      <w:spacing w:after="0" w:line="240" w:lineRule="auto"/>
    </w:pPr>
  </w:style>
  <w:style w:type="paragraph" w:customStyle="1" w:styleId="Default">
    <w:name w:val="Default"/>
    <w:rsid w:val="005B1290"/>
    <w:pPr>
      <w:autoSpaceDE w:val="0"/>
      <w:autoSpaceDN w:val="0"/>
      <w:adjustRightInd w:val="0"/>
      <w:spacing w:after="0" w:line="240" w:lineRule="auto"/>
    </w:pPr>
    <w:rPr>
      <w:rFonts w:ascii="Symbol" w:hAnsi="Symbol" w:cs="Symbol"/>
      <w:color w:val="000000"/>
      <w:sz w:val="24"/>
      <w:szCs w:val="24"/>
      <w:lang w:val="en-US"/>
    </w:rPr>
  </w:style>
  <w:style w:type="character" w:styleId="LineNumber">
    <w:name w:val="line number"/>
    <w:basedOn w:val="DefaultParagraphFont"/>
    <w:uiPriority w:val="99"/>
    <w:semiHidden/>
    <w:unhideWhenUsed/>
    <w:rsid w:val="0089320E"/>
  </w:style>
  <w:style w:type="character" w:customStyle="1" w:styleId="UnresolvedMention1">
    <w:name w:val="Unresolved Mention1"/>
    <w:basedOn w:val="DefaultParagraphFont"/>
    <w:uiPriority w:val="99"/>
    <w:semiHidden/>
    <w:unhideWhenUsed/>
    <w:rsid w:val="009A5120"/>
    <w:rPr>
      <w:color w:val="605E5C"/>
      <w:shd w:val="clear" w:color="auto" w:fill="E1DFDD"/>
    </w:rPr>
  </w:style>
  <w:style w:type="character" w:styleId="FollowedHyperlink">
    <w:name w:val="FollowedHyperlink"/>
    <w:basedOn w:val="DefaultParagraphFont"/>
    <w:uiPriority w:val="99"/>
    <w:semiHidden/>
    <w:unhideWhenUsed/>
    <w:rsid w:val="001F5F10"/>
    <w:rPr>
      <w:color w:val="954F72" w:themeColor="followedHyperlink"/>
      <w:u w:val="single"/>
    </w:rPr>
  </w:style>
  <w:style w:type="character" w:styleId="Emphasis">
    <w:name w:val="Emphasis"/>
    <w:basedOn w:val="DefaultParagraphFont"/>
    <w:uiPriority w:val="20"/>
    <w:qFormat/>
    <w:rsid w:val="00854A3A"/>
    <w:rPr>
      <w:i/>
      <w:iCs/>
    </w:rPr>
  </w:style>
  <w:style w:type="paragraph" w:styleId="Header">
    <w:name w:val="header"/>
    <w:basedOn w:val="Normal"/>
    <w:link w:val="HeaderChar"/>
    <w:uiPriority w:val="99"/>
    <w:unhideWhenUsed/>
    <w:rsid w:val="00916C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C5D"/>
  </w:style>
  <w:style w:type="paragraph" w:styleId="Footer">
    <w:name w:val="footer"/>
    <w:basedOn w:val="Normal"/>
    <w:link w:val="FooterChar"/>
    <w:uiPriority w:val="99"/>
    <w:unhideWhenUsed/>
    <w:rsid w:val="00916C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C5D"/>
  </w:style>
  <w:style w:type="paragraph" w:styleId="Title">
    <w:name w:val="Title"/>
    <w:basedOn w:val="Normal"/>
    <w:next w:val="Normal"/>
    <w:link w:val="TitleChar"/>
    <w:uiPriority w:val="10"/>
    <w:qFormat/>
    <w:rsid w:val="00DB2078"/>
    <w:pPr>
      <w:spacing w:after="0" w:line="240" w:lineRule="auto"/>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DB2078"/>
    <w:rPr>
      <w:rFonts w:ascii="Times New Roman" w:eastAsiaTheme="majorEastAsia" w:hAnsi="Times New Roman" w:cstheme="majorBidi"/>
      <w:spacing w:val="-10"/>
      <w:kern w:val="28"/>
      <w:sz w:val="20"/>
      <w:szCs w:val="56"/>
    </w:rPr>
  </w:style>
  <w:style w:type="paragraph" w:styleId="FootnoteText">
    <w:name w:val="footnote text"/>
    <w:basedOn w:val="Normal"/>
    <w:link w:val="FootnoteTextChar"/>
    <w:uiPriority w:val="99"/>
    <w:semiHidden/>
    <w:unhideWhenUsed/>
    <w:rsid w:val="00C60955"/>
    <w:pPr>
      <w:spacing w:after="0" w:line="240" w:lineRule="auto"/>
    </w:pPr>
    <w:rPr>
      <w:szCs w:val="20"/>
    </w:rPr>
  </w:style>
  <w:style w:type="character" w:customStyle="1" w:styleId="FootnoteTextChar">
    <w:name w:val="Footnote Text Char"/>
    <w:basedOn w:val="DefaultParagraphFont"/>
    <w:link w:val="FootnoteText"/>
    <w:uiPriority w:val="99"/>
    <w:semiHidden/>
    <w:rsid w:val="00C60955"/>
    <w:rPr>
      <w:rFonts w:ascii="Times New Roman" w:hAnsi="Times New Roman"/>
      <w:sz w:val="20"/>
      <w:szCs w:val="20"/>
    </w:rPr>
  </w:style>
  <w:style w:type="character" w:styleId="FootnoteReference">
    <w:name w:val="footnote reference"/>
    <w:basedOn w:val="DefaultParagraphFont"/>
    <w:uiPriority w:val="99"/>
    <w:semiHidden/>
    <w:unhideWhenUsed/>
    <w:rsid w:val="00C60955"/>
    <w:rPr>
      <w:vertAlign w:val="superscript"/>
    </w:rPr>
  </w:style>
  <w:style w:type="paragraph" w:styleId="NoSpacing">
    <w:name w:val="No Spacing"/>
    <w:uiPriority w:val="1"/>
    <w:qFormat/>
    <w:rsid w:val="001B3BF2"/>
    <w:pPr>
      <w:spacing w:after="0" w:line="240" w:lineRule="auto"/>
    </w:pPr>
    <w:rPr>
      <w:rFonts w:ascii="Times New Roman" w:hAnsi="Times New Roman"/>
      <w:sz w:val="20"/>
    </w:rPr>
  </w:style>
  <w:style w:type="character" w:customStyle="1" w:styleId="UnresolvedMention2">
    <w:name w:val="Unresolved Mention2"/>
    <w:basedOn w:val="DefaultParagraphFont"/>
    <w:uiPriority w:val="99"/>
    <w:semiHidden/>
    <w:unhideWhenUsed/>
    <w:rsid w:val="00901F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757">
      <w:bodyDiv w:val="1"/>
      <w:marLeft w:val="0"/>
      <w:marRight w:val="0"/>
      <w:marTop w:val="0"/>
      <w:marBottom w:val="0"/>
      <w:divBdr>
        <w:top w:val="none" w:sz="0" w:space="0" w:color="auto"/>
        <w:left w:val="none" w:sz="0" w:space="0" w:color="auto"/>
        <w:bottom w:val="none" w:sz="0" w:space="0" w:color="auto"/>
        <w:right w:val="none" w:sz="0" w:space="0" w:color="auto"/>
      </w:divBdr>
    </w:div>
    <w:div w:id="38863330">
      <w:bodyDiv w:val="1"/>
      <w:marLeft w:val="0"/>
      <w:marRight w:val="0"/>
      <w:marTop w:val="0"/>
      <w:marBottom w:val="0"/>
      <w:divBdr>
        <w:top w:val="none" w:sz="0" w:space="0" w:color="auto"/>
        <w:left w:val="none" w:sz="0" w:space="0" w:color="auto"/>
        <w:bottom w:val="none" w:sz="0" w:space="0" w:color="auto"/>
        <w:right w:val="none" w:sz="0" w:space="0" w:color="auto"/>
      </w:divBdr>
    </w:div>
    <w:div w:id="786700591">
      <w:bodyDiv w:val="1"/>
      <w:marLeft w:val="0"/>
      <w:marRight w:val="0"/>
      <w:marTop w:val="0"/>
      <w:marBottom w:val="0"/>
      <w:divBdr>
        <w:top w:val="none" w:sz="0" w:space="0" w:color="auto"/>
        <w:left w:val="none" w:sz="0" w:space="0" w:color="auto"/>
        <w:bottom w:val="none" w:sz="0" w:space="0" w:color="auto"/>
        <w:right w:val="none" w:sz="0" w:space="0" w:color="auto"/>
      </w:divBdr>
    </w:div>
    <w:div w:id="964701571">
      <w:bodyDiv w:val="1"/>
      <w:marLeft w:val="0"/>
      <w:marRight w:val="0"/>
      <w:marTop w:val="0"/>
      <w:marBottom w:val="0"/>
      <w:divBdr>
        <w:top w:val="none" w:sz="0" w:space="0" w:color="auto"/>
        <w:left w:val="none" w:sz="0" w:space="0" w:color="auto"/>
        <w:bottom w:val="none" w:sz="0" w:space="0" w:color="auto"/>
        <w:right w:val="none" w:sz="0" w:space="0" w:color="auto"/>
      </w:divBdr>
    </w:div>
    <w:div w:id="1175344648">
      <w:bodyDiv w:val="1"/>
      <w:marLeft w:val="0"/>
      <w:marRight w:val="0"/>
      <w:marTop w:val="0"/>
      <w:marBottom w:val="0"/>
      <w:divBdr>
        <w:top w:val="none" w:sz="0" w:space="0" w:color="auto"/>
        <w:left w:val="none" w:sz="0" w:space="0" w:color="auto"/>
        <w:bottom w:val="none" w:sz="0" w:space="0" w:color="auto"/>
        <w:right w:val="none" w:sz="0" w:space="0" w:color="auto"/>
      </w:divBdr>
    </w:div>
    <w:div w:id="1190341339">
      <w:bodyDiv w:val="1"/>
      <w:marLeft w:val="0"/>
      <w:marRight w:val="0"/>
      <w:marTop w:val="0"/>
      <w:marBottom w:val="0"/>
      <w:divBdr>
        <w:top w:val="none" w:sz="0" w:space="0" w:color="auto"/>
        <w:left w:val="none" w:sz="0" w:space="0" w:color="auto"/>
        <w:bottom w:val="none" w:sz="0" w:space="0" w:color="auto"/>
        <w:right w:val="none" w:sz="0" w:space="0" w:color="auto"/>
      </w:divBdr>
    </w:div>
    <w:div w:id="1280378503">
      <w:bodyDiv w:val="1"/>
      <w:marLeft w:val="0"/>
      <w:marRight w:val="0"/>
      <w:marTop w:val="0"/>
      <w:marBottom w:val="0"/>
      <w:divBdr>
        <w:top w:val="none" w:sz="0" w:space="0" w:color="auto"/>
        <w:left w:val="none" w:sz="0" w:space="0" w:color="auto"/>
        <w:bottom w:val="none" w:sz="0" w:space="0" w:color="auto"/>
        <w:right w:val="none" w:sz="0" w:space="0" w:color="auto"/>
      </w:divBdr>
    </w:div>
    <w:div w:id="1471897874">
      <w:bodyDiv w:val="1"/>
      <w:marLeft w:val="0"/>
      <w:marRight w:val="0"/>
      <w:marTop w:val="0"/>
      <w:marBottom w:val="0"/>
      <w:divBdr>
        <w:top w:val="none" w:sz="0" w:space="0" w:color="auto"/>
        <w:left w:val="none" w:sz="0" w:space="0" w:color="auto"/>
        <w:bottom w:val="none" w:sz="0" w:space="0" w:color="auto"/>
        <w:right w:val="none" w:sz="0" w:space="0" w:color="auto"/>
      </w:divBdr>
    </w:div>
    <w:div w:id="1622834163">
      <w:bodyDiv w:val="1"/>
      <w:marLeft w:val="0"/>
      <w:marRight w:val="0"/>
      <w:marTop w:val="0"/>
      <w:marBottom w:val="0"/>
      <w:divBdr>
        <w:top w:val="none" w:sz="0" w:space="0" w:color="auto"/>
        <w:left w:val="none" w:sz="0" w:space="0" w:color="auto"/>
        <w:bottom w:val="none" w:sz="0" w:space="0" w:color="auto"/>
        <w:right w:val="none" w:sz="0" w:space="0" w:color="auto"/>
      </w:divBdr>
    </w:div>
    <w:div w:id="1986623854">
      <w:bodyDiv w:val="1"/>
      <w:marLeft w:val="0"/>
      <w:marRight w:val="0"/>
      <w:marTop w:val="0"/>
      <w:marBottom w:val="0"/>
      <w:divBdr>
        <w:top w:val="none" w:sz="0" w:space="0" w:color="auto"/>
        <w:left w:val="none" w:sz="0" w:space="0" w:color="auto"/>
        <w:bottom w:val="none" w:sz="0" w:space="0" w:color="auto"/>
        <w:right w:val="none" w:sz="0" w:space="0" w:color="auto"/>
      </w:divBdr>
    </w:div>
    <w:div w:id="214553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agbrotons@lancaster.ac.uk" TargetMode="External"/><Relationship Id="rId18" Type="http://schemas.openxmlformats.org/officeDocument/2006/relationships/package" Target="embeddings/Microsoft_Visio_Drawing.vsdx"/><Relationship Id="rId26" Type="http://schemas.openxmlformats.org/officeDocument/2006/relationships/chart" Target="charts/chart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k.semple@lancaster.ac.uk" TargetMode="External"/><Relationship Id="rId17" Type="http://schemas.openxmlformats.org/officeDocument/2006/relationships/image" Target="media/image1.emf"/><Relationship Id="rId25" Type="http://schemas.openxmlformats.org/officeDocument/2006/relationships/chart" Target="charts/chart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aiouache@lancaster.ac.uk" TargetMode="External"/><Relationship Id="rId20" Type="http://schemas.openxmlformats.org/officeDocument/2006/relationships/footer" Target="footer1.xml"/><Relationship Id="rId29"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oureabelenda@lancaster.ac.uk" TargetMode="External"/><Relationship Id="rId24" Type="http://schemas.openxmlformats.org/officeDocument/2006/relationships/chart" Target="charts/chart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g.aggidis@lancaster.ac.uk" TargetMode="External"/><Relationship Id="rId23" Type="http://schemas.openxmlformats.org/officeDocument/2006/relationships/chart" Target="charts/chart2.xml"/><Relationship Id="rId28" Type="http://schemas.openxmlformats.org/officeDocument/2006/relationships/chart" Target="charts/chart7.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chart" Target="charts/chart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en.herbert@stopford.co.uk" TargetMode="External"/><Relationship Id="rId22" Type="http://schemas.openxmlformats.org/officeDocument/2006/relationships/chart" Target="charts/chart1.xml"/><Relationship Id="rId27" Type="http://schemas.openxmlformats.org/officeDocument/2006/relationships/chart" Target="charts/chart6.xml"/><Relationship Id="rId30" Type="http://schemas.openxmlformats.org/officeDocument/2006/relationships/chart" Target="charts/chart9.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oureabe\Box%20Sync\PhD%20LANCASTER\PAPERS\EXPERIMENTAL%20WORK%20GOOD.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moureabe\Box%20Sync\PhD%20LANCASTER\PAPERS\EXPERIMENTAL%20WORK%20GOOD.xlsx" TargetMode="Externa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chartUserShapes" Target="../drawings/drawing10.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oureabe\Box%20Sync\PhD%20LANCASTER\PAPERS\EXPERIMENTAL%20WORK%20GOOD.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oureabe\Box%20Sync\PhD%20LANCASTER\PAPERS\EXPERIMENTAL%20WORK%20GOOD.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moureabe\Box%20Sync\PhD%20LANCASTER\PAPERS\EXPERIMENTAL%20WORK%20GOOD.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moureabe\Box%20Sync\PhD%20LANCASTER\PAPERS\EXPERIMENTAL%20WORK%20GOOD.xlsx"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moureabe\Box%20Sync\PhD%20LANCASTER\PAPERS\EXPERIMENTAL%20WORK%20GOOD.xlsx" TargetMode="Externa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chartUserShapes" Target="../drawings/drawing6.xml"/></Relationships>
</file>

<file path=word/charts/_rels/chart7.xml.rels><?xml version="1.0" encoding="UTF-8" standalone="yes"?>
<Relationships xmlns="http://schemas.openxmlformats.org/package/2006/relationships"><Relationship Id="rId3" Type="http://schemas.openxmlformats.org/officeDocument/2006/relationships/oleObject" Target="https://livelancsac-my.sharepoint.com/personal/moureabe_lancaster_ac_uk/Documents/FromBox/PhD%20LANCASTER/PAPERS/EXPERIMENTAL%20WORK%20GOOD.xlsx" TargetMode="Externa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chartUserShapes" Target="../drawings/drawing7.xml"/></Relationships>
</file>

<file path=word/charts/_rels/chart8.xml.rels><?xml version="1.0" encoding="UTF-8" standalone="yes"?>
<Relationships xmlns="http://schemas.openxmlformats.org/package/2006/relationships"><Relationship Id="rId3" Type="http://schemas.openxmlformats.org/officeDocument/2006/relationships/oleObject" Target="https://livelancsac-my.sharepoint.com/personal/moureabe_lancaster_ac_uk/Documents/FromBox/PhD%20LANCASTER/PAPERS/EXPERIMENTAL%20WORK%20GOOD.xlsx" TargetMode="Externa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chartUserShapes" Target="../drawings/drawing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moureabe\Box%20Sync\PhD%20LANCASTER\PAPERS\EXPERIMENTAL%20WORK%20GOOD.xlsx" TargetMode="Externa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chartUserShapes" Target="../drawings/drawing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159689729337576"/>
          <c:y val="5.9701492537313432E-2"/>
          <c:w val="0.75230669456220256"/>
          <c:h val="0.74171674775444252"/>
        </c:manualLayout>
      </c:layout>
      <c:scatterChart>
        <c:scatterStyle val="lineMarker"/>
        <c:varyColors val="0"/>
        <c:ser>
          <c:idx val="0"/>
          <c:order val="0"/>
          <c:tx>
            <c:strRef>
              <c:f>'NO ACID'!$A$22</c:f>
              <c:strCache>
                <c:ptCount val="1"/>
                <c:pt idx="0">
                  <c:v>Blend 1</c:v>
                </c:pt>
              </c:strCache>
            </c:strRef>
          </c:tx>
          <c:spPr>
            <a:ln w="6350" cap="rnd">
              <a:solidFill>
                <a:schemeClr val="tx1"/>
              </a:solidFill>
              <a:round/>
            </a:ln>
            <a:effectLst/>
          </c:spPr>
          <c:marker>
            <c:symbol val="circle"/>
            <c:size val="5"/>
            <c:spPr>
              <a:solidFill>
                <a:schemeClr val="tx1"/>
              </a:solidFill>
              <a:ln w="9525">
                <a:noFill/>
              </a:ln>
              <a:effectLst/>
            </c:spPr>
          </c:marker>
          <c:errBars>
            <c:errDir val="y"/>
            <c:errBarType val="both"/>
            <c:errValType val="cust"/>
            <c:noEndCap val="0"/>
            <c:plus>
              <c:numRef>
                <c:f>('NO ACID'!$I$22,'NO ACID'!$I$24,'NO ACID'!$I$26,'NO ACID'!$I$28,'NO ACID'!$I$30,'NO ACID'!$I$32)</c:f>
                <c:numCache>
                  <c:formatCode>General</c:formatCode>
                  <c:ptCount val="6"/>
                  <c:pt idx="0">
                    <c:v>0.12871496284053671</c:v>
                  </c:pt>
                  <c:pt idx="1">
                    <c:v>2.263762615826018E-2</c:v>
                  </c:pt>
                  <c:pt idx="2">
                    <c:v>0.11883893163866167</c:v>
                  </c:pt>
                  <c:pt idx="3">
                    <c:v>8.7645132874321879E-2</c:v>
                  </c:pt>
                  <c:pt idx="4">
                    <c:v>0.11548015320931532</c:v>
                  </c:pt>
                  <c:pt idx="5">
                    <c:v>0.16351382471312681</c:v>
                  </c:pt>
                </c:numCache>
              </c:numRef>
            </c:plus>
            <c:minus>
              <c:numRef>
                <c:f>('NO ACID'!$I$22,'NO ACID'!$I$24,'NO ACID'!$I$26,'NO ACID'!$I$28,'NO ACID'!$I$30,'NO ACID'!$I$32)</c:f>
                <c:numCache>
                  <c:formatCode>General</c:formatCode>
                  <c:ptCount val="6"/>
                  <c:pt idx="0">
                    <c:v>0.12871496284053671</c:v>
                  </c:pt>
                  <c:pt idx="1">
                    <c:v>2.263762615826018E-2</c:v>
                  </c:pt>
                  <c:pt idx="2">
                    <c:v>0.11883893163866167</c:v>
                  </c:pt>
                  <c:pt idx="3">
                    <c:v>8.7645132874321879E-2</c:v>
                  </c:pt>
                  <c:pt idx="4">
                    <c:v>0.11548015320931532</c:v>
                  </c:pt>
                  <c:pt idx="5">
                    <c:v>0.16351382471312681</c:v>
                  </c:pt>
                </c:numCache>
              </c:numRef>
            </c:minus>
            <c:spPr>
              <a:noFill/>
              <a:ln w="9525" cap="flat" cmpd="sng" algn="ctr">
                <a:solidFill>
                  <a:schemeClr val="tx1">
                    <a:lumMod val="65000"/>
                    <a:lumOff val="35000"/>
                  </a:schemeClr>
                </a:solidFill>
                <a:round/>
              </a:ln>
              <a:effectLst/>
            </c:spPr>
          </c:errBars>
          <c:xVal>
            <c:numRef>
              <c:f>('NO ACID'!$C$22,'NO ACID'!$C$24,'NO ACID'!$C$26,'NO ACID'!$C$28,'NO ACID'!$C$30,'NO ACID'!$C$32)</c:f>
              <c:numCache>
                <c:formatCode>General</c:formatCode>
                <c:ptCount val="6"/>
                <c:pt idx="0">
                  <c:v>0</c:v>
                </c:pt>
                <c:pt idx="1">
                  <c:v>0.5</c:v>
                </c:pt>
                <c:pt idx="2">
                  <c:v>1</c:v>
                </c:pt>
                <c:pt idx="3">
                  <c:v>3</c:v>
                </c:pt>
                <c:pt idx="4">
                  <c:v>6</c:v>
                </c:pt>
                <c:pt idx="5">
                  <c:v>10</c:v>
                </c:pt>
              </c:numCache>
            </c:numRef>
          </c:xVal>
          <c:yVal>
            <c:numRef>
              <c:f>('NO ACID'!$H$22,'NO ACID'!$H$24,'NO ACID'!$H$26,'NO ACID'!$H$28,'NO ACID'!$H$30,'NO ACID'!$H$32)</c:f>
              <c:numCache>
                <c:formatCode>General</c:formatCode>
                <c:ptCount val="6"/>
                <c:pt idx="0">
                  <c:v>9.958444444444444</c:v>
                </c:pt>
                <c:pt idx="1">
                  <c:v>10.281666666666666</c:v>
                </c:pt>
                <c:pt idx="2">
                  <c:v>10.160666666666668</c:v>
                </c:pt>
                <c:pt idx="3">
                  <c:v>10.132166666666667</c:v>
                </c:pt>
                <c:pt idx="4">
                  <c:v>10.421333333333333</c:v>
                </c:pt>
                <c:pt idx="5">
                  <c:v>10.484</c:v>
                </c:pt>
              </c:numCache>
            </c:numRef>
          </c:yVal>
          <c:smooth val="0"/>
          <c:extLst>
            <c:ext xmlns:c16="http://schemas.microsoft.com/office/drawing/2014/chart" uri="{C3380CC4-5D6E-409C-BE32-E72D297353CC}">
              <c16:uniqueId val="{00000000-6C47-427A-89B0-83B80D89445F}"/>
            </c:ext>
          </c:extLst>
        </c:ser>
        <c:ser>
          <c:idx val="1"/>
          <c:order val="1"/>
          <c:tx>
            <c:strRef>
              <c:f>'NO ACID'!$A$23</c:f>
              <c:strCache>
                <c:ptCount val="1"/>
                <c:pt idx="0">
                  <c:v>Blend 2</c:v>
                </c:pt>
              </c:strCache>
            </c:strRef>
          </c:tx>
          <c:spPr>
            <a:ln w="6350" cap="rnd">
              <a:solidFill>
                <a:schemeClr val="tx1"/>
              </a:solidFill>
              <a:prstDash val="dash"/>
              <a:round/>
            </a:ln>
            <a:effectLst/>
          </c:spPr>
          <c:marker>
            <c:symbol val="triangle"/>
            <c:size val="5"/>
            <c:spPr>
              <a:solidFill>
                <a:sysClr val="windowText" lastClr="000000"/>
              </a:solidFill>
              <a:ln w="9525">
                <a:noFill/>
              </a:ln>
              <a:effectLst/>
            </c:spPr>
          </c:marker>
          <c:errBars>
            <c:errDir val="y"/>
            <c:errBarType val="both"/>
            <c:errValType val="cust"/>
            <c:noEndCap val="0"/>
            <c:plus>
              <c:numRef>
                <c:f>('NO ACID'!$I$34,'NO ACID'!$I$36,'NO ACID'!$I$38,'NO ACID'!$I$40,'NO ACID'!$I$42,'NO ACID'!$I$44)</c:f>
                <c:numCache>
                  <c:formatCode>General</c:formatCode>
                  <c:ptCount val="6"/>
                  <c:pt idx="0">
                    <c:v>7.3266520826192824E-2</c:v>
                  </c:pt>
                  <c:pt idx="1">
                    <c:v>7.1923404804616259E-2</c:v>
                  </c:pt>
                  <c:pt idx="2">
                    <c:v>7.664801762326616E-2</c:v>
                  </c:pt>
                  <c:pt idx="3">
                    <c:v>5.230037476321038E-2</c:v>
                  </c:pt>
                  <c:pt idx="4">
                    <c:v>7.8332793447600177E-2</c:v>
                  </c:pt>
                  <c:pt idx="5">
                    <c:v>4.1399832673782659E-2</c:v>
                  </c:pt>
                </c:numCache>
              </c:numRef>
            </c:plus>
            <c:minus>
              <c:numRef>
                <c:f>('NO ACID'!$I$34,'NO ACID'!$I$36,'NO ACID'!$I$38,'NO ACID'!$I$40,'NO ACID'!$I$42,'NO ACID'!$I$44)</c:f>
                <c:numCache>
                  <c:formatCode>General</c:formatCode>
                  <c:ptCount val="6"/>
                  <c:pt idx="0">
                    <c:v>7.3266520826192824E-2</c:v>
                  </c:pt>
                  <c:pt idx="1">
                    <c:v>7.1923404804616259E-2</c:v>
                  </c:pt>
                  <c:pt idx="2">
                    <c:v>7.664801762326616E-2</c:v>
                  </c:pt>
                  <c:pt idx="3">
                    <c:v>5.230037476321038E-2</c:v>
                  </c:pt>
                  <c:pt idx="4">
                    <c:v>7.8332793447600177E-2</c:v>
                  </c:pt>
                  <c:pt idx="5">
                    <c:v>4.1399832673782659E-2</c:v>
                  </c:pt>
                </c:numCache>
              </c:numRef>
            </c:minus>
            <c:spPr>
              <a:noFill/>
              <a:ln w="9525" cap="flat" cmpd="sng" algn="ctr">
                <a:solidFill>
                  <a:schemeClr val="tx1">
                    <a:lumMod val="65000"/>
                    <a:lumOff val="35000"/>
                  </a:schemeClr>
                </a:solidFill>
                <a:round/>
              </a:ln>
              <a:effectLst/>
            </c:spPr>
          </c:errBars>
          <c:xVal>
            <c:numRef>
              <c:f>('NO ACID'!$C$34,'NO ACID'!$C$36,'NO ACID'!$C$38,'NO ACID'!$C$40,'NO ACID'!$C$42,'NO ACID'!$C$44)</c:f>
              <c:numCache>
                <c:formatCode>General</c:formatCode>
                <c:ptCount val="6"/>
                <c:pt idx="0">
                  <c:v>0</c:v>
                </c:pt>
                <c:pt idx="1">
                  <c:v>0.5</c:v>
                </c:pt>
                <c:pt idx="2">
                  <c:v>1</c:v>
                </c:pt>
                <c:pt idx="3">
                  <c:v>3</c:v>
                </c:pt>
                <c:pt idx="4">
                  <c:v>6</c:v>
                </c:pt>
                <c:pt idx="5">
                  <c:v>10</c:v>
                </c:pt>
              </c:numCache>
            </c:numRef>
          </c:xVal>
          <c:yVal>
            <c:numRef>
              <c:f>('NO ACID'!$H$34,'NO ACID'!$H$36,'NO ACID'!$H$38,'NO ACID'!$H$40,'NO ACID'!$H$42,'NO ACID'!$H$44)</c:f>
              <c:numCache>
                <c:formatCode>General</c:formatCode>
                <c:ptCount val="6"/>
                <c:pt idx="0">
                  <c:v>12.065555555555557</c:v>
                </c:pt>
                <c:pt idx="1">
                  <c:v>12.168333333333333</c:v>
                </c:pt>
                <c:pt idx="2">
                  <c:v>12.165333333333333</c:v>
                </c:pt>
                <c:pt idx="3">
                  <c:v>12.220833333333333</c:v>
                </c:pt>
                <c:pt idx="4">
                  <c:v>12.126166666666668</c:v>
                </c:pt>
                <c:pt idx="5">
                  <c:v>12.402999999999999</c:v>
                </c:pt>
              </c:numCache>
            </c:numRef>
          </c:yVal>
          <c:smooth val="0"/>
          <c:extLst>
            <c:ext xmlns:c16="http://schemas.microsoft.com/office/drawing/2014/chart" uri="{C3380CC4-5D6E-409C-BE32-E72D297353CC}">
              <c16:uniqueId val="{00000001-6C47-427A-89B0-83B80D89445F}"/>
            </c:ext>
          </c:extLst>
        </c:ser>
        <c:dLbls>
          <c:showLegendKey val="0"/>
          <c:showVal val="0"/>
          <c:showCatName val="0"/>
          <c:showSerName val="0"/>
          <c:showPercent val="0"/>
          <c:showBubbleSize val="0"/>
        </c:dLbls>
        <c:axId val="783175704"/>
        <c:axId val="783181280"/>
        <c:extLst>
          <c:ext xmlns:c15="http://schemas.microsoft.com/office/drawing/2012/chart" uri="{02D57815-91ED-43cb-92C2-25804820EDAC}">
            <c15:filteredScatterSeries>
              <c15:ser>
                <c:idx val="2"/>
                <c:order val="2"/>
                <c:tx>
                  <c:strRef>
                    <c:extLst>
                      <c:ext uri="{02D57815-91ED-43cb-92C2-25804820EDAC}">
                        <c15:formulaRef>
                          <c15:sqref>'NO ACID'!$A$49</c15:sqref>
                        </c15:formulaRef>
                      </c:ext>
                    </c:extLst>
                    <c:strCache>
                      <c:ptCount val="1"/>
                      <c:pt idx="0">
                        <c:v>B1</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cust"/>
                  <c:noEndCap val="0"/>
                  <c:plus>
                    <c:numRef>
                      <c:extLst>
                        <c:ext uri="{02D57815-91ED-43cb-92C2-25804820EDAC}">
                          <c15:formulaRef>
                            <c15:sqref>('NO ACID'!$I$49,'NO ACID'!$I$51,'NO ACID'!$I$53,'NO ACID'!$I$55,'NO ACID'!$I$57,'NO ACID'!$I$59)</c15:sqref>
                          </c15:formulaRef>
                        </c:ext>
                      </c:extLst>
                      <c:numCache>
                        <c:formatCode>General</c:formatCode>
                        <c:ptCount val="6"/>
                        <c:pt idx="0">
                          <c:v>0.29073385641594451</c:v>
                        </c:pt>
                        <c:pt idx="1">
                          <c:v>9.7928793275135401E-2</c:v>
                        </c:pt>
                        <c:pt idx="2">
                          <c:v>0.33630109274451164</c:v>
                        </c:pt>
                        <c:pt idx="3">
                          <c:v>0.29441168555361685</c:v>
                        </c:pt>
                        <c:pt idx="4">
                          <c:v>0.47053351140514388</c:v>
                        </c:pt>
                        <c:pt idx="5">
                          <c:v>0.47461271357350976</c:v>
                        </c:pt>
                      </c:numCache>
                    </c:numRef>
                  </c:plus>
                  <c:minus>
                    <c:numRef>
                      <c:extLst>
                        <c:ext uri="{02D57815-91ED-43cb-92C2-25804820EDAC}">
                          <c15:formulaRef>
                            <c15:sqref>('NO ACID'!$I$49,'NO ACID'!$I$51,'NO ACID'!$I$53,'NO ACID'!$I$55,'NO ACID'!$I$57,'NO ACID'!$I$59)</c15:sqref>
                          </c15:formulaRef>
                        </c:ext>
                      </c:extLst>
                      <c:numCache>
                        <c:formatCode>General</c:formatCode>
                        <c:ptCount val="6"/>
                        <c:pt idx="0">
                          <c:v>0.29073385641594451</c:v>
                        </c:pt>
                        <c:pt idx="1">
                          <c:v>9.7928793275135401E-2</c:v>
                        </c:pt>
                        <c:pt idx="2">
                          <c:v>0.33630109274451164</c:v>
                        </c:pt>
                        <c:pt idx="3">
                          <c:v>0.29441168555361685</c:v>
                        </c:pt>
                        <c:pt idx="4">
                          <c:v>0.47053351140514388</c:v>
                        </c:pt>
                        <c:pt idx="5">
                          <c:v>0.47461271357350976</c:v>
                        </c:pt>
                      </c:numCache>
                    </c:numRef>
                  </c:minus>
                  <c:spPr>
                    <a:noFill/>
                    <a:ln w="9525" cap="flat" cmpd="sng" algn="ctr">
                      <a:solidFill>
                        <a:schemeClr val="tx1">
                          <a:lumMod val="65000"/>
                          <a:lumOff val="35000"/>
                        </a:schemeClr>
                      </a:solidFill>
                      <a:round/>
                    </a:ln>
                    <a:effectLst/>
                  </c:spPr>
                </c:errBars>
                <c:xVal>
                  <c:numRef>
                    <c:extLst>
                      <c:ext uri="{02D57815-91ED-43cb-92C2-25804820EDAC}">
                        <c15:formulaRef>
                          <c15:sqref>('NO ACID'!$C$49,'NO ACID'!$C$51,'NO ACID'!$C$53,'NO ACID'!$C$55,'NO ACID'!$C$57,'NO ACID'!$C$59)</c15:sqref>
                        </c15:formulaRef>
                      </c:ext>
                    </c:extLst>
                    <c:numCache>
                      <c:formatCode>General</c:formatCode>
                      <c:ptCount val="6"/>
                      <c:pt idx="0">
                        <c:v>0</c:v>
                      </c:pt>
                      <c:pt idx="1">
                        <c:v>0.5</c:v>
                      </c:pt>
                      <c:pt idx="2">
                        <c:v>1</c:v>
                      </c:pt>
                      <c:pt idx="3">
                        <c:v>3</c:v>
                      </c:pt>
                      <c:pt idx="4">
                        <c:v>6</c:v>
                      </c:pt>
                      <c:pt idx="5">
                        <c:v>10</c:v>
                      </c:pt>
                    </c:numCache>
                  </c:numRef>
                </c:xVal>
                <c:yVal>
                  <c:numRef>
                    <c:extLst>
                      <c:ext uri="{02D57815-91ED-43cb-92C2-25804820EDAC}">
                        <c15:formulaRef>
                          <c15:sqref>('NO ACID'!$H$49,'NO ACID'!$H$51,'NO ACID'!$H$53,'NO ACID'!$H$55,'NO ACID'!$H$57,'NO ACID'!$H$59)</c15:sqref>
                        </c15:formulaRef>
                      </c:ext>
                    </c:extLst>
                    <c:numCache>
                      <c:formatCode>General</c:formatCode>
                      <c:ptCount val="6"/>
                      <c:pt idx="0">
                        <c:v>6.8931111111111107</c:v>
                      </c:pt>
                      <c:pt idx="1">
                        <c:v>6.3616666666666664</c:v>
                      </c:pt>
                      <c:pt idx="2">
                        <c:v>6.1191666666666666</c:v>
                      </c:pt>
                      <c:pt idx="3">
                        <c:v>6.3718333333333321</c:v>
                      </c:pt>
                      <c:pt idx="4">
                        <c:v>6.4158333333333335</c:v>
                      </c:pt>
                      <c:pt idx="5">
                        <c:v>6.2799999999999994</c:v>
                      </c:pt>
                    </c:numCache>
                  </c:numRef>
                </c:yVal>
                <c:smooth val="0"/>
                <c:extLst>
                  <c:ext xmlns:c16="http://schemas.microsoft.com/office/drawing/2014/chart" uri="{C3380CC4-5D6E-409C-BE32-E72D297353CC}">
                    <c16:uniqueId val="{00000002-6C47-427A-89B0-83B80D89445F}"/>
                  </c:ext>
                </c:extLst>
              </c15:ser>
            </c15:filteredScatterSeries>
            <c15:filteredScatterSeries>
              <c15:ser>
                <c:idx val="3"/>
                <c:order val="3"/>
                <c:tx>
                  <c:strRef>
                    <c:extLst xmlns:c15="http://schemas.microsoft.com/office/drawing/2012/chart">
                      <c:ext xmlns:c15="http://schemas.microsoft.com/office/drawing/2012/chart" uri="{02D57815-91ED-43cb-92C2-25804820EDAC}">
                        <c15:formulaRef>
                          <c15:sqref>'NO ACID'!$A$50</c15:sqref>
                        </c15:formulaRef>
                      </c:ext>
                    </c:extLst>
                    <c:strCache>
                      <c:ptCount val="1"/>
                      <c:pt idx="0">
                        <c:v>B2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cust"/>
                  <c:noEndCap val="0"/>
                  <c:plus>
                    <c:numRef>
                      <c:extLst xmlns:c15="http://schemas.microsoft.com/office/drawing/2012/chart">
                        <c:ext xmlns:c15="http://schemas.microsoft.com/office/drawing/2012/chart" uri="{02D57815-91ED-43cb-92C2-25804820EDAC}">
                          <c15:formulaRef>
                            <c15:sqref>('NO ACID'!$I$61,'NO ACID'!$I$63,'NO ACID'!$I$65,'NO ACID'!$I$67,'NO ACID'!$I$69,'NO ACID'!$I$71)</c15:sqref>
                          </c15:formulaRef>
                        </c:ext>
                      </c:extLst>
                      <c:numCache>
                        <c:formatCode>General</c:formatCode>
                        <c:ptCount val="6"/>
                        <c:pt idx="0">
                          <c:v>0.62656461583124978</c:v>
                        </c:pt>
                        <c:pt idx="1">
                          <c:v>0.51315983709045321</c:v>
                        </c:pt>
                        <c:pt idx="2">
                          <c:v>0.49487152644279875</c:v>
                        </c:pt>
                        <c:pt idx="3">
                          <c:v>0.80966794564568456</c:v>
                        </c:pt>
                        <c:pt idx="4">
                          <c:v>0.60481709308958376</c:v>
                        </c:pt>
                        <c:pt idx="5">
                          <c:v>0.87762153260797149</c:v>
                        </c:pt>
                      </c:numCache>
                    </c:numRef>
                  </c:plus>
                  <c:minus>
                    <c:numRef>
                      <c:extLst xmlns:c15="http://schemas.microsoft.com/office/drawing/2012/chart">
                        <c:ext xmlns:c15="http://schemas.microsoft.com/office/drawing/2012/chart" uri="{02D57815-91ED-43cb-92C2-25804820EDAC}">
                          <c15:formulaRef>
                            <c15:sqref>('NO ACID'!$I$61,'NO ACID'!$I$63,'NO ACID'!$I$65,'NO ACID'!$I$67,'NO ACID'!$I$69,'NO ACID'!$I$71)</c15:sqref>
                          </c15:formulaRef>
                        </c:ext>
                      </c:extLst>
                      <c:numCache>
                        <c:formatCode>General</c:formatCode>
                        <c:ptCount val="6"/>
                        <c:pt idx="0">
                          <c:v>0.62656461583124978</c:v>
                        </c:pt>
                        <c:pt idx="1">
                          <c:v>0.51315983709045321</c:v>
                        </c:pt>
                        <c:pt idx="2">
                          <c:v>0.49487152644279875</c:v>
                        </c:pt>
                        <c:pt idx="3">
                          <c:v>0.80966794564568456</c:v>
                        </c:pt>
                        <c:pt idx="4">
                          <c:v>0.60481709308958376</c:v>
                        </c:pt>
                        <c:pt idx="5">
                          <c:v>0.87762153260797149</c:v>
                        </c:pt>
                      </c:numCache>
                    </c:numRef>
                  </c:minus>
                  <c:spPr>
                    <a:noFill/>
                    <a:ln w="9525" cap="flat" cmpd="sng" algn="ctr">
                      <a:solidFill>
                        <a:schemeClr val="tx1">
                          <a:lumMod val="65000"/>
                          <a:lumOff val="35000"/>
                        </a:schemeClr>
                      </a:solidFill>
                      <a:round/>
                    </a:ln>
                    <a:effectLst/>
                  </c:spPr>
                </c:errBars>
                <c:xVal>
                  <c:numRef>
                    <c:extLst xmlns:c15="http://schemas.microsoft.com/office/drawing/2012/chart">
                      <c:ext xmlns:c15="http://schemas.microsoft.com/office/drawing/2012/chart" uri="{02D57815-91ED-43cb-92C2-25804820EDAC}">
                        <c15:formulaRef>
                          <c15:sqref>('NO ACID'!$C$61,'NO ACID'!$C$63,'NO ACID'!$C$65,'NO ACID'!$C$67,'NO ACID'!$C$69,'NO ACID'!$C$71)</c15:sqref>
                        </c15:formulaRef>
                      </c:ext>
                    </c:extLst>
                    <c:numCache>
                      <c:formatCode>General</c:formatCode>
                      <c:ptCount val="6"/>
                      <c:pt idx="0">
                        <c:v>0</c:v>
                      </c:pt>
                      <c:pt idx="1">
                        <c:v>0.5</c:v>
                      </c:pt>
                      <c:pt idx="2">
                        <c:v>1</c:v>
                      </c:pt>
                      <c:pt idx="3">
                        <c:v>3</c:v>
                      </c:pt>
                      <c:pt idx="4">
                        <c:v>6</c:v>
                      </c:pt>
                      <c:pt idx="5">
                        <c:v>10</c:v>
                      </c:pt>
                    </c:numCache>
                  </c:numRef>
                </c:xVal>
                <c:yVal>
                  <c:numRef>
                    <c:extLst xmlns:c15="http://schemas.microsoft.com/office/drawing/2012/chart">
                      <c:ext xmlns:c15="http://schemas.microsoft.com/office/drawing/2012/chart" uri="{02D57815-91ED-43cb-92C2-25804820EDAC}">
                        <c15:formulaRef>
                          <c15:sqref>('NO ACID'!$H$61,'NO ACID'!$H$63,'NO ACID'!$H$65,'NO ACID'!$H$67,'NO ACID'!$H$69,'NO ACID'!$H$71)</c15:sqref>
                        </c15:formulaRef>
                      </c:ext>
                    </c:extLst>
                    <c:numCache>
                      <c:formatCode>General</c:formatCode>
                      <c:ptCount val="6"/>
                      <c:pt idx="0">
                        <c:v>8.5211111111111126</c:v>
                      </c:pt>
                      <c:pt idx="1">
                        <c:v>7.8933330000000002</c:v>
                      </c:pt>
                      <c:pt idx="2">
                        <c:v>8.4693333333333349</c:v>
                      </c:pt>
                      <c:pt idx="3">
                        <c:v>8.5730000000000004</c:v>
                      </c:pt>
                      <c:pt idx="4">
                        <c:v>8.5518333333333345</c:v>
                      </c:pt>
                      <c:pt idx="5">
                        <c:v>8.0069999999999997</c:v>
                      </c:pt>
                    </c:numCache>
                  </c:numRef>
                </c:yVal>
                <c:smooth val="0"/>
                <c:extLst xmlns:c15="http://schemas.microsoft.com/office/drawing/2012/chart">
                  <c:ext xmlns:c16="http://schemas.microsoft.com/office/drawing/2014/chart" uri="{C3380CC4-5D6E-409C-BE32-E72D297353CC}">
                    <c16:uniqueId val="{00000003-6C47-427A-89B0-83B80D89445F}"/>
                  </c:ext>
                </c:extLst>
              </c15:ser>
            </c15:filteredScatterSeries>
          </c:ext>
        </c:extLst>
      </c:scatterChart>
      <c:valAx>
        <c:axId val="783175704"/>
        <c:scaling>
          <c:orientation val="minMax"/>
          <c:max val="1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Incubation/(hours)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181280"/>
        <c:crosses val="autoZero"/>
        <c:crossBetween val="midCat"/>
        <c:majorUnit val="2"/>
      </c:valAx>
      <c:valAx>
        <c:axId val="783181280"/>
        <c:scaling>
          <c:orientation val="minMax"/>
          <c:max val="13"/>
          <c:min val="9"/>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175704"/>
        <c:crosses val="autoZero"/>
        <c:crossBetween val="midCat"/>
      </c:valAx>
      <c:spPr>
        <a:noFill/>
        <a:ln>
          <a:noFill/>
        </a:ln>
        <a:effectLst/>
      </c:spPr>
    </c:plotArea>
    <c:legend>
      <c:legendPos val="r"/>
      <c:layout>
        <c:manualLayout>
          <c:xMode val="edge"/>
          <c:yMode val="edge"/>
          <c:x val="0.58636306825283191"/>
          <c:y val="0.27063362393742219"/>
          <c:w val="0.31262683073706699"/>
          <c:h val="0.143046604541088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971951155678191"/>
          <c:y val="4.3540283092383024E-2"/>
          <c:w val="0.79013803830076801"/>
          <c:h val="0.74967899138161642"/>
        </c:manualLayout>
      </c:layout>
      <c:scatterChart>
        <c:scatterStyle val="lineMarker"/>
        <c:varyColors val="0"/>
        <c:ser>
          <c:idx val="0"/>
          <c:order val="0"/>
          <c:tx>
            <c:strRef>
              <c:f>'NO ACID'!$A$132</c:f>
              <c:strCache>
                <c:ptCount val="1"/>
                <c:pt idx="0">
                  <c:v>Blend 1</c:v>
                </c:pt>
              </c:strCache>
            </c:strRef>
          </c:tx>
          <c:spPr>
            <a:ln w="6350" cap="rnd">
              <a:solidFill>
                <a:schemeClr val="tx1"/>
              </a:solidFill>
              <a:prstDash val="solid"/>
              <a:round/>
            </a:ln>
            <a:effectLst/>
          </c:spPr>
          <c:marker>
            <c:symbol val="circle"/>
            <c:size val="5"/>
            <c:spPr>
              <a:solidFill>
                <a:schemeClr val="tx1"/>
              </a:solidFill>
              <a:ln w="9525">
                <a:noFill/>
              </a:ln>
              <a:effectLst/>
            </c:spPr>
          </c:marker>
          <c:errBars>
            <c:errDir val="y"/>
            <c:errBarType val="both"/>
            <c:errValType val="cust"/>
            <c:noEndCap val="0"/>
            <c:plus>
              <c:numRef>
                <c:f>('NO ACID'!$I$132,'NO ACID'!$I$134,'NO ACID'!$I$136,'NO ACID'!$I$138,'NO ACID'!$I$140,'NO ACID'!$I$142)</c:f>
                <c:numCache>
                  <c:formatCode>General</c:formatCode>
                  <c:ptCount val="6"/>
                  <c:pt idx="0">
                    <c:v>2.8493432780620878</c:v>
                  </c:pt>
                  <c:pt idx="1">
                    <c:v>1.9312640508781949</c:v>
                  </c:pt>
                  <c:pt idx="2">
                    <c:v>5.4532943131779854</c:v>
                  </c:pt>
                  <c:pt idx="3">
                    <c:v>7.4710395373323237</c:v>
                  </c:pt>
                  <c:pt idx="4">
                    <c:v>8.3691816327837039</c:v>
                  </c:pt>
                  <c:pt idx="5">
                    <c:v>6.3730970394657636</c:v>
                  </c:pt>
                </c:numCache>
              </c:numRef>
            </c:plus>
            <c:minus>
              <c:numRef>
                <c:f>('NO ACID'!$I$132,'NO ACID'!$I$134,'NO ACID'!$I$136,'NO ACID'!$I$138,'NO ACID'!$I$140,'NO ACID'!$I$142)</c:f>
                <c:numCache>
                  <c:formatCode>General</c:formatCode>
                  <c:ptCount val="6"/>
                  <c:pt idx="0">
                    <c:v>2.8493432780620878</c:v>
                  </c:pt>
                  <c:pt idx="1">
                    <c:v>1.9312640508781949</c:v>
                  </c:pt>
                  <c:pt idx="2">
                    <c:v>5.4532943131779854</c:v>
                  </c:pt>
                  <c:pt idx="3">
                    <c:v>7.4710395373323237</c:v>
                  </c:pt>
                  <c:pt idx="4">
                    <c:v>8.3691816327837039</c:v>
                  </c:pt>
                  <c:pt idx="5">
                    <c:v>6.3730970394657636</c:v>
                  </c:pt>
                </c:numCache>
              </c:numRef>
            </c:minus>
            <c:spPr>
              <a:noFill/>
              <a:ln w="9525" cap="flat" cmpd="sng" algn="ctr">
                <a:solidFill>
                  <a:schemeClr val="tx1">
                    <a:lumMod val="65000"/>
                    <a:lumOff val="35000"/>
                  </a:schemeClr>
                </a:solidFill>
                <a:round/>
              </a:ln>
              <a:effectLst/>
            </c:spPr>
          </c:errBars>
          <c:xVal>
            <c:numRef>
              <c:f>('NO ACID'!$C$132,'NO ACID'!$C$134,'NO ACID'!$C$136,'NO ACID'!$C$138,'NO ACID'!$C$140,'NO ACID'!$C$142)</c:f>
              <c:numCache>
                <c:formatCode>General</c:formatCode>
                <c:ptCount val="6"/>
                <c:pt idx="0">
                  <c:v>0</c:v>
                </c:pt>
                <c:pt idx="1">
                  <c:v>0.5</c:v>
                </c:pt>
                <c:pt idx="2">
                  <c:v>1</c:v>
                </c:pt>
                <c:pt idx="3">
                  <c:v>3</c:v>
                </c:pt>
                <c:pt idx="4">
                  <c:v>6</c:v>
                </c:pt>
                <c:pt idx="5">
                  <c:v>10</c:v>
                </c:pt>
              </c:numCache>
            </c:numRef>
          </c:xVal>
          <c:yVal>
            <c:numRef>
              <c:f>('NO ACID'!$H$132,'NO ACID'!$H$134,'NO ACID'!$H$136,'NO ACID'!$H$138,'NO ACID'!$H$140,'NO ACID'!$H$142)</c:f>
              <c:numCache>
                <c:formatCode>General</c:formatCode>
                <c:ptCount val="6"/>
                <c:pt idx="0">
                  <c:v>37.502435466129903</c:v>
                </c:pt>
                <c:pt idx="1">
                  <c:v>45.038356037265551</c:v>
                </c:pt>
                <c:pt idx="2">
                  <c:v>46.673102259828369</c:v>
                </c:pt>
                <c:pt idx="3">
                  <c:v>45.960187483982942</c:v>
                </c:pt>
                <c:pt idx="4">
                  <c:v>56.843608484492648</c:v>
                </c:pt>
                <c:pt idx="5">
                  <c:v>58.855626030331003</c:v>
                </c:pt>
              </c:numCache>
            </c:numRef>
          </c:yVal>
          <c:smooth val="0"/>
          <c:extLst>
            <c:ext xmlns:c16="http://schemas.microsoft.com/office/drawing/2014/chart" uri="{C3380CC4-5D6E-409C-BE32-E72D297353CC}">
              <c16:uniqueId val="{00000000-9AE7-4BD8-8F35-A5374E368C42}"/>
            </c:ext>
          </c:extLst>
        </c:ser>
        <c:ser>
          <c:idx val="1"/>
          <c:order val="1"/>
          <c:tx>
            <c:strRef>
              <c:f>'NO ACID'!$A$133</c:f>
              <c:strCache>
                <c:ptCount val="1"/>
                <c:pt idx="0">
                  <c:v>Blend 2</c:v>
                </c:pt>
              </c:strCache>
            </c:strRef>
          </c:tx>
          <c:spPr>
            <a:ln w="6350" cap="rnd">
              <a:solidFill>
                <a:schemeClr val="tx1"/>
              </a:solidFill>
              <a:prstDash val="dash"/>
              <a:round/>
            </a:ln>
            <a:effectLst/>
          </c:spPr>
          <c:marker>
            <c:symbol val="triangle"/>
            <c:size val="5"/>
            <c:spPr>
              <a:solidFill>
                <a:schemeClr val="tx1"/>
              </a:solidFill>
              <a:ln w="9525">
                <a:noFill/>
              </a:ln>
              <a:effectLst/>
            </c:spPr>
          </c:marker>
          <c:errBars>
            <c:errDir val="y"/>
            <c:errBarType val="both"/>
            <c:errValType val="cust"/>
            <c:noEndCap val="0"/>
            <c:plus>
              <c:numRef>
                <c:f>('NO ACID'!$I$144,'NO ACID'!$I$146,'NO ACID'!$I$148,'NO ACID'!$I$150,'NO ACID'!$I$152,'NO ACID'!$I$154)</c:f>
                <c:numCache>
                  <c:formatCode>General</c:formatCode>
                  <c:ptCount val="6"/>
                  <c:pt idx="0">
                    <c:v>0.44939338416257152</c:v>
                  </c:pt>
                  <c:pt idx="1">
                    <c:v>0.42722964295984656</c:v>
                  </c:pt>
                  <c:pt idx="2">
                    <c:v>0.36530377606347758</c:v>
                  </c:pt>
                  <c:pt idx="3">
                    <c:v>0.92549911906978211</c:v>
                  </c:pt>
                  <c:pt idx="4">
                    <c:v>0.88297741212043079</c:v>
                  </c:pt>
                  <c:pt idx="5">
                    <c:v>0.72547273012576741</c:v>
                  </c:pt>
                </c:numCache>
              </c:numRef>
            </c:plus>
            <c:minus>
              <c:numRef>
                <c:f>('NO ACID'!$I$144,'NO ACID'!$I$146,'NO ACID'!$I$148,'NO ACID'!$I$150,'NO ACID'!$I$152,'NO ACID'!$I$154)</c:f>
                <c:numCache>
                  <c:formatCode>General</c:formatCode>
                  <c:ptCount val="6"/>
                  <c:pt idx="0">
                    <c:v>0.44939338416257152</c:v>
                  </c:pt>
                  <c:pt idx="1">
                    <c:v>0.42722964295984656</c:v>
                  </c:pt>
                  <c:pt idx="2">
                    <c:v>0.36530377606347758</c:v>
                  </c:pt>
                  <c:pt idx="3">
                    <c:v>0.92549911906978211</c:v>
                  </c:pt>
                  <c:pt idx="4">
                    <c:v>0.88297741212043079</c:v>
                  </c:pt>
                  <c:pt idx="5">
                    <c:v>0.72547273012576741</c:v>
                  </c:pt>
                </c:numCache>
              </c:numRef>
            </c:minus>
            <c:spPr>
              <a:noFill/>
              <a:ln w="9525" cap="flat" cmpd="sng" algn="ctr">
                <a:solidFill>
                  <a:schemeClr val="tx1">
                    <a:lumMod val="65000"/>
                    <a:lumOff val="35000"/>
                  </a:schemeClr>
                </a:solidFill>
                <a:round/>
              </a:ln>
              <a:effectLst/>
            </c:spPr>
          </c:errBars>
          <c:xVal>
            <c:numRef>
              <c:f>('NO ACID'!$C$144,'NO ACID'!$C$146,'NO ACID'!$C$148,'NO ACID'!$C$150,'NO ACID'!$C$152,'NO ACID'!$C$154)</c:f>
              <c:numCache>
                <c:formatCode>General</c:formatCode>
                <c:ptCount val="6"/>
                <c:pt idx="0">
                  <c:v>0</c:v>
                </c:pt>
                <c:pt idx="1">
                  <c:v>0.5</c:v>
                </c:pt>
                <c:pt idx="2">
                  <c:v>1</c:v>
                </c:pt>
                <c:pt idx="3">
                  <c:v>3</c:v>
                </c:pt>
                <c:pt idx="4">
                  <c:v>6</c:v>
                </c:pt>
                <c:pt idx="5">
                  <c:v>10</c:v>
                </c:pt>
              </c:numCache>
            </c:numRef>
          </c:xVal>
          <c:yVal>
            <c:numRef>
              <c:f>('NO ACID'!$H$144,'NO ACID'!$H$146,'NO ACID'!$H$148,'NO ACID'!$H$150,'NO ACID'!$H$152,'NO ACID'!$H$154)</c:f>
              <c:numCache>
                <c:formatCode>General</c:formatCode>
                <c:ptCount val="6"/>
                <c:pt idx="0">
                  <c:v>6.3108415354281808</c:v>
                </c:pt>
                <c:pt idx="1">
                  <c:v>6.0580563802488125</c:v>
                </c:pt>
                <c:pt idx="2">
                  <c:v>5.2950114871642437</c:v>
                </c:pt>
                <c:pt idx="3">
                  <c:v>5.1081699293909679</c:v>
                </c:pt>
                <c:pt idx="4">
                  <c:v>5.7801487719536517</c:v>
                </c:pt>
                <c:pt idx="5">
                  <c:v>4.4002402848224467</c:v>
                </c:pt>
              </c:numCache>
            </c:numRef>
          </c:yVal>
          <c:smooth val="0"/>
          <c:extLst>
            <c:ext xmlns:c16="http://schemas.microsoft.com/office/drawing/2014/chart" uri="{C3380CC4-5D6E-409C-BE32-E72D297353CC}">
              <c16:uniqueId val="{00000001-9AE7-4BD8-8F35-A5374E368C42}"/>
            </c:ext>
          </c:extLst>
        </c:ser>
        <c:dLbls>
          <c:showLegendKey val="0"/>
          <c:showVal val="0"/>
          <c:showCatName val="0"/>
          <c:showSerName val="0"/>
          <c:showPercent val="0"/>
          <c:showBubbleSize val="0"/>
        </c:dLbls>
        <c:axId val="580802696"/>
        <c:axId val="580804008"/>
      </c:scatterChart>
      <c:valAx>
        <c:axId val="580802696"/>
        <c:scaling>
          <c:orientation val="minMax"/>
          <c:max val="1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Incubation/(hours)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804008"/>
        <c:crosses val="autoZero"/>
        <c:crossBetween val="midCat"/>
        <c:majorUnit val="2"/>
      </c:valAx>
      <c:valAx>
        <c:axId val="580804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WS PO</a:t>
                </a:r>
                <a:r>
                  <a:rPr lang="en-US" baseline="-25000"/>
                  <a:t>4</a:t>
                </a:r>
                <a:r>
                  <a:rPr lang="en-US" baseline="30000"/>
                  <a:t>3-</a:t>
                </a:r>
                <a:r>
                  <a:rPr lang="en-US"/>
                  <a:t>/(mg/kg)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80269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85937952522659"/>
          <c:y val="5.0925925925925923E-2"/>
          <c:w val="0.75201534762486943"/>
          <c:h val="0.76154497458616754"/>
        </c:manualLayout>
      </c:layout>
      <c:scatterChart>
        <c:scatterStyle val="lineMarker"/>
        <c:varyColors val="0"/>
        <c:ser>
          <c:idx val="2"/>
          <c:order val="2"/>
          <c:tx>
            <c:strRef>
              <c:f>'NO ACID'!$A$22</c:f>
              <c:strCache>
                <c:ptCount val="1"/>
                <c:pt idx="0">
                  <c:v>Blend 1</c:v>
                </c:pt>
              </c:strCache>
            </c:strRef>
          </c:tx>
          <c:spPr>
            <a:ln w="6350" cap="rnd">
              <a:solidFill>
                <a:schemeClr val="tx1"/>
              </a:solidFill>
              <a:round/>
            </a:ln>
            <a:effectLst/>
          </c:spPr>
          <c:marker>
            <c:symbol val="circle"/>
            <c:size val="5"/>
            <c:spPr>
              <a:solidFill>
                <a:schemeClr val="tx1"/>
              </a:solidFill>
              <a:ln w="9525">
                <a:noFill/>
              </a:ln>
              <a:effectLst/>
            </c:spPr>
          </c:marker>
          <c:errBars>
            <c:errDir val="y"/>
            <c:errBarType val="both"/>
            <c:errValType val="cust"/>
            <c:noEndCap val="0"/>
            <c:plus>
              <c:numRef>
                <c:f>('NO ACID'!$I$49,'NO ACID'!$I$51,'NO ACID'!$I$53,'NO ACID'!$I$55,'NO ACID'!$I$57,'NO ACID'!$I$59)</c:f>
                <c:numCache>
                  <c:formatCode>General</c:formatCode>
                  <c:ptCount val="6"/>
                  <c:pt idx="0">
                    <c:v>0.29073385641594451</c:v>
                  </c:pt>
                  <c:pt idx="1">
                    <c:v>9.7928793275135401E-2</c:v>
                  </c:pt>
                  <c:pt idx="2">
                    <c:v>0.33630109274451164</c:v>
                  </c:pt>
                  <c:pt idx="3">
                    <c:v>0.29441168555361685</c:v>
                  </c:pt>
                  <c:pt idx="4">
                    <c:v>0.47053351140514388</c:v>
                  </c:pt>
                  <c:pt idx="5">
                    <c:v>0.47461271357350976</c:v>
                  </c:pt>
                </c:numCache>
              </c:numRef>
            </c:plus>
            <c:minus>
              <c:numRef>
                <c:f>('NO ACID'!$I$49,'NO ACID'!$I$51,'NO ACID'!$I$53,'NO ACID'!$I$55,'NO ACID'!$I$57,'NO ACID'!$I$59)</c:f>
                <c:numCache>
                  <c:formatCode>General</c:formatCode>
                  <c:ptCount val="6"/>
                  <c:pt idx="0">
                    <c:v>0.29073385641594451</c:v>
                  </c:pt>
                  <c:pt idx="1">
                    <c:v>9.7928793275135401E-2</c:v>
                  </c:pt>
                  <c:pt idx="2">
                    <c:v>0.33630109274451164</c:v>
                  </c:pt>
                  <c:pt idx="3">
                    <c:v>0.29441168555361685</c:v>
                  </c:pt>
                  <c:pt idx="4">
                    <c:v>0.47053351140514388</c:v>
                  </c:pt>
                  <c:pt idx="5">
                    <c:v>0.47461271357350976</c:v>
                  </c:pt>
                </c:numCache>
              </c:numRef>
            </c:minus>
            <c:spPr>
              <a:noFill/>
              <a:ln w="9525" cap="flat" cmpd="sng" algn="ctr">
                <a:solidFill>
                  <a:schemeClr val="tx1">
                    <a:lumMod val="65000"/>
                    <a:lumOff val="35000"/>
                  </a:schemeClr>
                </a:solidFill>
                <a:round/>
              </a:ln>
              <a:effectLst/>
            </c:spPr>
          </c:errBars>
          <c:xVal>
            <c:numRef>
              <c:f>('NO ACID'!$C$49,'NO ACID'!$C$51,'NO ACID'!$C$53,'NO ACID'!$C$55,'NO ACID'!$C$57,'NO ACID'!$C$59)</c:f>
              <c:numCache>
                <c:formatCode>General</c:formatCode>
                <c:ptCount val="6"/>
                <c:pt idx="0">
                  <c:v>0</c:v>
                </c:pt>
                <c:pt idx="1">
                  <c:v>0.5</c:v>
                </c:pt>
                <c:pt idx="2">
                  <c:v>1</c:v>
                </c:pt>
                <c:pt idx="3">
                  <c:v>3</c:v>
                </c:pt>
                <c:pt idx="4">
                  <c:v>6</c:v>
                </c:pt>
                <c:pt idx="5">
                  <c:v>10</c:v>
                </c:pt>
              </c:numCache>
            </c:numRef>
          </c:xVal>
          <c:yVal>
            <c:numRef>
              <c:f>('NO ACID'!$H$49,'NO ACID'!$H$51,'NO ACID'!$H$53,'NO ACID'!$H$55,'NO ACID'!$H$57,'NO ACID'!$H$59)</c:f>
              <c:numCache>
                <c:formatCode>General</c:formatCode>
                <c:ptCount val="6"/>
                <c:pt idx="0">
                  <c:v>6.8931111111111107</c:v>
                </c:pt>
                <c:pt idx="1">
                  <c:v>6.3616666666666664</c:v>
                </c:pt>
                <c:pt idx="2">
                  <c:v>6.1191666666666666</c:v>
                </c:pt>
                <c:pt idx="3">
                  <c:v>6.3718333333333321</c:v>
                </c:pt>
                <c:pt idx="4">
                  <c:v>6.4158333333333335</c:v>
                </c:pt>
                <c:pt idx="5">
                  <c:v>6.2799999999999994</c:v>
                </c:pt>
              </c:numCache>
            </c:numRef>
          </c:yVal>
          <c:smooth val="0"/>
          <c:extLst>
            <c:ext xmlns:c16="http://schemas.microsoft.com/office/drawing/2014/chart" uri="{C3380CC4-5D6E-409C-BE32-E72D297353CC}">
              <c16:uniqueId val="{00000000-C58B-49F5-B633-12492BAEA374}"/>
            </c:ext>
          </c:extLst>
        </c:ser>
        <c:ser>
          <c:idx val="3"/>
          <c:order val="3"/>
          <c:tx>
            <c:strRef>
              <c:f>'NO ACID'!$A$23</c:f>
              <c:strCache>
                <c:ptCount val="1"/>
                <c:pt idx="0">
                  <c:v>Blend 2</c:v>
                </c:pt>
              </c:strCache>
            </c:strRef>
          </c:tx>
          <c:spPr>
            <a:ln w="6350" cap="rnd">
              <a:solidFill>
                <a:schemeClr val="tx1"/>
              </a:solidFill>
              <a:prstDash val="dash"/>
              <a:round/>
            </a:ln>
            <a:effectLst/>
          </c:spPr>
          <c:marker>
            <c:symbol val="triangle"/>
            <c:size val="5"/>
            <c:spPr>
              <a:solidFill>
                <a:schemeClr val="tx1"/>
              </a:solidFill>
              <a:ln w="9525">
                <a:noFill/>
              </a:ln>
              <a:effectLst/>
            </c:spPr>
          </c:marker>
          <c:errBars>
            <c:errDir val="y"/>
            <c:errBarType val="both"/>
            <c:errValType val="cust"/>
            <c:noEndCap val="0"/>
            <c:plus>
              <c:numRef>
                <c:f>('NO ACID'!$I$61,'NO ACID'!$I$63,'NO ACID'!$I$65,'NO ACID'!$I$67,'NO ACID'!$I$69,'NO ACID'!$I$71)</c:f>
                <c:numCache>
                  <c:formatCode>General</c:formatCode>
                  <c:ptCount val="6"/>
                  <c:pt idx="0">
                    <c:v>0.62656461583124978</c:v>
                  </c:pt>
                  <c:pt idx="1">
                    <c:v>0.51315983709045321</c:v>
                  </c:pt>
                  <c:pt idx="2">
                    <c:v>0.49487152644279875</c:v>
                  </c:pt>
                  <c:pt idx="3">
                    <c:v>0.80966794564568456</c:v>
                  </c:pt>
                  <c:pt idx="4">
                    <c:v>0.60481709308958376</c:v>
                  </c:pt>
                  <c:pt idx="5">
                    <c:v>0.87762153260797149</c:v>
                  </c:pt>
                </c:numCache>
              </c:numRef>
            </c:plus>
            <c:minus>
              <c:numRef>
                <c:f>('NO ACID'!$I$61,'NO ACID'!$I$63,'NO ACID'!$I$65,'NO ACID'!$I$67,'NO ACID'!$I$69,'NO ACID'!$I$71)</c:f>
                <c:numCache>
                  <c:formatCode>General</c:formatCode>
                  <c:ptCount val="6"/>
                  <c:pt idx="0">
                    <c:v>0.62656461583124978</c:v>
                  </c:pt>
                  <c:pt idx="1">
                    <c:v>0.51315983709045321</c:v>
                  </c:pt>
                  <c:pt idx="2">
                    <c:v>0.49487152644279875</c:v>
                  </c:pt>
                  <c:pt idx="3">
                    <c:v>0.80966794564568456</c:v>
                  </c:pt>
                  <c:pt idx="4">
                    <c:v>0.60481709308958376</c:v>
                  </c:pt>
                  <c:pt idx="5">
                    <c:v>0.87762153260797149</c:v>
                  </c:pt>
                </c:numCache>
              </c:numRef>
            </c:minus>
            <c:spPr>
              <a:noFill/>
              <a:ln w="9525" cap="flat" cmpd="sng" algn="ctr">
                <a:solidFill>
                  <a:schemeClr val="tx1">
                    <a:lumMod val="65000"/>
                    <a:lumOff val="35000"/>
                  </a:schemeClr>
                </a:solidFill>
                <a:round/>
              </a:ln>
              <a:effectLst/>
            </c:spPr>
          </c:errBars>
          <c:xVal>
            <c:numRef>
              <c:f>('NO ACID'!$C$61,'NO ACID'!$C$63,'NO ACID'!$C$65,'NO ACID'!$C$67,'NO ACID'!$C$69,'NO ACID'!$C$71)</c:f>
              <c:numCache>
                <c:formatCode>General</c:formatCode>
                <c:ptCount val="6"/>
                <c:pt idx="0">
                  <c:v>0</c:v>
                </c:pt>
                <c:pt idx="1">
                  <c:v>0.5</c:v>
                </c:pt>
                <c:pt idx="2">
                  <c:v>1</c:v>
                </c:pt>
                <c:pt idx="3">
                  <c:v>3</c:v>
                </c:pt>
                <c:pt idx="4">
                  <c:v>6</c:v>
                </c:pt>
                <c:pt idx="5">
                  <c:v>10</c:v>
                </c:pt>
              </c:numCache>
            </c:numRef>
          </c:xVal>
          <c:yVal>
            <c:numRef>
              <c:f>('NO ACID'!$H$61,'NO ACID'!$H$63,'NO ACID'!$H$65,'NO ACID'!$H$67,'NO ACID'!$H$69,'NO ACID'!$H$71)</c:f>
              <c:numCache>
                <c:formatCode>General</c:formatCode>
                <c:ptCount val="6"/>
                <c:pt idx="0">
                  <c:v>8.5211111111111126</c:v>
                </c:pt>
                <c:pt idx="1">
                  <c:v>7.8933330000000002</c:v>
                </c:pt>
                <c:pt idx="2">
                  <c:v>8.4693333333333349</c:v>
                </c:pt>
                <c:pt idx="3">
                  <c:v>8.5730000000000004</c:v>
                </c:pt>
                <c:pt idx="4">
                  <c:v>8.5518333333333345</c:v>
                </c:pt>
                <c:pt idx="5">
                  <c:v>8.0069999999999997</c:v>
                </c:pt>
              </c:numCache>
            </c:numRef>
          </c:yVal>
          <c:smooth val="0"/>
          <c:extLst>
            <c:ext xmlns:c16="http://schemas.microsoft.com/office/drawing/2014/chart" uri="{C3380CC4-5D6E-409C-BE32-E72D297353CC}">
              <c16:uniqueId val="{00000001-C58B-49F5-B633-12492BAEA374}"/>
            </c:ext>
          </c:extLst>
        </c:ser>
        <c:dLbls>
          <c:showLegendKey val="0"/>
          <c:showVal val="0"/>
          <c:showCatName val="0"/>
          <c:showSerName val="0"/>
          <c:showPercent val="0"/>
          <c:showBubbleSize val="0"/>
        </c:dLbls>
        <c:axId val="783175704"/>
        <c:axId val="783181280"/>
        <c:extLst>
          <c:ext xmlns:c15="http://schemas.microsoft.com/office/drawing/2012/chart" uri="{02D57815-91ED-43cb-92C2-25804820EDAC}">
            <c15:filteredScatterSeries>
              <c15:ser>
                <c:idx val="0"/>
                <c:order val="0"/>
                <c:tx>
                  <c:strRef>
                    <c:extLst>
                      <c:ext uri="{02D57815-91ED-43cb-92C2-25804820EDAC}">
                        <c15:formulaRef>
                          <c15:sqref>'NO ACID'!$A$22</c15:sqref>
                        </c15:formulaRef>
                      </c:ext>
                    </c:extLst>
                    <c:strCache>
                      <c:ptCount val="1"/>
                      <c:pt idx="0">
                        <c:v>Blend 1</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errBars>
                  <c:errDir val="y"/>
                  <c:errBarType val="both"/>
                  <c:errValType val="cust"/>
                  <c:noEndCap val="0"/>
                  <c:plus>
                    <c:numRef>
                      <c:extLst>
                        <c:ext uri="{02D57815-91ED-43cb-92C2-25804820EDAC}">
                          <c15:formulaRef>
                            <c15:sqref>('NO ACID'!$I$22,'NO ACID'!$I$24,'NO ACID'!$I$26,'NO ACID'!$I$28,'NO ACID'!$I$30,'NO ACID'!$I$32)</c15:sqref>
                          </c15:formulaRef>
                        </c:ext>
                      </c:extLst>
                      <c:numCache>
                        <c:formatCode>General</c:formatCode>
                        <c:ptCount val="6"/>
                        <c:pt idx="0">
                          <c:v>0.12871496284053671</c:v>
                        </c:pt>
                        <c:pt idx="1">
                          <c:v>2.263762615826018E-2</c:v>
                        </c:pt>
                        <c:pt idx="2">
                          <c:v>0.11883893163866167</c:v>
                        </c:pt>
                        <c:pt idx="3">
                          <c:v>8.7645132874321879E-2</c:v>
                        </c:pt>
                        <c:pt idx="4">
                          <c:v>0.11548015320931532</c:v>
                        </c:pt>
                        <c:pt idx="5">
                          <c:v>0.16351382471312681</c:v>
                        </c:pt>
                      </c:numCache>
                    </c:numRef>
                  </c:plus>
                  <c:minus>
                    <c:numRef>
                      <c:extLst>
                        <c:ext uri="{02D57815-91ED-43cb-92C2-25804820EDAC}">
                          <c15:formulaRef>
                            <c15:sqref>('NO ACID'!$I$22,'NO ACID'!$I$24,'NO ACID'!$I$26,'NO ACID'!$I$28,'NO ACID'!$I$30,'NO ACID'!$I$32)</c15:sqref>
                          </c15:formulaRef>
                        </c:ext>
                      </c:extLst>
                      <c:numCache>
                        <c:formatCode>General</c:formatCode>
                        <c:ptCount val="6"/>
                        <c:pt idx="0">
                          <c:v>0.12871496284053671</c:v>
                        </c:pt>
                        <c:pt idx="1">
                          <c:v>2.263762615826018E-2</c:v>
                        </c:pt>
                        <c:pt idx="2">
                          <c:v>0.11883893163866167</c:v>
                        </c:pt>
                        <c:pt idx="3">
                          <c:v>8.7645132874321879E-2</c:v>
                        </c:pt>
                        <c:pt idx="4">
                          <c:v>0.11548015320931532</c:v>
                        </c:pt>
                        <c:pt idx="5">
                          <c:v>0.16351382471312681</c:v>
                        </c:pt>
                      </c:numCache>
                    </c:numRef>
                  </c:minus>
                  <c:spPr>
                    <a:noFill/>
                    <a:ln w="9525" cap="flat" cmpd="sng" algn="ctr">
                      <a:solidFill>
                        <a:schemeClr val="tx1">
                          <a:lumMod val="65000"/>
                          <a:lumOff val="35000"/>
                        </a:schemeClr>
                      </a:solidFill>
                      <a:round/>
                    </a:ln>
                    <a:effectLst/>
                  </c:spPr>
                </c:errBars>
                <c:xVal>
                  <c:numRef>
                    <c:extLst>
                      <c:ext uri="{02D57815-91ED-43cb-92C2-25804820EDAC}">
                        <c15:formulaRef>
                          <c15:sqref>('NO ACID'!$C$22,'NO ACID'!$C$24,'NO ACID'!$C$26,'NO ACID'!$C$28,'NO ACID'!$C$30,'NO ACID'!$C$32)</c15:sqref>
                        </c15:formulaRef>
                      </c:ext>
                    </c:extLst>
                    <c:numCache>
                      <c:formatCode>General</c:formatCode>
                      <c:ptCount val="6"/>
                      <c:pt idx="0">
                        <c:v>0</c:v>
                      </c:pt>
                      <c:pt idx="1">
                        <c:v>0.5</c:v>
                      </c:pt>
                      <c:pt idx="2">
                        <c:v>1</c:v>
                      </c:pt>
                      <c:pt idx="3">
                        <c:v>3</c:v>
                      </c:pt>
                      <c:pt idx="4">
                        <c:v>6</c:v>
                      </c:pt>
                      <c:pt idx="5">
                        <c:v>10</c:v>
                      </c:pt>
                    </c:numCache>
                  </c:numRef>
                </c:xVal>
                <c:yVal>
                  <c:numRef>
                    <c:extLst>
                      <c:ext uri="{02D57815-91ED-43cb-92C2-25804820EDAC}">
                        <c15:formulaRef>
                          <c15:sqref>('NO ACID'!$H$22,'NO ACID'!$H$24,'NO ACID'!$H$26,'NO ACID'!$H$28,'NO ACID'!$H$30,'NO ACID'!$H$32)</c15:sqref>
                        </c15:formulaRef>
                      </c:ext>
                    </c:extLst>
                    <c:numCache>
                      <c:formatCode>General</c:formatCode>
                      <c:ptCount val="6"/>
                      <c:pt idx="0">
                        <c:v>9.958444444444444</c:v>
                      </c:pt>
                      <c:pt idx="1">
                        <c:v>10.281666666666666</c:v>
                      </c:pt>
                      <c:pt idx="2">
                        <c:v>10.160666666666668</c:v>
                      </c:pt>
                      <c:pt idx="3">
                        <c:v>10.132166666666667</c:v>
                      </c:pt>
                      <c:pt idx="4">
                        <c:v>10.421333333333333</c:v>
                      </c:pt>
                      <c:pt idx="5">
                        <c:v>10.484</c:v>
                      </c:pt>
                    </c:numCache>
                  </c:numRef>
                </c:yVal>
                <c:smooth val="0"/>
                <c:extLst>
                  <c:ext xmlns:c16="http://schemas.microsoft.com/office/drawing/2014/chart" uri="{C3380CC4-5D6E-409C-BE32-E72D297353CC}">
                    <c16:uniqueId val="{00000002-C58B-49F5-B633-12492BAEA374}"/>
                  </c:ext>
                </c:extLst>
              </c15:ser>
            </c15:filteredScatterSeries>
            <c15:filteredScatterSeries>
              <c15:ser>
                <c:idx val="1"/>
                <c:order val="1"/>
                <c:tx>
                  <c:strRef>
                    <c:extLst xmlns:c15="http://schemas.microsoft.com/office/drawing/2012/chart">
                      <c:ext xmlns:c15="http://schemas.microsoft.com/office/drawing/2012/chart" uri="{02D57815-91ED-43cb-92C2-25804820EDAC}">
                        <c15:formulaRef>
                          <c15:sqref>'NO ACID'!$A$23</c15:sqref>
                        </c15:formulaRef>
                      </c:ext>
                    </c:extLst>
                    <c:strCache>
                      <c:ptCount val="1"/>
                      <c:pt idx="0">
                        <c:v>Blend 2</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cust"/>
                  <c:noEndCap val="0"/>
                  <c:plus>
                    <c:numRef>
                      <c:extLst xmlns:c15="http://schemas.microsoft.com/office/drawing/2012/chart">
                        <c:ext xmlns:c15="http://schemas.microsoft.com/office/drawing/2012/chart" uri="{02D57815-91ED-43cb-92C2-25804820EDAC}">
                          <c15:formulaRef>
                            <c15:sqref>('NO ACID'!$I$34,'NO ACID'!$I$36,'NO ACID'!$I$38,'NO ACID'!$I$40,'NO ACID'!$I$42,'NO ACID'!$I$44)</c15:sqref>
                          </c15:formulaRef>
                        </c:ext>
                      </c:extLst>
                      <c:numCache>
                        <c:formatCode>General</c:formatCode>
                        <c:ptCount val="6"/>
                        <c:pt idx="0">
                          <c:v>7.3266520826192824E-2</c:v>
                        </c:pt>
                        <c:pt idx="1">
                          <c:v>7.1923404804616259E-2</c:v>
                        </c:pt>
                        <c:pt idx="2">
                          <c:v>7.664801762326616E-2</c:v>
                        </c:pt>
                        <c:pt idx="3">
                          <c:v>5.230037476321038E-2</c:v>
                        </c:pt>
                        <c:pt idx="4">
                          <c:v>7.8332793447600177E-2</c:v>
                        </c:pt>
                        <c:pt idx="5">
                          <c:v>4.1399832673782659E-2</c:v>
                        </c:pt>
                      </c:numCache>
                    </c:numRef>
                  </c:plus>
                  <c:minus>
                    <c:numRef>
                      <c:extLst xmlns:c15="http://schemas.microsoft.com/office/drawing/2012/chart">
                        <c:ext xmlns:c15="http://schemas.microsoft.com/office/drawing/2012/chart" uri="{02D57815-91ED-43cb-92C2-25804820EDAC}">
                          <c15:formulaRef>
                            <c15:sqref>('NO ACID'!$I$34,'NO ACID'!$I$36,'NO ACID'!$I$38,'NO ACID'!$I$40,'NO ACID'!$I$42,'NO ACID'!$I$44)</c15:sqref>
                          </c15:formulaRef>
                        </c:ext>
                      </c:extLst>
                      <c:numCache>
                        <c:formatCode>General</c:formatCode>
                        <c:ptCount val="6"/>
                        <c:pt idx="0">
                          <c:v>7.3266520826192824E-2</c:v>
                        </c:pt>
                        <c:pt idx="1">
                          <c:v>7.1923404804616259E-2</c:v>
                        </c:pt>
                        <c:pt idx="2">
                          <c:v>7.664801762326616E-2</c:v>
                        </c:pt>
                        <c:pt idx="3">
                          <c:v>5.230037476321038E-2</c:v>
                        </c:pt>
                        <c:pt idx="4">
                          <c:v>7.8332793447600177E-2</c:v>
                        </c:pt>
                        <c:pt idx="5">
                          <c:v>4.1399832673782659E-2</c:v>
                        </c:pt>
                      </c:numCache>
                    </c:numRef>
                  </c:minus>
                  <c:spPr>
                    <a:noFill/>
                    <a:ln w="9525" cap="flat" cmpd="sng" algn="ctr">
                      <a:solidFill>
                        <a:schemeClr val="tx1">
                          <a:lumMod val="65000"/>
                          <a:lumOff val="35000"/>
                        </a:schemeClr>
                      </a:solidFill>
                      <a:round/>
                    </a:ln>
                    <a:effectLst/>
                  </c:spPr>
                </c:errBars>
                <c:xVal>
                  <c:numRef>
                    <c:extLst xmlns:c15="http://schemas.microsoft.com/office/drawing/2012/chart">
                      <c:ext xmlns:c15="http://schemas.microsoft.com/office/drawing/2012/chart" uri="{02D57815-91ED-43cb-92C2-25804820EDAC}">
                        <c15:formulaRef>
                          <c15:sqref>('NO ACID'!$C$34,'NO ACID'!$C$36,'NO ACID'!$C$38,'NO ACID'!$C$40,'NO ACID'!$C$42,'NO ACID'!$C$44)</c15:sqref>
                        </c15:formulaRef>
                      </c:ext>
                    </c:extLst>
                    <c:numCache>
                      <c:formatCode>General</c:formatCode>
                      <c:ptCount val="6"/>
                      <c:pt idx="0">
                        <c:v>0</c:v>
                      </c:pt>
                      <c:pt idx="1">
                        <c:v>0.5</c:v>
                      </c:pt>
                      <c:pt idx="2">
                        <c:v>1</c:v>
                      </c:pt>
                      <c:pt idx="3">
                        <c:v>3</c:v>
                      </c:pt>
                      <c:pt idx="4">
                        <c:v>6</c:v>
                      </c:pt>
                      <c:pt idx="5">
                        <c:v>10</c:v>
                      </c:pt>
                    </c:numCache>
                  </c:numRef>
                </c:xVal>
                <c:yVal>
                  <c:numRef>
                    <c:extLst xmlns:c15="http://schemas.microsoft.com/office/drawing/2012/chart">
                      <c:ext xmlns:c15="http://schemas.microsoft.com/office/drawing/2012/chart" uri="{02D57815-91ED-43cb-92C2-25804820EDAC}">
                        <c15:formulaRef>
                          <c15:sqref>('NO ACID'!$H$34,'NO ACID'!$H$36,'NO ACID'!$H$38,'NO ACID'!$H$40,'NO ACID'!$H$42,'NO ACID'!$H$44)</c15:sqref>
                        </c15:formulaRef>
                      </c:ext>
                    </c:extLst>
                    <c:numCache>
                      <c:formatCode>General</c:formatCode>
                      <c:ptCount val="6"/>
                      <c:pt idx="0">
                        <c:v>12.065555555555557</c:v>
                      </c:pt>
                      <c:pt idx="1">
                        <c:v>12.168333333333333</c:v>
                      </c:pt>
                      <c:pt idx="2">
                        <c:v>12.165333333333333</c:v>
                      </c:pt>
                      <c:pt idx="3">
                        <c:v>12.220833333333333</c:v>
                      </c:pt>
                      <c:pt idx="4">
                        <c:v>12.126166666666668</c:v>
                      </c:pt>
                      <c:pt idx="5">
                        <c:v>12.402999999999999</c:v>
                      </c:pt>
                    </c:numCache>
                  </c:numRef>
                </c:yVal>
                <c:smooth val="0"/>
                <c:extLst xmlns:c15="http://schemas.microsoft.com/office/drawing/2012/chart">
                  <c:ext xmlns:c16="http://schemas.microsoft.com/office/drawing/2014/chart" uri="{C3380CC4-5D6E-409C-BE32-E72D297353CC}">
                    <c16:uniqueId val="{00000003-C58B-49F5-B633-12492BAEA374}"/>
                  </c:ext>
                </c:extLst>
              </c15:ser>
            </c15:filteredScatterSeries>
          </c:ext>
        </c:extLst>
      </c:scatterChart>
      <c:valAx>
        <c:axId val="783175704"/>
        <c:scaling>
          <c:orientation val="minMax"/>
          <c:max val="1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Incubation/(hours)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181280"/>
        <c:crosses val="autoZero"/>
        <c:crossBetween val="midCat"/>
        <c:majorUnit val="2"/>
      </c:valAx>
      <c:valAx>
        <c:axId val="783181280"/>
        <c:scaling>
          <c:orientation val="minMax"/>
          <c:min val="5"/>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EC/(dS/m)</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317570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69889352066286"/>
          <c:y val="8.0938891137191424E-2"/>
          <c:w val="0.71736338839997937"/>
          <c:h val="0.73213080746708614"/>
        </c:manualLayout>
      </c:layout>
      <c:scatterChart>
        <c:scatterStyle val="lineMarker"/>
        <c:varyColors val="0"/>
        <c:ser>
          <c:idx val="0"/>
          <c:order val="0"/>
          <c:tx>
            <c:strRef>
              <c:f>'NO ACID'!$A$76</c:f>
              <c:strCache>
                <c:ptCount val="1"/>
                <c:pt idx="0">
                  <c:v>Blend 1</c:v>
                </c:pt>
              </c:strCache>
            </c:strRef>
          </c:tx>
          <c:spPr>
            <a:ln w="6350" cap="rnd">
              <a:solidFill>
                <a:schemeClr val="tx1"/>
              </a:solidFill>
              <a:round/>
            </a:ln>
            <a:effectLst/>
          </c:spPr>
          <c:marker>
            <c:symbol val="circle"/>
            <c:size val="5"/>
            <c:spPr>
              <a:solidFill>
                <a:schemeClr val="tx1"/>
              </a:solidFill>
              <a:ln w="9525">
                <a:noFill/>
              </a:ln>
              <a:effectLst/>
            </c:spPr>
          </c:marker>
          <c:errBars>
            <c:errDir val="y"/>
            <c:errBarType val="both"/>
            <c:errValType val="cust"/>
            <c:noEndCap val="0"/>
            <c:plus>
              <c:numRef>
                <c:f>'NO ACID'!$T$75:$Y$75</c:f>
                <c:numCache>
                  <c:formatCode>General</c:formatCode>
                  <c:ptCount val="6"/>
                  <c:pt idx="0">
                    <c:v>556.40201524582517</c:v>
                  </c:pt>
                  <c:pt idx="1">
                    <c:v>319.48054876862659</c:v>
                  </c:pt>
                  <c:pt idx="2">
                    <c:v>329.77902935735619</c:v>
                  </c:pt>
                  <c:pt idx="3">
                    <c:v>596.2780980471025</c:v>
                  </c:pt>
                  <c:pt idx="4">
                    <c:v>349.00787981031914</c:v>
                  </c:pt>
                  <c:pt idx="5">
                    <c:v>213.58522781082377</c:v>
                  </c:pt>
                </c:numCache>
              </c:numRef>
            </c:plus>
            <c:minus>
              <c:numRef>
                <c:f>'NO ACID'!$T$75:$Y$75</c:f>
                <c:numCache>
                  <c:formatCode>General</c:formatCode>
                  <c:ptCount val="6"/>
                  <c:pt idx="0">
                    <c:v>556.40201524582517</c:v>
                  </c:pt>
                  <c:pt idx="1">
                    <c:v>319.48054876862659</c:v>
                  </c:pt>
                  <c:pt idx="2">
                    <c:v>329.77902935735619</c:v>
                  </c:pt>
                  <c:pt idx="3">
                    <c:v>596.2780980471025</c:v>
                  </c:pt>
                  <c:pt idx="4">
                    <c:v>349.00787981031914</c:v>
                  </c:pt>
                  <c:pt idx="5">
                    <c:v>213.58522781082377</c:v>
                  </c:pt>
                </c:numCache>
              </c:numRef>
            </c:minus>
            <c:spPr>
              <a:noFill/>
              <a:ln w="9525" cap="flat" cmpd="sng" algn="ctr">
                <a:solidFill>
                  <a:schemeClr val="tx1">
                    <a:lumMod val="65000"/>
                    <a:lumOff val="35000"/>
                  </a:schemeClr>
                </a:solidFill>
                <a:round/>
              </a:ln>
              <a:effectLst/>
            </c:spPr>
          </c:errBars>
          <c:xVal>
            <c:numRef>
              <c:f>'NO ACID'!$T$73:$Y$73</c:f>
              <c:numCache>
                <c:formatCode>General</c:formatCode>
                <c:ptCount val="6"/>
                <c:pt idx="0">
                  <c:v>0</c:v>
                </c:pt>
                <c:pt idx="1">
                  <c:v>0.5</c:v>
                </c:pt>
                <c:pt idx="2">
                  <c:v>1</c:v>
                </c:pt>
                <c:pt idx="3">
                  <c:v>3</c:v>
                </c:pt>
                <c:pt idx="4">
                  <c:v>6</c:v>
                </c:pt>
                <c:pt idx="5">
                  <c:v>10</c:v>
                </c:pt>
              </c:numCache>
            </c:numRef>
          </c:xVal>
          <c:yVal>
            <c:numRef>
              <c:f>'NO ACID'!$T$74:$Y$74</c:f>
              <c:numCache>
                <c:formatCode>General</c:formatCode>
                <c:ptCount val="6"/>
                <c:pt idx="0">
                  <c:v>1228.5256129020627</c:v>
                </c:pt>
                <c:pt idx="1">
                  <c:v>1963.8233001486794</c:v>
                </c:pt>
                <c:pt idx="2">
                  <c:v>2071.611379041055</c:v>
                </c:pt>
                <c:pt idx="3">
                  <c:v>1732.1810663819201</c:v>
                </c:pt>
                <c:pt idx="4">
                  <c:v>911.63822362702274</c:v>
                </c:pt>
                <c:pt idx="5">
                  <c:v>1112.8049825638875</c:v>
                </c:pt>
              </c:numCache>
            </c:numRef>
          </c:yVal>
          <c:smooth val="0"/>
          <c:extLst>
            <c:ext xmlns:c16="http://schemas.microsoft.com/office/drawing/2014/chart" uri="{C3380CC4-5D6E-409C-BE32-E72D297353CC}">
              <c16:uniqueId val="{00000000-6FE8-4699-AEE8-5273FBA2AF60}"/>
            </c:ext>
          </c:extLst>
        </c:ser>
        <c:ser>
          <c:idx val="1"/>
          <c:order val="1"/>
          <c:tx>
            <c:strRef>
              <c:f>'NO ACID'!$A$77</c:f>
              <c:strCache>
                <c:ptCount val="1"/>
                <c:pt idx="0">
                  <c:v>Blend 2</c:v>
                </c:pt>
              </c:strCache>
            </c:strRef>
          </c:tx>
          <c:spPr>
            <a:ln w="6350" cap="rnd">
              <a:solidFill>
                <a:schemeClr val="tx1"/>
              </a:solidFill>
              <a:prstDash val="dash"/>
              <a:round/>
            </a:ln>
            <a:effectLst/>
          </c:spPr>
          <c:marker>
            <c:symbol val="triangle"/>
            <c:size val="5"/>
            <c:spPr>
              <a:solidFill>
                <a:schemeClr val="tx1"/>
              </a:solidFill>
              <a:ln w="9525">
                <a:noFill/>
              </a:ln>
              <a:effectLst/>
            </c:spPr>
          </c:marker>
          <c:errBars>
            <c:errDir val="y"/>
            <c:errBarType val="both"/>
            <c:errValType val="cust"/>
            <c:noEndCap val="0"/>
            <c:plus>
              <c:numRef>
                <c:f>'NO ACID'!$T$93:$Y$93</c:f>
                <c:numCache>
                  <c:formatCode>General</c:formatCode>
                  <c:ptCount val="6"/>
                  <c:pt idx="0">
                    <c:v>63.196552818757148</c:v>
                  </c:pt>
                  <c:pt idx="1">
                    <c:v>127.28986805462185</c:v>
                  </c:pt>
                  <c:pt idx="2">
                    <c:v>66.416367482343318</c:v>
                  </c:pt>
                  <c:pt idx="3">
                    <c:v>99.726539553241949</c:v>
                  </c:pt>
                  <c:pt idx="4">
                    <c:v>120.19779894621307</c:v>
                  </c:pt>
                  <c:pt idx="5">
                    <c:v>126.43879721812148</c:v>
                  </c:pt>
                </c:numCache>
              </c:numRef>
            </c:plus>
            <c:minus>
              <c:numRef>
                <c:f>'NO ACID'!$T$93:$Y$93</c:f>
                <c:numCache>
                  <c:formatCode>General</c:formatCode>
                  <c:ptCount val="6"/>
                  <c:pt idx="0">
                    <c:v>63.196552818757148</c:v>
                  </c:pt>
                  <c:pt idx="1">
                    <c:v>127.28986805462185</c:v>
                  </c:pt>
                  <c:pt idx="2">
                    <c:v>66.416367482343318</c:v>
                  </c:pt>
                  <c:pt idx="3">
                    <c:v>99.726539553241949</c:v>
                  </c:pt>
                  <c:pt idx="4">
                    <c:v>120.19779894621307</c:v>
                  </c:pt>
                  <c:pt idx="5">
                    <c:v>126.43879721812148</c:v>
                  </c:pt>
                </c:numCache>
              </c:numRef>
            </c:minus>
            <c:spPr>
              <a:noFill/>
              <a:ln w="9525" cap="flat" cmpd="sng" algn="ctr">
                <a:solidFill>
                  <a:schemeClr val="tx1">
                    <a:lumMod val="65000"/>
                    <a:lumOff val="35000"/>
                  </a:schemeClr>
                </a:solidFill>
                <a:round/>
              </a:ln>
              <a:effectLst/>
            </c:spPr>
          </c:errBars>
          <c:xVal>
            <c:numRef>
              <c:f>'NO ACID'!$T$91:$Y$91</c:f>
              <c:numCache>
                <c:formatCode>General</c:formatCode>
                <c:ptCount val="6"/>
                <c:pt idx="0">
                  <c:v>0</c:v>
                </c:pt>
                <c:pt idx="1">
                  <c:v>0.5</c:v>
                </c:pt>
                <c:pt idx="2">
                  <c:v>1</c:v>
                </c:pt>
                <c:pt idx="3">
                  <c:v>3</c:v>
                </c:pt>
                <c:pt idx="4">
                  <c:v>6</c:v>
                </c:pt>
                <c:pt idx="5">
                  <c:v>10</c:v>
                </c:pt>
              </c:numCache>
            </c:numRef>
          </c:xVal>
          <c:yVal>
            <c:numRef>
              <c:f>'NO ACID'!$T$92:$Y$92</c:f>
              <c:numCache>
                <c:formatCode>General</c:formatCode>
                <c:ptCount val="6"/>
                <c:pt idx="0">
                  <c:v>170.27153891481581</c:v>
                </c:pt>
                <c:pt idx="1">
                  <c:v>260.5254324193686</c:v>
                </c:pt>
                <c:pt idx="2">
                  <c:v>231.70731647954983</c:v>
                </c:pt>
                <c:pt idx="3">
                  <c:v>199.96177025015106</c:v>
                </c:pt>
                <c:pt idx="4">
                  <c:v>217.79314143137304</c:v>
                </c:pt>
                <c:pt idx="5">
                  <c:v>418.81565752653466</c:v>
                </c:pt>
              </c:numCache>
            </c:numRef>
          </c:yVal>
          <c:smooth val="0"/>
          <c:extLst>
            <c:ext xmlns:c16="http://schemas.microsoft.com/office/drawing/2014/chart" uri="{C3380CC4-5D6E-409C-BE32-E72D297353CC}">
              <c16:uniqueId val="{00000001-6FE8-4699-AEE8-5273FBA2AF60}"/>
            </c:ext>
          </c:extLst>
        </c:ser>
        <c:dLbls>
          <c:showLegendKey val="0"/>
          <c:showVal val="0"/>
          <c:showCatName val="0"/>
          <c:showSerName val="0"/>
          <c:showPercent val="0"/>
          <c:showBubbleSize val="0"/>
        </c:dLbls>
        <c:axId val="616568616"/>
        <c:axId val="616568944"/>
      </c:scatterChart>
      <c:valAx>
        <c:axId val="616568616"/>
        <c:scaling>
          <c:orientation val="minMax"/>
          <c:max val="1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Incubation/(hours)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568944"/>
        <c:crosses val="autoZero"/>
        <c:crossBetween val="midCat"/>
        <c:majorUnit val="2"/>
      </c:valAx>
      <c:valAx>
        <c:axId val="616568944"/>
        <c:scaling>
          <c:orientation val="minMax"/>
          <c:max val="25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WS</a:t>
                </a:r>
                <a:r>
                  <a:rPr lang="en-US" sz="1000" b="0" i="0" u="none" strike="noStrike" baseline="0">
                    <a:effectLst/>
                  </a:rPr>
                  <a:t> NH</a:t>
                </a:r>
                <a:r>
                  <a:rPr lang="en-US" sz="1000" b="0" i="0" u="none" strike="noStrike" baseline="-25000">
                    <a:effectLst/>
                  </a:rPr>
                  <a:t>4</a:t>
                </a:r>
                <a:r>
                  <a:rPr lang="en-US" sz="1000" b="0" i="0" u="none" strike="noStrike" baseline="30000">
                    <a:effectLst/>
                  </a:rPr>
                  <a:t>+</a:t>
                </a:r>
                <a:r>
                  <a:rPr lang="en-US" sz="1000" b="0" i="0" u="none" strike="noStrike" baseline="0">
                    <a:effectLst/>
                  </a:rPr>
                  <a:t> &amp; WS NH</a:t>
                </a:r>
                <a:r>
                  <a:rPr lang="en-US" sz="1000" b="0" i="0" u="none" strike="noStrike" baseline="-25000">
                    <a:effectLst/>
                  </a:rPr>
                  <a:t>3</a:t>
                </a:r>
                <a:r>
                  <a:rPr lang="en-US"/>
                  <a:t>/(mg/kg)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568616"/>
        <c:crosses val="autoZero"/>
        <c:crossBetween val="midCat"/>
      </c:valAx>
      <c:spPr>
        <a:noFill/>
        <a:ln>
          <a:noFill/>
        </a:ln>
        <a:effectLst/>
      </c:spPr>
    </c:plotArea>
    <c:legend>
      <c:legendPos val="r"/>
      <c:layout>
        <c:manualLayout>
          <c:xMode val="edge"/>
          <c:yMode val="edge"/>
          <c:x val="0.52082607770385925"/>
          <c:y val="0.12225117712203905"/>
          <c:w val="0.34252357115760063"/>
          <c:h val="0.154229093352626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81308162473502"/>
          <c:y val="5.9685488031944733E-2"/>
          <c:w val="0.80496094855555578"/>
          <c:h val="0.78168961073597998"/>
        </c:manualLayout>
      </c:layout>
      <c:scatterChart>
        <c:scatterStyle val="lineMarker"/>
        <c:varyColors val="0"/>
        <c:ser>
          <c:idx val="0"/>
          <c:order val="0"/>
          <c:tx>
            <c:strRef>
              <c:f>'NO ACID'!$A$104</c:f>
              <c:strCache>
                <c:ptCount val="1"/>
                <c:pt idx="0">
                  <c:v>Blend 1</c:v>
                </c:pt>
              </c:strCache>
            </c:strRef>
          </c:tx>
          <c:spPr>
            <a:ln w="6350" cap="rnd">
              <a:solidFill>
                <a:schemeClr val="tx1"/>
              </a:solidFill>
              <a:round/>
            </a:ln>
            <a:effectLst/>
          </c:spPr>
          <c:marker>
            <c:symbol val="circle"/>
            <c:size val="5"/>
            <c:spPr>
              <a:solidFill>
                <a:schemeClr val="tx1"/>
              </a:solidFill>
              <a:ln w="9525">
                <a:noFill/>
              </a:ln>
              <a:effectLst/>
            </c:spPr>
          </c:marker>
          <c:errBars>
            <c:errDir val="y"/>
            <c:errBarType val="both"/>
            <c:errValType val="cust"/>
            <c:noEndCap val="0"/>
            <c:plus>
              <c:numRef>
                <c:f>('NO ACID'!$I$104,'NO ACID'!$I$106,'NO ACID'!$I$108,'NO ACID'!$I$110,'NO ACID'!$I$112,'NO ACID'!$I$114)</c:f>
                <c:numCache>
                  <c:formatCode>General</c:formatCode>
                  <c:ptCount val="6"/>
                  <c:pt idx="0">
                    <c:v>0.60203451677646724</c:v>
                  </c:pt>
                  <c:pt idx="1">
                    <c:v>0.32114176366948433</c:v>
                  </c:pt>
                  <c:pt idx="2">
                    <c:v>0.59262734133197592</c:v>
                  </c:pt>
                  <c:pt idx="3">
                    <c:v>0.39941990226177332</c:v>
                  </c:pt>
                  <c:pt idx="4">
                    <c:v>0.64515773943513299</c:v>
                  </c:pt>
                  <c:pt idx="5">
                    <c:v>0.43200969032094311</c:v>
                  </c:pt>
                </c:numCache>
              </c:numRef>
            </c:plus>
            <c:minus>
              <c:numRef>
                <c:f>('NO ACID'!$I$104,'NO ACID'!$I$106,'NO ACID'!$I$108,'NO ACID'!$I$110,'NO ACID'!$I$112,'NO ACID'!$I$114)</c:f>
                <c:numCache>
                  <c:formatCode>General</c:formatCode>
                  <c:ptCount val="6"/>
                  <c:pt idx="0">
                    <c:v>0.60203451677646724</c:v>
                  </c:pt>
                  <c:pt idx="1">
                    <c:v>0.32114176366948433</c:v>
                  </c:pt>
                  <c:pt idx="2">
                    <c:v>0.59262734133197592</c:v>
                  </c:pt>
                  <c:pt idx="3">
                    <c:v>0.39941990226177332</c:v>
                  </c:pt>
                  <c:pt idx="4">
                    <c:v>0.64515773943513299</c:v>
                  </c:pt>
                  <c:pt idx="5">
                    <c:v>0.43200969032094311</c:v>
                  </c:pt>
                </c:numCache>
              </c:numRef>
            </c:minus>
            <c:spPr>
              <a:noFill/>
              <a:ln w="9525" cap="flat" cmpd="sng" algn="ctr">
                <a:solidFill>
                  <a:schemeClr val="tx1">
                    <a:lumMod val="65000"/>
                    <a:lumOff val="35000"/>
                  </a:schemeClr>
                </a:solidFill>
                <a:round/>
              </a:ln>
              <a:effectLst/>
            </c:spPr>
          </c:errBars>
          <c:xVal>
            <c:numRef>
              <c:f>('NO ACID'!$C$104,'NO ACID'!$C$106,'NO ACID'!$C$108,'NO ACID'!$C$110,'NO ACID'!$C$112,'NO ACID'!$C$114)</c:f>
              <c:numCache>
                <c:formatCode>General</c:formatCode>
                <c:ptCount val="6"/>
                <c:pt idx="0">
                  <c:v>0</c:v>
                </c:pt>
                <c:pt idx="1">
                  <c:v>0.5</c:v>
                </c:pt>
                <c:pt idx="2">
                  <c:v>1</c:v>
                </c:pt>
                <c:pt idx="3">
                  <c:v>3</c:v>
                </c:pt>
                <c:pt idx="4">
                  <c:v>6</c:v>
                </c:pt>
                <c:pt idx="5">
                  <c:v>10</c:v>
                </c:pt>
              </c:numCache>
            </c:numRef>
          </c:xVal>
          <c:yVal>
            <c:numRef>
              <c:f>('NO ACID'!$H$104,'NO ACID'!$H$106,'NO ACID'!$H$108,'NO ACID'!$H$110,'NO ACID'!$H$112,'NO ACID'!$H$114)</c:f>
              <c:numCache>
                <c:formatCode>General</c:formatCode>
                <c:ptCount val="6"/>
                <c:pt idx="0">
                  <c:v>6.3956639008215612</c:v>
                </c:pt>
                <c:pt idx="1">
                  <c:v>6.0355597468203754</c:v>
                </c:pt>
                <c:pt idx="2">
                  <c:v>5.7708436592020576</c:v>
                </c:pt>
                <c:pt idx="3">
                  <c:v>5.5221533336267203</c:v>
                </c:pt>
                <c:pt idx="4">
                  <c:v>6.5172751217578071</c:v>
                </c:pt>
                <c:pt idx="5">
                  <c:v>6.2463222850504554</c:v>
                </c:pt>
              </c:numCache>
            </c:numRef>
          </c:yVal>
          <c:smooth val="0"/>
          <c:extLst>
            <c:ext xmlns:c16="http://schemas.microsoft.com/office/drawing/2014/chart" uri="{C3380CC4-5D6E-409C-BE32-E72D297353CC}">
              <c16:uniqueId val="{00000000-9CCC-4AAF-9B6D-2A341AE638B8}"/>
            </c:ext>
          </c:extLst>
        </c:ser>
        <c:ser>
          <c:idx val="1"/>
          <c:order val="1"/>
          <c:tx>
            <c:strRef>
              <c:f>'NO ACID'!$A$105</c:f>
              <c:strCache>
                <c:ptCount val="1"/>
                <c:pt idx="0">
                  <c:v>Blend 2</c:v>
                </c:pt>
              </c:strCache>
            </c:strRef>
          </c:tx>
          <c:spPr>
            <a:ln w="6350" cap="rnd">
              <a:solidFill>
                <a:schemeClr val="tx1"/>
              </a:solidFill>
              <a:prstDash val="dash"/>
              <a:round/>
            </a:ln>
            <a:effectLst/>
          </c:spPr>
          <c:marker>
            <c:symbol val="triangle"/>
            <c:size val="5"/>
            <c:spPr>
              <a:solidFill>
                <a:schemeClr val="tx1"/>
              </a:solidFill>
              <a:ln w="9525">
                <a:noFill/>
              </a:ln>
              <a:effectLst/>
            </c:spPr>
          </c:marker>
          <c:errBars>
            <c:errDir val="y"/>
            <c:errBarType val="both"/>
            <c:errValType val="cust"/>
            <c:noEndCap val="0"/>
            <c:plus>
              <c:numRef>
                <c:f>('NO ACID'!$I$116,'NO ACID'!$I$118,'NO ACID'!$I$120,'NO ACID'!$I$122,'NO ACID'!$I$124,'NO ACID'!$I$126)</c:f>
                <c:numCache>
                  <c:formatCode>General</c:formatCode>
                  <c:ptCount val="6"/>
                  <c:pt idx="0">
                    <c:v>0.4768333912684814</c:v>
                  </c:pt>
                  <c:pt idx="1">
                    <c:v>2.1584558391162529</c:v>
                  </c:pt>
                  <c:pt idx="2">
                    <c:v>0.51754134980889421</c:v>
                  </c:pt>
                  <c:pt idx="3">
                    <c:v>1.1725462001489526</c:v>
                  </c:pt>
                  <c:pt idx="4">
                    <c:v>1.1331175604037833</c:v>
                  </c:pt>
                  <c:pt idx="5">
                    <c:v>0.54504041374581469</c:v>
                  </c:pt>
                </c:numCache>
              </c:numRef>
            </c:plus>
            <c:minus>
              <c:numRef>
                <c:f>('NO ACID'!$I$116,'NO ACID'!$I$118,'NO ACID'!$I$120,'NO ACID'!$I$122,'NO ACID'!$I$124,'NO ACID'!$I$126)</c:f>
                <c:numCache>
                  <c:formatCode>General</c:formatCode>
                  <c:ptCount val="6"/>
                  <c:pt idx="0">
                    <c:v>0.4768333912684814</c:v>
                  </c:pt>
                  <c:pt idx="1">
                    <c:v>2.1584558391162529</c:v>
                  </c:pt>
                  <c:pt idx="2">
                    <c:v>0.51754134980889421</c:v>
                  </c:pt>
                  <c:pt idx="3">
                    <c:v>1.1725462001489526</c:v>
                  </c:pt>
                  <c:pt idx="4">
                    <c:v>1.1331175604037833</c:v>
                  </c:pt>
                  <c:pt idx="5">
                    <c:v>0.54504041374581469</c:v>
                  </c:pt>
                </c:numCache>
              </c:numRef>
            </c:minus>
            <c:spPr>
              <a:noFill/>
              <a:ln w="9525" cap="flat" cmpd="sng" algn="ctr">
                <a:solidFill>
                  <a:schemeClr val="tx1">
                    <a:lumMod val="65000"/>
                    <a:lumOff val="35000"/>
                  </a:schemeClr>
                </a:solidFill>
                <a:round/>
              </a:ln>
              <a:effectLst/>
            </c:spPr>
          </c:errBars>
          <c:xVal>
            <c:numRef>
              <c:f>('NO ACID'!$C$116,'NO ACID'!$C$118,'NO ACID'!$C$120,'NO ACID'!$C$122,'NO ACID'!$C$124,'NO ACID'!$C$126)</c:f>
              <c:numCache>
                <c:formatCode>General</c:formatCode>
                <c:ptCount val="6"/>
                <c:pt idx="0">
                  <c:v>0</c:v>
                </c:pt>
                <c:pt idx="1">
                  <c:v>0.5</c:v>
                </c:pt>
                <c:pt idx="2">
                  <c:v>1</c:v>
                </c:pt>
                <c:pt idx="3">
                  <c:v>3</c:v>
                </c:pt>
                <c:pt idx="4">
                  <c:v>6</c:v>
                </c:pt>
                <c:pt idx="5">
                  <c:v>10</c:v>
                </c:pt>
              </c:numCache>
            </c:numRef>
          </c:xVal>
          <c:yVal>
            <c:numRef>
              <c:f>('NO ACID'!$H$116,'NO ACID'!$H$118,'NO ACID'!$H$120,'NO ACID'!$H$122,'NO ACID'!$H$124,'NO ACID'!$H$126)</c:f>
              <c:numCache>
                <c:formatCode>General</c:formatCode>
                <c:ptCount val="6"/>
                <c:pt idx="0">
                  <c:v>6.3415859663523007</c:v>
                </c:pt>
                <c:pt idx="1">
                  <c:v>5.1517694552510189</c:v>
                </c:pt>
                <c:pt idx="2">
                  <c:v>6.0235541574934732</c:v>
                </c:pt>
                <c:pt idx="3">
                  <c:v>5.7803657138654039</c:v>
                </c:pt>
                <c:pt idx="4">
                  <c:v>6.1148241658748628</c:v>
                </c:pt>
                <c:pt idx="5">
                  <c:v>6.215217164885126</c:v>
                </c:pt>
              </c:numCache>
            </c:numRef>
          </c:yVal>
          <c:smooth val="0"/>
          <c:extLst>
            <c:ext xmlns:c16="http://schemas.microsoft.com/office/drawing/2014/chart" uri="{C3380CC4-5D6E-409C-BE32-E72D297353CC}">
              <c16:uniqueId val="{00000001-9CCC-4AAF-9B6D-2A341AE638B8}"/>
            </c:ext>
          </c:extLst>
        </c:ser>
        <c:dLbls>
          <c:showLegendKey val="0"/>
          <c:showVal val="0"/>
          <c:showCatName val="0"/>
          <c:showSerName val="0"/>
          <c:showPercent val="0"/>
          <c:showBubbleSize val="0"/>
        </c:dLbls>
        <c:axId val="616437744"/>
        <c:axId val="616438072"/>
      </c:scatterChart>
      <c:valAx>
        <c:axId val="616437744"/>
        <c:scaling>
          <c:orientation val="minMax"/>
          <c:max val="1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Incubation/(hours)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438072"/>
        <c:crosses val="autoZero"/>
        <c:crossBetween val="midCat"/>
        <c:majorUnit val="2"/>
      </c:valAx>
      <c:valAx>
        <c:axId val="616438072"/>
        <c:scaling>
          <c:orientation val="minMax"/>
          <c:min val="2"/>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WS NO</a:t>
                </a:r>
                <a:r>
                  <a:rPr lang="en-GB" baseline="-25000"/>
                  <a:t>3</a:t>
                </a:r>
                <a:r>
                  <a:rPr lang="en-GB" baseline="30000"/>
                  <a:t>-</a:t>
                </a:r>
                <a:r>
                  <a:rPr lang="en-GB" sz="1000" b="0" i="0" u="none" strike="noStrike" baseline="0">
                    <a:effectLst/>
                  </a:rPr>
                  <a:t> &amp; WS NO</a:t>
                </a:r>
                <a:r>
                  <a:rPr lang="en-GB" sz="1000" b="0" i="0" u="none" strike="noStrike" baseline="-25000">
                    <a:effectLst/>
                  </a:rPr>
                  <a:t>2</a:t>
                </a:r>
                <a:r>
                  <a:rPr lang="en-GB" sz="1000" b="0" i="0" u="none" strike="noStrike" baseline="30000">
                    <a:effectLst/>
                  </a:rPr>
                  <a:t>-</a:t>
                </a:r>
                <a:r>
                  <a:rPr lang="en-GB"/>
                  <a:t>/(mg/kg)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16437744"/>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0826338081093351"/>
          <c:y val="3.7871343105610494E-2"/>
          <c:w val="0.74204242704956003"/>
          <c:h val="0.74350320793234181"/>
        </c:manualLayout>
      </c:layout>
      <c:scatterChart>
        <c:scatterStyle val="lineMarker"/>
        <c:varyColors val="0"/>
        <c:ser>
          <c:idx val="0"/>
          <c:order val="0"/>
          <c:tx>
            <c:strRef>
              <c:f>'NO ACID'!$A$159</c:f>
              <c:strCache>
                <c:ptCount val="1"/>
                <c:pt idx="0">
                  <c:v>Blend 1</c:v>
                </c:pt>
              </c:strCache>
            </c:strRef>
          </c:tx>
          <c:spPr>
            <a:ln w="6350" cap="rnd">
              <a:solidFill>
                <a:schemeClr val="tx1"/>
              </a:solidFill>
              <a:round/>
            </a:ln>
            <a:effectLst/>
          </c:spPr>
          <c:marker>
            <c:symbol val="circle"/>
            <c:size val="5"/>
            <c:spPr>
              <a:solidFill>
                <a:schemeClr val="tx1"/>
              </a:solidFill>
              <a:ln w="9525">
                <a:noFill/>
              </a:ln>
              <a:effectLst/>
            </c:spPr>
          </c:marker>
          <c:errBars>
            <c:errDir val="y"/>
            <c:errBarType val="both"/>
            <c:errValType val="cust"/>
            <c:noEndCap val="0"/>
            <c:plus>
              <c:numRef>
                <c:f>('NO ACID'!$I$159,'NO ACID'!$I$163,'NO ACID'!$I$165,'NO ACID'!$I$167,'NO ACID'!$I$169)</c:f>
                <c:numCache>
                  <c:formatCode>General</c:formatCode>
                  <c:ptCount val="5"/>
                  <c:pt idx="0">
                    <c:v>408.38630250047646</c:v>
                  </c:pt>
                  <c:pt idx="1">
                    <c:v>387.39959325418579</c:v>
                  </c:pt>
                  <c:pt idx="2">
                    <c:v>131.21228997852768</c:v>
                  </c:pt>
                  <c:pt idx="3">
                    <c:v>164.38213058561797</c:v>
                  </c:pt>
                  <c:pt idx="4">
                    <c:v>125.40336573992657</c:v>
                  </c:pt>
                </c:numCache>
              </c:numRef>
            </c:plus>
            <c:minus>
              <c:numRef>
                <c:f>('NO ACID'!$I$159,'NO ACID'!$I$163,'NO ACID'!$I$165,'NO ACID'!$I$167,'NO ACID'!$I$169)</c:f>
                <c:numCache>
                  <c:formatCode>General</c:formatCode>
                  <c:ptCount val="5"/>
                  <c:pt idx="0">
                    <c:v>408.38630250047646</c:v>
                  </c:pt>
                  <c:pt idx="1">
                    <c:v>387.39959325418579</c:v>
                  </c:pt>
                  <c:pt idx="2">
                    <c:v>131.21228997852768</c:v>
                  </c:pt>
                  <c:pt idx="3">
                    <c:v>164.38213058561797</c:v>
                  </c:pt>
                  <c:pt idx="4">
                    <c:v>125.40336573992657</c:v>
                  </c:pt>
                </c:numCache>
              </c:numRef>
            </c:minus>
            <c:spPr>
              <a:noFill/>
              <a:ln w="9525" cap="flat" cmpd="sng" algn="ctr">
                <a:solidFill>
                  <a:schemeClr val="tx1">
                    <a:lumMod val="65000"/>
                    <a:lumOff val="35000"/>
                  </a:schemeClr>
                </a:solidFill>
                <a:round/>
              </a:ln>
              <a:effectLst/>
            </c:spPr>
          </c:errBars>
          <c:xVal>
            <c:numRef>
              <c:f>('NO ACID'!$C$159,'NO ACID'!$C$163,'NO ACID'!$C$165,'NO ACID'!$C$167,'NO ACID'!$C$169)</c:f>
              <c:numCache>
                <c:formatCode>General</c:formatCode>
                <c:ptCount val="5"/>
                <c:pt idx="0">
                  <c:v>0</c:v>
                </c:pt>
                <c:pt idx="1">
                  <c:v>1</c:v>
                </c:pt>
                <c:pt idx="2">
                  <c:v>3</c:v>
                </c:pt>
                <c:pt idx="3">
                  <c:v>6</c:v>
                </c:pt>
                <c:pt idx="4">
                  <c:v>10</c:v>
                </c:pt>
              </c:numCache>
            </c:numRef>
          </c:xVal>
          <c:yVal>
            <c:numRef>
              <c:f>('NO ACID'!$H$159,'NO ACID'!$H$163,'NO ACID'!$H$165,'NO ACID'!$H$167,'NO ACID'!$H$169,'NO ACID'!$H$171)</c:f>
              <c:numCache>
                <c:formatCode>General</c:formatCode>
                <c:ptCount val="6"/>
                <c:pt idx="0">
                  <c:v>3938.985854920174</c:v>
                </c:pt>
                <c:pt idx="1">
                  <c:v>2983.3906781689066</c:v>
                </c:pt>
                <c:pt idx="2">
                  <c:v>2330.2532155345889</c:v>
                </c:pt>
                <c:pt idx="3">
                  <c:v>2440.5589212504228</c:v>
                </c:pt>
                <c:pt idx="4">
                  <c:v>2252.9127611775493</c:v>
                </c:pt>
                <c:pt idx="5">
                  <c:v>897.54878979951957</c:v>
                </c:pt>
              </c:numCache>
            </c:numRef>
          </c:yVal>
          <c:smooth val="0"/>
          <c:extLst>
            <c:ext xmlns:c16="http://schemas.microsoft.com/office/drawing/2014/chart" uri="{C3380CC4-5D6E-409C-BE32-E72D297353CC}">
              <c16:uniqueId val="{00000000-3050-4940-99A2-B0702A6AF918}"/>
            </c:ext>
          </c:extLst>
        </c:ser>
        <c:ser>
          <c:idx val="1"/>
          <c:order val="1"/>
          <c:tx>
            <c:strRef>
              <c:f>'NO ACID'!$A$160</c:f>
              <c:strCache>
                <c:ptCount val="1"/>
                <c:pt idx="0">
                  <c:v>Blend 2</c:v>
                </c:pt>
              </c:strCache>
            </c:strRef>
          </c:tx>
          <c:spPr>
            <a:ln w="6350" cap="rnd">
              <a:solidFill>
                <a:schemeClr val="tx1"/>
              </a:solidFill>
              <a:prstDash val="dash"/>
              <a:round/>
            </a:ln>
            <a:effectLst/>
          </c:spPr>
          <c:marker>
            <c:symbol val="triangle"/>
            <c:size val="5"/>
            <c:spPr>
              <a:solidFill>
                <a:schemeClr val="tx1"/>
              </a:solidFill>
              <a:ln w="9525">
                <a:noFill/>
              </a:ln>
              <a:effectLst/>
            </c:spPr>
          </c:marker>
          <c:errBars>
            <c:errDir val="y"/>
            <c:errBarType val="both"/>
            <c:errValType val="cust"/>
            <c:noEndCap val="0"/>
            <c:plus>
              <c:numRef>
                <c:f>('NO ACID'!$I$171,'NO ACID'!$I$175,'NO ACID'!$I$177,'NO ACID'!$I$179,'NO ACID'!$I$181)</c:f>
                <c:numCache>
                  <c:formatCode>General</c:formatCode>
                  <c:ptCount val="5"/>
                  <c:pt idx="0">
                    <c:v>45.718890009989558</c:v>
                  </c:pt>
                  <c:pt idx="1">
                    <c:v>147.04248453472655</c:v>
                  </c:pt>
                  <c:pt idx="2">
                    <c:v>39.611162651057384</c:v>
                  </c:pt>
                  <c:pt idx="3">
                    <c:v>60.068203728995584</c:v>
                  </c:pt>
                  <c:pt idx="4">
                    <c:v>64.299621645307425</c:v>
                  </c:pt>
                </c:numCache>
              </c:numRef>
            </c:plus>
            <c:minus>
              <c:numRef>
                <c:f>('NO ACID'!$I$171,'NO ACID'!$I$175,'NO ACID'!$I$177,'NO ACID'!$I$179,'NO ACID'!$I$181)</c:f>
                <c:numCache>
                  <c:formatCode>General</c:formatCode>
                  <c:ptCount val="5"/>
                  <c:pt idx="0">
                    <c:v>45.718890009989558</c:v>
                  </c:pt>
                  <c:pt idx="1">
                    <c:v>147.04248453472655</c:v>
                  </c:pt>
                  <c:pt idx="2">
                    <c:v>39.611162651057384</c:v>
                  </c:pt>
                  <c:pt idx="3">
                    <c:v>60.068203728995584</c:v>
                  </c:pt>
                  <c:pt idx="4">
                    <c:v>64.299621645307425</c:v>
                  </c:pt>
                </c:numCache>
              </c:numRef>
            </c:minus>
            <c:spPr>
              <a:noFill/>
              <a:ln w="9525" cap="flat" cmpd="sng" algn="ctr">
                <a:solidFill>
                  <a:schemeClr val="tx1">
                    <a:lumMod val="65000"/>
                    <a:lumOff val="35000"/>
                  </a:schemeClr>
                </a:solidFill>
                <a:round/>
              </a:ln>
              <a:effectLst/>
            </c:spPr>
          </c:errBars>
          <c:xVal>
            <c:numRef>
              <c:f>('NO ACID'!$C$171,'NO ACID'!$C$175,'NO ACID'!$C$177,'NO ACID'!$C$179,'NO ACID'!$C$181)</c:f>
              <c:numCache>
                <c:formatCode>General</c:formatCode>
                <c:ptCount val="5"/>
                <c:pt idx="0">
                  <c:v>0</c:v>
                </c:pt>
                <c:pt idx="1">
                  <c:v>1</c:v>
                </c:pt>
                <c:pt idx="2">
                  <c:v>3</c:v>
                </c:pt>
                <c:pt idx="3">
                  <c:v>6</c:v>
                </c:pt>
                <c:pt idx="4">
                  <c:v>10</c:v>
                </c:pt>
              </c:numCache>
            </c:numRef>
          </c:xVal>
          <c:yVal>
            <c:numRef>
              <c:f>('NO ACID'!$H$171,'NO ACID'!$H$175,'NO ACID'!$H$177,'NO ACID'!$H$179,'NO ACID'!$H$181)</c:f>
              <c:numCache>
                <c:formatCode>General</c:formatCode>
                <c:ptCount val="5"/>
                <c:pt idx="0">
                  <c:v>897.54878979951957</c:v>
                </c:pt>
                <c:pt idx="1">
                  <c:v>852.21300810055413</c:v>
                </c:pt>
                <c:pt idx="2">
                  <c:v>988.69049255258619</c:v>
                </c:pt>
                <c:pt idx="3">
                  <c:v>707.41073046849999</c:v>
                </c:pt>
                <c:pt idx="4">
                  <c:v>965.69661326900655</c:v>
                </c:pt>
              </c:numCache>
            </c:numRef>
          </c:yVal>
          <c:smooth val="0"/>
          <c:extLst>
            <c:ext xmlns:c16="http://schemas.microsoft.com/office/drawing/2014/chart" uri="{C3380CC4-5D6E-409C-BE32-E72D297353CC}">
              <c16:uniqueId val="{00000001-3050-4940-99A2-B0702A6AF918}"/>
            </c:ext>
          </c:extLst>
        </c:ser>
        <c:dLbls>
          <c:showLegendKey val="0"/>
          <c:showVal val="0"/>
          <c:showCatName val="0"/>
          <c:showSerName val="0"/>
          <c:showPercent val="0"/>
          <c:showBubbleSize val="0"/>
        </c:dLbls>
        <c:axId val="671336584"/>
        <c:axId val="671330024"/>
      </c:scatterChart>
      <c:valAx>
        <c:axId val="671336584"/>
        <c:scaling>
          <c:orientation val="minMax"/>
          <c:max val="1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Incubation/(hours)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330024"/>
        <c:crosses val="autoZero"/>
        <c:crossBetween val="midCat"/>
      </c:valAx>
      <c:valAx>
        <c:axId val="67133002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WS TN/(mg/kg)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336584"/>
        <c:crosses val="autoZero"/>
        <c:crossBetween val="midCat"/>
      </c:valAx>
      <c:spPr>
        <a:noFill/>
        <a:ln>
          <a:noFill/>
        </a:ln>
        <a:effectLst/>
      </c:spPr>
    </c:plotArea>
    <c:legend>
      <c:legendPos val="r"/>
      <c:layout>
        <c:manualLayout>
          <c:xMode val="edge"/>
          <c:yMode val="edge"/>
          <c:x val="0.61395016211208886"/>
          <c:y val="0.1031809959565865"/>
          <c:w val="0.29259027327466419"/>
          <c:h val="0.1907221783419781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9317027870386513"/>
          <c:y val="4.8452211766212151E-2"/>
          <c:w val="0.75911169147236623"/>
          <c:h val="0.69773372784254128"/>
        </c:manualLayout>
      </c:layout>
      <c:scatterChart>
        <c:scatterStyle val="lineMarker"/>
        <c:varyColors val="0"/>
        <c:ser>
          <c:idx val="0"/>
          <c:order val="0"/>
          <c:tx>
            <c:strRef>
              <c:f>'NO ACID'!$A$186</c:f>
              <c:strCache>
                <c:ptCount val="1"/>
                <c:pt idx="0">
                  <c:v>Blend 1</c:v>
                </c:pt>
              </c:strCache>
            </c:strRef>
          </c:tx>
          <c:spPr>
            <a:ln w="6350" cap="rnd">
              <a:solidFill>
                <a:schemeClr val="tx1"/>
              </a:solidFill>
              <a:round/>
            </a:ln>
            <a:effectLst/>
          </c:spPr>
          <c:marker>
            <c:symbol val="circle"/>
            <c:size val="5"/>
            <c:spPr>
              <a:solidFill>
                <a:schemeClr val="tx1"/>
              </a:solidFill>
              <a:ln w="9525">
                <a:noFill/>
              </a:ln>
              <a:effectLst/>
            </c:spPr>
          </c:marker>
          <c:errBars>
            <c:errDir val="y"/>
            <c:errBarType val="both"/>
            <c:errValType val="cust"/>
            <c:noEndCap val="0"/>
            <c:plus>
              <c:numRef>
                <c:f>('NO ACID'!$I$186,'NO ACID'!$I$190,'NO ACID'!$I$192,'NO ACID'!$I$194,'NO ACID'!$I$196)</c:f>
                <c:numCache>
                  <c:formatCode>General</c:formatCode>
                  <c:ptCount val="5"/>
                  <c:pt idx="0">
                    <c:v>241.36784136899914</c:v>
                  </c:pt>
                  <c:pt idx="1">
                    <c:v>424.6847814737007</c:v>
                  </c:pt>
                  <c:pt idx="2">
                    <c:v>365.09203878206904</c:v>
                  </c:pt>
                  <c:pt idx="3">
                    <c:v>244.67159840478726</c:v>
                  </c:pt>
                  <c:pt idx="4">
                    <c:v>272.55553582174423</c:v>
                  </c:pt>
                </c:numCache>
              </c:numRef>
            </c:plus>
            <c:minus>
              <c:numRef>
                <c:f>('NO ACID'!$I$186,'NO ACID'!$I$190,'NO ACID'!$I$192,'NO ACID'!$I$194,'NO ACID'!$I$196)</c:f>
                <c:numCache>
                  <c:formatCode>General</c:formatCode>
                  <c:ptCount val="5"/>
                  <c:pt idx="0">
                    <c:v>241.36784136899914</c:v>
                  </c:pt>
                  <c:pt idx="1">
                    <c:v>424.6847814737007</c:v>
                  </c:pt>
                  <c:pt idx="2">
                    <c:v>365.09203878206904</c:v>
                  </c:pt>
                  <c:pt idx="3">
                    <c:v>244.67159840478726</c:v>
                  </c:pt>
                  <c:pt idx="4">
                    <c:v>272.55553582174423</c:v>
                  </c:pt>
                </c:numCache>
              </c:numRef>
            </c:minus>
            <c:spPr>
              <a:noFill/>
              <a:ln w="9525" cap="flat" cmpd="sng" algn="ctr">
                <a:solidFill>
                  <a:schemeClr val="tx1">
                    <a:lumMod val="65000"/>
                    <a:lumOff val="35000"/>
                  </a:schemeClr>
                </a:solidFill>
                <a:round/>
              </a:ln>
              <a:effectLst/>
            </c:spPr>
          </c:errBars>
          <c:xVal>
            <c:numRef>
              <c:f>('NO ACID'!$C$186,'NO ACID'!$C$190,'NO ACID'!$C$192,'NO ACID'!$C$194,'NO ACID'!$C$196)</c:f>
              <c:numCache>
                <c:formatCode>General</c:formatCode>
                <c:ptCount val="5"/>
                <c:pt idx="0">
                  <c:v>0</c:v>
                </c:pt>
                <c:pt idx="1">
                  <c:v>1</c:v>
                </c:pt>
                <c:pt idx="2">
                  <c:v>3</c:v>
                </c:pt>
                <c:pt idx="3">
                  <c:v>6</c:v>
                </c:pt>
                <c:pt idx="4">
                  <c:v>10</c:v>
                </c:pt>
              </c:numCache>
            </c:numRef>
          </c:xVal>
          <c:yVal>
            <c:numRef>
              <c:f>('NO ACID'!$H$186,'NO ACID'!$H$190,'NO ACID'!$H$192,'NO ACID'!$H$194,'NO ACID'!$H$196)</c:f>
              <c:numCache>
                <c:formatCode>General</c:formatCode>
                <c:ptCount val="5"/>
                <c:pt idx="0">
                  <c:v>4453.9066277024776</c:v>
                </c:pt>
                <c:pt idx="1">
                  <c:v>4718.3173391968903</c:v>
                </c:pt>
                <c:pt idx="2">
                  <c:v>3921.7782703652238</c:v>
                </c:pt>
                <c:pt idx="3">
                  <c:v>4126.8117848403017</c:v>
                </c:pt>
                <c:pt idx="4">
                  <c:v>5390.3514794756966</c:v>
                </c:pt>
              </c:numCache>
            </c:numRef>
          </c:yVal>
          <c:smooth val="0"/>
          <c:extLst>
            <c:ext xmlns:c16="http://schemas.microsoft.com/office/drawing/2014/chart" uri="{C3380CC4-5D6E-409C-BE32-E72D297353CC}">
              <c16:uniqueId val="{00000000-0755-459E-9567-B43AFC8F5292}"/>
            </c:ext>
          </c:extLst>
        </c:ser>
        <c:ser>
          <c:idx val="1"/>
          <c:order val="1"/>
          <c:tx>
            <c:strRef>
              <c:f>'NO ACID'!$A$187</c:f>
              <c:strCache>
                <c:ptCount val="1"/>
                <c:pt idx="0">
                  <c:v>Blend 2</c:v>
                </c:pt>
              </c:strCache>
            </c:strRef>
          </c:tx>
          <c:spPr>
            <a:ln w="6350" cap="rnd">
              <a:solidFill>
                <a:schemeClr val="tx1"/>
              </a:solidFill>
              <a:prstDash val="dash"/>
              <a:round/>
            </a:ln>
            <a:effectLst/>
          </c:spPr>
          <c:marker>
            <c:symbol val="triangle"/>
            <c:size val="5"/>
            <c:spPr>
              <a:solidFill>
                <a:schemeClr val="tx1"/>
              </a:solidFill>
              <a:ln w="9525">
                <a:noFill/>
              </a:ln>
              <a:effectLst/>
            </c:spPr>
          </c:marker>
          <c:errBars>
            <c:errDir val="y"/>
            <c:errBarType val="both"/>
            <c:errValType val="cust"/>
            <c:noEndCap val="0"/>
            <c:plus>
              <c:numRef>
                <c:f>('NO ACID'!$I$198,'NO ACID'!$I$202,'NO ACID'!$I$204,'NO ACID'!$I$206,'NO ACID'!$I$208)</c:f>
                <c:numCache>
                  <c:formatCode>General</c:formatCode>
                  <c:ptCount val="5"/>
                  <c:pt idx="0">
                    <c:v>220.5023390650897</c:v>
                  </c:pt>
                  <c:pt idx="1">
                    <c:v>329.88733108120641</c:v>
                  </c:pt>
                  <c:pt idx="2">
                    <c:v>174.61972186017346</c:v>
                  </c:pt>
                  <c:pt idx="3">
                    <c:v>265.84662278125063</c:v>
                  </c:pt>
                  <c:pt idx="4">
                    <c:v>434.06170562256955</c:v>
                  </c:pt>
                </c:numCache>
              </c:numRef>
            </c:plus>
            <c:minus>
              <c:numRef>
                <c:f>('NO ACID'!$I$198,'NO ACID'!$I$202,'NO ACID'!$I$204,'NO ACID'!$I$206,'NO ACID'!$I$208)</c:f>
                <c:numCache>
                  <c:formatCode>General</c:formatCode>
                  <c:ptCount val="5"/>
                  <c:pt idx="0">
                    <c:v>220.5023390650897</c:v>
                  </c:pt>
                  <c:pt idx="1">
                    <c:v>329.88733108120641</c:v>
                  </c:pt>
                  <c:pt idx="2">
                    <c:v>174.61972186017346</c:v>
                  </c:pt>
                  <c:pt idx="3">
                    <c:v>265.84662278125063</c:v>
                  </c:pt>
                  <c:pt idx="4">
                    <c:v>434.06170562256955</c:v>
                  </c:pt>
                </c:numCache>
              </c:numRef>
            </c:minus>
            <c:spPr>
              <a:noFill/>
              <a:ln w="9525" cap="flat" cmpd="sng" algn="ctr">
                <a:solidFill>
                  <a:schemeClr val="tx1">
                    <a:lumMod val="65000"/>
                    <a:lumOff val="35000"/>
                  </a:schemeClr>
                </a:solidFill>
                <a:round/>
              </a:ln>
              <a:effectLst/>
            </c:spPr>
          </c:errBars>
          <c:xVal>
            <c:numRef>
              <c:f>('NO ACID'!$C$198,'NO ACID'!$C$202,'NO ACID'!$C$204,'NO ACID'!$C$206,'NO ACID'!$C$208)</c:f>
              <c:numCache>
                <c:formatCode>General</c:formatCode>
                <c:ptCount val="5"/>
                <c:pt idx="0">
                  <c:v>0</c:v>
                </c:pt>
                <c:pt idx="1">
                  <c:v>1</c:v>
                </c:pt>
                <c:pt idx="2">
                  <c:v>3</c:v>
                </c:pt>
                <c:pt idx="3">
                  <c:v>6</c:v>
                </c:pt>
                <c:pt idx="4">
                  <c:v>10</c:v>
                </c:pt>
              </c:numCache>
            </c:numRef>
          </c:xVal>
          <c:yVal>
            <c:numRef>
              <c:f>('NO ACID'!$H$198,'NO ACID'!$H$202,'NO ACID'!$H$204,'NO ACID'!$H$206,'NO ACID'!$H$208)</c:f>
              <c:numCache>
                <c:formatCode>General</c:formatCode>
                <c:ptCount val="5"/>
                <c:pt idx="0">
                  <c:v>3559.3644298069289</c:v>
                </c:pt>
                <c:pt idx="1">
                  <c:v>4509.796186888113</c:v>
                </c:pt>
                <c:pt idx="2">
                  <c:v>5187.7652559697872</c:v>
                </c:pt>
                <c:pt idx="3">
                  <c:v>4839.5442667814532</c:v>
                </c:pt>
                <c:pt idx="4">
                  <c:v>7257.4463591413241</c:v>
                </c:pt>
              </c:numCache>
            </c:numRef>
          </c:yVal>
          <c:smooth val="0"/>
          <c:extLst>
            <c:ext xmlns:c16="http://schemas.microsoft.com/office/drawing/2014/chart" uri="{C3380CC4-5D6E-409C-BE32-E72D297353CC}">
              <c16:uniqueId val="{00000001-0755-459E-9567-B43AFC8F5292}"/>
            </c:ext>
          </c:extLst>
        </c:ser>
        <c:dLbls>
          <c:showLegendKey val="0"/>
          <c:showVal val="0"/>
          <c:showCatName val="0"/>
          <c:showSerName val="0"/>
          <c:showPercent val="0"/>
          <c:showBubbleSize val="0"/>
        </c:dLbls>
        <c:axId val="671388736"/>
        <c:axId val="671389392"/>
      </c:scatterChart>
      <c:valAx>
        <c:axId val="671388736"/>
        <c:scaling>
          <c:orientation val="minMax"/>
          <c:max val="1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Incubation/(hours)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389392"/>
        <c:crosses val="autoZero"/>
        <c:crossBetween val="midCat"/>
        <c:majorUnit val="2"/>
      </c:valAx>
      <c:valAx>
        <c:axId val="671389392"/>
        <c:scaling>
          <c:orientation val="minMax"/>
          <c:min val="20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WS TC/(mg/kg)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138873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64734616506267"/>
          <c:y val="2.5722539515838787E-2"/>
          <c:w val="0.77474154272382623"/>
          <c:h val="0.77036337308665148"/>
        </c:manualLayout>
      </c:layout>
      <c:scatterChart>
        <c:scatterStyle val="lineMarker"/>
        <c:varyColors val="0"/>
        <c:ser>
          <c:idx val="0"/>
          <c:order val="0"/>
          <c:tx>
            <c:strRef>
              <c:f>'NO ACID'!$Q$12:$R$12</c:f>
              <c:strCache>
                <c:ptCount val="1"/>
                <c:pt idx="0">
                  <c:v>TNblend</c:v>
                </c:pt>
              </c:strCache>
            </c:strRef>
          </c:tx>
          <c:spPr>
            <a:ln w="6350" cap="rnd">
              <a:solidFill>
                <a:schemeClr val="tx1"/>
              </a:solidFill>
              <a:round/>
            </a:ln>
            <a:effectLst/>
          </c:spPr>
          <c:marker>
            <c:symbol val="circle"/>
            <c:size val="5"/>
            <c:spPr>
              <a:solidFill>
                <a:schemeClr val="tx1"/>
              </a:solidFill>
              <a:ln w="9525">
                <a:noFill/>
              </a:ln>
              <a:effectLst/>
            </c:spPr>
          </c:marker>
          <c:xVal>
            <c:numRef>
              <c:f>('NO ACID'!$P$14:$P$15,'NO ACID'!$P$17:$P$20)</c:f>
              <c:numCache>
                <c:formatCode>General</c:formatCode>
                <c:ptCount val="6"/>
                <c:pt idx="0">
                  <c:v>0</c:v>
                </c:pt>
                <c:pt idx="1">
                  <c:v>0</c:v>
                </c:pt>
                <c:pt idx="2">
                  <c:v>1</c:v>
                </c:pt>
                <c:pt idx="3">
                  <c:v>3</c:v>
                </c:pt>
                <c:pt idx="4">
                  <c:v>6</c:v>
                </c:pt>
                <c:pt idx="5">
                  <c:v>10</c:v>
                </c:pt>
              </c:numCache>
            </c:numRef>
          </c:xVal>
          <c:yVal>
            <c:numRef>
              <c:f>('NO ACID'!$AE$14:$AE$15,'NO ACID'!$AE$17:$AE$20)</c:f>
              <c:numCache>
                <c:formatCode>General</c:formatCode>
                <c:ptCount val="6"/>
                <c:pt idx="0">
                  <c:v>6723.3357523999994</c:v>
                </c:pt>
                <c:pt idx="1">
                  <c:v>4359.3192031201743</c:v>
                </c:pt>
                <c:pt idx="2">
                  <c:v>3403.7240263689064</c:v>
                </c:pt>
                <c:pt idx="3">
                  <c:v>2750.5865637345887</c:v>
                </c:pt>
                <c:pt idx="4">
                  <c:v>2440.5589212504228</c:v>
                </c:pt>
                <c:pt idx="5">
                  <c:v>2252.9127611775493</c:v>
                </c:pt>
              </c:numCache>
            </c:numRef>
          </c:yVal>
          <c:smooth val="0"/>
          <c:extLst>
            <c:ext xmlns:c16="http://schemas.microsoft.com/office/drawing/2014/chart" uri="{C3380CC4-5D6E-409C-BE32-E72D297353CC}">
              <c16:uniqueId val="{00000000-D647-435D-B673-5764B571CE64}"/>
            </c:ext>
          </c:extLst>
        </c:ser>
        <c:ser>
          <c:idx val="1"/>
          <c:order val="1"/>
          <c:tx>
            <c:strRef>
              <c:f>'NO ACID'!$S$12:$T$12</c:f>
              <c:strCache>
                <c:ptCount val="1"/>
                <c:pt idx="0">
                  <c:v>WI TN</c:v>
                </c:pt>
              </c:strCache>
            </c:strRef>
          </c:tx>
          <c:spPr>
            <a:ln w="6350" cap="rnd">
              <a:solidFill>
                <a:schemeClr val="tx1"/>
              </a:solidFill>
              <a:round/>
            </a:ln>
            <a:effectLst/>
          </c:spPr>
          <c:marker>
            <c:symbol val="diamond"/>
            <c:size val="5"/>
            <c:spPr>
              <a:solidFill>
                <a:schemeClr val="tx1"/>
              </a:solidFill>
              <a:ln w="9525">
                <a:noFill/>
              </a:ln>
              <a:effectLst/>
            </c:spPr>
          </c:marker>
          <c:xVal>
            <c:numRef>
              <c:f>('NO ACID'!$P$14:$P$15,'NO ACID'!$P$17:$P$20)</c:f>
              <c:numCache>
                <c:formatCode>General</c:formatCode>
                <c:ptCount val="6"/>
                <c:pt idx="0">
                  <c:v>0</c:v>
                </c:pt>
                <c:pt idx="1">
                  <c:v>0</c:v>
                </c:pt>
                <c:pt idx="2">
                  <c:v>1</c:v>
                </c:pt>
                <c:pt idx="3">
                  <c:v>3</c:v>
                </c:pt>
                <c:pt idx="4">
                  <c:v>6</c:v>
                </c:pt>
                <c:pt idx="5">
                  <c:v>10</c:v>
                </c:pt>
              </c:numCache>
            </c:numRef>
          </c:xVal>
          <c:yVal>
            <c:numRef>
              <c:f>('NO ACID'!$S$14:$S$15,'NO ACID'!$S$17:$S$20)</c:f>
              <c:numCache>
                <c:formatCode>General</c:formatCode>
                <c:ptCount val="6"/>
                <c:pt idx="0">
                  <c:v>420.33334820000005</c:v>
                </c:pt>
                <c:pt idx="1">
                  <c:v>420.33334820000005</c:v>
                </c:pt>
                <c:pt idx="2">
                  <c:v>420.33334820000005</c:v>
                </c:pt>
                <c:pt idx="3">
                  <c:v>420.33334820000005</c:v>
                </c:pt>
                <c:pt idx="4">
                  <c:v>0</c:v>
                </c:pt>
                <c:pt idx="5">
                  <c:v>0</c:v>
                </c:pt>
              </c:numCache>
            </c:numRef>
          </c:yVal>
          <c:smooth val="0"/>
          <c:extLst>
            <c:ext xmlns:c16="http://schemas.microsoft.com/office/drawing/2014/chart" uri="{C3380CC4-5D6E-409C-BE32-E72D297353CC}">
              <c16:uniqueId val="{00000001-D647-435D-B673-5764B571CE64}"/>
            </c:ext>
          </c:extLst>
        </c:ser>
        <c:ser>
          <c:idx val="2"/>
          <c:order val="2"/>
          <c:tx>
            <c:strRef>
              <c:f>'NO ACID'!$U$12:$V$12</c:f>
              <c:strCache>
                <c:ptCount val="1"/>
                <c:pt idx="0">
                  <c:v>WS TN</c:v>
                </c:pt>
              </c:strCache>
            </c:strRef>
          </c:tx>
          <c:spPr>
            <a:ln w="6350" cap="rnd">
              <a:solidFill>
                <a:schemeClr val="tx1"/>
              </a:solidFill>
              <a:round/>
            </a:ln>
            <a:effectLst/>
          </c:spPr>
          <c:marker>
            <c:symbol val="square"/>
            <c:size val="5"/>
            <c:spPr>
              <a:solidFill>
                <a:schemeClr val="tx1"/>
              </a:solidFill>
              <a:ln w="9525">
                <a:noFill/>
              </a:ln>
              <a:effectLst/>
            </c:spPr>
          </c:marker>
          <c:xVal>
            <c:numRef>
              <c:f>('NO ACID'!$P$14:$P$15,'NO ACID'!$P$17:$P$20)</c:f>
              <c:numCache>
                <c:formatCode>General</c:formatCode>
                <c:ptCount val="6"/>
                <c:pt idx="0">
                  <c:v>0</c:v>
                </c:pt>
                <c:pt idx="1">
                  <c:v>0</c:v>
                </c:pt>
                <c:pt idx="2">
                  <c:v>1</c:v>
                </c:pt>
                <c:pt idx="3">
                  <c:v>3</c:v>
                </c:pt>
                <c:pt idx="4">
                  <c:v>6</c:v>
                </c:pt>
                <c:pt idx="5">
                  <c:v>10</c:v>
                </c:pt>
              </c:numCache>
            </c:numRef>
          </c:xVal>
          <c:yVal>
            <c:numRef>
              <c:f>('NO ACID'!$U$14:$U$15,'NO ACID'!$U$17:$U$20)</c:f>
              <c:numCache>
                <c:formatCode>General</c:formatCode>
                <c:ptCount val="6"/>
                <c:pt idx="0">
                  <c:v>6303.0024041999995</c:v>
                </c:pt>
                <c:pt idx="1">
                  <c:v>3938.985854920174</c:v>
                </c:pt>
                <c:pt idx="2">
                  <c:v>2983.3906781689066</c:v>
                </c:pt>
                <c:pt idx="3">
                  <c:v>2330.2532155345889</c:v>
                </c:pt>
                <c:pt idx="4">
                  <c:v>2440.5589212504228</c:v>
                </c:pt>
                <c:pt idx="5">
                  <c:v>2252.9127611775493</c:v>
                </c:pt>
              </c:numCache>
            </c:numRef>
          </c:yVal>
          <c:smooth val="0"/>
          <c:extLst>
            <c:ext xmlns:c16="http://schemas.microsoft.com/office/drawing/2014/chart" uri="{C3380CC4-5D6E-409C-BE32-E72D297353CC}">
              <c16:uniqueId val="{00000002-D647-435D-B673-5764B571CE64}"/>
            </c:ext>
          </c:extLst>
        </c:ser>
        <c:ser>
          <c:idx val="3"/>
          <c:order val="3"/>
          <c:tx>
            <c:strRef>
              <c:f>'NO ACID'!$W$12:$X$12</c:f>
              <c:strCache>
                <c:ptCount val="1"/>
                <c:pt idx="0">
                  <c:v>WS Norg</c:v>
                </c:pt>
              </c:strCache>
            </c:strRef>
          </c:tx>
          <c:spPr>
            <a:ln w="6350" cap="rnd">
              <a:solidFill>
                <a:schemeClr val="tx1"/>
              </a:solidFill>
              <a:round/>
            </a:ln>
            <a:effectLst/>
          </c:spPr>
          <c:marker>
            <c:symbol val="triangle"/>
            <c:size val="5"/>
            <c:spPr>
              <a:solidFill>
                <a:schemeClr val="tx1"/>
              </a:solidFill>
              <a:ln w="9525">
                <a:noFill/>
              </a:ln>
              <a:effectLst/>
            </c:spPr>
          </c:marker>
          <c:xVal>
            <c:numRef>
              <c:f>('NO ACID'!$P$14:$P$15,'NO ACID'!$P$17:$P$20)</c:f>
              <c:numCache>
                <c:formatCode>General</c:formatCode>
                <c:ptCount val="6"/>
                <c:pt idx="0">
                  <c:v>0</c:v>
                </c:pt>
                <c:pt idx="1">
                  <c:v>0</c:v>
                </c:pt>
                <c:pt idx="2">
                  <c:v>1</c:v>
                </c:pt>
                <c:pt idx="3">
                  <c:v>3</c:v>
                </c:pt>
                <c:pt idx="4">
                  <c:v>6</c:v>
                </c:pt>
                <c:pt idx="5">
                  <c:v>10</c:v>
                </c:pt>
              </c:numCache>
            </c:numRef>
          </c:xVal>
          <c:yVal>
            <c:numRef>
              <c:f>('NO ACID'!$W$14:$W$15,'NO ACID'!$W$17:$W$20)</c:f>
              <c:numCache>
                <c:formatCode>General</c:formatCode>
                <c:ptCount val="6"/>
                <c:pt idx="0">
                  <c:v>3166.2097735293355</c:v>
                </c:pt>
                <c:pt idx="1">
                  <c:v>2699.4526647637058</c:v>
                </c:pt>
                <c:pt idx="2">
                  <c:v>944.6933562652448</c:v>
                </c:pt>
                <c:pt idx="3">
                  <c:v>708.64524193831994</c:v>
                </c:pt>
                <c:pt idx="4">
                  <c:v>1128.97859013832</c:v>
                </c:pt>
                <c:pt idx="5">
                  <c:v>1129.2495429750275</c:v>
                </c:pt>
              </c:numCache>
            </c:numRef>
          </c:yVal>
          <c:smooth val="0"/>
          <c:extLst>
            <c:ext xmlns:c16="http://schemas.microsoft.com/office/drawing/2014/chart" uri="{C3380CC4-5D6E-409C-BE32-E72D297353CC}">
              <c16:uniqueId val="{00000003-D647-435D-B673-5764B571CE64}"/>
            </c:ext>
          </c:extLst>
        </c:ser>
        <c:ser>
          <c:idx val="4"/>
          <c:order val="4"/>
          <c:tx>
            <c:strRef>
              <c:f>'NO ACID'!$Y$12:$Z$12</c:f>
              <c:strCache>
                <c:ptCount val="1"/>
                <c:pt idx="0">
                  <c:v>WS NH₄⁺-N</c:v>
                </c:pt>
              </c:strCache>
            </c:strRef>
          </c:tx>
          <c:spPr>
            <a:ln w="6350" cap="rnd">
              <a:solidFill>
                <a:schemeClr val="tx1"/>
              </a:solidFill>
              <a:prstDash val="dash"/>
              <a:round/>
            </a:ln>
            <a:effectLst/>
          </c:spPr>
          <c:marker>
            <c:symbol val="circle"/>
            <c:size val="5"/>
            <c:spPr>
              <a:noFill/>
              <a:ln w="9525">
                <a:solidFill>
                  <a:schemeClr val="tx1"/>
                </a:solidFill>
              </a:ln>
              <a:effectLst/>
            </c:spPr>
          </c:marker>
          <c:xVal>
            <c:numRef>
              <c:f>('NO ACID'!$P$14:$P$15,'NO ACID'!$P$17:$P$20)</c:f>
              <c:numCache>
                <c:formatCode>General</c:formatCode>
                <c:ptCount val="6"/>
                <c:pt idx="0">
                  <c:v>0</c:v>
                </c:pt>
                <c:pt idx="1">
                  <c:v>0</c:v>
                </c:pt>
                <c:pt idx="2">
                  <c:v>1</c:v>
                </c:pt>
                <c:pt idx="3">
                  <c:v>3</c:v>
                </c:pt>
                <c:pt idx="4">
                  <c:v>6</c:v>
                </c:pt>
                <c:pt idx="5">
                  <c:v>10</c:v>
                </c:pt>
              </c:numCache>
            </c:numRef>
          </c:xVal>
          <c:yVal>
            <c:numRef>
              <c:f>('NO ACID'!$Y$14:$Y$15,'NO ACID'!$Y$17:$Y$20)</c:f>
              <c:numCache>
                <c:formatCode>General</c:formatCode>
                <c:ptCount val="6"/>
                <c:pt idx="0">
                  <c:v>3110.0415196817335</c:v>
                </c:pt>
                <c:pt idx="1">
                  <c:v>1228.5256129020627</c:v>
                </c:pt>
                <c:pt idx="2">
                  <c:v>2028.3145648908758</c:v>
                </c:pt>
                <c:pt idx="3">
                  <c:v>1611.4739069090583</c:v>
                </c:pt>
                <c:pt idx="4">
                  <c:v>1300.4511426367612</c:v>
                </c:pt>
                <c:pt idx="5">
                  <c:v>1112.8049825638877</c:v>
                </c:pt>
              </c:numCache>
            </c:numRef>
          </c:yVal>
          <c:smooth val="0"/>
          <c:extLst>
            <c:ext xmlns:c16="http://schemas.microsoft.com/office/drawing/2014/chart" uri="{C3380CC4-5D6E-409C-BE32-E72D297353CC}">
              <c16:uniqueId val="{00000004-D647-435D-B673-5764B571CE64}"/>
            </c:ext>
          </c:extLst>
        </c:ser>
        <c:ser>
          <c:idx val="5"/>
          <c:order val="5"/>
          <c:tx>
            <c:strRef>
              <c:f>'NO ACID'!$AB$12:$AC$12</c:f>
              <c:strCache>
                <c:ptCount val="1"/>
                <c:pt idx="0">
                  <c:v>WS NO₃⁻-N</c:v>
                </c:pt>
              </c:strCache>
            </c:strRef>
          </c:tx>
          <c:spPr>
            <a:ln w="6350" cap="rnd">
              <a:solidFill>
                <a:schemeClr val="tx1"/>
              </a:solidFill>
              <a:prstDash val="dash"/>
              <a:round/>
            </a:ln>
            <a:effectLst/>
          </c:spPr>
          <c:marker>
            <c:symbol val="diamond"/>
            <c:size val="5"/>
            <c:spPr>
              <a:noFill/>
              <a:ln w="9525">
                <a:solidFill>
                  <a:schemeClr val="tx1"/>
                </a:solidFill>
              </a:ln>
              <a:effectLst/>
            </c:spPr>
          </c:marker>
          <c:xVal>
            <c:numRef>
              <c:f>('NO ACID'!$P$14:$P$15,'NO ACID'!$P$17:$P$20)</c:f>
              <c:numCache>
                <c:formatCode>General</c:formatCode>
                <c:ptCount val="6"/>
                <c:pt idx="0">
                  <c:v>0</c:v>
                </c:pt>
                <c:pt idx="1">
                  <c:v>0</c:v>
                </c:pt>
                <c:pt idx="2">
                  <c:v>1</c:v>
                </c:pt>
                <c:pt idx="3">
                  <c:v>3</c:v>
                </c:pt>
                <c:pt idx="4">
                  <c:v>6</c:v>
                </c:pt>
                <c:pt idx="5">
                  <c:v>10</c:v>
                </c:pt>
              </c:numCache>
            </c:numRef>
          </c:xVal>
          <c:yVal>
            <c:numRef>
              <c:f>('NO ACID'!$AB$14:$AB$15,'NO ACID'!$AB$17:$AB$20)</c:f>
              <c:numCache>
                <c:formatCode>General</c:formatCode>
                <c:ptCount val="6"/>
                <c:pt idx="0">
                  <c:v>22.139197635346299</c:v>
                </c:pt>
                <c:pt idx="1">
                  <c:v>6.3956639008215612</c:v>
                </c:pt>
                <c:pt idx="2">
                  <c:v>5.7708436592020576</c:v>
                </c:pt>
                <c:pt idx="3">
                  <c:v>5.5221533336267203</c:v>
                </c:pt>
                <c:pt idx="4">
                  <c:v>6.5172751217578071</c:v>
                </c:pt>
                <c:pt idx="5">
                  <c:v>6.2463222850504554</c:v>
                </c:pt>
              </c:numCache>
            </c:numRef>
          </c:yVal>
          <c:smooth val="0"/>
          <c:extLst>
            <c:ext xmlns:c16="http://schemas.microsoft.com/office/drawing/2014/chart" uri="{C3380CC4-5D6E-409C-BE32-E72D297353CC}">
              <c16:uniqueId val="{00000005-D647-435D-B673-5764B571CE64}"/>
            </c:ext>
          </c:extLst>
        </c:ser>
        <c:ser>
          <c:idx val="6"/>
          <c:order val="6"/>
          <c:tx>
            <c:strRef>
              <c:f>'NO ACID'!$AJ$12:$AK$12</c:f>
              <c:strCache>
                <c:ptCount val="1"/>
                <c:pt idx="0">
                  <c:v>NH₃-N</c:v>
                </c:pt>
              </c:strCache>
            </c:strRef>
          </c:tx>
          <c:spPr>
            <a:ln w="6350" cap="rnd">
              <a:solidFill>
                <a:schemeClr val="tx1"/>
              </a:solidFill>
              <a:prstDash val="dash"/>
              <a:round/>
            </a:ln>
            <a:effectLst/>
          </c:spPr>
          <c:marker>
            <c:symbol val="square"/>
            <c:size val="5"/>
            <c:spPr>
              <a:noFill/>
              <a:ln w="9525">
                <a:solidFill>
                  <a:schemeClr val="tx1"/>
                </a:solidFill>
              </a:ln>
              <a:effectLst/>
            </c:spPr>
          </c:marker>
          <c:xVal>
            <c:numRef>
              <c:f>('NO ACID'!$P$14:$P$15,'NO ACID'!$P$17:$P$20)</c:f>
              <c:numCache>
                <c:formatCode>General</c:formatCode>
                <c:ptCount val="6"/>
                <c:pt idx="0">
                  <c:v>0</c:v>
                </c:pt>
                <c:pt idx="1">
                  <c:v>0</c:v>
                </c:pt>
                <c:pt idx="2">
                  <c:v>1</c:v>
                </c:pt>
                <c:pt idx="3">
                  <c:v>3</c:v>
                </c:pt>
                <c:pt idx="4">
                  <c:v>6</c:v>
                </c:pt>
                <c:pt idx="5">
                  <c:v>10</c:v>
                </c:pt>
              </c:numCache>
            </c:numRef>
          </c:xVal>
          <c:yVal>
            <c:numRef>
              <c:f>('NO ACID'!$AK$14:$AK$15,'NO ACID'!$AK$17:$AK$20)</c:f>
              <c:numCache>
                <c:formatCode>General</c:formatCode>
                <c:ptCount val="6"/>
                <c:pt idx="0">
                  <c:v>0</c:v>
                </c:pt>
                <c:pt idx="1">
                  <c:v>2348.273015545301</c:v>
                </c:pt>
                <c:pt idx="2">
                  <c:v>3303.8681922965684</c:v>
                </c:pt>
                <c:pt idx="3">
                  <c:v>3957.0056549308861</c:v>
                </c:pt>
                <c:pt idx="4">
                  <c:v>4267.0332974150524</c:v>
                </c:pt>
                <c:pt idx="5">
                  <c:v>4454.6794574879259</c:v>
                </c:pt>
              </c:numCache>
            </c:numRef>
          </c:yVal>
          <c:smooth val="0"/>
          <c:extLst>
            <c:ext xmlns:c16="http://schemas.microsoft.com/office/drawing/2014/chart" uri="{C3380CC4-5D6E-409C-BE32-E72D297353CC}">
              <c16:uniqueId val="{00000006-D647-435D-B673-5764B571CE64}"/>
            </c:ext>
          </c:extLst>
        </c:ser>
        <c:ser>
          <c:idx val="7"/>
          <c:order val="7"/>
          <c:tx>
            <c:strRef>
              <c:f>'NO ACID'!$AD$12</c:f>
              <c:strCache>
                <c:ptCount val="1"/>
                <c:pt idx="0">
                  <c:v>N₂O-N</c:v>
                </c:pt>
              </c:strCache>
            </c:strRef>
          </c:tx>
          <c:spPr>
            <a:ln w="6350" cap="rnd">
              <a:solidFill>
                <a:schemeClr val="tx1"/>
              </a:solidFill>
              <a:prstDash val="dash"/>
              <a:round/>
            </a:ln>
            <a:effectLst/>
          </c:spPr>
          <c:marker>
            <c:symbol val="triangle"/>
            <c:size val="5"/>
            <c:spPr>
              <a:noFill/>
              <a:ln w="9525">
                <a:solidFill>
                  <a:schemeClr val="tx1"/>
                </a:solidFill>
              </a:ln>
              <a:effectLst/>
            </c:spPr>
          </c:marker>
          <c:xVal>
            <c:numRef>
              <c:f>('NO ACID'!$P$14:$P$15,'NO ACID'!$P$17:$P$20)</c:f>
              <c:numCache>
                <c:formatCode>General</c:formatCode>
                <c:ptCount val="6"/>
                <c:pt idx="0">
                  <c:v>0</c:v>
                </c:pt>
                <c:pt idx="1">
                  <c:v>0</c:v>
                </c:pt>
                <c:pt idx="2">
                  <c:v>1</c:v>
                </c:pt>
                <c:pt idx="3">
                  <c:v>3</c:v>
                </c:pt>
                <c:pt idx="4">
                  <c:v>6</c:v>
                </c:pt>
                <c:pt idx="5">
                  <c:v>10</c:v>
                </c:pt>
              </c:numCache>
            </c:numRef>
          </c:xVal>
          <c:yVal>
            <c:numRef>
              <c:f>('NO ACID'!$AD$14:$AD$15,'NO ACID'!$AD$17:$AD$20)</c:f>
              <c:numCache>
                <c:formatCode>General</c:formatCode>
                <c:ptCount val="6"/>
                <c:pt idx="0">
                  <c:v>0</c:v>
                </c:pt>
                <c:pt idx="1">
                  <c:v>15.743533734524739</c:v>
                </c:pt>
                <c:pt idx="2">
                  <c:v>15.743533734524739</c:v>
                </c:pt>
                <c:pt idx="3">
                  <c:v>15.743533734524739</c:v>
                </c:pt>
                <c:pt idx="4">
                  <c:v>15.743533734524739</c:v>
                </c:pt>
                <c:pt idx="5">
                  <c:v>15.743533734524739</c:v>
                </c:pt>
              </c:numCache>
            </c:numRef>
          </c:yVal>
          <c:smooth val="0"/>
          <c:extLst>
            <c:ext xmlns:c16="http://schemas.microsoft.com/office/drawing/2014/chart" uri="{C3380CC4-5D6E-409C-BE32-E72D297353CC}">
              <c16:uniqueId val="{00000007-D647-435D-B673-5764B571CE64}"/>
            </c:ext>
          </c:extLst>
        </c:ser>
        <c:dLbls>
          <c:showLegendKey val="0"/>
          <c:showVal val="0"/>
          <c:showCatName val="0"/>
          <c:showSerName val="0"/>
          <c:showPercent val="0"/>
          <c:showBubbleSize val="0"/>
        </c:dLbls>
        <c:axId val="607297832"/>
        <c:axId val="607288976"/>
      </c:scatterChart>
      <c:valAx>
        <c:axId val="607297832"/>
        <c:scaling>
          <c:orientation val="minMax"/>
          <c:max val="1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Incubation/(hours)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7288976"/>
        <c:crosses val="autoZero"/>
        <c:crossBetween val="midCat"/>
      </c:valAx>
      <c:valAx>
        <c:axId val="607288976"/>
        <c:scaling>
          <c:orientation val="minMax"/>
          <c:max val="70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mg N/kg blend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607297832"/>
        <c:crosses val="autoZero"/>
        <c:crossBetween val="midCat"/>
      </c:valAx>
      <c:spPr>
        <a:noFill/>
        <a:ln>
          <a:noFill/>
        </a:ln>
        <a:effectLst/>
      </c:spPr>
    </c:plotArea>
    <c:legend>
      <c:legendPos val="r"/>
      <c:layout>
        <c:manualLayout>
          <c:xMode val="edge"/>
          <c:yMode val="edge"/>
          <c:x val="0.17546733741615628"/>
          <c:y val="1.2375434393972525E-3"/>
          <c:w val="0.82249052201808104"/>
          <c:h val="0.2978292078131117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40986286984878"/>
          <c:y val="2.5722539515838787E-2"/>
          <c:w val="0.77333124252285645"/>
          <c:h val="0.76864269354865689"/>
        </c:manualLayout>
      </c:layout>
      <c:scatterChart>
        <c:scatterStyle val="lineMarker"/>
        <c:varyColors val="0"/>
        <c:ser>
          <c:idx val="0"/>
          <c:order val="0"/>
          <c:tx>
            <c:strRef>
              <c:f>'NO ACID'!$Q$12:$R$12</c:f>
              <c:strCache>
                <c:ptCount val="1"/>
                <c:pt idx="0">
                  <c:v>TNblend</c:v>
                </c:pt>
              </c:strCache>
            </c:strRef>
          </c:tx>
          <c:spPr>
            <a:ln w="6350" cap="rnd">
              <a:solidFill>
                <a:schemeClr val="tx1"/>
              </a:solidFill>
              <a:round/>
            </a:ln>
            <a:effectLst/>
          </c:spPr>
          <c:marker>
            <c:symbol val="circle"/>
            <c:size val="5"/>
            <c:spPr>
              <a:solidFill>
                <a:schemeClr val="tx1"/>
              </a:solidFill>
              <a:ln w="9525">
                <a:noFill/>
              </a:ln>
              <a:effectLst/>
            </c:spPr>
          </c:marker>
          <c:xVal>
            <c:numRef>
              <c:f>('NO ACID'!$P$26:$P$27,'NO ACID'!$P$29:$P$32)</c:f>
              <c:numCache>
                <c:formatCode>General</c:formatCode>
                <c:ptCount val="6"/>
                <c:pt idx="0">
                  <c:v>0</c:v>
                </c:pt>
                <c:pt idx="1">
                  <c:v>0</c:v>
                </c:pt>
                <c:pt idx="2">
                  <c:v>1</c:v>
                </c:pt>
                <c:pt idx="3">
                  <c:v>3</c:v>
                </c:pt>
                <c:pt idx="4">
                  <c:v>6</c:v>
                </c:pt>
                <c:pt idx="5">
                  <c:v>10</c:v>
                </c:pt>
              </c:numCache>
            </c:numRef>
          </c:xVal>
          <c:yVal>
            <c:numRef>
              <c:f>('NO ACID'!$Q$26:$Q$27,'NO ACID'!$Q$29:$Q$32)</c:f>
              <c:numCache>
                <c:formatCode>General</c:formatCode>
                <c:ptCount val="6"/>
                <c:pt idx="0">
                  <c:v>2923.0966447999999</c:v>
                </c:pt>
                <c:pt idx="1">
                  <c:v>2466.8853209249969</c:v>
                </c:pt>
                <c:pt idx="2">
                  <c:v>2421.5495392260314</c:v>
                </c:pt>
                <c:pt idx="3">
                  <c:v>2352.3010578095682</c:v>
                </c:pt>
                <c:pt idx="4">
                  <c:v>2071.0212957254821</c:v>
                </c:pt>
                <c:pt idx="5">
                  <c:v>2071.0212957254821</c:v>
                </c:pt>
              </c:numCache>
            </c:numRef>
          </c:yVal>
          <c:smooth val="0"/>
          <c:extLst>
            <c:ext xmlns:c16="http://schemas.microsoft.com/office/drawing/2014/chart" uri="{C3380CC4-5D6E-409C-BE32-E72D297353CC}">
              <c16:uniqueId val="{00000000-B86E-4684-AA54-2EA2D89A2D00}"/>
            </c:ext>
          </c:extLst>
        </c:ser>
        <c:ser>
          <c:idx val="1"/>
          <c:order val="1"/>
          <c:tx>
            <c:strRef>
              <c:f>'NO ACID'!$S$12:$T$12</c:f>
              <c:strCache>
                <c:ptCount val="1"/>
                <c:pt idx="0">
                  <c:v>WI TN</c:v>
                </c:pt>
              </c:strCache>
            </c:strRef>
          </c:tx>
          <c:spPr>
            <a:ln w="6350" cap="rnd">
              <a:solidFill>
                <a:schemeClr val="tx1"/>
              </a:solidFill>
              <a:round/>
            </a:ln>
            <a:effectLst/>
          </c:spPr>
          <c:marker>
            <c:symbol val="diamond"/>
            <c:size val="5"/>
            <c:spPr>
              <a:solidFill>
                <a:schemeClr val="tx1"/>
              </a:solidFill>
              <a:ln w="9525">
                <a:noFill/>
              </a:ln>
              <a:effectLst/>
            </c:spPr>
          </c:marker>
          <c:xVal>
            <c:numRef>
              <c:f>('NO ACID'!$P$14:$P$15,'NO ACID'!$P$17:$P$20)</c:f>
              <c:numCache>
                <c:formatCode>General</c:formatCode>
                <c:ptCount val="6"/>
                <c:pt idx="0">
                  <c:v>0</c:v>
                </c:pt>
                <c:pt idx="1">
                  <c:v>0</c:v>
                </c:pt>
                <c:pt idx="2">
                  <c:v>1</c:v>
                </c:pt>
                <c:pt idx="3">
                  <c:v>3</c:v>
                </c:pt>
                <c:pt idx="4">
                  <c:v>6</c:v>
                </c:pt>
                <c:pt idx="5">
                  <c:v>10</c:v>
                </c:pt>
              </c:numCache>
            </c:numRef>
          </c:xVal>
          <c:yVal>
            <c:numRef>
              <c:f>('NO ACID'!$S$26:$S$27,'NO ACID'!$S$29:$S$32)</c:f>
              <c:numCache>
                <c:formatCode>General</c:formatCode>
                <c:ptCount val="6"/>
                <c:pt idx="0">
                  <c:v>1477.1741264</c:v>
                </c:pt>
                <c:pt idx="1">
                  <c:v>1569.3365311254772</c:v>
                </c:pt>
                <c:pt idx="2">
                  <c:v>1569.3365311254772</c:v>
                </c:pt>
                <c:pt idx="3">
                  <c:v>1363.610565256982</c:v>
                </c:pt>
                <c:pt idx="4">
                  <c:v>1363.610565256982</c:v>
                </c:pt>
                <c:pt idx="5">
                  <c:v>1105.3246824564753</c:v>
                </c:pt>
              </c:numCache>
            </c:numRef>
          </c:yVal>
          <c:smooth val="0"/>
          <c:extLst>
            <c:ext xmlns:c16="http://schemas.microsoft.com/office/drawing/2014/chart" uri="{C3380CC4-5D6E-409C-BE32-E72D297353CC}">
              <c16:uniqueId val="{00000001-B86E-4684-AA54-2EA2D89A2D00}"/>
            </c:ext>
          </c:extLst>
        </c:ser>
        <c:ser>
          <c:idx val="2"/>
          <c:order val="2"/>
          <c:tx>
            <c:strRef>
              <c:f>'NO ACID'!$U$12:$V$12</c:f>
              <c:strCache>
                <c:ptCount val="1"/>
                <c:pt idx="0">
                  <c:v>WS TN</c:v>
                </c:pt>
              </c:strCache>
            </c:strRef>
          </c:tx>
          <c:spPr>
            <a:ln w="6350" cap="rnd">
              <a:solidFill>
                <a:schemeClr val="tx1"/>
              </a:solidFill>
              <a:round/>
            </a:ln>
            <a:effectLst/>
          </c:spPr>
          <c:marker>
            <c:symbol val="square"/>
            <c:size val="5"/>
            <c:spPr>
              <a:solidFill>
                <a:schemeClr val="tx1"/>
              </a:solidFill>
              <a:ln w="9525">
                <a:noFill/>
              </a:ln>
              <a:effectLst/>
            </c:spPr>
          </c:marker>
          <c:xVal>
            <c:numRef>
              <c:f>('NO ACID'!$P$14:$P$15,'NO ACID'!$P$17:$P$20)</c:f>
              <c:numCache>
                <c:formatCode>General</c:formatCode>
                <c:ptCount val="6"/>
                <c:pt idx="0">
                  <c:v>0</c:v>
                </c:pt>
                <c:pt idx="1">
                  <c:v>0</c:v>
                </c:pt>
                <c:pt idx="2">
                  <c:v>1</c:v>
                </c:pt>
                <c:pt idx="3">
                  <c:v>3</c:v>
                </c:pt>
                <c:pt idx="4">
                  <c:v>6</c:v>
                </c:pt>
                <c:pt idx="5">
                  <c:v>10</c:v>
                </c:pt>
              </c:numCache>
            </c:numRef>
          </c:xVal>
          <c:yVal>
            <c:numRef>
              <c:f>('NO ACID'!$U$26:$U$27,'NO ACID'!$U$29:$U$32)</c:f>
              <c:numCache>
                <c:formatCode>General</c:formatCode>
                <c:ptCount val="6"/>
                <c:pt idx="0">
                  <c:v>1445.9225183999997</c:v>
                </c:pt>
                <c:pt idx="1">
                  <c:v>897.54878979951957</c:v>
                </c:pt>
                <c:pt idx="2">
                  <c:v>852.21300810055413</c:v>
                </c:pt>
                <c:pt idx="3">
                  <c:v>988.69049255258619</c:v>
                </c:pt>
                <c:pt idx="4">
                  <c:v>707.41073046849999</c:v>
                </c:pt>
                <c:pt idx="5">
                  <c:v>965.69661326900655</c:v>
                </c:pt>
              </c:numCache>
            </c:numRef>
          </c:yVal>
          <c:smooth val="0"/>
          <c:extLst>
            <c:ext xmlns:c16="http://schemas.microsoft.com/office/drawing/2014/chart" uri="{C3380CC4-5D6E-409C-BE32-E72D297353CC}">
              <c16:uniqueId val="{00000002-B86E-4684-AA54-2EA2D89A2D00}"/>
            </c:ext>
          </c:extLst>
        </c:ser>
        <c:ser>
          <c:idx val="3"/>
          <c:order val="3"/>
          <c:tx>
            <c:strRef>
              <c:f>'NO ACID'!$W$12:$X$12</c:f>
              <c:strCache>
                <c:ptCount val="1"/>
                <c:pt idx="0">
                  <c:v>WS Norg</c:v>
                </c:pt>
              </c:strCache>
            </c:strRef>
          </c:tx>
          <c:spPr>
            <a:ln w="6350" cap="rnd">
              <a:solidFill>
                <a:schemeClr val="tx1"/>
              </a:solidFill>
              <a:round/>
            </a:ln>
            <a:effectLst/>
          </c:spPr>
          <c:marker>
            <c:symbol val="triangle"/>
            <c:size val="5"/>
            <c:spPr>
              <a:solidFill>
                <a:schemeClr val="tx1"/>
              </a:solidFill>
              <a:ln w="9525">
                <a:noFill/>
              </a:ln>
              <a:effectLst/>
            </c:spPr>
          </c:marker>
          <c:xVal>
            <c:numRef>
              <c:f>('NO ACID'!$P$14:$P$15,'NO ACID'!$P$17:$P$20)</c:f>
              <c:numCache>
                <c:formatCode>General</c:formatCode>
                <c:ptCount val="6"/>
                <c:pt idx="0">
                  <c:v>0</c:v>
                </c:pt>
                <c:pt idx="1">
                  <c:v>0</c:v>
                </c:pt>
                <c:pt idx="2">
                  <c:v>1</c:v>
                </c:pt>
                <c:pt idx="3">
                  <c:v>3</c:v>
                </c:pt>
                <c:pt idx="4">
                  <c:v>6</c:v>
                </c:pt>
                <c:pt idx="5">
                  <c:v>10</c:v>
                </c:pt>
              </c:numCache>
            </c:numRef>
          </c:xVal>
          <c:yVal>
            <c:numRef>
              <c:f>('NO ACID'!$W$26:$W$27,'NO ACID'!$W$29:$W$32)</c:f>
              <c:numCache>
                <c:formatCode>General</c:formatCode>
                <c:ptCount val="6"/>
                <c:pt idx="0">
                  <c:v>756.77913389912874</c:v>
                </c:pt>
                <c:pt idx="1">
                  <c:v>664.61672917365149</c:v>
                </c:pt>
                <c:pt idx="2">
                  <c:v>590.9252696854353</c:v>
                </c:pt>
                <c:pt idx="3">
                  <c:v>796.65123555393052</c:v>
                </c:pt>
                <c:pt idx="4">
                  <c:v>503.32140065577465</c:v>
                </c:pt>
                <c:pt idx="5">
                  <c:v>531.23883391744948</c:v>
                </c:pt>
              </c:numCache>
            </c:numRef>
          </c:yVal>
          <c:smooth val="0"/>
          <c:extLst>
            <c:ext xmlns:c16="http://schemas.microsoft.com/office/drawing/2014/chart" uri="{C3380CC4-5D6E-409C-BE32-E72D297353CC}">
              <c16:uniqueId val="{00000003-B86E-4684-AA54-2EA2D89A2D00}"/>
            </c:ext>
          </c:extLst>
        </c:ser>
        <c:ser>
          <c:idx val="4"/>
          <c:order val="4"/>
          <c:tx>
            <c:strRef>
              <c:f>'NO ACID'!$Y$12:$Z$12</c:f>
              <c:strCache>
                <c:ptCount val="1"/>
                <c:pt idx="0">
                  <c:v>WS NH₄⁺-N</c:v>
                </c:pt>
              </c:strCache>
            </c:strRef>
          </c:tx>
          <c:spPr>
            <a:ln w="6350" cap="rnd">
              <a:solidFill>
                <a:schemeClr val="tx1"/>
              </a:solidFill>
              <a:prstDash val="dash"/>
              <a:round/>
            </a:ln>
            <a:effectLst/>
          </c:spPr>
          <c:marker>
            <c:symbol val="circle"/>
            <c:size val="5"/>
            <c:spPr>
              <a:noFill/>
              <a:ln w="9525">
                <a:solidFill>
                  <a:schemeClr val="tx1"/>
                </a:solidFill>
              </a:ln>
              <a:effectLst/>
            </c:spPr>
          </c:marker>
          <c:xVal>
            <c:numRef>
              <c:f>('NO ACID'!$P$14:$P$15,'NO ACID'!$P$17:$P$20)</c:f>
              <c:numCache>
                <c:formatCode>General</c:formatCode>
                <c:ptCount val="6"/>
                <c:pt idx="0">
                  <c:v>0</c:v>
                </c:pt>
                <c:pt idx="1">
                  <c:v>0</c:v>
                </c:pt>
                <c:pt idx="2">
                  <c:v>1</c:v>
                </c:pt>
                <c:pt idx="3">
                  <c:v>3</c:v>
                </c:pt>
                <c:pt idx="4">
                  <c:v>6</c:v>
                </c:pt>
                <c:pt idx="5">
                  <c:v>10</c:v>
                </c:pt>
              </c:numCache>
            </c:numRef>
          </c:xVal>
          <c:yVal>
            <c:numRef>
              <c:f>('NO ACID'!$Y$26:$Y$27,'NO ACID'!$Y$29:$Y$32)</c:f>
              <c:numCache>
                <c:formatCode>General</c:formatCode>
                <c:ptCount val="6"/>
                <c:pt idx="0">
                  <c:v>616.21622698950785</c:v>
                </c:pt>
                <c:pt idx="1">
                  <c:v>217.16356999937852</c:v>
                </c:pt>
                <c:pt idx="2">
                  <c:v>245.83727959748808</c:v>
                </c:pt>
                <c:pt idx="3">
                  <c:v>176.83198662465293</c:v>
                </c:pt>
                <c:pt idx="4">
                  <c:v>188.54760098671315</c:v>
                </c:pt>
                <c:pt idx="5">
                  <c:v>418.81565752653466</c:v>
                </c:pt>
              </c:numCache>
            </c:numRef>
          </c:yVal>
          <c:smooth val="0"/>
          <c:extLst>
            <c:ext xmlns:c16="http://schemas.microsoft.com/office/drawing/2014/chart" uri="{C3380CC4-5D6E-409C-BE32-E72D297353CC}">
              <c16:uniqueId val="{00000004-B86E-4684-AA54-2EA2D89A2D00}"/>
            </c:ext>
          </c:extLst>
        </c:ser>
        <c:ser>
          <c:idx val="5"/>
          <c:order val="5"/>
          <c:tx>
            <c:strRef>
              <c:f>'NO ACID'!$AB$12:$AC$12</c:f>
              <c:strCache>
                <c:ptCount val="1"/>
                <c:pt idx="0">
                  <c:v>WS NO₃⁻-N</c:v>
                </c:pt>
              </c:strCache>
            </c:strRef>
          </c:tx>
          <c:spPr>
            <a:ln w="6350" cap="rnd">
              <a:solidFill>
                <a:schemeClr val="tx1"/>
              </a:solidFill>
              <a:prstDash val="dash"/>
              <a:round/>
            </a:ln>
            <a:effectLst/>
          </c:spPr>
          <c:marker>
            <c:symbol val="diamond"/>
            <c:size val="5"/>
            <c:spPr>
              <a:noFill/>
              <a:ln w="9525">
                <a:solidFill>
                  <a:schemeClr val="tx1"/>
                </a:solidFill>
              </a:ln>
              <a:effectLst/>
            </c:spPr>
          </c:marker>
          <c:xVal>
            <c:numRef>
              <c:f>('NO ACID'!$P$14:$P$15,'NO ACID'!$P$17:$P$20)</c:f>
              <c:numCache>
                <c:formatCode>General</c:formatCode>
                <c:ptCount val="6"/>
                <c:pt idx="0">
                  <c:v>0</c:v>
                </c:pt>
                <c:pt idx="1">
                  <c:v>0</c:v>
                </c:pt>
                <c:pt idx="2">
                  <c:v>1</c:v>
                </c:pt>
                <c:pt idx="3">
                  <c:v>3</c:v>
                </c:pt>
                <c:pt idx="4">
                  <c:v>6</c:v>
                </c:pt>
                <c:pt idx="5">
                  <c:v>10</c:v>
                </c:pt>
              </c:numCache>
            </c:numRef>
          </c:xVal>
          <c:yVal>
            <c:numRef>
              <c:f>('NO ACID'!$AB$26:$AB$27,'NO ACID'!$AB$29:$AB$32)</c:f>
              <c:numCache>
                <c:formatCode>General</c:formatCode>
                <c:ptCount val="6"/>
                <c:pt idx="0">
                  <c:v>63.500252851225937</c:v>
                </c:pt>
                <c:pt idx="1">
                  <c:v>6.3415859663523007</c:v>
                </c:pt>
                <c:pt idx="2">
                  <c:v>6.0235541574934732</c:v>
                </c:pt>
                <c:pt idx="3">
                  <c:v>5.7803657138654039</c:v>
                </c:pt>
                <c:pt idx="4">
                  <c:v>6.1148241658748628</c:v>
                </c:pt>
                <c:pt idx="5">
                  <c:v>6.215217164885126</c:v>
                </c:pt>
              </c:numCache>
            </c:numRef>
          </c:yVal>
          <c:smooth val="0"/>
          <c:extLst>
            <c:ext xmlns:c16="http://schemas.microsoft.com/office/drawing/2014/chart" uri="{C3380CC4-5D6E-409C-BE32-E72D297353CC}">
              <c16:uniqueId val="{00000005-B86E-4684-AA54-2EA2D89A2D00}"/>
            </c:ext>
          </c:extLst>
        </c:ser>
        <c:ser>
          <c:idx val="6"/>
          <c:order val="6"/>
          <c:tx>
            <c:strRef>
              <c:f>'NO ACID'!$AJ$12:$AK$12</c:f>
              <c:strCache>
                <c:ptCount val="1"/>
                <c:pt idx="0">
                  <c:v>NH₃-N</c:v>
                </c:pt>
              </c:strCache>
            </c:strRef>
          </c:tx>
          <c:spPr>
            <a:ln w="6350" cap="rnd">
              <a:solidFill>
                <a:schemeClr val="tx1"/>
              </a:solidFill>
              <a:prstDash val="dash"/>
              <a:round/>
            </a:ln>
            <a:effectLst/>
          </c:spPr>
          <c:marker>
            <c:symbol val="square"/>
            <c:size val="5"/>
            <c:spPr>
              <a:noFill/>
              <a:ln w="9525">
                <a:solidFill>
                  <a:schemeClr val="tx1"/>
                </a:solidFill>
              </a:ln>
              <a:effectLst/>
            </c:spPr>
          </c:marker>
          <c:xVal>
            <c:numRef>
              <c:f>('NO ACID'!$P$26:$P$27,'NO ACID'!$P$29:$P$32)</c:f>
              <c:numCache>
                <c:formatCode>General</c:formatCode>
                <c:ptCount val="6"/>
                <c:pt idx="0">
                  <c:v>0</c:v>
                </c:pt>
                <c:pt idx="1">
                  <c:v>0</c:v>
                </c:pt>
                <c:pt idx="2">
                  <c:v>1</c:v>
                </c:pt>
                <c:pt idx="3">
                  <c:v>3</c:v>
                </c:pt>
                <c:pt idx="4">
                  <c:v>6</c:v>
                </c:pt>
                <c:pt idx="5">
                  <c:v>10</c:v>
                </c:pt>
              </c:numCache>
            </c:numRef>
          </c:xVal>
          <c:yVal>
            <c:numRef>
              <c:f>('NO ACID'!$AK$26:$AK$27,'NO ACID'!$AK$29:$AK$32)</c:f>
              <c:numCache>
                <c:formatCode>General</c:formatCode>
                <c:ptCount val="6"/>
                <c:pt idx="0">
                  <c:v>0</c:v>
                </c:pt>
                <c:pt idx="1">
                  <c:v>399.05265699012932</c:v>
                </c:pt>
                <c:pt idx="2">
                  <c:v>444.38843868909476</c:v>
                </c:pt>
                <c:pt idx="3">
                  <c:v>513.63692010555792</c:v>
                </c:pt>
                <c:pt idx="4">
                  <c:v>794.91668218964423</c:v>
                </c:pt>
                <c:pt idx="5">
                  <c:v>794.91668218964423</c:v>
                </c:pt>
              </c:numCache>
            </c:numRef>
          </c:yVal>
          <c:smooth val="0"/>
          <c:extLst>
            <c:ext xmlns:c16="http://schemas.microsoft.com/office/drawing/2014/chart" uri="{C3380CC4-5D6E-409C-BE32-E72D297353CC}">
              <c16:uniqueId val="{00000006-B86E-4684-AA54-2EA2D89A2D00}"/>
            </c:ext>
          </c:extLst>
        </c:ser>
        <c:ser>
          <c:idx val="7"/>
          <c:order val="7"/>
          <c:tx>
            <c:strRef>
              <c:f>'NO ACID'!$AD$24</c:f>
              <c:strCache>
                <c:ptCount val="1"/>
                <c:pt idx="0">
                  <c:v>N₂O-N</c:v>
                </c:pt>
              </c:strCache>
            </c:strRef>
          </c:tx>
          <c:spPr>
            <a:ln w="6350" cap="rnd">
              <a:solidFill>
                <a:schemeClr val="tx1"/>
              </a:solidFill>
              <a:prstDash val="dash"/>
              <a:round/>
            </a:ln>
            <a:effectLst/>
          </c:spPr>
          <c:marker>
            <c:symbol val="triangle"/>
            <c:size val="5"/>
            <c:spPr>
              <a:noFill/>
              <a:ln w="9525">
                <a:solidFill>
                  <a:schemeClr val="tx1"/>
                </a:solidFill>
              </a:ln>
              <a:effectLst/>
            </c:spPr>
          </c:marker>
          <c:xVal>
            <c:numRef>
              <c:f>('NO ACID'!$P$26:$P$27,'NO ACID'!$P$29:$P$32)</c:f>
              <c:numCache>
                <c:formatCode>General</c:formatCode>
                <c:ptCount val="6"/>
                <c:pt idx="0">
                  <c:v>0</c:v>
                </c:pt>
                <c:pt idx="1">
                  <c:v>0</c:v>
                </c:pt>
                <c:pt idx="2">
                  <c:v>1</c:v>
                </c:pt>
                <c:pt idx="3">
                  <c:v>3</c:v>
                </c:pt>
                <c:pt idx="4">
                  <c:v>6</c:v>
                </c:pt>
                <c:pt idx="5">
                  <c:v>10</c:v>
                </c:pt>
              </c:numCache>
            </c:numRef>
          </c:xVal>
          <c:yVal>
            <c:numRef>
              <c:f>('NO ACID'!$AD$26:$AD$27,'NO ACID'!$AD$29:$AD$32)</c:f>
              <c:numCache>
                <c:formatCode>General</c:formatCode>
                <c:ptCount val="6"/>
                <c:pt idx="0">
                  <c:v>0</c:v>
                </c:pt>
                <c:pt idx="1">
                  <c:v>57.158666884873639</c:v>
                </c:pt>
                <c:pt idx="2">
                  <c:v>57.158666884873639</c:v>
                </c:pt>
                <c:pt idx="3">
                  <c:v>57.158666884873639</c:v>
                </c:pt>
                <c:pt idx="4">
                  <c:v>57.158666884873639</c:v>
                </c:pt>
                <c:pt idx="5">
                  <c:v>57.158666884873639</c:v>
                </c:pt>
              </c:numCache>
            </c:numRef>
          </c:yVal>
          <c:smooth val="0"/>
          <c:extLst>
            <c:ext xmlns:c16="http://schemas.microsoft.com/office/drawing/2014/chart" uri="{C3380CC4-5D6E-409C-BE32-E72D297353CC}">
              <c16:uniqueId val="{00000007-B86E-4684-AA54-2EA2D89A2D00}"/>
            </c:ext>
          </c:extLst>
        </c:ser>
        <c:dLbls>
          <c:showLegendKey val="0"/>
          <c:showVal val="0"/>
          <c:showCatName val="0"/>
          <c:showSerName val="0"/>
          <c:showPercent val="0"/>
          <c:showBubbleSize val="0"/>
        </c:dLbls>
        <c:axId val="607297832"/>
        <c:axId val="607288976"/>
      </c:scatterChart>
      <c:valAx>
        <c:axId val="607297832"/>
        <c:scaling>
          <c:orientation val="minMax"/>
          <c:max val="1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Incubation/(hours)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288976"/>
        <c:crosses val="autoZero"/>
        <c:crossBetween val="midCat"/>
      </c:valAx>
      <c:valAx>
        <c:axId val="607288976"/>
        <c:scaling>
          <c:orientation val="minMax"/>
          <c:max val="30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mg N/kg blend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07297832"/>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25320555473295"/>
          <c:y val="4.1201339862059337E-2"/>
          <c:w val="0.74547305009868303"/>
          <c:h val="0.74838855999720866"/>
        </c:manualLayout>
      </c:layout>
      <c:scatterChart>
        <c:scatterStyle val="lineMarker"/>
        <c:varyColors val="0"/>
        <c:ser>
          <c:idx val="0"/>
          <c:order val="0"/>
          <c:tx>
            <c:strRef>
              <c:f>'NO ACID'!$A$75</c:f>
              <c:strCache>
                <c:ptCount val="1"/>
                <c:pt idx="0">
                  <c:v>Blend 1</c:v>
                </c:pt>
              </c:strCache>
            </c:strRef>
          </c:tx>
          <c:spPr>
            <a:ln w="6350" cap="rnd">
              <a:solidFill>
                <a:schemeClr val="tx1"/>
              </a:solidFill>
              <a:round/>
            </a:ln>
            <a:effectLst/>
          </c:spPr>
          <c:marker>
            <c:symbol val="circle"/>
            <c:size val="5"/>
            <c:spPr>
              <a:solidFill>
                <a:schemeClr val="tx1"/>
              </a:solidFill>
              <a:ln w="9525">
                <a:noFill/>
              </a:ln>
              <a:effectLst/>
            </c:spPr>
          </c:marker>
          <c:xVal>
            <c:numRef>
              <c:f>'NO ACID'!$N$8:$N$11</c:f>
              <c:numCache>
                <c:formatCode>General</c:formatCode>
                <c:ptCount val="4"/>
                <c:pt idx="0">
                  <c:v>1</c:v>
                </c:pt>
                <c:pt idx="1">
                  <c:v>3</c:v>
                </c:pt>
                <c:pt idx="2">
                  <c:v>6</c:v>
                </c:pt>
                <c:pt idx="3">
                  <c:v>10</c:v>
                </c:pt>
              </c:numCache>
            </c:numRef>
          </c:xVal>
          <c:yVal>
            <c:numRef>
              <c:f>'NO ACID'!$AG$8:$AG$11</c:f>
              <c:numCache>
                <c:formatCode>General</c:formatCode>
                <c:ptCount val="4"/>
                <c:pt idx="0">
                  <c:v>955.59517675126745</c:v>
                </c:pt>
                <c:pt idx="1">
                  <c:v>326.56873131715884</c:v>
                </c:pt>
                <c:pt idx="2">
                  <c:v>103.34254749472196</c:v>
                </c:pt>
                <c:pt idx="3">
                  <c:v>46.911540018218602</c:v>
                </c:pt>
              </c:numCache>
            </c:numRef>
          </c:yVal>
          <c:smooth val="0"/>
          <c:extLst>
            <c:ext xmlns:c16="http://schemas.microsoft.com/office/drawing/2014/chart" uri="{C3380CC4-5D6E-409C-BE32-E72D297353CC}">
              <c16:uniqueId val="{00000000-53D4-4408-8C59-9FCA31592550}"/>
            </c:ext>
          </c:extLst>
        </c:ser>
        <c:ser>
          <c:idx val="1"/>
          <c:order val="1"/>
          <c:tx>
            <c:strRef>
              <c:f>'NO ACID'!$A$76</c:f>
              <c:strCache>
                <c:ptCount val="1"/>
                <c:pt idx="0">
                  <c:v>Blend 2</c:v>
                </c:pt>
              </c:strCache>
            </c:strRef>
          </c:tx>
          <c:spPr>
            <a:ln w="6350" cap="rnd">
              <a:solidFill>
                <a:schemeClr val="tx1"/>
              </a:solidFill>
              <a:prstDash val="dash"/>
              <a:round/>
            </a:ln>
            <a:effectLst/>
          </c:spPr>
          <c:marker>
            <c:symbol val="triangle"/>
            <c:size val="5"/>
            <c:spPr>
              <a:solidFill>
                <a:schemeClr val="tx1"/>
              </a:solidFill>
              <a:ln w="9525">
                <a:noFill/>
              </a:ln>
              <a:effectLst/>
            </c:spPr>
          </c:marker>
          <c:xVal>
            <c:numRef>
              <c:f>'NO ACID'!$N$20:$N$23</c:f>
              <c:numCache>
                <c:formatCode>General</c:formatCode>
                <c:ptCount val="4"/>
                <c:pt idx="0">
                  <c:v>1</c:v>
                </c:pt>
                <c:pt idx="1">
                  <c:v>3</c:v>
                </c:pt>
                <c:pt idx="2">
                  <c:v>6</c:v>
                </c:pt>
                <c:pt idx="3">
                  <c:v>10</c:v>
                </c:pt>
              </c:numCache>
            </c:numRef>
          </c:xVal>
          <c:yVal>
            <c:numRef>
              <c:f>'NO ACID'!$AG$20:$AG$23</c:f>
              <c:numCache>
                <c:formatCode>General</c:formatCode>
                <c:ptCount val="4"/>
                <c:pt idx="0">
                  <c:v>45.335781698965434</c:v>
                </c:pt>
                <c:pt idx="1">
                  <c:v>34.624240708231611</c:v>
                </c:pt>
                <c:pt idx="2">
                  <c:v>93.759920694695396</c:v>
                </c:pt>
                <c:pt idx="3">
                  <c:v>0</c:v>
                </c:pt>
              </c:numCache>
            </c:numRef>
          </c:yVal>
          <c:smooth val="0"/>
          <c:extLst>
            <c:ext xmlns:c16="http://schemas.microsoft.com/office/drawing/2014/chart" uri="{C3380CC4-5D6E-409C-BE32-E72D297353CC}">
              <c16:uniqueId val="{00000001-53D4-4408-8C59-9FCA31592550}"/>
            </c:ext>
          </c:extLst>
        </c:ser>
        <c:dLbls>
          <c:showLegendKey val="0"/>
          <c:showVal val="0"/>
          <c:showCatName val="0"/>
          <c:showSerName val="0"/>
          <c:showPercent val="0"/>
          <c:showBubbleSize val="0"/>
        </c:dLbls>
        <c:axId val="853409440"/>
        <c:axId val="853408456"/>
      </c:scatterChart>
      <c:valAx>
        <c:axId val="853409440"/>
        <c:scaling>
          <c:orientation val="minMax"/>
          <c:max val="10"/>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Incubation/(hours)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408456"/>
        <c:crosses val="autoZero"/>
        <c:crossBetween val="midCat"/>
        <c:majorUnit val="2"/>
      </c:valAx>
      <c:valAx>
        <c:axId val="853408456"/>
        <c:scaling>
          <c:orientation val="minMax"/>
          <c:max val="100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mg NH</a:t>
                </a:r>
                <a:r>
                  <a:rPr lang="en-US" baseline="-25000"/>
                  <a:t>3</a:t>
                </a:r>
                <a:r>
                  <a:rPr lang="en-US"/>
                  <a:t>-N/kg blend/hour</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53409440"/>
        <c:crosses val="autoZero"/>
        <c:crossBetween val="midCat"/>
      </c:valAx>
      <c:spPr>
        <a:noFill/>
        <a:ln>
          <a:noFill/>
        </a:ln>
        <a:effectLst/>
      </c:spPr>
    </c:plotArea>
    <c:legend>
      <c:legendPos val="r"/>
      <c:layout>
        <c:manualLayout>
          <c:xMode val="edge"/>
          <c:yMode val="edge"/>
          <c:x val="0.54506782224704653"/>
          <c:y val="0.16385188167899306"/>
          <c:w val="0.32979886678649817"/>
          <c:h val="0.1882125701127151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0.88338</cdr:y>
    </cdr:from>
    <cdr:to>
      <cdr:x>0.13439</cdr:x>
      <cdr:y>1</cdr:y>
    </cdr:to>
    <cdr:sp macro="" textlink="">
      <cdr:nvSpPr>
        <cdr:cNvPr id="2" name="Text Box 1"/>
        <cdr:cNvSpPr txBox="1"/>
      </cdr:nvSpPr>
      <cdr:spPr>
        <a:xfrm xmlns:a="http://schemas.openxmlformats.org/drawingml/2006/main">
          <a:off x="-989463" y="1705847"/>
          <a:ext cx="354840" cy="2251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latin typeface="Times New Roman" panose="02020603050405020304" pitchFamily="18" charset="0"/>
              <a:cs typeface="Times New Roman" panose="02020603050405020304" pitchFamily="18" charset="0"/>
            </a:rPr>
            <a:t>(a)</a:t>
          </a:r>
        </a:p>
      </cdr:txBody>
    </cdr:sp>
  </cdr:relSizeAnchor>
</c:userShapes>
</file>

<file path=word/drawings/drawing10.xml><?xml version="1.0" encoding="utf-8"?>
<c:userShapes xmlns:c="http://schemas.openxmlformats.org/drawingml/2006/chart">
  <cdr:relSizeAnchor xmlns:cdr="http://schemas.openxmlformats.org/drawingml/2006/chartDrawing">
    <cdr:from>
      <cdr:x>0</cdr:x>
      <cdr:y>0.86111</cdr:y>
    </cdr:from>
    <cdr:to>
      <cdr:x>0.12502</cdr:x>
      <cdr:y>1</cdr:y>
    </cdr:to>
    <cdr:sp macro="" textlink="">
      <cdr:nvSpPr>
        <cdr:cNvPr id="2" name="Text Box 1"/>
        <cdr:cNvSpPr txBox="1"/>
      </cdr:nvSpPr>
      <cdr:spPr>
        <a:xfrm xmlns:a="http://schemas.openxmlformats.org/drawingml/2006/main">
          <a:off x="0" y="1480744"/>
          <a:ext cx="334370" cy="23883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latin typeface="Times New Roman" panose="02020603050405020304" pitchFamily="18" charset="0"/>
              <a:cs typeface="Times New Roman" panose="02020603050405020304" pitchFamily="18" charset="0"/>
            </a:rPr>
            <a:t>(b)</a:t>
          </a:r>
        </a:p>
      </cdr:txBody>
    </cdr:sp>
  </cdr:relSizeAnchor>
</c:userShapes>
</file>

<file path=word/drawings/drawing2.xml><?xml version="1.0" encoding="utf-8"?>
<c:userShapes xmlns:c="http://schemas.openxmlformats.org/drawingml/2006/chart">
  <cdr:relSizeAnchor xmlns:cdr="http://schemas.openxmlformats.org/drawingml/2006/chartDrawing">
    <cdr:from>
      <cdr:x>0.01975</cdr:x>
      <cdr:y>0.88338</cdr:y>
    </cdr:from>
    <cdr:to>
      <cdr:x>0.15769</cdr:x>
      <cdr:y>1</cdr:y>
    </cdr:to>
    <cdr:sp macro="" textlink="">
      <cdr:nvSpPr>
        <cdr:cNvPr id="2" name="Text Box 1"/>
        <cdr:cNvSpPr txBox="1"/>
      </cdr:nvSpPr>
      <cdr:spPr>
        <a:xfrm xmlns:a="http://schemas.openxmlformats.org/drawingml/2006/main">
          <a:off x="50800" y="1756647"/>
          <a:ext cx="354840" cy="2251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latin typeface="Times New Roman" panose="02020603050405020304" pitchFamily="18" charset="0"/>
              <a:cs typeface="Times New Roman" panose="02020603050405020304" pitchFamily="18" charset="0"/>
            </a:rPr>
            <a:t>(b)</a:t>
          </a: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0.89455</cdr:y>
    </cdr:from>
    <cdr:to>
      <cdr:x>0.13133</cdr:x>
      <cdr:y>1</cdr:y>
    </cdr:to>
    <cdr:sp macro="" textlink="">
      <cdr:nvSpPr>
        <cdr:cNvPr id="2" name="Text Box 1"/>
        <cdr:cNvSpPr txBox="1"/>
      </cdr:nvSpPr>
      <cdr:spPr>
        <a:xfrm xmlns:a="http://schemas.openxmlformats.org/drawingml/2006/main">
          <a:off x="-989463" y="1910317"/>
          <a:ext cx="354840" cy="2251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latin typeface="Times New Roman" panose="02020603050405020304" pitchFamily="18" charset="0"/>
              <a:cs typeface="Times New Roman" panose="02020603050405020304" pitchFamily="18" charset="0"/>
            </a:rPr>
            <a:t>(a)</a:t>
          </a: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0.89354</cdr:y>
    </cdr:from>
    <cdr:to>
      <cdr:x>0.13302</cdr:x>
      <cdr:y>1</cdr:y>
    </cdr:to>
    <cdr:sp macro="" textlink="">
      <cdr:nvSpPr>
        <cdr:cNvPr id="2" name="Text Box 1"/>
        <cdr:cNvSpPr txBox="1"/>
      </cdr:nvSpPr>
      <cdr:spPr>
        <a:xfrm xmlns:a="http://schemas.openxmlformats.org/drawingml/2006/main">
          <a:off x="-3848669" y="1889997"/>
          <a:ext cx="354840" cy="2251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latin typeface="Times New Roman" panose="02020603050405020304" pitchFamily="18" charset="0"/>
              <a:cs typeface="Times New Roman" panose="02020603050405020304" pitchFamily="18" charset="0"/>
            </a:rPr>
            <a:t>(b)</a:t>
          </a: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0.84812</cdr:y>
    </cdr:from>
    <cdr:to>
      <cdr:x>0.12505</cdr:x>
      <cdr:y>1</cdr:y>
    </cdr:to>
    <cdr:sp macro="" textlink="">
      <cdr:nvSpPr>
        <cdr:cNvPr id="2" name="Text Box 1"/>
        <cdr:cNvSpPr txBox="1"/>
      </cdr:nvSpPr>
      <cdr:spPr>
        <a:xfrm xmlns:a="http://schemas.openxmlformats.org/drawingml/2006/main">
          <a:off x="-989463" y="1562352"/>
          <a:ext cx="334382" cy="27978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latin typeface="Times New Roman" panose="02020603050405020304" pitchFamily="18" charset="0"/>
              <a:cs typeface="Times New Roman" panose="02020603050405020304" pitchFamily="18" charset="0"/>
            </a:rPr>
            <a:t>(a)</a:t>
          </a:r>
        </a:p>
      </cdr:txBody>
    </cdr:sp>
  </cdr:relSizeAnchor>
</c:userShapes>
</file>

<file path=word/drawings/drawing6.xml><?xml version="1.0" encoding="utf-8"?>
<c:userShapes xmlns:c="http://schemas.openxmlformats.org/drawingml/2006/chart">
  <cdr:relSizeAnchor xmlns:cdr="http://schemas.openxmlformats.org/drawingml/2006/chartDrawing">
    <cdr:from>
      <cdr:x>0.01808</cdr:x>
      <cdr:y>0.87864</cdr:y>
    </cdr:from>
    <cdr:to>
      <cdr:x>0.14433</cdr:x>
      <cdr:y>1</cdr:y>
    </cdr:to>
    <cdr:sp macro="" textlink="">
      <cdr:nvSpPr>
        <cdr:cNvPr id="2" name="Text Box 1"/>
        <cdr:cNvSpPr txBox="1"/>
      </cdr:nvSpPr>
      <cdr:spPr>
        <a:xfrm xmlns:a="http://schemas.openxmlformats.org/drawingml/2006/main">
          <a:off x="50800" y="1756647"/>
          <a:ext cx="354840" cy="22518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latin typeface="Times New Roman" panose="02020603050405020304" pitchFamily="18" charset="0"/>
              <a:cs typeface="Times New Roman" panose="02020603050405020304" pitchFamily="18" charset="0"/>
            </a:rPr>
            <a:t>(b)</a:t>
          </a: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0.82769</cdr:y>
    </cdr:from>
    <cdr:to>
      <cdr:x>0.12189</cdr:x>
      <cdr:y>1</cdr:y>
    </cdr:to>
    <cdr:sp macro="" textlink="">
      <cdr:nvSpPr>
        <cdr:cNvPr id="7" name="TextBox 1"/>
        <cdr:cNvSpPr txBox="1"/>
      </cdr:nvSpPr>
      <cdr:spPr>
        <a:xfrm xmlns:a="http://schemas.openxmlformats.org/drawingml/2006/main">
          <a:off x="0" y="1241946"/>
          <a:ext cx="334370" cy="2585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latin typeface="Times New Roman" panose="02020603050405020304" pitchFamily="18" charset="0"/>
              <a:cs typeface="Times New Roman" panose="02020603050405020304" pitchFamily="18" charset="0"/>
            </a:rPr>
            <a:t>(a)</a:t>
          </a:r>
        </a:p>
      </cdr:txBody>
    </cdr:sp>
  </cdr:relSizeAnchor>
</c:userShapes>
</file>

<file path=word/drawings/drawing8.xml><?xml version="1.0" encoding="utf-8"?>
<c:userShapes xmlns:c="http://schemas.openxmlformats.org/drawingml/2006/chart">
  <cdr:relSizeAnchor xmlns:cdr="http://schemas.openxmlformats.org/drawingml/2006/chartDrawing">
    <cdr:from>
      <cdr:x>0</cdr:x>
      <cdr:y>0.84038</cdr:y>
    </cdr:from>
    <cdr:to>
      <cdr:x>0.12023</cdr:x>
      <cdr:y>1</cdr:y>
    </cdr:to>
    <cdr:sp macro="" textlink="">
      <cdr:nvSpPr>
        <cdr:cNvPr id="3" name="TextBox 1"/>
        <cdr:cNvSpPr txBox="1"/>
      </cdr:nvSpPr>
      <cdr:spPr>
        <a:xfrm xmlns:a="http://schemas.openxmlformats.org/drawingml/2006/main">
          <a:off x="0" y="1508079"/>
          <a:ext cx="341194" cy="28643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GB" sz="1000">
              <a:latin typeface="Times New Roman" panose="02020603050405020304" pitchFamily="18" charset="0"/>
              <a:cs typeface="Times New Roman" panose="02020603050405020304" pitchFamily="18" charset="0"/>
            </a:rPr>
            <a:t>(b)</a:t>
          </a:r>
        </a:p>
      </cdr:txBody>
    </cdr:sp>
  </cdr:relSizeAnchor>
</c:userShapes>
</file>

<file path=word/drawings/drawing9.xml><?xml version="1.0" encoding="utf-8"?>
<c:userShapes xmlns:c="http://schemas.openxmlformats.org/drawingml/2006/chart">
  <cdr:relSizeAnchor xmlns:cdr="http://schemas.openxmlformats.org/drawingml/2006/chartDrawing">
    <cdr:from>
      <cdr:x>0</cdr:x>
      <cdr:y>0.86111</cdr:y>
    </cdr:from>
    <cdr:to>
      <cdr:x>0.12699</cdr:x>
      <cdr:y>1</cdr:y>
    </cdr:to>
    <cdr:sp macro="" textlink="">
      <cdr:nvSpPr>
        <cdr:cNvPr id="2" name="Text Box 1"/>
        <cdr:cNvSpPr txBox="1"/>
      </cdr:nvSpPr>
      <cdr:spPr>
        <a:xfrm xmlns:a="http://schemas.openxmlformats.org/drawingml/2006/main">
          <a:off x="-989463" y="1480744"/>
          <a:ext cx="327546" cy="2388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000">
              <a:latin typeface="Times New Roman" panose="02020603050405020304" pitchFamily="18" charset="0"/>
              <a:cs typeface="Times New Roman" panose="02020603050405020304" pitchFamily="18" charset="0"/>
            </a:rPr>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76D08EAF6CD747AE18F062D238E9CD" ma:contentTypeVersion="13" ma:contentTypeDescription="Create a new document." ma:contentTypeScope="" ma:versionID="879b52d6da53c7c34ab942217ff1562e">
  <xsd:schema xmlns:xsd="http://www.w3.org/2001/XMLSchema" xmlns:xs="http://www.w3.org/2001/XMLSchema" xmlns:p="http://schemas.microsoft.com/office/2006/metadata/properties" xmlns:ns3="134246ac-c077-4814-adad-0c52def46e24" xmlns:ns4="bd43519d-ead2-4ba1-ba32-c0379276acbd" targetNamespace="http://schemas.microsoft.com/office/2006/metadata/properties" ma:root="true" ma:fieldsID="19aec7e4520cd289900f35cb478c1e53" ns3:_="" ns4:_="">
    <xsd:import namespace="134246ac-c077-4814-adad-0c52def46e24"/>
    <xsd:import namespace="bd43519d-ead2-4ba1-ba32-c0379276acbd"/>
    <xsd:element name="properties">
      <xsd:complexType>
        <xsd:sequence>
          <xsd:element name="documentManagement">
            <xsd:complexType>
              <xsd:all>
                <xsd:element ref="ns3:SharedWithDetails" minOccurs="0"/>
                <xsd:element ref="ns3:SharingHintHash" minOccurs="0"/>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4246ac-c077-4814-adad-0c52def46e24" elementFormDefault="qualified">
    <xsd:import namespace="http://schemas.microsoft.com/office/2006/documentManagement/types"/>
    <xsd:import namespace="http://schemas.microsoft.com/office/infopath/2007/PartnerControls"/>
    <xsd:element name="SharedWithDetails" ma:index="8" nillable="true" ma:displayName="Shared With Details" ma:internalName="SharedWithDetails" ma:readOnly="true">
      <xsd:simpleType>
        <xsd:restriction base="dms:Note">
          <xsd:maxLength value="255"/>
        </xsd:restriction>
      </xsd:simpleType>
    </xsd:element>
    <xsd:element name="SharingHintHash" ma:index="9" nillable="true" ma:displayName="Sharing Hint Hash" ma:hidden="true" ma:internalName="SharingHintHash" ma:readOnly="true">
      <xsd:simpleType>
        <xsd:restriction base="dms:Text"/>
      </xsd:simpleType>
    </xsd:element>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43519d-ead2-4ba1-ba32-c0379276acb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6C8E31-8D6F-40D5-AAD0-33718C9BB12A}">
  <ds:schemaRefs>
    <ds:schemaRef ds:uri="http://schemas.microsoft.com/sharepoint/v3/contenttype/forms"/>
  </ds:schemaRefs>
</ds:datastoreItem>
</file>

<file path=customXml/itemProps2.xml><?xml version="1.0" encoding="utf-8"?>
<ds:datastoreItem xmlns:ds="http://schemas.openxmlformats.org/officeDocument/2006/customXml" ds:itemID="{2F9F8AFB-C6F3-4645-B11E-A681CF1A2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4246ac-c077-4814-adad-0c52def46e24"/>
    <ds:schemaRef ds:uri="bd43519d-ead2-4ba1-ba32-c0379276ac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B33EB-069D-4D74-9D3A-3E0E9A28D4CA}">
  <ds:schemaRefs>
    <ds:schemaRef ds:uri="bd43519d-ead2-4ba1-ba32-c0379276ac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34246ac-c077-4814-adad-0c52def46e24"/>
    <ds:schemaRef ds:uri="http://www.w3.org/XML/1998/namespace"/>
    <ds:schemaRef ds:uri="http://purl.org/dc/dcmitype/"/>
  </ds:schemaRefs>
</ds:datastoreItem>
</file>

<file path=customXml/itemProps4.xml><?xml version="1.0" encoding="utf-8"?>
<ds:datastoreItem xmlns:ds="http://schemas.openxmlformats.org/officeDocument/2006/customXml" ds:itemID="{8B99848D-7DCC-4B9D-ACC5-3236CCCC2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51888</Words>
  <Characters>295766</Characters>
  <Application>Microsoft Office Word</Application>
  <DocSecurity>4</DocSecurity>
  <Lines>2464</Lines>
  <Paragraphs>693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Moure Abelenda, Alejandro</dc:creator>
  <cp:keywords/>
  <dc:description/>
  <cp:lastModifiedBy>farid aiouache</cp:lastModifiedBy>
  <cp:revision>2</cp:revision>
  <cp:lastPrinted>2020-04-15T12:52:00Z</cp:lastPrinted>
  <dcterms:created xsi:type="dcterms:W3CDTF">2020-08-11T06:28:00Z</dcterms:created>
  <dcterms:modified xsi:type="dcterms:W3CDTF">2020-08-11T06:28:00Z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http://www.zotero.org/styles/chicago-note-bibliography</vt:lpwstr>
  </property>
  <property fmtid="{D5CDD505-2E9C-101B-9397-08002B2CF9AE}" pid="13" name="Mendeley Recent Style Name 5_1">
    <vt:lpwstr>Chicago Manual of Style 17th edition (note)</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http://www.zotero.org/styles/renewable-and-sustainable-energy-reviews</vt:lpwstr>
  </property>
  <property fmtid="{D5CDD505-2E9C-101B-9397-08002B2CF9AE}" pid="17" name="Mendeley Recent Style Name 7_1">
    <vt:lpwstr>Renewable and Sustainable Energy Reviews</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http://www.zotero.org/styles/vancouver_springer</vt:lpwstr>
  </property>
  <property fmtid="{D5CDD505-2E9C-101B-9397-08002B2CF9AE}" pid="21" name="Mendeley Recent Style Name 9_1">
    <vt:lpwstr>Vancouver_Springer</vt:lpwstr>
  </property>
  <property fmtid="{D5CDD505-2E9C-101B-9397-08002B2CF9AE}" pid="22" name="Mendeley Document_1">
    <vt:lpwstr>True</vt:lpwstr>
  </property>
  <property fmtid="{D5CDD505-2E9C-101B-9397-08002B2CF9AE}" pid="23" name="Mendeley Unique User Id_1">
    <vt:lpwstr>bb97f59a-c95a-3ec4-a3a7-1858b77abe84</vt:lpwstr>
  </property>
  <property fmtid="{D5CDD505-2E9C-101B-9397-08002B2CF9AE}" pid="24" name="Mendeley Citation Style_1">
    <vt:lpwstr>http://www.zotero.org/styles/vancouver_springer</vt:lpwstr>
  </property>
  <property fmtid="{D5CDD505-2E9C-101B-9397-08002B2CF9AE}" pid="25" name="ContentTypeId">
    <vt:lpwstr>0x0101000C76D08EAF6CD747AE18F062D238E9CD</vt:lpwstr>
  </property>
</Properties>
</file>