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270DD5" w:rsidRDefault="000F3A41" w:rsidP="004C531E">
      <w:pPr>
        <w:pStyle w:val="RSCM01ReceivedAccepted"/>
      </w:pPr>
      <w:r w:rsidRPr="00270DD5">
        <w:rPr>
          <w:lang w:val="en-US" w:eastAsia="zh-CN"/>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7839C3" w:rsidRPr="007839C3" w:rsidRDefault="007839C3" w:rsidP="007839C3">
                            <w:pPr>
                              <w:pStyle w:val="RSCF01FootnoteAuthorAddress"/>
                              <w:ind w:left="85" w:hanging="85"/>
                              <w:suppressOverlap w:val="0"/>
                            </w:pPr>
                            <w:r w:rsidRPr="007839C3">
                              <w:t>Lancaster Environment Centre, Lancaster University, Lancaster, UK</w:t>
                            </w:r>
                          </w:p>
                          <w:p w:rsidR="007839C3" w:rsidRPr="007839C3" w:rsidRDefault="007839C3" w:rsidP="007839C3">
                            <w:pPr>
                              <w:pStyle w:val="RSCF01FootnoteAuthorAddress"/>
                              <w:ind w:left="85" w:hanging="85"/>
                              <w:suppressOverlap w:val="0"/>
                            </w:pPr>
                            <w:r w:rsidRPr="007839C3">
                              <w:t>Indian Institute of Tropical Meteorology, Pune, India</w:t>
                            </w:r>
                          </w:p>
                          <w:p w:rsidR="007839C3" w:rsidRPr="007839C3" w:rsidRDefault="007839C3" w:rsidP="007839C3">
                            <w:pPr>
                              <w:pStyle w:val="RSCF01FootnoteAuthorAddress"/>
                              <w:ind w:left="85" w:hanging="85"/>
                              <w:suppressOverlap w:val="0"/>
                            </w:pPr>
                            <w:r w:rsidRPr="007839C3">
                              <w:t>NCAS-Climate, Department of Chemistry, University of Cambridge, Cambridge, UK</w:t>
                            </w:r>
                          </w:p>
                          <w:p w:rsidR="007839C3" w:rsidRPr="007839C3" w:rsidRDefault="007839C3" w:rsidP="007839C3">
                            <w:pPr>
                              <w:pStyle w:val="RSCF01FootnoteAuthorAddress"/>
                              <w:ind w:left="85" w:hanging="85"/>
                              <w:suppressOverlap w:val="0"/>
                            </w:pPr>
                            <w:r w:rsidRPr="007839C3">
                              <w:t>Wolfson Atmospheric Chemistry Laboratories, University of York, United Kingdom</w:t>
                            </w:r>
                          </w:p>
                          <w:p w:rsidR="007839C3" w:rsidRPr="007839C3" w:rsidRDefault="007839C3" w:rsidP="007839C3">
                            <w:pPr>
                              <w:pStyle w:val="RSCF01FootnoteAuthorAddress"/>
                              <w:ind w:left="85" w:hanging="85"/>
                              <w:suppressOverlap w:val="0"/>
                            </w:pPr>
                            <w:r w:rsidRPr="007839C3">
                              <w:t>Centre for Atmospheric Sciences, Department of Earth and Environmental Sciences, University of Manchester, Manchester, UK</w:t>
                            </w:r>
                          </w:p>
                          <w:p w:rsidR="007839C3" w:rsidRPr="007839C3" w:rsidRDefault="007839C3" w:rsidP="007839C3">
                            <w:pPr>
                              <w:pStyle w:val="RSCF01FootnoteAuthorAddress"/>
                              <w:ind w:left="85" w:hanging="85"/>
                              <w:suppressOverlap w:val="0"/>
                            </w:pPr>
                            <w:r w:rsidRPr="007839C3">
                              <w:t>Key Laboratory of Middle Atmosphere and Global Environment Observation, Institute of Atmospheric Physics, Chinese Academy of Sciences, Beijing, China</w:t>
                            </w:r>
                          </w:p>
                          <w:p w:rsidR="007839C3" w:rsidRPr="007839C3" w:rsidRDefault="007839C3" w:rsidP="007839C3">
                            <w:pPr>
                              <w:pStyle w:val="RSCF01FootnoteAuthorAddress"/>
                              <w:ind w:left="85" w:hanging="85"/>
                              <w:suppressOverlap w:val="0"/>
                            </w:pPr>
                            <w:r w:rsidRPr="007839C3">
                              <w:t xml:space="preserve">State Key Joint Laboratory of Environmental Simulation and Pollution Control, College of Environmental Sciences and </w:t>
                            </w:r>
                            <w:r>
                              <w:t>Engineering, Peking University</w:t>
                            </w:r>
                            <w:r w:rsidRPr="007839C3">
                              <w:t>, China</w:t>
                            </w:r>
                          </w:p>
                          <w:p w:rsidR="007839C3" w:rsidRPr="007839C3" w:rsidRDefault="007839C3" w:rsidP="007839C3">
                            <w:pPr>
                              <w:pStyle w:val="RSCF01FootnoteAuthorAddress"/>
                              <w:ind w:left="85" w:hanging="85"/>
                              <w:suppressOverlap w:val="0"/>
                            </w:pPr>
                            <w:r w:rsidRPr="007839C3">
                              <w:t>Environmental Science, Department</w:t>
                            </w:r>
                            <w:r>
                              <w:t xml:space="preserve"> of Botany, Utkal University</w:t>
                            </w:r>
                            <w:r w:rsidRPr="007839C3">
                              <w:t>, India</w:t>
                            </w:r>
                          </w:p>
                          <w:p w:rsidR="007839C3" w:rsidRPr="007839C3" w:rsidRDefault="007839C3" w:rsidP="007839C3">
                            <w:pPr>
                              <w:pStyle w:val="RSCF01FootnoteAuthorAddress"/>
                              <w:ind w:left="85" w:hanging="85"/>
                              <w:suppressOverlap w:val="0"/>
                            </w:pPr>
                            <w:r w:rsidRPr="007839C3">
                              <w:t>Centre for Atmospheric and Climate Physics Research, University of Hertfordshire, Hatfield, Hertfordshire, UK</w:t>
                            </w:r>
                          </w:p>
                          <w:p w:rsidR="007839C3" w:rsidRPr="007839C3" w:rsidRDefault="007839C3" w:rsidP="007839C3">
                            <w:pPr>
                              <w:pStyle w:val="RSCF01FootnoteAuthorAddress"/>
                              <w:ind w:left="85" w:hanging="85"/>
                              <w:suppressOverlap w:val="0"/>
                            </w:pPr>
                            <w:r w:rsidRPr="007839C3">
                              <w:t>National Atmospheric Research Laboratory, Gadanki, AP, India</w:t>
                            </w:r>
                          </w:p>
                          <w:p w:rsidR="007839C3" w:rsidRPr="007839C3" w:rsidRDefault="007839C3" w:rsidP="007839C3">
                            <w:pPr>
                              <w:pStyle w:val="RSCF01FootnoteAuthorAddress"/>
                              <w:ind w:left="85" w:hanging="85"/>
                              <w:suppressOverlap w:val="0"/>
                            </w:pPr>
                            <w:r w:rsidRPr="007839C3">
                              <w:t>Indira Gandhi Delhi Technical University for Women, Kashmere Gate, Delhi, India</w:t>
                            </w:r>
                          </w:p>
                          <w:p w:rsidR="007839C3" w:rsidRPr="007839C3" w:rsidRDefault="007839C3" w:rsidP="007839C3">
                            <w:pPr>
                              <w:pStyle w:val="RSCF01FootnoteAuthorAddress"/>
                              <w:ind w:left="85" w:hanging="85"/>
                              <w:suppressOverlap w:val="0"/>
                            </w:pPr>
                            <w:r w:rsidRPr="007839C3">
                              <w:t>UK Centre for Ecology &amp; Hydrology, UKCEH, Bush Estate, Penicuik, Midlothian, UK</w:t>
                            </w:r>
                          </w:p>
                          <w:p w:rsidR="003656ED" w:rsidRPr="007839C3" w:rsidRDefault="007839C3" w:rsidP="007839C3">
                            <w:pPr>
                              <w:pStyle w:val="RSCF01FootnoteAuthorAddress"/>
                              <w:numPr>
                                <w:ilvl w:val="0"/>
                                <w:numId w:val="0"/>
                              </w:numPr>
                              <w:suppressOverlap w:val="0"/>
                            </w:pPr>
                            <w:r w:rsidRPr="007839C3">
                              <w:t>*Email</w:t>
                            </w:r>
                            <w:r>
                              <w:t>: Y.</w:t>
                            </w:r>
                            <w:r w:rsidRPr="007839C3">
                              <w:t xml:space="preserve"> Chen (y.chen65@lancaster.ac.uk)</w:t>
                            </w:r>
                            <w:r>
                              <w:t>; O.</w:t>
                            </w:r>
                            <w:r w:rsidRPr="007839C3">
                              <w:t xml:space="preserve"> Wild (o.wild@lancaster.ac.uk)</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7839C3" w:rsidRPr="007839C3" w:rsidRDefault="007839C3" w:rsidP="007839C3">
                      <w:pPr>
                        <w:pStyle w:val="RSCF01FootnoteAuthorAddress"/>
                        <w:ind w:left="85" w:hanging="85"/>
                        <w:suppressOverlap w:val="0"/>
                      </w:pPr>
                      <w:r w:rsidRPr="007839C3">
                        <w:t>Lancaster Environment Centre, Lancaster University, Lancaster, UK</w:t>
                      </w:r>
                    </w:p>
                    <w:p w:rsidR="007839C3" w:rsidRPr="007839C3" w:rsidRDefault="007839C3" w:rsidP="007839C3">
                      <w:pPr>
                        <w:pStyle w:val="RSCF01FootnoteAuthorAddress"/>
                        <w:ind w:left="85" w:hanging="85"/>
                        <w:suppressOverlap w:val="0"/>
                      </w:pPr>
                      <w:r w:rsidRPr="007839C3">
                        <w:t>Indian Institute of Tropical Meteorology, Pune, India</w:t>
                      </w:r>
                    </w:p>
                    <w:p w:rsidR="007839C3" w:rsidRPr="007839C3" w:rsidRDefault="007839C3" w:rsidP="007839C3">
                      <w:pPr>
                        <w:pStyle w:val="RSCF01FootnoteAuthorAddress"/>
                        <w:ind w:left="85" w:hanging="85"/>
                        <w:suppressOverlap w:val="0"/>
                      </w:pPr>
                      <w:r w:rsidRPr="007839C3">
                        <w:t>NCAS-Climate, Department of Chemistry, University of Cambridge, Cambridge, UK</w:t>
                      </w:r>
                    </w:p>
                    <w:p w:rsidR="007839C3" w:rsidRPr="007839C3" w:rsidRDefault="007839C3" w:rsidP="007839C3">
                      <w:pPr>
                        <w:pStyle w:val="RSCF01FootnoteAuthorAddress"/>
                        <w:ind w:left="85" w:hanging="85"/>
                        <w:suppressOverlap w:val="0"/>
                      </w:pPr>
                      <w:proofErr w:type="spellStart"/>
                      <w:r w:rsidRPr="007839C3">
                        <w:t>Wolfson</w:t>
                      </w:r>
                      <w:proofErr w:type="spellEnd"/>
                      <w:r w:rsidRPr="007839C3">
                        <w:t xml:space="preserve"> Atmospheric Chemistry Laboratories, University of York, United Kingdom</w:t>
                      </w:r>
                    </w:p>
                    <w:p w:rsidR="007839C3" w:rsidRPr="007839C3" w:rsidRDefault="007839C3" w:rsidP="007839C3">
                      <w:pPr>
                        <w:pStyle w:val="RSCF01FootnoteAuthorAddress"/>
                        <w:ind w:left="85" w:hanging="85"/>
                        <w:suppressOverlap w:val="0"/>
                      </w:pPr>
                      <w:r w:rsidRPr="007839C3">
                        <w:t>Centre for Atmospheric Sciences, Department of Earth and Environmental Sciences, University of Manchester, Manchester, UK</w:t>
                      </w:r>
                    </w:p>
                    <w:p w:rsidR="007839C3" w:rsidRPr="007839C3" w:rsidRDefault="007839C3" w:rsidP="007839C3">
                      <w:pPr>
                        <w:pStyle w:val="RSCF01FootnoteAuthorAddress"/>
                        <w:ind w:left="85" w:hanging="85"/>
                        <w:suppressOverlap w:val="0"/>
                      </w:pPr>
                      <w:r w:rsidRPr="007839C3">
                        <w:t>Key Laboratory of Middle Atmosphere and Global Environment Observation, Institute of Atmospheric Physics, Chinese Academy of Sciences, Beijing, China</w:t>
                      </w:r>
                    </w:p>
                    <w:p w:rsidR="007839C3" w:rsidRPr="007839C3" w:rsidRDefault="007839C3" w:rsidP="007839C3">
                      <w:pPr>
                        <w:pStyle w:val="RSCF01FootnoteAuthorAddress"/>
                        <w:ind w:left="85" w:hanging="85"/>
                        <w:suppressOverlap w:val="0"/>
                      </w:pPr>
                      <w:r w:rsidRPr="007839C3">
                        <w:t xml:space="preserve">State Key Joint Laboratory of Environmental Simulation and Pollution Control, College of Environmental Sciences and </w:t>
                      </w:r>
                      <w:r>
                        <w:t>Engineering, Peking University</w:t>
                      </w:r>
                      <w:r w:rsidRPr="007839C3">
                        <w:t>, China</w:t>
                      </w:r>
                    </w:p>
                    <w:p w:rsidR="007839C3" w:rsidRPr="007839C3" w:rsidRDefault="007839C3" w:rsidP="007839C3">
                      <w:pPr>
                        <w:pStyle w:val="RSCF01FootnoteAuthorAddress"/>
                        <w:ind w:left="85" w:hanging="85"/>
                        <w:suppressOverlap w:val="0"/>
                      </w:pPr>
                      <w:r w:rsidRPr="007839C3">
                        <w:t>Environmental Science, Department</w:t>
                      </w:r>
                      <w:r>
                        <w:t xml:space="preserve"> of Botany, </w:t>
                      </w:r>
                      <w:proofErr w:type="spellStart"/>
                      <w:r>
                        <w:t>Utkal</w:t>
                      </w:r>
                      <w:proofErr w:type="spellEnd"/>
                      <w:r>
                        <w:t xml:space="preserve"> University</w:t>
                      </w:r>
                      <w:r w:rsidRPr="007839C3">
                        <w:t>, India</w:t>
                      </w:r>
                    </w:p>
                    <w:p w:rsidR="007839C3" w:rsidRPr="007839C3" w:rsidRDefault="007839C3" w:rsidP="007839C3">
                      <w:pPr>
                        <w:pStyle w:val="RSCF01FootnoteAuthorAddress"/>
                        <w:ind w:left="85" w:hanging="85"/>
                        <w:suppressOverlap w:val="0"/>
                      </w:pPr>
                      <w:r w:rsidRPr="007839C3">
                        <w:t>Centre for Atmospheric and Climate Physics Research, University of Hertfordshire, Hatfield, Hertfordshire, UK</w:t>
                      </w:r>
                    </w:p>
                    <w:p w:rsidR="007839C3" w:rsidRPr="007839C3" w:rsidRDefault="007839C3" w:rsidP="007839C3">
                      <w:pPr>
                        <w:pStyle w:val="RSCF01FootnoteAuthorAddress"/>
                        <w:ind w:left="85" w:hanging="85"/>
                        <w:suppressOverlap w:val="0"/>
                      </w:pPr>
                      <w:r w:rsidRPr="007839C3">
                        <w:t xml:space="preserve">National Atmospheric Research Laboratory, </w:t>
                      </w:r>
                      <w:proofErr w:type="spellStart"/>
                      <w:r w:rsidRPr="007839C3">
                        <w:t>Gadanki</w:t>
                      </w:r>
                      <w:proofErr w:type="spellEnd"/>
                      <w:r w:rsidRPr="007839C3">
                        <w:t>, AP, India</w:t>
                      </w:r>
                    </w:p>
                    <w:p w:rsidR="007839C3" w:rsidRPr="007839C3" w:rsidRDefault="007839C3" w:rsidP="007839C3">
                      <w:pPr>
                        <w:pStyle w:val="RSCF01FootnoteAuthorAddress"/>
                        <w:ind w:left="85" w:hanging="85"/>
                        <w:suppressOverlap w:val="0"/>
                      </w:pPr>
                      <w:r w:rsidRPr="007839C3">
                        <w:t xml:space="preserve">Indira Gandhi Delhi Technical University for Women, </w:t>
                      </w:r>
                      <w:proofErr w:type="spellStart"/>
                      <w:r w:rsidRPr="007839C3">
                        <w:t>Kashmere</w:t>
                      </w:r>
                      <w:proofErr w:type="spellEnd"/>
                      <w:r w:rsidRPr="007839C3">
                        <w:t xml:space="preserve"> Gate, Delhi, India</w:t>
                      </w:r>
                    </w:p>
                    <w:p w:rsidR="007839C3" w:rsidRPr="007839C3" w:rsidRDefault="007839C3" w:rsidP="007839C3">
                      <w:pPr>
                        <w:pStyle w:val="RSCF01FootnoteAuthorAddress"/>
                        <w:ind w:left="85" w:hanging="85"/>
                        <w:suppressOverlap w:val="0"/>
                      </w:pPr>
                      <w:r w:rsidRPr="007839C3">
                        <w:t xml:space="preserve">UK Centre for Ecology &amp; Hydrology, UKCEH, Bush Estate, </w:t>
                      </w:r>
                      <w:proofErr w:type="spellStart"/>
                      <w:r w:rsidRPr="007839C3">
                        <w:t>Penicuik</w:t>
                      </w:r>
                      <w:proofErr w:type="spellEnd"/>
                      <w:r w:rsidRPr="007839C3">
                        <w:t>, Midlothian, UK</w:t>
                      </w:r>
                    </w:p>
                    <w:p w:rsidR="003656ED" w:rsidRPr="007839C3" w:rsidRDefault="007839C3" w:rsidP="007839C3">
                      <w:pPr>
                        <w:pStyle w:val="RSCF01FootnoteAuthorAddress"/>
                        <w:numPr>
                          <w:ilvl w:val="0"/>
                          <w:numId w:val="0"/>
                        </w:numPr>
                        <w:suppressOverlap w:val="0"/>
                      </w:pPr>
                      <w:r w:rsidRPr="007839C3">
                        <w:t>*Email</w:t>
                      </w:r>
                      <w:r>
                        <w:t>: Y.</w:t>
                      </w:r>
                      <w:r w:rsidRPr="007839C3">
                        <w:t xml:space="preserve"> Chen (y.chen65@lancaster.ac.uk)</w:t>
                      </w:r>
                      <w:r>
                        <w:t>; O.</w:t>
                      </w:r>
                      <w:r w:rsidRPr="007839C3">
                        <w:t xml:space="preserve"> Wild (o.wild@lancaster.ac.uk)</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B0519F" w:rsidP="004C531E">
      <w:pPr>
        <w:pStyle w:val="RSCM03Website"/>
      </w:pPr>
      <w:r>
        <w:rPr>
          <w:rFonts w:hint="eastAsia"/>
        </w:rPr>
        <w:t xml:space="preserve"> </w:t>
      </w:r>
    </w:p>
    <w:p w:rsidR="004414A5" w:rsidRPr="00C32EDF" w:rsidRDefault="00F62C8B" w:rsidP="00C32EDF">
      <w:pPr>
        <w:pStyle w:val="RSCH01PaperTitle"/>
      </w:pPr>
      <w:r w:rsidRPr="004414A5">
        <w:br w:type="column"/>
      </w:r>
      <w:r w:rsidR="003656ED" w:rsidRPr="003656ED">
        <w:lastRenderedPageBreak/>
        <w:t>Avoiding high ozone pollution in Delhi, India</w:t>
      </w:r>
    </w:p>
    <w:p w:rsidR="003656ED" w:rsidRPr="003656ED" w:rsidRDefault="003656ED" w:rsidP="003656ED">
      <w:pPr>
        <w:pStyle w:val="RSCB01ARTAbstract"/>
        <w:rPr>
          <w:rFonts w:cs="Times New Roman"/>
          <w:sz w:val="20"/>
        </w:rPr>
      </w:pPr>
      <w:r w:rsidRPr="003656ED">
        <w:rPr>
          <w:rFonts w:cs="Times New Roman"/>
          <w:sz w:val="20"/>
        </w:rPr>
        <w:t>Ying Chen,</w:t>
      </w:r>
      <w:r w:rsidRPr="003656ED">
        <w:rPr>
          <w:rFonts w:cs="Times New Roman"/>
          <w:sz w:val="20"/>
          <w:vertAlign w:val="superscript"/>
        </w:rPr>
        <w:t>*a</w:t>
      </w:r>
      <w:r w:rsidRPr="003656ED">
        <w:rPr>
          <w:rFonts w:cs="Times New Roman"/>
          <w:sz w:val="20"/>
        </w:rPr>
        <w:t xml:space="preserve"> Gufran Beig</w:t>
      </w:r>
      <w:r w:rsidRPr="003656ED">
        <w:rPr>
          <w:rFonts w:cs="Times New Roman"/>
          <w:sz w:val="20"/>
          <w:vertAlign w:val="superscript"/>
        </w:rPr>
        <w:t>b</w:t>
      </w:r>
      <w:r w:rsidRPr="003656ED">
        <w:rPr>
          <w:rFonts w:cs="Times New Roman"/>
          <w:sz w:val="20"/>
        </w:rPr>
        <w:t>, Scott Archer-Nicholls</w:t>
      </w:r>
      <w:r w:rsidRPr="003656ED">
        <w:rPr>
          <w:rFonts w:cs="Times New Roman"/>
          <w:sz w:val="20"/>
          <w:vertAlign w:val="superscript"/>
        </w:rPr>
        <w:t>c</w:t>
      </w:r>
      <w:r w:rsidRPr="003656ED">
        <w:rPr>
          <w:rFonts w:cs="Times New Roman"/>
          <w:sz w:val="20"/>
        </w:rPr>
        <w:t>, Will Drysdale</w:t>
      </w:r>
      <w:r w:rsidRPr="003656ED">
        <w:rPr>
          <w:rFonts w:cs="Times New Roman"/>
          <w:sz w:val="20"/>
          <w:vertAlign w:val="superscript"/>
        </w:rPr>
        <w:t>d</w:t>
      </w:r>
      <w:r w:rsidRPr="003656ED">
        <w:rPr>
          <w:rFonts w:cs="Times New Roman"/>
          <w:sz w:val="20"/>
        </w:rPr>
        <w:t>, W. Joe F. Acton</w:t>
      </w:r>
      <w:r w:rsidRPr="003656ED">
        <w:rPr>
          <w:rFonts w:cs="Times New Roman"/>
          <w:sz w:val="20"/>
          <w:vertAlign w:val="superscript"/>
        </w:rPr>
        <w:t>a</w:t>
      </w:r>
      <w:r w:rsidRPr="003656ED">
        <w:rPr>
          <w:rFonts w:cs="Times New Roman"/>
          <w:sz w:val="20"/>
        </w:rPr>
        <w:t>, Douglas Lowe</w:t>
      </w:r>
      <w:r w:rsidRPr="003656ED">
        <w:rPr>
          <w:rFonts w:cs="Times New Roman"/>
          <w:sz w:val="20"/>
          <w:vertAlign w:val="superscript"/>
        </w:rPr>
        <w:t>e</w:t>
      </w:r>
      <w:r w:rsidRPr="003656ED">
        <w:rPr>
          <w:rFonts w:cs="Times New Roman"/>
          <w:sz w:val="20"/>
        </w:rPr>
        <w:t>, Beth Nelson</w:t>
      </w:r>
      <w:r w:rsidRPr="003656ED">
        <w:rPr>
          <w:rFonts w:cs="Times New Roman"/>
          <w:sz w:val="20"/>
          <w:vertAlign w:val="superscript"/>
        </w:rPr>
        <w:t>d</w:t>
      </w:r>
      <w:r w:rsidRPr="003656ED">
        <w:rPr>
          <w:rFonts w:cs="Times New Roman"/>
          <w:sz w:val="20"/>
        </w:rPr>
        <w:t>, James Lee</w:t>
      </w:r>
      <w:r w:rsidRPr="003656ED">
        <w:rPr>
          <w:rFonts w:cs="Times New Roman"/>
          <w:sz w:val="20"/>
          <w:vertAlign w:val="superscript"/>
        </w:rPr>
        <w:t>d</w:t>
      </w:r>
      <w:r w:rsidRPr="003656ED">
        <w:rPr>
          <w:rFonts w:cs="Times New Roman"/>
          <w:sz w:val="20"/>
        </w:rPr>
        <w:t>, Liang Ran</w:t>
      </w:r>
      <w:r w:rsidRPr="003656ED">
        <w:rPr>
          <w:rFonts w:cs="Times New Roman"/>
          <w:sz w:val="20"/>
          <w:vertAlign w:val="superscript"/>
        </w:rPr>
        <w:t>f</w:t>
      </w:r>
      <w:r w:rsidRPr="003656ED">
        <w:rPr>
          <w:rFonts w:cs="Times New Roman"/>
          <w:sz w:val="20"/>
        </w:rPr>
        <w:t>, Yu Wang</w:t>
      </w:r>
      <w:r w:rsidRPr="003656ED">
        <w:rPr>
          <w:rFonts w:cs="Times New Roman"/>
          <w:sz w:val="20"/>
          <w:vertAlign w:val="superscript"/>
        </w:rPr>
        <w:t>e</w:t>
      </w:r>
      <w:r w:rsidRPr="003656ED">
        <w:rPr>
          <w:rFonts w:cs="Times New Roman"/>
          <w:sz w:val="20"/>
        </w:rPr>
        <w:t>, Zhijun Wu</w:t>
      </w:r>
      <w:r w:rsidRPr="003656ED">
        <w:rPr>
          <w:rFonts w:cs="Times New Roman"/>
          <w:sz w:val="20"/>
          <w:vertAlign w:val="superscript"/>
        </w:rPr>
        <w:t>g</w:t>
      </w:r>
      <w:r w:rsidRPr="003656ED">
        <w:rPr>
          <w:rFonts w:cs="Times New Roman"/>
          <w:sz w:val="20"/>
        </w:rPr>
        <w:t>, Saroj Kumar Sahu</w:t>
      </w:r>
      <w:r w:rsidRPr="003656ED">
        <w:rPr>
          <w:rFonts w:cs="Times New Roman"/>
          <w:sz w:val="20"/>
          <w:vertAlign w:val="superscript"/>
        </w:rPr>
        <w:t>h</w:t>
      </w:r>
      <w:r w:rsidRPr="003656ED">
        <w:rPr>
          <w:rFonts w:cs="Times New Roman"/>
          <w:sz w:val="20"/>
        </w:rPr>
        <w:t>, Ranjeet S. Sokhi</w:t>
      </w:r>
      <w:r w:rsidRPr="003656ED">
        <w:rPr>
          <w:rFonts w:cs="Times New Roman"/>
          <w:sz w:val="20"/>
          <w:vertAlign w:val="superscript"/>
        </w:rPr>
        <w:t>i</w:t>
      </w:r>
      <w:r w:rsidRPr="003656ED">
        <w:rPr>
          <w:rFonts w:cs="Times New Roman"/>
          <w:sz w:val="20"/>
        </w:rPr>
        <w:t>, Vikas Singh</w:t>
      </w:r>
      <w:r w:rsidRPr="003656ED">
        <w:rPr>
          <w:rFonts w:cs="Times New Roman"/>
          <w:sz w:val="20"/>
          <w:vertAlign w:val="superscript"/>
        </w:rPr>
        <w:t>j</w:t>
      </w:r>
      <w:r w:rsidRPr="003656ED">
        <w:rPr>
          <w:rFonts w:cs="Times New Roman"/>
          <w:sz w:val="20"/>
        </w:rPr>
        <w:t>, Ranu Gadi</w:t>
      </w:r>
      <w:r w:rsidRPr="003656ED">
        <w:rPr>
          <w:rFonts w:cs="Times New Roman"/>
          <w:sz w:val="20"/>
          <w:vertAlign w:val="superscript"/>
        </w:rPr>
        <w:t>k</w:t>
      </w:r>
      <w:r w:rsidRPr="003656ED">
        <w:rPr>
          <w:rFonts w:cs="Times New Roman"/>
          <w:sz w:val="20"/>
        </w:rPr>
        <w:t>, C. N. Hewitt</w:t>
      </w:r>
      <w:r w:rsidRPr="003656ED">
        <w:rPr>
          <w:rFonts w:cs="Times New Roman"/>
          <w:sz w:val="20"/>
          <w:vertAlign w:val="superscript"/>
        </w:rPr>
        <w:t>a</w:t>
      </w:r>
      <w:r w:rsidRPr="003656ED">
        <w:rPr>
          <w:rFonts w:cs="Times New Roman"/>
          <w:sz w:val="20"/>
        </w:rPr>
        <w:t xml:space="preserve">, </w:t>
      </w:r>
      <w:bookmarkStart w:id="0" w:name="OLE_LINK7"/>
      <w:bookmarkStart w:id="1" w:name="OLE_LINK8"/>
      <w:r w:rsidRPr="003656ED">
        <w:rPr>
          <w:rFonts w:cs="Times New Roman"/>
          <w:sz w:val="20"/>
        </w:rPr>
        <w:t>Eiko Nemitz</w:t>
      </w:r>
      <w:bookmarkEnd w:id="0"/>
      <w:bookmarkEnd w:id="1"/>
      <w:r w:rsidRPr="003656ED">
        <w:rPr>
          <w:rFonts w:cs="Times New Roman"/>
          <w:sz w:val="20"/>
          <w:vertAlign w:val="superscript"/>
        </w:rPr>
        <w:t>l</w:t>
      </w:r>
      <w:r w:rsidRPr="003656ED">
        <w:rPr>
          <w:rFonts w:cs="Times New Roman"/>
          <w:sz w:val="20"/>
        </w:rPr>
        <w:t>, Alex Archibald</w:t>
      </w:r>
      <w:r w:rsidRPr="003656ED">
        <w:rPr>
          <w:rFonts w:cs="Times New Roman"/>
          <w:sz w:val="20"/>
          <w:vertAlign w:val="superscript"/>
        </w:rPr>
        <w:t>c</w:t>
      </w:r>
      <w:r w:rsidRPr="003656ED">
        <w:rPr>
          <w:rFonts w:cs="Times New Roman"/>
          <w:sz w:val="20"/>
        </w:rPr>
        <w:t>, Gordon McFiggans</w:t>
      </w:r>
      <w:r w:rsidRPr="003656ED">
        <w:rPr>
          <w:rFonts w:cs="Times New Roman"/>
          <w:sz w:val="20"/>
          <w:vertAlign w:val="superscript"/>
        </w:rPr>
        <w:t>e</w:t>
      </w:r>
      <w:r w:rsidRPr="003656ED">
        <w:rPr>
          <w:rFonts w:cs="Times New Roman"/>
          <w:sz w:val="20"/>
        </w:rPr>
        <w:t xml:space="preserve"> and Oliver Wild</w:t>
      </w:r>
      <w:r w:rsidRPr="003656ED">
        <w:rPr>
          <w:rFonts w:cs="Times New Roman"/>
          <w:sz w:val="20"/>
          <w:vertAlign w:val="superscript"/>
        </w:rPr>
        <w:t>*a</w:t>
      </w:r>
    </w:p>
    <w:p w:rsidR="00FA2DA2" w:rsidRPr="00FA2DA2" w:rsidRDefault="00204E9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204E92">
        <w:t xml:space="preserve">Surface ozone is a major pollutant threatening public health, agricultural production and natural ecosystems. While measures to improve air quality in megacities such as Delhi are typically aimed at reducing levels of particulate matter (PM), ozone could become a greater threat if these measures focus on PM alone, as some air pollution mitigation steps can actually lead to an increase in surface ozone. </w:t>
      </w:r>
      <w:bookmarkStart w:id="2" w:name="OLE_LINK19"/>
      <w:bookmarkStart w:id="3" w:name="OLE_LINK20"/>
      <w:r w:rsidRPr="00204E92">
        <w:t>A better understanding of the factors controlling ozone production in Delhi and the impact that PM mitigation measures have on ozone is therefore critical for improving air quality. Here, we combine in-situ observations and model analysis to investigate the impact of PM reduction on the non-linear relationship between volatile organic compounds (VOC), nitrogen oxides (NOx) and ozone. In-situ measurements of NOx, VOC, and ozone were conducted in Delhi during the APHH-India programme in summer (June) and winter (November) 2018. We observed hourly averaged ozone concentrations in the city of up to 100 ppbv in both seasons. We performed sensitivity simulations with a chemical box model to explore the impacts of PM on the non-linear VOC-NOx-ozone relationship in each season through its effect on aerosol optical depth</w:t>
      </w:r>
      <w:bookmarkEnd w:id="2"/>
      <w:bookmarkEnd w:id="3"/>
      <w:r w:rsidRPr="00204E92">
        <w:t xml:space="preserve"> (AOD). We find that ozone production is limited by VOC in both seasons, and is particularly sensitive to solar radiation in winter. Reducing NOx alone increases ozone, such that a 50% reduction in NOx emissions leads to 10-50% increase in surface ozone. In contrast, reducing VOC emissions can reduce ozone efficiently, such that a 50% reduction in VOC emissions leads to ~60% reduction in ozone. </w:t>
      </w:r>
      <w:bookmarkStart w:id="4" w:name="OLE_LINK21"/>
      <w:bookmarkStart w:id="5" w:name="OLE_LINK22"/>
      <w:r w:rsidRPr="00204E92">
        <w:t>Reducing PM alone also increases ozone, especially in winter, by reducing its dimming effects on photolysis, such that a 50% reduction in AOD can increase ozone by 25% and it also enhances VOC-limitation.</w:t>
      </w:r>
      <w:bookmarkEnd w:id="4"/>
      <w:bookmarkEnd w:id="5"/>
      <w:r w:rsidRPr="00204E92">
        <w:t xml:space="preserve"> Our results highlight the importance of reducing VOC emissions alongside PM to limit ozone pollution, as well as benefitting control of PM pollution through reducing secondary organic aerosol. This will greatly benefit the health of citizens and the local ecosystem in Delhi, and could have broader application for other megacities characterized by severe PM pollution and VOC-limited ozone production.</w:t>
      </w:r>
    </w:p>
    <w:p w:rsidR="00204E92" w:rsidRPr="00204E92" w:rsidRDefault="00204E92" w:rsidP="00FA2DA2">
      <w:pPr>
        <w:pStyle w:val="RSCB04AHeadingSection"/>
        <w:rPr>
          <w:b w:val="0"/>
          <w:sz w:val="18"/>
          <w:szCs w:val="18"/>
        </w:rPr>
      </w:pPr>
      <w:r>
        <w:lastRenderedPageBreak/>
        <w:t>Introduction</w:t>
      </w:r>
    </w:p>
    <w:p w:rsidR="00204E92" w:rsidRPr="00204E92" w:rsidRDefault="00204E92" w:rsidP="00B7008F">
      <w:pPr>
        <w:pStyle w:val="RSCB04AHeadingSection"/>
        <w:spacing w:before="0" w:after="0" w:line="240" w:lineRule="exact"/>
        <w:ind w:firstLineChars="200" w:firstLine="360"/>
        <w:jc w:val="both"/>
        <w:rPr>
          <w:rFonts w:cs="Times New Roman"/>
          <w:b w:val="0"/>
          <w:noProof/>
          <w:sz w:val="18"/>
          <w:szCs w:val="18"/>
          <w:vertAlign w:val="superscript"/>
        </w:rPr>
      </w:pPr>
      <w:r w:rsidRPr="00204E92">
        <w:rPr>
          <w:rFonts w:cs="Times New Roman"/>
          <w:b w:val="0"/>
          <w:sz w:val="18"/>
          <w:szCs w:val="18"/>
        </w:rPr>
        <w:t>Surface ozone exposure harms human health</w:t>
      </w:r>
      <w:proofErr w:type="gramStart"/>
      <w:r w:rsidRPr="00204E92">
        <w:rPr>
          <w:rFonts w:cs="Times New Roman"/>
          <w:b w:val="0"/>
          <w:sz w:val="18"/>
          <w:szCs w:val="18"/>
        </w:rPr>
        <w:t>,</w:t>
      </w:r>
      <w:r w:rsidRPr="00204E92">
        <w:rPr>
          <w:rFonts w:cs="Times New Roman"/>
          <w:b w:val="0"/>
          <w:noProof/>
          <w:sz w:val="18"/>
          <w:szCs w:val="18"/>
          <w:vertAlign w:val="superscript"/>
        </w:rPr>
        <w:t>1</w:t>
      </w:r>
      <w:proofErr w:type="gramEnd"/>
      <w:r w:rsidRPr="00204E92">
        <w:rPr>
          <w:rFonts w:cs="Times New Roman"/>
          <w:b w:val="0"/>
          <w:noProof/>
          <w:sz w:val="18"/>
          <w:szCs w:val="18"/>
          <w:vertAlign w:val="superscript"/>
        </w:rPr>
        <w:t>, 2</w:t>
      </w:r>
      <w:r w:rsidRPr="00204E92">
        <w:rPr>
          <w:rFonts w:cs="Times New Roman"/>
          <w:b w:val="0"/>
          <w:sz w:val="18"/>
          <w:szCs w:val="18"/>
        </w:rPr>
        <w:t xml:space="preserve"> reduces agricultural production</w:t>
      </w:r>
      <w:r w:rsidRPr="00204E92">
        <w:rPr>
          <w:rFonts w:cs="Times New Roman"/>
          <w:b w:val="0"/>
          <w:noProof/>
          <w:sz w:val="18"/>
          <w:szCs w:val="18"/>
          <w:vertAlign w:val="superscript"/>
        </w:rPr>
        <w:t>3</w:t>
      </w:r>
      <w:r w:rsidRPr="00204E92">
        <w:rPr>
          <w:rFonts w:cs="Times New Roman"/>
          <w:b w:val="0"/>
          <w:sz w:val="18"/>
          <w:szCs w:val="18"/>
        </w:rPr>
        <w:t xml:space="preserve"> and threatens ecosystems.</w:t>
      </w:r>
      <w:r w:rsidRPr="00204E92">
        <w:rPr>
          <w:rFonts w:cs="Times New Roman"/>
          <w:b w:val="0"/>
          <w:noProof/>
          <w:sz w:val="18"/>
          <w:szCs w:val="18"/>
          <w:vertAlign w:val="superscript"/>
        </w:rPr>
        <w:t>4, 5</w:t>
      </w:r>
      <w:r w:rsidRPr="00204E92">
        <w:rPr>
          <w:rFonts w:cs="Times New Roman"/>
          <w:b w:val="0"/>
          <w:sz w:val="18"/>
          <w:szCs w:val="18"/>
        </w:rPr>
        <w:t xml:space="preserve"> Rapid urbanization and expansion of traffic and industry have made ozone pollution an important air quality concern in India. In summer, the maximum hourly ozone concentration can reach as high as 140 ppbv </w:t>
      </w:r>
      <w:r w:rsidRPr="00204E92">
        <w:rPr>
          <w:rFonts w:cs="Times New Roman"/>
          <w:b w:val="0"/>
          <w:sz w:val="18"/>
          <w:szCs w:val="18"/>
        </w:rPr>
        <w:lastRenderedPageBreak/>
        <w:t>in the capital city Delhi.</w:t>
      </w:r>
      <w:r w:rsidRPr="00204E92">
        <w:rPr>
          <w:rFonts w:cs="Times New Roman"/>
          <w:b w:val="0"/>
          <w:noProof/>
          <w:sz w:val="18"/>
          <w:szCs w:val="18"/>
          <w:vertAlign w:val="superscript"/>
        </w:rPr>
        <w:t>6</w:t>
      </w:r>
      <w:r w:rsidRPr="00204E92">
        <w:rPr>
          <w:rFonts w:cs="Times New Roman"/>
          <w:b w:val="0"/>
          <w:sz w:val="18"/>
          <w:szCs w:val="18"/>
        </w:rPr>
        <w:t xml:space="preserve"> This is comparable to the level in some polluted regions in China,</w:t>
      </w:r>
      <w:r w:rsidRPr="00204E92">
        <w:rPr>
          <w:rFonts w:cs="Times New Roman"/>
          <w:b w:val="0"/>
          <w:noProof/>
          <w:sz w:val="18"/>
          <w:szCs w:val="18"/>
          <w:vertAlign w:val="superscript"/>
        </w:rPr>
        <w:t>7</w:t>
      </w:r>
      <w:r w:rsidRPr="00204E92">
        <w:rPr>
          <w:rFonts w:cs="Times New Roman"/>
          <w:b w:val="0"/>
          <w:sz w:val="18"/>
          <w:szCs w:val="18"/>
        </w:rPr>
        <w:t xml:space="preserve"> and higher than that in polluted areas in the U.S. and Europe.</w:t>
      </w:r>
      <w:r w:rsidRPr="00204E92">
        <w:rPr>
          <w:rFonts w:cs="Times New Roman"/>
          <w:b w:val="0"/>
          <w:noProof/>
          <w:sz w:val="18"/>
          <w:szCs w:val="18"/>
          <w:vertAlign w:val="superscript"/>
        </w:rPr>
        <w:t>8-10</w:t>
      </w:r>
      <w:r w:rsidRPr="00204E92">
        <w:rPr>
          <w:rFonts w:cs="Times New Roman"/>
          <w:b w:val="0"/>
          <w:sz w:val="18"/>
          <w:szCs w:val="18"/>
        </w:rPr>
        <w:t xml:space="preserve"> About 12,000 premature deaths in India are estimated to have resulted from ozone exposure in 2011,</w:t>
      </w:r>
      <w:r w:rsidRPr="00204E92">
        <w:rPr>
          <w:rFonts w:cs="Times New Roman"/>
          <w:b w:val="0"/>
          <w:noProof/>
          <w:sz w:val="18"/>
          <w:szCs w:val="18"/>
          <w:vertAlign w:val="superscript"/>
        </w:rPr>
        <w:t>11</w:t>
      </w:r>
      <w:r w:rsidRPr="00204E92">
        <w:rPr>
          <w:rFonts w:cs="Times New Roman"/>
          <w:b w:val="0"/>
          <w:sz w:val="18"/>
          <w:szCs w:val="18"/>
        </w:rPr>
        <w:t xml:space="preserve"> and this is likely to have increased during the past decade due to increasing anthropogenic emissions and commensurate increases in ozone.</w:t>
      </w:r>
      <w:r w:rsidRPr="00204E92">
        <w:rPr>
          <w:rFonts w:cs="Times New Roman"/>
          <w:b w:val="0"/>
          <w:noProof/>
          <w:sz w:val="18"/>
          <w:szCs w:val="18"/>
          <w:vertAlign w:val="superscript"/>
        </w:rPr>
        <w:t>3, 12</w:t>
      </w:r>
      <w:r w:rsidRPr="00204E92">
        <w:rPr>
          <w:rFonts w:cs="Times New Roman"/>
          <w:b w:val="0"/>
          <w:sz w:val="18"/>
          <w:szCs w:val="18"/>
        </w:rPr>
        <w:t xml:space="preserve"> </w:t>
      </w:r>
      <w:bookmarkStart w:id="6" w:name="OLE_LINK11"/>
      <w:bookmarkStart w:id="7" w:name="OLE_LINK41"/>
      <w:r w:rsidRPr="00204E92">
        <w:rPr>
          <w:rFonts w:cs="Times New Roman"/>
          <w:b w:val="0"/>
          <w:sz w:val="18"/>
          <w:szCs w:val="18"/>
        </w:rPr>
        <w:t>This estimate could be conservative, since a more recent study shows a much stronger risk of ozone-induced respiratory deaths than previous studies, especially over India where there may be an extra 40-60 deaths per 100,000 people</w:t>
      </w:r>
      <w:bookmarkEnd w:id="6"/>
      <w:bookmarkEnd w:id="7"/>
      <w:r w:rsidRPr="00204E92">
        <w:rPr>
          <w:rFonts w:cs="Times New Roman"/>
          <w:b w:val="0"/>
          <w:sz w:val="18"/>
          <w:szCs w:val="18"/>
        </w:rPr>
        <w:t>.</w:t>
      </w:r>
      <w:r w:rsidRPr="00204E92">
        <w:rPr>
          <w:rFonts w:cs="Times New Roman"/>
          <w:b w:val="0"/>
          <w:noProof/>
          <w:sz w:val="18"/>
          <w:szCs w:val="18"/>
          <w:vertAlign w:val="superscript"/>
        </w:rPr>
        <w:t>13</w:t>
      </w:r>
      <w:r w:rsidRPr="00204E92">
        <w:rPr>
          <w:rFonts w:cs="Times New Roman"/>
          <w:b w:val="0"/>
          <w:sz w:val="18"/>
          <w:szCs w:val="18"/>
        </w:rPr>
        <w:t xml:space="preserve"> However, most recent studies that have investigated mitigation of air pollution in Delhi focus on reducing particulate matter (PM).</w:t>
      </w:r>
      <w:r w:rsidRPr="00204E92">
        <w:rPr>
          <w:rFonts w:cs="Times New Roman"/>
          <w:b w:val="0"/>
          <w:noProof/>
          <w:sz w:val="18"/>
          <w:szCs w:val="18"/>
          <w:vertAlign w:val="superscript"/>
        </w:rPr>
        <w:t>14-19</w:t>
      </w:r>
      <w:r w:rsidRPr="00204E92">
        <w:rPr>
          <w:rFonts w:cs="Times New Roman"/>
          <w:b w:val="0"/>
          <w:sz w:val="18"/>
          <w:szCs w:val="18"/>
        </w:rPr>
        <w:t xml:space="preserve"> Ozone could become a greater threat in India if mitigation measures focus on PM pollution alone,</w:t>
      </w:r>
      <w:r w:rsidRPr="00204E92">
        <w:rPr>
          <w:rFonts w:cs="Times New Roman"/>
          <w:b w:val="0"/>
          <w:noProof/>
          <w:sz w:val="18"/>
          <w:szCs w:val="18"/>
          <w:vertAlign w:val="superscript"/>
        </w:rPr>
        <w:t>20</w:t>
      </w:r>
      <w:r w:rsidRPr="00204E92">
        <w:rPr>
          <w:rFonts w:cs="Times New Roman"/>
          <w:b w:val="0"/>
          <w:sz w:val="18"/>
          <w:szCs w:val="18"/>
        </w:rPr>
        <w:t xml:space="preserve"> as has recently been observed in China.</w:t>
      </w:r>
      <w:r w:rsidRPr="00204E92">
        <w:rPr>
          <w:rFonts w:cs="Times New Roman"/>
          <w:b w:val="0"/>
          <w:noProof/>
          <w:sz w:val="18"/>
          <w:szCs w:val="18"/>
          <w:vertAlign w:val="superscript"/>
        </w:rPr>
        <w:t>21-23</w:t>
      </w:r>
      <w:r w:rsidRPr="00204E92">
        <w:rPr>
          <w:rFonts w:cs="Times New Roman"/>
          <w:b w:val="0"/>
          <w:sz w:val="18"/>
          <w:szCs w:val="18"/>
        </w:rPr>
        <w:t xml:space="preserve"> Thorough, science-based mitigation strategies to avoid high ozone pollution while also achieving goals for PM reduction are therefore urgently needed for India, especially for Delhi where a large population is regularly exposed to extremely unhealthy levels of air pollution.</w:t>
      </w:r>
      <w:r w:rsidRPr="00204E92">
        <w:rPr>
          <w:rFonts w:cs="Times New Roman"/>
          <w:b w:val="0"/>
          <w:noProof/>
          <w:sz w:val="18"/>
          <w:szCs w:val="18"/>
          <w:vertAlign w:val="superscript"/>
        </w:rPr>
        <w:t>19, 24-28</w:t>
      </w:r>
    </w:p>
    <w:p w:rsidR="00204E92" w:rsidRPr="00204E92" w:rsidRDefault="00204E92" w:rsidP="00B7008F">
      <w:pPr>
        <w:autoSpaceDE w:val="0"/>
        <w:autoSpaceDN w:val="0"/>
        <w:adjustRightInd w:val="0"/>
        <w:spacing w:after="0" w:line="240" w:lineRule="exact"/>
        <w:ind w:firstLineChars="200" w:firstLine="360"/>
        <w:jc w:val="both"/>
        <w:rPr>
          <w:rFonts w:cs="Times New Roman"/>
          <w:sz w:val="18"/>
          <w:szCs w:val="18"/>
        </w:rPr>
      </w:pPr>
      <w:r w:rsidRPr="00204E92">
        <w:rPr>
          <w:rFonts w:cs="Times New Roman"/>
          <w:sz w:val="18"/>
          <w:szCs w:val="18"/>
        </w:rPr>
        <w:t>Surface ozone is produced by solar radiation-driven photochemistry that involves nitrogen oxides (NOx = NO + NO</w:t>
      </w:r>
      <w:r w:rsidRPr="00204E92">
        <w:rPr>
          <w:rFonts w:cs="Times New Roman"/>
          <w:sz w:val="18"/>
          <w:szCs w:val="18"/>
          <w:vertAlign w:val="subscript"/>
        </w:rPr>
        <w:t>2</w:t>
      </w:r>
      <w:r w:rsidRPr="00204E92">
        <w:rPr>
          <w:rFonts w:cs="Times New Roman"/>
          <w:sz w:val="18"/>
          <w:szCs w:val="18"/>
        </w:rPr>
        <w:t xml:space="preserve">) and volatile organic compounds (VOC). Human economic activities, such transport, power generation and industrial production, are major anthropogenic sources of NOx and VOC in the urban region of </w:t>
      </w:r>
      <w:r w:rsidRPr="00204E92">
        <w:rPr>
          <w:rFonts w:cs="Times New Roman"/>
          <w:sz w:val="18"/>
          <w:szCs w:val="18"/>
        </w:rPr>
        <w:lastRenderedPageBreak/>
        <w:t>Delhi,</w:t>
      </w:r>
      <w:r w:rsidRPr="00204E92">
        <w:rPr>
          <w:rFonts w:cs="Times New Roman"/>
          <w:noProof/>
          <w:sz w:val="18"/>
          <w:szCs w:val="18"/>
          <w:vertAlign w:val="superscript"/>
        </w:rPr>
        <w:t>20, 29</w:t>
      </w:r>
      <w:r w:rsidRPr="00204E92">
        <w:rPr>
          <w:rFonts w:cs="Times New Roman"/>
          <w:sz w:val="18"/>
          <w:szCs w:val="18"/>
        </w:rPr>
        <w:t xml:space="preserve"> and biogenic emission is an important additional source for VOCs.</w:t>
      </w:r>
      <w:r w:rsidRPr="00204E92">
        <w:rPr>
          <w:rFonts w:cs="Times New Roman"/>
          <w:noProof/>
          <w:sz w:val="18"/>
          <w:szCs w:val="18"/>
          <w:vertAlign w:val="superscript"/>
        </w:rPr>
        <w:t>30</w:t>
      </w:r>
      <w:r w:rsidRPr="00204E92">
        <w:rPr>
          <w:rFonts w:cs="Times New Roman"/>
          <w:sz w:val="18"/>
          <w:szCs w:val="18"/>
        </w:rPr>
        <w:t xml:space="preserve"> VOCs of anthropogenic (such as toluene and benzene) and biogenic (such as monoterpene and isoprene) origin usually differ in species and possess different ozone production potentials.</w:t>
      </w:r>
      <w:r w:rsidRPr="00204E92">
        <w:rPr>
          <w:rFonts w:cs="Times New Roman"/>
          <w:noProof/>
          <w:sz w:val="18"/>
          <w:szCs w:val="18"/>
          <w:vertAlign w:val="superscript"/>
        </w:rPr>
        <w:t>31, 32</w:t>
      </w:r>
      <w:r w:rsidRPr="00204E92">
        <w:rPr>
          <w:rFonts w:cs="Times New Roman"/>
          <w:sz w:val="18"/>
          <w:szCs w:val="18"/>
        </w:rPr>
        <w:t xml:space="preserve"> These gaseous VOCs are typically oxidized by hydroxy radicals (OH), which are photochemically produced from ozone, formaldehyde, HONO and other precursors in the presence of sunlight. The oxidation products facilitate ozone production in the daytime, in the presence of NOx (see ref. </w:t>
      </w:r>
      <w:r w:rsidRPr="00204E92">
        <w:rPr>
          <w:rFonts w:cs="Times New Roman"/>
          <w:noProof/>
          <w:sz w:val="18"/>
          <w:szCs w:val="18"/>
          <w:vertAlign w:val="superscript"/>
        </w:rPr>
        <w:t>33</w:t>
      </w:r>
      <w:r w:rsidRPr="00204E92">
        <w:rPr>
          <w:rFonts w:cs="Times New Roman"/>
          <w:sz w:val="18"/>
          <w:szCs w:val="18"/>
        </w:rPr>
        <w:t xml:space="preserve"> and references therein). </w:t>
      </w:r>
      <w:bookmarkStart w:id="8" w:name="OLE_LINK31"/>
      <w:bookmarkStart w:id="9" w:name="OLE_LINK32"/>
      <w:r w:rsidRPr="00204E92">
        <w:rPr>
          <w:rFonts w:cs="Times New Roman"/>
          <w:sz w:val="18"/>
          <w:szCs w:val="18"/>
        </w:rPr>
        <w:t>PM also has a large impact on ozone photochemistry by attenuating incoming solar radiation (aerosol dimming effect)</w:t>
      </w:r>
      <w:r w:rsidRPr="00204E92">
        <w:rPr>
          <w:rFonts w:cs="Times New Roman"/>
          <w:noProof/>
          <w:sz w:val="18"/>
          <w:szCs w:val="18"/>
          <w:vertAlign w:val="superscript"/>
        </w:rPr>
        <w:t>34</w:t>
      </w:r>
      <w:r w:rsidRPr="00204E92">
        <w:rPr>
          <w:rFonts w:cs="Times New Roman"/>
          <w:sz w:val="18"/>
          <w:szCs w:val="18"/>
        </w:rPr>
        <w:t xml:space="preserve"> and by scavenging radicals.</w:t>
      </w:r>
      <w:r w:rsidRPr="00204E92">
        <w:rPr>
          <w:rFonts w:cs="Times New Roman"/>
          <w:noProof/>
          <w:sz w:val="18"/>
          <w:szCs w:val="18"/>
          <w:vertAlign w:val="superscript"/>
        </w:rPr>
        <w:t>21, 22</w:t>
      </w:r>
      <w:bookmarkEnd w:id="8"/>
      <w:bookmarkEnd w:id="9"/>
    </w:p>
    <w:p w:rsidR="00204E92" w:rsidRPr="00204E92" w:rsidRDefault="00204E92" w:rsidP="00B7008F">
      <w:pPr>
        <w:autoSpaceDE w:val="0"/>
        <w:autoSpaceDN w:val="0"/>
        <w:adjustRightInd w:val="0"/>
        <w:spacing w:after="0" w:line="240" w:lineRule="exact"/>
        <w:ind w:firstLineChars="200" w:firstLine="360"/>
        <w:jc w:val="both"/>
        <w:rPr>
          <w:rFonts w:cs="Times New Roman"/>
          <w:sz w:val="18"/>
          <w:szCs w:val="18"/>
        </w:rPr>
      </w:pPr>
      <w:r w:rsidRPr="00204E92">
        <w:rPr>
          <w:rFonts w:cs="Times New Roman"/>
          <w:sz w:val="18"/>
          <w:szCs w:val="18"/>
        </w:rPr>
        <w:t>Most studies to investigating ozone photochemistry in India have focused on the contribution of gaseous precursors to ozone production, attributing increases in ozone to the rapid increase in anthropogenic emissions.</w:t>
      </w:r>
      <w:r w:rsidRPr="00204E92">
        <w:rPr>
          <w:rFonts w:cs="Times New Roman"/>
          <w:noProof/>
          <w:sz w:val="18"/>
          <w:szCs w:val="18"/>
          <w:vertAlign w:val="superscript"/>
        </w:rPr>
        <w:t>3, 6, 35-37</w:t>
      </w:r>
      <w:r w:rsidRPr="00204E92">
        <w:rPr>
          <w:rFonts w:cs="Times New Roman"/>
          <w:sz w:val="18"/>
          <w:szCs w:val="18"/>
        </w:rPr>
        <w:t xml:space="preserve"> Recent studies argue that a reduction in PM could also lead to an increase in ozone,</w:t>
      </w:r>
      <w:r w:rsidRPr="00204E92">
        <w:rPr>
          <w:rFonts w:cs="Times New Roman"/>
          <w:noProof/>
          <w:sz w:val="18"/>
          <w:szCs w:val="18"/>
          <w:vertAlign w:val="superscript"/>
        </w:rPr>
        <w:t>20-22</w:t>
      </w:r>
      <w:r w:rsidRPr="00204E92">
        <w:rPr>
          <w:rFonts w:cs="Times New Roman"/>
          <w:sz w:val="18"/>
          <w:szCs w:val="18"/>
        </w:rPr>
        <w:t xml:space="preserve"> making the non-linear NOx-VOC-ozone relationship even more complex. A better understanding of this relationship is critical for formulating effective mitigation strategies to </w:t>
      </w:r>
      <w:bookmarkStart w:id="10" w:name="OLE_LINK24"/>
      <w:r w:rsidRPr="00204E92">
        <w:rPr>
          <w:rFonts w:cs="Times New Roman"/>
          <w:sz w:val="18"/>
          <w:szCs w:val="18"/>
        </w:rPr>
        <w:t xml:space="preserve">achieve the reduction in </w:t>
      </w:r>
      <w:bookmarkEnd w:id="10"/>
      <w:r w:rsidRPr="00204E92">
        <w:rPr>
          <w:rFonts w:cs="Times New Roman"/>
          <w:sz w:val="18"/>
          <w:szCs w:val="18"/>
        </w:rPr>
        <w:t xml:space="preserve">PM in Delhi whilst avoiding increased ozone pollution.  </w:t>
      </w:r>
    </w:p>
    <w:p w:rsidR="00204E92" w:rsidRPr="00204E92" w:rsidRDefault="00204E92" w:rsidP="00B7008F">
      <w:pPr>
        <w:autoSpaceDE w:val="0"/>
        <w:autoSpaceDN w:val="0"/>
        <w:adjustRightInd w:val="0"/>
        <w:spacing w:after="0" w:line="240" w:lineRule="exact"/>
        <w:ind w:firstLineChars="200" w:firstLine="360"/>
        <w:jc w:val="both"/>
        <w:rPr>
          <w:rFonts w:cs="Times New Roman"/>
          <w:sz w:val="18"/>
          <w:szCs w:val="18"/>
        </w:rPr>
      </w:pPr>
      <w:r w:rsidRPr="00204E92">
        <w:rPr>
          <w:rFonts w:cs="Times New Roman"/>
          <w:sz w:val="18"/>
          <w:szCs w:val="18"/>
        </w:rPr>
        <w:t xml:space="preserve">In this study, we combine in-situ observations and model analysis to improve understanding of the factors controlling ozone production in Delhi and investigate the impact of the aerosol dimming effect on the non-linear relationship between VOC, NOx, and ozone in summer and winter. We explore the relationship using a series of nearly nine thousand sensitivity simulations performed with a photochemical box model. </w:t>
      </w:r>
      <w:bookmarkStart w:id="11" w:name="OLE_LINK29"/>
      <w:bookmarkStart w:id="12" w:name="OLE_LINK30"/>
      <w:r w:rsidRPr="00204E92">
        <w:rPr>
          <w:rFonts w:cs="Times New Roman"/>
          <w:sz w:val="18"/>
          <w:szCs w:val="18"/>
        </w:rPr>
        <w:t xml:space="preserve">To the best of our knowledge, this study presents the most exhaustive investigation of how the dimming effect of light scattering by PM impacts ozone photochemistry in Delhi. </w:t>
      </w:r>
      <w:bookmarkEnd w:id="11"/>
      <w:bookmarkEnd w:id="12"/>
      <w:r w:rsidRPr="00204E92">
        <w:rPr>
          <w:rFonts w:cs="Times New Roman"/>
          <w:sz w:val="18"/>
          <w:szCs w:val="18"/>
        </w:rPr>
        <w:t xml:space="preserve">Our results provide guidance on the optimal choice of mitigation strategies to improve air quality in Delhi for both PM and ozone. </w:t>
      </w:r>
    </w:p>
    <w:p w:rsidR="00204E92" w:rsidRPr="002C09A1" w:rsidRDefault="00204E92" w:rsidP="002C09A1">
      <w:pPr>
        <w:pStyle w:val="RSCB04AHeadingSection"/>
      </w:pPr>
      <w:r w:rsidRPr="002C09A1">
        <w:t xml:space="preserve">Materials and Methods </w:t>
      </w:r>
    </w:p>
    <w:p w:rsidR="00204E92" w:rsidRPr="002C09A1" w:rsidRDefault="00204E92" w:rsidP="002C09A1">
      <w:pPr>
        <w:pStyle w:val="RSCB06BHeadingSub-Section"/>
      </w:pPr>
      <w:r w:rsidRPr="002C09A1">
        <w:t>Observations</w:t>
      </w:r>
    </w:p>
    <w:p w:rsidR="00651780" w:rsidRDefault="002C09A1" w:rsidP="00651780">
      <w:pPr>
        <w:pStyle w:val="RSCB04AHeadingSection"/>
        <w:spacing w:before="0" w:after="0" w:line="240" w:lineRule="exact"/>
        <w:ind w:firstLineChars="200" w:firstLine="360"/>
        <w:jc w:val="both"/>
        <w:rPr>
          <w:rFonts w:cs="Times New Roman"/>
          <w:b w:val="0"/>
          <w:sz w:val="18"/>
          <w:szCs w:val="18"/>
        </w:rPr>
      </w:pPr>
      <w:r w:rsidRPr="002C09A1">
        <w:rPr>
          <w:rFonts w:cs="Times New Roman"/>
          <w:b w:val="0"/>
          <w:sz w:val="18"/>
          <w:szCs w:val="18"/>
        </w:rPr>
        <w:t>Measurements of ozone, NOx, CO and non-methane VOC concentrations near the surface were made during 1-8</w:t>
      </w:r>
      <w:r w:rsidRPr="002C09A1">
        <w:rPr>
          <w:rFonts w:cs="Times New Roman"/>
          <w:b w:val="0"/>
          <w:sz w:val="18"/>
          <w:szCs w:val="18"/>
          <w:vertAlign w:val="superscript"/>
        </w:rPr>
        <w:t>th</w:t>
      </w:r>
      <w:r w:rsidRPr="002C09A1">
        <w:rPr>
          <w:rFonts w:cs="Times New Roman"/>
          <w:b w:val="0"/>
          <w:sz w:val="18"/>
          <w:szCs w:val="18"/>
        </w:rPr>
        <w:t xml:space="preserve"> June and 5-23</w:t>
      </w:r>
      <w:r w:rsidRPr="002C09A1">
        <w:rPr>
          <w:rFonts w:cs="Times New Roman"/>
          <w:b w:val="0"/>
          <w:sz w:val="18"/>
          <w:szCs w:val="18"/>
          <w:vertAlign w:val="superscript"/>
        </w:rPr>
        <w:t>rd</w:t>
      </w:r>
      <w:r w:rsidRPr="002C09A1">
        <w:rPr>
          <w:rFonts w:cs="Times New Roman"/>
          <w:b w:val="0"/>
          <w:sz w:val="18"/>
          <w:szCs w:val="18"/>
        </w:rPr>
        <w:t xml:space="preserve"> November 2018 in Delhi, during the APHH-India programme (https://www.urbanair-india.org/). The observational site is located at the </w:t>
      </w:r>
      <w:bookmarkStart w:id="13" w:name="OLE_LINK5"/>
      <w:bookmarkStart w:id="14" w:name="OLE_LINK6"/>
      <w:r w:rsidRPr="002C09A1">
        <w:rPr>
          <w:rFonts w:cs="Times New Roman"/>
          <w:b w:val="0"/>
          <w:sz w:val="18"/>
          <w:szCs w:val="18"/>
        </w:rPr>
        <w:t>Indira Gandhi Delhi Technical University for Women</w:t>
      </w:r>
      <w:bookmarkEnd w:id="13"/>
      <w:bookmarkEnd w:id="14"/>
      <w:r w:rsidRPr="002C09A1">
        <w:rPr>
          <w:rFonts w:cs="Times New Roman"/>
          <w:b w:val="0"/>
          <w:sz w:val="18"/>
          <w:szCs w:val="18"/>
        </w:rPr>
        <w:t xml:space="preserve"> (IGDTUW, 28.665 </w:t>
      </w:r>
      <w:r w:rsidRPr="002C09A1">
        <w:rPr>
          <w:rFonts w:cs="Times New Roman"/>
          <w:b w:val="0"/>
          <w:sz w:val="18"/>
          <w:szCs w:val="18"/>
          <w:vertAlign w:val="superscript"/>
        </w:rPr>
        <w:t>o</w:t>
      </w:r>
      <w:r w:rsidRPr="002C09A1">
        <w:rPr>
          <w:rFonts w:cs="Times New Roman"/>
          <w:b w:val="0"/>
          <w:sz w:val="18"/>
          <w:szCs w:val="18"/>
        </w:rPr>
        <w:t xml:space="preserve">N, 77.232 </w:t>
      </w:r>
      <w:r w:rsidRPr="002C09A1">
        <w:rPr>
          <w:rFonts w:cs="Times New Roman"/>
          <w:b w:val="0"/>
          <w:sz w:val="18"/>
          <w:szCs w:val="18"/>
          <w:vertAlign w:val="superscript"/>
        </w:rPr>
        <w:t>o</w:t>
      </w:r>
      <w:r w:rsidRPr="002C09A1">
        <w:rPr>
          <w:rFonts w:cs="Times New Roman"/>
          <w:b w:val="0"/>
          <w:sz w:val="18"/>
          <w:szCs w:val="18"/>
        </w:rPr>
        <w:t xml:space="preserve">E), at 7 m above ground level in June and at 35 m in November. The IGDTUW campus is located in the densely populated district of Old Delhi. Ozone concentrations were measured with a TEI 49C UV absorption analyser, which was calibrated to the UK’s National Physical Laboratory standard using a TEI 49PS. NOx concentrations were measured with a dual-channel high-resolution chemiluminescence instrument (Air Quality Designs Inc., Colorado). CO concentrations were measured with an Aerolaser AL 5002 UVU instrument. VOCconcentrations were measured using a Proton Transfer Reaction-Quadrupole ion guide Time of Flight-Mass Spectrometer (PTR-QiTOF 2000, Ionicon Analytik, Innsbruck, Austria). The instruments for NOx and CO measurements were well calibrated during the observations using procedures similar to those described by ref. </w:t>
      </w:r>
      <w:r w:rsidRPr="002C09A1">
        <w:rPr>
          <w:rFonts w:cs="Times New Roman"/>
          <w:b w:val="0"/>
          <w:noProof/>
          <w:sz w:val="18"/>
          <w:szCs w:val="18"/>
          <w:vertAlign w:val="superscript"/>
        </w:rPr>
        <w:t>38</w:t>
      </w:r>
      <w:r w:rsidRPr="002C09A1">
        <w:rPr>
          <w:rFonts w:cs="Times New Roman"/>
          <w:b w:val="0"/>
          <w:sz w:val="18"/>
          <w:szCs w:val="18"/>
        </w:rPr>
        <w:t xml:space="preserve">. The PTR-QiTOF was calibrated daily using a 19 component VOC standard (Apel-Riemer Environmental, Miami, USA). </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tblGrid>
      <w:tr w:rsidR="00651780" w:rsidTr="00C06F0E">
        <w:trPr>
          <w:jc w:val="center"/>
        </w:trPr>
        <w:tc>
          <w:tcPr>
            <w:tcW w:w="8296" w:type="dxa"/>
          </w:tcPr>
          <w:p w:rsidR="00651780" w:rsidRDefault="00651780" w:rsidP="00C06F0E">
            <w:pPr>
              <w:jc w:val="center"/>
            </w:pPr>
            <w:r w:rsidRPr="00F6483A">
              <w:rPr>
                <w:rFonts w:ascii="Times New Roman" w:hAnsi="Times New Roman" w:cs="Times New Roman"/>
                <w:noProof/>
                <w:sz w:val="24"/>
                <w:szCs w:val="24"/>
                <w:lang w:val="en-US" w:eastAsia="zh-CN"/>
              </w:rPr>
              <w:lastRenderedPageBreak/>
              <mc:AlternateContent>
                <mc:Choice Requires="wps">
                  <w:drawing>
                    <wp:anchor distT="45720" distB="45720" distL="114300" distR="114300" simplePos="0" relativeHeight="251680768" behindDoc="0" locked="0" layoutInCell="1" allowOverlap="1" wp14:anchorId="54780A4B" wp14:editId="1C2FCB12">
                      <wp:simplePos x="0" y="0"/>
                      <wp:positionH relativeFrom="column">
                        <wp:posOffset>-75267</wp:posOffset>
                      </wp:positionH>
                      <wp:positionV relativeFrom="paragraph">
                        <wp:posOffset>-5865</wp:posOffset>
                      </wp:positionV>
                      <wp:extent cx="565150" cy="1404620"/>
                      <wp:effectExtent l="0" t="0" r="0" b="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641C0E" w:rsidRDefault="00651780" w:rsidP="00651780">
                                  <w:pPr>
                                    <w:rPr>
                                      <w:rFonts w:ascii="Times New Roman" w:hAnsi="Times New Roman" w:cs="Times New Roman"/>
                                      <w:b/>
                                      <w:sz w:val="24"/>
                                    </w:rPr>
                                  </w:pPr>
                                  <w:r w:rsidRPr="00641C0E">
                                    <w:rPr>
                                      <w:rFonts w:ascii="Times New Roman" w:hAnsi="Times New Roman" w:cs="Times New Roman"/>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80A4B" id="文本框 2" o:spid="_x0000_s1027" type="#_x0000_t202" style="position:absolute;left:0;text-align:left;margin-left:-5.95pt;margin-top:-.45pt;width:44.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6DHgIAAPsDAAAOAAAAZHJzL2Uyb0RvYy54bWysU82O0zAQviPxDpbvNEnVdHejpqtllyKk&#10;5UdaeADXcRoL22Nst8nyAPAGnLhw57n6HIydtlRwQ+RgjTMz38z3zXhxPWhFdsJ5CaamxSSnRBgO&#10;jTSbmn54v3p2SYkPzDRMgRE1fRSeXi+fPln0thJT6EA1whEEMb7qbU27EGyVZZ53QjM/ASsMOltw&#10;mgW8uk3WONYjulbZNM/nWQ+usQ648B7/3o1Oukz4bSt4eNu2XgSiaoq9hXS6dK7jmS0XrNo4ZjvJ&#10;D22wf+hCM2mw6AnqjgVGtk7+BaUld+ChDRMOOoO2lVwkDsimyP9g89AxKxIXFMfbk0z+/8HyN7t3&#10;jsgGZ3dBiWEaZ7T/9nX//ef+xxcyjfr01lcY9mAxMAzPYcDYxNXbe+AfPTFw2zGzETfOQd8J1mB/&#10;RczMzlJHHB9B1v1raLAO2wZIQEPrdBQP5SCIjnN6PM1GDIFw/FnOy6JED0dXMctn82kaXsaqY7Z1&#10;PrwUoEk0aupw9gmd7e59iN2w6hgSixlYSaXS/JUhfU2vymmZEs48WgZcTyV1TS/z+I0LE0m+ME1K&#10;Dkyq0cYCyhxYR6Ij5TCsh1Hgo5hraB5RBgfjNuLrQaMD95mSHjexpv7TljlBiXplUMqrYjaLq5su&#10;s/ICiRN37lmfe5jhCFXTQMlo3oa07pGytzco+UomNeJsxk4OLeOGJZEOryGu8Pk9Rf1+s8tfAAAA&#10;//8DAFBLAwQUAAYACAAAACEAFfC22N0AAAAIAQAADwAAAGRycy9kb3ducmV2LnhtbEyPwU7DMBBE&#10;70j8g7VI3Fo7QSKQxqkq1JYjtESc3dhNIuK1Zbtp+HuWE5x2VzOafVOtZzuyyYQ4OJSQLQUwg63T&#10;A3YSmo/d4glYTAq1Gh0aCd8mwrq+valUqd0VD2Y6po5RCMZSSehT8iXnse2NVXHpvEHSzi5YlegM&#10;HddBXSncjjwX4pFbNSB96JU3L71pv44XK8Envy9ew9v7ZrubRPO5b/Kh20p5fzdvVsCSmdOfGX7x&#10;CR1qYjq5C+rIRgmLLHsmKy00SC+KDNhJQp6LB+B1xf8XqH8AAAD//wMAUEsBAi0AFAAGAAgAAAAh&#10;ALaDOJL+AAAA4QEAABMAAAAAAAAAAAAAAAAAAAAAAFtDb250ZW50X1R5cGVzXS54bWxQSwECLQAU&#10;AAYACAAAACEAOP0h/9YAAACUAQAACwAAAAAAAAAAAAAAAAAvAQAAX3JlbHMvLnJlbHNQSwECLQAU&#10;AAYACAAAACEANtKOgx4CAAD7AwAADgAAAAAAAAAAAAAAAAAuAgAAZHJzL2Uyb0RvYy54bWxQSwEC&#10;LQAUAAYACAAAACEAFfC22N0AAAAIAQAADwAAAAAAAAAAAAAAAAB4BAAAZHJzL2Rvd25yZXYueG1s&#10;UEsFBgAAAAAEAAQA8wAAAIIFAAAAAA==&#10;" filled="f" stroked="f">
                      <v:textbox style="mso-fit-shape-to-text:t">
                        <w:txbxContent>
                          <w:p w:rsidR="00651780" w:rsidRPr="00641C0E" w:rsidRDefault="00651780" w:rsidP="00651780">
                            <w:pPr>
                              <w:rPr>
                                <w:rFonts w:ascii="Times New Roman" w:hAnsi="Times New Roman" w:cs="Times New Roman"/>
                                <w:b/>
                                <w:sz w:val="24"/>
                              </w:rPr>
                            </w:pPr>
                            <w:r w:rsidRPr="00641C0E">
                              <w:rPr>
                                <w:rFonts w:ascii="Times New Roman" w:hAnsi="Times New Roman" w:cs="Times New Roman"/>
                                <w:b/>
                                <w:sz w:val="24"/>
                              </w:rPr>
                              <w:t>(a)</w:t>
                            </w:r>
                          </w:p>
                        </w:txbxContent>
                      </v:textbox>
                    </v:shape>
                  </w:pict>
                </mc:Fallback>
              </mc:AlternateContent>
            </w:r>
            <w:r w:rsidRPr="000302C1">
              <w:rPr>
                <w:noProof/>
                <w:lang w:val="en-US" w:eastAsia="zh-CN"/>
              </w:rPr>
              <w:drawing>
                <wp:inline distT="0" distB="0" distL="0" distR="0" wp14:anchorId="708E33A0" wp14:editId="1A5F62E9">
                  <wp:extent cx="2573138" cy="2160000"/>
                  <wp:effectExtent l="0" t="0" r="0" b="0"/>
                  <wp:docPr id="25" name="图片 25" descr="E:\googledrive\PROMOTE Delhi\Papers\paper06_ozone_HO2_OZIPR_Delhi\fig\fig_emf\Hysplit_WRF_Delhi_2018JUNE_3day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ogledrive\PROMOTE Delhi\Papers\paper06_ozone_HO2_OZIPR_Delhi\fig\fig_emf\Hysplit_WRF_Delhi_2018JUNE_3days.e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86" b="3494"/>
                          <a:stretch/>
                        </pic:blipFill>
                        <pic:spPr bwMode="auto">
                          <a:xfrm>
                            <a:off x="0" y="0"/>
                            <a:ext cx="2573138"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780" w:rsidTr="00C06F0E">
        <w:trPr>
          <w:jc w:val="center"/>
        </w:trPr>
        <w:tc>
          <w:tcPr>
            <w:tcW w:w="8296" w:type="dxa"/>
          </w:tcPr>
          <w:p w:rsidR="00651780" w:rsidRDefault="00651780" w:rsidP="00C06F0E">
            <w:pPr>
              <w:jc w:val="center"/>
            </w:pPr>
            <w:r w:rsidRPr="00F6483A">
              <w:rPr>
                <w:rFonts w:ascii="Times New Roman" w:hAnsi="Times New Roman" w:cs="Times New Roman"/>
                <w:noProof/>
                <w:sz w:val="24"/>
                <w:szCs w:val="24"/>
                <w:lang w:val="en-US" w:eastAsia="zh-CN"/>
              </w:rPr>
              <mc:AlternateContent>
                <mc:Choice Requires="wps">
                  <w:drawing>
                    <wp:anchor distT="45720" distB="45720" distL="114300" distR="114300" simplePos="0" relativeHeight="251681792" behindDoc="0" locked="0" layoutInCell="1" allowOverlap="1" wp14:anchorId="586239C4" wp14:editId="4B4F0C17">
                      <wp:simplePos x="0" y="0"/>
                      <wp:positionH relativeFrom="column">
                        <wp:posOffset>-64697</wp:posOffset>
                      </wp:positionH>
                      <wp:positionV relativeFrom="paragraph">
                        <wp:posOffset>-3325</wp:posOffset>
                      </wp:positionV>
                      <wp:extent cx="565150" cy="1404620"/>
                      <wp:effectExtent l="0" t="0" r="0"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641C0E" w:rsidRDefault="00651780" w:rsidP="00651780">
                                  <w:pPr>
                                    <w:rPr>
                                      <w:rFonts w:ascii="Times New Roman" w:hAnsi="Times New Roman" w:cs="Times New Roman"/>
                                      <w:b/>
                                      <w:sz w:val="24"/>
                                    </w:rPr>
                                  </w:pPr>
                                  <w:r w:rsidRPr="00641C0E">
                                    <w:rPr>
                                      <w:rFonts w:ascii="Times New Roman" w:hAnsi="Times New Roman" w:cs="Times New Roman"/>
                                      <w:b/>
                                      <w:sz w:val="24"/>
                                    </w:rPr>
                                    <w:t>(</w:t>
                                  </w:r>
                                  <w:r>
                                    <w:rPr>
                                      <w:rFonts w:ascii="Times New Roman" w:hAnsi="Times New Roman" w:cs="Times New Roman"/>
                                      <w:b/>
                                      <w:sz w:val="24"/>
                                    </w:rPr>
                                    <w:t>b</w:t>
                                  </w:r>
                                  <w:r w:rsidRPr="00641C0E">
                                    <w:rPr>
                                      <w:rFonts w:ascii="Times New Roman" w:hAnsi="Times New Roman" w:cs="Times New Roman"/>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239C4" id="_x0000_s1028" type="#_x0000_t202" style="position:absolute;left:0;text-align:left;margin-left:-5.1pt;margin-top:-.25pt;width:44.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UOHgIAAPsDAAAOAAAAZHJzL2Uyb0RvYy54bWysU82O0zAQviPxDpbvND9Kym7UdLXsUoS0&#10;/EgLD+A6TmPheIztNlkegH0DTly481x9DsZOWyq4IXKwxpmZb+b7Zry4GntFdsI6Cbqm2SylRGgO&#10;jdSbmn78sHp2QYnzTDdMgRY1fRCOXi2fPlkMphI5dKAaYQmCaFcNpqad96ZKEsc70TM3AyM0Oluw&#10;PfN4tZuksWxA9F4leZrOkwFsYyxw4Rz+vZ2cdBnx21Zw/65tnfBE1RR78/G08VyHM1kuWLWxzHSS&#10;H9pg/9BFz6TGoieoW+YZ2Vr5F1QvuQUHrZ9x6BNoW8lF5IBssvQPNvcdMyJyQXGcOcnk/h8sf7t7&#10;b4lsapoXlGjW44z23x7333/uf3wledBnMK7CsHuDgX58ASPOOXJ15g74J0c03HRMb8S1tTB0gjXY&#10;XxYyk7PUCccFkPXwBhqsw7YeItDY2j6Ih3IQRMc5PZxmI0ZPOP4s52VWooejKyvSYp7H4SWsOmYb&#10;6/wrAT0JRk0tzj6is92d86EbVh1DQjENK6lUnL/SZKjpZZmXMeHM00uP66lkX9OLNHzTwgSSL3UT&#10;kz2TarKxgNIH1oHoRNmP63ES+CjmGpoHlMHCtI34etDowH6hZMBNrKn7vGVWUKJea5TyMiuKsLrx&#10;UpTPkTix5571uYdpjlA19ZRM5o2P6x4oO3ONkq9kVCPMZurk0DJuWBTp8BrCCp/fY9TvN7v8BQAA&#10;//8DAFBLAwQUAAYACAAAACEA0FOen9wAAAAIAQAADwAAAGRycy9kb3ducmV2LnhtbEyPzU7DMBCE&#10;70i8g7VI3Fq7liBViFNVqC1HoI04u/GSRMQ/st00vD3LCW47mtHsN9VmtiObMKbBOwWrpQCGrvVm&#10;cJ2C5rRfrIGlrJ3Ro3eo4BsTbOrbm0qXxl/dO07H3DEqcanUCvqcQ8l5anu0Oi19QEfep49WZ5Kx&#10;4ybqK5XbkUshHrnVg6MPvQ743GP7dbxYBSGHQ/ESX9+2u/0kmo9DI4dup9T93bx9ApZxzn9h+MUn&#10;dKiJ6ewvziQ2KlishKQoHQ/AyC/WtOSsQEpRAK8r/n9A/QMAAP//AwBQSwECLQAUAAYACAAAACEA&#10;toM4kv4AAADhAQAAEwAAAAAAAAAAAAAAAAAAAAAAW0NvbnRlbnRfVHlwZXNdLnhtbFBLAQItABQA&#10;BgAIAAAAIQA4/SH/1gAAAJQBAAALAAAAAAAAAAAAAAAAAC8BAABfcmVscy8ucmVsc1BLAQItABQA&#10;BgAIAAAAIQAxJrUOHgIAAPsDAAAOAAAAAAAAAAAAAAAAAC4CAABkcnMvZTJvRG9jLnhtbFBLAQIt&#10;ABQABgAIAAAAIQDQU56f3AAAAAgBAAAPAAAAAAAAAAAAAAAAAHgEAABkcnMvZG93bnJldi54bWxQ&#10;SwUGAAAAAAQABADzAAAAgQUAAAAA&#10;" filled="f" stroked="f">
                      <v:textbox style="mso-fit-shape-to-text:t">
                        <w:txbxContent>
                          <w:p w:rsidR="00651780" w:rsidRPr="00641C0E" w:rsidRDefault="00651780" w:rsidP="00651780">
                            <w:pPr>
                              <w:rPr>
                                <w:rFonts w:ascii="Times New Roman" w:hAnsi="Times New Roman" w:cs="Times New Roman"/>
                                <w:b/>
                                <w:sz w:val="24"/>
                              </w:rPr>
                            </w:pPr>
                            <w:r w:rsidRPr="00641C0E">
                              <w:rPr>
                                <w:rFonts w:ascii="Times New Roman" w:hAnsi="Times New Roman" w:cs="Times New Roman"/>
                                <w:b/>
                                <w:sz w:val="24"/>
                              </w:rPr>
                              <w:t>(</w:t>
                            </w:r>
                            <w:r>
                              <w:rPr>
                                <w:rFonts w:ascii="Times New Roman" w:hAnsi="Times New Roman" w:cs="Times New Roman"/>
                                <w:b/>
                                <w:sz w:val="24"/>
                              </w:rPr>
                              <w:t>b</w:t>
                            </w:r>
                            <w:r w:rsidRPr="00641C0E">
                              <w:rPr>
                                <w:rFonts w:ascii="Times New Roman" w:hAnsi="Times New Roman" w:cs="Times New Roman"/>
                                <w:b/>
                                <w:sz w:val="24"/>
                              </w:rPr>
                              <w:t>)</w:t>
                            </w:r>
                          </w:p>
                        </w:txbxContent>
                      </v:textbox>
                    </v:shape>
                  </w:pict>
                </mc:Fallback>
              </mc:AlternateContent>
            </w:r>
            <w:r w:rsidRPr="00D67857">
              <w:rPr>
                <w:noProof/>
                <w:lang w:val="en-US" w:eastAsia="zh-CN"/>
              </w:rPr>
              <w:drawing>
                <wp:inline distT="0" distB="0" distL="0" distR="0" wp14:anchorId="328F99CF" wp14:editId="4A0C70AB">
                  <wp:extent cx="2551724" cy="2160000"/>
                  <wp:effectExtent l="0" t="0" r="1270" b="0"/>
                  <wp:docPr id="26" name="图片 26" descr="E:\googledrive\PROMOTE Delhi\Papers\paper06_ozone_HO2_OZIPR_Delhi\fig\fig_emf\Hysplit_WRF_Delhi_2018Nov_3day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ogledrive\PROMOTE Delhi\Papers\paper06_ozone_HO2_OZIPR_Delhi\fig\fig_emf\Hysplit_WRF_Delhi_2018Nov_3days.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05" b="2809"/>
                          <a:stretch/>
                        </pic:blipFill>
                        <pic:spPr bwMode="auto">
                          <a:xfrm>
                            <a:off x="0" y="0"/>
                            <a:ext cx="2551724"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780" w:rsidTr="00C06F0E">
        <w:trPr>
          <w:jc w:val="center"/>
        </w:trPr>
        <w:tc>
          <w:tcPr>
            <w:tcW w:w="8296" w:type="dxa"/>
          </w:tcPr>
          <w:p w:rsidR="00651780" w:rsidRPr="006B4687" w:rsidRDefault="00651780" w:rsidP="00C06F0E">
            <w:pPr>
              <w:spacing w:line="240" w:lineRule="exact"/>
              <w:jc w:val="both"/>
              <w:rPr>
                <w:sz w:val="18"/>
                <w:szCs w:val="18"/>
              </w:rPr>
            </w:pPr>
            <w:r w:rsidRPr="006B4687">
              <w:rPr>
                <w:rFonts w:cs="Times New Roman"/>
                <w:b/>
                <w:sz w:val="18"/>
                <w:szCs w:val="18"/>
              </w:rPr>
              <w:t xml:space="preserve">Figure 1. Three-day air mass back-trajectory for Delhi, </w:t>
            </w:r>
            <w:r w:rsidRPr="006B4687">
              <w:rPr>
                <w:rFonts w:cs="Times New Roman"/>
                <w:sz w:val="18"/>
                <w:szCs w:val="18"/>
              </w:rPr>
              <w:t>for the selected days in June (a) and November (b). The back-trajectories for 00:00 and 12:00 UTC on each day are calculated based on the high-resolution meteorology field from WRF model. The background colors indicate the anthropogenic VOC emissions from EDGAR-HTAP 2010 dataset (https://edgar.jrc.ec.europa.eu/). The data of the boundaries of administrative areas are sourced from https://gadm.org/.</w:t>
            </w:r>
          </w:p>
        </w:tc>
      </w:tr>
    </w:tbl>
    <w:p w:rsidR="00651780" w:rsidRPr="00651780" w:rsidRDefault="00651780" w:rsidP="00651780">
      <w:pPr>
        <w:pStyle w:val="RSCB04AHeadingSection"/>
        <w:spacing w:before="0" w:after="0" w:line="240" w:lineRule="exact"/>
        <w:ind w:firstLineChars="200" w:firstLine="360"/>
        <w:jc w:val="both"/>
        <w:rPr>
          <w:rFonts w:cs="Times New Roman"/>
          <w:b w:val="0"/>
          <w:sz w:val="18"/>
          <w:szCs w:val="18"/>
        </w:rPr>
      </w:pPr>
    </w:p>
    <w:p w:rsidR="00204E92" w:rsidRPr="002C09A1" w:rsidRDefault="002C09A1" w:rsidP="00651780">
      <w:pPr>
        <w:pStyle w:val="RSCB04AHeadingSection"/>
        <w:spacing w:before="0" w:after="0" w:line="240" w:lineRule="exact"/>
        <w:jc w:val="both"/>
        <w:rPr>
          <w:b w:val="0"/>
          <w:sz w:val="18"/>
          <w:szCs w:val="18"/>
        </w:rPr>
      </w:pPr>
      <w:r w:rsidRPr="002C09A1">
        <w:rPr>
          <w:rFonts w:cs="Times New Roman"/>
          <w:b w:val="0"/>
          <w:sz w:val="18"/>
          <w:szCs w:val="18"/>
        </w:rPr>
        <w:t>This standard was dynamically diluted into zero air to provide a three point calibration. Background measurements were made hourly using zero air. In order to focus on ozone photochemical production, we selected data obtained on clear-sky days when photochemistry was the major factor governing the diurnal variation of ozone, as indicated by sinusoidal behaviour.</w:t>
      </w:r>
      <w:r w:rsidRPr="002C09A1">
        <w:rPr>
          <w:rFonts w:cs="Times New Roman"/>
          <w:b w:val="0"/>
          <w:noProof/>
          <w:sz w:val="18"/>
          <w:szCs w:val="18"/>
          <w:vertAlign w:val="superscript"/>
        </w:rPr>
        <w:t>31</w:t>
      </w:r>
      <w:r w:rsidRPr="002C09A1">
        <w:rPr>
          <w:rFonts w:cs="Times New Roman"/>
          <w:b w:val="0"/>
          <w:sz w:val="18"/>
          <w:szCs w:val="18"/>
        </w:rPr>
        <w:t xml:space="preserve"> Data from the 2</w:t>
      </w:r>
      <w:r w:rsidRPr="002C09A1">
        <w:rPr>
          <w:rFonts w:cs="Times New Roman"/>
          <w:b w:val="0"/>
          <w:sz w:val="18"/>
          <w:szCs w:val="18"/>
          <w:vertAlign w:val="superscript"/>
        </w:rPr>
        <w:t>nd</w:t>
      </w:r>
      <w:r w:rsidRPr="002C09A1">
        <w:rPr>
          <w:rFonts w:cs="Times New Roman"/>
          <w:b w:val="0"/>
          <w:sz w:val="18"/>
          <w:szCs w:val="18"/>
        </w:rPr>
        <w:t xml:space="preserve"> and 4</w:t>
      </w:r>
      <w:r w:rsidRPr="002C09A1">
        <w:rPr>
          <w:rFonts w:cs="Times New Roman"/>
          <w:b w:val="0"/>
          <w:sz w:val="18"/>
          <w:szCs w:val="18"/>
          <w:vertAlign w:val="superscript"/>
        </w:rPr>
        <w:t>th</w:t>
      </w:r>
      <w:r w:rsidRPr="002C09A1">
        <w:rPr>
          <w:rFonts w:cs="Times New Roman"/>
          <w:b w:val="0"/>
          <w:sz w:val="18"/>
          <w:szCs w:val="18"/>
        </w:rPr>
        <w:t xml:space="preserve"> June 2018, and 9</w:t>
      </w:r>
      <w:r w:rsidRPr="002C09A1">
        <w:rPr>
          <w:rFonts w:cs="Times New Roman"/>
          <w:b w:val="0"/>
          <w:sz w:val="18"/>
          <w:szCs w:val="18"/>
          <w:vertAlign w:val="superscript"/>
        </w:rPr>
        <w:t>th</w:t>
      </w:r>
      <w:r w:rsidRPr="002C09A1">
        <w:rPr>
          <w:rFonts w:cs="Times New Roman"/>
          <w:b w:val="0"/>
          <w:sz w:val="18"/>
          <w:szCs w:val="18"/>
        </w:rPr>
        <w:t>, 10</w:t>
      </w:r>
      <w:r w:rsidRPr="002C09A1">
        <w:rPr>
          <w:rFonts w:cs="Times New Roman"/>
          <w:b w:val="0"/>
          <w:sz w:val="18"/>
          <w:szCs w:val="18"/>
          <w:vertAlign w:val="superscript"/>
        </w:rPr>
        <w:t>th</w:t>
      </w:r>
      <w:r w:rsidRPr="002C09A1">
        <w:rPr>
          <w:rFonts w:cs="Times New Roman"/>
          <w:b w:val="0"/>
          <w:sz w:val="18"/>
          <w:szCs w:val="18"/>
        </w:rPr>
        <w:t>, 12-15</w:t>
      </w:r>
      <w:r w:rsidRPr="002C09A1">
        <w:rPr>
          <w:rFonts w:cs="Times New Roman"/>
          <w:b w:val="0"/>
          <w:sz w:val="18"/>
          <w:szCs w:val="18"/>
          <w:vertAlign w:val="superscript"/>
        </w:rPr>
        <w:t>th</w:t>
      </w:r>
      <w:r w:rsidRPr="002C09A1">
        <w:rPr>
          <w:rFonts w:cs="Times New Roman"/>
          <w:b w:val="0"/>
          <w:sz w:val="18"/>
          <w:szCs w:val="18"/>
        </w:rPr>
        <w:t>, 17-19</w:t>
      </w:r>
      <w:r w:rsidRPr="002C09A1">
        <w:rPr>
          <w:rFonts w:cs="Times New Roman"/>
          <w:b w:val="0"/>
          <w:sz w:val="18"/>
          <w:szCs w:val="18"/>
          <w:vertAlign w:val="superscript"/>
        </w:rPr>
        <w:t>th</w:t>
      </w:r>
      <w:r w:rsidRPr="002C09A1">
        <w:rPr>
          <w:rFonts w:cs="Times New Roman"/>
          <w:b w:val="0"/>
          <w:sz w:val="18"/>
          <w:szCs w:val="18"/>
        </w:rPr>
        <w:t>, and 21-23</w:t>
      </w:r>
      <w:r w:rsidRPr="002C09A1">
        <w:rPr>
          <w:rFonts w:cs="Times New Roman"/>
          <w:b w:val="0"/>
          <w:sz w:val="18"/>
          <w:szCs w:val="18"/>
          <w:vertAlign w:val="superscript"/>
        </w:rPr>
        <w:t>rd</w:t>
      </w:r>
      <w:r w:rsidRPr="002C09A1">
        <w:rPr>
          <w:rFonts w:cs="Times New Roman"/>
          <w:b w:val="0"/>
          <w:sz w:val="18"/>
          <w:szCs w:val="18"/>
        </w:rPr>
        <w:t xml:space="preserve"> November 2018 were analysed in this study. Surface temperature and relative humidity were recorded at </w:t>
      </w:r>
      <w:r w:rsidRPr="002C09A1">
        <w:rPr>
          <w:rFonts w:cs="Times New Roman"/>
          <w:b w:val="0"/>
          <w:noProof/>
          <w:sz w:val="18"/>
          <w:szCs w:val="18"/>
        </w:rPr>
        <w:t xml:space="preserve">Indira Gandhi International Airport in Delhi, which is about 17 km southwest of the observational site. These meteorological data were obtained from the National Oceanic and Atmospheric Administration, National Climatic Data Center (https://www.ncdc.noaa.gov/), as described in ref. </w:t>
      </w:r>
      <w:r w:rsidRPr="002C09A1">
        <w:rPr>
          <w:rFonts w:cs="Times New Roman"/>
          <w:b w:val="0"/>
          <w:noProof/>
          <w:sz w:val="18"/>
          <w:szCs w:val="18"/>
          <w:vertAlign w:val="superscript"/>
        </w:rPr>
        <w:t>39</w:t>
      </w:r>
      <w:r w:rsidRPr="002C09A1">
        <w:rPr>
          <w:rFonts w:cs="Times New Roman"/>
          <w:b w:val="0"/>
          <w:noProof/>
          <w:sz w:val="18"/>
          <w:szCs w:val="18"/>
        </w:rPr>
        <w:t>. The planetary boundary laye</w:t>
      </w:r>
      <w:r w:rsidRPr="002C09A1">
        <w:rPr>
          <w:rFonts w:cs="Times New Roman"/>
          <w:b w:val="0"/>
          <w:sz w:val="18"/>
          <w:szCs w:val="18"/>
        </w:rPr>
        <w:t>r height was adopted from the European Centre for Medium-Range Weather Forecasts (ECMWF) ERA-interim model reanalysis at a spatial resolution of 0.125° × 0.125° and 3-hour temporal resolution (https://www.ecmwf.int/). These EC</w:t>
      </w:r>
      <w:r w:rsidRPr="002C09A1">
        <w:rPr>
          <w:rFonts w:cs="Times New Roman"/>
          <w:b w:val="0"/>
          <w:bCs/>
          <w:sz w:val="18"/>
          <w:szCs w:val="18"/>
        </w:rPr>
        <w:t>MWF reanalysis data were also used to drive the Weather Research and Forecasting Model (WRF, https://www.mmm.ucar.edu/weather-</w:t>
      </w:r>
      <w:r w:rsidRPr="002C09A1">
        <w:rPr>
          <w:rFonts w:cs="Times New Roman"/>
          <w:b w:val="0"/>
          <w:bCs/>
          <w:sz w:val="18"/>
          <w:szCs w:val="18"/>
        </w:rPr>
        <w:lastRenderedPageBreak/>
        <w:t xml:space="preserve">research-and-forecasting-model). WRF simulations were performed over two nested domains, an outer domain covering the whole of India and surrounding regions to minimize the boundary impacts on meteorology simulation over India, and an inner domain over north India at a horizontal resolution of 15 km, as detailed in ref. </w:t>
      </w:r>
      <w:r w:rsidRPr="002C09A1">
        <w:rPr>
          <w:rFonts w:cs="Times New Roman"/>
          <w:b w:val="0"/>
          <w:bCs/>
          <w:noProof/>
          <w:sz w:val="18"/>
          <w:szCs w:val="18"/>
          <w:vertAlign w:val="superscript"/>
        </w:rPr>
        <w:t>20</w:t>
      </w:r>
      <w:r w:rsidRPr="002C09A1">
        <w:rPr>
          <w:rFonts w:cs="Times New Roman"/>
          <w:b w:val="0"/>
          <w:bCs/>
          <w:sz w:val="18"/>
          <w:szCs w:val="18"/>
        </w:rPr>
        <w:t xml:space="preserve">. We apply the Hysplit back-trajectory model (https://www.ready.noaa.gov/HYSPLIT.php) using high resolution hourly meteorology from WRF to provide detailed transport footprints for air masses arriving in Delhi. For the selected days, </w:t>
      </w:r>
      <w:bookmarkStart w:id="15" w:name="OLE_LINK12"/>
      <w:bookmarkStart w:id="16" w:name="OLE_LINK13"/>
      <w:r w:rsidRPr="002C09A1">
        <w:rPr>
          <w:rFonts w:cs="Times New Roman"/>
          <w:b w:val="0"/>
          <w:bCs/>
          <w:sz w:val="18"/>
          <w:szCs w:val="18"/>
        </w:rPr>
        <w:t xml:space="preserve">the air masses exclusively came from the southeast in June but from the northwest in November </w:t>
      </w:r>
      <w:r w:rsidRPr="002C09A1">
        <w:rPr>
          <w:rFonts w:cs="Times New Roman"/>
          <w:b w:val="0"/>
          <w:sz w:val="18"/>
          <w:szCs w:val="18"/>
        </w:rPr>
        <w:t>(Fig. 1)</w:t>
      </w:r>
      <w:r w:rsidRPr="002C09A1">
        <w:rPr>
          <w:rFonts w:cs="Times New Roman"/>
          <w:b w:val="0"/>
          <w:bCs/>
          <w:sz w:val="18"/>
          <w:szCs w:val="18"/>
        </w:rPr>
        <w:t>, indicating a consistent background for the observations throughout each period.</w:t>
      </w:r>
      <w:bookmarkEnd w:id="15"/>
      <w:bookmarkEnd w:id="16"/>
      <w:r w:rsidRPr="002C09A1">
        <w:rPr>
          <w:rFonts w:cs="Times New Roman"/>
          <w:b w:val="0"/>
          <w:bCs/>
          <w:sz w:val="18"/>
          <w:szCs w:val="18"/>
        </w:rPr>
        <w:t xml:space="preserve"> </w:t>
      </w:r>
      <w:r w:rsidRPr="002C09A1">
        <w:rPr>
          <w:rFonts w:cs="Times New Roman"/>
          <w:b w:val="0"/>
          <w:sz w:val="18"/>
          <w:szCs w:val="18"/>
        </w:rPr>
        <w:t>The Terra-MODIS aerosol optical depth (AOD at 550 nm wavelength) over Delhi was about 1.2 and 0.8 in June and November, respectively (</w:t>
      </w:r>
      <w:bookmarkStart w:id="17" w:name="OLE_LINK26"/>
      <w:r w:rsidRPr="002C09A1">
        <w:rPr>
          <w:rFonts w:cs="Times New Roman"/>
          <w:b w:val="0"/>
          <w:sz w:val="18"/>
          <w:szCs w:val="18"/>
        </w:rPr>
        <w:t>MOD08_M3</w:t>
      </w:r>
      <w:bookmarkEnd w:id="17"/>
      <w:r w:rsidRPr="002C09A1">
        <w:rPr>
          <w:rFonts w:cs="Times New Roman"/>
          <w:b w:val="0"/>
          <w:sz w:val="18"/>
          <w:szCs w:val="18"/>
        </w:rPr>
        <w:t xml:space="preserve"> level-3 product</w:t>
      </w:r>
      <w:r w:rsidRPr="002C09A1">
        <w:rPr>
          <w:rFonts w:cs="Times New Roman"/>
          <w:b w:val="0"/>
          <w:noProof/>
          <w:sz w:val="18"/>
          <w:szCs w:val="18"/>
          <w:vertAlign w:val="superscript"/>
        </w:rPr>
        <w:t>40</w:t>
      </w:r>
      <w:r w:rsidRPr="002C09A1">
        <w:rPr>
          <w:rFonts w:cs="Times New Roman"/>
          <w:b w:val="0"/>
          <w:sz w:val="18"/>
          <w:szCs w:val="18"/>
        </w:rPr>
        <w:t>). These monthly average AOD values were adopted for calculating the present-day aerosol dimming effect in the model simulations.</w:t>
      </w:r>
    </w:p>
    <w:p w:rsidR="002C09A1" w:rsidRPr="002C09A1" w:rsidRDefault="002C09A1" w:rsidP="002C09A1">
      <w:pPr>
        <w:pStyle w:val="RSCB06BHeadingSub-Section"/>
        <w:spacing w:beforeLines="50" w:before="120"/>
      </w:pPr>
      <w:r w:rsidRPr="002C09A1">
        <w:t>Model description</w:t>
      </w:r>
    </w:p>
    <w:p w:rsidR="002C09A1" w:rsidRPr="002C09A1" w:rsidRDefault="002C09A1" w:rsidP="00B7008F">
      <w:pPr>
        <w:autoSpaceDE w:val="0"/>
        <w:autoSpaceDN w:val="0"/>
        <w:adjustRightInd w:val="0"/>
        <w:spacing w:after="0" w:line="240" w:lineRule="exact"/>
        <w:ind w:firstLineChars="200" w:firstLine="360"/>
        <w:jc w:val="both"/>
        <w:rPr>
          <w:rFonts w:cs="Times New Roman"/>
          <w:sz w:val="18"/>
          <w:szCs w:val="18"/>
        </w:rPr>
      </w:pPr>
      <w:r w:rsidRPr="002C09A1">
        <w:rPr>
          <w:rFonts w:cs="Times New Roman"/>
          <w:sz w:val="18"/>
          <w:szCs w:val="18"/>
        </w:rPr>
        <w:t>To investigate how the control of PM, VOC and NOx emissions can impact ozone pollution, we performed sensitivity simulations using the National Center for Atmospheric Research Master Mechanism photochemical box model (NCAR-MM version 2.5, https://www2.acom.ucar.edu/modeling/ncar-master-mechanism). This model includes a detailed gas phase chemical mechanism coupled with the Tropospheric Ultraviolet and Visible (TUV, version 5.0) radiation scheme. In the TUV scheme, the four-stream radiative transfer equations are solved within the wavelength range of 120-735 nm to account for the scattering and absorption of shortwave radiation by gases, particles and clouds in the atmosphere, thereby calculating photolysis rates to drive the chemical mechanism.</w:t>
      </w:r>
      <w:r w:rsidRPr="002C09A1">
        <w:rPr>
          <w:rFonts w:cs="Times New Roman"/>
          <w:noProof/>
          <w:sz w:val="18"/>
          <w:szCs w:val="18"/>
          <w:vertAlign w:val="superscript"/>
        </w:rPr>
        <w:t>41</w:t>
      </w:r>
      <w:hyperlink r:id="rId16" w:history="1"/>
      <w:r w:rsidRPr="002C09A1">
        <w:rPr>
          <w:rFonts w:cs="Times New Roman"/>
          <w:sz w:val="18"/>
          <w:szCs w:val="18"/>
        </w:rPr>
        <w:t xml:space="preserve"> In this study, 1267 gaseous species and 3699 reactions were considered in the chemical mechanism and integrated with a </w:t>
      </w:r>
      <w:bookmarkStart w:id="18" w:name="OLE_LINK25"/>
      <w:r w:rsidRPr="002C09A1">
        <w:rPr>
          <w:rFonts w:cs="Times New Roman"/>
          <w:sz w:val="18"/>
          <w:szCs w:val="18"/>
        </w:rPr>
        <w:t>Gear solver</w:t>
      </w:r>
      <w:bookmarkEnd w:id="18"/>
      <w:r w:rsidRPr="002C09A1">
        <w:rPr>
          <w:rFonts w:cs="Times New Roman"/>
          <w:sz w:val="18"/>
          <w:szCs w:val="18"/>
        </w:rPr>
        <w:t>, a benchmark solver for comprehensive chemical mechanisms.</w:t>
      </w:r>
      <w:r w:rsidRPr="002C09A1">
        <w:rPr>
          <w:rFonts w:cs="Times New Roman"/>
          <w:noProof/>
          <w:sz w:val="18"/>
          <w:szCs w:val="18"/>
          <w:vertAlign w:val="superscript"/>
        </w:rPr>
        <w:t>42</w:t>
      </w:r>
    </w:p>
    <w:p w:rsidR="002C09A1" w:rsidRDefault="002C09A1" w:rsidP="00651780">
      <w:pPr>
        <w:spacing w:after="0" w:line="240" w:lineRule="exact"/>
        <w:ind w:firstLineChars="200" w:firstLine="360"/>
        <w:jc w:val="both"/>
        <w:rPr>
          <w:rFonts w:cs="Times New Roman"/>
          <w:sz w:val="18"/>
          <w:szCs w:val="18"/>
        </w:rPr>
      </w:pPr>
      <w:r w:rsidRPr="002C09A1">
        <w:rPr>
          <w:rFonts w:cs="Times New Roman"/>
          <w:sz w:val="18"/>
          <w:szCs w:val="18"/>
        </w:rPr>
        <w:t>The NCAR-MM model was used to simulate the photochemical evolution of an air parcel over Delhi using the temperature, relative humidity and planetary boundary layer height datasets. To simulate ozone evolution in the daytime, we initialize model simulations in the early morning (6:00 am, local time) before the onset of rapid photochemistry and end simulations in the evening (8:00 pm). The initial concentrations of ozone, NO, NO</w:t>
      </w:r>
      <w:r w:rsidRPr="002C09A1">
        <w:rPr>
          <w:rFonts w:cs="Times New Roman"/>
          <w:sz w:val="18"/>
          <w:szCs w:val="18"/>
          <w:vertAlign w:val="subscript"/>
        </w:rPr>
        <w:t>2</w:t>
      </w:r>
      <w:r w:rsidRPr="002C09A1">
        <w:rPr>
          <w:rFonts w:cs="Times New Roman"/>
          <w:sz w:val="18"/>
          <w:szCs w:val="18"/>
        </w:rPr>
        <w:t>, CO, VOC and AOD were constrained to the observed averages at 6:00 am in June and November. We applied an iterative approach to adjust the NOx and VOC emissions for the base case simulation, to capture the ozone diurnal pattern and reproduce hourly peak ozone within 10% uncertainty, as shown in Fig 2a and 2b. In the base case, the diurnal variation of NOx is also reproduced when ozone is developing, and the uncertainty of NOx concentration is within 10% at ozone peak timing, as shown in Fig. 2c and 2d. NOx concentrations are overestimated at 6:00-8:00 pm in November, but this does not influence simulation of the daytime development of ozone in our analysis. This overestimation may be due to neglect of heterogeneous chemistry in the model, therefore missing the chemical sinks of NOx that lead to production of particulate nitrate, the concentration of which is about four times higher in winter than in summer.</w:t>
      </w:r>
      <w:r w:rsidRPr="002C09A1">
        <w:rPr>
          <w:rFonts w:cs="Times New Roman"/>
          <w:noProof/>
          <w:sz w:val="18"/>
          <w:szCs w:val="18"/>
          <w:vertAlign w:val="superscript"/>
        </w:rPr>
        <w:t>43</w:t>
      </w:r>
      <w:r w:rsidRPr="002C09A1">
        <w:rPr>
          <w:rFonts w:cs="Times New Roman"/>
          <w:sz w:val="18"/>
          <w:szCs w:val="18"/>
        </w:rPr>
        <w:t xml:space="preserve"> We use toluene emissions as a proxy to represent the ozone produce potential of anthropogenic VOCs emissions. Note </w:t>
      </w:r>
      <w:r w:rsidRPr="002C09A1">
        <w:rPr>
          <w:rFonts w:cs="Times New Roman"/>
          <w:sz w:val="18"/>
          <w:szCs w:val="18"/>
        </w:rPr>
        <w:lastRenderedPageBreak/>
        <w:t xml:space="preserve">that these constrained VOC and NOx emission fluxes (see Fig. S1) represent effective emissions that include the influences of fresh emissions, transport processes, and effects from dilution and deposition, and they are therefore not directly comparable with observed fluxes or emission inventories. </w:t>
      </w:r>
      <w:bookmarkStart w:id="19" w:name="OLE_LINK2"/>
      <w:bookmarkStart w:id="20" w:name="OLE_LINK9"/>
      <w:bookmarkStart w:id="21" w:name="OLE_LINK10"/>
      <w:r w:rsidRPr="002C09A1">
        <w:rPr>
          <w:rFonts w:cs="Times New Roman"/>
          <w:sz w:val="18"/>
          <w:szCs w:val="18"/>
        </w:rPr>
        <w:t xml:space="preserve">We then performed 8820 sensitivity simulations for each season varying the NOx emission (0% to 200% at 10% intervals), VOC emission (0% to 200% at 10% intervals), and AOD (twenty different values in the range of 0-3.0). Based on this large set of sensitivity simulations, we investigated the factors governing ozone production in each season in Delhi, the non-linear NOx-VOC-ozone relationship and how AOD impacts this relationship. </w:t>
      </w:r>
      <w:bookmarkEnd w:id="19"/>
      <w:bookmarkEnd w:id="20"/>
      <w:bookmarkEnd w:id="21"/>
      <w:r w:rsidRPr="002C09A1">
        <w:rPr>
          <w:rFonts w:cs="Times New Roman"/>
          <w:sz w:val="18"/>
          <w:szCs w:val="18"/>
        </w:rPr>
        <w:t>We then demonstrate mitigation strategies that reduce both ozone and PM in Delhi, based on our results.</w:t>
      </w:r>
    </w:p>
    <w:p w:rsidR="00651780" w:rsidRDefault="00651780" w:rsidP="00651780">
      <w:pPr>
        <w:spacing w:after="0" w:line="240" w:lineRule="exact"/>
        <w:ind w:firstLineChars="200" w:firstLine="360"/>
        <w:jc w:val="both"/>
        <w:rPr>
          <w:rFonts w:cs="Times New Roman"/>
          <w:sz w:val="18"/>
          <w:szCs w:val="18"/>
        </w:rPr>
      </w:pP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2535"/>
      </w:tblGrid>
      <w:tr w:rsidR="00651780" w:rsidTr="00C06F0E">
        <w:tc>
          <w:tcPr>
            <w:tcW w:w="2464" w:type="dxa"/>
          </w:tcPr>
          <w:p w:rsidR="00651780" w:rsidRDefault="00651780" w:rsidP="00C06F0E">
            <w:pPr>
              <w:spacing w:afterLines="50" w:after="120"/>
              <w:jc w:val="center"/>
              <w:rPr>
                <w:rFonts w:ascii="Times New Roman" w:hAnsi="Times New Roman" w:cs="Times New Roman"/>
                <w:b/>
                <w:i/>
                <w:sz w:val="24"/>
                <w:szCs w:val="24"/>
              </w:rPr>
            </w:pPr>
            <w:r w:rsidRPr="00F6483A">
              <w:rPr>
                <w:rFonts w:ascii="Times New Roman" w:hAnsi="Times New Roman" w:cs="Times New Roman"/>
                <w:noProof/>
                <w:sz w:val="24"/>
                <w:szCs w:val="24"/>
                <w:lang w:val="en-US" w:eastAsia="zh-CN"/>
              </w:rPr>
              <mc:AlternateContent>
                <mc:Choice Requires="wps">
                  <w:drawing>
                    <wp:anchor distT="45720" distB="45720" distL="114300" distR="114300" simplePos="0" relativeHeight="251683840" behindDoc="0" locked="0" layoutInCell="1" allowOverlap="1" wp14:anchorId="7C0928E5" wp14:editId="0672E65C">
                      <wp:simplePos x="0" y="0"/>
                      <wp:positionH relativeFrom="column">
                        <wp:posOffset>-123825</wp:posOffset>
                      </wp:positionH>
                      <wp:positionV relativeFrom="paragraph">
                        <wp:posOffset>-8890</wp:posOffset>
                      </wp:positionV>
                      <wp:extent cx="565150" cy="1404620"/>
                      <wp:effectExtent l="0" t="0" r="0" b="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928E5" id="_x0000_s1029" type="#_x0000_t202" style="position:absolute;left:0;text-align:left;margin-left:-9.75pt;margin-top:-.7pt;width:4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DyHgIAAPsDAAAOAAAAZHJzL2Uyb0RvYy54bWysU82O0zAQviPxDpbvNElpym7UdLXsUoS0&#10;/EgLD+A6TmNhe4ztNlkeAN6AExfuPFefg7HTlgpuiBwsOzPzeb7vGy+uBq3ITjgvwdS0mOSUCMOh&#10;kWZT0w/vV08uKPGBmYYpMKKmD8LTq+XjR4veVmIKHahGOIIgxle9rWkXgq2yzPNOaOYnYIXBYAtO&#10;s4BHt8kax3pE1yqb5vk868E11gEX3uPf2zFIlwm/bQUPb9vWi0BUTbG3kFaX1nVcs+WCVRvHbCf5&#10;oQ32D11oJg1eeoK6ZYGRrZN/QWnJHXhow4SDzqBtJReJA7Ip8j/Y3HfMisQFxfH2JJP/f7D8ze6d&#10;I7JB79ApwzR6tP/2df/95/7HFzKN+vTWV5h2bzExDM9hwNzE1ds74B89MXDTMbMR185B3wnWYH9F&#10;rMzOSkccH0HW/Wto8B62DZCAhtbpKB7KQRAdfXo4eSOGQDj+LOdlUWKEY6iY5bP5NJmXsepYbZ0P&#10;LwVoEjc1deh9Qme7Ox9iN6w6psTLDKykUsl/ZUhf08tyWqaCs4iWAcdTSV3Tizx+48BEki9Mk4oD&#10;k2rc4wXKHFhHoiPlMKyHJPDTo5hraB5QBgfjNOLrwU0H7jMlPU5iTf2nLXOCEvXKoJSXxWwWRzcd&#10;ZuUzJE7ceWR9HmGGI1RNAyXj9iakcY+Uvb1GyVcyqRG9GTs5tIwTlkQ6vIY4wufnlPX7zS5/AQAA&#10;//8DAFBLAwQUAAYACAAAACEAvudlfd0AAAAJAQAADwAAAGRycy9kb3ducmV2LnhtbEyPwU7DMAyG&#10;70i8Q2QkblvaCsbWNZ0mtI0jY1Scs8ZrKxonSrKuvD3pCW7+5U+/PxebUfdsQOc7QwLSeQIMqTaq&#10;o0ZA9bmfLYH5IEnJ3hAK+EEPm/L+rpC5Mjf6wOEUGhZLyOdSQBuCzTn3dYta+rmxSHF3MU7LEKNr&#10;uHLyFst1z7MkWXAtO4oXWmnxtcX6+3TVAmywh5c3937c7vZDUn0dqqxrdkI8PozbNbCAY/iDYdKP&#10;6lBGp7O5kvKsFzBLV88RnYYnYBFYTPksIEtXS+Blwf9/UP4CAAD//wMAUEsBAi0AFAAGAAgAAAAh&#10;ALaDOJL+AAAA4QEAABMAAAAAAAAAAAAAAAAAAAAAAFtDb250ZW50X1R5cGVzXS54bWxQSwECLQAU&#10;AAYACAAAACEAOP0h/9YAAACUAQAACwAAAAAAAAAAAAAAAAAvAQAAX3JlbHMvLnJlbHNQSwECLQAU&#10;AAYACAAAACEAGtew8h4CAAD7AwAADgAAAAAAAAAAAAAAAAAuAgAAZHJzL2Uyb0RvYy54bWxQSwEC&#10;LQAUAAYACAAAACEAvudlfd0AAAAJAQAADwAAAAAAAAAAAAAAAAB4BAAAZHJzL2Rvd25yZXYueG1s&#10;UEsFBgAAAAAEAAQA8wAAAIIFAAAAAA==&#10;" filled="f" stroked="f">
                      <v:textbox style="mso-fit-shape-to-text:t">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(a)</w:t>
                            </w:r>
                          </w:p>
                        </w:txbxContent>
                      </v:textbox>
                    </v:shape>
                  </w:pict>
                </mc:Fallback>
              </mc:AlternateContent>
            </w:r>
            <w:r w:rsidRPr="00A8183E">
              <w:rPr>
                <w:rFonts w:ascii="Times New Roman" w:hAnsi="Times New Roman" w:cs="Times New Roman"/>
                <w:b/>
                <w:i/>
                <w:noProof/>
                <w:sz w:val="24"/>
                <w:szCs w:val="24"/>
                <w:lang w:val="en-US" w:eastAsia="zh-CN"/>
              </w:rPr>
              <w:drawing>
                <wp:inline distT="0" distB="0" distL="0" distR="0" wp14:anchorId="00FC12FE" wp14:editId="61715D42">
                  <wp:extent cx="1492509" cy="828000"/>
                  <wp:effectExtent l="0" t="0" r="0" b="0"/>
                  <wp:docPr id="13" name="图片 13" descr="R:\Ju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une.em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28" t="2467" r="52362" b="49121"/>
                          <a:stretch/>
                        </pic:blipFill>
                        <pic:spPr bwMode="auto">
                          <a:xfrm>
                            <a:off x="0" y="0"/>
                            <a:ext cx="1492509"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0" w:type="dxa"/>
          </w:tcPr>
          <w:p w:rsidR="00651780" w:rsidRDefault="00651780" w:rsidP="00C06F0E">
            <w:pPr>
              <w:spacing w:afterLines="50" w:after="120"/>
              <w:jc w:val="center"/>
              <w:rPr>
                <w:rFonts w:ascii="Times New Roman" w:hAnsi="Times New Roman" w:cs="Times New Roman"/>
                <w:b/>
                <w:i/>
                <w:sz w:val="24"/>
                <w:szCs w:val="24"/>
              </w:rPr>
            </w:pPr>
            <w:r w:rsidRPr="00F6483A">
              <w:rPr>
                <w:rFonts w:ascii="Times New Roman" w:hAnsi="Times New Roman" w:cs="Times New Roman"/>
                <w:noProof/>
                <w:sz w:val="24"/>
                <w:szCs w:val="24"/>
                <w:lang w:val="en-US" w:eastAsia="zh-CN"/>
              </w:rPr>
              <mc:AlternateContent>
                <mc:Choice Requires="wps">
                  <w:drawing>
                    <wp:anchor distT="45720" distB="45720" distL="114300" distR="114300" simplePos="0" relativeHeight="251684864" behindDoc="0" locked="0" layoutInCell="1" allowOverlap="1" wp14:anchorId="551395A7" wp14:editId="6B610374">
                      <wp:simplePos x="0" y="0"/>
                      <wp:positionH relativeFrom="column">
                        <wp:posOffset>-96520</wp:posOffset>
                      </wp:positionH>
                      <wp:positionV relativeFrom="paragraph">
                        <wp:posOffset>-2540</wp:posOffset>
                      </wp:positionV>
                      <wp:extent cx="565150" cy="1404620"/>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395A7" id="_x0000_s1030" type="#_x0000_t202" style="position:absolute;left:0;text-align:left;margin-left:-7.6pt;margin-top:-.2pt;width:44.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9rHwIAAPsDAAAOAAAAZHJzL2Uyb0RvYy54bWysU82O0zAQviPxDpbvND9Kym7UdLXsUoS0&#10;/EgLD+A6TmPheIztNlkegH0DTly481x9DsZOWyq4IXKwxpmZb+b7Zry4GntFdsI6Cbqm2SylRGgO&#10;jdSbmn78sHp2QYnzTDdMgRY1fRCOXi2fPlkMphI5dKAaYQmCaFcNpqad96ZKEsc70TM3AyM0Oluw&#10;PfN4tZuksWxA9F4leZrOkwFsYyxw4Rz+vZ2cdBnx21Zw/65tnfBE1RR78/G08VyHM1kuWLWxzHSS&#10;H9pg/9BFz6TGoieoW+YZ2Vr5F1QvuQUHrZ9x6BNoW8lF5IBssvQPNvcdMyJyQXGcOcnk/h8sf7t7&#10;b4lsappnlGjW44z23x7333/uf3wledBnMK7CsHuDgX58ASPOOXJ15g74J0c03HRMb8S1tTB0gjXY&#10;XxYyk7PUCccFkPXwBhqsw7YeItDY2j6Ih3IQRMc5PZxmI0ZPOP4s52VWooejKyvSYp7H4SWsOmYb&#10;6/wrAT0JRk0tzj6is92d86EbVh1DQjENK6lUnL/SZKjpZZmXMeHM00uP66lkX9OLNHzTwgSSL3UT&#10;kz2TarKxgNIH1oHoRNmP6zEKXBzFXEPzgDJYmLYRXw8aHdgvlAy4iTV1n7fMCkrUa41SXmZFEVY3&#10;XoryORIn9tyzPvcwzRGqpp6Sybzxcd0DZWeuUfKVjGqE2UydHFrGDYsiHV5DWOHze4z6/WaXvwAA&#10;AP//AwBQSwMEFAAGAAgAAAAhAK9mLcDdAAAACAEAAA8AAABkcnMvZG93bnJldi54bWxMj81OwzAQ&#10;hO9IvIO1SNxau+anVYhTVagtR0qJOLuxSSLitWW7aXh7lhPcdjSj2W/K9eQGNtqYeo8KFnMBzGLj&#10;TY+tgvp9N1sBS1mj0YNHq+DbJlhX11elLoy/4Jsdj7llVIKp0Aq6nEPBeWo663Sa+2CRvE8fnc4k&#10;Y8tN1BcqdwOXQjxyp3ukD50O9rmzzdfx7BSEHPbLl/h62Gx3o6g/9rXs261StzfT5glYtlP+C8Mv&#10;PqFDRUwnf0aT2KBgtniQFKXjHhj5yztaclIgpVgBr0r+f0D1AwAA//8DAFBLAQItABQABgAIAAAA&#10;IQC2gziS/gAAAOEBAAATAAAAAAAAAAAAAAAAAAAAAABbQ29udGVudF9UeXBlc10ueG1sUEsBAi0A&#10;FAAGAAgAAAAhADj9If/WAAAAlAEAAAsAAAAAAAAAAAAAAAAALwEAAF9yZWxzLy5yZWxzUEsBAi0A&#10;FAAGAAgAAAAhAFm4z2sfAgAA+wMAAA4AAAAAAAAAAAAAAAAALgIAAGRycy9lMm9Eb2MueG1sUEsB&#10;Ai0AFAAGAAgAAAAhAK9mLcDdAAAACAEAAA8AAAAAAAAAAAAAAAAAeQQAAGRycy9kb3ducmV2Lnht&#10;bFBLBQYAAAAABAAEAPMAAACDBQAAAAA=&#10;" filled="f" stroked="f">
                      <v:textbox style="mso-fit-shape-to-text:t">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(b)</w:t>
                            </w:r>
                          </w:p>
                        </w:txbxContent>
                      </v:textbox>
                    </v:shape>
                  </w:pict>
                </mc:Fallback>
              </mc:AlternateContent>
            </w:r>
            <w:r w:rsidRPr="004A6348">
              <w:rPr>
                <w:rFonts w:ascii="Times New Roman" w:hAnsi="Times New Roman" w:cs="Times New Roman"/>
                <w:b/>
                <w:i/>
                <w:noProof/>
                <w:sz w:val="24"/>
                <w:szCs w:val="24"/>
                <w:lang w:val="en-US" w:eastAsia="zh-CN"/>
              </w:rPr>
              <w:drawing>
                <wp:inline distT="0" distB="0" distL="0" distR="0" wp14:anchorId="03CE668A" wp14:editId="2040771B">
                  <wp:extent cx="1491103" cy="828000"/>
                  <wp:effectExtent l="0" t="0" r="0" b="0"/>
                  <wp:docPr id="14" name="图片 14" descr="R:\untitl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titled.e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54" t="3196" r="52878" b="49665"/>
                          <a:stretch/>
                        </pic:blipFill>
                        <pic:spPr bwMode="auto">
                          <a:xfrm>
                            <a:off x="0" y="0"/>
                            <a:ext cx="1491103" cy="8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780" w:rsidTr="00C06F0E">
        <w:tc>
          <w:tcPr>
            <w:tcW w:w="2464" w:type="dxa"/>
          </w:tcPr>
          <w:p w:rsidR="00651780" w:rsidRDefault="00651780" w:rsidP="00C06F0E">
            <w:pPr>
              <w:spacing w:afterLines="50" w:after="120"/>
              <w:jc w:val="center"/>
              <w:rPr>
                <w:rFonts w:ascii="Times New Roman" w:hAnsi="Times New Roman" w:cs="Times New Roman"/>
                <w:b/>
                <w:i/>
                <w:sz w:val="24"/>
                <w:szCs w:val="24"/>
              </w:rPr>
            </w:pPr>
            <w:r w:rsidRPr="00F6483A">
              <w:rPr>
                <w:rFonts w:ascii="Times New Roman" w:hAnsi="Times New Roman" w:cs="Times New Roman"/>
                <w:noProof/>
                <w:sz w:val="24"/>
                <w:szCs w:val="24"/>
                <w:lang w:val="en-US" w:eastAsia="zh-CN"/>
              </w:rPr>
              <mc:AlternateContent>
                <mc:Choice Requires="wps">
                  <w:drawing>
                    <wp:anchor distT="45720" distB="45720" distL="114300" distR="114300" simplePos="0" relativeHeight="251685888" behindDoc="0" locked="0" layoutInCell="1" allowOverlap="1" wp14:anchorId="6425F869" wp14:editId="1FB7B76D">
                      <wp:simplePos x="0" y="0"/>
                      <wp:positionH relativeFrom="column">
                        <wp:posOffset>-111125</wp:posOffset>
                      </wp:positionH>
                      <wp:positionV relativeFrom="paragraph">
                        <wp:posOffset>-35560</wp:posOffset>
                      </wp:positionV>
                      <wp:extent cx="565150" cy="140462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5F869" id="_x0000_s1031" type="#_x0000_t202" style="position:absolute;left:0;text-align:left;margin-left:-8.75pt;margin-top:-2.8pt;width:44.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Q/HwIAAPsDAAAOAAAAZHJzL2Uyb0RvYy54bWysU82O0zAQviPxDpbvNE3UlN2o6WrZpQhp&#10;+ZEWHsB1nMbC9hjbbbI8APsGnLhw57n6HIydtlRwQ+RgjTMz38z3zXhxNWhFdsJ5Caam+WRKiTAc&#10;Gmk2Nf34YfXsghIfmGmYAiNq+iA8vVo+fbLobSUK6EA1whEEMb7qbU27EGyVZZ53QjM/ASsMOltw&#10;mgW8uk3WONYjulZZMZ3Osx5cYx1w4T3+vR2ddJnw21bw8K5tvQhE1RR7C+l06VzHM1suWLVxzHaS&#10;H9pg/9CFZtJg0RPULQuMbJ38C0pL7sBDGyYcdAZtK7lIHJBNPv2DzX3HrEhcUBxvTzL5/wfL3+7e&#10;OyKbmhYFJYZpnNH+2+P++8/9j6+kiPr01lcYdm8xMAwvYMA5J67e3gH/5ImBm46Zjbh2DvpOsAb7&#10;y2NmdpY64vgIsu7fQIN12DZAAhpap6N4KAdBdJzTw2k2YgiE489yXuYleji68tl0Ni/S8DJWHbOt&#10;8+GVAE2iUVOHs0/obHfnQ+yGVceQWMzASiqV5q8M6Wt6WRZlSjjzaBlwPZXUNb2Yxm9cmEjypWlS&#10;cmBSjTYWUObAOhIdKYdhPSSBy6OYa2geUAYH4zbi60GjA/eFkh43sab+85Y5QYl6bVDKy3w2i6ub&#10;LrPyORIn7tyzPvcwwxGqpoGS0bwJad0jZW+vUfKVTGrE2YydHFrGDUsiHV5DXOHze4r6/WaXvwAA&#10;AP//AwBQSwMEFAAGAAgAAAAhADC/IVTdAAAACQEAAA8AAABkcnMvZG93bnJldi54bWxMj0FPwzAM&#10;he9I/IfISNy2tJW2otJ0mtA2jsCoOGeN11ZrnCrJuvLvMSe4+dlPz98rN7MdxIQ+9I4UpMsEBFLj&#10;TE+tgvpzv3gCEaImowdHqOAbA2yq+7tSF8bd6AOnY2wFh1AotIIuxrGQMjQdWh2WbkTi29l5qyNL&#10;30rj9Y3D7SCzJFlLq3viD50e8aXD5nK8WgVjHA/5q3973+72U1J/Heqsb3dKPT7M22cQEef4Z4Zf&#10;fEaHiplO7komiEHBIs1XbOVhtQbBhjxlfVKQpbyQVSn/N6h+AAAA//8DAFBLAQItABQABgAIAAAA&#10;IQC2gziS/gAAAOEBAAATAAAAAAAAAAAAAAAAAAAAAABbQ29udGVudF9UeXBlc10ueG1sUEsBAi0A&#10;FAAGAAgAAAAhADj9If/WAAAAlAEAAAsAAAAAAAAAAAAAAAAALwEAAF9yZWxzLy5yZWxzUEsBAi0A&#10;FAAGAAgAAAAhAIkR9D8fAgAA+wMAAA4AAAAAAAAAAAAAAAAALgIAAGRycy9lMm9Eb2MueG1sUEsB&#10;Ai0AFAAGAAgAAAAhADC/IVTdAAAACQEAAA8AAAAAAAAAAAAAAAAAeQQAAGRycy9kb3ducmV2Lnht&#10;bFBLBQYAAAAABAAEAPMAAACDBQAAAAA=&#10;" filled="f" stroked="f">
                      <v:textbox style="mso-fit-shape-to-text:t">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(c)</w:t>
                            </w:r>
                          </w:p>
                        </w:txbxContent>
                      </v:textbox>
                    </v:shape>
                  </w:pict>
                </mc:Fallback>
              </mc:AlternateContent>
            </w:r>
            <w:r w:rsidRPr="00A8183E">
              <w:rPr>
                <w:rFonts w:ascii="Times New Roman" w:hAnsi="Times New Roman" w:cs="Times New Roman"/>
                <w:b/>
                <w:i/>
                <w:noProof/>
                <w:sz w:val="24"/>
                <w:szCs w:val="24"/>
                <w:lang w:val="en-US" w:eastAsia="zh-CN"/>
              </w:rPr>
              <w:drawing>
                <wp:inline distT="0" distB="0" distL="0" distR="0" wp14:anchorId="66049DEC" wp14:editId="5A2B51F5">
                  <wp:extent cx="1492510" cy="828000"/>
                  <wp:effectExtent l="0" t="0" r="0" b="0"/>
                  <wp:docPr id="8" name="图片 8" descr="R:\Ju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une.em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59" t="2930" r="8731" b="48658"/>
                          <a:stretch/>
                        </pic:blipFill>
                        <pic:spPr bwMode="auto">
                          <a:xfrm>
                            <a:off x="0" y="0"/>
                            <a:ext cx="1492510"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0" w:type="dxa"/>
          </w:tcPr>
          <w:p w:rsidR="00651780" w:rsidRDefault="00651780" w:rsidP="00C06F0E">
            <w:pPr>
              <w:spacing w:afterLines="50" w:after="120"/>
              <w:jc w:val="center"/>
              <w:rPr>
                <w:rFonts w:ascii="Times New Roman" w:hAnsi="Times New Roman" w:cs="Times New Roman"/>
                <w:b/>
                <w:i/>
                <w:sz w:val="24"/>
                <w:szCs w:val="24"/>
              </w:rPr>
            </w:pPr>
            <w:r w:rsidRPr="00F6483A">
              <w:rPr>
                <w:rFonts w:ascii="Times New Roman" w:hAnsi="Times New Roman" w:cs="Times New Roman"/>
                <w:noProof/>
                <w:sz w:val="24"/>
                <w:szCs w:val="24"/>
                <w:lang w:val="en-US" w:eastAsia="zh-CN"/>
              </w:rPr>
              <mc:AlternateContent>
                <mc:Choice Requires="wps">
                  <w:drawing>
                    <wp:anchor distT="45720" distB="45720" distL="114300" distR="114300" simplePos="0" relativeHeight="251686912" behindDoc="0" locked="0" layoutInCell="1" allowOverlap="1" wp14:anchorId="4AF3FB12" wp14:editId="0CF3BDEE">
                      <wp:simplePos x="0" y="0"/>
                      <wp:positionH relativeFrom="column">
                        <wp:posOffset>-109220</wp:posOffset>
                      </wp:positionH>
                      <wp:positionV relativeFrom="paragraph">
                        <wp:posOffset>-35560</wp:posOffset>
                      </wp:positionV>
                      <wp:extent cx="565150" cy="1404620"/>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3FB12" id="_x0000_s1032" type="#_x0000_t202" style="position:absolute;left:0;text-align:left;margin-left:-8.6pt;margin-top:-2.8pt;width:44.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qfHwIAAPsDAAAOAAAAZHJzL2Uyb0RvYy54bWysU0uOEzEQ3SNxB8t70h+SMNNKZzTMEIQ0&#10;fKSBAzhud9rCdhnbSfdwALgBKzbsOVfOQdmdhAh2iF5Y5a6qV/VelRdXg1ZkJ5yXYGpaTHJKhOHQ&#10;SLOp6Yf3qycXlPjATMMUGFHTB+Hp1fLxo0VvK1FCB6oRjiCI8VVva9qFYKss87wTmvkJWGHQ2YLT&#10;LODVbbLGsR7RtcrKPJ9nPbjGOuDCe/x7OzrpMuG3reDhbdt6EYiqKfYW0unSuY5ntlywauOY7SQ/&#10;tMH+oQvNpMGiJ6hbFhjZOvkXlJbcgYc2TDjoDNpWcpE4IJsi/4PNfcesSFxQHG9PMvn/B8vf7N45&#10;Ipualk8pMUzjjPbfvu6//9z/+ELKqE9vfYVh9xYDw/AcBpxz4urtHfCPnhi46ZjZiGvnoO8Ea7C/&#10;ImZmZ6kjjo8g6/41NFiHbQMkoKF1OoqHchBExzk9nGYjhkA4/pzNZ8UMPRxdxTSfzss0vIxVx2zr&#10;fHgpQJNo1NTh7BM62935ELth1TEkFjOwkkql+StD+ppezspZSjjzaBlwPZXUNb3I4zcuTCT5wjQp&#10;OTCpRhsLKHNgHYmOlMOwHpLA86OYa2geUAYH4zbi60GjA/eZkh43sab+05Y5QYl6ZVDKy2I6jaub&#10;LtPZMyRO3Llnfe5hhiNUTQMlo3kT0rpHyt5eo+QrmdSIsxk7ObSMG5ZEOryGuMLn9xT1+80ufwEA&#10;AP//AwBQSwMEFAAGAAgAAAAhAJ/3NIjdAAAACQEAAA8AAABkcnMvZG93bnJldi54bWxMj0FPwzAM&#10;he9I/IfIk7htaSuxotJ0mtA2jsBWcc4a01ZrnCrJuvLvMSe42X5Pz98rN7MdxIQ+9I4UpKsEBFLj&#10;TE+tgvq0Xz6BCFGT0YMjVPCNATbV/V2pC+Nu9IHTMbaCQygUWkEX41hIGZoOrQ4rNyKx9uW81ZFX&#10;30rj9Y3D7SCzJFlLq3viD50e8aXD5nK8WgVjHA/5q3973+72U1J/Huqsb3dKPSzm7TOIiHP8M8Mv&#10;PqNDxUxndyUTxKBgmeYZW3l4XINgQ55ylbOCLOWDrEr5v0H1AwAA//8DAFBLAQItABQABgAIAAAA&#10;IQC2gziS/gAAAOEBAAATAAAAAAAAAAAAAAAAAAAAAABbQ29udGVudF9UeXBlc10ueG1sUEsBAi0A&#10;FAAGAAgAAAAhADj9If/WAAAAlAEAAAsAAAAAAAAAAAAAAAAALwEAAF9yZWxzLy5yZWxzUEsBAi0A&#10;FAAGAAgAAAAhAEA6+p8fAgAA+wMAAA4AAAAAAAAAAAAAAAAALgIAAGRycy9lMm9Eb2MueG1sUEsB&#10;Ai0AFAAGAAgAAAAhAJ/3NIjdAAAACQEAAA8AAAAAAAAAAAAAAAAAeQQAAGRycy9kb3ducmV2Lnht&#10;bFBLBQYAAAAABAAEAPMAAACDBQAAAAA=&#10;" filled="f" stroked="f">
                      <v:textbox style="mso-fit-shape-to-text:t">
                        <w:txbxContent>
                          <w:p w:rsidR="00651780" w:rsidRPr="0052694E" w:rsidRDefault="00651780" w:rsidP="00651780">
                            <w:pPr>
                              <w:rPr>
                                <w:rFonts w:ascii="Times New Roman" w:hAnsi="Times New Roman" w:cs="Times New Roman"/>
                                <w:b/>
                                <w:sz w:val="18"/>
                                <w:szCs w:val="18"/>
                              </w:rPr>
                            </w:pPr>
                            <w:r w:rsidRPr="0052694E">
                              <w:rPr>
                                <w:rFonts w:ascii="Times New Roman" w:hAnsi="Times New Roman" w:cs="Times New Roman"/>
                                <w:b/>
                                <w:sz w:val="18"/>
                                <w:szCs w:val="18"/>
                              </w:rPr>
                              <w:t>(d)</w:t>
                            </w:r>
                          </w:p>
                        </w:txbxContent>
                      </v:textbox>
                    </v:shape>
                  </w:pict>
                </mc:Fallback>
              </mc:AlternateContent>
            </w:r>
            <w:r w:rsidRPr="004E145E">
              <w:rPr>
                <w:rFonts w:ascii="Times New Roman" w:hAnsi="Times New Roman" w:cs="Times New Roman"/>
                <w:b/>
                <w:i/>
                <w:noProof/>
                <w:sz w:val="24"/>
                <w:szCs w:val="24"/>
                <w:lang w:val="en-US" w:eastAsia="zh-CN"/>
              </w:rPr>
              <w:drawing>
                <wp:inline distT="0" distB="0" distL="0" distR="0" wp14:anchorId="7DCA0582" wp14:editId="4A425951">
                  <wp:extent cx="1537517" cy="828000"/>
                  <wp:effectExtent l="0" t="0" r="5715" b="0"/>
                  <wp:docPr id="9" name="图片 9" descr="R:\untitl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titled.e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097" t="3578" r="8677" b="49851"/>
                          <a:stretch/>
                        </pic:blipFill>
                        <pic:spPr bwMode="auto">
                          <a:xfrm>
                            <a:off x="0" y="0"/>
                            <a:ext cx="1537517" cy="8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780" w:rsidTr="00C06F0E">
        <w:tc>
          <w:tcPr>
            <w:tcW w:w="4994" w:type="dxa"/>
            <w:gridSpan w:val="2"/>
          </w:tcPr>
          <w:p w:rsidR="00651780" w:rsidRPr="0052694E" w:rsidRDefault="00651780" w:rsidP="00C06F0E">
            <w:pPr>
              <w:spacing w:line="240" w:lineRule="exact"/>
              <w:jc w:val="both"/>
              <w:rPr>
                <w:rFonts w:cs="Times New Roman"/>
                <w:b/>
                <w:i/>
                <w:sz w:val="18"/>
                <w:szCs w:val="18"/>
              </w:rPr>
            </w:pPr>
            <w:r w:rsidRPr="0052694E">
              <w:rPr>
                <w:rFonts w:cs="Times New Roman"/>
                <w:b/>
                <w:sz w:val="18"/>
                <w:szCs w:val="18"/>
              </w:rPr>
              <w:t xml:space="preserve">Figure 2. Observed and simulated ozone and NOx diurnal variations. </w:t>
            </w:r>
            <w:r w:rsidRPr="0052694E">
              <w:rPr>
                <w:rFonts w:cs="Times New Roman"/>
                <w:sz w:val="18"/>
                <w:szCs w:val="18"/>
              </w:rPr>
              <w:t xml:space="preserve">(a) Ozone in June; (b) ozone in November, (c) NOx in June, and (d) NOx in November. The black line indicates observations and the red line indicates NCAR-MM model results. </w:t>
            </w:r>
          </w:p>
        </w:tc>
      </w:tr>
    </w:tbl>
    <w:p w:rsidR="002C09A1" w:rsidRPr="002C09A1" w:rsidRDefault="002C09A1" w:rsidP="002C09A1">
      <w:pPr>
        <w:pStyle w:val="RSCB04AHeadingSection"/>
      </w:pPr>
      <w:r w:rsidRPr="002C09A1">
        <w:t xml:space="preserve">Results and Discussion </w:t>
      </w:r>
    </w:p>
    <w:p w:rsidR="002C09A1" w:rsidRPr="002C09A1" w:rsidRDefault="002C09A1" w:rsidP="002C09A1">
      <w:pPr>
        <w:pStyle w:val="RSCB06BHeadingSub-Section"/>
      </w:pPr>
      <w:r w:rsidRPr="002C09A1">
        <w:t>Factors controlling ozone production in Delhi</w:t>
      </w:r>
    </w:p>
    <w:p w:rsidR="006B4687" w:rsidRPr="0052694E" w:rsidRDefault="002C09A1" w:rsidP="0052694E">
      <w:pPr>
        <w:autoSpaceDE w:val="0"/>
        <w:autoSpaceDN w:val="0"/>
        <w:adjustRightInd w:val="0"/>
        <w:spacing w:after="0" w:line="240" w:lineRule="exact"/>
        <w:ind w:firstLineChars="200" w:firstLine="360"/>
        <w:jc w:val="both"/>
        <w:rPr>
          <w:rFonts w:cs="Times New Roman"/>
          <w:noProof/>
          <w:sz w:val="18"/>
          <w:szCs w:val="18"/>
          <w:vertAlign w:val="superscript"/>
        </w:rPr>
      </w:pPr>
      <w:bookmarkStart w:id="22" w:name="OLE_LINK14"/>
      <w:bookmarkStart w:id="23" w:name="OLE_LINK15"/>
      <w:r w:rsidRPr="002C09A1">
        <w:rPr>
          <w:rFonts w:cs="Times New Roman"/>
          <w:sz w:val="18"/>
          <w:szCs w:val="18"/>
        </w:rPr>
        <w:t xml:space="preserve">As shown in Fig. 2, hourly ozone concentration can approach ~100 ppbv in both summer and winter in Delhi. In June, the daily average NOx concentration was ~30 ppbv for the days considered and hourly averaged NOx was ~16 ppbv when ozone approached its daily peak at around 3:00 pm. Toluene, a good indicator of anthropogenic VOC, had a daily average of 3.5 ppbv and hourly average of 2.4 ppbv at around 3:00 pm. </w:t>
      </w:r>
      <w:bookmarkStart w:id="24" w:name="OLE_LINK33"/>
      <w:bookmarkStart w:id="25" w:name="OLE_LINK34"/>
      <w:r w:rsidRPr="002C09A1">
        <w:rPr>
          <w:rFonts w:cs="Times New Roman"/>
          <w:sz w:val="18"/>
          <w:szCs w:val="18"/>
        </w:rPr>
        <w:t>Total monoterpenes</w:t>
      </w:r>
      <w:bookmarkEnd w:id="24"/>
      <w:bookmarkEnd w:id="25"/>
      <w:r w:rsidRPr="002C09A1">
        <w:rPr>
          <w:rFonts w:cs="Times New Roman"/>
          <w:sz w:val="18"/>
          <w:szCs w:val="18"/>
        </w:rPr>
        <w:t>, a good indicator of biogenic VOC, had a daily average of 0.8 ppbv and hourly average of 0.6 ppbv at 3:00 pm. In November, the daily average NOx concentration was ~120 ppbv for the days considered and hourly NOx was ~25 ppbv when ozone approached its daily peak. Toluene reached a daily average of 19.1 ppbv (hourly average of 5.1 ppbv at peak ozone) and total monoterpenes reached a daily average of 8.5 ppbv (hourly average of 2.6 ppbv at peak ozone). This situation of much higher NOx than toluene and monoterpenes in Delhi is similar to that in Shanghai, where ozone production is VOC-limited.</w:t>
      </w:r>
      <w:r w:rsidRPr="002C09A1">
        <w:rPr>
          <w:rFonts w:cs="Times New Roman"/>
          <w:noProof/>
          <w:sz w:val="18"/>
          <w:szCs w:val="18"/>
          <w:vertAlign w:val="superscript"/>
        </w:rPr>
        <w:t>31</w:t>
      </w:r>
    </w:p>
    <w:p w:rsidR="002C09A1" w:rsidRDefault="002C09A1" w:rsidP="00B7008F">
      <w:pPr>
        <w:autoSpaceDE w:val="0"/>
        <w:autoSpaceDN w:val="0"/>
        <w:adjustRightInd w:val="0"/>
        <w:spacing w:after="0" w:line="240" w:lineRule="exact"/>
        <w:ind w:firstLineChars="200" w:firstLine="360"/>
        <w:jc w:val="both"/>
        <w:rPr>
          <w:rFonts w:cs="Times New Roman"/>
          <w:sz w:val="18"/>
          <w:szCs w:val="18"/>
        </w:rPr>
      </w:pPr>
      <w:r w:rsidRPr="002C09A1">
        <w:rPr>
          <w:rFonts w:cs="Times New Roman"/>
          <w:sz w:val="18"/>
          <w:szCs w:val="18"/>
        </w:rPr>
        <w:t xml:space="preserve">Under these high-NOx conditions, ozone production in Delhi is limited by the abundance of VOC in both summer and winter in Delhi. Model results for June (Fig. 3a) show that daily maximum hourly ozone concentration increases as VOC emissions increase. A 50% increase in VOC emissions could increase the maximum hourly ozone concentration by 50%, from ~100 ppbv to ~150 ppbv, while a 50% </w:t>
      </w:r>
      <w:r w:rsidRPr="002C09A1">
        <w:rPr>
          <w:rFonts w:cs="Times New Roman"/>
          <w:sz w:val="18"/>
          <w:szCs w:val="18"/>
        </w:rPr>
        <w:lastRenderedPageBreak/>
        <w:t xml:space="preserve">reduction could decrease ozone by 60%, to ~40 ppbv. In contrast, a 50% increase in NOx emission would decrease ozone by 20%, to ~80 ppbv in June, while a 50% reduction would increase ozone by 5%, to ~105 ppbv. Decreasing ozone with NOx controls alone would require a reduction in NOx emissions of more than 65%. VOC limitation on ozone production in Delhi is even more pronounced in November (Fig. 3b), and a 50% increase in VOC emissions could increase maximum hourly ozone concentration by 80%, from ~100 ppbv to ~180 ppbv, while a 50% reduction would decrease ozone by 65%, to ~35 ppbv. The titration of ozone by NO is also much stronger in November, and a 50% increase in NOx emissions could reduce ozone by 50%, to ~50 ppbv. A reduction in NOx emissions of more than 80% would be needed to reduce daily maximum ozone in November under current VOC concentrations. </w:t>
      </w:r>
    </w:p>
    <w:p w:rsidR="00651780" w:rsidRPr="002C09A1" w:rsidRDefault="00651780" w:rsidP="00B7008F">
      <w:pPr>
        <w:autoSpaceDE w:val="0"/>
        <w:autoSpaceDN w:val="0"/>
        <w:adjustRightInd w:val="0"/>
        <w:spacing w:after="0" w:line="240" w:lineRule="exact"/>
        <w:ind w:firstLineChars="200" w:firstLine="360"/>
        <w:jc w:val="both"/>
        <w:rPr>
          <w:rFonts w:cs="Times New Roman"/>
          <w:sz w:val="18"/>
          <w:szCs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tblGrid>
      <w:tr w:rsidR="00651780" w:rsidTr="00C06F0E">
        <w:tc>
          <w:tcPr>
            <w:tcW w:w="4979" w:type="dxa"/>
          </w:tcPr>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p>
          <w:p w:rsidR="00651780" w:rsidRDefault="00651780" w:rsidP="00C06F0E">
            <w:pPr>
              <w:autoSpaceDE w:val="0"/>
              <w:autoSpaceDN w:val="0"/>
              <w:adjustRightInd w:val="0"/>
              <w:spacing w:line="240" w:lineRule="exact"/>
              <w:jc w:val="both"/>
              <w:rPr>
                <w:rFonts w:cs="Times New Roman"/>
                <w:sz w:val="18"/>
                <w:szCs w:val="18"/>
              </w:rPr>
            </w:pPr>
            <w:r w:rsidRPr="005D28B1">
              <w:rPr>
                <w:rFonts w:ascii="Times New Roman" w:hAnsi="Times New Roman" w:cs="Times New Roman"/>
                <w:b/>
                <w:i/>
                <w:noProof/>
                <w:sz w:val="24"/>
                <w:szCs w:val="24"/>
                <w:lang w:val="en-US" w:eastAsia="zh-CN"/>
              </w:rPr>
              <w:drawing>
                <wp:inline distT="0" distB="0" distL="0" distR="0" wp14:anchorId="3C133A27" wp14:editId="48AABAF1">
                  <wp:extent cx="3122358" cy="1252425"/>
                  <wp:effectExtent l="0" t="0" r="1905" b="5080"/>
                  <wp:docPr id="28" name="图片 28" descr="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g 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35" r="4847" b="-2503"/>
                          <a:stretch/>
                        </pic:blipFill>
                        <pic:spPr bwMode="auto">
                          <a:xfrm>
                            <a:off x="0" y="0"/>
                            <a:ext cx="3122358" cy="1252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780" w:rsidTr="00C06F0E">
        <w:tc>
          <w:tcPr>
            <w:tcW w:w="4979" w:type="dxa"/>
          </w:tcPr>
          <w:p w:rsidR="00651780" w:rsidRDefault="00651780" w:rsidP="00C06F0E">
            <w:pPr>
              <w:autoSpaceDE w:val="0"/>
              <w:autoSpaceDN w:val="0"/>
              <w:adjustRightInd w:val="0"/>
              <w:spacing w:line="240" w:lineRule="exact"/>
              <w:jc w:val="both"/>
              <w:rPr>
                <w:rFonts w:cs="Times New Roman"/>
                <w:sz w:val="18"/>
                <w:szCs w:val="18"/>
              </w:rPr>
            </w:pPr>
            <w:r w:rsidRPr="0052694E">
              <w:rPr>
                <w:rFonts w:cs="Times New Roman"/>
                <w:b/>
                <w:sz w:val="18"/>
                <w:szCs w:val="18"/>
              </w:rPr>
              <w:t xml:space="preserve">Figure 3. Daily maximum hourly ozone in Delhi as a function of NOx and VOC emissions in </w:t>
            </w:r>
            <w:r w:rsidRPr="0052694E">
              <w:rPr>
                <w:rFonts w:cs="Times New Roman"/>
                <w:sz w:val="18"/>
                <w:szCs w:val="18"/>
              </w:rPr>
              <w:t>(a) summer (June) and (b) winter (November). Current conditions are marked by a black star.</w:t>
            </w:r>
          </w:p>
        </w:tc>
      </w:tr>
    </w:tbl>
    <w:p w:rsidR="00651780" w:rsidRDefault="00651780" w:rsidP="00B7008F">
      <w:pPr>
        <w:spacing w:after="0" w:line="240" w:lineRule="exact"/>
        <w:ind w:firstLineChars="200" w:firstLine="360"/>
        <w:jc w:val="both"/>
        <w:rPr>
          <w:rFonts w:cs="Times New Roman"/>
          <w:sz w:val="18"/>
          <w:szCs w:val="18"/>
        </w:rPr>
      </w:pPr>
    </w:p>
    <w:p w:rsidR="002C09A1" w:rsidRDefault="002C09A1" w:rsidP="00B7008F">
      <w:pPr>
        <w:spacing w:after="0" w:line="240" w:lineRule="exact"/>
        <w:ind w:firstLineChars="200" w:firstLine="360"/>
        <w:jc w:val="both"/>
        <w:rPr>
          <w:rFonts w:cs="Times New Roman"/>
          <w:sz w:val="18"/>
          <w:szCs w:val="18"/>
        </w:rPr>
      </w:pPr>
      <w:r w:rsidRPr="002C09A1">
        <w:rPr>
          <w:rFonts w:cs="Times New Roman"/>
          <w:sz w:val="18"/>
          <w:szCs w:val="18"/>
        </w:rPr>
        <w:t>The sensitivity of ozone to VOC emissions, defined here as the change in ozone associated with a change in VOC emissions in a range of ±50%,</w:t>
      </w:r>
      <w:r w:rsidRPr="002C09A1">
        <w:rPr>
          <w:rFonts w:cs="Times New Roman" w:hint="eastAsia"/>
          <w:sz w:val="18"/>
          <w:szCs w:val="18"/>
        </w:rPr>
        <w:t>Δ</w:t>
      </w:r>
      <w:r w:rsidRPr="002C09A1">
        <w:rPr>
          <w:rFonts w:cs="Times New Roman"/>
          <w:sz w:val="18"/>
          <w:szCs w:val="18"/>
        </w:rPr>
        <w:t>O</w:t>
      </w:r>
      <w:r w:rsidRPr="002C09A1">
        <w:rPr>
          <w:rFonts w:cs="Times New Roman"/>
          <w:sz w:val="18"/>
          <w:szCs w:val="18"/>
          <w:vertAlign w:val="subscript"/>
        </w:rPr>
        <w:t>3</w:t>
      </w:r>
      <w:r w:rsidRPr="002C09A1">
        <w:rPr>
          <w:rFonts w:cs="Times New Roman"/>
          <w:sz w:val="18"/>
          <w:szCs w:val="18"/>
        </w:rPr>
        <w:t>/</w:t>
      </w:r>
      <w:r w:rsidRPr="002C09A1">
        <w:rPr>
          <w:rFonts w:cs="Times New Roman" w:hint="eastAsia"/>
          <w:sz w:val="18"/>
          <w:szCs w:val="18"/>
        </w:rPr>
        <w:t>Δ</w:t>
      </w:r>
      <w:r w:rsidRPr="002C09A1">
        <w:rPr>
          <w:rFonts w:cs="Times New Roman" w:hint="eastAsia"/>
          <w:sz w:val="18"/>
          <w:szCs w:val="18"/>
        </w:rPr>
        <w:t>VOC</w:t>
      </w:r>
      <w:r w:rsidRPr="002C09A1">
        <w:rPr>
          <w:rFonts w:cs="Times New Roman" w:hint="eastAsia"/>
          <w:sz w:val="18"/>
          <w:szCs w:val="18"/>
          <w:vertAlign w:val="subscript"/>
        </w:rPr>
        <w:t>emission</w:t>
      </w:r>
      <w:r w:rsidRPr="002C09A1">
        <w:rPr>
          <w:rFonts w:cs="Times New Roman"/>
          <w:sz w:val="18"/>
          <w:szCs w:val="18"/>
        </w:rPr>
        <w:t>, is about 30% greater in November than in June. This stronger VOC limitation in November than in June is likely to be the result of weaker solar radiation and a shallower planetary boundary layer in this season. Based on ECMWF reanalysis, we find an early afternoon planetary boundary layer height of about 1800 m in November but about 2500 m in June. The weaker mixing in November constrains the greater amount of freshly emitted NOx in the surface layer, and enhanced VOC limitation. Weaker solar radiation could also enhanced the VOC limitation, as discussed in the next section. Our results are consistent with previous studies that have shown ozone production is typically VOC-limited in urban environments</w:t>
      </w:r>
      <w:bookmarkEnd w:id="22"/>
      <w:bookmarkEnd w:id="23"/>
      <w:r w:rsidRPr="002C09A1">
        <w:rPr>
          <w:rFonts w:cs="Times New Roman"/>
          <w:sz w:val="18"/>
          <w:szCs w:val="18"/>
        </w:rPr>
        <w:t>,</w:t>
      </w:r>
      <w:r w:rsidRPr="002C09A1">
        <w:rPr>
          <w:rFonts w:cs="Times New Roman"/>
          <w:noProof/>
          <w:sz w:val="18"/>
          <w:szCs w:val="18"/>
          <w:vertAlign w:val="superscript"/>
        </w:rPr>
        <w:t>31, 44, 45</w:t>
      </w:r>
      <w:r w:rsidRPr="002C09A1">
        <w:rPr>
          <w:rFonts w:cs="Times New Roman"/>
          <w:sz w:val="18"/>
          <w:szCs w:val="18"/>
        </w:rPr>
        <w:t xml:space="preserve"> but highlights the extent of this in Delhi in both the summer and winter seasons.</w:t>
      </w:r>
    </w:p>
    <w:p w:rsidR="002C09A1" w:rsidRPr="002C09A1" w:rsidRDefault="002C09A1" w:rsidP="002C09A1">
      <w:pPr>
        <w:pStyle w:val="RSCB06BHeadingSub-Section"/>
        <w:spacing w:beforeLines="50" w:before="120"/>
      </w:pPr>
      <w:bookmarkStart w:id="26" w:name="OLE_LINK16"/>
      <w:bookmarkStart w:id="27" w:name="OLE_LINK17"/>
      <w:r w:rsidRPr="002C09A1">
        <w:t>Impact of aerosol changes on ozone production</w:t>
      </w:r>
    </w:p>
    <w:bookmarkEnd w:id="26"/>
    <w:bookmarkEnd w:id="27"/>
    <w:p w:rsidR="002C09A1" w:rsidRPr="002C09A1" w:rsidRDefault="002C09A1" w:rsidP="00B7008F">
      <w:pPr>
        <w:autoSpaceDE w:val="0"/>
        <w:autoSpaceDN w:val="0"/>
        <w:adjustRightInd w:val="0"/>
        <w:spacing w:after="0" w:line="240" w:lineRule="exact"/>
        <w:ind w:firstLineChars="200" w:firstLine="360"/>
        <w:jc w:val="both"/>
        <w:rPr>
          <w:rFonts w:cs="Times New Roman"/>
          <w:sz w:val="18"/>
          <w:szCs w:val="18"/>
        </w:rPr>
      </w:pPr>
      <w:r w:rsidRPr="002C09A1">
        <w:rPr>
          <w:rFonts w:cs="Times New Roman"/>
          <w:sz w:val="18"/>
          <w:szCs w:val="18"/>
        </w:rPr>
        <w:t>Atmospheric aerosol, represented here by AOD, can strongly influence ozone photochemistry and thus alters the NOx-VOC-ozone relationships shown above. In June, the midday photolysis rate of NO</w:t>
      </w:r>
      <w:r w:rsidRPr="002C09A1">
        <w:rPr>
          <w:rFonts w:cs="Times New Roman"/>
          <w:sz w:val="18"/>
          <w:szCs w:val="18"/>
          <w:vertAlign w:val="subscript"/>
        </w:rPr>
        <w:t>2</w:t>
      </w:r>
      <w:r w:rsidRPr="002C09A1">
        <w:rPr>
          <w:rFonts w:cs="Times New Roman"/>
          <w:sz w:val="18"/>
          <w:szCs w:val="18"/>
        </w:rPr>
        <w:t>, J[NO</w:t>
      </w:r>
      <w:r w:rsidRPr="002C09A1">
        <w:rPr>
          <w:rFonts w:cs="Times New Roman"/>
          <w:sz w:val="18"/>
          <w:szCs w:val="18"/>
          <w:vertAlign w:val="subscript"/>
        </w:rPr>
        <w:t>2</w:t>
      </w:r>
      <w:r w:rsidRPr="002C09A1">
        <w:rPr>
          <w:rFonts w:cs="Times New Roman"/>
          <w:sz w:val="18"/>
          <w:szCs w:val="18"/>
        </w:rPr>
        <w:t>], increased by 3% (from 9.7</w:t>
      </w:r>
      <w:r w:rsidRPr="002C09A1">
        <w:rPr>
          <w:rFonts w:eastAsia="宋体" w:cs="Times New Roman"/>
          <w:sz w:val="18"/>
          <w:szCs w:val="18"/>
        </w:rPr>
        <w:t>×</w:t>
      </w:r>
      <w:r w:rsidRPr="002C09A1">
        <w:rPr>
          <w:rFonts w:cs="Times New Roman"/>
          <w:sz w:val="18"/>
          <w:szCs w:val="18"/>
        </w:rPr>
        <w:t>10</w:t>
      </w:r>
      <w:r w:rsidRPr="002C09A1">
        <w:rPr>
          <w:rFonts w:cs="Times New Roman"/>
          <w:sz w:val="18"/>
          <w:szCs w:val="18"/>
          <w:vertAlign w:val="superscript"/>
        </w:rPr>
        <w:t>-3</w:t>
      </w:r>
      <w:r w:rsidRPr="002C09A1">
        <w:rPr>
          <w:rFonts w:cs="Times New Roman"/>
          <w:sz w:val="18"/>
          <w:szCs w:val="18"/>
        </w:rPr>
        <w:t xml:space="preserve"> s</w:t>
      </w:r>
      <w:r w:rsidRPr="002C09A1">
        <w:rPr>
          <w:rFonts w:cs="Times New Roman"/>
          <w:sz w:val="18"/>
          <w:szCs w:val="18"/>
          <w:vertAlign w:val="superscript"/>
        </w:rPr>
        <w:t>-1</w:t>
      </w:r>
      <w:r w:rsidRPr="002C09A1">
        <w:rPr>
          <w:rFonts w:cs="Times New Roman"/>
          <w:sz w:val="18"/>
          <w:szCs w:val="18"/>
        </w:rPr>
        <w:t xml:space="preserve"> to 10.0</w:t>
      </w:r>
      <w:r w:rsidRPr="002C09A1">
        <w:rPr>
          <w:rFonts w:eastAsia="宋体" w:cs="Times New Roman"/>
          <w:sz w:val="18"/>
          <w:szCs w:val="18"/>
        </w:rPr>
        <w:t>×</w:t>
      </w:r>
      <w:r w:rsidRPr="002C09A1">
        <w:rPr>
          <w:rFonts w:cs="Times New Roman"/>
          <w:sz w:val="18"/>
          <w:szCs w:val="18"/>
        </w:rPr>
        <w:t>10</w:t>
      </w:r>
      <w:r w:rsidRPr="002C09A1">
        <w:rPr>
          <w:rFonts w:cs="Times New Roman"/>
          <w:sz w:val="18"/>
          <w:szCs w:val="18"/>
          <w:vertAlign w:val="superscript"/>
        </w:rPr>
        <w:t>-3</w:t>
      </w:r>
      <w:r w:rsidRPr="002C09A1">
        <w:rPr>
          <w:rFonts w:cs="Times New Roman"/>
          <w:sz w:val="18"/>
          <w:szCs w:val="18"/>
        </w:rPr>
        <w:t xml:space="preserve"> s</w:t>
      </w:r>
      <w:r w:rsidRPr="002C09A1">
        <w:rPr>
          <w:rFonts w:cs="Times New Roman"/>
          <w:sz w:val="18"/>
          <w:szCs w:val="18"/>
          <w:vertAlign w:val="superscript"/>
        </w:rPr>
        <w:t>-1</w:t>
      </w:r>
      <w:r w:rsidRPr="002C09A1">
        <w:rPr>
          <w:rFonts w:cs="Times New Roman"/>
          <w:sz w:val="18"/>
          <w:szCs w:val="18"/>
        </w:rPr>
        <w:t>) when AOD is reduced by 50%. In November the midday photolysis rate increased by 14% (from to 7.0</w:t>
      </w:r>
      <w:r w:rsidRPr="002C09A1">
        <w:rPr>
          <w:rFonts w:eastAsia="宋体" w:cs="Times New Roman"/>
          <w:sz w:val="18"/>
          <w:szCs w:val="18"/>
        </w:rPr>
        <w:t>×</w:t>
      </w:r>
      <w:r w:rsidRPr="002C09A1">
        <w:rPr>
          <w:rFonts w:cs="Times New Roman"/>
          <w:sz w:val="18"/>
          <w:szCs w:val="18"/>
        </w:rPr>
        <w:t>10</w:t>
      </w:r>
      <w:r w:rsidRPr="002C09A1">
        <w:rPr>
          <w:rFonts w:cs="Times New Roman"/>
          <w:sz w:val="18"/>
          <w:szCs w:val="18"/>
          <w:vertAlign w:val="superscript"/>
        </w:rPr>
        <w:t>-3</w:t>
      </w:r>
      <w:r w:rsidRPr="002C09A1">
        <w:rPr>
          <w:rFonts w:cs="Times New Roman"/>
          <w:sz w:val="18"/>
          <w:szCs w:val="18"/>
        </w:rPr>
        <w:t xml:space="preserve"> s</w:t>
      </w:r>
      <w:r w:rsidRPr="002C09A1">
        <w:rPr>
          <w:rFonts w:cs="Times New Roman"/>
          <w:sz w:val="18"/>
          <w:szCs w:val="18"/>
          <w:vertAlign w:val="superscript"/>
        </w:rPr>
        <w:t>-1</w:t>
      </w:r>
      <w:r w:rsidRPr="002C09A1">
        <w:rPr>
          <w:rFonts w:cs="Times New Roman"/>
          <w:sz w:val="18"/>
          <w:szCs w:val="18"/>
        </w:rPr>
        <w:t xml:space="preserve"> to 8.0</w:t>
      </w:r>
      <w:r w:rsidRPr="002C09A1">
        <w:rPr>
          <w:rFonts w:eastAsia="宋体" w:cs="Times New Roman"/>
          <w:sz w:val="18"/>
          <w:szCs w:val="18"/>
        </w:rPr>
        <w:t>×</w:t>
      </w:r>
      <w:r w:rsidRPr="002C09A1">
        <w:rPr>
          <w:rFonts w:cs="Times New Roman"/>
          <w:sz w:val="18"/>
          <w:szCs w:val="18"/>
        </w:rPr>
        <w:t>10</w:t>
      </w:r>
      <w:r w:rsidRPr="002C09A1">
        <w:rPr>
          <w:rFonts w:cs="Times New Roman"/>
          <w:sz w:val="18"/>
          <w:szCs w:val="18"/>
          <w:vertAlign w:val="superscript"/>
        </w:rPr>
        <w:t>-3</w:t>
      </w:r>
      <w:r w:rsidRPr="002C09A1">
        <w:rPr>
          <w:rFonts w:cs="Times New Roman"/>
          <w:sz w:val="18"/>
          <w:szCs w:val="18"/>
        </w:rPr>
        <w:t xml:space="preserve"> s</w:t>
      </w:r>
      <w:r w:rsidRPr="002C09A1">
        <w:rPr>
          <w:rFonts w:cs="Times New Roman"/>
          <w:sz w:val="18"/>
          <w:szCs w:val="18"/>
          <w:vertAlign w:val="superscript"/>
        </w:rPr>
        <w:t>-1</w:t>
      </w:r>
      <w:r w:rsidRPr="002C09A1">
        <w:rPr>
          <w:rFonts w:cs="Times New Roman"/>
          <w:sz w:val="18"/>
          <w:szCs w:val="18"/>
        </w:rPr>
        <w:t>) for 50% reduction in AOD. These J[NO</w:t>
      </w:r>
      <w:r w:rsidRPr="002C09A1">
        <w:rPr>
          <w:rFonts w:cs="Times New Roman"/>
          <w:sz w:val="18"/>
          <w:szCs w:val="18"/>
          <w:vertAlign w:val="subscript"/>
        </w:rPr>
        <w:t>2</w:t>
      </w:r>
      <w:r w:rsidRPr="002C09A1">
        <w:rPr>
          <w:rFonts w:cs="Times New Roman"/>
          <w:sz w:val="18"/>
          <w:szCs w:val="18"/>
        </w:rPr>
        <w:t>] values are lower than reported values in Beijing for June and November</w:t>
      </w:r>
      <w:r w:rsidRPr="002C09A1">
        <w:rPr>
          <w:rFonts w:cs="Times New Roman"/>
          <w:noProof/>
          <w:sz w:val="18"/>
          <w:szCs w:val="18"/>
          <w:vertAlign w:val="superscript"/>
        </w:rPr>
        <w:t>34</w:t>
      </w:r>
      <w:r w:rsidRPr="002C09A1">
        <w:rPr>
          <w:rFonts w:cs="Times New Roman"/>
          <w:sz w:val="18"/>
          <w:szCs w:val="18"/>
        </w:rPr>
        <w:t xml:space="preserve"> even though Delhi is closer to the Tropics. This is due to the heavier aerosol loading in Delhi, where the AOD is about 0.4 larger than in Beijing in both summer and winter and exerts a greater dimming effect. </w:t>
      </w:r>
    </w:p>
    <w:p w:rsidR="00B7008F" w:rsidRDefault="002C09A1" w:rsidP="00B7008F">
      <w:pPr>
        <w:spacing w:after="0" w:line="240" w:lineRule="exact"/>
        <w:ind w:firstLineChars="200" w:firstLine="360"/>
        <w:jc w:val="both"/>
        <w:rPr>
          <w:rFonts w:cs="Times New Roman"/>
          <w:sz w:val="18"/>
          <w:szCs w:val="18"/>
        </w:rPr>
      </w:pPr>
      <w:r w:rsidRPr="002C09A1">
        <w:rPr>
          <w:rFonts w:cs="Times New Roman"/>
          <w:sz w:val="18"/>
          <w:szCs w:val="18"/>
        </w:rPr>
        <w:lastRenderedPageBreak/>
        <w:t xml:space="preserve">Figure 4 shows that a 50% reduction in AOD increases maximum hourly ozone concentrations by 5%, from ~100 ppbv to ~105 ppbv in June, but increases it by 25%, to ~125 ppbv, in November. This highlights that wintertime ozone production is not only VOC-limited but also strongly radiation-limited in Delhi. The sensitivity of ozone to VOC emission also increases as AOD decreases in November (Fig. 4d). This is likely to be because stronger solar radiation significantly enhances photochemical processing and local ozone production from VOC oxidation in Delhi. In contrast, changes in AOD of </w:t>
      </w:r>
      <w:r w:rsidRPr="002C09A1">
        <w:rPr>
          <w:rFonts w:eastAsia="宋体" w:cs="Times New Roman"/>
          <w:sz w:val="18"/>
          <w:szCs w:val="18"/>
        </w:rPr>
        <w:t>±</w:t>
      </w:r>
      <w:r w:rsidRPr="002C09A1">
        <w:rPr>
          <w:rFonts w:cs="Times New Roman"/>
          <w:sz w:val="18"/>
          <w:szCs w:val="18"/>
        </w:rPr>
        <w:t>50% do not significantly influence the sensitivity of ozone to NOx and VOC emissions in June (Fig. 4a and Fig. 4c), see also Fig. S2. A detailed tomography figure of the non-linear AOD-NOx-VOC-ozone relationship is given in Fig. S3. These results highlight that aerosols play a critical role in the photochemistry of ozone production, and this is overlooked in most previous mitigation strategy studies and needs to be fully considered when developing a comprehensive regulatory framework for the control of surface ozone pollution.</w:t>
      </w:r>
    </w:p>
    <w:p w:rsidR="00590AE4" w:rsidRPr="00B7008F" w:rsidRDefault="00590AE4" w:rsidP="00B7008F">
      <w:pPr>
        <w:spacing w:after="0" w:line="240" w:lineRule="exact"/>
        <w:ind w:firstLineChars="200" w:firstLine="360"/>
        <w:jc w:val="both"/>
        <w:rPr>
          <w:rFonts w:cs="Times New Roman"/>
          <w:sz w:val="18"/>
          <w:szCs w:val="1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tblGrid>
      <w:tr w:rsidR="00590AE4" w:rsidTr="00590AE4">
        <w:trPr>
          <w:jc w:val="center"/>
        </w:trPr>
        <w:tc>
          <w:tcPr>
            <w:tcW w:w="8159" w:type="dxa"/>
          </w:tcPr>
          <w:p w:rsidR="00590AE4" w:rsidRDefault="00590AE4" w:rsidP="00C028B4">
            <w:pPr>
              <w:spacing w:afterLines="50" w:after="120"/>
              <w:rPr>
                <w:rFonts w:ascii="Times New Roman" w:hAnsi="Times New Roman" w:cs="Times New Roman"/>
                <w:b/>
                <w:i/>
                <w:sz w:val="24"/>
                <w:szCs w:val="24"/>
              </w:rPr>
            </w:pPr>
            <w:r w:rsidRPr="005D28B1">
              <w:rPr>
                <w:rFonts w:ascii="Times New Roman" w:hAnsi="Times New Roman" w:cs="Times New Roman"/>
                <w:b/>
                <w:i/>
                <w:noProof/>
                <w:sz w:val="24"/>
                <w:szCs w:val="24"/>
                <w:lang w:val="en-US" w:eastAsia="zh-CN"/>
              </w:rPr>
              <w:drawing>
                <wp:inline distT="0" distB="0" distL="0" distR="0" wp14:anchorId="7C2F88A9" wp14:editId="469AAAAA">
                  <wp:extent cx="3108535" cy="1224000"/>
                  <wp:effectExtent l="0" t="0" r="0" b="0"/>
                  <wp:docPr id="11" name="图片 11" descr="R:\fig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ig 4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81" r="4852" b="-444"/>
                          <a:stretch/>
                        </pic:blipFill>
                        <pic:spPr bwMode="auto">
                          <a:xfrm>
                            <a:off x="0" y="0"/>
                            <a:ext cx="3108535"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0AE4" w:rsidTr="00590AE4">
        <w:trPr>
          <w:jc w:val="center"/>
        </w:trPr>
        <w:tc>
          <w:tcPr>
            <w:tcW w:w="8159" w:type="dxa"/>
          </w:tcPr>
          <w:p w:rsidR="00590AE4" w:rsidRDefault="00590AE4" w:rsidP="00C028B4">
            <w:pPr>
              <w:jc w:val="center"/>
              <w:rPr>
                <w:rFonts w:ascii="Times New Roman" w:hAnsi="Times New Roman" w:cs="Times New Roman"/>
                <w:b/>
                <w:i/>
                <w:sz w:val="24"/>
                <w:szCs w:val="24"/>
              </w:rPr>
            </w:pPr>
            <w:r w:rsidRPr="005D28B1">
              <w:rPr>
                <w:rFonts w:ascii="Times New Roman" w:hAnsi="Times New Roman" w:cs="Times New Roman"/>
                <w:b/>
                <w:i/>
                <w:noProof/>
                <w:sz w:val="24"/>
                <w:szCs w:val="24"/>
                <w:lang w:val="en-US" w:eastAsia="zh-CN"/>
              </w:rPr>
              <w:drawing>
                <wp:inline distT="0" distB="0" distL="0" distR="0" wp14:anchorId="36920B8F" wp14:editId="1BD23196">
                  <wp:extent cx="3126170" cy="1224000"/>
                  <wp:effectExtent l="0" t="0" r="0" b="0"/>
                  <wp:docPr id="12" name="图片 12" descr="R:\fig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fig 4c.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91" r="4672" b="-188"/>
                          <a:stretch/>
                        </pic:blipFill>
                        <pic:spPr bwMode="auto">
                          <a:xfrm>
                            <a:off x="0" y="0"/>
                            <a:ext cx="3126170"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0AE4" w:rsidTr="00590AE4">
        <w:trPr>
          <w:jc w:val="center"/>
        </w:trPr>
        <w:tc>
          <w:tcPr>
            <w:tcW w:w="8159" w:type="dxa"/>
          </w:tcPr>
          <w:p w:rsidR="00590AE4" w:rsidRDefault="00590AE4" w:rsidP="00590AE4">
            <w:pPr>
              <w:spacing w:line="240" w:lineRule="exact"/>
              <w:jc w:val="both"/>
              <w:rPr>
                <w:rFonts w:cs="Times New Roman"/>
                <w:sz w:val="18"/>
                <w:szCs w:val="18"/>
              </w:rPr>
            </w:pPr>
            <w:r w:rsidRPr="00590AE4">
              <w:rPr>
                <w:rFonts w:cs="Times New Roman"/>
                <w:b/>
                <w:sz w:val="18"/>
                <w:szCs w:val="18"/>
              </w:rPr>
              <w:t xml:space="preserve">Figure 4. The impact of AOD on the non-linear VOC-NOx-ozone relationship in Delhi. </w:t>
            </w:r>
            <w:r w:rsidRPr="00590AE4">
              <w:rPr>
                <w:rFonts w:cs="Times New Roman"/>
                <w:sz w:val="18"/>
                <w:szCs w:val="18"/>
              </w:rPr>
              <w:t>(a) Impact on relationship between NOx and ozone in summer (June), (b) between NOx and ozone in winter (November), (c) between VOC and ozone in summer, and (d) between VOC and ozone in winter. Current conditions are marked by a black star.</w:t>
            </w:r>
          </w:p>
          <w:p w:rsidR="00590AE4" w:rsidRPr="00590AE4" w:rsidRDefault="00590AE4" w:rsidP="00590AE4">
            <w:pPr>
              <w:spacing w:line="240" w:lineRule="exact"/>
              <w:jc w:val="both"/>
              <w:rPr>
                <w:rFonts w:cs="Times New Roman"/>
                <w:b/>
                <w:i/>
                <w:sz w:val="18"/>
                <w:szCs w:val="18"/>
              </w:rPr>
            </w:pPr>
          </w:p>
        </w:tc>
      </w:tr>
    </w:tbl>
    <w:p w:rsidR="00B7008F" w:rsidRPr="00B7008F" w:rsidRDefault="00B7008F" w:rsidP="00B7008F">
      <w:pPr>
        <w:pStyle w:val="RSCB06BHeadingSub-Section"/>
        <w:spacing w:beforeLines="50" w:before="120"/>
      </w:pPr>
      <w:r w:rsidRPr="00B7008F">
        <w:t xml:space="preserve">Mitigation strategies to avoid high ozone </w:t>
      </w:r>
    </w:p>
    <w:p w:rsidR="00551508" w:rsidRPr="009916C9" w:rsidRDefault="00551508" w:rsidP="00551508">
      <w:pPr>
        <w:autoSpaceDE w:val="0"/>
        <w:autoSpaceDN w:val="0"/>
        <w:adjustRightInd w:val="0"/>
        <w:spacing w:after="0" w:line="240" w:lineRule="exact"/>
        <w:ind w:firstLine="454"/>
        <w:jc w:val="both"/>
        <w:rPr>
          <w:rFonts w:cs="Arial"/>
          <w:sz w:val="18"/>
          <w:szCs w:val="18"/>
          <w:shd w:val="clear" w:color="auto" w:fill="FFFFFF"/>
        </w:rPr>
      </w:pPr>
      <w:r w:rsidRPr="009916C9">
        <w:rPr>
          <w:rFonts w:cs="Times New Roman"/>
          <w:sz w:val="18"/>
          <w:szCs w:val="18"/>
        </w:rPr>
        <w:t xml:space="preserve">The </w:t>
      </w:r>
      <w:r w:rsidRPr="009916C9">
        <w:rPr>
          <w:rFonts w:cs="Arial"/>
          <w:sz w:val="18"/>
          <w:szCs w:val="18"/>
          <w:shd w:val="clear" w:color="auto" w:fill="FFFFFF"/>
        </w:rPr>
        <w:t xml:space="preserve">Central Pollution Control Board of India (CPCB) reports that measures currently adopted to improve the air quality in Delhi </w:t>
      </w:r>
      <w:r w:rsidR="009916C9" w:rsidRPr="009916C9">
        <w:rPr>
          <w:rFonts w:cs="Arial"/>
          <w:sz w:val="18"/>
          <w:szCs w:val="18"/>
          <w:shd w:val="clear" w:color="auto" w:fill="FFFFFF"/>
        </w:rPr>
        <w:t>focus</w:t>
      </w:r>
      <w:r w:rsidRPr="009916C9">
        <w:rPr>
          <w:rFonts w:cs="Arial"/>
          <w:sz w:val="18"/>
          <w:szCs w:val="18"/>
          <w:shd w:val="clear" w:color="auto" w:fill="FFFFFF"/>
        </w:rPr>
        <w:t xml:space="preserve"> mainly</w:t>
      </w:r>
      <w:r w:rsidR="009916C9" w:rsidRPr="009916C9">
        <w:rPr>
          <w:rFonts w:cs="Arial"/>
          <w:sz w:val="18"/>
          <w:szCs w:val="18"/>
          <w:shd w:val="clear" w:color="auto" w:fill="FFFFFF"/>
        </w:rPr>
        <w:t xml:space="preserve"> on</w:t>
      </w:r>
      <w:r w:rsidRPr="009916C9">
        <w:rPr>
          <w:rFonts w:cs="Arial"/>
          <w:sz w:val="18"/>
          <w:szCs w:val="18"/>
          <w:shd w:val="clear" w:color="auto" w:fill="FFFFFF"/>
        </w:rPr>
        <w:t xml:space="preserve"> contr</w:t>
      </w:r>
      <w:r w:rsidR="009916C9" w:rsidRPr="009916C9">
        <w:rPr>
          <w:rFonts w:cs="Arial"/>
          <w:sz w:val="18"/>
          <w:szCs w:val="18"/>
          <w:shd w:val="clear" w:color="auto" w:fill="FFFFFF"/>
        </w:rPr>
        <w:t xml:space="preserve">olling </w:t>
      </w:r>
      <w:r w:rsidRPr="009916C9">
        <w:rPr>
          <w:rFonts w:cs="Arial"/>
          <w:sz w:val="18"/>
          <w:szCs w:val="18"/>
          <w:shd w:val="clear" w:color="auto" w:fill="FFFFFF"/>
        </w:rPr>
        <w:t>traffic, biomass burning, industrial and construction emissions.</w:t>
      </w:r>
      <w:r w:rsidRPr="009916C9">
        <w:rPr>
          <w:rFonts w:cs="Arial"/>
          <w:noProof/>
          <w:sz w:val="18"/>
          <w:szCs w:val="18"/>
          <w:shd w:val="clear" w:color="auto" w:fill="FFFFFF"/>
          <w:vertAlign w:val="superscript"/>
        </w:rPr>
        <w:t>46</w:t>
      </w:r>
      <w:r w:rsidR="009916C9" w:rsidRPr="009916C9">
        <w:rPr>
          <w:rFonts w:cs="Times New Roman"/>
          <w:sz w:val="18"/>
          <w:szCs w:val="18"/>
        </w:rPr>
        <w:t xml:space="preserve"> These</w:t>
      </w:r>
      <w:r w:rsidRPr="009916C9">
        <w:rPr>
          <w:rFonts w:cs="Times New Roman"/>
          <w:sz w:val="18"/>
          <w:szCs w:val="18"/>
        </w:rPr>
        <w:t xml:space="preserve"> mitigation strategies </w:t>
      </w:r>
      <w:r w:rsidR="009916C9" w:rsidRPr="009916C9">
        <w:rPr>
          <w:rFonts w:cs="Times New Roman"/>
          <w:sz w:val="18"/>
          <w:szCs w:val="18"/>
        </w:rPr>
        <w:t>address</w:t>
      </w:r>
      <w:r w:rsidRPr="009916C9">
        <w:rPr>
          <w:rFonts w:cs="Times New Roman"/>
          <w:sz w:val="18"/>
          <w:szCs w:val="18"/>
        </w:rPr>
        <w:t xml:space="preserve"> PM pollution,</w:t>
      </w:r>
      <w:r w:rsidRPr="009916C9">
        <w:rPr>
          <w:rFonts w:cs="Times New Roman"/>
          <w:noProof/>
          <w:sz w:val="18"/>
          <w:szCs w:val="18"/>
          <w:vertAlign w:val="superscript"/>
        </w:rPr>
        <w:t>14-19, 46, 47</w:t>
      </w:r>
      <w:r w:rsidRPr="009916C9">
        <w:rPr>
          <w:rFonts w:cs="Times New Roman"/>
          <w:sz w:val="18"/>
          <w:szCs w:val="18"/>
        </w:rPr>
        <w:t xml:space="preserve"> </w:t>
      </w:r>
      <w:r w:rsidRPr="009916C9">
        <w:rPr>
          <w:rFonts w:cs="Arial"/>
          <w:sz w:val="18"/>
          <w:szCs w:val="18"/>
          <w:shd w:val="clear" w:color="auto" w:fill="FFFFFF"/>
        </w:rPr>
        <w:t>but d</w:t>
      </w:r>
      <w:r w:rsidR="009916C9" w:rsidRPr="009916C9">
        <w:rPr>
          <w:rFonts w:cs="Arial"/>
          <w:sz w:val="18"/>
          <w:szCs w:val="18"/>
          <w:shd w:val="clear" w:color="auto" w:fill="FFFFFF"/>
        </w:rPr>
        <w:t>o not reduce VOC sufficiently to avoid ozone increase</w:t>
      </w:r>
      <w:r w:rsidRPr="009916C9">
        <w:rPr>
          <w:rFonts w:cs="Arial"/>
          <w:sz w:val="18"/>
          <w:szCs w:val="18"/>
          <w:shd w:val="clear" w:color="auto" w:fill="FFFFFF"/>
        </w:rPr>
        <w:t xml:space="preserve">. </w:t>
      </w:r>
      <w:r w:rsidR="009916C9" w:rsidRPr="009916C9">
        <w:rPr>
          <w:rFonts w:cs="Arial"/>
          <w:sz w:val="18"/>
          <w:szCs w:val="18"/>
          <w:shd w:val="clear" w:color="auto" w:fill="FFFFFF"/>
        </w:rPr>
        <w:t>Traffic is the major target of the current mitigation measures and is the largest VOC emission</w:t>
      </w:r>
      <w:r w:rsidRPr="009916C9">
        <w:rPr>
          <w:rFonts w:cs="Arial"/>
          <w:sz w:val="18"/>
          <w:szCs w:val="18"/>
          <w:shd w:val="clear" w:color="auto" w:fill="FFFFFF"/>
        </w:rPr>
        <w:t xml:space="preserve"> source</w:t>
      </w:r>
      <w:r w:rsidR="009916C9" w:rsidRPr="009916C9">
        <w:rPr>
          <w:rFonts w:cs="Arial"/>
          <w:sz w:val="18"/>
          <w:szCs w:val="18"/>
          <w:shd w:val="clear" w:color="auto" w:fill="FFFFFF"/>
        </w:rPr>
        <w:t xml:space="preserve"> within Delhi</w:t>
      </w:r>
      <w:r w:rsidRPr="009916C9">
        <w:rPr>
          <w:rFonts w:cs="Arial"/>
          <w:sz w:val="18"/>
          <w:szCs w:val="18"/>
          <w:shd w:val="clear" w:color="auto" w:fill="FFFFFF"/>
        </w:rPr>
        <w:t xml:space="preserve"> contributing ~80 kiloton/year (60%),</w:t>
      </w:r>
      <w:r w:rsidRPr="009916C9">
        <w:rPr>
          <w:rFonts w:cs="Arial"/>
          <w:noProof/>
          <w:sz w:val="18"/>
          <w:szCs w:val="18"/>
          <w:shd w:val="clear" w:color="auto" w:fill="FFFFFF"/>
          <w:vertAlign w:val="superscript"/>
        </w:rPr>
        <w:t>48</w:t>
      </w:r>
      <w:r w:rsidRPr="009916C9">
        <w:rPr>
          <w:rFonts w:cs="Arial"/>
          <w:sz w:val="18"/>
          <w:szCs w:val="18"/>
          <w:shd w:val="clear" w:color="auto" w:fill="FFFFFF"/>
        </w:rPr>
        <w:t xml:space="preserve"> </w:t>
      </w:r>
      <w:r w:rsidR="009916C9" w:rsidRPr="009916C9">
        <w:rPr>
          <w:rFonts w:cs="Arial"/>
          <w:sz w:val="18"/>
          <w:szCs w:val="18"/>
          <w:shd w:val="clear" w:color="auto" w:fill="FFFFFF"/>
        </w:rPr>
        <w:t>but control of traffic emissions alone can lead to large ozone increases due to the associated reduction in NOx and PM (Fig. S4)</w:t>
      </w:r>
      <w:r w:rsidR="009916C9" w:rsidRPr="009916C9">
        <w:rPr>
          <w:rFonts w:cs="Times New Roman"/>
          <w:sz w:val="18"/>
          <w:szCs w:val="18"/>
        </w:rPr>
        <w:t>.</w:t>
      </w:r>
      <w:r w:rsidR="009916C9" w:rsidRPr="009916C9">
        <w:rPr>
          <w:rFonts w:cs="Times New Roman"/>
          <w:noProof/>
          <w:sz w:val="18"/>
          <w:szCs w:val="18"/>
          <w:vertAlign w:val="superscript"/>
        </w:rPr>
        <w:t>20</w:t>
      </w:r>
      <w:r w:rsidR="009916C9" w:rsidRPr="009916C9">
        <w:rPr>
          <w:rFonts w:cs="Arial"/>
          <w:sz w:val="18"/>
          <w:szCs w:val="18"/>
          <w:shd w:val="clear" w:color="auto" w:fill="FFFFFF"/>
        </w:rPr>
        <w:t xml:space="preserve"> Transport from </w:t>
      </w:r>
      <w:r w:rsidRPr="009916C9">
        <w:rPr>
          <w:rFonts w:cs="Arial"/>
          <w:sz w:val="18"/>
          <w:szCs w:val="18"/>
          <w:shd w:val="clear" w:color="auto" w:fill="FFFFFF"/>
        </w:rPr>
        <w:t>domestic emissions</w:t>
      </w:r>
      <w:r w:rsidR="009916C9" w:rsidRPr="009916C9">
        <w:rPr>
          <w:rFonts w:cs="Arial"/>
          <w:sz w:val="18"/>
          <w:szCs w:val="18"/>
          <w:shd w:val="clear" w:color="auto" w:fill="FFFFFF"/>
        </w:rPr>
        <w:t xml:space="preserve"> in surrounding regions could</w:t>
      </w:r>
      <w:r w:rsidRPr="009916C9">
        <w:rPr>
          <w:rFonts w:cs="Arial"/>
          <w:sz w:val="18"/>
          <w:szCs w:val="18"/>
          <w:shd w:val="clear" w:color="auto" w:fill="FFFFFF"/>
        </w:rPr>
        <w:t xml:space="preserve"> contribute</w:t>
      </w:r>
      <w:r w:rsidR="009916C9" w:rsidRPr="009916C9">
        <w:rPr>
          <w:rFonts w:cs="Arial"/>
          <w:sz w:val="18"/>
          <w:szCs w:val="18"/>
          <w:shd w:val="clear" w:color="auto" w:fill="FFFFFF"/>
        </w:rPr>
        <w:t xml:space="preserve"> substantially</w:t>
      </w:r>
      <w:r w:rsidRPr="009916C9">
        <w:rPr>
          <w:rFonts w:cs="Arial"/>
          <w:sz w:val="18"/>
          <w:szCs w:val="18"/>
          <w:shd w:val="clear" w:color="auto" w:fill="FFFFFF"/>
        </w:rPr>
        <w:t xml:space="preserve"> to VOC in Delhi (Fig. 1). For example, VOC emitted from domestic sources in Uttar Pradesh (southeast of Delhi) and Haryana </w:t>
      </w:r>
      <w:r w:rsidRPr="009916C9">
        <w:rPr>
          <w:rFonts w:cs="Arial"/>
          <w:sz w:val="18"/>
          <w:szCs w:val="18"/>
          <w:shd w:val="clear" w:color="auto" w:fill="FFFFFF"/>
        </w:rPr>
        <w:lastRenderedPageBreak/>
        <w:t>(northwest of Delhi) are about 1100 kiloton/year and 110 kiloton/year,</w:t>
      </w:r>
      <w:r w:rsidR="009916C9" w:rsidRPr="009916C9">
        <w:rPr>
          <w:rFonts w:cs="Arial"/>
          <w:sz w:val="18"/>
          <w:szCs w:val="18"/>
          <w:shd w:val="clear" w:color="auto" w:fill="FFFFFF"/>
        </w:rPr>
        <w:t xml:space="preserve"> respectively,</w:t>
      </w:r>
      <w:r w:rsidRPr="009916C9">
        <w:rPr>
          <w:rFonts w:cs="Arial"/>
          <w:sz w:val="18"/>
          <w:szCs w:val="18"/>
          <w:shd w:val="clear" w:color="auto" w:fill="FFFFFF"/>
        </w:rPr>
        <w:t xml:space="preserve"> which are much larger than local traffic emissions in Delhi.</w:t>
      </w:r>
      <w:r w:rsidRPr="009916C9">
        <w:rPr>
          <w:rFonts w:cs="Arial"/>
          <w:noProof/>
          <w:sz w:val="18"/>
          <w:szCs w:val="18"/>
          <w:shd w:val="clear" w:color="auto" w:fill="FFFFFF"/>
          <w:vertAlign w:val="superscript"/>
        </w:rPr>
        <w:t>48</w:t>
      </w:r>
    </w:p>
    <w:p w:rsidR="0052694E" w:rsidRPr="006B4687" w:rsidRDefault="00B7008F" w:rsidP="006B4687">
      <w:pPr>
        <w:spacing w:after="0" w:line="240" w:lineRule="exact"/>
        <w:ind w:firstLineChars="200" w:firstLine="360"/>
        <w:jc w:val="both"/>
        <w:rPr>
          <w:sz w:val="18"/>
          <w:szCs w:val="18"/>
        </w:rPr>
      </w:pPr>
      <w:r w:rsidRPr="00B7008F">
        <w:rPr>
          <w:rFonts w:cs="Times New Roman"/>
          <w:sz w:val="18"/>
          <w:szCs w:val="18"/>
        </w:rPr>
        <w:t>Our results suggest that strategies reducing PM under current conditions</w:t>
      </w:r>
      <w:r w:rsidR="00551508">
        <w:rPr>
          <w:rFonts w:cs="Times New Roman"/>
          <w:sz w:val="18"/>
          <w:szCs w:val="18"/>
        </w:rPr>
        <w:t xml:space="preserve"> </w:t>
      </w:r>
      <w:r w:rsidRPr="00B7008F">
        <w:rPr>
          <w:rFonts w:cs="Times New Roman"/>
          <w:sz w:val="18"/>
          <w:szCs w:val="18"/>
        </w:rPr>
        <w:t xml:space="preserve">will lead to enhanced, and possibly severe, ozone pollution. Reduction in PM enhances surface solar radiation and ozone production, </w:t>
      </w:r>
      <w:r w:rsidR="00E5706E">
        <w:rPr>
          <w:rFonts w:cs="Times New Roman"/>
          <w:sz w:val="18"/>
          <w:szCs w:val="18"/>
        </w:rPr>
        <w:t>and</w:t>
      </w:r>
      <w:r w:rsidRPr="00B7008F">
        <w:rPr>
          <w:rFonts w:cs="Times New Roman"/>
          <w:sz w:val="18"/>
          <w:szCs w:val="18"/>
        </w:rPr>
        <w:t xml:space="preserve"> also weaken the removal of hydroperoxyl radicals on particle surfaces, </w:t>
      </w:r>
      <w:r w:rsidR="00E5706E">
        <w:rPr>
          <w:rFonts w:cs="Times New Roman"/>
          <w:sz w:val="18"/>
          <w:szCs w:val="18"/>
        </w:rPr>
        <w:t xml:space="preserve">therefore </w:t>
      </w:r>
      <w:r w:rsidRPr="00B7008F">
        <w:rPr>
          <w:rFonts w:cs="Times New Roman"/>
          <w:sz w:val="18"/>
          <w:szCs w:val="18"/>
        </w:rPr>
        <w:t>further enhancing ozone production.</w:t>
      </w:r>
      <w:r w:rsidRPr="00B7008F">
        <w:rPr>
          <w:rFonts w:cs="Times New Roman"/>
          <w:noProof/>
          <w:sz w:val="18"/>
          <w:szCs w:val="18"/>
          <w:vertAlign w:val="superscript"/>
        </w:rPr>
        <w:t>21,22</w:t>
      </w:r>
      <w:r w:rsidRPr="00B7008F">
        <w:rPr>
          <w:rFonts w:cs="Times New Roman"/>
          <w:sz w:val="18"/>
          <w:szCs w:val="18"/>
        </w:rPr>
        <w:t xml:space="preserve"> The importance of </w:t>
      </w:r>
      <w:r w:rsidR="00E5706E">
        <w:rPr>
          <w:rFonts w:cs="Times New Roman"/>
          <w:sz w:val="18"/>
          <w:szCs w:val="18"/>
        </w:rPr>
        <w:t>later</w:t>
      </w:r>
      <w:r w:rsidR="00E5706E" w:rsidRPr="00B7008F">
        <w:rPr>
          <w:rFonts w:cs="Times New Roman"/>
          <w:sz w:val="18"/>
          <w:szCs w:val="18"/>
        </w:rPr>
        <w:t xml:space="preserve"> </w:t>
      </w:r>
      <w:r w:rsidRPr="00B7008F">
        <w:rPr>
          <w:rFonts w:cs="Times New Roman"/>
          <w:sz w:val="18"/>
          <w:szCs w:val="18"/>
        </w:rPr>
        <w:t>mechanism remains unclear,</w:t>
      </w:r>
      <w:r w:rsidRPr="00B7008F">
        <w:rPr>
          <w:rFonts w:cs="Times New Roman"/>
          <w:noProof/>
          <w:sz w:val="18"/>
          <w:szCs w:val="18"/>
          <w:vertAlign w:val="superscript"/>
        </w:rPr>
        <w:t>4</w:t>
      </w:r>
      <w:r w:rsidR="00551508">
        <w:rPr>
          <w:rFonts w:cs="Times New Roman"/>
          <w:noProof/>
          <w:sz w:val="18"/>
          <w:szCs w:val="18"/>
          <w:vertAlign w:val="superscript"/>
        </w:rPr>
        <w:t>9</w:t>
      </w:r>
      <w:r w:rsidRPr="00B7008F">
        <w:rPr>
          <w:rFonts w:cs="Times New Roman"/>
          <w:sz w:val="18"/>
          <w:szCs w:val="18"/>
        </w:rPr>
        <w:t xml:space="preserve"> and as more comprehensive observations are needed to quantify the impacts, it is not included here. The increase in ozone from measures to control PM could therefore be even greater than we show here. Our results suggest that control of VOC emissions is critical to avoid high ozone pollution in Delhi while also achieving the intended air quality goal of reduced PM levels. In addition, VOC is an important precursor of PM in Delhi where large fractions of secondary organic aerosol are present in all seasons.</w:t>
      </w:r>
      <w:r w:rsidRPr="00B7008F">
        <w:rPr>
          <w:rFonts w:cs="Times New Roman"/>
          <w:noProof/>
          <w:sz w:val="18"/>
          <w:szCs w:val="18"/>
          <w:vertAlign w:val="superscript"/>
        </w:rPr>
        <w:t>43</w:t>
      </w:r>
      <w:r w:rsidRPr="00B7008F">
        <w:rPr>
          <w:rFonts w:cs="Times New Roman"/>
          <w:sz w:val="18"/>
          <w:szCs w:val="18"/>
        </w:rPr>
        <w:t xml:space="preserve"> Reducing VOC emissions is therefore a key measure to benefit Delhi air quality with respect to both PM and ozone pollution, while avoiding the trade-offs associated with other PM mitigation measures. </w:t>
      </w:r>
      <w:bookmarkStart w:id="28" w:name="OLE_LINK42"/>
      <w:r w:rsidR="00551508" w:rsidRPr="00551508">
        <w:rPr>
          <w:rFonts w:cs="Times New Roman"/>
          <w:sz w:val="18"/>
          <w:szCs w:val="18"/>
        </w:rPr>
        <w:t xml:space="preserve">Regional joint intervention with more attention on domestic sources would be required for controlling VOC and avoiding high ozone pollution in Delhi. </w:t>
      </w:r>
      <w:r w:rsidRPr="00B7008F">
        <w:rPr>
          <w:rFonts w:cs="Times New Roman"/>
          <w:sz w:val="18"/>
          <w:szCs w:val="18"/>
        </w:rPr>
        <w:t>Future studies to characterize the VOC species, apportion their sources, and investigate their potentials for ozone production and secondary organic aerosol formation in Delhi would be particularly useful. These studies would provide further insight and help inform more effective and targeted mitigation strategies.</w:t>
      </w:r>
      <w:bookmarkEnd w:id="28"/>
    </w:p>
    <w:p w:rsidR="00E61949" w:rsidRPr="00A61D3E" w:rsidRDefault="00180ABE" w:rsidP="00AF4737">
      <w:pPr>
        <w:pStyle w:val="RSCB04AHeadingSection"/>
      </w:pPr>
      <w:r w:rsidRPr="00A61D3E">
        <w:t>Conclusions</w:t>
      </w:r>
    </w:p>
    <w:p w:rsidR="00B7008F" w:rsidRPr="00B7008F" w:rsidRDefault="00B7008F" w:rsidP="00B7008F">
      <w:pPr>
        <w:autoSpaceDE w:val="0"/>
        <w:autoSpaceDN w:val="0"/>
        <w:adjustRightInd w:val="0"/>
        <w:spacing w:after="0" w:line="240" w:lineRule="exact"/>
        <w:ind w:firstLineChars="200" w:firstLine="360"/>
        <w:jc w:val="both"/>
        <w:rPr>
          <w:rFonts w:cs="Times New Roman"/>
          <w:sz w:val="18"/>
          <w:szCs w:val="18"/>
        </w:rPr>
      </w:pPr>
      <w:r w:rsidRPr="00B7008F">
        <w:rPr>
          <w:rFonts w:cs="Times New Roman"/>
          <w:sz w:val="18"/>
          <w:szCs w:val="18"/>
        </w:rPr>
        <w:t xml:space="preserve">Measurements of ozone and its precursors were performed in June and November 2018 in Delhi, India. High ozone pollution with hourly concentration up to ~100 ppbv was observed in both seasons. We performed nearly nine thousands simulations using a photochemical box model to investigate the contributions of VOC and NOx emissions to ozone production, and to explore the influence of aerosol dimming on ozone photochemistry. We find that ozone production in Delhi is limited by VOC concentrations in both seasons, but particularly strongly in winter. In addition, ozone production in winter is strongly limited by solar radiation. </w:t>
      </w:r>
      <w:bookmarkStart w:id="29" w:name="OLE_LINK39"/>
      <w:bookmarkStart w:id="30" w:name="OLE_LINK40"/>
      <w:r w:rsidRPr="00B7008F">
        <w:rPr>
          <w:rFonts w:cs="Times New Roman"/>
          <w:sz w:val="18"/>
          <w:szCs w:val="18"/>
        </w:rPr>
        <w:t>Therefore, some measures to reduce PM could increase ozone through increased photolysis, especially in winter, and this effect would be exacerbated as it also enhances the extent of VOC-limitation. High ozone, and consequently high OH radical, could facilitate the oxidation of gaseous precursors and enhance secondary formation of PM,</w:t>
      </w:r>
      <w:r w:rsidR="00551508">
        <w:rPr>
          <w:rFonts w:cs="Times New Roman"/>
          <w:noProof/>
          <w:sz w:val="18"/>
          <w:szCs w:val="18"/>
          <w:vertAlign w:val="superscript"/>
        </w:rPr>
        <w:t>50</w:t>
      </w:r>
      <w:r w:rsidRPr="00B7008F">
        <w:rPr>
          <w:rFonts w:cs="Times New Roman"/>
          <w:sz w:val="18"/>
          <w:szCs w:val="18"/>
        </w:rPr>
        <w:t xml:space="preserve"> and this could partly offset the reduction in PM. </w:t>
      </w:r>
      <w:bookmarkStart w:id="31" w:name="OLE_LINK37"/>
      <w:bookmarkStart w:id="32" w:name="OLE_LINK38"/>
      <w:r w:rsidRPr="00B7008F">
        <w:rPr>
          <w:rFonts w:cs="Times New Roman"/>
          <w:sz w:val="18"/>
          <w:szCs w:val="18"/>
        </w:rPr>
        <w:t>This effect is not investigated in this study and should be quantified in future studies.</w:t>
      </w:r>
      <w:bookmarkEnd w:id="29"/>
      <w:bookmarkEnd w:id="30"/>
      <w:bookmarkEnd w:id="31"/>
      <w:bookmarkEnd w:id="32"/>
    </w:p>
    <w:p w:rsidR="00B7008F" w:rsidRPr="00B7008F" w:rsidRDefault="00B7008F" w:rsidP="00B7008F">
      <w:pPr>
        <w:pStyle w:val="RSCB02ArticleText"/>
        <w:ind w:firstLineChars="200" w:firstLine="388"/>
      </w:pPr>
      <w:r w:rsidRPr="00B7008F">
        <w:t>These results highlight the importance of controlling VOC emissions alongside particulate matter and NOx, which is overlooked in current mitigation strategies for Delhi. This would help to avoid major problems with ozone pollution in Delhi whilst reducing particulate matter. Measures that focus on particulate matter alone could see ozone increases alongside reduction in particulate matter, as has happened recently in China.</w:t>
      </w:r>
      <w:r w:rsidRPr="00B7008F">
        <w:rPr>
          <w:noProof/>
          <w:vertAlign w:val="superscript"/>
        </w:rPr>
        <w:t>21-23</w:t>
      </w:r>
      <w:r w:rsidRPr="00B7008F">
        <w:t xml:space="preserve"> Furthermore, reductions in VOC emissions could contribute to mitigation of particulate matter, a high fraction of which is sourced from semi-volatile organic compounds, the </w:t>
      </w:r>
      <w:r w:rsidRPr="00B7008F">
        <w:lastRenderedPageBreak/>
        <w:t>oxidation productions of VOCs.</w:t>
      </w:r>
      <w:r w:rsidRPr="00B7008F">
        <w:rPr>
          <w:noProof/>
          <w:vertAlign w:val="superscript"/>
        </w:rPr>
        <w:t>43</w:t>
      </w:r>
      <w:r w:rsidRPr="00B7008F">
        <w:t xml:space="preserve"> Therefore, reducing VOC emissions is a win-win measure with respect to both ozone and particulate matter pollution in Delhi. High ozone pollution not only has negative impacts on human health but also on agriculture and ecosystems.</w:t>
      </w:r>
      <w:r w:rsidRPr="00B7008F">
        <w:rPr>
          <w:noProof/>
          <w:vertAlign w:val="superscript"/>
        </w:rPr>
        <w:t>4, 5</w:t>
      </w:r>
      <w:r w:rsidRPr="00B7008F">
        <w:t xml:space="preserve"> These measures would benefit the health of citizens and ecosystems in Delhi, with potential broader application in other megacities worldwide characterized by VOC-limited ozone production.</w:t>
      </w:r>
    </w:p>
    <w:p w:rsidR="00651780" w:rsidRDefault="00651780" w:rsidP="00C9557D">
      <w:pPr>
        <w:pStyle w:val="RSCB04AHeadingSection"/>
      </w:pPr>
    </w:p>
    <w:p w:rsidR="00C9557D" w:rsidRDefault="00C9557D" w:rsidP="00C9557D">
      <w:pPr>
        <w:pStyle w:val="RSCB04AHeadingSection"/>
      </w:pPr>
      <w:r>
        <w:t>Conflict</w:t>
      </w:r>
      <w:r w:rsidR="00F05C18">
        <w:t>s</w:t>
      </w:r>
      <w:r>
        <w:t xml:space="preserve"> of interest</w:t>
      </w:r>
    </w:p>
    <w:p w:rsidR="00A05364" w:rsidRDefault="00B7008F" w:rsidP="00B7008F">
      <w:pPr>
        <w:ind w:firstLine="284"/>
        <w:rPr>
          <w:rFonts w:cs="Times New Roman"/>
          <w:w w:val="108"/>
          <w:sz w:val="18"/>
          <w:szCs w:val="18"/>
        </w:rPr>
      </w:pPr>
      <w:r w:rsidRPr="00B7008F">
        <w:rPr>
          <w:rFonts w:cs="Times New Roman"/>
          <w:w w:val="108"/>
          <w:sz w:val="18"/>
          <w:szCs w:val="18"/>
        </w:rPr>
        <w:t>The authors declare no competing financial interest.</w:t>
      </w:r>
    </w:p>
    <w:p w:rsidR="00A807BE" w:rsidRPr="00A807BE" w:rsidRDefault="00A807BE" w:rsidP="00A807BE">
      <w:pPr>
        <w:pStyle w:val="RSCB04AHeadingSection"/>
      </w:pPr>
      <w:r w:rsidRPr="00A807BE">
        <w:t>Statement of contributions</w:t>
      </w:r>
    </w:p>
    <w:p w:rsidR="00A807BE" w:rsidRPr="00A807BE" w:rsidRDefault="00A807BE" w:rsidP="00A807BE">
      <w:pPr>
        <w:ind w:firstLine="284"/>
        <w:jc w:val="both"/>
        <w:rPr>
          <w:rFonts w:cs="Times New Roman"/>
          <w:w w:val="108"/>
          <w:sz w:val="18"/>
          <w:szCs w:val="18"/>
        </w:rPr>
      </w:pPr>
      <w:r w:rsidRPr="00A807BE">
        <w:rPr>
          <w:rFonts w:cs="Times New Roman"/>
          <w:w w:val="108"/>
          <w:sz w:val="18"/>
          <w:szCs w:val="18"/>
        </w:rPr>
        <w:t xml:space="preserve">YC and OW conceived the study. YC performed the simulations, processed and interpreted the results with help from all co-authors. GB, WD, WJFA, BN, JL, SKS, RSS, VS, RG, CNH and EN organized the APHH-India campaign and performed the observations. SAN, AA, DL and GM contributed to the WRF simulation and chemistry interpreting. RL, </w:t>
      </w:r>
      <w:r>
        <w:rPr>
          <w:rFonts w:cs="Times New Roman"/>
          <w:w w:val="108"/>
          <w:sz w:val="18"/>
          <w:szCs w:val="18"/>
        </w:rPr>
        <w:t>Y</w:t>
      </w:r>
      <w:r w:rsidRPr="00A807BE">
        <w:rPr>
          <w:rFonts w:cs="Times New Roman"/>
          <w:w w:val="108"/>
          <w:sz w:val="18"/>
          <w:szCs w:val="18"/>
        </w:rPr>
        <w:t>W</w:t>
      </w:r>
      <w:r>
        <w:rPr>
          <w:rFonts w:cs="Times New Roman"/>
          <w:w w:val="108"/>
          <w:sz w:val="18"/>
          <w:szCs w:val="18"/>
        </w:rPr>
        <w:t xml:space="preserve"> and</w:t>
      </w:r>
      <w:r w:rsidRPr="00A807BE">
        <w:rPr>
          <w:rFonts w:cs="Times New Roman"/>
          <w:w w:val="108"/>
          <w:sz w:val="18"/>
          <w:szCs w:val="18"/>
        </w:rPr>
        <w:t xml:space="preserve"> ZW helped with the NCAR-MM model simulation.</w:t>
      </w:r>
      <w:r w:rsidRPr="00A807BE">
        <w:rPr>
          <w:rFonts w:cs="Times New Roman" w:hint="eastAsia"/>
          <w:w w:val="108"/>
          <w:sz w:val="18"/>
          <w:szCs w:val="18"/>
        </w:rPr>
        <w:t xml:space="preserve"> </w:t>
      </w:r>
      <w:r w:rsidRPr="00A807BE">
        <w:rPr>
          <w:rFonts w:cs="Times New Roman"/>
          <w:w w:val="108"/>
          <w:sz w:val="18"/>
          <w:szCs w:val="18"/>
        </w:rPr>
        <w:t>YC wrote the manuscript with inputs from all co-authors.</w:t>
      </w:r>
    </w:p>
    <w:p w:rsidR="00FA2DA2" w:rsidRDefault="00FA2DA2" w:rsidP="00FA2DA2">
      <w:pPr>
        <w:pStyle w:val="RSCB04AHeadingSection"/>
      </w:pPr>
      <w:r>
        <w:t>Acknowledgements</w:t>
      </w:r>
    </w:p>
    <w:p w:rsidR="00B7008F" w:rsidRPr="00B7008F" w:rsidRDefault="00B7008F" w:rsidP="00B7008F">
      <w:pPr>
        <w:ind w:firstLine="284"/>
        <w:jc w:val="both"/>
        <w:rPr>
          <w:rFonts w:cs="Times New Roman"/>
          <w:w w:val="108"/>
          <w:sz w:val="18"/>
          <w:szCs w:val="18"/>
        </w:rPr>
      </w:pPr>
      <w:r w:rsidRPr="00B7008F">
        <w:rPr>
          <w:rFonts w:cs="Times New Roman"/>
          <w:w w:val="108"/>
          <w:sz w:val="18"/>
          <w:szCs w:val="18"/>
        </w:rPr>
        <w:t>This work was supported by the NERC/MOES/Newton Fund supported DelhiFlux and PROMOTE projects as part of APHH-India programme (grant numbers: NE/P01531X/1, NE/P016405/1, NE/P016502/1, NE/P016480/1 and NE/P016383/1). The Indian Institute of Tropical Meteorology, Pune, is supported by the Ministry of Earth Science, Government of India. The authors appreciate the efforts of the entire team involved in APHH-India programme. The paper is based on interpretation of scientific results and in no way reflect the viewpoint of the funding agency.</w:t>
      </w:r>
    </w:p>
    <w:p w:rsidR="00FA2DA2" w:rsidRPr="00A61D3E" w:rsidRDefault="00FA2DA2" w:rsidP="00FA2DA2">
      <w:pPr>
        <w:pStyle w:val="RSCB02ArticleText"/>
      </w:pPr>
      <w:r w:rsidRPr="00702742">
        <w:t xml:space="preserve"> </w:t>
      </w:r>
    </w:p>
    <w:p w:rsidR="007839C3" w:rsidRPr="00B7008F" w:rsidRDefault="00E61949" w:rsidP="00B7008F">
      <w:pPr>
        <w:pStyle w:val="RSCB04AHeadingSection"/>
      </w:pPr>
      <w:r w:rsidRPr="00EF6BD4">
        <w:t>Notes and references</w:t>
      </w:r>
    </w:p>
    <w:p w:rsidR="00B7008F" w:rsidRPr="00E67D5F" w:rsidRDefault="00B7008F" w:rsidP="00B7008F">
      <w:pPr>
        <w:pStyle w:val="RSCR02References"/>
      </w:pPr>
      <w:bookmarkStart w:id="33" w:name="_ENREF_1"/>
      <w:r w:rsidRPr="00E67D5F">
        <w:t xml:space="preserve">S. C. Anenberg, J. J. West, A. M. Fiore, D. A. Jaffe, M. J. Prather, D. Bergmann, K. Cuvelier, F. J. Dentener, B. N. Duncan, M. Gauss, P. Hess, J. E. Jonson, A. Lupu, I. A. MacKenzie, E. Marmer, R. J. Park, M. G. Sanderson, M. Schultz, D. T. Shindell, S. Szopa, M. G. Vivanco, O. Wild and G. Zeng, </w:t>
      </w:r>
      <w:r w:rsidRPr="00B7008F">
        <w:t>Environmental Science &amp; Technology</w:t>
      </w:r>
      <w:r w:rsidRPr="00E67D5F">
        <w:t xml:space="preserve">, 2009, </w:t>
      </w:r>
      <w:r w:rsidRPr="00B7008F">
        <w:t>43</w:t>
      </w:r>
      <w:r w:rsidRPr="00E67D5F">
        <w:t>, 6482-6487.</w:t>
      </w:r>
      <w:bookmarkEnd w:id="33"/>
    </w:p>
    <w:p w:rsidR="00B7008F" w:rsidRPr="00E67D5F" w:rsidRDefault="00B7008F" w:rsidP="00B7008F">
      <w:pPr>
        <w:pStyle w:val="RSCR02References"/>
      </w:pPr>
      <w:bookmarkStart w:id="34" w:name="_ENREF_2"/>
      <w:r w:rsidRPr="00E67D5F">
        <w:t xml:space="preserve">H. Liu, S. Liu, B. Xue, Z. Lv, Z. Meng, X. Yang, T. Xue, Q. Yu and K. He, </w:t>
      </w:r>
      <w:r w:rsidRPr="00B7008F">
        <w:t>Atmospheric Environment</w:t>
      </w:r>
      <w:r w:rsidRPr="00E67D5F">
        <w:t xml:space="preserve">, 2018, </w:t>
      </w:r>
      <w:r w:rsidRPr="00B7008F">
        <w:t>173</w:t>
      </w:r>
      <w:r w:rsidRPr="00E67D5F">
        <w:t>, 223-230.</w:t>
      </w:r>
      <w:bookmarkEnd w:id="34"/>
    </w:p>
    <w:p w:rsidR="00B7008F" w:rsidRPr="00E67D5F" w:rsidRDefault="00B7008F" w:rsidP="00B7008F">
      <w:pPr>
        <w:pStyle w:val="RSCR02References"/>
      </w:pPr>
      <w:bookmarkStart w:id="35" w:name="_ENREF_3"/>
      <w:r w:rsidRPr="00E67D5F">
        <w:t xml:space="preserve">S. D. Ghude, C. Jena, D. M. Chate, G. Beig, G. G. Pfister, R. Kumar and V. Ramanathan, </w:t>
      </w:r>
      <w:r w:rsidRPr="00B7008F">
        <w:t>Geophysical Research Letters</w:t>
      </w:r>
      <w:r w:rsidRPr="00E67D5F">
        <w:t xml:space="preserve">, 2014, </w:t>
      </w:r>
      <w:r w:rsidRPr="00B7008F">
        <w:t>41</w:t>
      </w:r>
      <w:r w:rsidRPr="00E67D5F">
        <w:t>, 5685-5691.</w:t>
      </w:r>
      <w:bookmarkEnd w:id="35"/>
    </w:p>
    <w:p w:rsidR="00B7008F" w:rsidRPr="00E67D5F" w:rsidRDefault="00B7008F" w:rsidP="00B7008F">
      <w:pPr>
        <w:pStyle w:val="RSCR02References"/>
      </w:pPr>
      <w:bookmarkStart w:id="36" w:name="_ENREF_4"/>
      <w:r w:rsidRPr="00E67D5F">
        <w:t xml:space="preserve">K. Ashworth, O. Wild, A. S. D. Eller and C. N. Hewitt, </w:t>
      </w:r>
      <w:r w:rsidRPr="00B7008F">
        <w:t>Environmental Science &amp; Technology</w:t>
      </w:r>
      <w:r w:rsidRPr="00E67D5F">
        <w:t xml:space="preserve">, 2015, </w:t>
      </w:r>
      <w:r w:rsidRPr="00B7008F">
        <w:t>49</w:t>
      </w:r>
      <w:r w:rsidRPr="00E67D5F">
        <w:t>, 8566-8575.</w:t>
      </w:r>
      <w:bookmarkEnd w:id="36"/>
    </w:p>
    <w:p w:rsidR="00B7008F" w:rsidRPr="00E67D5F" w:rsidRDefault="00B7008F" w:rsidP="00B7008F">
      <w:pPr>
        <w:pStyle w:val="RSCR02References"/>
      </w:pPr>
      <w:bookmarkStart w:id="37" w:name="_ENREF_5"/>
      <w:r w:rsidRPr="00E67D5F">
        <w:lastRenderedPageBreak/>
        <w:t xml:space="preserve">K. Ashworth, O. Wild and C. N. Hewitt, </w:t>
      </w:r>
      <w:r w:rsidRPr="00B7008F">
        <w:t>Nature Clim. Change</w:t>
      </w:r>
      <w:r w:rsidRPr="00E67D5F">
        <w:t xml:space="preserve">, 2013, </w:t>
      </w:r>
      <w:r w:rsidRPr="00B7008F">
        <w:t>3</w:t>
      </w:r>
      <w:r w:rsidRPr="00E67D5F">
        <w:t>, 492-496.</w:t>
      </w:r>
      <w:bookmarkEnd w:id="37"/>
    </w:p>
    <w:p w:rsidR="00B7008F" w:rsidRPr="00E67D5F" w:rsidRDefault="00B7008F" w:rsidP="00B7008F">
      <w:pPr>
        <w:pStyle w:val="RSCR02References"/>
      </w:pPr>
      <w:bookmarkStart w:id="38" w:name="_ENREF_6"/>
      <w:r w:rsidRPr="00E67D5F">
        <w:t xml:space="preserve">S. D. Ghude, S. L. Jain, B. C. Arya, G. Beig, Y. N. Ahammed, A. Kumar and B. Tyagi, </w:t>
      </w:r>
      <w:r w:rsidRPr="00B7008F">
        <w:t>J Atmos Chem</w:t>
      </w:r>
      <w:r w:rsidRPr="00E67D5F">
        <w:t xml:space="preserve">, 2008, </w:t>
      </w:r>
      <w:r w:rsidRPr="00B7008F">
        <w:t>60</w:t>
      </w:r>
      <w:r w:rsidRPr="00E67D5F">
        <w:t>, 237-252.</w:t>
      </w:r>
      <w:bookmarkEnd w:id="38"/>
    </w:p>
    <w:p w:rsidR="00B7008F" w:rsidRPr="00E67D5F" w:rsidRDefault="00B7008F" w:rsidP="00B7008F">
      <w:pPr>
        <w:pStyle w:val="RSCR02References"/>
      </w:pPr>
      <w:bookmarkStart w:id="39" w:name="_ENREF_7"/>
      <w:r w:rsidRPr="00E67D5F">
        <w:t xml:space="preserve">T. Wang, L. Xue, P. Brimblecombe, Y. F. Lam, L. Li and L. Zhang, </w:t>
      </w:r>
      <w:r w:rsidRPr="00B7008F">
        <w:t>Science of The Total Environment</w:t>
      </w:r>
      <w:r w:rsidRPr="00E67D5F">
        <w:t xml:space="preserve">, 2017, </w:t>
      </w:r>
      <w:r w:rsidRPr="00B7008F">
        <w:t>575</w:t>
      </w:r>
      <w:r w:rsidRPr="00E67D5F">
        <w:t>, 1582-1596.</w:t>
      </w:r>
      <w:bookmarkEnd w:id="39"/>
    </w:p>
    <w:p w:rsidR="00B7008F" w:rsidRPr="00E67D5F" w:rsidRDefault="00B7008F" w:rsidP="00B7008F">
      <w:pPr>
        <w:pStyle w:val="RSCR02References"/>
      </w:pPr>
      <w:bookmarkStart w:id="40" w:name="_ENREF_8"/>
      <w:r w:rsidRPr="00E67D5F">
        <w:t xml:space="preserve">X. Lu, J. Hong, L. Zhang, O. R. Cooper, M. G. Schultz, X. Xu, T. Wang, M. Gao, Y. Zhao and Y. Zhang, </w:t>
      </w:r>
      <w:r w:rsidRPr="00B7008F">
        <w:t>Environmental Science &amp; Technology Letters</w:t>
      </w:r>
      <w:r w:rsidRPr="00E67D5F">
        <w:t>, 2018, DOI: 10.1021/acs.estlett.8b00366.</w:t>
      </w:r>
      <w:bookmarkEnd w:id="40"/>
    </w:p>
    <w:p w:rsidR="00B7008F" w:rsidRPr="00E67D5F" w:rsidRDefault="00B7008F" w:rsidP="00B7008F">
      <w:pPr>
        <w:pStyle w:val="RSCR02References"/>
      </w:pPr>
      <w:bookmarkStart w:id="41" w:name="_ENREF_9"/>
      <w:r w:rsidRPr="00E67D5F">
        <w:t xml:space="preserve">X. Querol, G. Gangoiti, E. Mantilla, A. Alastuey, M. C. Minguillón, F. Amato, C. Reche, M. Viana, T. Moreno, A. Karanasiou, I. Rivas, N. Pérez, A. Ripoll, M. Brines, M. Ealo, M. Pandolfi, H. K. Lee, H. R. Eun, Y. H. Park, M. Escudero, D. Beddows, R. M. Harrison, A. Bertrand, N. Marchand, A. Lyasota, B. Codina, M. Olid, M. Udina, B. Jiménez-Esteve, M. R. Soler, L. Alonso, M. Millán and K. H. Ahn, </w:t>
      </w:r>
      <w:r w:rsidRPr="00B7008F">
        <w:t>Atmos. Chem. Phys.</w:t>
      </w:r>
      <w:r w:rsidRPr="00E67D5F">
        <w:t xml:space="preserve">, 2017, </w:t>
      </w:r>
      <w:r w:rsidRPr="00B7008F">
        <w:t>17</w:t>
      </w:r>
      <w:r w:rsidRPr="00E67D5F">
        <w:t>, 2817-2838.</w:t>
      </w:r>
      <w:bookmarkEnd w:id="41"/>
    </w:p>
    <w:p w:rsidR="00B7008F" w:rsidRPr="00E67D5F" w:rsidRDefault="00B7008F" w:rsidP="00B7008F">
      <w:pPr>
        <w:pStyle w:val="RSCR02References"/>
      </w:pPr>
      <w:bookmarkStart w:id="42" w:name="_ENREF_10"/>
      <w:r w:rsidRPr="00E67D5F">
        <w:t xml:space="preserve">E. Paoletti, A. De Marco, D. C. S. Beddows, R. M. Harrison and W. J. Manning, </w:t>
      </w:r>
      <w:r w:rsidRPr="00B7008F">
        <w:t>Environmental Pollution</w:t>
      </w:r>
      <w:r w:rsidRPr="00E67D5F">
        <w:t xml:space="preserve">, 2014, </w:t>
      </w:r>
      <w:r w:rsidRPr="00B7008F">
        <w:t>192</w:t>
      </w:r>
      <w:r w:rsidRPr="00E67D5F">
        <w:t>, 295-299.</w:t>
      </w:r>
      <w:bookmarkEnd w:id="42"/>
    </w:p>
    <w:p w:rsidR="00B7008F" w:rsidRPr="00E67D5F" w:rsidRDefault="00B7008F" w:rsidP="00B7008F">
      <w:pPr>
        <w:pStyle w:val="RSCR02References"/>
      </w:pPr>
      <w:bookmarkStart w:id="43" w:name="_ENREF_11"/>
      <w:r w:rsidRPr="00E67D5F">
        <w:t xml:space="preserve">S. D. Ghude, D. M. Chate, C. Jena, G. Beig, R. Kumar, M. C. Barth, G. G. Pfister, S. Fadnavis and P. Pithani, </w:t>
      </w:r>
      <w:r w:rsidRPr="00B7008F">
        <w:t>Geophysical Research Letters</w:t>
      </w:r>
      <w:r w:rsidRPr="00E67D5F">
        <w:t xml:space="preserve">, 2016, </w:t>
      </w:r>
      <w:r w:rsidRPr="00B7008F">
        <w:t>43</w:t>
      </w:r>
      <w:r w:rsidRPr="00E67D5F">
        <w:t>, 4650-4658.</w:t>
      </w:r>
      <w:bookmarkEnd w:id="43"/>
    </w:p>
    <w:p w:rsidR="00B7008F" w:rsidRPr="00E67D5F" w:rsidRDefault="00B7008F" w:rsidP="00B7008F">
      <w:pPr>
        <w:pStyle w:val="RSCR02References"/>
      </w:pPr>
      <w:bookmarkStart w:id="44" w:name="_ENREF_12"/>
      <w:r w:rsidRPr="00E67D5F">
        <w:t xml:space="preserve">S. T. Rogers and G. Huang, </w:t>
      </w:r>
      <w:r w:rsidRPr="00B7008F">
        <w:t>American Geophysical Union, Fall Meeting 2018</w:t>
      </w:r>
      <w:r w:rsidRPr="00E67D5F">
        <w:t>, 2018, 2018AGUFM.A2021C..2007R.</w:t>
      </w:r>
      <w:bookmarkEnd w:id="44"/>
    </w:p>
    <w:p w:rsidR="00B7008F" w:rsidRPr="00E67D5F" w:rsidRDefault="00B7008F" w:rsidP="00B7008F">
      <w:pPr>
        <w:pStyle w:val="RSCR02References"/>
      </w:pPr>
      <w:bookmarkStart w:id="45" w:name="_ENREF_13"/>
      <w:r w:rsidRPr="00E67D5F">
        <w:t xml:space="preserve">C. S. Malley, D. K. Henze, J. C. I. Kuylenstierna, H. W. Vallack, Y. Davila, S. C. Anenberg, M. C. Turner and M. R. Ashmore, </w:t>
      </w:r>
      <w:r w:rsidRPr="00B7008F">
        <w:t>Environmental Health Perspectives</w:t>
      </w:r>
      <w:r w:rsidRPr="00E67D5F">
        <w:t xml:space="preserve">, 2017, </w:t>
      </w:r>
      <w:r w:rsidRPr="00B7008F">
        <w:t>125</w:t>
      </w:r>
      <w:r w:rsidRPr="00E67D5F">
        <w:t>, 087021.</w:t>
      </w:r>
      <w:bookmarkEnd w:id="45"/>
    </w:p>
    <w:p w:rsidR="00B7008F" w:rsidRPr="00E67D5F" w:rsidRDefault="00B7008F" w:rsidP="00B7008F">
      <w:pPr>
        <w:pStyle w:val="RSCR02References"/>
      </w:pPr>
      <w:bookmarkStart w:id="46" w:name="_ENREF_14"/>
      <w:r w:rsidRPr="00E67D5F">
        <w:t xml:space="preserve">S. Chowdhury, S. Dey, S. Guttikunda, A. Pillarisetti, K. R. Smith and L. Di Girolamo, </w:t>
      </w:r>
      <w:r w:rsidRPr="00B7008F">
        <w:t>Proceedings of the National Academy of Sciences</w:t>
      </w:r>
      <w:r w:rsidRPr="00E67D5F">
        <w:t>, 2019, DOI: 10.1073/pnas.1900888116, 201900888.</w:t>
      </w:r>
      <w:bookmarkEnd w:id="46"/>
    </w:p>
    <w:p w:rsidR="00B7008F" w:rsidRPr="00E67D5F" w:rsidRDefault="00B7008F" w:rsidP="00B7008F">
      <w:pPr>
        <w:pStyle w:val="RSCR02References"/>
      </w:pPr>
      <w:bookmarkStart w:id="47" w:name="_ENREF_15"/>
      <w:r w:rsidRPr="00E67D5F">
        <w:t xml:space="preserve">S. Chowdhury, S. Dey and K. R. Smith, </w:t>
      </w:r>
      <w:r w:rsidRPr="00B7008F">
        <w:t>Nature Communications</w:t>
      </w:r>
      <w:r w:rsidRPr="00E67D5F">
        <w:t xml:space="preserve">, 2018, </w:t>
      </w:r>
      <w:r w:rsidRPr="00B7008F">
        <w:t>9</w:t>
      </w:r>
      <w:r w:rsidRPr="00E67D5F">
        <w:t>, 318.</w:t>
      </w:r>
      <w:bookmarkEnd w:id="47"/>
    </w:p>
    <w:p w:rsidR="00B7008F" w:rsidRPr="00E67D5F" w:rsidRDefault="00B7008F" w:rsidP="00B7008F">
      <w:pPr>
        <w:pStyle w:val="RSCR02References"/>
      </w:pPr>
      <w:bookmarkStart w:id="48" w:name="_ENREF_16"/>
      <w:r w:rsidRPr="00E67D5F">
        <w:t xml:space="preserve">L. Conibear, E. W. Butt, C. Knote, S. R. Arnold and D. V. Spracklen, </w:t>
      </w:r>
      <w:r w:rsidRPr="00B7008F">
        <w:t>GeoHealth</w:t>
      </w:r>
      <w:r w:rsidRPr="00E67D5F">
        <w:t xml:space="preserve">, 2018, </w:t>
      </w:r>
      <w:r w:rsidRPr="00B7008F">
        <w:t>2</w:t>
      </w:r>
      <w:r w:rsidRPr="00E67D5F">
        <w:t>, 196-211.</w:t>
      </w:r>
      <w:bookmarkEnd w:id="48"/>
    </w:p>
    <w:p w:rsidR="00B7008F" w:rsidRPr="00E67D5F" w:rsidRDefault="00B7008F" w:rsidP="00B7008F">
      <w:pPr>
        <w:pStyle w:val="RSCR02References"/>
      </w:pPr>
      <w:bookmarkStart w:id="49" w:name="_ENREF_17"/>
      <w:r w:rsidRPr="00E67D5F">
        <w:t xml:space="preserve">L. Conibear, E. W. Butt, C. Knote, S. R. Arnold and D. V. Spracklen, </w:t>
      </w:r>
      <w:r w:rsidRPr="00B7008F">
        <w:t>Nature Communications</w:t>
      </w:r>
      <w:r w:rsidRPr="00E67D5F">
        <w:t xml:space="preserve">, 2018, </w:t>
      </w:r>
      <w:r w:rsidRPr="00B7008F">
        <w:t>9</w:t>
      </w:r>
      <w:r w:rsidRPr="00E67D5F">
        <w:t>, 617.</w:t>
      </w:r>
      <w:bookmarkEnd w:id="49"/>
    </w:p>
    <w:p w:rsidR="00B7008F" w:rsidRPr="00E67D5F" w:rsidRDefault="00B7008F" w:rsidP="00B7008F">
      <w:pPr>
        <w:pStyle w:val="RSCR02References"/>
      </w:pPr>
      <w:bookmarkStart w:id="50" w:name="_ENREF_18"/>
      <w:r w:rsidRPr="00E67D5F">
        <w:t xml:space="preserve">P. Purohit, M. Amann, G. Kiesewetter, P. Rafaj, V. Chaturvedi, H. H. Dholakia, P. N. Koti, Z. Klimont, J. Borken-Kleefeld, A. Gomez-Sanabria, W. Schöpp and R. Sander, </w:t>
      </w:r>
      <w:r w:rsidRPr="00B7008F">
        <w:t>Environment International</w:t>
      </w:r>
      <w:r w:rsidRPr="00E67D5F">
        <w:t xml:space="preserve">, 2019, </w:t>
      </w:r>
      <w:r w:rsidRPr="00B7008F">
        <w:t>133</w:t>
      </w:r>
      <w:r w:rsidRPr="00E67D5F">
        <w:t>, 105147.</w:t>
      </w:r>
      <w:bookmarkEnd w:id="50"/>
    </w:p>
    <w:p w:rsidR="00B7008F" w:rsidRPr="00E67D5F" w:rsidRDefault="00B7008F" w:rsidP="00B7008F">
      <w:pPr>
        <w:pStyle w:val="RSCR02References"/>
      </w:pPr>
      <w:bookmarkStart w:id="51" w:name="_ENREF_19"/>
      <w:r w:rsidRPr="00E67D5F">
        <w:t xml:space="preserve">M. Amann, P. Purohit, A. D. Bhanarkar, I. Bertok, J. Borken-Kleefeld, J. Cofala, C. Heyes, G. Kiesewetter, Z. Klimont, J. Liu, D. Majumdar, B. Nguyen, P. Rafaj, P. S. Rao, R. Sander, W. Schöpp, A. Srivastava and B. H. Vardhan, </w:t>
      </w:r>
      <w:r w:rsidRPr="00B7008F">
        <w:t>Atmospheric Environment</w:t>
      </w:r>
      <w:r w:rsidRPr="00E67D5F">
        <w:t xml:space="preserve">, 2017, </w:t>
      </w:r>
      <w:r w:rsidRPr="00B7008F">
        <w:t>161</w:t>
      </w:r>
      <w:r w:rsidRPr="00E67D5F">
        <w:t>, 99-111.</w:t>
      </w:r>
      <w:bookmarkEnd w:id="51"/>
    </w:p>
    <w:p w:rsidR="00B7008F" w:rsidRPr="00E67D5F" w:rsidRDefault="00B7008F" w:rsidP="00B7008F">
      <w:pPr>
        <w:pStyle w:val="RSCR02References"/>
      </w:pPr>
      <w:bookmarkStart w:id="52" w:name="_ENREF_20"/>
      <w:r w:rsidRPr="00E67D5F">
        <w:t xml:space="preserve">Y. Chen, O. Wild, E. Ryan, S. K. Sahu, D. Lowe, S. Archer-Nicholls, Y. Wang, G. McFiggans, T. Ansari, V. Singh, R. S. Sokhi, A. Archibald and G. Beig, </w:t>
      </w:r>
      <w:r w:rsidRPr="00B7008F">
        <w:t>Atmos. Chem. Phys.</w:t>
      </w:r>
      <w:r w:rsidRPr="00E67D5F">
        <w:t xml:space="preserve">, 2020, </w:t>
      </w:r>
      <w:r w:rsidRPr="00B7008F">
        <w:t>20</w:t>
      </w:r>
      <w:r w:rsidRPr="00E67D5F">
        <w:t>, 499-514.</w:t>
      </w:r>
      <w:bookmarkEnd w:id="52"/>
    </w:p>
    <w:p w:rsidR="00B7008F" w:rsidRPr="00E67D5F" w:rsidRDefault="00B7008F" w:rsidP="00B7008F">
      <w:pPr>
        <w:pStyle w:val="RSCR02References"/>
      </w:pPr>
      <w:bookmarkStart w:id="53" w:name="_ENREF_21"/>
      <w:r w:rsidRPr="00E67D5F">
        <w:t xml:space="preserve">K. Li, D. J. Jacob, H. Liao, J. Zhu, V. Shah, L. Shen, K. H. Bates, Q. Zhang and S. Zhai, </w:t>
      </w:r>
      <w:r w:rsidRPr="00B7008F">
        <w:t>Nature Geoscience</w:t>
      </w:r>
      <w:r w:rsidRPr="00E67D5F">
        <w:t>, 2019, DOI: 10.1038/s41561-019-0464-x.</w:t>
      </w:r>
      <w:bookmarkEnd w:id="53"/>
    </w:p>
    <w:p w:rsidR="00B7008F" w:rsidRPr="00E67D5F" w:rsidRDefault="00B7008F" w:rsidP="00B7008F">
      <w:pPr>
        <w:pStyle w:val="RSCR02References"/>
      </w:pPr>
      <w:bookmarkStart w:id="54" w:name="_ENREF_22"/>
      <w:r w:rsidRPr="00E67D5F">
        <w:t xml:space="preserve">K. Li, D. J. Jacob, H. Liao, L. Shen, Q. Zhang and K. H. Bates, </w:t>
      </w:r>
      <w:r w:rsidRPr="00B7008F">
        <w:t>Proceedings of the National Academy of Sciences</w:t>
      </w:r>
      <w:r w:rsidRPr="00E67D5F">
        <w:t>, 2018, DOI: 10.1073/pnas.1812168116, 201812168.</w:t>
      </w:r>
      <w:bookmarkEnd w:id="54"/>
    </w:p>
    <w:p w:rsidR="00B7008F" w:rsidRPr="00E67D5F" w:rsidRDefault="00B7008F" w:rsidP="00B7008F">
      <w:pPr>
        <w:pStyle w:val="RSCR02References"/>
      </w:pPr>
      <w:bookmarkStart w:id="55" w:name="_ENREF_23"/>
      <w:r w:rsidRPr="00E67D5F">
        <w:t xml:space="preserve">B. Silver, C. L. Reddington, S. R. Arnold and D. V. Spracklen, </w:t>
      </w:r>
      <w:r w:rsidRPr="00B7008F">
        <w:t>Environmental Research Letters</w:t>
      </w:r>
      <w:r w:rsidRPr="00E67D5F">
        <w:t xml:space="preserve">, 2018, </w:t>
      </w:r>
      <w:r w:rsidRPr="00B7008F">
        <w:t>13</w:t>
      </w:r>
      <w:r w:rsidRPr="00E67D5F">
        <w:t>, 114012.</w:t>
      </w:r>
      <w:bookmarkEnd w:id="55"/>
    </w:p>
    <w:p w:rsidR="00B7008F" w:rsidRPr="00E67D5F" w:rsidRDefault="00B7008F" w:rsidP="00B7008F">
      <w:pPr>
        <w:pStyle w:val="RSCR02References"/>
      </w:pPr>
      <w:bookmarkStart w:id="56" w:name="_ENREF_24"/>
      <w:r w:rsidRPr="00E67D5F">
        <w:t xml:space="preserve">Y. Chen, O. Wild, L. Conibear, L. Ran, J. He, L. Wang and Y. Wang, </w:t>
      </w:r>
      <w:r w:rsidRPr="00B7008F">
        <w:t>Atmospheric Environment: X</w:t>
      </w:r>
      <w:r w:rsidRPr="00E67D5F">
        <w:t xml:space="preserve">, 2020, </w:t>
      </w:r>
      <w:r w:rsidRPr="00B7008F">
        <w:t>5</w:t>
      </w:r>
      <w:r w:rsidRPr="00E67D5F">
        <w:t>, 100052.</w:t>
      </w:r>
      <w:bookmarkEnd w:id="56"/>
    </w:p>
    <w:p w:rsidR="00B7008F" w:rsidRPr="00E67D5F" w:rsidRDefault="00B7008F" w:rsidP="00B7008F">
      <w:pPr>
        <w:pStyle w:val="RSCR02References"/>
      </w:pPr>
      <w:bookmarkStart w:id="57" w:name="_ENREF_25"/>
      <w:r w:rsidRPr="00E67D5F">
        <w:t xml:space="preserve">S. Chowdhury and S. Dey, </w:t>
      </w:r>
      <w:r w:rsidRPr="00B7008F">
        <w:t>Environment International</w:t>
      </w:r>
      <w:r w:rsidRPr="00E67D5F">
        <w:t xml:space="preserve">, 2016, </w:t>
      </w:r>
      <w:r w:rsidRPr="00B7008F">
        <w:t>91</w:t>
      </w:r>
      <w:r w:rsidRPr="00E67D5F">
        <w:t>, 283-290.</w:t>
      </w:r>
      <w:bookmarkEnd w:id="57"/>
    </w:p>
    <w:p w:rsidR="00B7008F" w:rsidRPr="00E67D5F" w:rsidRDefault="00B7008F" w:rsidP="00B7008F">
      <w:pPr>
        <w:pStyle w:val="RSCR02References"/>
      </w:pPr>
      <w:bookmarkStart w:id="58" w:name="_ENREF_26"/>
      <w:r w:rsidRPr="00E67D5F">
        <w:t xml:space="preserve">WHO, </w:t>
      </w:r>
      <w:r w:rsidRPr="00B7008F">
        <w:t>World Health Organization: Geneva</w:t>
      </w:r>
      <w:r w:rsidRPr="00E67D5F">
        <w:t>, 2013.</w:t>
      </w:r>
      <w:bookmarkEnd w:id="58"/>
    </w:p>
    <w:p w:rsidR="00B7008F" w:rsidRPr="00E67D5F" w:rsidRDefault="00B7008F" w:rsidP="00B7008F">
      <w:pPr>
        <w:pStyle w:val="RSCR02References"/>
      </w:pPr>
      <w:bookmarkStart w:id="59" w:name="_ENREF_27"/>
      <w:r w:rsidRPr="00E67D5F">
        <w:t xml:space="preserve">WHO, </w:t>
      </w:r>
      <w:r w:rsidRPr="00B7008F">
        <w:t>Zika Situation Report</w:t>
      </w:r>
      <w:r w:rsidRPr="00E67D5F">
        <w:t>, 2016, 1-7.</w:t>
      </w:r>
      <w:bookmarkEnd w:id="59"/>
    </w:p>
    <w:p w:rsidR="00B7008F" w:rsidRPr="00E67D5F" w:rsidRDefault="00B7008F" w:rsidP="00B7008F">
      <w:pPr>
        <w:pStyle w:val="RSCR02References"/>
      </w:pPr>
      <w:bookmarkStart w:id="60" w:name="_ENREF_28"/>
      <w:r w:rsidRPr="00E67D5F">
        <w:t xml:space="preserve">WHO, </w:t>
      </w:r>
      <w:r w:rsidRPr="00B7008F">
        <w:t>Available: http://www.who.int/airpollution/data/cities-2016/en/,</w:t>
      </w:r>
      <w:r>
        <w:t xml:space="preserve"> </w:t>
      </w:r>
      <w:r w:rsidRPr="00E67D5F">
        <w:t>2016, (last access: 08 Nov. 2018).</w:t>
      </w:r>
      <w:bookmarkEnd w:id="60"/>
    </w:p>
    <w:p w:rsidR="00B7008F" w:rsidRPr="00E67D5F" w:rsidRDefault="00B7008F" w:rsidP="00B7008F">
      <w:pPr>
        <w:pStyle w:val="RSCR02References"/>
      </w:pPr>
      <w:bookmarkStart w:id="61" w:name="_ENREF_29"/>
      <w:r w:rsidRPr="00E67D5F">
        <w:lastRenderedPageBreak/>
        <w:t xml:space="preserve">S. K. Sahu, G. Beig and N. Parkhi, </w:t>
      </w:r>
      <w:r w:rsidRPr="00B7008F">
        <w:t>Aerosol and Air Quality Research</w:t>
      </w:r>
      <w:r w:rsidRPr="00E67D5F">
        <w:t xml:space="preserve">, 2015, </w:t>
      </w:r>
      <w:r w:rsidRPr="00B7008F">
        <w:t>15</w:t>
      </w:r>
      <w:r w:rsidRPr="00E67D5F">
        <w:t>, 1137-1144.</w:t>
      </w:r>
      <w:bookmarkEnd w:id="61"/>
    </w:p>
    <w:p w:rsidR="00B7008F" w:rsidRPr="00E67D5F" w:rsidRDefault="00B7008F" w:rsidP="00B7008F">
      <w:pPr>
        <w:pStyle w:val="RSCR02References"/>
      </w:pPr>
      <w:bookmarkStart w:id="62" w:name="_ENREF_30"/>
      <w:r w:rsidRPr="00E67D5F">
        <w:t xml:space="preserve">A. B. Guenther, X. Jiang, C. L. Heald, T. Sakulyanontvittaya, T. Duhl, L. K. Emmons and X. Wang, </w:t>
      </w:r>
      <w:r w:rsidRPr="00B7008F">
        <w:t>Geosci. Model Dev.</w:t>
      </w:r>
      <w:r w:rsidRPr="00E67D5F">
        <w:t xml:space="preserve">, 2012, </w:t>
      </w:r>
      <w:r w:rsidRPr="00B7008F">
        <w:t>5</w:t>
      </w:r>
      <w:r w:rsidRPr="00E67D5F">
        <w:t>, 1471-1492.</w:t>
      </w:r>
      <w:bookmarkEnd w:id="62"/>
    </w:p>
    <w:p w:rsidR="00B7008F" w:rsidRPr="00E67D5F" w:rsidRDefault="00B7008F" w:rsidP="00B7008F">
      <w:pPr>
        <w:pStyle w:val="RSCR02References"/>
      </w:pPr>
      <w:bookmarkStart w:id="63" w:name="_ENREF_31"/>
      <w:r w:rsidRPr="00E67D5F">
        <w:t xml:space="preserve">L. Ran, C. Zhao, F. Geng, X. Tie, X. Tang, L. Peng, G. Zhou, Q. Yu, J. Xu and A. Guenther, </w:t>
      </w:r>
      <w:r w:rsidRPr="00B7008F">
        <w:t>Journal of Geophysical Research: Atmospheres</w:t>
      </w:r>
      <w:r w:rsidRPr="00E67D5F">
        <w:t xml:space="preserve">, 2009, </w:t>
      </w:r>
      <w:r w:rsidRPr="00B7008F">
        <w:t>114</w:t>
      </w:r>
      <w:r w:rsidRPr="00E67D5F">
        <w:t>, D15301.</w:t>
      </w:r>
      <w:bookmarkEnd w:id="63"/>
    </w:p>
    <w:p w:rsidR="00B7008F" w:rsidRPr="00E67D5F" w:rsidRDefault="00B7008F" w:rsidP="00B7008F">
      <w:pPr>
        <w:pStyle w:val="RSCR02References"/>
      </w:pPr>
      <w:bookmarkStart w:id="64" w:name="_ENREF_32"/>
      <w:r w:rsidRPr="00E67D5F">
        <w:t xml:space="preserve">W. P. L. Carter, </w:t>
      </w:r>
      <w:r w:rsidRPr="00B7008F">
        <w:t>Air &amp; Waste</w:t>
      </w:r>
      <w:r w:rsidRPr="00E67D5F">
        <w:t xml:space="preserve">, 1994, </w:t>
      </w:r>
      <w:r w:rsidRPr="00B7008F">
        <w:t>44</w:t>
      </w:r>
      <w:r w:rsidRPr="00E67D5F">
        <w:t>, 881-899.</w:t>
      </w:r>
      <w:bookmarkEnd w:id="64"/>
    </w:p>
    <w:p w:rsidR="00B7008F" w:rsidRPr="00E67D5F" w:rsidRDefault="00B7008F" w:rsidP="00B7008F">
      <w:pPr>
        <w:pStyle w:val="RSCR02References"/>
      </w:pPr>
      <w:bookmarkStart w:id="65" w:name="_ENREF_33"/>
      <w:r w:rsidRPr="00E67D5F">
        <w:t xml:space="preserve">P. S. Monks, A. T. Archibald, A. Colette, O. Cooper, M. Coyle, R. Derwent, D. Fowler, C. Granier, K. S. Law, G. E. Mills, D. S. Stevenson, O. Tarasova, V. Thouret, E. von Schneidemesser, R. Sommariva, O. Wild and M. L. Williams, </w:t>
      </w:r>
      <w:r w:rsidRPr="00B7008F">
        <w:t>Atmos. Chem. Phys.</w:t>
      </w:r>
      <w:r w:rsidRPr="00E67D5F">
        <w:t xml:space="preserve">, 2015, </w:t>
      </w:r>
      <w:r w:rsidRPr="00B7008F">
        <w:t>15</w:t>
      </w:r>
      <w:r w:rsidRPr="00E67D5F">
        <w:t>, 8889-8973.</w:t>
      </w:r>
      <w:bookmarkEnd w:id="65"/>
    </w:p>
    <w:p w:rsidR="00B7008F" w:rsidRPr="00E67D5F" w:rsidRDefault="00B7008F" w:rsidP="00B7008F">
      <w:pPr>
        <w:pStyle w:val="RSCR02References"/>
      </w:pPr>
      <w:bookmarkStart w:id="66" w:name="_ENREF_34"/>
      <w:r w:rsidRPr="00E67D5F">
        <w:t xml:space="preserve">M. Hollaway, O. Wild, T. Yang, Y. Sun, W. Xu, C. Xie, L. Whalley, E. Slater, D. Heard and D. Liu, </w:t>
      </w:r>
      <w:r w:rsidRPr="00B7008F">
        <w:t>Atmos. Chem. Phys.</w:t>
      </w:r>
      <w:r w:rsidRPr="00E67D5F">
        <w:t xml:space="preserve">, 2019, </w:t>
      </w:r>
      <w:r w:rsidRPr="00B7008F">
        <w:t>19</w:t>
      </w:r>
      <w:r w:rsidRPr="00E67D5F">
        <w:t>, 9699-9714.</w:t>
      </w:r>
      <w:bookmarkEnd w:id="66"/>
    </w:p>
    <w:p w:rsidR="00B7008F" w:rsidRPr="00E67D5F" w:rsidRDefault="00B7008F" w:rsidP="00B7008F">
      <w:pPr>
        <w:pStyle w:val="RSCR02References"/>
      </w:pPr>
      <w:bookmarkStart w:id="67" w:name="_ENREF_35"/>
      <w:r w:rsidRPr="00E67D5F">
        <w:t xml:space="preserve">Z. Q. Hakim, S. Archer-Nicholls, G. Beig, G. A. Folberth, K. Sudo, N. L. Abraham, S. Ghude, D. K. Henze and A. T. Archibald, </w:t>
      </w:r>
      <w:r w:rsidRPr="00B7008F">
        <w:t>Atmos. Chem. Phys.</w:t>
      </w:r>
      <w:r w:rsidRPr="00E67D5F">
        <w:t xml:space="preserve">, 2019, </w:t>
      </w:r>
      <w:r w:rsidRPr="00B7008F">
        <w:t>19</w:t>
      </w:r>
      <w:r w:rsidRPr="00E67D5F">
        <w:t>, 6437-6458.</w:t>
      </w:r>
      <w:bookmarkEnd w:id="67"/>
    </w:p>
    <w:p w:rsidR="00B7008F" w:rsidRPr="00E67D5F" w:rsidRDefault="00B7008F" w:rsidP="00B7008F">
      <w:pPr>
        <w:pStyle w:val="RSCR02References"/>
      </w:pPr>
      <w:bookmarkStart w:id="68" w:name="_ENREF_36"/>
      <w:r w:rsidRPr="00E67D5F">
        <w:t xml:space="preserve">G. Beig, S. D. Ghude, S. D. Polade and B. Tyagi, </w:t>
      </w:r>
      <w:r w:rsidRPr="00B7008F">
        <w:t>Geophysical Research Letters</w:t>
      </w:r>
      <w:r w:rsidRPr="00E67D5F">
        <w:t xml:space="preserve">, 2008, </w:t>
      </w:r>
      <w:r w:rsidRPr="00B7008F">
        <w:t>35</w:t>
      </w:r>
      <w:r w:rsidRPr="00E67D5F">
        <w:t>, n/a-n/a.</w:t>
      </w:r>
      <w:bookmarkEnd w:id="68"/>
    </w:p>
    <w:p w:rsidR="00B7008F" w:rsidRPr="00E67D5F" w:rsidRDefault="00B7008F" w:rsidP="00B7008F">
      <w:pPr>
        <w:pStyle w:val="RSCR02References"/>
      </w:pPr>
      <w:bookmarkStart w:id="69" w:name="_ENREF_37"/>
      <w:r w:rsidRPr="00E67D5F">
        <w:t xml:space="preserve">G. Beig, S. Gunthe and D. B. Jadhav, </w:t>
      </w:r>
      <w:r w:rsidRPr="00B7008F">
        <w:t>J Atmos Chem</w:t>
      </w:r>
      <w:r w:rsidRPr="00E67D5F">
        <w:t xml:space="preserve">, 2007, </w:t>
      </w:r>
      <w:r w:rsidRPr="00B7008F">
        <w:t>57</w:t>
      </w:r>
      <w:r w:rsidRPr="00E67D5F">
        <w:t>, 239-253.</w:t>
      </w:r>
      <w:bookmarkEnd w:id="69"/>
    </w:p>
    <w:p w:rsidR="00B7008F" w:rsidRPr="00E67D5F" w:rsidRDefault="00B7008F" w:rsidP="00B7008F">
      <w:pPr>
        <w:pStyle w:val="RSCR02References"/>
      </w:pPr>
      <w:bookmarkStart w:id="70" w:name="_ENREF_38"/>
      <w:r w:rsidRPr="00E67D5F">
        <w:t xml:space="preserve">F. A. Squires, E. Nemitz, B. Langford, O. Wild, W. S. Drysdale, W. J. F. Acton, P. Fu, C. S. B. Grimmond, J. F. Hamilton, C. N. Hewitt, M. Hollaway, S. Kotthaus, J. Lee, S. Metzger, N. Pingintha-Durden, M. Shaw, A. R. Vaughan, X. Wang, R. Wu, Q. Zhang and Y. Zhang, </w:t>
      </w:r>
      <w:r w:rsidRPr="00B7008F">
        <w:t>Atmos. Chem. Phys. Discuss.</w:t>
      </w:r>
      <w:r w:rsidRPr="00E67D5F">
        <w:t xml:space="preserve">, 2020, </w:t>
      </w:r>
      <w:r w:rsidRPr="00B7008F">
        <w:t>2020</w:t>
      </w:r>
      <w:r w:rsidRPr="00E67D5F">
        <w:t>, 1-33.</w:t>
      </w:r>
      <w:bookmarkEnd w:id="70"/>
    </w:p>
    <w:p w:rsidR="00B7008F" w:rsidRPr="00E67D5F" w:rsidRDefault="00B7008F" w:rsidP="00B7008F">
      <w:pPr>
        <w:pStyle w:val="RSCR02References"/>
      </w:pPr>
      <w:bookmarkStart w:id="71" w:name="_ENREF_39"/>
      <w:r w:rsidRPr="00E67D5F">
        <w:t xml:space="preserve">Y. Wang and Y. Chen, </w:t>
      </w:r>
      <w:r w:rsidRPr="00B7008F">
        <w:t>Geophysical Research Letters</w:t>
      </w:r>
      <w:r w:rsidRPr="00E67D5F">
        <w:t xml:space="preserve">, 2019, </w:t>
      </w:r>
      <w:r w:rsidRPr="00B7008F">
        <w:t>46</w:t>
      </w:r>
      <w:r w:rsidRPr="00E67D5F">
        <w:t>, 5535-5545.</w:t>
      </w:r>
      <w:bookmarkEnd w:id="71"/>
    </w:p>
    <w:p w:rsidR="00B7008F" w:rsidRPr="00E67D5F" w:rsidRDefault="00B7008F" w:rsidP="00B7008F">
      <w:pPr>
        <w:pStyle w:val="RSCR02References"/>
      </w:pPr>
      <w:bookmarkStart w:id="72" w:name="_ENREF_40"/>
      <w:r w:rsidRPr="00E67D5F">
        <w:t xml:space="preserve">S. e. a. Platnick, </w:t>
      </w:r>
      <w:r w:rsidRPr="00B7008F">
        <w:t>Goddard Space Flight Center, USA</w:t>
      </w:r>
      <w:r w:rsidRPr="00E67D5F">
        <w:t>, 2015, DOI: 10.5067/MODIS/MOD08_M3.061.</w:t>
      </w:r>
      <w:bookmarkEnd w:id="72"/>
    </w:p>
    <w:p w:rsidR="00B7008F" w:rsidRPr="00E67D5F" w:rsidRDefault="00B7008F" w:rsidP="00B7008F">
      <w:pPr>
        <w:pStyle w:val="RSCR02References"/>
      </w:pPr>
      <w:bookmarkStart w:id="73" w:name="_ENREF_41"/>
      <w:r w:rsidRPr="00E67D5F">
        <w:t>S. Madronich and S. Flocke,</w:t>
      </w:r>
      <w:r w:rsidRPr="00B7008F">
        <w:t xml:space="preserve"> edited by P. Boule, pp. 1- 26, Springer-Berlin, Heidelberg</w:t>
      </w:r>
      <w:r w:rsidRPr="00E67D5F">
        <w:t>, 1998.</w:t>
      </w:r>
      <w:bookmarkEnd w:id="73"/>
    </w:p>
    <w:p w:rsidR="00B7008F" w:rsidRPr="00E67D5F" w:rsidRDefault="00B7008F" w:rsidP="00B7008F">
      <w:pPr>
        <w:pStyle w:val="RSCR02References"/>
      </w:pPr>
      <w:bookmarkStart w:id="74" w:name="_ENREF_42"/>
      <w:r w:rsidRPr="00E67D5F">
        <w:t xml:space="preserve">M. Z. Jacobson and R. P. Turco, </w:t>
      </w:r>
      <w:r w:rsidRPr="00B7008F">
        <w:t>Atmospheric Environment</w:t>
      </w:r>
      <w:r w:rsidRPr="00E67D5F">
        <w:t xml:space="preserve">, 1994, </w:t>
      </w:r>
      <w:r w:rsidRPr="00B7008F">
        <w:t>28</w:t>
      </w:r>
      <w:r w:rsidRPr="00E67D5F">
        <w:t>, 273-284.</w:t>
      </w:r>
      <w:bookmarkEnd w:id="74"/>
    </w:p>
    <w:p w:rsidR="00B7008F" w:rsidRPr="00E67D5F" w:rsidRDefault="00B7008F" w:rsidP="00B7008F">
      <w:pPr>
        <w:pStyle w:val="RSCR02References"/>
      </w:pPr>
      <w:bookmarkStart w:id="75" w:name="_ENREF_43"/>
      <w:r w:rsidRPr="00E67D5F">
        <w:t xml:space="preserve">S. Gani, S. Bhandari, S. Seraj, D. S. Wang, K. Patel, P. Soni, Z. Arub, G. Habib, L. Hildebrandt Ruiz and J. S. Apte, </w:t>
      </w:r>
      <w:r w:rsidRPr="00B7008F">
        <w:t>Atmos. Chem. Phys.</w:t>
      </w:r>
      <w:r w:rsidRPr="00E67D5F">
        <w:t xml:space="preserve">, 2019, </w:t>
      </w:r>
      <w:r w:rsidRPr="00B7008F">
        <w:t>19</w:t>
      </w:r>
      <w:r w:rsidRPr="00E67D5F">
        <w:t>, 6843-6859.</w:t>
      </w:r>
      <w:bookmarkEnd w:id="75"/>
    </w:p>
    <w:p w:rsidR="00B7008F" w:rsidRPr="00E67D5F" w:rsidRDefault="00B7008F" w:rsidP="00B7008F">
      <w:pPr>
        <w:pStyle w:val="RSCR02References"/>
      </w:pPr>
      <w:bookmarkStart w:id="76" w:name="_ENREF_44"/>
      <w:r w:rsidRPr="00E67D5F">
        <w:t xml:space="preserve">A. Sharma, N. Ojha, A. Pozzer, K. A. Mar, G. Beig, J. Lelieveld and S. S. Gunthe, </w:t>
      </w:r>
      <w:r w:rsidRPr="00B7008F">
        <w:t>Atmos. Chem. Phys.</w:t>
      </w:r>
      <w:r w:rsidRPr="00E67D5F">
        <w:t xml:space="preserve">, 2017, </w:t>
      </w:r>
      <w:r w:rsidRPr="00B7008F">
        <w:t>17</w:t>
      </w:r>
      <w:r w:rsidRPr="00E67D5F">
        <w:t>, 14393-14413.</w:t>
      </w:r>
      <w:bookmarkEnd w:id="76"/>
    </w:p>
    <w:p w:rsidR="00B7008F" w:rsidRPr="00E67D5F" w:rsidRDefault="00B7008F" w:rsidP="00B7008F">
      <w:pPr>
        <w:pStyle w:val="RSCR02References"/>
      </w:pPr>
      <w:bookmarkStart w:id="77" w:name="_ENREF_45"/>
      <w:r w:rsidRPr="00E67D5F">
        <w:t xml:space="preserve">S. Sillman, J. A. Logan and S. C. Wofsy, </w:t>
      </w:r>
      <w:r w:rsidRPr="00B7008F">
        <w:t>Journal of Geophysical Research: Atmospheres</w:t>
      </w:r>
      <w:r w:rsidRPr="00E67D5F">
        <w:t xml:space="preserve">, 1990, </w:t>
      </w:r>
      <w:r w:rsidRPr="00B7008F">
        <w:t>95</w:t>
      </w:r>
      <w:bookmarkStart w:id="78" w:name="_GoBack"/>
      <w:bookmarkEnd w:id="78"/>
      <w:r w:rsidRPr="00E67D5F">
        <w:t>, 1837-1851.</w:t>
      </w:r>
      <w:bookmarkEnd w:id="77"/>
    </w:p>
    <w:p w:rsidR="00551508" w:rsidRPr="00551508" w:rsidRDefault="00551508" w:rsidP="00551508">
      <w:pPr>
        <w:pStyle w:val="RSCR02References"/>
      </w:pPr>
      <w:bookmarkStart w:id="79" w:name="_ENREF_46"/>
      <w:r w:rsidRPr="00551508">
        <w:t xml:space="preserve">CPCB, </w:t>
      </w:r>
      <w:hyperlink r:id="rId23" w:history="1">
        <w:r w:rsidRPr="00551508">
          <w:t>http://cpcbenvis.nic.in/envis_newsletter/Air%20pollution%20in%20Delhi.pdf</w:t>
        </w:r>
      </w:hyperlink>
      <w:r w:rsidRPr="00551508">
        <w:t xml:space="preserve"> (latest access: 13 July 2020), 2016.</w:t>
      </w:r>
    </w:p>
    <w:p w:rsidR="00551508" w:rsidRPr="00551508" w:rsidRDefault="00551508" w:rsidP="00551508">
      <w:pPr>
        <w:pStyle w:val="RSCR02References"/>
      </w:pPr>
      <w:r w:rsidRPr="00551508">
        <w:t>S. Chowdhury, S. Dey, S. N. Tripathi, G. Beig, A. K. Mishra and S. Sharma, Environmental Science &amp; Policy, 2017, 74, 8-13.</w:t>
      </w:r>
    </w:p>
    <w:p w:rsidR="00551508" w:rsidRPr="00551508" w:rsidRDefault="00551508" w:rsidP="00551508">
      <w:pPr>
        <w:pStyle w:val="RSCR02References"/>
      </w:pPr>
      <w:r w:rsidRPr="00551508">
        <w:t>48.</w:t>
      </w:r>
      <w:r w:rsidRPr="00551508">
        <w:tab/>
        <w:t>S. Sharma, A. Goel, D. Gupta, A. Kumar, A. Mishra, S. Kundu, S. Chatani and Z. Klimont, Atmospheric Environment, 2015, 102, 209-219.</w:t>
      </w:r>
    </w:p>
    <w:p w:rsidR="00551508" w:rsidRPr="00551508" w:rsidRDefault="00551508" w:rsidP="00551508">
      <w:pPr>
        <w:pStyle w:val="RSCR02References"/>
      </w:pPr>
      <w:bookmarkStart w:id="80" w:name="_ENREF_49"/>
      <w:r w:rsidRPr="00551508">
        <w:t>Z. Tan, A. Hofzumahaus, K. Lu, S. S. Brown, F. Holland, L. G. Huey, A. Kiendler-Scharr, X. Li, X. Liu, N. Ma, K.-E. Min, F. Rohrer, M. Shao, A. Wahner, Y. Wang, A. Wiedensohler, Y. Wu, Z. Wu, L. Zeng, Y. Zhang and H. Fuchs, Environmental Science &amp; Technology, 2020, DOI: 10.1021/acs.est.0c00525.</w:t>
      </w:r>
      <w:bookmarkEnd w:id="80"/>
    </w:p>
    <w:p w:rsidR="00551508" w:rsidRPr="000765FE" w:rsidRDefault="00551508" w:rsidP="00551508">
      <w:pPr>
        <w:pStyle w:val="RSCR02References"/>
      </w:pPr>
      <w:bookmarkStart w:id="81" w:name="_ENREF_50"/>
      <w:r w:rsidRPr="00551508">
        <w:t>D. Hu, Y. Chen, Y. Wang, V. Daële, M. Idir, C. Yu, J. Wang and A. Mellouki, Science of The Total Environment, 2019, 657, 1074-1084.</w:t>
      </w:r>
      <w:bookmarkEnd w:id="81"/>
    </w:p>
    <w:bookmarkEnd w:id="79"/>
    <w:p w:rsidR="007839C3" w:rsidRPr="00B7008F" w:rsidRDefault="007839C3" w:rsidP="00B7008F">
      <w:pPr>
        <w:pStyle w:val="RSCR02References"/>
        <w:numPr>
          <w:ilvl w:val="0"/>
          <w:numId w:val="0"/>
        </w:numPr>
      </w:pPr>
    </w:p>
    <w:sectPr w:rsidR="007839C3" w:rsidRPr="00B7008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207" w:rsidRDefault="004B2207" w:rsidP="00E547DB">
      <w:pPr>
        <w:spacing w:after="0" w:line="240" w:lineRule="auto"/>
      </w:pPr>
      <w:r>
        <w:separator/>
      </w:r>
    </w:p>
    <w:p w:rsidR="004B2207" w:rsidRDefault="004B2207"/>
    <w:p w:rsidR="004B2207" w:rsidRDefault="004B2207"/>
    <w:p w:rsidR="004B2207" w:rsidRDefault="004B2207"/>
    <w:p w:rsidR="004B2207" w:rsidRDefault="004B2207"/>
    <w:p w:rsidR="004B2207" w:rsidRDefault="004B2207"/>
  </w:endnote>
  <w:endnote w:type="continuationSeparator" w:id="0">
    <w:p w:rsidR="004B2207" w:rsidRDefault="004B2207" w:rsidP="00E547DB">
      <w:pPr>
        <w:spacing w:after="0" w:line="240" w:lineRule="auto"/>
      </w:pPr>
      <w:r>
        <w:continuationSeparator/>
      </w:r>
    </w:p>
    <w:p w:rsidR="004B2207" w:rsidRDefault="004B2207"/>
    <w:p w:rsidR="004B2207" w:rsidRDefault="004B2207"/>
    <w:p w:rsidR="004B2207" w:rsidRDefault="004B2207"/>
    <w:p w:rsidR="004B2207" w:rsidRDefault="004B2207"/>
    <w:p w:rsidR="004B2207" w:rsidRDefault="004B2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E8C3383-629B-4A96-9841-8C0CFCC6E3F0}"/>
    <w:embedBold r:id="rId2" w:fontKey="{BA1D45C9-C3EE-43DB-A483-E8DCC37783AF}"/>
    <w:embedItalic r:id="rId3" w:fontKey="{68467DC9-C13C-4A63-B7FE-166B75692FA7}"/>
    <w:embedBoldItalic r:id="rId4" w:fontKey="{95C4C6F8-A753-4EC1-99F7-17D0D2A419D3}"/>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3F9BED69-0611-45E0-A540-E3554089E04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AB7333BC-2DFE-4AF4-A684-F023FCFAC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D45ADF">
    <w:pPr>
      <w:pStyle w:val="a4"/>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343CE">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180ABE" w:rsidP="00D45ADF">
    <w:pPr>
      <w:pStyle w:val="a4"/>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343CE">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514CBA" w:rsidP="00D45ADF">
    <w:pPr>
      <w:pStyle w:val="a4"/>
      <w:tabs>
        <w:tab w:val="clear" w:pos="4513"/>
        <w:tab w:val="clear" w:pos="9026"/>
        <w:tab w:val="right" w:pos="10206"/>
      </w:tabs>
      <w:spacing w:before="480"/>
      <w:rPr>
        <w:sz w:val="16"/>
        <w:szCs w:val="16"/>
      </w:rPr>
    </w:pPr>
    <w:r>
      <w:rPr>
        <w:noProof/>
        <w:lang w:val="en-US" w:eastAsia="zh-CN"/>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38"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207" w:rsidRDefault="004B2207" w:rsidP="00E547DB">
      <w:pPr>
        <w:spacing w:after="0" w:line="240" w:lineRule="auto"/>
      </w:pPr>
      <w:r>
        <w:separator/>
      </w:r>
    </w:p>
    <w:p w:rsidR="004B2207" w:rsidRDefault="004B2207"/>
    <w:p w:rsidR="004B2207" w:rsidRDefault="004B2207"/>
    <w:p w:rsidR="004B2207" w:rsidRDefault="004B2207"/>
    <w:p w:rsidR="004B2207" w:rsidRDefault="004B2207"/>
    <w:p w:rsidR="004B2207" w:rsidRDefault="004B2207"/>
  </w:footnote>
  <w:footnote w:type="continuationSeparator" w:id="0">
    <w:p w:rsidR="004B2207" w:rsidRDefault="004B2207" w:rsidP="00E547DB">
      <w:pPr>
        <w:spacing w:after="0" w:line="240" w:lineRule="auto"/>
      </w:pPr>
      <w:r>
        <w:continuationSeparator/>
      </w:r>
    </w:p>
    <w:p w:rsidR="004B2207" w:rsidRDefault="004B2207"/>
    <w:p w:rsidR="004B2207" w:rsidRDefault="004B2207"/>
    <w:p w:rsidR="004B2207" w:rsidRDefault="004B2207"/>
    <w:p w:rsidR="004B2207" w:rsidRDefault="004B2207"/>
    <w:p w:rsidR="004B2207" w:rsidRDefault="004B22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val="en-US" w:eastAsia="zh-CN"/>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33"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34"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2C09A1" w:rsidRPr="002C09A1">
      <w:rPr>
        <w:rFonts w:cstheme="minorHAnsi"/>
        <w:b/>
        <w:color w:val="999999"/>
        <w:sz w:val="20"/>
        <w:szCs w:val="20"/>
      </w:rPr>
      <w:t>Faraday Discussion</w:t>
    </w:r>
    <w:r w:rsidR="002C09A1">
      <w:rPr>
        <w:rFonts w:cstheme="minorHAnsi"/>
        <w:b/>
        <w:color w:val="999999"/>
        <w:sz w:val="20"/>
        <w:szCs w:val="20"/>
      </w:rP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val="en-US" w:eastAsia="zh-CN"/>
      </w:rPr>
      <mc:AlternateContent>
        <mc:Choice Requires="wps">
          <w:drawing>
            <wp:anchor distT="0" distB="0" distL="114300" distR="114300" simplePos="0" relativeHeight="251672576" behindDoc="0" locked="0" layoutInCell="1" allowOverlap="1" wp14:anchorId="2FAD53F7" wp14:editId="277B097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AD53F7" id="_x0000_t202" coordsize="21600,21600" o:spt="202" path="m,l,21600r21600,l21600,xe">
              <v:stroke joinstyle="miter"/>
              <v:path gradientshapeok="t" o:connecttype="rect"/>
            </v:shapetype>
            <v:shape id="_x0000_s1035"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3625FE4E" wp14:editId="6A99D06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25FE4E" id="_x0000_s1036"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2694E">
      <w:rPr>
        <w:rFonts w:cstheme="minorHAnsi"/>
        <w:b/>
        <w:color w:val="999999"/>
        <w:sz w:val="20"/>
        <w:szCs w:val="20"/>
      </w:rPr>
      <w:t>Faraday Discussions</w: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val="en-US" w:eastAsia="zh-CN"/>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37"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 w:numId="8">
    <w:abstractNumId w:val="2"/>
  </w:num>
  <w:num w:numId="9">
    <w:abstractNumId w:val="2"/>
  </w:num>
  <w:num w:numId="10">
    <w:abstractNumId w:val="2"/>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bordersDoNotSurroundHeader/>
  <w:bordersDoNotSurroundFooter/>
  <w:proofState w:grammar="clean"/>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4685A"/>
    <w:rsid w:val="0005159A"/>
    <w:rsid w:val="000535F0"/>
    <w:rsid w:val="000622D1"/>
    <w:rsid w:val="0006747F"/>
    <w:rsid w:val="00071E41"/>
    <w:rsid w:val="00073639"/>
    <w:rsid w:val="00086586"/>
    <w:rsid w:val="000A2670"/>
    <w:rsid w:val="000C0A9D"/>
    <w:rsid w:val="000D2FAC"/>
    <w:rsid w:val="000D5891"/>
    <w:rsid w:val="000D6963"/>
    <w:rsid w:val="000E7A32"/>
    <w:rsid w:val="000F0959"/>
    <w:rsid w:val="000F3A41"/>
    <w:rsid w:val="00120227"/>
    <w:rsid w:val="00126027"/>
    <w:rsid w:val="001343CE"/>
    <w:rsid w:val="0014354D"/>
    <w:rsid w:val="001508E9"/>
    <w:rsid w:val="001633D9"/>
    <w:rsid w:val="00180ABE"/>
    <w:rsid w:val="001923AB"/>
    <w:rsid w:val="001C1EB8"/>
    <w:rsid w:val="001E0322"/>
    <w:rsid w:val="00204E92"/>
    <w:rsid w:val="00206A82"/>
    <w:rsid w:val="00214BEC"/>
    <w:rsid w:val="00237C8A"/>
    <w:rsid w:val="0024022C"/>
    <w:rsid w:val="00241ACD"/>
    <w:rsid w:val="00253551"/>
    <w:rsid w:val="00270DD5"/>
    <w:rsid w:val="00271235"/>
    <w:rsid w:val="00272D6F"/>
    <w:rsid w:val="002A5421"/>
    <w:rsid w:val="002C0803"/>
    <w:rsid w:val="002C09A1"/>
    <w:rsid w:val="002C251C"/>
    <w:rsid w:val="002C3D7C"/>
    <w:rsid w:val="002E5B1D"/>
    <w:rsid w:val="002F52C3"/>
    <w:rsid w:val="00352029"/>
    <w:rsid w:val="00352AA4"/>
    <w:rsid w:val="00354579"/>
    <w:rsid w:val="00356F00"/>
    <w:rsid w:val="003656ED"/>
    <w:rsid w:val="00377481"/>
    <w:rsid w:val="003837D4"/>
    <w:rsid w:val="00385965"/>
    <w:rsid w:val="003A7E95"/>
    <w:rsid w:val="003B739C"/>
    <w:rsid w:val="003C6313"/>
    <w:rsid w:val="003D4ECA"/>
    <w:rsid w:val="003D6715"/>
    <w:rsid w:val="003E55B2"/>
    <w:rsid w:val="0043180D"/>
    <w:rsid w:val="004414A5"/>
    <w:rsid w:val="0044700B"/>
    <w:rsid w:val="00467171"/>
    <w:rsid w:val="00467C80"/>
    <w:rsid w:val="00474052"/>
    <w:rsid w:val="004877C8"/>
    <w:rsid w:val="004901D3"/>
    <w:rsid w:val="004B2207"/>
    <w:rsid w:val="004B5EA4"/>
    <w:rsid w:val="004C531E"/>
    <w:rsid w:val="004C6C90"/>
    <w:rsid w:val="005037CD"/>
    <w:rsid w:val="00504795"/>
    <w:rsid w:val="00514CBA"/>
    <w:rsid w:val="0052630A"/>
    <w:rsid w:val="0052694E"/>
    <w:rsid w:val="0053177A"/>
    <w:rsid w:val="00533EA1"/>
    <w:rsid w:val="00551508"/>
    <w:rsid w:val="005771C3"/>
    <w:rsid w:val="00577B54"/>
    <w:rsid w:val="00590AE4"/>
    <w:rsid w:val="00590F6D"/>
    <w:rsid w:val="005A5A6D"/>
    <w:rsid w:val="005A5ED7"/>
    <w:rsid w:val="005C1A41"/>
    <w:rsid w:val="005C4565"/>
    <w:rsid w:val="005E05CD"/>
    <w:rsid w:val="0061572F"/>
    <w:rsid w:val="00631441"/>
    <w:rsid w:val="00641030"/>
    <w:rsid w:val="00645D52"/>
    <w:rsid w:val="0065133B"/>
    <w:rsid w:val="00651780"/>
    <w:rsid w:val="006556AC"/>
    <w:rsid w:val="006602F1"/>
    <w:rsid w:val="00670ED4"/>
    <w:rsid w:val="00672928"/>
    <w:rsid w:val="00674A86"/>
    <w:rsid w:val="006A69C8"/>
    <w:rsid w:val="006B43FC"/>
    <w:rsid w:val="006B4687"/>
    <w:rsid w:val="006D6163"/>
    <w:rsid w:val="006E58B1"/>
    <w:rsid w:val="006F01C4"/>
    <w:rsid w:val="006F487B"/>
    <w:rsid w:val="006F740B"/>
    <w:rsid w:val="00744A41"/>
    <w:rsid w:val="00780A41"/>
    <w:rsid w:val="007839C3"/>
    <w:rsid w:val="00794787"/>
    <w:rsid w:val="007A37D8"/>
    <w:rsid w:val="007C3D03"/>
    <w:rsid w:val="007D1EFA"/>
    <w:rsid w:val="007D5FE4"/>
    <w:rsid w:val="008125A0"/>
    <w:rsid w:val="008560DE"/>
    <w:rsid w:val="0088525A"/>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916C9"/>
    <w:rsid w:val="009918D9"/>
    <w:rsid w:val="00997A44"/>
    <w:rsid w:val="009A392D"/>
    <w:rsid w:val="009D17C3"/>
    <w:rsid w:val="009D47C2"/>
    <w:rsid w:val="009E51F8"/>
    <w:rsid w:val="009F2649"/>
    <w:rsid w:val="00A05364"/>
    <w:rsid w:val="00A074D7"/>
    <w:rsid w:val="00A17D23"/>
    <w:rsid w:val="00A208E1"/>
    <w:rsid w:val="00A4538D"/>
    <w:rsid w:val="00A521AB"/>
    <w:rsid w:val="00A56CD0"/>
    <w:rsid w:val="00A61D3E"/>
    <w:rsid w:val="00A7643E"/>
    <w:rsid w:val="00A807BE"/>
    <w:rsid w:val="00A9649E"/>
    <w:rsid w:val="00AA1341"/>
    <w:rsid w:val="00AB16D0"/>
    <w:rsid w:val="00AB2C1B"/>
    <w:rsid w:val="00AC3BF2"/>
    <w:rsid w:val="00AD5483"/>
    <w:rsid w:val="00AF0249"/>
    <w:rsid w:val="00AF150F"/>
    <w:rsid w:val="00AF4737"/>
    <w:rsid w:val="00B0470A"/>
    <w:rsid w:val="00B0519F"/>
    <w:rsid w:val="00B2364D"/>
    <w:rsid w:val="00B53582"/>
    <w:rsid w:val="00B6239D"/>
    <w:rsid w:val="00B67630"/>
    <w:rsid w:val="00B7008F"/>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5706E"/>
    <w:rsid w:val="00E61949"/>
    <w:rsid w:val="00E70DCE"/>
    <w:rsid w:val="00EA446A"/>
    <w:rsid w:val="00EA7DC1"/>
    <w:rsid w:val="00EB5BA2"/>
    <w:rsid w:val="00EB5C28"/>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paragraph" w:customStyle="1" w:styleId="Default">
    <w:name w:val="Default"/>
    <w:rsid w:val="003656ED"/>
    <w:pPr>
      <w:autoSpaceDE w:val="0"/>
      <w:autoSpaceDN w:val="0"/>
      <w:adjustRightInd w:val="0"/>
      <w:spacing w:after="0" w:line="240" w:lineRule="auto"/>
    </w:pPr>
    <w:rPr>
      <w:rFonts w:ascii="Calibri" w:hAnsi="Calibri" w:cs="Calibri"/>
      <w:color w:val="000000"/>
      <w:sz w:val="24"/>
      <w:szCs w:val="24"/>
      <w:lang w:eastAsia="zh-CN"/>
    </w:rPr>
  </w:style>
  <w:style w:type="paragraph" w:customStyle="1" w:styleId="EndNoteBibliography">
    <w:name w:val="EndNote Bibliography"/>
    <w:basedOn w:val="a"/>
    <w:link w:val="EndNoteBibliographyChar"/>
    <w:rsid w:val="00B7008F"/>
    <w:pPr>
      <w:spacing w:after="160" w:line="240" w:lineRule="auto"/>
    </w:pPr>
    <w:rPr>
      <w:rFonts w:ascii="Calibri" w:hAnsi="Calibri" w:cs="Calibri"/>
      <w:noProof/>
      <w:lang w:eastAsia="zh-CN"/>
    </w:rPr>
  </w:style>
  <w:style w:type="character" w:customStyle="1" w:styleId="EndNoteBibliographyChar">
    <w:name w:val="EndNote Bibliography Char"/>
    <w:basedOn w:val="a0"/>
    <w:link w:val="EndNoteBibliography"/>
    <w:rsid w:val="00B7008F"/>
    <w:rPr>
      <w:rFonts w:ascii="Calibri" w:hAnsi="Calibri" w:cs="Calibri"/>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acom.ucar.edu/modeling/tropospheric-ultraviolet-and-visible-tuv-radiation-mode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cpcbenvis.nic.in/envis_newsletter/Air%20pollution%20in%20Delhi.pdf" TargetMode="Externa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76513-5E17-4DA9-8DF7-64E08AC6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4941</Words>
  <Characters>28169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yingchen</cp:lastModifiedBy>
  <cp:revision>15</cp:revision>
  <cp:lastPrinted>2014-10-09T15:34:00Z</cp:lastPrinted>
  <dcterms:created xsi:type="dcterms:W3CDTF">2020-06-18T16:01:00Z</dcterms:created>
  <dcterms:modified xsi:type="dcterms:W3CDTF">2020-07-27T09:02:00Z</dcterms:modified>
</cp:coreProperties>
</file>