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C2C78" w14:textId="77777777" w:rsidR="001F15D8" w:rsidRPr="00216FF6" w:rsidRDefault="001F15D8" w:rsidP="00F242C3">
      <w:pPr>
        <w:pStyle w:val="PaperTitle"/>
        <w:rPr>
          <w:sz w:val="24"/>
          <w:szCs w:val="24"/>
        </w:rPr>
      </w:pPr>
    </w:p>
    <w:p w14:paraId="27AB07A4" w14:textId="7698FD4A" w:rsidR="001E20DF" w:rsidRDefault="001E20DF" w:rsidP="001E20DF">
      <w:pPr>
        <w:pStyle w:val="AuthorName"/>
        <w:rPr>
          <w:sz w:val="36"/>
          <w:szCs w:val="36"/>
        </w:rPr>
      </w:pPr>
      <w:r w:rsidRPr="001E20DF">
        <w:rPr>
          <w:sz w:val="36"/>
          <w:szCs w:val="36"/>
        </w:rPr>
        <w:t xml:space="preserve">Who Trusts in the Smart City? </w:t>
      </w:r>
      <w:r>
        <w:rPr>
          <w:sz w:val="36"/>
          <w:szCs w:val="36"/>
        </w:rPr>
        <w:t xml:space="preserve">                                  </w:t>
      </w:r>
      <w:r w:rsidRPr="001E20DF">
        <w:rPr>
          <w:sz w:val="36"/>
          <w:szCs w:val="36"/>
        </w:rPr>
        <w:t>Transparency, Governance and the Internet of Things</w:t>
      </w:r>
    </w:p>
    <w:p w14:paraId="285CC871" w14:textId="25361AB3" w:rsidR="00175851" w:rsidRPr="00216FF6" w:rsidRDefault="00951C4C" w:rsidP="00175851">
      <w:pPr>
        <w:pStyle w:val="AuthorName"/>
        <w:rPr>
          <w:rFonts w:ascii="Times" w:hAnsi="Times"/>
          <w:szCs w:val="24"/>
        </w:rPr>
      </w:pPr>
      <w:r w:rsidRPr="00216FF6">
        <w:rPr>
          <w:szCs w:val="24"/>
          <w:vertAlign w:val="superscript"/>
        </w:rPr>
        <w:t>1</w:t>
      </w:r>
      <w:r w:rsidR="008F4F5D" w:rsidRPr="00216FF6">
        <w:rPr>
          <w:szCs w:val="24"/>
        </w:rPr>
        <w:t>Naomi Jacobs</w:t>
      </w:r>
      <w:r w:rsidR="00910D58" w:rsidRPr="00216FF6">
        <w:rPr>
          <w:szCs w:val="24"/>
        </w:rPr>
        <w:t>*</w:t>
      </w:r>
      <w:r w:rsidR="008F4F5D" w:rsidRPr="00216FF6">
        <w:rPr>
          <w:szCs w:val="24"/>
        </w:rPr>
        <w:t xml:space="preserve">, </w:t>
      </w:r>
      <w:r w:rsidRPr="00216FF6">
        <w:rPr>
          <w:szCs w:val="24"/>
          <w:vertAlign w:val="superscript"/>
        </w:rPr>
        <w:t>2</w:t>
      </w:r>
      <w:r w:rsidR="008F4F5D" w:rsidRPr="00216FF6">
        <w:rPr>
          <w:szCs w:val="24"/>
        </w:rPr>
        <w:t xml:space="preserve">Peter Edwards, </w:t>
      </w:r>
      <w:r w:rsidRPr="00216FF6">
        <w:rPr>
          <w:szCs w:val="24"/>
          <w:vertAlign w:val="superscript"/>
        </w:rPr>
        <w:t>3</w:t>
      </w:r>
      <w:r w:rsidR="008F4F5D" w:rsidRPr="00216FF6">
        <w:rPr>
          <w:szCs w:val="24"/>
        </w:rPr>
        <w:t xml:space="preserve">Milan Markovic, </w:t>
      </w:r>
      <w:r w:rsidRPr="00216FF6">
        <w:rPr>
          <w:szCs w:val="24"/>
          <w:vertAlign w:val="superscript"/>
        </w:rPr>
        <w:t>4</w:t>
      </w:r>
      <w:r w:rsidR="008F4F5D" w:rsidRPr="00216FF6">
        <w:rPr>
          <w:szCs w:val="24"/>
        </w:rPr>
        <w:t xml:space="preserve">Caitlin </w:t>
      </w:r>
      <w:r w:rsidR="00984EC4" w:rsidRPr="00216FF6">
        <w:rPr>
          <w:szCs w:val="24"/>
        </w:rPr>
        <w:t xml:space="preserve">D </w:t>
      </w:r>
      <w:r w:rsidR="008F4F5D" w:rsidRPr="00216FF6">
        <w:rPr>
          <w:szCs w:val="24"/>
        </w:rPr>
        <w:t xml:space="preserve">Cottrill, </w:t>
      </w:r>
      <w:r w:rsidRPr="00216FF6">
        <w:rPr>
          <w:szCs w:val="24"/>
          <w:vertAlign w:val="superscript"/>
        </w:rPr>
        <w:t>5</w:t>
      </w:r>
      <w:r w:rsidR="008F4F5D" w:rsidRPr="00216FF6">
        <w:rPr>
          <w:szCs w:val="24"/>
        </w:rPr>
        <w:t>Karen Salt</w:t>
      </w:r>
      <w:r w:rsidR="00B6016E" w:rsidRPr="00216FF6">
        <w:rPr>
          <w:szCs w:val="24"/>
        </w:rPr>
        <w:br/>
      </w:r>
    </w:p>
    <w:p w14:paraId="7ABBF3CD" w14:textId="7D872643" w:rsidR="00951C4C" w:rsidRPr="00216FF6" w:rsidRDefault="00951C4C" w:rsidP="00175851">
      <w:pPr>
        <w:pStyle w:val="AffiliationandAddress"/>
        <w:rPr>
          <w:i/>
          <w:sz w:val="24"/>
          <w:szCs w:val="24"/>
        </w:rPr>
      </w:pPr>
      <w:r w:rsidRPr="00216FF6">
        <w:rPr>
          <w:i/>
          <w:sz w:val="24"/>
          <w:szCs w:val="24"/>
          <w:vertAlign w:val="superscript"/>
        </w:rPr>
        <w:t>1,2,3</w:t>
      </w:r>
      <w:r w:rsidRPr="00216FF6">
        <w:rPr>
          <w:i/>
          <w:sz w:val="24"/>
          <w:szCs w:val="24"/>
        </w:rPr>
        <w:t>School of Natural and Computing Sciences, University of Aberdeen, Aberdeen, UK</w:t>
      </w:r>
    </w:p>
    <w:p w14:paraId="103E0CEA" w14:textId="22548482" w:rsidR="00951C4C" w:rsidRPr="00216FF6" w:rsidRDefault="00951C4C" w:rsidP="00175851">
      <w:pPr>
        <w:pStyle w:val="AffiliationandAddress"/>
        <w:rPr>
          <w:i/>
          <w:sz w:val="24"/>
          <w:szCs w:val="24"/>
        </w:rPr>
      </w:pPr>
      <w:r w:rsidRPr="00216FF6">
        <w:rPr>
          <w:i/>
          <w:sz w:val="24"/>
          <w:szCs w:val="24"/>
          <w:vertAlign w:val="superscript"/>
        </w:rPr>
        <w:t>4</w:t>
      </w:r>
      <w:r w:rsidRPr="00216FF6">
        <w:rPr>
          <w:i/>
          <w:sz w:val="24"/>
          <w:szCs w:val="24"/>
        </w:rPr>
        <w:t>School of Geosciences, University of Aberdeen, Aberdeen, UK</w:t>
      </w:r>
    </w:p>
    <w:p w14:paraId="0A824F2D" w14:textId="633ED74A" w:rsidR="00175851" w:rsidRPr="00216FF6" w:rsidRDefault="00951C4C" w:rsidP="00175851">
      <w:pPr>
        <w:pStyle w:val="AffiliationandAddress"/>
        <w:rPr>
          <w:i/>
          <w:sz w:val="24"/>
          <w:szCs w:val="24"/>
        </w:rPr>
      </w:pPr>
      <w:r w:rsidRPr="00216FF6">
        <w:rPr>
          <w:i/>
          <w:sz w:val="24"/>
          <w:szCs w:val="24"/>
          <w:vertAlign w:val="superscript"/>
        </w:rPr>
        <w:t>5</w:t>
      </w:r>
      <w:r w:rsidRPr="00216FF6">
        <w:rPr>
          <w:i/>
          <w:sz w:val="24"/>
          <w:szCs w:val="24"/>
        </w:rPr>
        <w:t>School of Cultures, Languages and Area Studies, University of Nottingham, Nottingham, UK</w:t>
      </w:r>
      <w:r w:rsidR="00175851" w:rsidRPr="00216FF6">
        <w:rPr>
          <w:i/>
          <w:sz w:val="24"/>
          <w:szCs w:val="24"/>
        </w:rPr>
        <w:br/>
      </w:r>
      <w:r w:rsidR="00910D58" w:rsidRPr="00216FF6">
        <w:rPr>
          <w:i/>
          <w:sz w:val="24"/>
          <w:szCs w:val="24"/>
        </w:rPr>
        <w:t>naomi.jacobs@</w:t>
      </w:r>
      <w:r w:rsidR="00A101E8">
        <w:rPr>
          <w:i/>
          <w:sz w:val="24"/>
          <w:szCs w:val="24"/>
        </w:rPr>
        <w:t>lancaster</w:t>
      </w:r>
      <w:r w:rsidR="00910D58" w:rsidRPr="00216FF6">
        <w:rPr>
          <w:i/>
          <w:sz w:val="24"/>
          <w:szCs w:val="24"/>
        </w:rPr>
        <w:t>.ac.uk</w:t>
      </w:r>
      <w:r w:rsidR="00175851" w:rsidRPr="00216FF6">
        <w:rPr>
          <w:i/>
          <w:sz w:val="24"/>
          <w:szCs w:val="24"/>
        </w:rPr>
        <w:br/>
      </w:r>
    </w:p>
    <w:p w14:paraId="442426B2" w14:textId="7871C09A" w:rsidR="00175851" w:rsidRPr="00216FF6" w:rsidRDefault="00175851" w:rsidP="006F0D6C">
      <w:pPr>
        <w:tabs>
          <w:tab w:val="left" w:pos="200"/>
        </w:tabs>
        <w:spacing w:line="240" w:lineRule="exact"/>
        <w:ind w:left="200" w:right="200"/>
        <w:rPr>
          <w:rFonts w:ascii="Times" w:hAnsi="Times"/>
          <w:szCs w:val="24"/>
        </w:rPr>
      </w:pPr>
    </w:p>
    <w:p w14:paraId="3EF6C337" w14:textId="1BABE4C8" w:rsidR="006F0D6C" w:rsidRPr="00216FF6" w:rsidRDefault="006F0D6C" w:rsidP="006F0D6C">
      <w:pPr>
        <w:tabs>
          <w:tab w:val="left" w:pos="200"/>
        </w:tabs>
        <w:spacing w:line="240" w:lineRule="exact"/>
        <w:ind w:left="200" w:right="200"/>
        <w:rPr>
          <w:rFonts w:ascii="Times" w:hAnsi="Times"/>
          <w:szCs w:val="24"/>
        </w:rPr>
      </w:pPr>
    </w:p>
    <w:p w14:paraId="2C74914B" w14:textId="51CF9D47" w:rsidR="006F0D6C" w:rsidRPr="00216FF6" w:rsidRDefault="00C4646C" w:rsidP="006F0D6C">
      <w:pPr>
        <w:tabs>
          <w:tab w:val="left" w:pos="200"/>
        </w:tabs>
        <w:spacing w:line="240" w:lineRule="exact"/>
        <w:ind w:right="200"/>
        <w:jc w:val="both"/>
        <w:rPr>
          <w:rFonts w:ascii="Times" w:hAnsi="Times"/>
          <w:szCs w:val="24"/>
        </w:rPr>
      </w:pPr>
      <w:r>
        <w:rPr>
          <w:rFonts w:ascii="Times" w:hAnsi="Times"/>
          <w:szCs w:val="24"/>
        </w:rPr>
        <w:t xml:space="preserve">Author </w:t>
      </w:r>
      <w:r w:rsidR="006F0D6C" w:rsidRPr="00216FF6">
        <w:rPr>
          <w:rFonts w:ascii="Times" w:hAnsi="Times"/>
          <w:szCs w:val="24"/>
        </w:rPr>
        <w:t>ORCIDs:</w:t>
      </w:r>
    </w:p>
    <w:p w14:paraId="52FB0E17" w14:textId="5772E60E" w:rsidR="006F0D6C" w:rsidRPr="00916E69" w:rsidRDefault="006F0D6C" w:rsidP="006F0D6C">
      <w:pPr>
        <w:tabs>
          <w:tab w:val="left" w:pos="200"/>
        </w:tabs>
        <w:spacing w:line="240" w:lineRule="exact"/>
        <w:ind w:right="200"/>
        <w:jc w:val="both"/>
        <w:rPr>
          <w:rFonts w:ascii="Times" w:hAnsi="Times"/>
          <w:szCs w:val="24"/>
        </w:rPr>
      </w:pPr>
      <w:r w:rsidRPr="00916E69">
        <w:rPr>
          <w:rFonts w:ascii="Times" w:hAnsi="Times"/>
          <w:szCs w:val="24"/>
        </w:rPr>
        <w:t>Naomi Jacobs</w:t>
      </w:r>
      <w:r w:rsidRPr="00916E69">
        <w:rPr>
          <w:szCs w:val="24"/>
        </w:rPr>
        <w:t xml:space="preserve">: </w:t>
      </w:r>
      <w:r w:rsidRPr="00916E69">
        <w:rPr>
          <w:szCs w:val="24"/>
        </w:rPr>
        <w:tab/>
      </w:r>
      <w:r w:rsidR="00DD39E6">
        <w:rPr>
          <w:szCs w:val="24"/>
        </w:rPr>
        <w:tab/>
      </w:r>
      <w:r w:rsidRPr="00916E69">
        <w:rPr>
          <w:szCs w:val="24"/>
          <w:shd w:val="clear" w:color="auto" w:fill="FFFFFF"/>
        </w:rPr>
        <w:t>0000-0003-2079-1658</w:t>
      </w:r>
    </w:p>
    <w:p w14:paraId="14AD6CD0" w14:textId="7619D0F9" w:rsidR="006F0D6C" w:rsidRPr="00216FF6" w:rsidRDefault="006F0D6C" w:rsidP="006F0D6C">
      <w:pPr>
        <w:tabs>
          <w:tab w:val="left" w:pos="200"/>
        </w:tabs>
        <w:spacing w:line="240" w:lineRule="exact"/>
        <w:ind w:right="200"/>
        <w:jc w:val="both"/>
        <w:rPr>
          <w:rFonts w:ascii="Times" w:hAnsi="Times"/>
          <w:szCs w:val="24"/>
        </w:rPr>
      </w:pPr>
      <w:r w:rsidRPr="00216FF6">
        <w:rPr>
          <w:rFonts w:ascii="Times" w:hAnsi="Times"/>
          <w:szCs w:val="24"/>
        </w:rPr>
        <w:t>Peter Edwards:</w:t>
      </w:r>
      <w:r w:rsidR="00DD39E6">
        <w:rPr>
          <w:rFonts w:ascii="Times" w:hAnsi="Times"/>
          <w:szCs w:val="24"/>
        </w:rPr>
        <w:t xml:space="preserve"> </w:t>
      </w:r>
      <w:r w:rsidR="00DD39E6">
        <w:rPr>
          <w:rFonts w:ascii="Times" w:hAnsi="Times"/>
          <w:szCs w:val="24"/>
        </w:rPr>
        <w:tab/>
      </w:r>
      <w:r w:rsidR="00DD39E6">
        <w:rPr>
          <w:rFonts w:ascii="Times" w:hAnsi="Times"/>
          <w:szCs w:val="24"/>
        </w:rPr>
        <w:tab/>
      </w:r>
      <w:r w:rsidR="00DD39E6">
        <w:rPr>
          <w:lang w:eastAsia="en-GB"/>
        </w:rPr>
        <w:t>0000-0002-4527-9186</w:t>
      </w:r>
    </w:p>
    <w:p w14:paraId="34FA0C63" w14:textId="6DF07BD4" w:rsidR="006F0D6C" w:rsidRPr="00216FF6" w:rsidRDefault="006F0D6C" w:rsidP="006F0D6C">
      <w:pPr>
        <w:tabs>
          <w:tab w:val="left" w:pos="200"/>
        </w:tabs>
        <w:spacing w:line="240" w:lineRule="exact"/>
        <w:ind w:right="200"/>
        <w:jc w:val="both"/>
        <w:rPr>
          <w:rFonts w:ascii="Times" w:hAnsi="Times"/>
          <w:szCs w:val="24"/>
        </w:rPr>
      </w:pPr>
      <w:r w:rsidRPr="00216FF6">
        <w:rPr>
          <w:rFonts w:ascii="Times" w:hAnsi="Times"/>
          <w:szCs w:val="24"/>
        </w:rPr>
        <w:t>Caitlin D Cottrill</w:t>
      </w:r>
      <w:r w:rsidR="00B870A9">
        <w:rPr>
          <w:rFonts w:ascii="Times" w:hAnsi="Times"/>
          <w:szCs w:val="24"/>
        </w:rPr>
        <w:t>:</w:t>
      </w:r>
      <w:r w:rsidR="00DD73FF">
        <w:rPr>
          <w:rFonts w:ascii="Times" w:hAnsi="Times"/>
          <w:szCs w:val="24"/>
        </w:rPr>
        <w:t xml:space="preserve"> </w:t>
      </w:r>
      <w:r w:rsidR="00DD39E6">
        <w:rPr>
          <w:rFonts w:ascii="Times" w:hAnsi="Times"/>
          <w:szCs w:val="24"/>
        </w:rPr>
        <w:tab/>
      </w:r>
      <w:r w:rsidR="00DD73FF">
        <w:t>0000-0002-1638-8113</w:t>
      </w:r>
    </w:p>
    <w:p w14:paraId="178D4D29" w14:textId="6D377E4D" w:rsidR="006F0D6C" w:rsidRPr="00216FF6" w:rsidRDefault="006F0D6C" w:rsidP="006F0D6C">
      <w:pPr>
        <w:tabs>
          <w:tab w:val="left" w:pos="200"/>
        </w:tabs>
        <w:spacing w:line="240" w:lineRule="exact"/>
        <w:ind w:right="200"/>
        <w:jc w:val="both"/>
        <w:rPr>
          <w:rFonts w:ascii="Times" w:hAnsi="Times"/>
          <w:szCs w:val="24"/>
        </w:rPr>
      </w:pPr>
      <w:r w:rsidRPr="00216FF6">
        <w:rPr>
          <w:rFonts w:ascii="Times" w:hAnsi="Times"/>
          <w:szCs w:val="24"/>
        </w:rPr>
        <w:t>Karen Salt</w:t>
      </w:r>
      <w:r w:rsidR="00B870A9">
        <w:rPr>
          <w:rFonts w:ascii="Times" w:hAnsi="Times"/>
          <w:szCs w:val="24"/>
        </w:rPr>
        <w:t>:</w:t>
      </w:r>
      <w:r w:rsidR="00BA0073">
        <w:rPr>
          <w:rFonts w:ascii="Times" w:hAnsi="Times"/>
          <w:szCs w:val="24"/>
        </w:rPr>
        <w:t xml:space="preserve"> </w:t>
      </w:r>
      <w:r w:rsidR="00BA0073">
        <w:rPr>
          <w:rFonts w:ascii="Times" w:hAnsi="Times"/>
          <w:szCs w:val="24"/>
        </w:rPr>
        <w:tab/>
      </w:r>
      <w:r w:rsidR="00BA0073">
        <w:rPr>
          <w:rFonts w:ascii="Times" w:hAnsi="Times"/>
          <w:szCs w:val="24"/>
        </w:rPr>
        <w:tab/>
      </w:r>
      <w:r w:rsidR="00BA0073">
        <w:rPr>
          <w:rFonts w:ascii="Times" w:hAnsi="Times"/>
          <w:szCs w:val="24"/>
        </w:rPr>
        <w:tab/>
      </w:r>
      <w:r w:rsidR="00BA0073">
        <w:rPr>
          <w:rFonts w:ascii="Times" w:hAnsi="Times"/>
          <w:szCs w:val="24"/>
        </w:rPr>
        <w:tab/>
      </w:r>
      <w:r w:rsidR="00BA0073" w:rsidRPr="00BA0073">
        <w:rPr>
          <w:rFonts w:ascii="Times" w:hAnsi="Times"/>
          <w:szCs w:val="24"/>
        </w:rPr>
        <w:t>0000-0002-2267-1791</w:t>
      </w:r>
    </w:p>
    <w:p w14:paraId="39ED6117" w14:textId="77777777" w:rsidR="00175851" w:rsidRPr="00216FF6" w:rsidRDefault="00175851" w:rsidP="00216FF6">
      <w:pPr>
        <w:tabs>
          <w:tab w:val="left" w:pos="200"/>
        </w:tabs>
        <w:spacing w:line="240" w:lineRule="exact"/>
        <w:ind w:left="200" w:right="200"/>
        <w:rPr>
          <w:rFonts w:ascii="Times" w:hAnsi="Times"/>
          <w:szCs w:val="24"/>
        </w:rPr>
      </w:pPr>
    </w:p>
    <w:p w14:paraId="62B294CE" w14:textId="77777777" w:rsidR="00175851" w:rsidRPr="00216FF6" w:rsidRDefault="00175851" w:rsidP="00175851">
      <w:pPr>
        <w:tabs>
          <w:tab w:val="left" w:pos="200"/>
        </w:tabs>
        <w:spacing w:line="240" w:lineRule="exact"/>
        <w:ind w:left="200" w:right="200"/>
        <w:jc w:val="center"/>
        <w:rPr>
          <w:rFonts w:ascii="Times" w:hAnsi="Times"/>
          <w:b/>
          <w:szCs w:val="24"/>
        </w:rPr>
        <w:sectPr w:rsidR="00175851" w:rsidRPr="00216FF6" w:rsidSect="00874FEB">
          <w:type w:val="continuous"/>
          <w:pgSz w:w="12240" w:h="15840"/>
          <w:pgMar w:top="1080" w:right="1080" w:bottom="1797" w:left="1080" w:header="0" w:footer="0" w:gutter="0"/>
          <w:cols w:space="520"/>
          <w:titlePg/>
        </w:sectPr>
      </w:pPr>
    </w:p>
    <w:p w14:paraId="7803A0CA" w14:textId="77777777" w:rsidR="00E041A8" w:rsidRPr="00216FF6" w:rsidRDefault="00E041A8">
      <w:pPr>
        <w:tabs>
          <w:tab w:val="left" w:pos="200"/>
        </w:tabs>
        <w:spacing w:line="240" w:lineRule="exact"/>
        <w:ind w:left="200" w:right="200"/>
        <w:jc w:val="center"/>
        <w:rPr>
          <w:rFonts w:ascii="Times" w:hAnsi="Times"/>
          <w:szCs w:val="24"/>
        </w:rPr>
      </w:pPr>
    </w:p>
    <w:p w14:paraId="3E3C4C2F" w14:textId="77777777" w:rsidR="00E041A8" w:rsidRPr="00216FF6" w:rsidRDefault="00E041A8" w:rsidP="009C2044">
      <w:pPr>
        <w:tabs>
          <w:tab w:val="left" w:pos="200"/>
        </w:tabs>
        <w:spacing w:line="240" w:lineRule="exact"/>
        <w:ind w:right="200"/>
        <w:rPr>
          <w:rFonts w:ascii="Times" w:hAnsi="Times"/>
          <w:b/>
          <w:szCs w:val="24"/>
        </w:rPr>
        <w:sectPr w:rsidR="00E041A8" w:rsidRPr="00216FF6">
          <w:type w:val="continuous"/>
          <w:pgSz w:w="12240" w:h="15840"/>
          <w:pgMar w:top="-1080" w:right="1080" w:bottom="-1800" w:left="1080" w:header="0" w:footer="0" w:gutter="0"/>
          <w:cols w:space="520"/>
          <w:titlePg/>
        </w:sectPr>
      </w:pPr>
    </w:p>
    <w:p w14:paraId="2A438902" w14:textId="77777777" w:rsidR="00E041A8" w:rsidRPr="00216FF6" w:rsidRDefault="00E041A8" w:rsidP="00216FF6">
      <w:pPr>
        <w:pStyle w:val="AbstractHead"/>
        <w:jc w:val="left"/>
        <w:outlineLvl w:val="0"/>
        <w:rPr>
          <w:sz w:val="24"/>
          <w:szCs w:val="24"/>
        </w:rPr>
      </w:pPr>
      <w:r w:rsidRPr="00216FF6">
        <w:rPr>
          <w:sz w:val="24"/>
          <w:szCs w:val="24"/>
        </w:rPr>
        <w:t>Abstract</w:t>
      </w:r>
      <w:r w:rsidR="00F242C3" w:rsidRPr="00216FF6">
        <w:rPr>
          <w:sz w:val="24"/>
          <w:szCs w:val="24"/>
        </w:rPr>
        <w:br/>
      </w:r>
    </w:p>
    <w:p w14:paraId="01D46268" w14:textId="69CB7E66" w:rsidR="003C5F1E" w:rsidRPr="00216FF6" w:rsidRDefault="00C8776A" w:rsidP="00216FF6">
      <w:pPr>
        <w:pStyle w:val="AbstractText"/>
        <w:spacing w:line="240" w:lineRule="exact"/>
        <w:ind w:left="0" w:right="198"/>
        <w:jc w:val="left"/>
        <w:rPr>
          <w:sz w:val="24"/>
          <w:szCs w:val="24"/>
        </w:rPr>
      </w:pPr>
      <w:r w:rsidRPr="00216FF6">
        <w:rPr>
          <w:sz w:val="24"/>
          <w:szCs w:val="24"/>
        </w:rPr>
        <w:t>Internet of Things (IoT)</w:t>
      </w:r>
      <w:r w:rsidR="001E12A3" w:rsidRPr="00216FF6">
        <w:rPr>
          <w:sz w:val="24"/>
          <w:szCs w:val="24"/>
        </w:rPr>
        <w:t xml:space="preserve"> devices</w:t>
      </w:r>
      <w:r w:rsidR="007715D4" w:rsidRPr="00216FF6">
        <w:rPr>
          <w:sz w:val="24"/>
          <w:szCs w:val="24"/>
        </w:rPr>
        <w:t xml:space="preserve"> such as connected sensors</w:t>
      </w:r>
      <w:r w:rsidR="001E12A3" w:rsidRPr="00216FF6">
        <w:rPr>
          <w:sz w:val="24"/>
          <w:szCs w:val="24"/>
        </w:rPr>
        <w:t xml:space="preserve"> are</w:t>
      </w:r>
      <w:r w:rsidRPr="00216FF6">
        <w:rPr>
          <w:sz w:val="24"/>
          <w:szCs w:val="24"/>
        </w:rPr>
        <w:t xml:space="preserve"> increasingly being used in the public sector, often deployed and collecting data in public spaces. </w:t>
      </w:r>
      <w:r w:rsidR="00077816" w:rsidRPr="00216FF6">
        <w:rPr>
          <w:sz w:val="24"/>
          <w:szCs w:val="24"/>
        </w:rPr>
        <w:t>A theme commonly seen in the rhetoric surrounding public space IoT initiatives is empowerment</w:t>
      </w:r>
      <w:r w:rsidR="00077816">
        <w:rPr>
          <w:sz w:val="24"/>
          <w:szCs w:val="24"/>
        </w:rPr>
        <w:t>, and these deployments are</w:t>
      </w:r>
      <w:r w:rsidR="00482FE1">
        <w:rPr>
          <w:sz w:val="24"/>
          <w:szCs w:val="24"/>
        </w:rPr>
        <w:t xml:space="preserve"> </w:t>
      </w:r>
      <w:r w:rsidR="007715D4" w:rsidRPr="00216FF6">
        <w:rPr>
          <w:sz w:val="24"/>
          <w:szCs w:val="24"/>
        </w:rPr>
        <w:t>broadly perceived as beneficial by policy makers</w:t>
      </w:r>
      <w:r w:rsidR="00077816">
        <w:rPr>
          <w:sz w:val="24"/>
          <w:szCs w:val="24"/>
        </w:rPr>
        <w:t>.</w:t>
      </w:r>
      <w:r w:rsidR="007715D4" w:rsidRPr="00216FF6">
        <w:rPr>
          <w:sz w:val="24"/>
          <w:szCs w:val="24"/>
        </w:rPr>
        <w:t xml:space="preserve"> </w:t>
      </w:r>
      <w:r w:rsidR="00077816">
        <w:rPr>
          <w:sz w:val="24"/>
          <w:szCs w:val="24"/>
        </w:rPr>
        <w:t xml:space="preserve">However, </w:t>
      </w:r>
      <w:r w:rsidR="007715D4" w:rsidRPr="00216FF6">
        <w:rPr>
          <w:sz w:val="24"/>
          <w:szCs w:val="24"/>
        </w:rPr>
        <w:t xml:space="preserve">such technology presents new </w:t>
      </w:r>
      <w:r w:rsidR="00077816">
        <w:rPr>
          <w:sz w:val="24"/>
          <w:szCs w:val="24"/>
        </w:rPr>
        <w:t xml:space="preserve">governance </w:t>
      </w:r>
      <w:r w:rsidR="007715D4" w:rsidRPr="00216FF6">
        <w:rPr>
          <w:sz w:val="24"/>
          <w:szCs w:val="24"/>
        </w:rPr>
        <w:t xml:space="preserve">challenges. </w:t>
      </w:r>
      <w:r w:rsidR="00077816">
        <w:rPr>
          <w:sz w:val="24"/>
          <w:szCs w:val="24"/>
        </w:rPr>
        <w:t>It</w:t>
      </w:r>
      <w:r w:rsidR="007715D4" w:rsidRPr="00216FF6">
        <w:rPr>
          <w:sz w:val="24"/>
          <w:szCs w:val="24"/>
        </w:rPr>
        <w:t xml:space="preserve"> is important to ask who is empowered and who benefits, and we must ensure that such technological interventions follow democratic principles and are trusted by citizens.</w:t>
      </w:r>
    </w:p>
    <w:p w14:paraId="04740017" w14:textId="77777777" w:rsidR="001E12A3" w:rsidRPr="00216FF6" w:rsidRDefault="001E12A3" w:rsidP="00216FF6">
      <w:pPr>
        <w:pStyle w:val="AbstractText"/>
        <w:spacing w:line="240" w:lineRule="exact"/>
        <w:ind w:left="0" w:right="198"/>
        <w:jc w:val="left"/>
        <w:rPr>
          <w:sz w:val="24"/>
          <w:szCs w:val="24"/>
        </w:rPr>
      </w:pPr>
    </w:p>
    <w:p w14:paraId="620CBDA7" w14:textId="5CF7ABDB" w:rsidR="00C8776A" w:rsidRPr="00216FF6" w:rsidRDefault="00C8776A" w:rsidP="00216FF6">
      <w:pPr>
        <w:pStyle w:val="AbstractText"/>
        <w:spacing w:line="240" w:lineRule="exact"/>
        <w:ind w:left="0" w:right="198"/>
        <w:jc w:val="left"/>
        <w:rPr>
          <w:sz w:val="24"/>
          <w:szCs w:val="24"/>
        </w:rPr>
      </w:pPr>
      <w:r w:rsidRPr="00216FF6">
        <w:rPr>
          <w:sz w:val="24"/>
          <w:szCs w:val="24"/>
        </w:rPr>
        <w:t xml:space="preserve">In this paper we </w:t>
      </w:r>
      <w:r w:rsidR="00077816">
        <w:rPr>
          <w:sz w:val="24"/>
          <w:szCs w:val="24"/>
        </w:rPr>
        <w:t>investigate how risk, transparency and data governance require careful consideration in this domain, describing</w:t>
      </w:r>
      <w:r w:rsidR="00077816" w:rsidRPr="00216FF6">
        <w:rPr>
          <w:sz w:val="24"/>
          <w:szCs w:val="24"/>
        </w:rPr>
        <w:t xml:space="preserve"> </w:t>
      </w:r>
      <w:r w:rsidRPr="00216FF6">
        <w:rPr>
          <w:sz w:val="24"/>
          <w:szCs w:val="24"/>
        </w:rPr>
        <w:t>work</w:t>
      </w:r>
      <w:r w:rsidR="006F712D" w:rsidRPr="00216FF6">
        <w:rPr>
          <w:sz w:val="24"/>
          <w:szCs w:val="24"/>
        </w:rPr>
        <w:t xml:space="preserve"> </w:t>
      </w:r>
      <w:r w:rsidR="00077816">
        <w:rPr>
          <w:sz w:val="24"/>
          <w:szCs w:val="24"/>
        </w:rPr>
        <w:t>which investigates how these combine to form components of trusted IoT ecosystems</w:t>
      </w:r>
      <w:r w:rsidR="006F712D" w:rsidRPr="00216FF6">
        <w:rPr>
          <w:sz w:val="24"/>
          <w:szCs w:val="24"/>
        </w:rPr>
        <w:t xml:space="preserve">. </w:t>
      </w:r>
      <w:r w:rsidR="00077816">
        <w:rPr>
          <w:sz w:val="24"/>
          <w:szCs w:val="24"/>
        </w:rPr>
        <w:t xml:space="preserve">This includes an overview of the landscape of public space IoT deployments, </w:t>
      </w:r>
      <w:r w:rsidR="004B082D">
        <w:rPr>
          <w:sz w:val="24"/>
          <w:szCs w:val="24"/>
        </w:rPr>
        <w:t xml:space="preserve">consideration of how they may often be subsumed in idealized smart city focused rhetoric, </w:t>
      </w:r>
      <w:r w:rsidR="00077816">
        <w:rPr>
          <w:sz w:val="24"/>
          <w:szCs w:val="24"/>
        </w:rPr>
        <w:t xml:space="preserve">and discussion of how methodologies such as design fiction in community settings can uncover </w:t>
      </w:r>
      <w:r w:rsidR="005A300B">
        <w:rPr>
          <w:sz w:val="24"/>
          <w:szCs w:val="24"/>
        </w:rPr>
        <w:t>potential risks and concerns</w:t>
      </w:r>
      <w:r w:rsidR="00077816">
        <w:rPr>
          <w:sz w:val="24"/>
          <w:szCs w:val="24"/>
        </w:rPr>
        <w:t xml:space="preserve">. </w:t>
      </w:r>
      <w:r w:rsidR="001E12A3" w:rsidRPr="00216FF6">
        <w:rPr>
          <w:sz w:val="24"/>
          <w:szCs w:val="24"/>
        </w:rPr>
        <w:t xml:space="preserve">Our findings suggest that agency, </w:t>
      </w:r>
      <w:r w:rsidR="00694D89">
        <w:rPr>
          <w:sz w:val="24"/>
          <w:szCs w:val="24"/>
        </w:rPr>
        <w:t>value and</w:t>
      </w:r>
      <w:r w:rsidR="001E12A3" w:rsidRPr="00216FF6">
        <w:rPr>
          <w:sz w:val="24"/>
          <w:szCs w:val="24"/>
        </w:rPr>
        <w:t xml:space="preserve"> intent</w:t>
      </w:r>
      <w:r w:rsidR="007715D4" w:rsidRPr="00216FF6">
        <w:rPr>
          <w:sz w:val="24"/>
          <w:szCs w:val="24"/>
        </w:rPr>
        <w:t xml:space="preserve"> associated with IoT systems</w:t>
      </w:r>
      <w:r w:rsidR="001E12A3" w:rsidRPr="00216FF6">
        <w:rPr>
          <w:sz w:val="24"/>
          <w:szCs w:val="24"/>
        </w:rPr>
        <w:t xml:space="preserve"> are key</w:t>
      </w:r>
      <w:r w:rsidR="007715D4" w:rsidRPr="00216FF6">
        <w:rPr>
          <w:sz w:val="24"/>
          <w:szCs w:val="24"/>
        </w:rPr>
        <w:t xml:space="preserve"> components that must be </w:t>
      </w:r>
      <w:r w:rsidR="006F712D" w:rsidRPr="00216FF6">
        <w:rPr>
          <w:sz w:val="24"/>
          <w:szCs w:val="24"/>
        </w:rPr>
        <w:t>made transparent</w:t>
      </w:r>
      <w:r w:rsidR="001E12A3" w:rsidRPr="00216FF6">
        <w:rPr>
          <w:sz w:val="24"/>
          <w:szCs w:val="24"/>
        </w:rPr>
        <w:t xml:space="preserve">, particularly when multiple actors and stakeholders are involved. </w:t>
      </w:r>
    </w:p>
    <w:p w14:paraId="4EDB5AFC" w14:textId="77777777" w:rsidR="00C9157B" w:rsidRPr="00216FF6" w:rsidRDefault="00C9157B" w:rsidP="00216FF6">
      <w:pPr>
        <w:pStyle w:val="AbstractText"/>
        <w:spacing w:line="240" w:lineRule="exact"/>
        <w:ind w:left="0" w:right="198"/>
        <w:jc w:val="left"/>
        <w:rPr>
          <w:sz w:val="24"/>
          <w:szCs w:val="24"/>
        </w:rPr>
      </w:pPr>
    </w:p>
    <w:p w14:paraId="66A93B25" w14:textId="4D904830" w:rsidR="009C2044" w:rsidRDefault="00C9157B" w:rsidP="00216FF6">
      <w:pPr>
        <w:pStyle w:val="AbstractText"/>
        <w:spacing w:line="240" w:lineRule="exact"/>
        <w:ind w:left="0" w:right="198"/>
        <w:jc w:val="left"/>
        <w:rPr>
          <w:sz w:val="24"/>
          <w:szCs w:val="24"/>
        </w:rPr>
      </w:pPr>
      <w:r w:rsidRPr="00216FF6">
        <w:rPr>
          <w:sz w:val="24"/>
          <w:szCs w:val="24"/>
        </w:rPr>
        <w:t>We suggest that good governance requires consideration of these systems in their entirety, throughout the</w:t>
      </w:r>
      <w:r w:rsidR="002873D5">
        <w:rPr>
          <w:sz w:val="24"/>
          <w:szCs w:val="24"/>
        </w:rPr>
        <w:t xml:space="preserve"> full planning, implementation and evaluation</w:t>
      </w:r>
      <w:r w:rsidRPr="00216FF6">
        <w:rPr>
          <w:sz w:val="24"/>
          <w:szCs w:val="24"/>
        </w:rPr>
        <w:t xml:space="preserve"> process, and in consultation with multiple stakeholders who are impacted, including the public. </w:t>
      </w:r>
      <w:r w:rsidR="000710E3" w:rsidRPr="00216FF6">
        <w:rPr>
          <w:sz w:val="24"/>
          <w:szCs w:val="24"/>
        </w:rPr>
        <w:t>To achieve this effectively, we argue for t</w:t>
      </w:r>
      <w:r w:rsidRPr="00216FF6">
        <w:rPr>
          <w:sz w:val="24"/>
          <w:szCs w:val="24"/>
        </w:rPr>
        <w:t xml:space="preserve">ransparency at the device and system level, </w:t>
      </w:r>
      <w:r w:rsidR="000710E3" w:rsidRPr="00216FF6">
        <w:rPr>
          <w:sz w:val="24"/>
          <w:szCs w:val="24"/>
        </w:rPr>
        <w:t>which may require legislative change.</w:t>
      </w:r>
    </w:p>
    <w:p w14:paraId="1780691E" w14:textId="77777777" w:rsidR="00216FF6" w:rsidRPr="00216FF6" w:rsidRDefault="00216FF6" w:rsidP="00216FF6">
      <w:pPr>
        <w:pStyle w:val="AbstractText"/>
        <w:spacing w:line="240" w:lineRule="exact"/>
        <w:ind w:left="0" w:right="198"/>
        <w:jc w:val="left"/>
        <w:rPr>
          <w:sz w:val="24"/>
          <w:szCs w:val="24"/>
        </w:rPr>
      </w:pPr>
    </w:p>
    <w:p w14:paraId="47031675" w14:textId="4D0F5570" w:rsidR="008121CD" w:rsidRPr="00216FF6" w:rsidRDefault="00F242C3" w:rsidP="00216FF6">
      <w:pPr>
        <w:pStyle w:val="AbstractText"/>
        <w:ind w:left="0"/>
        <w:jc w:val="left"/>
        <w:rPr>
          <w:sz w:val="24"/>
          <w:szCs w:val="24"/>
        </w:rPr>
      </w:pPr>
      <w:r w:rsidRPr="00216FF6">
        <w:rPr>
          <w:sz w:val="24"/>
          <w:szCs w:val="24"/>
        </w:rPr>
        <w:br/>
      </w:r>
      <w:r w:rsidRPr="00216FF6">
        <w:rPr>
          <w:sz w:val="24"/>
          <w:szCs w:val="24"/>
        </w:rPr>
        <w:tab/>
      </w:r>
      <w:r w:rsidR="006027BF" w:rsidRPr="00216FF6">
        <w:rPr>
          <w:b/>
          <w:i/>
          <w:sz w:val="24"/>
          <w:szCs w:val="24"/>
        </w:rPr>
        <w:t>Keywords</w:t>
      </w:r>
      <w:r w:rsidRPr="00216FF6">
        <w:rPr>
          <w:b/>
          <w:i/>
          <w:sz w:val="24"/>
          <w:szCs w:val="24"/>
        </w:rPr>
        <w:t xml:space="preserve"> – </w:t>
      </w:r>
      <w:r w:rsidR="008F4F5D" w:rsidRPr="00216FF6">
        <w:rPr>
          <w:sz w:val="24"/>
          <w:szCs w:val="24"/>
        </w:rPr>
        <w:t>Internet of Things; Accountability; Transparency; Trust</w:t>
      </w:r>
      <w:r w:rsidR="00F3202E" w:rsidRPr="00216FF6">
        <w:rPr>
          <w:sz w:val="24"/>
          <w:szCs w:val="24"/>
        </w:rPr>
        <w:t xml:space="preserve">; Public </w:t>
      </w:r>
      <w:r w:rsidR="00216FF6" w:rsidRPr="00216FF6">
        <w:rPr>
          <w:sz w:val="24"/>
          <w:szCs w:val="24"/>
        </w:rPr>
        <w:t>S</w:t>
      </w:r>
      <w:r w:rsidR="00F3202E" w:rsidRPr="00216FF6">
        <w:rPr>
          <w:sz w:val="24"/>
          <w:szCs w:val="24"/>
        </w:rPr>
        <w:t>pace</w:t>
      </w:r>
    </w:p>
    <w:p w14:paraId="238696A8" w14:textId="102211F3" w:rsidR="008239B6" w:rsidRPr="00216FF6" w:rsidRDefault="008239B6" w:rsidP="00216FF6">
      <w:pPr>
        <w:pStyle w:val="SectionHeading"/>
        <w:jc w:val="left"/>
        <w:outlineLvl w:val="0"/>
        <w:rPr>
          <w:szCs w:val="24"/>
        </w:rPr>
      </w:pPr>
      <w:r w:rsidRPr="00216FF6">
        <w:rPr>
          <w:szCs w:val="24"/>
        </w:rPr>
        <w:t>Policy significance statement</w:t>
      </w:r>
      <w:r w:rsidR="00B61472" w:rsidRPr="00216FF6">
        <w:rPr>
          <w:szCs w:val="24"/>
        </w:rPr>
        <w:t xml:space="preserve"> </w:t>
      </w:r>
    </w:p>
    <w:p w14:paraId="63AAB367" w14:textId="25464863" w:rsidR="00906258" w:rsidRPr="00216FF6" w:rsidRDefault="00D62F55" w:rsidP="00216FF6">
      <w:pPr>
        <w:rPr>
          <w:szCs w:val="24"/>
        </w:rPr>
      </w:pPr>
      <w:r w:rsidRPr="00D62F55">
        <w:t xml:space="preserve">Internet of Things </w:t>
      </w:r>
      <w:r w:rsidR="000D11DF">
        <w:t xml:space="preserve">(IoT) </w:t>
      </w:r>
      <w:r w:rsidRPr="00D62F55">
        <w:t>devices, which collect and share data</w:t>
      </w:r>
      <w:r w:rsidR="00183480">
        <w:t>, increasingly fill our environment</w:t>
      </w:r>
      <w:r w:rsidRPr="00D62F55">
        <w:t xml:space="preserve">. </w:t>
      </w:r>
      <w:r w:rsidR="00183480">
        <w:t xml:space="preserve">Ubiquitous data collection has </w:t>
      </w:r>
      <w:r w:rsidRPr="00D62F55">
        <w:t xml:space="preserve">great </w:t>
      </w:r>
      <w:r w:rsidR="005A300B">
        <w:t xml:space="preserve">potential </w:t>
      </w:r>
      <w:r w:rsidRPr="00D62F55">
        <w:t>benefits</w:t>
      </w:r>
      <w:r w:rsidR="00183480">
        <w:t xml:space="preserve">, </w:t>
      </w:r>
      <w:r w:rsidR="00104972">
        <w:t>and</w:t>
      </w:r>
      <w:r w:rsidR="005A300B">
        <w:t xml:space="preserve"> these technologies frequently form a </w:t>
      </w:r>
      <w:r w:rsidR="005A300B">
        <w:lastRenderedPageBreak/>
        <w:t xml:space="preserve">component of ‘smart city’ </w:t>
      </w:r>
      <w:proofErr w:type="spellStart"/>
      <w:r w:rsidR="005A300B">
        <w:t>programmes</w:t>
      </w:r>
      <w:proofErr w:type="spellEnd"/>
      <w:r w:rsidR="005A300B">
        <w:t xml:space="preserve"> </w:t>
      </w:r>
      <w:proofErr w:type="spellStart"/>
      <w:r w:rsidR="00183480">
        <w:t>favoured</w:t>
      </w:r>
      <w:proofErr w:type="spellEnd"/>
      <w:r w:rsidR="005A300B">
        <w:t xml:space="preserve"> by policymakers. </w:t>
      </w:r>
      <w:r w:rsidRPr="00D62F55">
        <w:t>However, important questions of privacy and data management must</w:t>
      </w:r>
      <w:r w:rsidR="00183480">
        <w:t xml:space="preserve"> also</w:t>
      </w:r>
      <w:r w:rsidRPr="00D62F55">
        <w:t xml:space="preserve"> be considered when introducing these technologies into public spaces. Many different groups may be </w:t>
      </w:r>
      <w:r w:rsidR="00183480">
        <w:t>affected</w:t>
      </w:r>
      <w:r w:rsidRPr="00D62F55">
        <w:t xml:space="preserve"> by these deployments, and the needs of each must be considered. This article considers </w:t>
      </w:r>
      <w:r w:rsidR="00183480">
        <w:t>how</w:t>
      </w:r>
      <w:r w:rsidRPr="00D62F55">
        <w:t xml:space="preserve"> transparency and effective governance </w:t>
      </w:r>
      <w:r w:rsidR="00183480">
        <w:t>can facilitate</w:t>
      </w:r>
      <w:r w:rsidRPr="00D62F55">
        <w:t xml:space="preserve"> greater interrogation of public </w:t>
      </w:r>
      <w:r w:rsidR="000D11DF">
        <w:t>IoT</w:t>
      </w:r>
      <w:r w:rsidRPr="00D62F55">
        <w:t xml:space="preserve"> deployments</w:t>
      </w:r>
      <w:r w:rsidR="000D11DF">
        <w:t xml:space="preserve">, </w:t>
      </w:r>
      <w:r w:rsidR="00183480">
        <w:t>key for</w:t>
      </w:r>
      <w:r w:rsidR="000D11DF">
        <w:t xml:space="preserve"> developing more trustworthy IoT ecosystems</w:t>
      </w:r>
      <w:r w:rsidRPr="00D62F55">
        <w:t>. It highlights that policy and regulation are important at multiple scales; national, regional and local, as well as at the level of the technology systems themselves.</w:t>
      </w:r>
    </w:p>
    <w:p w14:paraId="49F239F6" w14:textId="7DD0E407" w:rsidR="00F242C3" w:rsidRPr="00216FF6" w:rsidRDefault="008239B6" w:rsidP="00216FF6">
      <w:pPr>
        <w:pStyle w:val="SectionHeading"/>
        <w:jc w:val="left"/>
        <w:outlineLvl w:val="0"/>
        <w:rPr>
          <w:szCs w:val="24"/>
        </w:rPr>
      </w:pPr>
      <w:r w:rsidRPr="00216FF6">
        <w:rPr>
          <w:szCs w:val="24"/>
        </w:rPr>
        <w:t xml:space="preserve">1 </w:t>
      </w:r>
      <w:r w:rsidR="00B61472" w:rsidRPr="00216FF6">
        <w:rPr>
          <w:szCs w:val="24"/>
        </w:rPr>
        <w:t>Introduction</w:t>
      </w:r>
    </w:p>
    <w:p w14:paraId="44D3DFF6" w14:textId="3529CA34" w:rsidR="00D67139" w:rsidRPr="00216FF6" w:rsidRDefault="00D67139" w:rsidP="00216FF6">
      <w:pPr>
        <w:pStyle w:val="Text"/>
        <w:jc w:val="left"/>
        <w:rPr>
          <w:sz w:val="24"/>
          <w:szCs w:val="24"/>
        </w:rPr>
      </w:pPr>
      <w:r w:rsidRPr="00216FF6">
        <w:rPr>
          <w:sz w:val="24"/>
          <w:szCs w:val="24"/>
        </w:rPr>
        <w:t>The Internet of Things</w:t>
      </w:r>
      <w:r w:rsidR="00063CDE">
        <w:rPr>
          <w:sz w:val="24"/>
          <w:szCs w:val="24"/>
        </w:rPr>
        <w:t xml:space="preserve"> (IoT)</w:t>
      </w:r>
      <w:r w:rsidRPr="00216FF6">
        <w:rPr>
          <w:sz w:val="24"/>
          <w:szCs w:val="24"/>
        </w:rPr>
        <w:t xml:space="preserve"> is a major growth area with significant economic and social implications (OECD, 2015). The term was coined by Kevin Ashton in the late 1990s to describe the collecting and sharing of supply chain data without direct human intervention</w:t>
      </w:r>
      <w:r w:rsidR="004B1A40" w:rsidRPr="00216FF6">
        <w:rPr>
          <w:sz w:val="24"/>
          <w:szCs w:val="24"/>
        </w:rPr>
        <w:t xml:space="preserve"> (Ashton, 2009)</w:t>
      </w:r>
      <w:r w:rsidRPr="00216FF6">
        <w:rPr>
          <w:sz w:val="24"/>
          <w:szCs w:val="24"/>
        </w:rPr>
        <w:t xml:space="preserve">, and has come to be used more expansively to include a wide range of spatially-distributed </w:t>
      </w:r>
      <w:r w:rsidR="007C1120" w:rsidRPr="00216FF6">
        <w:rPr>
          <w:sz w:val="24"/>
          <w:szCs w:val="24"/>
        </w:rPr>
        <w:t>devices</w:t>
      </w:r>
      <w:r w:rsidRPr="00216FF6">
        <w:rPr>
          <w:sz w:val="24"/>
          <w:szCs w:val="24"/>
        </w:rPr>
        <w:t xml:space="preserve"> that collect and</w:t>
      </w:r>
      <w:r w:rsidR="007C1120" w:rsidRPr="00216FF6">
        <w:rPr>
          <w:sz w:val="24"/>
          <w:szCs w:val="24"/>
        </w:rPr>
        <w:t xml:space="preserve"> transmit</w:t>
      </w:r>
      <w:r w:rsidRPr="00216FF6">
        <w:rPr>
          <w:sz w:val="24"/>
          <w:szCs w:val="24"/>
        </w:rPr>
        <w:t xml:space="preserve"> data. It has been claimed that there may be 20 billion </w:t>
      </w:r>
      <w:r w:rsidR="00B7100B" w:rsidRPr="00216FF6">
        <w:rPr>
          <w:sz w:val="24"/>
          <w:szCs w:val="24"/>
        </w:rPr>
        <w:t xml:space="preserve">such </w:t>
      </w:r>
      <w:r w:rsidRPr="00216FF6">
        <w:rPr>
          <w:sz w:val="24"/>
          <w:szCs w:val="24"/>
        </w:rPr>
        <w:t>connected devices by 2020 (Gartner, 2017)</w:t>
      </w:r>
      <w:r w:rsidR="00F50686" w:rsidRPr="00216FF6">
        <w:rPr>
          <w:sz w:val="24"/>
          <w:szCs w:val="24"/>
        </w:rPr>
        <w:t>.</w:t>
      </w:r>
    </w:p>
    <w:p w14:paraId="02EA3AC0" w14:textId="77777777" w:rsidR="00F50686" w:rsidRPr="00216FF6" w:rsidRDefault="00F50686" w:rsidP="00216FF6">
      <w:pPr>
        <w:pStyle w:val="Text"/>
        <w:jc w:val="left"/>
        <w:rPr>
          <w:sz w:val="24"/>
          <w:szCs w:val="24"/>
        </w:rPr>
      </w:pPr>
    </w:p>
    <w:p w14:paraId="6CB3F71B" w14:textId="03575067" w:rsidR="00F50686" w:rsidRDefault="00F50686" w:rsidP="00216FF6">
      <w:pPr>
        <w:pStyle w:val="Text"/>
        <w:jc w:val="left"/>
        <w:rPr>
          <w:sz w:val="24"/>
          <w:szCs w:val="24"/>
        </w:rPr>
      </w:pPr>
      <w:r w:rsidRPr="00216FF6">
        <w:rPr>
          <w:sz w:val="24"/>
          <w:szCs w:val="24"/>
        </w:rPr>
        <w:t xml:space="preserve">Increasingly, these technologies are not just being used in private contexts, but also </w:t>
      </w:r>
      <w:r w:rsidR="00063CDE">
        <w:rPr>
          <w:sz w:val="24"/>
          <w:szCs w:val="24"/>
        </w:rPr>
        <w:t xml:space="preserve">in </w:t>
      </w:r>
      <w:r w:rsidRPr="00216FF6">
        <w:rPr>
          <w:sz w:val="24"/>
          <w:szCs w:val="24"/>
        </w:rPr>
        <w:t xml:space="preserve">public ones. Device deployments may be undertaken by public sector </w:t>
      </w:r>
      <w:proofErr w:type="spellStart"/>
      <w:r w:rsidRPr="00216FF6">
        <w:rPr>
          <w:sz w:val="24"/>
          <w:szCs w:val="24"/>
        </w:rPr>
        <w:t>organisations</w:t>
      </w:r>
      <w:proofErr w:type="spellEnd"/>
      <w:r w:rsidRPr="00216FF6">
        <w:rPr>
          <w:sz w:val="24"/>
          <w:szCs w:val="24"/>
        </w:rPr>
        <w:t xml:space="preserve"> to gather data for civic purposes, </w:t>
      </w:r>
      <w:r w:rsidR="00D4673F" w:rsidRPr="00216FF6">
        <w:rPr>
          <w:sz w:val="24"/>
          <w:szCs w:val="24"/>
        </w:rPr>
        <w:t>activities</w:t>
      </w:r>
      <w:r w:rsidRPr="00216FF6">
        <w:rPr>
          <w:sz w:val="24"/>
          <w:szCs w:val="24"/>
        </w:rPr>
        <w:t xml:space="preserve"> which are often </w:t>
      </w:r>
      <w:r w:rsidR="00B3483B">
        <w:rPr>
          <w:sz w:val="24"/>
          <w:szCs w:val="24"/>
        </w:rPr>
        <w:t xml:space="preserve">discussed alongside </w:t>
      </w:r>
      <w:r w:rsidR="00063CDE">
        <w:rPr>
          <w:sz w:val="24"/>
          <w:szCs w:val="24"/>
        </w:rPr>
        <w:t>rhetoric</w:t>
      </w:r>
      <w:r w:rsidR="00B3483B">
        <w:rPr>
          <w:sz w:val="24"/>
          <w:szCs w:val="24"/>
        </w:rPr>
        <w:t xml:space="preserve"> of</w:t>
      </w:r>
      <w:r w:rsidRPr="00216FF6">
        <w:rPr>
          <w:sz w:val="24"/>
          <w:szCs w:val="24"/>
        </w:rPr>
        <w:t xml:space="preserve"> the ‘smart city’</w:t>
      </w:r>
      <w:r w:rsidR="00C45117" w:rsidRPr="00216FF6">
        <w:rPr>
          <w:sz w:val="24"/>
          <w:szCs w:val="24"/>
        </w:rPr>
        <w:t xml:space="preserve"> (</w:t>
      </w:r>
      <w:proofErr w:type="spellStart"/>
      <w:r w:rsidR="00C45117" w:rsidRPr="00216FF6">
        <w:rPr>
          <w:sz w:val="24"/>
          <w:szCs w:val="24"/>
        </w:rPr>
        <w:t>Kitchin</w:t>
      </w:r>
      <w:proofErr w:type="spellEnd"/>
      <w:r w:rsidR="00C45117" w:rsidRPr="00216FF6">
        <w:rPr>
          <w:sz w:val="24"/>
          <w:szCs w:val="24"/>
        </w:rPr>
        <w:t>, 2014</w:t>
      </w:r>
      <w:r w:rsidR="009572BD" w:rsidRPr="00216FF6">
        <w:rPr>
          <w:sz w:val="24"/>
          <w:szCs w:val="24"/>
        </w:rPr>
        <w:t>)</w:t>
      </w:r>
      <w:r w:rsidRPr="00216FF6">
        <w:rPr>
          <w:sz w:val="24"/>
          <w:szCs w:val="24"/>
        </w:rPr>
        <w:t xml:space="preserve">. </w:t>
      </w:r>
      <w:r w:rsidR="00B3483B">
        <w:rPr>
          <w:sz w:val="24"/>
          <w:szCs w:val="24"/>
        </w:rPr>
        <w:t>Examples of such</w:t>
      </w:r>
      <w:r w:rsidR="00B3483B" w:rsidRPr="00216FF6">
        <w:rPr>
          <w:sz w:val="24"/>
          <w:szCs w:val="24"/>
        </w:rPr>
        <w:t xml:space="preserve"> </w:t>
      </w:r>
      <w:r w:rsidR="00222E3F" w:rsidRPr="00216FF6">
        <w:rPr>
          <w:sz w:val="24"/>
          <w:szCs w:val="24"/>
        </w:rPr>
        <w:t>activities</w:t>
      </w:r>
      <w:r w:rsidR="00B3483B">
        <w:rPr>
          <w:sz w:val="24"/>
          <w:szCs w:val="24"/>
        </w:rPr>
        <w:t xml:space="preserve"> and purposes</w:t>
      </w:r>
      <w:r w:rsidR="00222E3F" w:rsidRPr="00216FF6">
        <w:rPr>
          <w:sz w:val="24"/>
          <w:szCs w:val="24"/>
        </w:rPr>
        <w:t xml:space="preserve"> </w:t>
      </w:r>
      <w:r w:rsidR="009572BD" w:rsidRPr="00216FF6">
        <w:rPr>
          <w:sz w:val="24"/>
          <w:szCs w:val="24"/>
        </w:rPr>
        <w:t>might</w:t>
      </w:r>
      <w:r w:rsidRPr="00216FF6">
        <w:rPr>
          <w:sz w:val="24"/>
          <w:szCs w:val="24"/>
        </w:rPr>
        <w:t xml:space="preserve"> include</w:t>
      </w:r>
      <w:r w:rsidR="00435ED7">
        <w:rPr>
          <w:sz w:val="24"/>
          <w:szCs w:val="24"/>
        </w:rPr>
        <w:t xml:space="preserve"> </w:t>
      </w:r>
      <w:r w:rsidR="00574EE2">
        <w:rPr>
          <w:sz w:val="24"/>
          <w:szCs w:val="24"/>
        </w:rPr>
        <w:t xml:space="preserve">the use of </w:t>
      </w:r>
      <w:r w:rsidR="00435ED7">
        <w:rPr>
          <w:sz w:val="24"/>
          <w:szCs w:val="24"/>
        </w:rPr>
        <w:t xml:space="preserve">temperature, humidity and CO2 sensors within social housing </w:t>
      </w:r>
      <w:r w:rsidR="00574EE2" w:rsidRPr="00216FF6">
        <w:rPr>
          <w:sz w:val="24"/>
          <w:szCs w:val="24"/>
        </w:rPr>
        <w:t xml:space="preserve">(Davidson, 2018) </w:t>
      </w:r>
      <w:r w:rsidR="00435ED7">
        <w:rPr>
          <w:sz w:val="24"/>
          <w:szCs w:val="24"/>
        </w:rPr>
        <w:t>to monitor aspects such as occupancy, damp</w:t>
      </w:r>
      <w:r w:rsidR="00FE6E38">
        <w:rPr>
          <w:sz w:val="24"/>
          <w:szCs w:val="24"/>
        </w:rPr>
        <w:t>,</w:t>
      </w:r>
      <w:r w:rsidR="00435ED7">
        <w:rPr>
          <w:sz w:val="24"/>
          <w:szCs w:val="24"/>
        </w:rPr>
        <w:t xml:space="preserve"> and </w:t>
      </w:r>
      <w:r w:rsidR="00B3483B">
        <w:rPr>
          <w:sz w:val="24"/>
          <w:szCs w:val="24"/>
        </w:rPr>
        <w:t xml:space="preserve">potentially </w:t>
      </w:r>
      <w:r w:rsidR="00FE6E38">
        <w:rPr>
          <w:sz w:val="24"/>
          <w:szCs w:val="24"/>
        </w:rPr>
        <w:t xml:space="preserve">even </w:t>
      </w:r>
      <w:r w:rsidR="00435ED7">
        <w:rPr>
          <w:sz w:val="24"/>
          <w:szCs w:val="24"/>
        </w:rPr>
        <w:t>complex issues such as fuel poverty</w:t>
      </w:r>
      <w:r w:rsidR="00574EE2">
        <w:rPr>
          <w:sz w:val="24"/>
          <w:szCs w:val="24"/>
        </w:rPr>
        <w:t>.</w:t>
      </w:r>
      <w:r w:rsidR="004B082D">
        <w:rPr>
          <w:sz w:val="24"/>
          <w:szCs w:val="24"/>
        </w:rPr>
        <w:t xml:space="preserve"> </w:t>
      </w:r>
      <w:r w:rsidR="00435ED7">
        <w:rPr>
          <w:sz w:val="24"/>
          <w:szCs w:val="24"/>
        </w:rPr>
        <w:t>S</w:t>
      </w:r>
      <w:r w:rsidRPr="00216FF6">
        <w:rPr>
          <w:sz w:val="24"/>
          <w:szCs w:val="24"/>
        </w:rPr>
        <w:t>ensors and devices</w:t>
      </w:r>
      <w:r w:rsidR="00435ED7">
        <w:rPr>
          <w:sz w:val="24"/>
          <w:szCs w:val="24"/>
        </w:rPr>
        <w:t xml:space="preserve"> may also be installed</w:t>
      </w:r>
      <w:r w:rsidRPr="00216FF6">
        <w:rPr>
          <w:sz w:val="24"/>
          <w:szCs w:val="24"/>
        </w:rPr>
        <w:t xml:space="preserve"> in shared public spaces</w:t>
      </w:r>
      <w:r w:rsidR="009572BD" w:rsidRPr="00216FF6">
        <w:rPr>
          <w:sz w:val="24"/>
          <w:szCs w:val="24"/>
        </w:rPr>
        <w:t xml:space="preserve"> such as smart lighting</w:t>
      </w:r>
      <w:r w:rsidR="00D4673F" w:rsidRPr="00216FF6">
        <w:rPr>
          <w:sz w:val="24"/>
          <w:szCs w:val="24"/>
        </w:rPr>
        <w:t>,</w:t>
      </w:r>
      <w:r w:rsidR="009572BD" w:rsidRPr="00216FF6">
        <w:rPr>
          <w:sz w:val="24"/>
          <w:szCs w:val="24"/>
        </w:rPr>
        <w:t xml:space="preserve"> traffic management</w:t>
      </w:r>
      <w:r w:rsidR="00D4673F" w:rsidRPr="00216FF6">
        <w:rPr>
          <w:sz w:val="24"/>
          <w:szCs w:val="24"/>
        </w:rPr>
        <w:t>,</w:t>
      </w:r>
      <w:r w:rsidR="009572BD" w:rsidRPr="00216FF6">
        <w:rPr>
          <w:sz w:val="24"/>
          <w:szCs w:val="24"/>
        </w:rPr>
        <w:t xml:space="preserve"> or digitally controlled utility services. </w:t>
      </w:r>
      <w:r w:rsidR="00574EE2">
        <w:rPr>
          <w:sz w:val="24"/>
          <w:szCs w:val="24"/>
        </w:rPr>
        <w:t>Public sector deployments in these spaces join those</w:t>
      </w:r>
      <w:r w:rsidRPr="00216FF6">
        <w:rPr>
          <w:sz w:val="24"/>
          <w:szCs w:val="24"/>
        </w:rPr>
        <w:t xml:space="preserve"> </w:t>
      </w:r>
      <w:r w:rsidR="00574EE2">
        <w:rPr>
          <w:sz w:val="24"/>
          <w:szCs w:val="24"/>
        </w:rPr>
        <w:t xml:space="preserve">undertaken </w:t>
      </w:r>
      <w:proofErr w:type="gramStart"/>
      <w:r w:rsidR="00574EE2">
        <w:rPr>
          <w:sz w:val="24"/>
          <w:szCs w:val="24"/>
        </w:rPr>
        <w:t xml:space="preserve">by </w:t>
      </w:r>
      <w:r w:rsidR="009572BD" w:rsidRPr="00216FF6">
        <w:rPr>
          <w:sz w:val="24"/>
          <w:szCs w:val="24"/>
        </w:rPr>
        <w:t xml:space="preserve"> individuals</w:t>
      </w:r>
      <w:proofErr w:type="gramEnd"/>
      <w:r w:rsidR="009572BD" w:rsidRPr="00216FF6">
        <w:rPr>
          <w:sz w:val="24"/>
          <w:szCs w:val="24"/>
        </w:rPr>
        <w:t>, industry</w:t>
      </w:r>
      <w:r w:rsidR="006C2EDD" w:rsidRPr="00216FF6">
        <w:rPr>
          <w:sz w:val="24"/>
          <w:szCs w:val="24"/>
        </w:rPr>
        <w:t xml:space="preserve">, </w:t>
      </w:r>
      <w:r w:rsidR="009572BD" w:rsidRPr="00216FF6">
        <w:rPr>
          <w:sz w:val="24"/>
          <w:szCs w:val="24"/>
        </w:rPr>
        <w:t xml:space="preserve">third sector </w:t>
      </w:r>
      <w:proofErr w:type="spellStart"/>
      <w:r w:rsidRPr="00216FF6">
        <w:rPr>
          <w:sz w:val="24"/>
          <w:szCs w:val="24"/>
        </w:rPr>
        <w:t>organisations</w:t>
      </w:r>
      <w:proofErr w:type="spellEnd"/>
      <w:r w:rsidR="006C2EDD" w:rsidRPr="00216FF6">
        <w:rPr>
          <w:sz w:val="24"/>
          <w:szCs w:val="24"/>
        </w:rPr>
        <w:t xml:space="preserve"> or a combination, </w:t>
      </w:r>
      <w:r w:rsidR="009572BD" w:rsidRPr="00216FF6">
        <w:rPr>
          <w:sz w:val="24"/>
          <w:szCs w:val="24"/>
        </w:rPr>
        <w:t>for example the multi-partner ‘Chicago Array</w:t>
      </w:r>
      <w:r w:rsidR="00E83E02" w:rsidRPr="00216FF6">
        <w:rPr>
          <w:sz w:val="24"/>
          <w:szCs w:val="24"/>
        </w:rPr>
        <w:t xml:space="preserve"> of Things’ project, led by an academic </w:t>
      </w:r>
      <w:r w:rsidR="009572BD" w:rsidRPr="00216FF6">
        <w:rPr>
          <w:sz w:val="24"/>
          <w:szCs w:val="24"/>
        </w:rPr>
        <w:t>team</w:t>
      </w:r>
      <w:r w:rsidR="00CD7B55">
        <w:rPr>
          <w:sz w:val="24"/>
          <w:szCs w:val="24"/>
        </w:rPr>
        <w:t xml:space="preserve"> </w:t>
      </w:r>
      <w:r w:rsidR="006C2EDD" w:rsidRPr="00216FF6">
        <w:rPr>
          <w:sz w:val="24"/>
          <w:szCs w:val="24"/>
        </w:rPr>
        <w:t>(</w:t>
      </w:r>
      <w:r w:rsidR="009572BD" w:rsidRPr="00216FF6">
        <w:rPr>
          <w:sz w:val="24"/>
          <w:szCs w:val="24"/>
        </w:rPr>
        <w:t xml:space="preserve">Jacobs et al </w:t>
      </w:r>
      <w:r w:rsidR="0022539F" w:rsidRPr="00216FF6">
        <w:rPr>
          <w:sz w:val="24"/>
          <w:szCs w:val="24"/>
        </w:rPr>
        <w:t>20</w:t>
      </w:r>
      <w:r w:rsidR="0022539F">
        <w:rPr>
          <w:sz w:val="24"/>
          <w:szCs w:val="24"/>
        </w:rPr>
        <w:t>20</w:t>
      </w:r>
      <w:r w:rsidR="009572BD" w:rsidRPr="00216FF6">
        <w:rPr>
          <w:sz w:val="24"/>
          <w:szCs w:val="24"/>
        </w:rPr>
        <w:t>)</w:t>
      </w:r>
      <w:r w:rsidRPr="00216FF6">
        <w:rPr>
          <w:sz w:val="24"/>
          <w:szCs w:val="24"/>
        </w:rPr>
        <w:t xml:space="preserve">. Public bodies might also seek to install or legislate </w:t>
      </w:r>
      <w:r w:rsidR="00E83E02" w:rsidRPr="00216FF6">
        <w:rPr>
          <w:sz w:val="24"/>
          <w:szCs w:val="24"/>
        </w:rPr>
        <w:t xml:space="preserve">for </w:t>
      </w:r>
      <w:r w:rsidRPr="00216FF6">
        <w:rPr>
          <w:sz w:val="24"/>
          <w:szCs w:val="24"/>
        </w:rPr>
        <w:t xml:space="preserve">devices </w:t>
      </w:r>
      <w:r w:rsidR="00B63664">
        <w:rPr>
          <w:sz w:val="24"/>
          <w:szCs w:val="24"/>
        </w:rPr>
        <w:t xml:space="preserve">in </w:t>
      </w:r>
      <w:r w:rsidRPr="00216FF6">
        <w:rPr>
          <w:sz w:val="24"/>
          <w:szCs w:val="24"/>
        </w:rPr>
        <w:t xml:space="preserve">private </w:t>
      </w:r>
      <w:r w:rsidR="00574EE2">
        <w:rPr>
          <w:sz w:val="24"/>
          <w:szCs w:val="24"/>
        </w:rPr>
        <w:t xml:space="preserve">or semi-private </w:t>
      </w:r>
      <w:r w:rsidRPr="00216FF6">
        <w:rPr>
          <w:sz w:val="24"/>
          <w:szCs w:val="24"/>
        </w:rPr>
        <w:t xml:space="preserve">spaces, such as </w:t>
      </w:r>
      <w:r w:rsidR="00861884" w:rsidRPr="00216FF6">
        <w:rPr>
          <w:sz w:val="24"/>
          <w:szCs w:val="24"/>
        </w:rPr>
        <w:t>the UK’s smart meter initiative in the energy sector</w:t>
      </w:r>
      <w:r w:rsidR="00AF6976" w:rsidRPr="00216FF6">
        <w:rPr>
          <w:sz w:val="24"/>
          <w:szCs w:val="24"/>
        </w:rPr>
        <w:t xml:space="preserve"> </w:t>
      </w:r>
      <w:r w:rsidR="00861884" w:rsidRPr="00216FF6">
        <w:rPr>
          <w:sz w:val="24"/>
          <w:szCs w:val="24"/>
        </w:rPr>
        <w:t>(</w:t>
      </w:r>
      <w:r w:rsidR="00FB175D" w:rsidRPr="00216FF6">
        <w:rPr>
          <w:sz w:val="24"/>
          <w:szCs w:val="24"/>
        </w:rPr>
        <w:t>Department for Business, Energy &amp; Industrial Strategy, 2016)</w:t>
      </w:r>
      <w:r w:rsidR="0040730C" w:rsidRPr="00216FF6">
        <w:rPr>
          <w:sz w:val="24"/>
          <w:szCs w:val="24"/>
        </w:rPr>
        <w:t xml:space="preserve">. This move towards technology as infrastructure requires new policy and regulation. </w:t>
      </w:r>
      <w:r w:rsidR="00063CDE">
        <w:rPr>
          <w:sz w:val="24"/>
          <w:szCs w:val="24"/>
        </w:rPr>
        <w:t>Instrumentation of public and shared environments using</w:t>
      </w:r>
      <w:r w:rsidR="0040730C" w:rsidRPr="00216FF6">
        <w:rPr>
          <w:sz w:val="24"/>
          <w:szCs w:val="24"/>
        </w:rPr>
        <w:t xml:space="preserve"> </w:t>
      </w:r>
      <w:r w:rsidR="00063CDE">
        <w:rPr>
          <w:sz w:val="24"/>
          <w:szCs w:val="24"/>
        </w:rPr>
        <w:t>IoT technologies</w:t>
      </w:r>
      <w:r w:rsidR="0040730C" w:rsidRPr="00216FF6">
        <w:rPr>
          <w:sz w:val="24"/>
          <w:szCs w:val="24"/>
        </w:rPr>
        <w:t xml:space="preserve"> introduces new complexities of data governance</w:t>
      </w:r>
      <w:r w:rsidR="00021A23" w:rsidRPr="00216FF6">
        <w:rPr>
          <w:sz w:val="24"/>
          <w:szCs w:val="24"/>
        </w:rPr>
        <w:t>, privacy and security</w:t>
      </w:r>
      <w:r w:rsidR="0040730C" w:rsidRPr="00216FF6">
        <w:rPr>
          <w:sz w:val="24"/>
          <w:szCs w:val="24"/>
        </w:rPr>
        <w:t xml:space="preserve">, given the large volumes of data collected, </w:t>
      </w:r>
      <w:r w:rsidR="00222E3F" w:rsidRPr="00216FF6">
        <w:rPr>
          <w:sz w:val="24"/>
          <w:szCs w:val="24"/>
        </w:rPr>
        <w:t xml:space="preserve">involvement of </w:t>
      </w:r>
      <w:r w:rsidR="0040730C" w:rsidRPr="00216FF6">
        <w:rPr>
          <w:sz w:val="24"/>
          <w:szCs w:val="24"/>
        </w:rPr>
        <w:t xml:space="preserve">multiple actors and stakeholders, </w:t>
      </w:r>
      <w:r w:rsidR="00E83E02" w:rsidRPr="00216FF6">
        <w:rPr>
          <w:sz w:val="24"/>
          <w:szCs w:val="24"/>
        </w:rPr>
        <w:t xml:space="preserve">the </w:t>
      </w:r>
      <w:r w:rsidR="0040730C" w:rsidRPr="00216FF6">
        <w:rPr>
          <w:sz w:val="24"/>
          <w:szCs w:val="24"/>
        </w:rPr>
        <w:t xml:space="preserve">distribution across physical space, and questions of accountability at a variety of </w:t>
      </w:r>
      <w:r w:rsidR="00222E3F" w:rsidRPr="00216FF6">
        <w:rPr>
          <w:sz w:val="24"/>
          <w:szCs w:val="24"/>
        </w:rPr>
        <w:t xml:space="preserve">stages </w:t>
      </w:r>
      <w:r w:rsidR="0040730C" w:rsidRPr="00216FF6">
        <w:rPr>
          <w:sz w:val="24"/>
          <w:szCs w:val="24"/>
        </w:rPr>
        <w:t xml:space="preserve">including </w:t>
      </w:r>
      <w:r w:rsidR="00222E3F" w:rsidRPr="00216FF6">
        <w:rPr>
          <w:sz w:val="24"/>
          <w:szCs w:val="24"/>
        </w:rPr>
        <w:t>procurement,</w:t>
      </w:r>
      <w:r w:rsidR="0040730C" w:rsidRPr="00216FF6">
        <w:rPr>
          <w:sz w:val="24"/>
          <w:szCs w:val="24"/>
        </w:rPr>
        <w:t xml:space="preserve"> deployment and management.</w:t>
      </w:r>
      <w:r w:rsidR="00021A23" w:rsidRPr="00216FF6">
        <w:rPr>
          <w:sz w:val="24"/>
          <w:szCs w:val="24"/>
        </w:rPr>
        <w:t xml:space="preserve"> For example, collecting large volumes of data has the potential to compromise privacy, particularly if personal data is included or can be inferred by linking a variety of data sources</w:t>
      </w:r>
      <w:r w:rsidR="00944D15">
        <w:rPr>
          <w:sz w:val="24"/>
          <w:szCs w:val="24"/>
        </w:rPr>
        <w:t xml:space="preserve"> (Urquhart et al, 2019)</w:t>
      </w:r>
      <w:r w:rsidR="00021A23" w:rsidRPr="00216FF6">
        <w:rPr>
          <w:sz w:val="24"/>
          <w:szCs w:val="24"/>
        </w:rPr>
        <w:t>.</w:t>
      </w:r>
    </w:p>
    <w:p w14:paraId="511AC9B5" w14:textId="77777777" w:rsidR="00C15359" w:rsidRPr="00216FF6" w:rsidRDefault="00C15359" w:rsidP="00216FF6">
      <w:pPr>
        <w:pStyle w:val="Text"/>
        <w:jc w:val="left"/>
        <w:rPr>
          <w:sz w:val="24"/>
          <w:szCs w:val="24"/>
        </w:rPr>
      </w:pPr>
    </w:p>
    <w:p w14:paraId="681D179E" w14:textId="22EB9BFB" w:rsidR="004B082D" w:rsidRDefault="0040730C" w:rsidP="00216FF6">
      <w:pPr>
        <w:pStyle w:val="Text"/>
        <w:jc w:val="left"/>
        <w:rPr>
          <w:sz w:val="24"/>
          <w:szCs w:val="24"/>
        </w:rPr>
      </w:pPr>
      <w:r w:rsidRPr="00216FF6">
        <w:rPr>
          <w:sz w:val="24"/>
          <w:szCs w:val="24"/>
        </w:rPr>
        <w:t xml:space="preserve">A theme commonly </w:t>
      </w:r>
      <w:r w:rsidR="00063CDE">
        <w:rPr>
          <w:sz w:val="24"/>
          <w:szCs w:val="24"/>
        </w:rPr>
        <w:t>linked with</w:t>
      </w:r>
      <w:r w:rsidRPr="00216FF6">
        <w:rPr>
          <w:sz w:val="24"/>
          <w:szCs w:val="24"/>
        </w:rPr>
        <w:t xml:space="preserve"> </w:t>
      </w:r>
      <w:r w:rsidR="00F812F5">
        <w:rPr>
          <w:sz w:val="24"/>
          <w:szCs w:val="24"/>
        </w:rPr>
        <w:t xml:space="preserve">smart cities, and more specifically </w:t>
      </w:r>
      <w:r w:rsidRPr="00216FF6">
        <w:rPr>
          <w:sz w:val="24"/>
          <w:szCs w:val="24"/>
        </w:rPr>
        <w:t>public space IoT initiatives, is empowerment.</w:t>
      </w:r>
      <w:r w:rsidR="00CD7B55">
        <w:rPr>
          <w:sz w:val="24"/>
          <w:szCs w:val="24"/>
        </w:rPr>
        <w:t xml:space="preserve"> </w:t>
      </w:r>
      <w:r w:rsidRPr="00216FF6">
        <w:rPr>
          <w:sz w:val="24"/>
          <w:szCs w:val="24"/>
        </w:rPr>
        <w:t xml:space="preserve"> Laced with articulations of enhanced democracy and openness, many IoT projects initiated </w:t>
      </w:r>
      <w:r w:rsidR="00E83E02" w:rsidRPr="00216FF6">
        <w:rPr>
          <w:sz w:val="24"/>
          <w:szCs w:val="24"/>
        </w:rPr>
        <w:t xml:space="preserve">by </w:t>
      </w:r>
      <w:r w:rsidRPr="00216FF6">
        <w:rPr>
          <w:sz w:val="24"/>
          <w:szCs w:val="24"/>
        </w:rPr>
        <w:t xml:space="preserve">or carried out </w:t>
      </w:r>
      <w:r w:rsidR="00E83E02" w:rsidRPr="00216FF6">
        <w:rPr>
          <w:sz w:val="24"/>
          <w:szCs w:val="24"/>
        </w:rPr>
        <w:t>in</w:t>
      </w:r>
      <w:r w:rsidRPr="00216FF6">
        <w:rPr>
          <w:sz w:val="24"/>
          <w:szCs w:val="24"/>
        </w:rPr>
        <w:t xml:space="preserve"> the public sector are couched in language of increased efficiencies for overworked (often urban) infrastructure, economic benefits for citizens and users, the stimulation and </w:t>
      </w:r>
      <w:proofErr w:type="spellStart"/>
      <w:r w:rsidRPr="00216FF6">
        <w:rPr>
          <w:sz w:val="24"/>
          <w:szCs w:val="24"/>
        </w:rPr>
        <w:t>vitalisation</w:t>
      </w:r>
      <w:proofErr w:type="spellEnd"/>
      <w:r w:rsidRPr="00216FF6">
        <w:rPr>
          <w:sz w:val="24"/>
          <w:szCs w:val="24"/>
        </w:rPr>
        <w:t xml:space="preserve"> of new markets, and the positive social impact of digital-led innovations on the community (e.g. </w:t>
      </w:r>
      <w:proofErr w:type="spellStart"/>
      <w:r w:rsidRPr="00216FF6">
        <w:rPr>
          <w:sz w:val="24"/>
          <w:szCs w:val="24"/>
        </w:rPr>
        <w:t>Gunashekar</w:t>
      </w:r>
      <w:proofErr w:type="spellEnd"/>
      <w:r w:rsidRPr="00216FF6">
        <w:rPr>
          <w:sz w:val="24"/>
          <w:szCs w:val="24"/>
        </w:rPr>
        <w:t xml:space="preserve"> et al., 2016, </w:t>
      </w:r>
      <w:proofErr w:type="spellStart"/>
      <w:r w:rsidRPr="00216FF6">
        <w:rPr>
          <w:sz w:val="24"/>
          <w:szCs w:val="24"/>
        </w:rPr>
        <w:t>Walport</w:t>
      </w:r>
      <w:proofErr w:type="spellEnd"/>
      <w:r w:rsidRPr="00216FF6">
        <w:rPr>
          <w:sz w:val="24"/>
          <w:szCs w:val="24"/>
        </w:rPr>
        <w:t>, 2014).  It is</w:t>
      </w:r>
      <w:r w:rsidR="00AF6976" w:rsidRPr="00216FF6">
        <w:rPr>
          <w:sz w:val="24"/>
          <w:szCs w:val="24"/>
        </w:rPr>
        <w:t>,</w:t>
      </w:r>
      <w:r w:rsidRPr="00216FF6">
        <w:rPr>
          <w:sz w:val="24"/>
          <w:szCs w:val="24"/>
        </w:rPr>
        <w:t xml:space="preserve"> however, important to consider how this vision of digital opportunity and enrichment might be experienced by all social actors; not just those involved in leading these initiatives but those impacted, directly and indirectly, within the community</w:t>
      </w:r>
      <w:r w:rsidR="000A0C34" w:rsidRPr="00216FF6">
        <w:rPr>
          <w:sz w:val="24"/>
          <w:szCs w:val="24"/>
        </w:rPr>
        <w:t xml:space="preserve"> and at all levels</w:t>
      </w:r>
      <w:r w:rsidRPr="00216FF6">
        <w:rPr>
          <w:sz w:val="24"/>
          <w:szCs w:val="24"/>
        </w:rPr>
        <w:t>.</w:t>
      </w:r>
      <w:r w:rsidR="00191DCC" w:rsidRPr="00216FF6">
        <w:rPr>
          <w:sz w:val="24"/>
          <w:szCs w:val="24"/>
        </w:rPr>
        <w:t xml:space="preserve"> </w:t>
      </w:r>
    </w:p>
    <w:p w14:paraId="17D711E1" w14:textId="77777777" w:rsidR="00104972" w:rsidRDefault="00104972" w:rsidP="00216FF6">
      <w:pPr>
        <w:pStyle w:val="Text"/>
        <w:jc w:val="left"/>
        <w:rPr>
          <w:sz w:val="24"/>
          <w:szCs w:val="24"/>
        </w:rPr>
      </w:pPr>
    </w:p>
    <w:p w14:paraId="20222484" w14:textId="23D0DFBC" w:rsidR="00EF33C4" w:rsidRPr="00216FF6" w:rsidRDefault="00191DCC" w:rsidP="00216FF6">
      <w:pPr>
        <w:pStyle w:val="Text"/>
        <w:jc w:val="left"/>
        <w:rPr>
          <w:sz w:val="24"/>
          <w:szCs w:val="24"/>
        </w:rPr>
      </w:pPr>
      <w:r w:rsidRPr="00216FF6">
        <w:rPr>
          <w:sz w:val="24"/>
          <w:szCs w:val="24"/>
        </w:rPr>
        <w:t xml:space="preserve">In this </w:t>
      </w:r>
      <w:r w:rsidR="00063CDE">
        <w:rPr>
          <w:sz w:val="24"/>
          <w:szCs w:val="24"/>
        </w:rPr>
        <w:t>commen</w:t>
      </w:r>
      <w:r w:rsidR="003D398C">
        <w:rPr>
          <w:sz w:val="24"/>
          <w:szCs w:val="24"/>
        </w:rPr>
        <w:t>t</w:t>
      </w:r>
      <w:r w:rsidR="00063CDE">
        <w:rPr>
          <w:sz w:val="24"/>
          <w:szCs w:val="24"/>
        </w:rPr>
        <w:t>ary</w:t>
      </w:r>
      <w:r w:rsidRPr="00216FF6">
        <w:rPr>
          <w:sz w:val="24"/>
          <w:szCs w:val="24"/>
        </w:rPr>
        <w:t>, we report on work examining the governance at the national and local levels of public space IoT deployments and associated data capture</w:t>
      </w:r>
      <w:r w:rsidR="004B082D">
        <w:rPr>
          <w:sz w:val="24"/>
          <w:szCs w:val="24"/>
        </w:rPr>
        <w:t xml:space="preserve">, and </w:t>
      </w:r>
      <w:r w:rsidR="004B082D" w:rsidRPr="00216FF6">
        <w:rPr>
          <w:sz w:val="24"/>
          <w:szCs w:val="24"/>
        </w:rPr>
        <w:t>explore whose visions contribute to developing these articulations of empowerment, as well as questions of value generated by such deployments and where this value might be located.</w:t>
      </w:r>
      <w:r w:rsidR="00104972">
        <w:rPr>
          <w:sz w:val="24"/>
          <w:szCs w:val="24"/>
        </w:rPr>
        <w:t xml:space="preserve"> Given </w:t>
      </w:r>
      <w:r w:rsidR="002873D5">
        <w:rPr>
          <w:sz w:val="24"/>
          <w:szCs w:val="24"/>
        </w:rPr>
        <w:t xml:space="preserve">that </w:t>
      </w:r>
      <w:r w:rsidR="00104972">
        <w:rPr>
          <w:sz w:val="24"/>
          <w:szCs w:val="24"/>
        </w:rPr>
        <w:t xml:space="preserve">such data capture </w:t>
      </w:r>
      <w:r w:rsidR="00104972" w:rsidRPr="00216FF6">
        <w:rPr>
          <w:sz w:val="24"/>
          <w:szCs w:val="24"/>
        </w:rPr>
        <w:t xml:space="preserve">may have associated risks and challenges unforeseen by those governing and implementing </w:t>
      </w:r>
      <w:r w:rsidR="002873D5">
        <w:rPr>
          <w:sz w:val="24"/>
          <w:szCs w:val="24"/>
        </w:rPr>
        <w:t>it</w:t>
      </w:r>
      <w:r w:rsidR="00104972">
        <w:rPr>
          <w:sz w:val="24"/>
          <w:szCs w:val="24"/>
        </w:rPr>
        <w:t>, we argue that f</w:t>
      </w:r>
      <w:r w:rsidR="00104972" w:rsidRPr="00216FF6">
        <w:rPr>
          <w:sz w:val="24"/>
          <w:szCs w:val="24"/>
        </w:rPr>
        <w:t xml:space="preserve">actors such as transparency and accountability </w:t>
      </w:r>
      <w:r w:rsidR="00104972">
        <w:rPr>
          <w:sz w:val="24"/>
          <w:szCs w:val="24"/>
        </w:rPr>
        <w:t>are crucial in protecting</w:t>
      </w:r>
      <w:r w:rsidR="00104972" w:rsidRPr="00216FF6">
        <w:rPr>
          <w:sz w:val="24"/>
          <w:szCs w:val="24"/>
        </w:rPr>
        <w:t xml:space="preserve"> the rights of the public, and</w:t>
      </w:r>
      <w:r w:rsidR="00104972">
        <w:rPr>
          <w:sz w:val="24"/>
          <w:szCs w:val="24"/>
        </w:rPr>
        <w:t xml:space="preserve"> are important in ensuring </w:t>
      </w:r>
      <w:r w:rsidR="00104972" w:rsidRPr="00216FF6">
        <w:rPr>
          <w:sz w:val="24"/>
          <w:szCs w:val="24"/>
        </w:rPr>
        <w:t xml:space="preserve">the trustworthiness of </w:t>
      </w:r>
      <w:r w:rsidR="00063CDE">
        <w:rPr>
          <w:sz w:val="24"/>
          <w:szCs w:val="24"/>
        </w:rPr>
        <w:t xml:space="preserve">IoT </w:t>
      </w:r>
      <w:r w:rsidR="00104972" w:rsidRPr="00216FF6">
        <w:rPr>
          <w:sz w:val="24"/>
          <w:szCs w:val="24"/>
        </w:rPr>
        <w:t xml:space="preserve">deployments. </w:t>
      </w:r>
      <w:r w:rsidR="00104972">
        <w:rPr>
          <w:sz w:val="24"/>
          <w:szCs w:val="24"/>
        </w:rPr>
        <w:t>In exploring these questions, we</w:t>
      </w:r>
      <w:r w:rsidR="004B082D">
        <w:rPr>
          <w:sz w:val="24"/>
          <w:szCs w:val="24"/>
        </w:rPr>
        <w:t xml:space="preserve"> build on work of the</w:t>
      </w:r>
      <w:r w:rsidR="004B082D" w:rsidRPr="00216FF6">
        <w:rPr>
          <w:sz w:val="24"/>
          <w:szCs w:val="24"/>
        </w:rPr>
        <w:t xml:space="preserve"> </w:t>
      </w:r>
      <w:r w:rsidR="004B082D" w:rsidRPr="00216FF6">
        <w:rPr>
          <w:sz w:val="24"/>
          <w:szCs w:val="24"/>
        </w:rPr>
        <w:lastRenderedPageBreak/>
        <w:t xml:space="preserve">EPSRC-funded </w:t>
      </w:r>
      <w:proofErr w:type="spellStart"/>
      <w:r w:rsidR="004B082D" w:rsidRPr="00216FF6">
        <w:rPr>
          <w:sz w:val="24"/>
          <w:szCs w:val="24"/>
        </w:rPr>
        <w:t>TrustLens</w:t>
      </w:r>
      <w:proofErr w:type="spellEnd"/>
      <w:r w:rsidR="004B082D" w:rsidRPr="00216FF6">
        <w:rPr>
          <w:rStyle w:val="FootnoteReference"/>
          <w:sz w:val="24"/>
          <w:szCs w:val="24"/>
        </w:rPr>
        <w:footnoteReference w:id="1"/>
      </w:r>
      <w:r w:rsidR="004B082D" w:rsidRPr="00216FF6">
        <w:rPr>
          <w:sz w:val="24"/>
          <w:szCs w:val="24"/>
        </w:rPr>
        <w:t xml:space="preserve"> project</w:t>
      </w:r>
      <w:r w:rsidR="004B082D">
        <w:rPr>
          <w:sz w:val="24"/>
          <w:szCs w:val="24"/>
        </w:rPr>
        <w:t>, which</w:t>
      </w:r>
      <w:r w:rsidR="004B082D" w:rsidRPr="00216FF6">
        <w:rPr>
          <w:sz w:val="24"/>
          <w:szCs w:val="24"/>
        </w:rPr>
        <w:t xml:space="preserve"> considers how these visions of digital opportunity and enrichment might be experienced by all social actors; not just those involved in leading the initiatives but those impacted, directly and indirectly, within the community where IoT solutions are deployed. If data collected via the initiatives are of value, who receives benefit, either financial or otherwise, from this collection? Who might be at risk? The ultimate goal of the project is to understand and enable trusted IoT ecosystems, from the perspective of those impacted by such systems.</w:t>
      </w:r>
      <w:r w:rsidR="00104972">
        <w:rPr>
          <w:sz w:val="24"/>
          <w:szCs w:val="24"/>
        </w:rPr>
        <w:t xml:space="preserve"> With such challenges exposed, we argue that designing and implementing such systems requires associated design of policy and governance that is informed by the needs of multiple stakeholders within these complex systems.</w:t>
      </w:r>
    </w:p>
    <w:p w14:paraId="56717D2F" w14:textId="16B251E7" w:rsidR="00EF33C4" w:rsidRPr="00216FF6" w:rsidRDefault="00EF33C4" w:rsidP="00216FF6">
      <w:pPr>
        <w:pStyle w:val="SectionHeading"/>
        <w:jc w:val="left"/>
        <w:outlineLvl w:val="0"/>
        <w:rPr>
          <w:szCs w:val="24"/>
        </w:rPr>
      </w:pPr>
      <w:r w:rsidRPr="00216FF6">
        <w:rPr>
          <w:szCs w:val="24"/>
        </w:rPr>
        <w:t xml:space="preserve">2 </w:t>
      </w:r>
      <w:r w:rsidR="007C19D7" w:rsidRPr="00216FF6">
        <w:rPr>
          <w:szCs w:val="24"/>
        </w:rPr>
        <w:t>Examining the Landscape</w:t>
      </w:r>
    </w:p>
    <w:p w14:paraId="52C8031B" w14:textId="77777777" w:rsidR="00EF33C4" w:rsidRPr="00216FF6" w:rsidRDefault="00EF33C4" w:rsidP="00216FF6">
      <w:pPr>
        <w:pStyle w:val="Text"/>
        <w:jc w:val="left"/>
        <w:rPr>
          <w:sz w:val="24"/>
          <w:szCs w:val="24"/>
        </w:rPr>
      </w:pPr>
    </w:p>
    <w:p w14:paraId="461DC1ED" w14:textId="475091C3" w:rsidR="001D540E" w:rsidRPr="00216FF6" w:rsidRDefault="001D540E" w:rsidP="001D540E">
      <w:pPr>
        <w:pStyle w:val="Text"/>
        <w:jc w:val="left"/>
        <w:rPr>
          <w:sz w:val="24"/>
          <w:szCs w:val="24"/>
        </w:rPr>
      </w:pPr>
      <w:r>
        <w:rPr>
          <w:sz w:val="24"/>
          <w:szCs w:val="24"/>
        </w:rPr>
        <w:t xml:space="preserve">It is difficult to discuss public space IoT in an urban context without reference to the smart city. </w:t>
      </w:r>
      <w:r w:rsidRPr="00216FF6">
        <w:rPr>
          <w:sz w:val="24"/>
          <w:szCs w:val="24"/>
        </w:rPr>
        <w:t xml:space="preserve">In our work examining the landscape of </w:t>
      </w:r>
      <w:r>
        <w:rPr>
          <w:sz w:val="24"/>
          <w:szCs w:val="24"/>
        </w:rPr>
        <w:t>public space IoT</w:t>
      </w:r>
      <w:r w:rsidRPr="00216FF6">
        <w:rPr>
          <w:sz w:val="24"/>
          <w:szCs w:val="24"/>
        </w:rPr>
        <w:t xml:space="preserve"> funding and development, focusing particularly on the UK, we have observed that there is often pressure on local authorities to transform cities with technology and conform to positive rhetoric which assumes that benefit will automatically ensue. </w:t>
      </w:r>
      <w:r w:rsidR="00F812F5">
        <w:rPr>
          <w:sz w:val="24"/>
          <w:szCs w:val="24"/>
        </w:rPr>
        <w:t xml:space="preserve">In this sense, one answer to the question ‘who trusts in the smart city?’ might be that local authorities trust in smart cities to provide </w:t>
      </w:r>
      <w:r w:rsidR="00E05B14">
        <w:rPr>
          <w:sz w:val="24"/>
          <w:szCs w:val="24"/>
        </w:rPr>
        <w:t xml:space="preserve">promised </w:t>
      </w:r>
      <w:r w:rsidR="00F812F5">
        <w:rPr>
          <w:sz w:val="24"/>
          <w:szCs w:val="24"/>
        </w:rPr>
        <w:t xml:space="preserve">solutions and benefits. </w:t>
      </w:r>
      <w:r w:rsidRPr="00216FF6">
        <w:rPr>
          <w:sz w:val="24"/>
          <w:szCs w:val="24"/>
        </w:rPr>
        <w:t>Technology solutions may be proposed by commercial providers or put out to tender by public bodies to solve a specific problem, endorsed by those who wish to improve services</w:t>
      </w:r>
      <w:r w:rsidR="00E05B14">
        <w:rPr>
          <w:sz w:val="24"/>
          <w:szCs w:val="24"/>
        </w:rPr>
        <w:t>.</w:t>
      </w:r>
      <w:r w:rsidR="00CD7B55">
        <w:rPr>
          <w:sz w:val="24"/>
          <w:szCs w:val="24"/>
        </w:rPr>
        <w:t xml:space="preserve"> </w:t>
      </w:r>
      <w:proofErr w:type="gramStart"/>
      <w:r w:rsidR="00CD7B55">
        <w:rPr>
          <w:sz w:val="24"/>
          <w:szCs w:val="24"/>
        </w:rPr>
        <w:t xml:space="preserve">However, </w:t>
      </w:r>
      <w:r w:rsidRPr="00216FF6">
        <w:rPr>
          <w:sz w:val="24"/>
          <w:szCs w:val="24"/>
        </w:rPr>
        <w:t xml:space="preserve"> </w:t>
      </w:r>
      <w:r w:rsidR="009958B8">
        <w:rPr>
          <w:sz w:val="24"/>
          <w:szCs w:val="24"/>
        </w:rPr>
        <w:t>procurers</w:t>
      </w:r>
      <w:proofErr w:type="gramEnd"/>
      <w:r w:rsidR="009958B8">
        <w:rPr>
          <w:sz w:val="24"/>
          <w:szCs w:val="24"/>
        </w:rPr>
        <w:t xml:space="preserve"> </w:t>
      </w:r>
      <w:r w:rsidRPr="00216FF6">
        <w:rPr>
          <w:sz w:val="24"/>
          <w:szCs w:val="24"/>
        </w:rPr>
        <w:t xml:space="preserve">are not necessarily familiar with the details of the technology and its privacy and security implications. </w:t>
      </w:r>
      <w:r w:rsidR="000B7479">
        <w:rPr>
          <w:sz w:val="24"/>
          <w:szCs w:val="24"/>
        </w:rPr>
        <w:t>Materials produced by technology providers, as well as public sector strategy documents,</w:t>
      </w:r>
      <w:r w:rsidRPr="00216FF6">
        <w:rPr>
          <w:sz w:val="24"/>
          <w:szCs w:val="24"/>
        </w:rPr>
        <w:t xml:space="preserve"> </w:t>
      </w:r>
      <w:r w:rsidR="000B7479">
        <w:rPr>
          <w:sz w:val="24"/>
          <w:szCs w:val="24"/>
        </w:rPr>
        <w:t xml:space="preserve">often </w:t>
      </w:r>
      <w:r w:rsidRPr="00216FF6">
        <w:rPr>
          <w:sz w:val="24"/>
          <w:szCs w:val="24"/>
        </w:rPr>
        <w:t xml:space="preserve">contain promises of efficiency savings and assumptions of upcoming ubiquity, without dwelling on the challenges of these implementations. While there is a multiplicity of smart city exemplars and demonstrators, we found that information sharing between regions and authorities is often limited, with little communication of either best practice, or challenges that were encountered. </w:t>
      </w:r>
      <w:r w:rsidR="006C3417">
        <w:rPr>
          <w:sz w:val="24"/>
          <w:szCs w:val="24"/>
        </w:rPr>
        <w:t>This concurs with the ‘self-congratulatory’ trend described by Hollands (2008).</w:t>
      </w:r>
    </w:p>
    <w:p w14:paraId="7EA57C22" w14:textId="77777777" w:rsidR="001D540E" w:rsidRPr="00216FF6" w:rsidRDefault="001D540E" w:rsidP="001D540E">
      <w:pPr>
        <w:pStyle w:val="Text"/>
        <w:jc w:val="left"/>
        <w:rPr>
          <w:sz w:val="24"/>
          <w:szCs w:val="24"/>
        </w:rPr>
      </w:pPr>
    </w:p>
    <w:p w14:paraId="76549CBF" w14:textId="402B2156" w:rsidR="001D540E" w:rsidRPr="00216FF6" w:rsidRDefault="001D540E" w:rsidP="001D540E">
      <w:pPr>
        <w:pStyle w:val="Text"/>
        <w:jc w:val="left"/>
        <w:rPr>
          <w:sz w:val="24"/>
          <w:szCs w:val="24"/>
        </w:rPr>
      </w:pPr>
      <w:r w:rsidRPr="00216FF6">
        <w:rPr>
          <w:sz w:val="24"/>
          <w:szCs w:val="24"/>
        </w:rPr>
        <w:t xml:space="preserve">Though </w:t>
      </w:r>
      <w:r w:rsidR="00F812F5">
        <w:rPr>
          <w:sz w:val="24"/>
          <w:szCs w:val="24"/>
        </w:rPr>
        <w:t>the smart city</w:t>
      </w:r>
      <w:r>
        <w:rPr>
          <w:sz w:val="24"/>
          <w:szCs w:val="24"/>
        </w:rPr>
        <w:t xml:space="preserve"> term</w:t>
      </w:r>
      <w:r w:rsidRPr="00216FF6">
        <w:rPr>
          <w:sz w:val="24"/>
          <w:szCs w:val="24"/>
        </w:rPr>
        <w:t xml:space="preserve"> is increasingly used by policymakers, industry and the media, many have expressed concern that </w:t>
      </w:r>
      <w:r>
        <w:rPr>
          <w:sz w:val="24"/>
          <w:szCs w:val="24"/>
        </w:rPr>
        <w:t xml:space="preserve">it </w:t>
      </w:r>
      <w:r w:rsidRPr="00216FF6">
        <w:rPr>
          <w:sz w:val="24"/>
          <w:szCs w:val="24"/>
        </w:rPr>
        <w:t>is non-specific and of limited use</w:t>
      </w:r>
      <w:r w:rsidR="000B7479">
        <w:rPr>
          <w:sz w:val="24"/>
          <w:szCs w:val="24"/>
        </w:rPr>
        <w:t xml:space="preserve"> (Holland</w:t>
      </w:r>
      <w:r w:rsidR="006C3417">
        <w:rPr>
          <w:sz w:val="24"/>
          <w:szCs w:val="24"/>
        </w:rPr>
        <w:t>s</w:t>
      </w:r>
      <w:r w:rsidR="000B7479">
        <w:rPr>
          <w:sz w:val="24"/>
          <w:szCs w:val="24"/>
        </w:rPr>
        <w:t xml:space="preserve">, 2008, </w:t>
      </w:r>
      <w:proofErr w:type="spellStart"/>
      <w:r w:rsidR="000B7479">
        <w:rPr>
          <w:sz w:val="24"/>
          <w:szCs w:val="24"/>
        </w:rPr>
        <w:t>Angelidou</w:t>
      </w:r>
      <w:proofErr w:type="spellEnd"/>
      <w:r w:rsidR="000B7479">
        <w:rPr>
          <w:sz w:val="24"/>
          <w:szCs w:val="24"/>
        </w:rPr>
        <w:t>, 2014, Kitchen, 2014)</w:t>
      </w:r>
      <w:r w:rsidRPr="00216FF6">
        <w:rPr>
          <w:sz w:val="24"/>
          <w:szCs w:val="24"/>
        </w:rPr>
        <w:t xml:space="preserve">. </w:t>
      </w:r>
      <w:proofErr w:type="spellStart"/>
      <w:r w:rsidRPr="00216FF6">
        <w:rPr>
          <w:sz w:val="24"/>
          <w:szCs w:val="24"/>
        </w:rPr>
        <w:t>Angelidou</w:t>
      </w:r>
      <w:proofErr w:type="spellEnd"/>
      <w:r w:rsidRPr="00216FF6">
        <w:rPr>
          <w:sz w:val="24"/>
          <w:szCs w:val="24"/>
        </w:rPr>
        <w:t xml:space="preserve"> notes that there remains no agreed definition of smart (or intelligent) cities. </w:t>
      </w:r>
      <w:proofErr w:type="spellStart"/>
      <w:r w:rsidRPr="00216FF6">
        <w:rPr>
          <w:sz w:val="24"/>
          <w:szCs w:val="24"/>
        </w:rPr>
        <w:t>Kitchin</w:t>
      </w:r>
      <w:proofErr w:type="spellEnd"/>
      <w:r w:rsidRPr="00216FF6">
        <w:rPr>
          <w:sz w:val="24"/>
          <w:szCs w:val="24"/>
        </w:rPr>
        <w:t xml:space="preserve"> suggests that it encompasses two distinct but related concepts</w:t>
      </w:r>
      <w:r w:rsidR="006B4600">
        <w:rPr>
          <w:sz w:val="24"/>
          <w:szCs w:val="24"/>
        </w:rPr>
        <w:t>:</w:t>
      </w:r>
      <w:r w:rsidRPr="00216FF6">
        <w:rPr>
          <w:sz w:val="24"/>
          <w:szCs w:val="24"/>
        </w:rPr>
        <w:t xml:space="preserve"> either the implementation of ubiquitous computing and digitally instrumented devices into the fabric of urban environments, or the broader development of a knowledge economy within a city region, a city “whose economy and governance is being driven by innovation, creativity and entrepreneurship, enacted by smart people” (Kitchen, 2014, p. 2). This linkage between solutions that develop the knowledge economy and those that use IoT technology seems in some cases to be taken for granted. Many of those who discuss the implementation of smart cities, including policymakers, public representatives and technology providers, focus primarily on how digital and data-driven solutions can offer significant economic and social value. (e.g., Future Cities Catapult, 2017; Hill et al., 2016). This optimistic and somewhat reductionist approach suggests that being able to gather data will necessarily lead to solutions</w:t>
      </w:r>
      <w:r w:rsidR="00066ED1">
        <w:rPr>
          <w:sz w:val="24"/>
          <w:szCs w:val="24"/>
        </w:rPr>
        <w:t xml:space="preserve"> </w:t>
      </w:r>
      <w:r w:rsidR="00177BBE">
        <w:rPr>
          <w:sz w:val="24"/>
          <w:szCs w:val="24"/>
        </w:rPr>
        <w:t>(Hollands, 2014)</w:t>
      </w:r>
      <w:r w:rsidRPr="00216FF6">
        <w:rPr>
          <w:sz w:val="24"/>
          <w:szCs w:val="24"/>
        </w:rPr>
        <w:t xml:space="preserve">. </w:t>
      </w:r>
      <w:r w:rsidR="00F812F5">
        <w:rPr>
          <w:sz w:val="24"/>
          <w:szCs w:val="24"/>
        </w:rPr>
        <w:t>However</w:t>
      </w:r>
      <w:r w:rsidR="006B4600">
        <w:rPr>
          <w:sz w:val="24"/>
          <w:szCs w:val="24"/>
        </w:rPr>
        <w:t>,</w:t>
      </w:r>
      <w:r w:rsidR="00F812F5">
        <w:rPr>
          <w:sz w:val="24"/>
          <w:szCs w:val="24"/>
        </w:rPr>
        <w:t xml:space="preserve"> this is not </w:t>
      </w:r>
      <w:r w:rsidR="000D11DF">
        <w:rPr>
          <w:sz w:val="24"/>
          <w:szCs w:val="24"/>
        </w:rPr>
        <w:t xml:space="preserve">necessarily </w:t>
      </w:r>
      <w:r w:rsidR="00F812F5">
        <w:rPr>
          <w:sz w:val="24"/>
          <w:szCs w:val="24"/>
        </w:rPr>
        <w:t>the case</w:t>
      </w:r>
      <w:r w:rsidR="000F558C">
        <w:rPr>
          <w:sz w:val="24"/>
          <w:szCs w:val="24"/>
        </w:rPr>
        <w:t xml:space="preserve"> </w:t>
      </w:r>
      <w:proofErr w:type="gramStart"/>
      <w:r w:rsidR="00F812F5">
        <w:rPr>
          <w:sz w:val="24"/>
          <w:szCs w:val="24"/>
        </w:rPr>
        <w:t>and in this sense</w:t>
      </w:r>
      <w:proofErr w:type="gramEnd"/>
      <w:r w:rsidR="00F812F5">
        <w:rPr>
          <w:sz w:val="24"/>
          <w:szCs w:val="24"/>
        </w:rPr>
        <w:t xml:space="preserve"> </w:t>
      </w:r>
      <w:r w:rsidR="000D11DF">
        <w:rPr>
          <w:sz w:val="24"/>
          <w:szCs w:val="24"/>
        </w:rPr>
        <w:t xml:space="preserve">unconditional </w:t>
      </w:r>
      <w:r w:rsidR="00F812F5">
        <w:rPr>
          <w:sz w:val="24"/>
          <w:szCs w:val="24"/>
        </w:rPr>
        <w:t xml:space="preserve">trust in the </w:t>
      </w:r>
      <w:r w:rsidR="000D11DF">
        <w:rPr>
          <w:sz w:val="24"/>
          <w:szCs w:val="24"/>
        </w:rPr>
        <w:t xml:space="preserve">positive </w:t>
      </w:r>
      <w:r w:rsidR="001E0A1E">
        <w:rPr>
          <w:sz w:val="24"/>
          <w:szCs w:val="24"/>
        </w:rPr>
        <w:t>consequences</w:t>
      </w:r>
      <w:r w:rsidR="00F812F5">
        <w:rPr>
          <w:sz w:val="24"/>
          <w:szCs w:val="24"/>
        </w:rPr>
        <w:t xml:space="preserve"> of smart cities is </w:t>
      </w:r>
      <w:r w:rsidR="009958B8">
        <w:rPr>
          <w:sz w:val="24"/>
          <w:szCs w:val="24"/>
        </w:rPr>
        <w:t xml:space="preserve">perhaps </w:t>
      </w:r>
      <w:r w:rsidR="00F812F5">
        <w:rPr>
          <w:sz w:val="24"/>
          <w:szCs w:val="24"/>
        </w:rPr>
        <w:t>misplaced.</w:t>
      </w:r>
    </w:p>
    <w:p w14:paraId="68E72380" w14:textId="59D182BD" w:rsidR="001D540E" w:rsidRDefault="001D540E" w:rsidP="00216FF6">
      <w:pPr>
        <w:pStyle w:val="Text"/>
        <w:jc w:val="left"/>
        <w:rPr>
          <w:sz w:val="24"/>
          <w:szCs w:val="24"/>
        </w:rPr>
      </w:pPr>
    </w:p>
    <w:p w14:paraId="47693EE9" w14:textId="51AAB0C0" w:rsidR="001E0A1E" w:rsidRPr="00216FF6" w:rsidRDefault="001E0A1E" w:rsidP="001E0A1E">
      <w:pPr>
        <w:pStyle w:val="Text"/>
        <w:jc w:val="left"/>
        <w:rPr>
          <w:sz w:val="24"/>
          <w:szCs w:val="24"/>
        </w:rPr>
      </w:pPr>
      <w:r w:rsidRPr="00216FF6">
        <w:rPr>
          <w:sz w:val="24"/>
          <w:szCs w:val="24"/>
        </w:rPr>
        <w:t>A particular question highlighted by our research is the complex nature of privacy and trust when data is collected in public spaces. It is not always possible to foresee all potential risks of data collection, particularly when multiple datasets exist and may be combined. In some cases</w:t>
      </w:r>
      <w:r w:rsidR="00063CDE">
        <w:rPr>
          <w:sz w:val="24"/>
          <w:szCs w:val="24"/>
        </w:rPr>
        <w:t>,</w:t>
      </w:r>
      <w:r w:rsidRPr="00216FF6">
        <w:rPr>
          <w:sz w:val="24"/>
          <w:szCs w:val="24"/>
        </w:rPr>
        <w:t xml:space="preserve"> it seems that the strategy of those initiating the deployments is to obtain as much data as possible</w:t>
      </w:r>
      <w:r w:rsidR="00E47987">
        <w:rPr>
          <w:sz w:val="24"/>
          <w:szCs w:val="24"/>
        </w:rPr>
        <w:t xml:space="preserve"> </w:t>
      </w:r>
      <w:r w:rsidRPr="00216FF6">
        <w:rPr>
          <w:sz w:val="24"/>
          <w:szCs w:val="24"/>
        </w:rPr>
        <w:t>and decide what to use it for later. This seems to be in contravention of the ideals of data protection legislation such as the General Data Protection Regulation (GDPR)</w:t>
      </w:r>
      <w:r w:rsidRPr="00216FF6">
        <w:rPr>
          <w:rStyle w:val="FootnoteReference"/>
          <w:sz w:val="24"/>
          <w:szCs w:val="24"/>
        </w:rPr>
        <w:footnoteReference w:id="2"/>
      </w:r>
      <w:r w:rsidRPr="00216FF6">
        <w:rPr>
          <w:sz w:val="24"/>
          <w:szCs w:val="24"/>
        </w:rPr>
        <w:t>, which requires a clear purpose for data collection</w:t>
      </w:r>
      <w:r w:rsidR="006C3417">
        <w:rPr>
          <w:sz w:val="24"/>
          <w:szCs w:val="24"/>
        </w:rPr>
        <w:t xml:space="preserve">. However, this </w:t>
      </w:r>
      <w:r w:rsidRPr="00216FF6">
        <w:rPr>
          <w:sz w:val="24"/>
          <w:szCs w:val="24"/>
        </w:rPr>
        <w:t xml:space="preserve">is complicated by the fact that much of this is environmental or situational data and considered non-personal. </w:t>
      </w:r>
    </w:p>
    <w:p w14:paraId="55916F57" w14:textId="77777777" w:rsidR="001E0A1E" w:rsidRDefault="001E0A1E" w:rsidP="00216FF6">
      <w:pPr>
        <w:pStyle w:val="Text"/>
        <w:jc w:val="left"/>
        <w:rPr>
          <w:sz w:val="24"/>
          <w:szCs w:val="24"/>
        </w:rPr>
      </w:pPr>
    </w:p>
    <w:p w14:paraId="3BA32260" w14:textId="452CBDA1" w:rsidR="00A521FD" w:rsidRPr="00216FF6" w:rsidRDefault="001B1F4A" w:rsidP="00216FF6">
      <w:pPr>
        <w:pStyle w:val="Text"/>
        <w:jc w:val="left"/>
        <w:rPr>
          <w:sz w:val="24"/>
          <w:szCs w:val="24"/>
        </w:rPr>
      </w:pPr>
      <w:r w:rsidRPr="00216FF6">
        <w:rPr>
          <w:sz w:val="24"/>
          <w:szCs w:val="24"/>
        </w:rPr>
        <w:t xml:space="preserve">In implementing solutions that are designed for public benefit it is important to consider risks that may be encountered </w:t>
      </w:r>
      <w:r w:rsidR="007D5697" w:rsidRPr="00216FF6">
        <w:rPr>
          <w:sz w:val="24"/>
          <w:szCs w:val="24"/>
        </w:rPr>
        <w:t xml:space="preserve">with </w:t>
      </w:r>
      <w:r w:rsidRPr="00216FF6">
        <w:rPr>
          <w:sz w:val="24"/>
          <w:szCs w:val="24"/>
        </w:rPr>
        <w:t xml:space="preserve">widespread data collection in public </w:t>
      </w:r>
      <w:r w:rsidR="00A022AA" w:rsidRPr="00216FF6">
        <w:rPr>
          <w:sz w:val="24"/>
          <w:szCs w:val="24"/>
        </w:rPr>
        <w:t>spaces, which</w:t>
      </w:r>
      <w:r w:rsidRPr="00216FF6">
        <w:rPr>
          <w:sz w:val="24"/>
          <w:szCs w:val="24"/>
        </w:rPr>
        <w:t xml:space="preserve"> can also be seen as a form of surveillance</w:t>
      </w:r>
      <w:r w:rsidR="00D4673F" w:rsidRPr="00216FF6">
        <w:rPr>
          <w:sz w:val="24"/>
          <w:szCs w:val="24"/>
        </w:rPr>
        <w:t xml:space="preserve"> (</w:t>
      </w:r>
      <w:proofErr w:type="spellStart"/>
      <w:r w:rsidR="00D4673F" w:rsidRPr="00216FF6">
        <w:rPr>
          <w:sz w:val="24"/>
          <w:szCs w:val="24"/>
        </w:rPr>
        <w:t>Vagle</w:t>
      </w:r>
      <w:proofErr w:type="spellEnd"/>
      <w:r w:rsidR="00D4673F" w:rsidRPr="00216FF6">
        <w:rPr>
          <w:sz w:val="24"/>
          <w:szCs w:val="24"/>
        </w:rPr>
        <w:t>, 2016)</w:t>
      </w:r>
      <w:r w:rsidRPr="00216FF6">
        <w:rPr>
          <w:sz w:val="24"/>
          <w:szCs w:val="24"/>
        </w:rPr>
        <w:t xml:space="preserve">. Because some of these </w:t>
      </w:r>
      <w:proofErr w:type="spellStart"/>
      <w:r w:rsidRPr="00216FF6">
        <w:rPr>
          <w:sz w:val="24"/>
          <w:szCs w:val="24"/>
        </w:rPr>
        <w:t>programmes</w:t>
      </w:r>
      <w:proofErr w:type="spellEnd"/>
      <w:r w:rsidRPr="00216FF6">
        <w:rPr>
          <w:sz w:val="24"/>
          <w:szCs w:val="24"/>
        </w:rPr>
        <w:t xml:space="preserve"> are supplementing existing infrastructure, </w:t>
      </w:r>
      <w:r w:rsidR="003D2DBB" w:rsidRPr="00216FF6">
        <w:rPr>
          <w:sz w:val="24"/>
          <w:szCs w:val="24"/>
        </w:rPr>
        <w:t>extensive p</w:t>
      </w:r>
      <w:r w:rsidR="00A521FD" w:rsidRPr="00216FF6">
        <w:rPr>
          <w:sz w:val="24"/>
          <w:szCs w:val="24"/>
        </w:rPr>
        <w:t>ublic consultation is not always considered to be necessary</w:t>
      </w:r>
      <w:r w:rsidR="003D2DBB" w:rsidRPr="00216FF6">
        <w:rPr>
          <w:sz w:val="24"/>
          <w:szCs w:val="24"/>
        </w:rPr>
        <w:t>. F</w:t>
      </w:r>
      <w:r w:rsidR="00A521FD" w:rsidRPr="00216FF6">
        <w:rPr>
          <w:sz w:val="24"/>
          <w:szCs w:val="24"/>
        </w:rPr>
        <w:t>or example</w:t>
      </w:r>
      <w:r w:rsidR="003D2DBB" w:rsidRPr="00216FF6">
        <w:rPr>
          <w:sz w:val="24"/>
          <w:szCs w:val="24"/>
        </w:rPr>
        <w:t xml:space="preserve">, while conducting ethnographic work in our community of interest, local residents queried the purpose of a new item of street furniture with no clear purpose or visible </w:t>
      </w:r>
      <w:r w:rsidR="000D0BA0" w:rsidRPr="00216FF6">
        <w:rPr>
          <w:sz w:val="24"/>
          <w:szCs w:val="24"/>
        </w:rPr>
        <w:t xml:space="preserve">signage </w:t>
      </w:r>
      <w:r w:rsidR="004C1C28" w:rsidRPr="00216FF6">
        <w:rPr>
          <w:sz w:val="24"/>
          <w:szCs w:val="24"/>
        </w:rPr>
        <w:t xml:space="preserve">indicating </w:t>
      </w:r>
      <w:r w:rsidR="000D0BA0" w:rsidRPr="00216FF6">
        <w:rPr>
          <w:sz w:val="24"/>
          <w:szCs w:val="24"/>
        </w:rPr>
        <w:t>who to contact for further information</w:t>
      </w:r>
      <w:r w:rsidR="003D2DBB" w:rsidRPr="00216FF6">
        <w:rPr>
          <w:sz w:val="24"/>
          <w:szCs w:val="24"/>
        </w:rPr>
        <w:t>. This device-equipped street bollard uses</w:t>
      </w:r>
      <w:r w:rsidR="00A521FD" w:rsidRPr="00216FF6">
        <w:rPr>
          <w:sz w:val="24"/>
          <w:szCs w:val="24"/>
        </w:rPr>
        <w:t xml:space="preserve"> sensors to monitor </w:t>
      </w:r>
      <w:r w:rsidR="00EF33C4" w:rsidRPr="00216FF6">
        <w:rPr>
          <w:sz w:val="24"/>
          <w:szCs w:val="24"/>
        </w:rPr>
        <w:t xml:space="preserve">cycle </w:t>
      </w:r>
      <w:r w:rsidR="00A521FD" w:rsidRPr="00216FF6">
        <w:rPr>
          <w:sz w:val="24"/>
          <w:szCs w:val="24"/>
        </w:rPr>
        <w:t>and pedestrian traff</w:t>
      </w:r>
      <w:r w:rsidR="003D2DBB" w:rsidRPr="00216FF6">
        <w:rPr>
          <w:sz w:val="24"/>
          <w:szCs w:val="24"/>
        </w:rPr>
        <w:t>ic to inform transport planning, a function that would pre</w:t>
      </w:r>
      <w:r w:rsidR="00A402DE" w:rsidRPr="00216FF6">
        <w:rPr>
          <w:sz w:val="24"/>
          <w:szCs w:val="24"/>
        </w:rPr>
        <w:t xml:space="preserve">viously have been undertaken </w:t>
      </w:r>
      <w:r w:rsidR="000D0BA0" w:rsidRPr="00216FF6">
        <w:rPr>
          <w:sz w:val="24"/>
          <w:szCs w:val="24"/>
        </w:rPr>
        <w:t xml:space="preserve">more sporadically through </w:t>
      </w:r>
      <w:r w:rsidR="00EF28BF" w:rsidRPr="00216FF6">
        <w:rPr>
          <w:sz w:val="24"/>
          <w:szCs w:val="24"/>
        </w:rPr>
        <w:t>other</w:t>
      </w:r>
      <w:r w:rsidR="000D0BA0" w:rsidRPr="00216FF6">
        <w:rPr>
          <w:sz w:val="24"/>
          <w:szCs w:val="24"/>
        </w:rPr>
        <w:t xml:space="preserve"> means</w:t>
      </w:r>
      <w:r w:rsidR="00A402DE" w:rsidRPr="00216FF6">
        <w:rPr>
          <w:sz w:val="24"/>
          <w:szCs w:val="24"/>
        </w:rPr>
        <w:t>. This functio</w:t>
      </w:r>
      <w:r w:rsidR="000D0BA0" w:rsidRPr="00216FF6">
        <w:rPr>
          <w:sz w:val="24"/>
          <w:szCs w:val="24"/>
        </w:rPr>
        <w:t>nality</w:t>
      </w:r>
      <w:r w:rsidR="00A402DE" w:rsidRPr="00216FF6">
        <w:rPr>
          <w:sz w:val="24"/>
          <w:szCs w:val="24"/>
        </w:rPr>
        <w:t xml:space="preserve"> facilitates </w:t>
      </w:r>
      <w:r w:rsidR="000D0BA0" w:rsidRPr="00216FF6">
        <w:rPr>
          <w:sz w:val="24"/>
          <w:szCs w:val="24"/>
        </w:rPr>
        <w:t>transport</w:t>
      </w:r>
      <w:r w:rsidR="00A402DE" w:rsidRPr="00216FF6">
        <w:rPr>
          <w:sz w:val="24"/>
          <w:szCs w:val="24"/>
        </w:rPr>
        <w:t xml:space="preserve"> management, but the installation </w:t>
      </w:r>
      <w:r w:rsidR="000D0BA0" w:rsidRPr="00216FF6">
        <w:rPr>
          <w:sz w:val="24"/>
          <w:szCs w:val="24"/>
        </w:rPr>
        <w:t>occurred with</w:t>
      </w:r>
      <w:r w:rsidR="00A402DE" w:rsidRPr="00216FF6">
        <w:rPr>
          <w:sz w:val="24"/>
          <w:szCs w:val="24"/>
        </w:rPr>
        <w:t xml:space="preserve"> limited transparency (a press release gave details of the initiative but was not w</w:t>
      </w:r>
      <w:r w:rsidR="000D0BA0" w:rsidRPr="00216FF6">
        <w:rPr>
          <w:sz w:val="24"/>
          <w:szCs w:val="24"/>
        </w:rPr>
        <w:t>idely distributed) precipitating</w:t>
      </w:r>
      <w:r w:rsidR="00A402DE" w:rsidRPr="00216FF6">
        <w:rPr>
          <w:sz w:val="24"/>
          <w:szCs w:val="24"/>
        </w:rPr>
        <w:t xml:space="preserve"> trust issues with</w:t>
      </w:r>
      <w:r w:rsidR="004C1C28" w:rsidRPr="00216FF6">
        <w:rPr>
          <w:sz w:val="24"/>
          <w:szCs w:val="24"/>
        </w:rPr>
        <w:t>in</w:t>
      </w:r>
      <w:r w:rsidR="00A402DE" w:rsidRPr="00216FF6">
        <w:rPr>
          <w:sz w:val="24"/>
          <w:szCs w:val="24"/>
        </w:rPr>
        <w:t xml:space="preserve"> the community.</w:t>
      </w:r>
      <w:r w:rsidR="00C01C12" w:rsidRPr="00216FF6">
        <w:rPr>
          <w:sz w:val="24"/>
          <w:szCs w:val="24"/>
        </w:rPr>
        <w:t xml:space="preserve"> While th</w:t>
      </w:r>
      <w:r w:rsidR="004C1C28" w:rsidRPr="00216FF6">
        <w:rPr>
          <w:sz w:val="24"/>
          <w:szCs w:val="24"/>
        </w:rPr>
        <w:t>is particular</w:t>
      </w:r>
      <w:r w:rsidR="00C01C12" w:rsidRPr="00216FF6">
        <w:rPr>
          <w:sz w:val="24"/>
          <w:szCs w:val="24"/>
        </w:rPr>
        <w:t xml:space="preserve"> deployment does not collect personal information, the generic device housing used could potentially have included a far greater range of sensors, without any visible difference.</w:t>
      </w:r>
    </w:p>
    <w:p w14:paraId="4CE49227" w14:textId="090944AF" w:rsidR="00DF5241" w:rsidRPr="00216FF6" w:rsidRDefault="00DF5241" w:rsidP="00216FF6">
      <w:pPr>
        <w:rPr>
          <w:szCs w:val="24"/>
        </w:rPr>
      </w:pPr>
    </w:p>
    <w:p w14:paraId="77C7B45C" w14:textId="2721D04D" w:rsidR="00DF5241" w:rsidRPr="00216FF6" w:rsidRDefault="003A16F2" w:rsidP="00EC7100">
      <w:pPr>
        <w:jc w:val="center"/>
        <w:rPr>
          <w:szCs w:val="24"/>
        </w:rPr>
      </w:pPr>
      <w:r w:rsidRPr="00216FF6">
        <w:rPr>
          <w:szCs w:val="24"/>
        </w:rPr>
        <w:t>[Insert Fig 1 here]</w:t>
      </w:r>
    </w:p>
    <w:p w14:paraId="74ED7549" w14:textId="5D7053E7" w:rsidR="0060486D" w:rsidRPr="00216FF6" w:rsidRDefault="00DF5241" w:rsidP="00EC7100">
      <w:pPr>
        <w:pStyle w:val="FigureCaption"/>
        <w:rPr>
          <w:sz w:val="24"/>
          <w:szCs w:val="24"/>
        </w:rPr>
      </w:pPr>
      <w:r w:rsidRPr="00216FF6">
        <w:rPr>
          <w:sz w:val="24"/>
          <w:szCs w:val="24"/>
        </w:rPr>
        <w:t xml:space="preserve">Figure 1. </w:t>
      </w:r>
      <w:r w:rsidR="00C34038" w:rsidRPr="00216FF6">
        <w:rPr>
          <w:sz w:val="24"/>
          <w:szCs w:val="24"/>
        </w:rPr>
        <w:t>Sensor enabled pedestrian and cycle tracker</w:t>
      </w:r>
      <w:r w:rsidRPr="00216FF6">
        <w:rPr>
          <w:sz w:val="24"/>
          <w:szCs w:val="24"/>
        </w:rPr>
        <w:t>.</w:t>
      </w:r>
    </w:p>
    <w:p w14:paraId="34F7DA06" w14:textId="16524E1C" w:rsidR="0060486D" w:rsidRPr="00216FF6" w:rsidRDefault="0060486D" w:rsidP="00216FF6">
      <w:pPr>
        <w:pStyle w:val="Text"/>
        <w:jc w:val="left"/>
        <w:rPr>
          <w:sz w:val="24"/>
          <w:szCs w:val="24"/>
        </w:rPr>
      </w:pPr>
    </w:p>
    <w:p w14:paraId="3B92A65A" w14:textId="7D1C9AD7" w:rsidR="00B61472" w:rsidRPr="00216FF6" w:rsidRDefault="00B61472" w:rsidP="00216FF6">
      <w:pPr>
        <w:pStyle w:val="SectionHeading"/>
        <w:jc w:val="left"/>
        <w:outlineLvl w:val="0"/>
        <w:rPr>
          <w:szCs w:val="24"/>
        </w:rPr>
      </w:pPr>
      <w:r w:rsidRPr="00216FF6">
        <w:rPr>
          <w:szCs w:val="24"/>
        </w:rPr>
        <w:t xml:space="preserve">3 </w:t>
      </w:r>
      <w:r w:rsidR="000D11DF">
        <w:rPr>
          <w:szCs w:val="24"/>
        </w:rPr>
        <w:t>Speculative methods for understanding</w:t>
      </w:r>
      <w:r w:rsidR="007912F3">
        <w:rPr>
          <w:szCs w:val="24"/>
        </w:rPr>
        <w:t xml:space="preserve"> opportunities and</w:t>
      </w:r>
      <w:r w:rsidR="000D11DF">
        <w:rPr>
          <w:szCs w:val="24"/>
        </w:rPr>
        <w:t xml:space="preserve"> risk</w:t>
      </w:r>
    </w:p>
    <w:p w14:paraId="71C0EBDA" w14:textId="558D5DC9" w:rsidR="002C77D1" w:rsidRPr="00216FF6" w:rsidRDefault="002C77D1" w:rsidP="00216FF6">
      <w:pPr>
        <w:pStyle w:val="ListParagraph"/>
        <w:keepNext/>
        <w:numPr>
          <w:ilvl w:val="0"/>
          <w:numId w:val="1"/>
        </w:numPr>
        <w:tabs>
          <w:tab w:val="left" w:pos="200"/>
        </w:tabs>
        <w:spacing w:before="240" w:after="60" w:line="260" w:lineRule="exact"/>
        <w:contextualSpacing w:val="0"/>
        <w:rPr>
          <w:b/>
          <w:vanish/>
          <w:szCs w:val="24"/>
        </w:rPr>
      </w:pPr>
    </w:p>
    <w:p w14:paraId="519A446E" w14:textId="77777777" w:rsidR="002C77D1" w:rsidRPr="00216FF6" w:rsidRDefault="002C77D1" w:rsidP="00216FF6">
      <w:pPr>
        <w:pStyle w:val="ListParagraph"/>
        <w:keepNext/>
        <w:numPr>
          <w:ilvl w:val="0"/>
          <w:numId w:val="1"/>
        </w:numPr>
        <w:tabs>
          <w:tab w:val="left" w:pos="200"/>
        </w:tabs>
        <w:spacing w:before="240" w:after="60" w:line="260" w:lineRule="exact"/>
        <w:contextualSpacing w:val="0"/>
        <w:rPr>
          <w:b/>
          <w:vanish/>
          <w:szCs w:val="24"/>
        </w:rPr>
      </w:pPr>
    </w:p>
    <w:p w14:paraId="0193F159" w14:textId="77777777" w:rsidR="002C77D1" w:rsidRPr="00216FF6" w:rsidRDefault="002C77D1" w:rsidP="00216FF6">
      <w:pPr>
        <w:pStyle w:val="ListParagraph"/>
        <w:keepNext/>
        <w:numPr>
          <w:ilvl w:val="0"/>
          <w:numId w:val="1"/>
        </w:numPr>
        <w:tabs>
          <w:tab w:val="left" w:pos="200"/>
        </w:tabs>
        <w:spacing w:before="240" w:after="60" w:line="260" w:lineRule="exact"/>
        <w:contextualSpacing w:val="0"/>
        <w:rPr>
          <w:b/>
          <w:vanish/>
          <w:szCs w:val="24"/>
        </w:rPr>
      </w:pPr>
    </w:p>
    <w:p w14:paraId="32AF09C6" w14:textId="2D303C1D" w:rsidR="0082552A" w:rsidRDefault="0082552A" w:rsidP="00216FF6">
      <w:pPr>
        <w:pStyle w:val="Text"/>
        <w:jc w:val="left"/>
        <w:rPr>
          <w:sz w:val="24"/>
          <w:szCs w:val="24"/>
        </w:rPr>
      </w:pPr>
    </w:p>
    <w:p w14:paraId="403453A0" w14:textId="2695E1AA" w:rsidR="00FA6D85" w:rsidRDefault="00FA6D85" w:rsidP="00216FF6">
      <w:pPr>
        <w:pStyle w:val="Text"/>
        <w:jc w:val="left"/>
        <w:rPr>
          <w:sz w:val="24"/>
          <w:szCs w:val="24"/>
        </w:rPr>
      </w:pPr>
      <w:r>
        <w:rPr>
          <w:sz w:val="24"/>
          <w:szCs w:val="24"/>
        </w:rPr>
        <w:t xml:space="preserve">The bollard described above caused concern in our community of interest, those resident in the Tillydrone region of Aberdeen. </w:t>
      </w:r>
      <w:r w:rsidRPr="00216FF6">
        <w:rPr>
          <w:sz w:val="24"/>
          <w:szCs w:val="24"/>
        </w:rPr>
        <w:t xml:space="preserve">Tillydrone is known to have “a multiplicity of personal and social needs which exclude socially and economically disadvantaged residents from integration in the local community” (Lighthouse, 2018). This region has been designated as a regeneration area by the local council and there have been multiple interventions to benefit citizens and address social needs. </w:t>
      </w:r>
      <w:r w:rsidR="00E93D96">
        <w:rPr>
          <w:sz w:val="24"/>
          <w:szCs w:val="24"/>
        </w:rPr>
        <w:t xml:space="preserve">Such marginalized communities are not always beneficiaries from </w:t>
      </w:r>
      <w:r w:rsidR="00B26FBA">
        <w:rPr>
          <w:sz w:val="24"/>
          <w:szCs w:val="24"/>
        </w:rPr>
        <w:t>new technology implementation (</w:t>
      </w:r>
      <w:proofErr w:type="spellStart"/>
      <w:r w:rsidR="00B26FBA">
        <w:rPr>
          <w:sz w:val="24"/>
          <w:szCs w:val="24"/>
        </w:rPr>
        <w:t>Gurstein</w:t>
      </w:r>
      <w:proofErr w:type="spellEnd"/>
      <w:r w:rsidR="00B26FBA">
        <w:rPr>
          <w:sz w:val="24"/>
          <w:szCs w:val="24"/>
        </w:rPr>
        <w:t>, 2011)</w:t>
      </w:r>
      <w:r>
        <w:rPr>
          <w:sz w:val="24"/>
          <w:szCs w:val="24"/>
        </w:rPr>
        <w:t xml:space="preserve">. When asking ‘who trusts in the smart city,’ the types of people who come to mind as being within the smart city ecosystem (and therefore having varied levels of trust) may not be inclusive of those who live in places such as Tillydrone. </w:t>
      </w:r>
      <w:r w:rsidRPr="00216FF6">
        <w:rPr>
          <w:sz w:val="24"/>
          <w:szCs w:val="24"/>
        </w:rPr>
        <w:t xml:space="preserve">In our initial context-building work, we found that the trust relationship between the community and the local government is multifaceted, with some residents indicating that aspects of the relationship in the past, such as poor management of expectations, have led to mistrust. </w:t>
      </w:r>
      <w:r>
        <w:rPr>
          <w:sz w:val="24"/>
          <w:szCs w:val="24"/>
        </w:rPr>
        <w:t xml:space="preserve">It may be challenging for such communities to have trust in </w:t>
      </w:r>
      <w:r w:rsidR="00CA06D9">
        <w:rPr>
          <w:sz w:val="24"/>
          <w:szCs w:val="24"/>
        </w:rPr>
        <w:t xml:space="preserve">IoT </w:t>
      </w:r>
      <w:r>
        <w:rPr>
          <w:sz w:val="24"/>
          <w:szCs w:val="24"/>
        </w:rPr>
        <w:t>technologies implemented as part of transforming their environment to a smart city when there is not an assumption of trust in public service provision before the city becomes smart.</w:t>
      </w:r>
    </w:p>
    <w:p w14:paraId="642FBF32" w14:textId="77777777" w:rsidR="00FA6D85" w:rsidRDefault="00FA6D85" w:rsidP="00216FF6">
      <w:pPr>
        <w:pStyle w:val="Text"/>
        <w:jc w:val="left"/>
        <w:rPr>
          <w:sz w:val="24"/>
          <w:szCs w:val="24"/>
        </w:rPr>
      </w:pPr>
    </w:p>
    <w:p w14:paraId="2E7EE593" w14:textId="4776373A" w:rsidR="001E0A1E" w:rsidRDefault="00FA6D85" w:rsidP="00216FF6">
      <w:pPr>
        <w:pStyle w:val="Text"/>
        <w:jc w:val="left"/>
        <w:rPr>
          <w:sz w:val="24"/>
          <w:szCs w:val="24"/>
        </w:rPr>
      </w:pPr>
      <w:r>
        <w:rPr>
          <w:sz w:val="24"/>
          <w:szCs w:val="24"/>
        </w:rPr>
        <w:t>The issue in the case of the bollard was not the deployment itself, which had a clear benefit and benign purpose, but the lack of transparency</w:t>
      </w:r>
      <w:r w:rsidR="006B4600">
        <w:rPr>
          <w:sz w:val="24"/>
          <w:szCs w:val="24"/>
        </w:rPr>
        <w:t>,</w:t>
      </w:r>
      <w:r>
        <w:rPr>
          <w:sz w:val="24"/>
          <w:szCs w:val="24"/>
        </w:rPr>
        <w:t xml:space="preserve"> which meant that the public did not have the information necessary to ensure trust. </w:t>
      </w:r>
      <w:r w:rsidR="001E0A1E">
        <w:rPr>
          <w:sz w:val="24"/>
          <w:szCs w:val="24"/>
        </w:rPr>
        <w:t xml:space="preserve">In order to properly interrogate IoT systems which are being deployed in public spaces, it is important for these systems to be transparent. This involves both transparency of the governance processes that has led to their implementation, and for the systems and devices within them to have transparency of function; that it is possible and easy to find out and understand what the devices are intended to do, what they actually do and where accountability lies. </w:t>
      </w:r>
    </w:p>
    <w:p w14:paraId="2DEC3C71" w14:textId="77777777" w:rsidR="001E0A1E" w:rsidRDefault="001E0A1E" w:rsidP="00216FF6">
      <w:pPr>
        <w:pStyle w:val="Text"/>
        <w:jc w:val="left"/>
        <w:rPr>
          <w:sz w:val="24"/>
          <w:szCs w:val="24"/>
        </w:rPr>
      </w:pPr>
    </w:p>
    <w:p w14:paraId="659767A5" w14:textId="2AB4A6E9" w:rsidR="00BC2A1D" w:rsidRPr="00216FF6" w:rsidRDefault="00FA6D85" w:rsidP="00216FF6">
      <w:pPr>
        <w:pStyle w:val="Text"/>
        <w:jc w:val="left"/>
        <w:rPr>
          <w:sz w:val="24"/>
          <w:szCs w:val="24"/>
        </w:rPr>
      </w:pPr>
      <w:r>
        <w:rPr>
          <w:sz w:val="24"/>
          <w:szCs w:val="24"/>
        </w:rPr>
        <w:t>As previously mentioned, there are significant challenges to considering</w:t>
      </w:r>
      <w:r w:rsidR="00100887">
        <w:rPr>
          <w:sz w:val="24"/>
          <w:szCs w:val="24"/>
        </w:rPr>
        <w:t xml:space="preserve"> the future implications </w:t>
      </w:r>
      <w:r w:rsidR="00902943">
        <w:rPr>
          <w:sz w:val="24"/>
          <w:szCs w:val="24"/>
        </w:rPr>
        <w:t xml:space="preserve">of </w:t>
      </w:r>
      <w:r>
        <w:rPr>
          <w:sz w:val="24"/>
          <w:szCs w:val="24"/>
        </w:rPr>
        <w:t>such</w:t>
      </w:r>
      <w:r w:rsidR="00100887">
        <w:rPr>
          <w:sz w:val="24"/>
          <w:szCs w:val="24"/>
        </w:rPr>
        <w:t xml:space="preserve"> novel systems and solutions</w:t>
      </w:r>
      <w:r>
        <w:rPr>
          <w:sz w:val="24"/>
          <w:szCs w:val="24"/>
        </w:rPr>
        <w:t xml:space="preserve"> that involve a wide range of stakeholders and contexts.</w:t>
      </w:r>
      <w:r w:rsidR="00100887">
        <w:rPr>
          <w:sz w:val="24"/>
          <w:szCs w:val="24"/>
        </w:rPr>
        <w:t xml:space="preserve"> </w:t>
      </w:r>
      <w:r>
        <w:rPr>
          <w:sz w:val="24"/>
          <w:szCs w:val="24"/>
        </w:rPr>
        <w:t>We suggest that when considering the design and deployment of such systems it is necessary to incorporate n</w:t>
      </w:r>
      <w:r w:rsidR="00100887">
        <w:rPr>
          <w:sz w:val="24"/>
          <w:szCs w:val="24"/>
        </w:rPr>
        <w:t xml:space="preserve">ew </w:t>
      </w:r>
      <w:r>
        <w:rPr>
          <w:sz w:val="24"/>
          <w:szCs w:val="24"/>
        </w:rPr>
        <w:t xml:space="preserve">speculative </w:t>
      </w:r>
      <w:r w:rsidR="00100887">
        <w:rPr>
          <w:sz w:val="24"/>
          <w:szCs w:val="24"/>
        </w:rPr>
        <w:t>methods</w:t>
      </w:r>
      <w:r>
        <w:rPr>
          <w:sz w:val="24"/>
          <w:szCs w:val="24"/>
        </w:rPr>
        <w:t xml:space="preserve"> which</w:t>
      </w:r>
      <w:r w:rsidR="00100887">
        <w:rPr>
          <w:sz w:val="24"/>
          <w:szCs w:val="24"/>
        </w:rPr>
        <w:t xml:space="preserve"> enable the development of new </w:t>
      </w:r>
      <w:r w:rsidR="00CA06D9">
        <w:rPr>
          <w:sz w:val="24"/>
          <w:szCs w:val="24"/>
        </w:rPr>
        <w:t>understanding</w:t>
      </w:r>
      <w:r>
        <w:rPr>
          <w:sz w:val="24"/>
          <w:szCs w:val="24"/>
        </w:rPr>
        <w:t xml:space="preserve">. This can thus </w:t>
      </w:r>
      <w:r w:rsidR="00100887">
        <w:rPr>
          <w:sz w:val="24"/>
          <w:szCs w:val="24"/>
        </w:rPr>
        <w:t xml:space="preserve">feed into the design of appropriate policy and can keep pace with fast-moving new solutions. </w:t>
      </w:r>
      <w:r w:rsidR="006C230A" w:rsidRPr="00216FF6">
        <w:rPr>
          <w:sz w:val="24"/>
          <w:szCs w:val="24"/>
        </w:rPr>
        <w:t xml:space="preserve">In a series of workshops with members of the </w:t>
      </w:r>
      <w:r w:rsidR="00AF6976" w:rsidRPr="00216FF6">
        <w:rPr>
          <w:sz w:val="24"/>
          <w:szCs w:val="24"/>
        </w:rPr>
        <w:t xml:space="preserve">Tillydrone </w:t>
      </w:r>
      <w:r w:rsidR="006C230A" w:rsidRPr="00216FF6">
        <w:rPr>
          <w:sz w:val="24"/>
          <w:szCs w:val="24"/>
        </w:rPr>
        <w:t xml:space="preserve">community and local service providers, we </w:t>
      </w:r>
      <w:r>
        <w:rPr>
          <w:sz w:val="24"/>
          <w:szCs w:val="24"/>
        </w:rPr>
        <w:t>used a design fiction methodology</w:t>
      </w:r>
      <w:r w:rsidRPr="00216FF6">
        <w:rPr>
          <w:sz w:val="24"/>
          <w:szCs w:val="24"/>
        </w:rPr>
        <w:t xml:space="preserve"> </w:t>
      </w:r>
      <w:r w:rsidR="006C230A" w:rsidRPr="00216FF6">
        <w:rPr>
          <w:sz w:val="24"/>
          <w:szCs w:val="24"/>
        </w:rPr>
        <w:t xml:space="preserve">to interrogate questions </w:t>
      </w:r>
      <w:r w:rsidR="00100887">
        <w:rPr>
          <w:sz w:val="24"/>
          <w:szCs w:val="24"/>
        </w:rPr>
        <w:t>on topics such as</w:t>
      </w:r>
      <w:r w:rsidR="00100887" w:rsidRPr="00216FF6">
        <w:rPr>
          <w:sz w:val="24"/>
          <w:szCs w:val="24"/>
        </w:rPr>
        <w:t xml:space="preserve"> </w:t>
      </w:r>
      <w:r w:rsidR="006C230A" w:rsidRPr="00216FF6">
        <w:rPr>
          <w:sz w:val="24"/>
          <w:szCs w:val="24"/>
        </w:rPr>
        <w:t>data privacy,</w:t>
      </w:r>
      <w:r w:rsidR="008E25CE" w:rsidRPr="00216FF6">
        <w:rPr>
          <w:sz w:val="24"/>
          <w:szCs w:val="24"/>
        </w:rPr>
        <w:t xml:space="preserve"> data governance,</w:t>
      </w:r>
      <w:r w:rsidR="006C230A" w:rsidRPr="00216FF6">
        <w:rPr>
          <w:sz w:val="24"/>
          <w:szCs w:val="24"/>
        </w:rPr>
        <w:t xml:space="preserve"> risk and trust that </w:t>
      </w:r>
      <w:r w:rsidR="006C230A" w:rsidRPr="00216FF6">
        <w:rPr>
          <w:sz w:val="24"/>
          <w:szCs w:val="24"/>
        </w:rPr>
        <w:lastRenderedPageBreak/>
        <w:t xml:space="preserve">may arise through the introduction of public space </w:t>
      </w:r>
      <w:r w:rsidR="00CA06D9">
        <w:rPr>
          <w:sz w:val="24"/>
          <w:szCs w:val="24"/>
        </w:rPr>
        <w:t>IoT</w:t>
      </w:r>
      <w:r w:rsidR="006C230A" w:rsidRPr="00216FF6">
        <w:rPr>
          <w:sz w:val="24"/>
          <w:szCs w:val="24"/>
        </w:rPr>
        <w:t xml:space="preserve"> deployments. </w:t>
      </w:r>
      <w:r w:rsidR="009E0D15">
        <w:rPr>
          <w:sz w:val="24"/>
          <w:szCs w:val="24"/>
        </w:rPr>
        <w:t xml:space="preserve">Design fiction involves the design of </w:t>
      </w:r>
      <w:r w:rsidR="001947A4" w:rsidRPr="00216FF6">
        <w:rPr>
          <w:sz w:val="24"/>
          <w:szCs w:val="24"/>
        </w:rPr>
        <w:t>‘</w:t>
      </w:r>
      <w:proofErr w:type="spellStart"/>
      <w:r w:rsidR="006C230A" w:rsidRPr="00216FF6">
        <w:rPr>
          <w:sz w:val="24"/>
          <w:szCs w:val="24"/>
        </w:rPr>
        <w:t>diagetic</w:t>
      </w:r>
      <w:proofErr w:type="spellEnd"/>
      <w:r w:rsidR="006C230A" w:rsidRPr="00216FF6">
        <w:rPr>
          <w:sz w:val="24"/>
          <w:szCs w:val="24"/>
        </w:rPr>
        <w:t xml:space="preserve"> prototypes</w:t>
      </w:r>
      <w:r w:rsidR="001947A4" w:rsidRPr="00216FF6">
        <w:rPr>
          <w:sz w:val="24"/>
          <w:szCs w:val="24"/>
        </w:rPr>
        <w:t>’</w:t>
      </w:r>
      <w:r w:rsidR="008641A4" w:rsidRPr="00216FF6">
        <w:rPr>
          <w:sz w:val="24"/>
          <w:szCs w:val="24"/>
        </w:rPr>
        <w:t xml:space="preserve"> (Bosch, 2012)</w:t>
      </w:r>
      <w:r w:rsidR="001947A4" w:rsidRPr="00216FF6">
        <w:rPr>
          <w:sz w:val="24"/>
          <w:szCs w:val="24"/>
        </w:rPr>
        <w:t>:</w:t>
      </w:r>
      <w:r w:rsidR="006C230A" w:rsidRPr="00216FF6">
        <w:rPr>
          <w:sz w:val="24"/>
          <w:szCs w:val="24"/>
        </w:rPr>
        <w:t xml:space="preserve"> tangible objects </w:t>
      </w:r>
      <w:r w:rsidR="001947A4" w:rsidRPr="00216FF6">
        <w:rPr>
          <w:sz w:val="24"/>
          <w:szCs w:val="24"/>
        </w:rPr>
        <w:t>which are created to depict</w:t>
      </w:r>
      <w:r w:rsidR="006C230A" w:rsidRPr="00216FF6">
        <w:rPr>
          <w:sz w:val="24"/>
          <w:szCs w:val="24"/>
        </w:rPr>
        <w:t xml:space="preserve"> fictional </w:t>
      </w:r>
      <w:r w:rsidR="001947A4" w:rsidRPr="00216FF6">
        <w:rPr>
          <w:sz w:val="24"/>
          <w:szCs w:val="24"/>
        </w:rPr>
        <w:t xml:space="preserve">futures or </w:t>
      </w:r>
      <w:r w:rsidR="006C230A" w:rsidRPr="00216FF6">
        <w:rPr>
          <w:sz w:val="24"/>
          <w:szCs w:val="24"/>
        </w:rPr>
        <w:t>alternate presents</w:t>
      </w:r>
      <w:r w:rsidR="009E0D15">
        <w:rPr>
          <w:sz w:val="24"/>
          <w:szCs w:val="24"/>
        </w:rPr>
        <w:t>. In this case, the design fictions represented</w:t>
      </w:r>
      <w:r w:rsidR="001947A4" w:rsidRPr="00216FF6">
        <w:rPr>
          <w:sz w:val="24"/>
          <w:szCs w:val="24"/>
        </w:rPr>
        <w:t xml:space="preserve"> </w:t>
      </w:r>
      <w:r w:rsidR="009E0D15">
        <w:rPr>
          <w:sz w:val="24"/>
          <w:szCs w:val="24"/>
        </w:rPr>
        <w:t xml:space="preserve">a version of Tillydrone </w:t>
      </w:r>
      <w:r w:rsidR="006C230A" w:rsidRPr="00216FF6">
        <w:rPr>
          <w:sz w:val="24"/>
          <w:szCs w:val="24"/>
        </w:rPr>
        <w:t xml:space="preserve">in which IoT deployments are </w:t>
      </w:r>
      <w:r w:rsidR="009E0D15">
        <w:rPr>
          <w:sz w:val="24"/>
          <w:szCs w:val="24"/>
        </w:rPr>
        <w:t xml:space="preserve">being </w:t>
      </w:r>
      <w:r w:rsidR="006C230A" w:rsidRPr="00216FF6">
        <w:rPr>
          <w:sz w:val="24"/>
          <w:szCs w:val="24"/>
        </w:rPr>
        <w:t>deployed as part of public infrastructure</w:t>
      </w:r>
      <w:r w:rsidR="00100887">
        <w:rPr>
          <w:sz w:val="24"/>
          <w:szCs w:val="24"/>
        </w:rPr>
        <w:t xml:space="preserve">, specifically three different scenarios of waste management using distributed IoT solutions with associated design fiction prototype objects. </w:t>
      </w:r>
      <w:r w:rsidR="007D5697" w:rsidRPr="00216FF6">
        <w:rPr>
          <w:sz w:val="24"/>
          <w:szCs w:val="24"/>
        </w:rPr>
        <w:t xml:space="preserve">Each of these acted as an ‘entry point’ to a </w:t>
      </w:r>
      <w:r w:rsidR="00EF2704" w:rsidRPr="00216FF6">
        <w:rPr>
          <w:sz w:val="24"/>
          <w:szCs w:val="24"/>
        </w:rPr>
        <w:t>worldbuilding scenario constructed by the project team. For example, one scenario envisioned the use of smart waste bins deployed by the local council in residential high-rise buildings</w:t>
      </w:r>
      <w:r w:rsidR="00902943">
        <w:rPr>
          <w:sz w:val="24"/>
          <w:szCs w:val="24"/>
        </w:rPr>
        <w:t>,</w:t>
      </w:r>
      <w:r w:rsidR="00EF2704" w:rsidRPr="00216FF6">
        <w:rPr>
          <w:sz w:val="24"/>
          <w:szCs w:val="24"/>
        </w:rPr>
        <w:t xml:space="preserve"> which residents </w:t>
      </w:r>
      <w:r w:rsidR="00902943">
        <w:rPr>
          <w:sz w:val="24"/>
          <w:szCs w:val="24"/>
        </w:rPr>
        <w:t xml:space="preserve">would </w:t>
      </w:r>
      <w:r w:rsidR="00EF2704" w:rsidRPr="00216FF6">
        <w:rPr>
          <w:sz w:val="24"/>
          <w:szCs w:val="24"/>
        </w:rPr>
        <w:t>a</w:t>
      </w:r>
      <w:r w:rsidR="003967C7" w:rsidRPr="00216FF6">
        <w:rPr>
          <w:sz w:val="24"/>
          <w:szCs w:val="24"/>
        </w:rPr>
        <w:t xml:space="preserve">ccess through use of </w:t>
      </w:r>
      <w:r w:rsidR="00B7100B" w:rsidRPr="00216FF6">
        <w:rPr>
          <w:sz w:val="24"/>
          <w:szCs w:val="24"/>
        </w:rPr>
        <w:t xml:space="preserve">a </w:t>
      </w:r>
      <w:r w:rsidR="00FB7CBA" w:rsidRPr="00216FF6">
        <w:rPr>
          <w:sz w:val="24"/>
          <w:szCs w:val="24"/>
        </w:rPr>
        <w:t>contactless smart</w:t>
      </w:r>
      <w:r w:rsidR="00EF2704" w:rsidRPr="00216FF6">
        <w:rPr>
          <w:sz w:val="24"/>
          <w:szCs w:val="24"/>
        </w:rPr>
        <w:t xml:space="preserve"> card. Materials presented to workshop participants included said card, information leaflets from the council which explained the function of the bins, and a letter to residents informing them of the roll-out process. What was not represented in these materials, despite being developed as part of the scenario, was the data flow </w:t>
      </w:r>
      <w:r w:rsidR="00021A23" w:rsidRPr="00216FF6">
        <w:rPr>
          <w:sz w:val="24"/>
          <w:szCs w:val="24"/>
        </w:rPr>
        <w:t>(</w:t>
      </w:r>
      <w:r w:rsidR="00755432" w:rsidRPr="00216FF6">
        <w:rPr>
          <w:sz w:val="24"/>
          <w:szCs w:val="24"/>
        </w:rPr>
        <w:t>i.e.</w:t>
      </w:r>
      <w:r w:rsidR="00021A23" w:rsidRPr="00216FF6">
        <w:rPr>
          <w:sz w:val="24"/>
          <w:szCs w:val="24"/>
        </w:rPr>
        <w:t xml:space="preserve"> the nature of data collected and how it moved through various parts of the system) </w:t>
      </w:r>
      <w:r w:rsidR="00EF2704" w:rsidRPr="00216FF6">
        <w:rPr>
          <w:sz w:val="24"/>
          <w:szCs w:val="24"/>
        </w:rPr>
        <w:t>and governance</w:t>
      </w:r>
      <w:r w:rsidR="00021A23" w:rsidRPr="00216FF6">
        <w:rPr>
          <w:sz w:val="24"/>
          <w:szCs w:val="24"/>
        </w:rPr>
        <w:t xml:space="preserve"> (e.g. actors involved, decision making processes and intent)</w:t>
      </w:r>
      <w:r w:rsidR="00EF2704" w:rsidRPr="00216FF6">
        <w:rPr>
          <w:sz w:val="24"/>
          <w:szCs w:val="24"/>
        </w:rPr>
        <w:t>. This included</w:t>
      </w:r>
      <w:r w:rsidR="00902943">
        <w:rPr>
          <w:sz w:val="24"/>
          <w:szCs w:val="24"/>
        </w:rPr>
        <w:t>,</w:t>
      </w:r>
      <w:r w:rsidR="00EF2704" w:rsidRPr="00216FF6">
        <w:rPr>
          <w:sz w:val="24"/>
          <w:szCs w:val="24"/>
        </w:rPr>
        <w:t xml:space="preserve"> </w:t>
      </w:r>
      <w:r w:rsidR="00755432" w:rsidRPr="00216FF6">
        <w:rPr>
          <w:sz w:val="24"/>
          <w:szCs w:val="24"/>
        </w:rPr>
        <w:t>for example</w:t>
      </w:r>
      <w:r w:rsidR="00902943">
        <w:rPr>
          <w:sz w:val="24"/>
          <w:szCs w:val="24"/>
        </w:rPr>
        <w:t>,</w:t>
      </w:r>
      <w:r w:rsidR="00755432" w:rsidRPr="00216FF6">
        <w:rPr>
          <w:sz w:val="24"/>
          <w:szCs w:val="24"/>
        </w:rPr>
        <w:t xml:space="preserve"> </w:t>
      </w:r>
      <w:r w:rsidR="00D27301" w:rsidRPr="00216FF6">
        <w:rPr>
          <w:sz w:val="24"/>
          <w:szCs w:val="24"/>
        </w:rPr>
        <w:t xml:space="preserve">the detail </w:t>
      </w:r>
      <w:r w:rsidR="00EF2704" w:rsidRPr="00216FF6">
        <w:rPr>
          <w:sz w:val="24"/>
          <w:szCs w:val="24"/>
        </w:rPr>
        <w:t>that bins were</w:t>
      </w:r>
      <w:r w:rsidR="003967C7" w:rsidRPr="00216FF6">
        <w:rPr>
          <w:sz w:val="24"/>
          <w:szCs w:val="24"/>
        </w:rPr>
        <w:t xml:space="preserve"> </w:t>
      </w:r>
      <w:r w:rsidR="00EF2704" w:rsidRPr="00216FF6">
        <w:rPr>
          <w:sz w:val="24"/>
          <w:szCs w:val="24"/>
        </w:rPr>
        <w:t>purchased by the council from</w:t>
      </w:r>
      <w:r w:rsidR="00B7100B" w:rsidRPr="00216FF6">
        <w:rPr>
          <w:sz w:val="24"/>
          <w:szCs w:val="24"/>
        </w:rPr>
        <w:t xml:space="preserve"> a commercial company, ‘</w:t>
      </w:r>
      <w:proofErr w:type="spellStart"/>
      <w:r w:rsidR="00B7100B" w:rsidRPr="00216FF6">
        <w:rPr>
          <w:sz w:val="24"/>
          <w:szCs w:val="24"/>
        </w:rPr>
        <w:t>BinTech</w:t>
      </w:r>
      <w:proofErr w:type="spellEnd"/>
      <w:r w:rsidR="00EF2704" w:rsidRPr="00216FF6">
        <w:rPr>
          <w:sz w:val="24"/>
          <w:szCs w:val="24"/>
        </w:rPr>
        <w:t>’</w:t>
      </w:r>
      <w:r w:rsidR="00755432" w:rsidRPr="00216FF6">
        <w:rPr>
          <w:sz w:val="24"/>
          <w:szCs w:val="24"/>
        </w:rPr>
        <w:t>,</w:t>
      </w:r>
      <w:r w:rsidR="00EF2704" w:rsidRPr="00216FF6">
        <w:rPr>
          <w:sz w:val="24"/>
          <w:szCs w:val="24"/>
        </w:rPr>
        <w:t xml:space="preserve"> who provided access</w:t>
      </w:r>
      <w:r w:rsidR="00FB7CBA" w:rsidRPr="00216FF6">
        <w:rPr>
          <w:sz w:val="24"/>
          <w:szCs w:val="24"/>
        </w:rPr>
        <w:t xml:space="preserve"> to </w:t>
      </w:r>
      <w:r w:rsidR="00AF189D" w:rsidRPr="00216FF6">
        <w:rPr>
          <w:sz w:val="24"/>
          <w:szCs w:val="24"/>
        </w:rPr>
        <w:t>result</w:t>
      </w:r>
      <w:r w:rsidR="00902943">
        <w:rPr>
          <w:sz w:val="24"/>
          <w:szCs w:val="24"/>
        </w:rPr>
        <w:t>ing</w:t>
      </w:r>
      <w:r w:rsidR="00AF189D" w:rsidRPr="00216FF6">
        <w:rPr>
          <w:sz w:val="24"/>
          <w:szCs w:val="24"/>
        </w:rPr>
        <w:t xml:space="preserve"> data via</w:t>
      </w:r>
      <w:r w:rsidR="00EF2704" w:rsidRPr="00216FF6">
        <w:rPr>
          <w:sz w:val="24"/>
          <w:szCs w:val="24"/>
        </w:rPr>
        <w:t xml:space="preserve"> a management dashboard</w:t>
      </w:r>
      <w:r w:rsidR="00AF189D" w:rsidRPr="00216FF6">
        <w:rPr>
          <w:sz w:val="24"/>
          <w:szCs w:val="24"/>
        </w:rPr>
        <w:t>,</w:t>
      </w:r>
      <w:r w:rsidR="00EF2704" w:rsidRPr="00216FF6">
        <w:rPr>
          <w:sz w:val="24"/>
          <w:szCs w:val="24"/>
        </w:rPr>
        <w:t xml:space="preserve"> but retained ownership.</w:t>
      </w:r>
      <w:r w:rsidR="00B7100B" w:rsidRPr="00216FF6">
        <w:rPr>
          <w:sz w:val="24"/>
          <w:szCs w:val="24"/>
        </w:rPr>
        <w:t xml:space="preserve"> This additional information was presented in the form of </w:t>
      </w:r>
      <w:r w:rsidR="00BC2A1D" w:rsidRPr="00216FF6">
        <w:rPr>
          <w:sz w:val="24"/>
          <w:szCs w:val="24"/>
        </w:rPr>
        <w:t xml:space="preserve">data management maps </w:t>
      </w:r>
      <w:r w:rsidR="00B7100B" w:rsidRPr="00216FF6">
        <w:rPr>
          <w:sz w:val="24"/>
          <w:szCs w:val="24"/>
        </w:rPr>
        <w:t>at a later stage of</w:t>
      </w:r>
      <w:r w:rsidR="00BC2A1D" w:rsidRPr="00216FF6">
        <w:rPr>
          <w:sz w:val="24"/>
          <w:szCs w:val="24"/>
        </w:rPr>
        <w:t xml:space="preserve"> the workshop</w:t>
      </w:r>
      <w:r w:rsidR="009958B8">
        <w:rPr>
          <w:sz w:val="24"/>
          <w:szCs w:val="24"/>
        </w:rPr>
        <w:t>, and was of some surprise to the participants who often found it did not match their initial assumptions.</w:t>
      </w:r>
    </w:p>
    <w:p w14:paraId="1B2E96F4" w14:textId="26A92AD1" w:rsidR="00BC2A1D" w:rsidRPr="00216FF6" w:rsidRDefault="00BC2A1D" w:rsidP="00216FF6">
      <w:pPr>
        <w:pStyle w:val="Text"/>
        <w:jc w:val="left"/>
        <w:rPr>
          <w:i/>
          <w:sz w:val="24"/>
          <w:szCs w:val="24"/>
        </w:rPr>
      </w:pPr>
    </w:p>
    <w:p w14:paraId="3F7EF981" w14:textId="037AF8A7" w:rsidR="00182D0A" w:rsidRPr="00216FF6" w:rsidRDefault="009C2044" w:rsidP="00216FF6">
      <w:pPr>
        <w:pStyle w:val="Text"/>
        <w:jc w:val="left"/>
        <w:rPr>
          <w:i/>
          <w:sz w:val="24"/>
          <w:szCs w:val="24"/>
        </w:rPr>
      </w:pPr>
      <w:r w:rsidRPr="00216FF6">
        <w:rPr>
          <w:sz w:val="24"/>
          <w:szCs w:val="24"/>
        </w:rPr>
        <w:t>By presenting materials representative of the usual levels of public communication around such deployments (e.g. press releases and informational leaflets) we aimed to examine the frequent lack of transparency evident in these systems and the misunderstandings and assumptions which might therefore take place</w:t>
      </w:r>
      <w:r w:rsidR="00100887">
        <w:rPr>
          <w:sz w:val="24"/>
          <w:szCs w:val="24"/>
        </w:rPr>
        <w:t>.</w:t>
      </w:r>
    </w:p>
    <w:p w14:paraId="4DBFDDB7" w14:textId="77777777" w:rsidR="003A16F2" w:rsidRPr="00216FF6" w:rsidRDefault="003A16F2" w:rsidP="00216FF6">
      <w:pPr>
        <w:rPr>
          <w:szCs w:val="24"/>
        </w:rPr>
      </w:pPr>
    </w:p>
    <w:p w14:paraId="5C0DFAC0" w14:textId="4CD9F6B2" w:rsidR="009C2044" w:rsidRPr="00216FF6" w:rsidRDefault="003A16F2" w:rsidP="00EC7100">
      <w:pPr>
        <w:jc w:val="center"/>
        <w:rPr>
          <w:szCs w:val="24"/>
        </w:rPr>
      </w:pPr>
      <w:r w:rsidRPr="00216FF6">
        <w:rPr>
          <w:szCs w:val="24"/>
        </w:rPr>
        <w:t>[Insert Fig 2 here]</w:t>
      </w:r>
    </w:p>
    <w:p w14:paraId="3992D48C" w14:textId="77777777" w:rsidR="009C2044" w:rsidRPr="00216FF6" w:rsidRDefault="009C2044" w:rsidP="00EC7100">
      <w:pPr>
        <w:pStyle w:val="Text"/>
        <w:jc w:val="center"/>
        <w:rPr>
          <w:i/>
          <w:sz w:val="24"/>
          <w:szCs w:val="24"/>
        </w:rPr>
      </w:pPr>
    </w:p>
    <w:p w14:paraId="369882F5" w14:textId="46A55E4A" w:rsidR="007D5697" w:rsidRPr="00216FF6" w:rsidRDefault="007D5697" w:rsidP="00EC7100">
      <w:pPr>
        <w:pStyle w:val="Text"/>
        <w:jc w:val="center"/>
        <w:rPr>
          <w:i/>
          <w:sz w:val="24"/>
          <w:szCs w:val="24"/>
        </w:rPr>
      </w:pPr>
      <w:r w:rsidRPr="00216FF6">
        <w:rPr>
          <w:i/>
          <w:sz w:val="24"/>
          <w:szCs w:val="24"/>
        </w:rPr>
        <w:t>Figure 2. Design fiction materials.</w:t>
      </w:r>
    </w:p>
    <w:p w14:paraId="0912F163" w14:textId="0FA80EF8" w:rsidR="002C77D1" w:rsidRPr="00216FF6" w:rsidRDefault="002C77D1" w:rsidP="00216FF6">
      <w:pPr>
        <w:pStyle w:val="Text"/>
        <w:jc w:val="left"/>
        <w:rPr>
          <w:sz w:val="24"/>
          <w:szCs w:val="24"/>
        </w:rPr>
      </w:pPr>
    </w:p>
    <w:p w14:paraId="6F2D92D4" w14:textId="361080FE" w:rsidR="007912F3" w:rsidRPr="00216FF6" w:rsidRDefault="007912F3" w:rsidP="007912F3">
      <w:pPr>
        <w:pStyle w:val="SectionHeading"/>
        <w:jc w:val="left"/>
        <w:outlineLvl w:val="0"/>
        <w:rPr>
          <w:szCs w:val="24"/>
        </w:rPr>
      </w:pPr>
      <w:r>
        <w:rPr>
          <w:szCs w:val="24"/>
        </w:rPr>
        <w:t>4</w:t>
      </w:r>
      <w:r w:rsidRPr="00216FF6">
        <w:rPr>
          <w:szCs w:val="24"/>
        </w:rPr>
        <w:t xml:space="preserve"> </w:t>
      </w:r>
      <w:r w:rsidR="009E15F3">
        <w:rPr>
          <w:szCs w:val="24"/>
        </w:rPr>
        <w:t>Transparency and agency</w:t>
      </w:r>
    </w:p>
    <w:p w14:paraId="4266D271" w14:textId="77777777" w:rsidR="007912F3" w:rsidRPr="00216FF6" w:rsidRDefault="007912F3" w:rsidP="007912F3">
      <w:pPr>
        <w:pStyle w:val="ListParagraph"/>
        <w:keepNext/>
        <w:numPr>
          <w:ilvl w:val="0"/>
          <w:numId w:val="1"/>
        </w:numPr>
        <w:tabs>
          <w:tab w:val="left" w:pos="200"/>
        </w:tabs>
        <w:spacing w:before="240" w:after="60" w:line="260" w:lineRule="exact"/>
        <w:contextualSpacing w:val="0"/>
        <w:rPr>
          <w:b/>
          <w:vanish/>
          <w:szCs w:val="24"/>
        </w:rPr>
      </w:pPr>
    </w:p>
    <w:p w14:paraId="7DA4039A" w14:textId="77777777" w:rsidR="007912F3" w:rsidRPr="00216FF6" w:rsidRDefault="007912F3" w:rsidP="007912F3">
      <w:pPr>
        <w:pStyle w:val="ListParagraph"/>
        <w:keepNext/>
        <w:numPr>
          <w:ilvl w:val="0"/>
          <w:numId w:val="1"/>
        </w:numPr>
        <w:tabs>
          <w:tab w:val="left" w:pos="200"/>
        </w:tabs>
        <w:spacing w:before="240" w:after="60" w:line="260" w:lineRule="exact"/>
        <w:contextualSpacing w:val="0"/>
        <w:rPr>
          <w:b/>
          <w:vanish/>
          <w:szCs w:val="24"/>
        </w:rPr>
      </w:pPr>
    </w:p>
    <w:p w14:paraId="182B20E3" w14:textId="77777777" w:rsidR="007912F3" w:rsidRPr="00216FF6" w:rsidRDefault="007912F3" w:rsidP="007912F3">
      <w:pPr>
        <w:pStyle w:val="ListParagraph"/>
        <w:keepNext/>
        <w:numPr>
          <w:ilvl w:val="0"/>
          <w:numId w:val="1"/>
        </w:numPr>
        <w:tabs>
          <w:tab w:val="left" w:pos="200"/>
        </w:tabs>
        <w:spacing w:before="240" w:after="60" w:line="260" w:lineRule="exact"/>
        <w:contextualSpacing w:val="0"/>
        <w:rPr>
          <w:b/>
          <w:vanish/>
          <w:szCs w:val="24"/>
        </w:rPr>
      </w:pPr>
    </w:p>
    <w:p w14:paraId="205324E7" w14:textId="77777777" w:rsidR="007912F3" w:rsidRDefault="007912F3" w:rsidP="007912F3">
      <w:pPr>
        <w:pStyle w:val="Text"/>
        <w:jc w:val="left"/>
        <w:rPr>
          <w:sz w:val="24"/>
          <w:szCs w:val="24"/>
        </w:rPr>
      </w:pPr>
    </w:p>
    <w:p w14:paraId="30BB75F4" w14:textId="6FD8B921" w:rsidR="007912F3" w:rsidRPr="00216FF6" w:rsidRDefault="00E47987" w:rsidP="007912F3">
      <w:pPr>
        <w:pStyle w:val="Text"/>
        <w:jc w:val="left"/>
        <w:rPr>
          <w:sz w:val="24"/>
          <w:szCs w:val="24"/>
        </w:rPr>
      </w:pPr>
      <w:r>
        <w:rPr>
          <w:sz w:val="24"/>
          <w:szCs w:val="24"/>
        </w:rPr>
        <w:t xml:space="preserve">When </w:t>
      </w:r>
      <w:r w:rsidR="007912F3">
        <w:rPr>
          <w:sz w:val="24"/>
          <w:szCs w:val="24"/>
        </w:rPr>
        <w:t xml:space="preserve">initially presenting our scenarios and objects to the participants, we found a range of attitudes towards these technological solutions. </w:t>
      </w:r>
      <w:r w:rsidR="007912F3" w:rsidRPr="00216FF6">
        <w:rPr>
          <w:sz w:val="24"/>
          <w:szCs w:val="24"/>
        </w:rPr>
        <w:t>Many participants were initially positive when introduced to these technologies, which were designed to solve community challenges such as littering and waste management. However, the workshop questions prompted participants to question aspects such as privacy and value, and to consider more carefully the identity of the various actors involved, the nature of the data collected and, when revealed, the data management pathways. Through this process they highlighted potential risks which had not previously been considered and were more cautious about their approval for such deployments.</w:t>
      </w:r>
      <w:r w:rsidR="007912F3">
        <w:rPr>
          <w:sz w:val="24"/>
          <w:szCs w:val="24"/>
        </w:rPr>
        <w:t xml:space="preserve"> By talking through aspects of the systems and </w:t>
      </w:r>
      <w:r>
        <w:rPr>
          <w:sz w:val="24"/>
          <w:szCs w:val="24"/>
        </w:rPr>
        <w:t xml:space="preserve">receiving </w:t>
      </w:r>
      <w:r w:rsidR="007912F3">
        <w:rPr>
          <w:sz w:val="24"/>
          <w:szCs w:val="24"/>
        </w:rPr>
        <w:t>promp</w:t>
      </w:r>
      <w:r>
        <w:rPr>
          <w:sz w:val="24"/>
          <w:szCs w:val="24"/>
        </w:rPr>
        <w:t>ts</w:t>
      </w:r>
      <w:r w:rsidR="007912F3">
        <w:rPr>
          <w:sz w:val="24"/>
          <w:szCs w:val="24"/>
        </w:rPr>
        <w:t xml:space="preserve"> </w:t>
      </w:r>
      <w:r>
        <w:rPr>
          <w:sz w:val="24"/>
          <w:szCs w:val="24"/>
        </w:rPr>
        <w:t xml:space="preserve">regarding </w:t>
      </w:r>
      <w:r w:rsidR="007912F3">
        <w:rPr>
          <w:sz w:val="24"/>
          <w:szCs w:val="24"/>
        </w:rPr>
        <w:t xml:space="preserve">aspects such as data management and governance, various potential risks emerged which they had not considered at the outset. </w:t>
      </w:r>
      <w:r w:rsidR="007912F3" w:rsidRPr="00216FF6">
        <w:rPr>
          <w:sz w:val="24"/>
          <w:szCs w:val="24"/>
        </w:rPr>
        <w:t>Many participant concerns related to issues of transparency and agency. Although there was no immediate distrust of the deployments, or those putting them in place, there was concern over the idea that they may be happening without residents’ knowledge or opportunity for input.</w:t>
      </w:r>
      <w:r w:rsidR="007912F3">
        <w:rPr>
          <w:sz w:val="24"/>
          <w:szCs w:val="24"/>
        </w:rPr>
        <w:t xml:space="preserve"> One participant commented:</w:t>
      </w:r>
      <w:r w:rsidR="007912F3" w:rsidRPr="00216FF6">
        <w:rPr>
          <w:sz w:val="24"/>
          <w:szCs w:val="24"/>
        </w:rPr>
        <w:t xml:space="preserve"> </w:t>
      </w:r>
      <w:r w:rsidR="007912F3" w:rsidRPr="00F34378">
        <w:rPr>
          <w:i/>
          <w:sz w:val="24"/>
          <w:szCs w:val="24"/>
        </w:rPr>
        <w:t>‘It doesn’t look like they asked anybody – the council are saying, we’re doing this’</w:t>
      </w:r>
      <w:r w:rsidR="007912F3">
        <w:rPr>
          <w:i/>
          <w:sz w:val="24"/>
          <w:szCs w:val="24"/>
        </w:rPr>
        <w:t xml:space="preserve">. </w:t>
      </w:r>
      <w:r w:rsidR="007912F3">
        <w:rPr>
          <w:sz w:val="24"/>
          <w:szCs w:val="24"/>
        </w:rPr>
        <w:t>No opportunities were presented for opting out of a deployment that could potentially have implications for the lives of residents.</w:t>
      </w:r>
    </w:p>
    <w:p w14:paraId="22A8E8C9" w14:textId="77777777" w:rsidR="007912F3" w:rsidRPr="00216FF6" w:rsidRDefault="007912F3" w:rsidP="007912F3">
      <w:pPr>
        <w:pStyle w:val="Text"/>
        <w:jc w:val="left"/>
        <w:rPr>
          <w:color w:val="FF0000"/>
          <w:sz w:val="24"/>
          <w:szCs w:val="24"/>
        </w:rPr>
      </w:pPr>
    </w:p>
    <w:p w14:paraId="44F72403" w14:textId="1E2E0EEB" w:rsidR="007912F3" w:rsidRPr="00216FF6" w:rsidRDefault="007912F3" w:rsidP="007912F3">
      <w:pPr>
        <w:pStyle w:val="Text"/>
        <w:jc w:val="left"/>
        <w:rPr>
          <w:sz w:val="24"/>
          <w:szCs w:val="24"/>
        </w:rPr>
      </w:pPr>
      <w:r>
        <w:rPr>
          <w:sz w:val="24"/>
          <w:szCs w:val="24"/>
        </w:rPr>
        <w:t>This notion of agency was recurrent,</w:t>
      </w:r>
      <w:r w:rsidRPr="00216FF6">
        <w:rPr>
          <w:sz w:val="24"/>
          <w:szCs w:val="24"/>
        </w:rPr>
        <w:t xml:space="preserve"> particularly given that some of the design fiction scenarios included devices</w:t>
      </w:r>
      <w:r w:rsidR="00E47987">
        <w:rPr>
          <w:sz w:val="24"/>
          <w:szCs w:val="24"/>
        </w:rPr>
        <w:t xml:space="preserve"> </w:t>
      </w:r>
      <w:r w:rsidR="00E47987" w:rsidRPr="00216FF6">
        <w:rPr>
          <w:sz w:val="24"/>
          <w:szCs w:val="24"/>
        </w:rPr>
        <w:t>that gathered data from passers-by</w:t>
      </w:r>
      <w:r w:rsidR="00E47987">
        <w:rPr>
          <w:sz w:val="24"/>
          <w:szCs w:val="24"/>
        </w:rPr>
        <w:t xml:space="preserve"> </w:t>
      </w:r>
      <w:r w:rsidR="0014788A">
        <w:rPr>
          <w:sz w:val="24"/>
          <w:szCs w:val="24"/>
        </w:rPr>
        <w:t xml:space="preserve">and </w:t>
      </w:r>
      <w:r w:rsidR="00E47987">
        <w:rPr>
          <w:sz w:val="24"/>
          <w:szCs w:val="24"/>
        </w:rPr>
        <w:t>would be</w:t>
      </w:r>
      <w:r w:rsidRPr="00216FF6">
        <w:rPr>
          <w:sz w:val="24"/>
          <w:szCs w:val="24"/>
        </w:rPr>
        <w:t xml:space="preserve"> deployed in public spaces. The participants noted that it </w:t>
      </w:r>
      <w:r>
        <w:rPr>
          <w:sz w:val="24"/>
          <w:szCs w:val="24"/>
        </w:rPr>
        <w:t>may</w:t>
      </w:r>
      <w:r w:rsidRPr="00216FF6">
        <w:rPr>
          <w:sz w:val="24"/>
          <w:szCs w:val="24"/>
        </w:rPr>
        <w:t xml:space="preserve"> not </w:t>
      </w:r>
      <w:r>
        <w:rPr>
          <w:sz w:val="24"/>
          <w:szCs w:val="24"/>
        </w:rPr>
        <w:t xml:space="preserve">be </w:t>
      </w:r>
      <w:r w:rsidRPr="00216FF6">
        <w:rPr>
          <w:sz w:val="24"/>
          <w:szCs w:val="24"/>
        </w:rPr>
        <w:t>possible to opt out of such a system, particularly if deployed in a place that you move through frequently, or in which</w:t>
      </w:r>
      <w:r w:rsidR="00E47987">
        <w:rPr>
          <w:sz w:val="24"/>
          <w:szCs w:val="24"/>
        </w:rPr>
        <w:t xml:space="preserve"> </w:t>
      </w:r>
      <w:r w:rsidR="00E47987" w:rsidRPr="00216FF6">
        <w:rPr>
          <w:sz w:val="24"/>
          <w:szCs w:val="24"/>
        </w:rPr>
        <w:t>you are not aware of its presence at all</w:t>
      </w:r>
      <w:r w:rsidRPr="00216FF6">
        <w:rPr>
          <w:sz w:val="24"/>
          <w:szCs w:val="24"/>
        </w:rPr>
        <w:t xml:space="preserve"> due to lack of appropriate notification materials such as signage.</w:t>
      </w:r>
      <w:r>
        <w:rPr>
          <w:sz w:val="24"/>
          <w:szCs w:val="24"/>
        </w:rPr>
        <w:t xml:space="preserve"> </w:t>
      </w:r>
      <w:r w:rsidR="00F93690">
        <w:rPr>
          <w:sz w:val="24"/>
          <w:szCs w:val="24"/>
        </w:rPr>
        <w:t>Participants also raised</w:t>
      </w:r>
      <w:r w:rsidRPr="00216FF6">
        <w:rPr>
          <w:sz w:val="24"/>
          <w:szCs w:val="24"/>
        </w:rPr>
        <w:t xml:space="preserve"> concerns </w:t>
      </w:r>
      <w:r w:rsidR="00F93690">
        <w:rPr>
          <w:sz w:val="24"/>
          <w:szCs w:val="24"/>
        </w:rPr>
        <w:t>relating to</w:t>
      </w:r>
      <w:r w:rsidR="00F93690" w:rsidRPr="00216FF6">
        <w:rPr>
          <w:sz w:val="24"/>
          <w:szCs w:val="24"/>
        </w:rPr>
        <w:t xml:space="preserve"> </w:t>
      </w:r>
      <w:r w:rsidRPr="00216FF6">
        <w:rPr>
          <w:sz w:val="24"/>
          <w:szCs w:val="24"/>
        </w:rPr>
        <w:t xml:space="preserve">data collection and management. When prompted to consider what data might be collected by such devices </w:t>
      </w:r>
      <w:r w:rsidRPr="00216FF6">
        <w:rPr>
          <w:sz w:val="24"/>
          <w:szCs w:val="24"/>
        </w:rPr>
        <w:lastRenderedPageBreak/>
        <w:t xml:space="preserve">and deployments, participants began to question not only the specific details of data collected, but the intent behind it and who </w:t>
      </w:r>
      <w:proofErr w:type="spellStart"/>
      <w:r w:rsidRPr="00216FF6">
        <w:rPr>
          <w:sz w:val="24"/>
          <w:szCs w:val="24"/>
        </w:rPr>
        <w:t>migh</w:t>
      </w:r>
      <w:proofErr w:type="spellEnd"/>
      <w:r w:rsidRPr="00216FF6">
        <w:rPr>
          <w:sz w:val="24"/>
          <w:szCs w:val="24"/>
        </w:rPr>
        <w:t xml:space="preserve"> benefit</w:t>
      </w:r>
      <w:r w:rsidR="00F93690">
        <w:rPr>
          <w:sz w:val="24"/>
          <w:szCs w:val="24"/>
        </w:rPr>
        <w:t xml:space="preserve"> </w:t>
      </w:r>
      <w:r w:rsidRPr="00216FF6">
        <w:rPr>
          <w:sz w:val="24"/>
          <w:szCs w:val="24"/>
        </w:rPr>
        <w:t>from its use.</w:t>
      </w:r>
      <w:r>
        <w:rPr>
          <w:sz w:val="24"/>
          <w:szCs w:val="24"/>
        </w:rPr>
        <w:t xml:space="preserve"> Financial benefit from the selling of data was not seen as necessarily detrimental as long as privacy was protected, but ownership was a topic of discussion, for example</w:t>
      </w:r>
      <w:r w:rsidR="00902943">
        <w:rPr>
          <w:sz w:val="24"/>
          <w:szCs w:val="24"/>
        </w:rPr>
        <w:t>,</w:t>
      </w:r>
      <w:r>
        <w:rPr>
          <w:sz w:val="24"/>
          <w:szCs w:val="24"/>
        </w:rPr>
        <w:t xml:space="preserve"> with one participant suggesting </w:t>
      </w:r>
      <w:r w:rsidRPr="00216FF6">
        <w:rPr>
          <w:sz w:val="24"/>
          <w:szCs w:val="24"/>
        </w:rPr>
        <w:t xml:space="preserve">that any revenue generated should be reinvested into the community. </w:t>
      </w:r>
    </w:p>
    <w:p w14:paraId="582D5B62" w14:textId="77777777" w:rsidR="007912F3" w:rsidRPr="00216FF6" w:rsidRDefault="007912F3" w:rsidP="007912F3">
      <w:pPr>
        <w:pStyle w:val="Text"/>
        <w:jc w:val="left"/>
        <w:rPr>
          <w:color w:val="FF0000"/>
          <w:sz w:val="24"/>
          <w:szCs w:val="24"/>
        </w:rPr>
      </w:pPr>
    </w:p>
    <w:p w14:paraId="5F17A5B4" w14:textId="77777777" w:rsidR="007912F3" w:rsidRPr="00216FF6" w:rsidRDefault="007912F3" w:rsidP="007912F3">
      <w:pPr>
        <w:pStyle w:val="Text"/>
        <w:jc w:val="left"/>
        <w:rPr>
          <w:sz w:val="24"/>
          <w:szCs w:val="24"/>
        </w:rPr>
      </w:pPr>
      <w:r w:rsidRPr="00216FF6">
        <w:rPr>
          <w:sz w:val="24"/>
          <w:szCs w:val="24"/>
        </w:rPr>
        <w:t>Participants were keen to know details of the deployments, their purpose, and what was happening to the resulting data collected through the use of such technology interventions. Key data management questions included knowing not only what data are being collected, but also why the deployment happened, who is collecting data, and who designed and manages the system as a whole. Additionally, some queries concerned the storage and security of the data, asking where it was being sent and stored, and who had ownership of it. Again, it was felt that if there was value in the data, this should be shared by the community, for example by giving the community access to data on public space usage in order to ‘inform action and generate ideas’ on how to better support the community.</w:t>
      </w:r>
    </w:p>
    <w:p w14:paraId="293CC1D5" w14:textId="77777777" w:rsidR="007912F3" w:rsidRPr="00216FF6" w:rsidRDefault="007912F3" w:rsidP="007912F3">
      <w:pPr>
        <w:pStyle w:val="Text"/>
        <w:jc w:val="left"/>
        <w:rPr>
          <w:color w:val="FF0000"/>
          <w:sz w:val="24"/>
          <w:szCs w:val="24"/>
        </w:rPr>
      </w:pPr>
    </w:p>
    <w:p w14:paraId="1AE4E13F" w14:textId="67FF021E" w:rsidR="007912F3" w:rsidRPr="00216FF6" w:rsidRDefault="007912F3" w:rsidP="007912F3">
      <w:pPr>
        <w:pStyle w:val="Text"/>
        <w:jc w:val="left"/>
        <w:rPr>
          <w:sz w:val="24"/>
          <w:szCs w:val="24"/>
        </w:rPr>
      </w:pPr>
      <w:r w:rsidRPr="00216FF6">
        <w:rPr>
          <w:sz w:val="24"/>
          <w:szCs w:val="24"/>
        </w:rPr>
        <w:t>Throughout the responses to the design fictions</w:t>
      </w:r>
      <w:r w:rsidR="00902943">
        <w:rPr>
          <w:sz w:val="24"/>
          <w:szCs w:val="24"/>
        </w:rPr>
        <w:t>,</w:t>
      </w:r>
      <w:r w:rsidRPr="00216FF6">
        <w:rPr>
          <w:sz w:val="24"/>
          <w:szCs w:val="24"/>
        </w:rPr>
        <w:t xml:space="preserve"> </w:t>
      </w:r>
      <w:r w:rsidR="00F93690">
        <w:rPr>
          <w:sz w:val="24"/>
          <w:szCs w:val="24"/>
        </w:rPr>
        <w:t>participants demonstrated</w:t>
      </w:r>
      <w:r w:rsidRPr="00216FF6">
        <w:rPr>
          <w:sz w:val="24"/>
          <w:szCs w:val="24"/>
        </w:rPr>
        <w:t xml:space="preserve"> a desire for transparency and communication to the public. </w:t>
      </w:r>
      <w:r w:rsidR="00F93690">
        <w:rPr>
          <w:sz w:val="24"/>
          <w:szCs w:val="24"/>
        </w:rPr>
        <w:t>Furthermore,</w:t>
      </w:r>
      <w:r w:rsidRPr="00216FF6">
        <w:rPr>
          <w:sz w:val="24"/>
          <w:szCs w:val="24"/>
        </w:rPr>
        <w:t xml:space="preserve"> </w:t>
      </w:r>
      <w:r w:rsidR="00F93690">
        <w:rPr>
          <w:sz w:val="24"/>
          <w:szCs w:val="24"/>
        </w:rPr>
        <w:t>they</w:t>
      </w:r>
      <w:r w:rsidRPr="00216FF6">
        <w:rPr>
          <w:sz w:val="24"/>
          <w:szCs w:val="24"/>
        </w:rPr>
        <w:t xml:space="preserve"> reinforced</w:t>
      </w:r>
      <w:r w:rsidR="00F93690">
        <w:rPr>
          <w:sz w:val="24"/>
          <w:szCs w:val="24"/>
        </w:rPr>
        <w:t xml:space="preserve"> the view</w:t>
      </w:r>
      <w:r w:rsidRPr="00216FF6">
        <w:rPr>
          <w:sz w:val="24"/>
          <w:szCs w:val="24"/>
        </w:rPr>
        <w:t xml:space="preserve"> that communication should be in a form that is accessible; using ‘plain English’ and preferably with support for questions to be answered.</w:t>
      </w:r>
    </w:p>
    <w:p w14:paraId="59A1F1B2" w14:textId="77777777" w:rsidR="007912F3" w:rsidRPr="00216FF6" w:rsidRDefault="007912F3" w:rsidP="007912F3">
      <w:pPr>
        <w:pStyle w:val="Text"/>
        <w:jc w:val="left"/>
        <w:rPr>
          <w:color w:val="FF0000"/>
          <w:sz w:val="24"/>
          <w:szCs w:val="24"/>
        </w:rPr>
      </w:pPr>
    </w:p>
    <w:p w14:paraId="24B44B89" w14:textId="77777777" w:rsidR="0014788A" w:rsidRPr="0014788A" w:rsidRDefault="007912F3" w:rsidP="0014788A">
      <w:pPr>
        <w:rPr>
          <w:i/>
        </w:rPr>
      </w:pPr>
      <w:r w:rsidRPr="0014788A">
        <w:rPr>
          <w:i/>
        </w:rPr>
        <w:t>‘If this is being introduced in the community you need someone to come along to introduce it, to tell you its capabilities, answer all the questions you’ve got about it’</w:t>
      </w:r>
    </w:p>
    <w:p w14:paraId="7054023F" w14:textId="46B4E4A4" w:rsidR="00E15FFC" w:rsidRPr="00216FF6" w:rsidRDefault="007912F3" w:rsidP="00216FF6">
      <w:pPr>
        <w:pStyle w:val="SectionHeading"/>
        <w:jc w:val="left"/>
        <w:outlineLvl w:val="0"/>
        <w:rPr>
          <w:szCs w:val="24"/>
        </w:rPr>
      </w:pPr>
      <w:r>
        <w:rPr>
          <w:szCs w:val="24"/>
        </w:rPr>
        <w:t>5</w:t>
      </w:r>
      <w:r w:rsidR="00C27C91" w:rsidRPr="00216FF6">
        <w:rPr>
          <w:szCs w:val="24"/>
        </w:rPr>
        <w:t xml:space="preserve"> Policy at multiple scales</w:t>
      </w:r>
    </w:p>
    <w:p w14:paraId="0388B07E" w14:textId="77777777" w:rsidR="00F31BB4" w:rsidRPr="00216FF6" w:rsidRDefault="00F31BB4" w:rsidP="00216FF6">
      <w:pPr>
        <w:pStyle w:val="Text"/>
        <w:jc w:val="left"/>
        <w:rPr>
          <w:b/>
          <w:sz w:val="24"/>
          <w:szCs w:val="24"/>
        </w:rPr>
      </w:pPr>
    </w:p>
    <w:p w14:paraId="7176ABA3" w14:textId="41600FA9" w:rsidR="00920C52" w:rsidRDefault="005112D4" w:rsidP="005112D4">
      <w:pPr>
        <w:pStyle w:val="Text"/>
        <w:jc w:val="left"/>
        <w:rPr>
          <w:sz w:val="24"/>
          <w:szCs w:val="24"/>
        </w:rPr>
      </w:pPr>
      <w:r>
        <w:rPr>
          <w:sz w:val="24"/>
          <w:szCs w:val="24"/>
        </w:rPr>
        <w:t>The findings above demonstrate that transparency is desirable for those who may be encountering IoT deployments in their environments. To provide transparency requires that considerations of privacy and data management are understood by those implementing the systems</w:t>
      </w:r>
      <w:r w:rsidR="00F93690">
        <w:rPr>
          <w:sz w:val="24"/>
          <w:szCs w:val="24"/>
        </w:rPr>
        <w:t>.</w:t>
      </w:r>
      <w:r>
        <w:rPr>
          <w:sz w:val="24"/>
          <w:szCs w:val="24"/>
        </w:rPr>
        <w:t xml:space="preserve"> </w:t>
      </w:r>
      <w:r w:rsidR="00F93690">
        <w:rPr>
          <w:sz w:val="24"/>
          <w:szCs w:val="24"/>
        </w:rPr>
        <w:t>T</w:t>
      </w:r>
      <w:r>
        <w:rPr>
          <w:sz w:val="24"/>
          <w:szCs w:val="24"/>
        </w:rPr>
        <w:t xml:space="preserve">his also </w:t>
      </w:r>
      <w:r w:rsidR="00CB2CA6">
        <w:rPr>
          <w:sz w:val="24"/>
          <w:szCs w:val="24"/>
        </w:rPr>
        <w:t>enables</w:t>
      </w:r>
      <w:r>
        <w:rPr>
          <w:sz w:val="24"/>
          <w:szCs w:val="24"/>
        </w:rPr>
        <w:t xml:space="preserve"> transparency of processes between regional </w:t>
      </w:r>
      <w:proofErr w:type="spellStart"/>
      <w:r>
        <w:rPr>
          <w:sz w:val="24"/>
          <w:szCs w:val="24"/>
        </w:rPr>
        <w:t>programmes</w:t>
      </w:r>
      <w:proofErr w:type="spellEnd"/>
      <w:r w:rsidR="009958B8">
        <w:rPr>
          <w:sz w:val="24"/>
          <w:szCs w:val="24"/>
        </w:rPr>
        <w:t xml:space="preserve"> to share learning and avoid repetition of costly mistakes</w:t>
      </w:r>
      <w:r>
        <w:rPr>
          <w:sz w:val="24"/>
          <w:szCs w:val="24"/>
        </w:rPr>
        <w:t xml:space="preserve">. </w:t>
      </w:r>
    </w:p>
    <w:p w14:paraId="7455D125" w14:textId="77777777" w:rsidR="005112D4" w:rsidRPr="00216FF6" w:rsidRDefault="005112D4" w:rsidP="00694D89">
      <w:pPr>
        <w:pStyle w:val="Text"/>
        <w:jc w:val="left"/>
        <w:rPr>
          <w:sz w:val="24"/>
          <w:szCs w:val="24"/>
        </w:rPr>
      </w:pPr>
    </w:p>
    <w:p w14:paraId="49F05D6A" w14:textId="6F73FF4D" w:rsidR="00920C52" w:rsidRPr="00216FF6" w:rsidRDefault="00920C52" w:rsidP="00216FF6">
      <w:pPr>
        <w:pStyle w:val="Text"/>
        <w:jc w:val="left"/>
        <w:rPr>
          <w:sz w:val="24"/>
          <w:szCs w:val="24"/>
        </w:rPr>
      </w:pPr>
      <w:r w:rsidRPr="00216FF6">
        <w:rPr>
          <w:sz w:val="24"/>
          <w:szCs w:val="24"/>
        </w:rPr>
        <w:t xml:space="preserve">At the local level, </w:t>
      </w:r>
      <w:r w:rsidR="005112D4">
        <w:rPr>
          <w:sz w:val="24"/>
          <w:szCs w:val="24"/>
        </w:rPr>
        <w:t>deployments</w:t>
      </w:r>
      <w:r w:rsidRPr="00216FF6">
        <w:rPr>
          <w:sz w:val="24"/>
          <w:szCs w:val="24"/>
        </w:rPr>
        <w:t xml:space="preserve"> can be initiated by a range of different actors</w:t>
      </w:r>
      <w:r w:rsidR="00902943">
        <w:rPr>
          <w:sz w:val="24"/>
          <w:szCs w:val="24"/>
        </w:rPr>
        <w:t>,</w:t>
      </w:r>
      <w:r w:rsidRPr="00216FF6">
        <w:rPr>
          <w:sz w:val="24"/>
          <w:szCs w:val="24"/>
        </w:rPr>
        <w:t xml:space="preserve"> including public sector bodies, commercial companies or ground-up</w:t>
      </w:r>
      <w:r w:rsidR="00A93327" w:rsidRPr="00216FF6">
        <w:rPr>
          <w:sz w:val="24"/>
          <w:szCs w:val="24"/>
        </w:rPr>
        <w:t>,</w:t>
      </w:r>
      <w:r w:rsidRPr="00216FF6">
        <w:rPr>
          <w:sz w:val="24"/>
          <w:szCs w:val="24"/>
        </w:rPr>
        <w:t xml:space="preserve"> citizen</w:t>
      </w:r>
      <w:r w:rsidR="00902943">
        <w:rPr>
          <w:sz w:val="24"/>
          <w:szCs w:val="24"/>
        </w:rPr>
        <w:t>-</w:t>
      </w:r>
      <w:r w:rsidRPr="00216FF6">
        <w:rPr>
          <w:sz w:val="24"/>
          <w:szCs w:val="24"/>
        </w:rPr>
        <w:t>led initiative</w:t>
      </w:r>
      <w:r w:rsidR="00FD3BD6" w:rsidRPr="00216FF6">
        <w:rPr>
          <w:sz w:val="24"/>
          <w:szCs w:val="24"/>
        </w:rPr>
        <w:t>s.</w:t>
      </w:r>
      <w:r w:rsidRPr="00216FF6">
        <w:rPr>
          <w:sz w:val="24"/>
          <w:szCs w:val="24"/>
        </w:rPr>
        <w:t xml:space="preserve"> </w:t>
      </w:r>
      <w:r w:rsidR="00FD3BD6" w:rsidRPr="00216FF6">
        <w:rPr>
          <w:sz w:val="24"/>
          <w:szCs w:val="24"/>
        </w:rPr>
        <w:t>T</w:t>
      </w:r>
      <w:r w:rsidRPr="00216FF6">
        <w:rPr>
          <w:sz w:val="24"/>
          <w:szCs w:val="24"/>
        </w:rPr>
        <w:t>here may be different considerations of data management and privacy, surveillance and value depending on who these actor</w:t>
      </w:r>
      <w:r w:rsidR="003E10FE" w:rsidRPr="00216FF6">
        <w:rPr>
          <w:sz w:val="24"/>
          <w:szCs w:val="24"/>
        </w:rPr>
        <w:t>s</w:t>
      </w:r>
      <w:r w:rsidRPr="00216FF6">
        <w:rPr>
          <w:sz w:val="24"/>
          <w:szCs w:val="24"/>
        </w:rPr>
        <w:t xml:space="preserve"> are and the motivation and intent of the deployment. It is important that </w:t>
      </w:r>
      <w:r w:rsidR="005112D4">
        <w:rPr>
          <w:sz w:val="24"/>
          <w:szCs w:val="24"/>
        </w:rPr>
        <w:t xml:space="preserve">transparent </w:t>
      </w:r>
      <w:r w:rsidRPr="00216FF6">
        <w:rPr>
          <w:sz w:val="24"/>
          <w:szCs w:val="24"/>
        </w:rPr>
        <w:t>governance processes</w:t>
      </w:r>
      <w:r w:rsidR="00240279" w:rsidRPr="00216FF6">
        <w:rPr>
          <w:sz w:val="24"/>
          <w:szCs w:val="24"/>
        </w:rPr>
        <w:t xml:space="preserve"> </w:t>
      </w:r>
      <w:r w:rsidR="005112D4">
        <w:rPr>
          <w:sz w:val="24"/>
          <w:szCs w:val="24"/>
        </w:rPr>
        <w:t>are in place and citizens can identify the actors involved</w:t>
      </w:r>
      <w:r w:rsidRPr="00216FF6">
        <w:rPr>
          <w:sz w:val="24"/>
          <w:szCs w:val="24"/>
        </w:rPr>
        <w:t>, for example by publishing detailed</w:t>
      </w:r>
      <w:r w:rsidR="003E10FE" w:rsidRPr="00216FF6">
        <w:rPr>
          <w:sz w:val="24"/>
          <w:szCs w:val="24"/>
        </w:rPr>
        <w:t xml:space="preserve"> but clear</w:t>
      </w:r>
      <w:r w:rsidRPr="00216FF6">
        <w:rPr>
          <w:sz w:val="24"/>
          <w:szCs w:val="24"/>
        </w:rPr>
        <w:t xml:space="preserve"> privacy and data ownership policies that inform the public about their rights.</w:t>
      </w:r>
    </w:p>
    <w:p w14:paraId="05B9538F" w14:textId="77777777" w:rsidR="00920C52" w:rsidRPr="00216FF6" w:rsidRDefault="00920C52" w:rsidP="00216FF6">
      <w:pPr>
        <w:pStyle w:val="Text"/>
        <w:jc w:val="left"/>
        <w:rPr>
          <w:sz w:val="24"/>
          <w:szCs w:val="24"/>
        </w:rPr>
      </w:pPr>
    </w:p>
    <w:p w14:paraId="31C758D6" w14:textId="501611D3" w:rsidR="00920C52" w:rsidRPr="00216FF6" w:rsidRDefault="00920C52" w:rsidP="00216FF6">
      <w:pPr>
        <w:pStyle w:val="Text"/>
        <w:jc w:val="left"/>
        <w:rPr>
          <w:sz w:val="24"/>
          <w:szCs w:val="24"/>
        </w:rPr>
      </w:pPr>
      <w:r w:rsidRPr="00216FF6">
        <w:rPr>
          <w:sz w:val="24"/>
          <w:szCs w:val="24"/>
        </w:rPr>
        <w:t>At the system level, the technical specifications of the devices must similarly be transparent so that features of data collection, storage and transfer can be audited and made accountable. Design decisions must be taken that are conscious of potential risks</w:t>
      </w:r>
      <w:r w:rsidR="003E10FE" w:rsidRPr="00216FF6">
        <w:rPr>
          <w:sz w:val="24"/>
          <w:szCs w:val="24"/>
        </w:rPr>
        <w:t>,</w:t>
      </w:r>
      <w:r w:rsidR="0030516C" w:rsidRPr="00216FF6">
        <w:rPr>
          <w:sz w:val="24"/>
          <w:szCs w:val="24"/>
        </w:rPr>
        <w:t xml:space="preserve"> and</w:t>
      </w:r>
      <w:r w:rsidR="003E10FE" w:rsidRPr="00216FF6">
        <w:rPr>
          <w:sz w:val="24"/>
          <w:szCs w:val="24"/>
        </w:rPr>
        <w:t xml:space="preserve"> </w:t>
      </w:r>
      <w:r w:rsidRPr="00216FF6">
        <w:rPr>
          <w:sz w:val="24"/>
          <w:szCs w:val="24"/>
        </w:rPr>
        <w:t>efforts</w:t>
      </w:r>
      <w:r w:rsidR="003E10FE" w:rsidRPr="00216FF6">
        <w:rPr>
          <w:sz w:val="24"/>
          <w:szCs w:val="24"/>
        </w:rPr>
        <w:t xml:space="preserve"> must be taken</w:t>
      </w:r>
      <w:r w:rsidRPr="00216FF6">
        <w:rPr>
          <w:sz w:val="24"/>
          <w:szCs w:val="24"/>
        </w:rPr>
        <w:t xml:space="preserve"> to mitigate them</w:t>
      </w:r>
      <w:r w:rsidR="009513C1" w:rsidRPr="00216FF6">
        <w:rPr>
          <w:sz w:val="24"/>
          <w:szCs w:val="24"/>
        </w:rPr>
        <w:t xml:space="preserve">. Principles such as privacy by design and </w:t>
      </w:r>
      <w:r w:rsidR="006F47F9" w:rsidRPr="00216FF6">
        <w:rPr>
          <w:sz w:val="24"/>
          <w:szCs w:val="24"/>
        </w:rPr>
        <w:t>default that incorporate</w:t>
      </w:r>
      <w:r w:rsidR="009513C1" w:rsidRPr="00216FF6">
        <w:rPr>
          <w:sz w:val="24"/>
          <w:szCs w:val="24"/>
        </w:rPr>
        <w:t xml:space="preserve"> such values throughout the development process can form a key part of this. </w:t>
      </w:r>
      <w:proofErr w:type="spellStart"/>
      <w:r w:rsidRPr="00216FF6">
        <w:rPr>
          <w:sz w:val="24"/>
          <w:szCs w:val="24"/>
        </w:rPr>
        <w:t>Organisations</w:t>
      </w:r>
      <w:proofErr w:type="spellEnd"/>
      <w:r w:rsidRPr="00216FF6">
        <w:rPr>
          <w:sz w:val="24"/>
          <w:szCs w:val="24"/>
        </w:rPr>
        <w:t xml:space="preserve"> purchasing </w:t>
      </w:r>
      <w:r w:rsidR="009513C1" w:rsidRPr="00216FF6">
        <w:rPr>
          <w:sz w:val="24"/>
          <w:szCs w:val="24"/>
        </w:rPr>
        <w:t>IoT sensor enabled</w:t>
      </w:r>
      <w:r w:rsidRPr="00216FF6">
        <w:rPr>
          <w:sz w:val="24"/>
          <w:szCs w:val="24"/>
        </w:rPr>
        <w:t xml:space="preserve"> devices must be able</w:t>
      </w:r>
      <w:r w:rsidR="00A93327" w:rsidRPr="00216FF6">
        <w:rPr>
          <w:sz w:val="24"/>
          <w:szCs w:val="24"/>
        </w:rPr>
        <w:t xml:space="preserve"> to </w:t>
      </w:r>
      <w:r w:rsidR="00902943">
        <w:rPr>
          <w:sz w:val="24"/>
          <w:szCs w:val="24"/>
        </w:rPr>
        <w:t>bo</w:t>
      </w:r>
      <w:r w:rsidR="00CA06D9">
        <w:rPr>
          <w:sz w:val="24"/>
          <w:szCs w:val="24"/>
        </w:rPr>
        <w:t>t</w:t>
      </w:r>
      <w:r w:rsidR="00902943">
        <w:rPr>
          <w:sz w:val="24"/>
          <w:szCs w:val="24"/>
        </w:rPr>
        <w:t xml:space="preserve">h </w:t>
      </w:r>
      <w:r w:rsidR="00A93327" w:rsidRPr="00216FF6">
        <w:rPr>
          <w:sz w:val="24"/>
          <w:szCs w:val="24"/>
        </w:rPr>
        <w:t>determine</w:t>
      </w:r>
      <w:r w:rsidR="00902943">
        <w:rPr>
          <w:sz w:val="24"/>
          <w:szCs w:val="24"/>
        </w:rPr>
        <w:t xml:space="preserve"> and communicate</w:t>
      </w:r>
      <w:r w:rsidRPr="00216FF6">
        <w:rPr>
          <w:sz w:val="24"/>
          <w:szCs w:val="24"/>
        </w:rPr>
        <w:t xml:space="preserve"> </w:t>
      </w:r>
      <w:r w:rsidR="00240279" w:rsidRPr="00216FF6">
        <w:rPr>
          <w:sz w:val="24"/>
          <w:szCs w:val="24"/>
        </w:rPr>
        <w:t xml:space="preserve">what data </w:t>
      </w:r>
      <w:r w:rsidR="00A93327" w:rsidRPr="00216FF6">
        <w:rPr>
          <w:sz w:val="24"/>
          <w:szCs w:val="24"/>
        </w:rPr>
        <w:t>are</w:t>
      </w:r>
      <w:r w:rsidRPr="00216FF6">
        <w:rPr>
          <w:sz w:val="24"/>
          <w:szCs w:val="24"/>
        </w:rPr>
        <w:t xml:space="preserve"> collected and shared</w:t>
      </w:r>
      <w:r w:rsidR="00240279" w:rsidRPr="00216FF6">
        <w:rPr>
          <w:sz w:val="24"/>
          <w:szCs w:val="24"/>
        </w:rPr>
        <w:t>, how this creates value, and who benefits</w:t>
      </w:r>
      <w:r w:rsidRPr="00216FF6">
        <w:rPr>
          <w:sz w:val="24"/>
          <w:szCs w:val="24"/>
        </w:rPr>
        <w:t>.</w:t>
      </w:r>
    </w:p>
    <w:p w14:paraId="62A37F32" w14:textId="77777777" w:rsidR="00FD3BD6" w:rsidRPr="00216FF6" w:rsidRDefault="00FD3BD6" w:rsidP="00216FF6">
      <w:pPr>
        <w:pStyle w:val="Text"/>
        <w:jc w:val="left"/>
        <w:rPr>
          <w:sz w:val="24"/>
          <w:szCs w:val="24"/>
        </w:rPr>
      </w:pPr>
    </w:p>
    <w:p w14:paraId="235BDC18" w14:textId="79B6B85F" w:rsidR="006F47F9" w:rsidRDefault="00F06B11" w:rsidP="00216FF6">
      <w:pPr>
        <w:pStyle w:val="Text"/>
        <w:jc w:val="left"/>
        <w:rPr>
          <w:sz w:val="24"/>
          <w:szCs w:val="24"/>
        </w:rPr>
      </w:pPr>
      <w:r w:rsidRPr="00216FF6">
        <w:rPr>
          <w:sz w:val="24"/>
          <w:szCs w:val="24"/>
        </w:rPr>
        <w:t xml:space="preserve">By considering the system in its entirety at the outset, factoring in the position of and benefits to all stakeholders including citizens, public sector </w:t>
      </w:r>
      <w:proofErr w:type="spellStart"/>
      <w:r w:rsidRPr="00216FF6">
        <w:rPr>
          <w:sz w:val="24"/>
          <w:szCs w:val="24"/>
        </w:rPr>
        <w:t>organisations</w:t>
      </w:r>
      <w:proofErr w:type="spellEnd"/>
      <w:r w:rsidRPr="00216FF6">
        <w:rPr>
          <w:sz w:val="24"/>
          <w:szCs w:val="24"/>
        </w:rPr>
        <w:t xml:space="preserve"> and commercial technology providers, potential privacy and security risks can be identified in advance and appropriate choices made. Enforcing approaches such as privacy by design is not only good practice for protecting privacy, but encourages greater efficiency, avoid</w:t>
      </w:r>
      <w:r w:rsidR="00F93690">
        <w:rPr>
          <w:sz w:val="24"/>
          <w:szCs w:val="24"/>
        </w:rPr>
        <w:t>ing</w:t>
      </w:r>
      <w:r w:rsidRPr="00216FF6">
        <w:rPr>
          <w:sz w:val="24"/>
          <w:szCs w:val="24"/>
        </w:rPr>
        <w:t xml:space="preserve"> preventable issues which may require costly fixes, for example</w:t>
      </w:r>
      <w:r w:rsidR="005E092B" w:rsidRPr="00216FF6">
        <w:rPr>
          <w:sz w:val="24"/>
          <w:szCs w:val="24"/>
        </w:rPr>
        <w:t>,</w:t>
      </w:r>
      <w:r w:rsidRPr="00216FF6">
        <w:rPr>
          <w:sz w:val="24"/>
          <w:szCs w:val="24"/>
        </w:rPr>
        <w:t xml:space="preserve"> creating new software, hardware or policy.</w:t>
      </w:r>
    </w:p>
    <w:p w14:paraId="79201976" w14:textId="77777777" w:rsidR="00C12E65" w:rsidRDefault="00C12E65" w:rsidP="00216FF6">
      <w:pPr>
        <w:pStyle w:val="Text"/>
        <w:jc w:val="left"/>
        <w:rPr>
          <w:sz w:val="24"/>
          <w:szCs w:val="24"/>
        </w:rPr>
      </w:pPr>
    </w:p>
    <w:p w14:paraId="1D3778C4" w14:textId="71CC03DA" w:rsidR="00C12E65" w:rsidRPr="00216FF6" w:rsidRDefault="00C12E65" w:rsidP="00216FF6">
      <w:pPr>
        <w:pStyle w:val="Text"/>
        <w:jc w:val="left"/>
        <w:rPr>
          <w:sz w:val="24"/>
          <w:szCs w:val="24"/>
        </w:rPr>
      </w:pPr>
      <w:r>
        <w:rPr>
          <w:sz w:val="24"/>
          <w:szCs w:val="24"/>
        </w:rPr>
        <w:lastRenderedPageBreak/>
        <w:t>Regulation</w:t>
      </w:r>
      <w:r w:rsidRPr="00694D89">
        <w:rPr>
          <w:sz w:val="24"/>
          <w:szCs w:val="24"/>
        </w:rPr>
        <w:t xml:space="preserve"> must also be implemented to ensure that positive value does not come at the expense of the rights or safety of citizens. It is for this reason that the introduction of both legislation such as the </w:t>
      </w:r>
      <w:r w:rsidRPr="00B44DC0">
        <w:rPr>
          <w:sz w:val="24"/>
          <w:szCs w:val="24"/>
        </w:rPr>
        <w:t>GDPR and technology standards are important</w:t>
      </w:r>
      <w:r w:rsidR="00902943">
        <w:rPr>
          <w:sz w:val="24"/>
          <w:szCs w:val="24"/>
        </w:rPr>
        <w:t>;</w:t>
      </w:r>
      <w:r w:rsidRPr="006C510F">
        <w:rPr>
          <w:sz w:val="24"/>
          <w:szCs w:val="24"/>
        </w:rPr>
        <w:t xml:space="preserve"> however</w:t>
      </w:r>
      <w:r w:rsidR="00902943">
        <w:rPr>
          <w:sz w:val="24"/>
          <w:szCs w:val="24"/>
        </w:rPr>
        <w:t>,</w:t>
      </w:r>
      <w:r w:rsidRPr="006C510F">
        <w:rPr>
          <w:sz w:val="24"/>
          <w:szCs w:val="24"/>
        </w:rPr>
        <w:t xml:space="preserve"> we argue that such systems and their processes must also be transparent and consider the needs of multiple stakeholders at various levels.</w:t>
      </w:r>
      <w:r w:rsidRPr="00694D89">
        <w:rPr>
          <w:sz w:val="24"/>
          <w:szCs w:val="24"/>
        </w:rPr>
        <w:t xml:space="preserve"> It is important that g</w:t>
      </w:r>
      <w:r w:rsidRPr="00B44DC0">
        <w:rPr>
          <w:sz w:val="24"/>
          <w:szCs w:val="24"/>
        </w:rPr>
        <w:t>overnance and regulation should be ongoing processes rather than something implemented only once, particularly when IoT technologies are rapidly developing.</w:t>
      </w:r>
    </w:p>
    <w:p w14:paraId="2376A632" w14:textId="5BF8A2FF" w:rsidR="00C27C91" w:rsidRPr="00216FF6" w:rsidRDefault="007912F3" w:rsidP="00216FF6">
      <w:pPr>
        <w:pStyle w:val="SectionHeading"/>
        <w:jc w:val="left"/>
        <w:outlineLvl w:val="0"/>
        <w:rPr>
          <w:szCs w:val="24"/>
        </w:rPr>
      </w:pPr>
      <w:r>
        <w:rPr>
          <w:szCs w:val="24"/>
        </w:rPr>
        <w:t>6</w:t>
      </w:r>
      <w:r w:rsidR="00C27C91" w:rsidRPr="00216FF6">
        <w:rPr>
          <w:szCs w:val="24"/>
        </w:rPr>
        <w:t xml:space="preserve"> Conclusion</w:t>
      </w:r>
    </w:p>
    <w:p w14:paraId="422E762C" w14:textId="77777777" w:rsidR="00D43CD1" w:rsidRPr="00216FF6" w:rsidRDefault="00D43CD1" w:rsidP="00216FF6">
      <w:pPr>
        <w:pStyle w:val="Text"/>
        <w:jc w:val="left"/>
        <w:rPr>
          <w:sz w:val="24"/>
          <w:szCs w:val="24"/>
        </w:rPr>
      </w:pPr>
    </w:p>
    <w:p w14:paraId="7D1439EF" w14:textId="77777777" w:rsidR="005112D4" w:rsidRDefault="005112D4" w:rsidP="00216FF6">
      <w:pPr>
        <w:pStyle w:val="Text"/>
        <w:jc w:val="left"/>
        <w:rPr>
          <w:sz w:val="24"/>
          <w:szCs w:val="24"/>
        </w:rPr>
      </w:pPr>
    </w:p>
    <w:p w14:paraId="4F537208" w14:textId="17DD8644" w:rsidR="00A92500" w:rsidRPr="00216FF6" w:rsidRDefault="00B44DC0" w:rsidP="00216FF6">
      <w:pPr>
        <w:pStyle w:val="Text"/>
        <w:jc w:val="left"/>
        <w:rPr>
          <w:sz w:val="24"/>
          <w:szCs w:val="24"/>
        </w:rPr>
      </w:pPr>
      <w:r w:rsidRPr="00F34378">
        <w:rPr>
          <w:sz w:val="24"/>
          <w:szCs w:val="24"/>
        </w:rPr>
        <w:t xml:space="preserve">At the regional, national or super-national level, </w:t>
      </w:r>
      <w:r w:rsidR="008A2C92">
        <w:rPr>
          <w:sz w:val="24"/>
          <w:szCs w:val="24"/>
        </w:rPr>
        <w:t xml:space="preserve">we have observed that </w:t>
      </w:r>
      <w:r w:rsidRPr="00F34378">
        <w:rPr>
          <w:sz w:val="24"/>
          <w:szCs w:val="24"/>
        </w:rPr>
        <w:t>the use of smart technologies to support infrastructure is generally</w:t>
      </w:r>
      <w:r w:rsidR="00177BBE">
        <w:rPr>
          <w:sz w:val="24"/>
          <w:szCs w:val="24"/>
        </w:rPr>
        <w:t xml:space="preserve"> </w:t>
      </w:r>
      <w:r w:rsidR="00326CEC">
        <w:rPr>
          <w:sz w:val="24"/>
          <w:szCs w:val="24"/>
        </w:rPr>
        <w:t>perceived in ideologically positive terms</w:t>
      </w:r>
      <w:r w:rsidR="00177BBE">
        <w:rPr>
          <w:sz w:val="24"/>
          <w:szCs w:val="24"/>
        </w:rPr>
        <w:t xml:space="preserve"> (Hollands, 2014) and is</w:t>
      </w:r>
      <w:r w:rsidRPr="00F34378">
        <w:rPr>
          <w:sz w:val="24"/>
          <w:szCs w:val="24"/>
        </w:rPr>
        <w:t xml:space="preserve"> highly encouraged by policy</w:t>
      </w:r>
      <w:r w:rsidR="008A2C92">
        <w:rPr>
          <w:sz w:val="24"/>
          <w:szCs w:val="24"/>
        </w:rPr>
        <w:t xml:space="preserve"> (Jacobs et al, 2020)</w:t>
      </w:r>
      <w:r w:rsidRPr="00F34378">
        <w:rPr>
          <w:sz w:val="24"/>
          <w:szCs w:val="24"/>
        </w:rPr>
        <w:t xml:space="preserve">. </w:t>
      </w:r>
      <w:r>
        <w:rPr>
          <w:sz w:val="24"/>
          <w:szCs w:val="24"/>
        </w:rPr>
        <w:t>However, i</w:t>
      </w:r>
      <w:r w:rsidR="00A92500" w:rsidRPr="00216FF6">
        <w:rPr>
          <w:sz w:val="24"/>
          <w:szCs w:val="24"/>
        </w:rPr>
        <w:t xml:space="preserve">f data collected via smart city and related public space IoT initiatives </w:t>
      </w:r>
      <w:r w:rsidR="003E10FE" w:rsidRPr="00216FF6">
        <w:rPr>
          <w:sz w:val="24"/>
          <w:szCs w:val="24"/>
        </w:rPr>
        <w:t>are</w:t>
      </w:r>
      <w:r w:rsidR="00A92500" w:rsidRPr="00216FF6">
        <w:rPr>
          <w:sz w:val="24"/>
          <w:szCs w:val="24"/>
        </w:rPr>
        <w:t xml:space="preserve"> of value, we must consider to whom it is of value; who receives benefit, either financial or otherwise from its collection</w:t>
      </w:r>
      <w:r w:rsidR="00A93327" w:rsidRPr="00216FF6">
        <w:rPr>
          <w:sz w:val="24"/>
          <w:szCs w:val="24"/>
        </w:rPr>
        <w:t>; and w</w:t>
      </w:r>
      <w:r w:rsidR="00A92500" w:rsidRPr="00216FF6">
        <w:rPr>
          <w:sz w:val="24"/>
          <w:szCs w:val="24"/>
        </w:rPr>
        <w:t>ho might be at risk</w:t>
      </w:r>
      <w:r w:rsidR="00A93327" w:rsidRPr="00216FF6">
        <w:rPr>
          <w:sz w:val="24"/>
          <w:szCs w:val="24"/>
        </w:rPr>
        <w:t>.</w:t>
      </w:r>
      <w:r w:rsidR="00A92500" w:rsidRPr="00216FF6">
        <w:rPr>
          <w:sz w:val="24"/>
          <w:szCs w:val="24"/>
        </w:rPr>
        <w:t xml:space="preserve"> Additional questions should be asked </w:t>
      </w:r>
      <w:r w:rsidR="00F93690">
        <w:rPr>
          <w:sz w:val="24"/>
          <w:szCs w:val="24"/>
        </w:rPr>
        <w:t>regarding</w:t>
      </w:r>
      <w:r w:rsidR="004877BB">
        <w:rPr>
          <w:sz w:val="24"/>
          <w:szCs w:val="24"/>
        </w:rPr>
        <w:t xml:space="preserve"> </w:t>
      </w:r>
      <w:r w:rsidR="00A92500" w:rsidRPr="00216FF6">
        <w:rPr>
          <w:sz w:val="24"/>
          <w:szCs w:val="24"/>
        </w:rPr>
        <w:t xml:space="preserve">whose rights are being enhanced, exploited or empowered and who is responsible when something goes wrong. When planning and implementing these deployments, actors involved must consider governance and policy at a variety of scales and ask wider questions not only about data management, but also how decision making will affect multiple stakeholders who might be impacted. </w:t>
      </w:r>
      <w:r w:rsidR="002E0276" w:rsidRPr="00216FF6">
        <w:rPr>
          <w:sz w:val="24"/>
          <w:szCs w:val="24"/>
        </w:rPr>
        <w:t xml:space="preserve">It is important to ask such questions at the start of the process and as data </w:t>
      </w:r>
      <w:r w:rsidR="0058752D" w:rsidRPr="00216FF6">
        <w:rPr>
          <w:sz w:val="24"/>
          <w:szCs w:val="24"/>
        </w:rPr>
        <w:t>are</w:t>
      </w:r>
      <w:r w:rsidR="002E0276" w:rsidRPr="00216FF6">
        <w:rPr>
          <w:sz w:val="24"/>
          <w:szCs w:val="24"/>
        </w:rPr>
        <w:t xml:space="preserve"> being collected</w:t>
      </w:r>
      <w:r w:rsidR="00F93690">
        <w:rPr>
          <w:sz w:val="24"/>
          <w:szCs w:val="24"/>
        </w:rPr>
        <w:t>. Furthermore, it is also important to</w:t>
      </w:r>
      <w:r w:rsidR="002E0276" w:rsidRPr="00216FF6">
        <w:rPr>
          <w:sz w:val="24"/>
          <w:szCs w:val="24"/>
        </w:rPr>
        <w:t xml:space="preserve"> consider why data needs to be collected at all, rather than just collecting it because it is there with usefulness to be decided later. We have seen that assumptions can be made that connected technology is beneficial and helps people</w:t>
      </w:r>
      <w:r w:rsidR="00F93690">
        <w:rPr>
          <w:sz w:val="24"/>
          <w:szCs w:val="24"/>
        </w:rPr>
        <w:t xml:space="preserve"> but </w:t>
      </w:r>
      <w:r w:rsidR="002E0276" w:rsidRPr="00216FF6">
        <w:rPr>
          <w:sz w:val="24"/>
          <w:szCs w:val="24"/>
        </w:rPr>
        <w:t xml:space="preserve">with sometimes limited consideration of the </w:t>
      </w:r>
      <w:r w:rsidR="0058752D" w:rsidRPr="00216FF6">
        <w:rPr>
          <w:sz w:val="24"/>
          <w:szCs w:val="24"/>
        </w:rPr>
        <w:t>associated risks</w:t>
      </w:r>
      <w:r w:rsidR="00F93690">
        <w:rPr>
          <w:sz w:val="24"/>
          <w:szCs w:val="24"/>
        </w:rPr>
        <w:t xml:space="preserve">, some of which </w:t>
      </w:r>
      <w:r w:rsidR="0058752D" w:rsidRPr="00216FF6">
        <w:rPr>
          <w:sz w:val="24"/>
          <w:szCs w:val="24"/>
        </w:rPr>
        <w:t xml:space="preserve">may not become apparent </w:t>
      </w:r>
      <w:r w:rsidR="002E0276" w:rsidRPr="00216FF6">
        <w:rPr>
          <w:sz w:val="24"/>
          <w:szCs w:val="24"/>
        </w:rPr>
        <w:t>until details of deployments are more closely interrogated.</w:t>
      </w:r>
    </w:p>
    <w:p w14:paraId="2C4E34A9" w14:textId="77777777" w:rsidR="003E10FE" w:rsidRPr="00216FF6" w:rsidRDefault="003E10FE" w:rsidP="00216FF6">
      <w:pPr>
        <w:pStyle w:val="Text"/>
        <w:jc w:val="left"/>
        <w:rPr>
          <w:sz w:val="24"/>
          <w:szCs w:val="24"/>
        </w:rPr>
      </w:pPr>
    </w:p>
    <w:p w14:paraId="79AFDE58" w14:textId="732C32CC" w:rsidR="00A92500" w:rsidRPr="00216FF6" w:rsidRDefault="00FE0C94" w:rsidP="00216FF6">
      <w:pPr>
        <w:pStyle w:val="Text"/>
        <w:jc w:val="left"/>
        <w:rPr>
          <w:sz w:val="24"/>
          <w:szCs w:val="24"/>
        </w:rPr>
      </w:pPr>
      <w:r>
        <w:rPr>
          <w:sz w:val="24"/>
          <w:szCs w:val="24"/>
        </w:rPr>
        <w:t>In this work we</w:t>
      </w:r>
      <w:r w:rsidR="002E0276" w:rsidRPr="00216FF6">
        <w:rPr>
          <w:sz w:val="24"/>
          <w:szCs w:val="24"/>
        </w:rPr>
        <w:t xml:space="preserve"> highlight transparency and communication as critical; </w:t>
      </w:r>
      <w:r>
        <w:rPr>
          <w:sz w:val="24"/>
          <w:szCs w:val="24"/>
        </w:rPr>
        <w:t xml:space="preserve">in order to be able to trust in the smart city, </w:t>
      </w:r>
      <w:r w:rsidR="002E0276" w:rsidRPr="00216FF6">
        <w:rPr>
          <w:sz w:val="24"/>
          <w:szCs w:val="24"/>
        </w:rPr>
        <w:t xml:space="preserve">people need to be informed about deployments as they occur, and any associated risks. Deciding on the best way to include the public may not be straightforward, as information must be intelligible and comprehensible to a wide range of stakeholders. </w:t>
      </w:r>
      <w:r>
        <w:rPr>
          <w:sz w:val="24"/>
          <w:szCs w:val="24"/>
        </w:rPr>
        <w:t xml:space="preserve">Through the work of the </w:t>
      </w:r>
      <w:proofErr w:type="spellStart"/>
      <w:r>
        <w:rPr>
          <w:sz w:val="24"/>
          <w:szCs w:val="24"/>
        </w:rPr>
        <w:t>TrustLens</w:t>
      </w:r>
      <w:proofErr w:type="spellEnd"/>
      <w:r>
        <w:rPr>
          <w:sz w:val="24"/>
          <w:szCs w:val="24"/>
        </w:rPr>
        <w:t xml:space="preserve"> project</w:t>
      </w:r>
      <w:r w:rsidR="00F93690">
        <w:rPr>
          <w:sz w:val="24"/>
          <w:szCs w:val="24"/>
        </w:rPr>
        <w:t xml:space="preserve"> </w:t>
      </w:r>
      <w:r w:rsidR="00A92500" w:rsidRPr="00216FF6">
        <w:rPr>
          <w:sz w:val="24"/>
          <w:szCs w:val="24"/>
        </w:rPr>
        <w:t xml:space="preserve">we are developing tools to help different </w:t>
      </w:r>
      <w:r w:rsidR="005E20C9" w:rsidRPr="00216FF6">
        <w:rPr>
          <w:sz w:val="24"/>
          <w:szCs w:val="24"/>
        </w:rPr>
        <w:t>actors</w:t>
      </w:r>
      <w:r w:rsidR="00A92500" w:rsidRPr="00216FF6">
        <w:rPr>
          <w:sz w:val="24"/>
          <w:szCs w:val="24"/>
        </w:rPr>
        <w:t xml:space="preserve"> consider key aspects of public space IoT deployments. For example, </w:t>
      </w:r>
      <w:r w:rsidR="004877BB">
        <w:rPr>
          <w:sz w:val="24"/>
          <w:szCs w:val="24"/>
        </w:rPr>
        <w:t xml:space="preserve">a digital and physical ‘card deck’ presents </w:t>
      </w:r>
      <w:r w:rsidR="00FB437A">
        <w:rPr>
          <w:sz w:val="24"/>
          <w:szCs w:val="24"/>
        </w:rPr>
        <w:t>questions covering multiple aspects of the deployment process, and asks different stakeholders to consider whether they have answers immediately available, or need to conduct further scoping and research. Such</w:t>
      </w:r>
      <w:r>
        <w:rPr>
          <w:sz w:val="24"/>
          <w:szCs w:val="24"/>
        </w:rPr>
        <w:t xml:space="preserve"> tools encourage</w:t>
      </w:r>
      <w:r w:rsidRPr="00216FF6">
        <w:rPr>
          <w:sz w:val="24"/>
          <w:szCs w:val="24"/>
        </w:rPr>
        <w:t xml:space="preserve"> </w:t>
      </w:r>
      <w:r w:rsidR="00A92500" w:rsidRPr="00216FF6">
        <w:rPr>
          <w:sz w:val="24"/>
          <w:szCs w:val="24"/>
        </w:rPr>
        <w:t xml:space="preserve">public sector bodies </w:t>
      </w:r>
      <w:r>
        <w:rPr>
          <w:sz w:val="24"/>
          <w:szCs w:val="24"/>
        </w:rPr>
        <w:t xml:space="preserve">who are </w:t>
      </w:r>
      <w:r w:rsidR="00A92500" w:rsidRPr="00216FF6">
        <w:rPr>
          <w:sz w:val="24"/>
          <w:szCs w:val="24"/>
        </w:rPr>
        <w:t xml:space="preserve">considering IoT solutions to be deliberative in their deployment and in their choice of how to manage the data generated. </w:t>
      </w:r>
      <w:r w:rsidR="00F93690">
        <w:rPr>
          <w:sz w:val="24"/>
          <w:szCs w:val="24"/>
        </w:rPr>
        <w:t>Guidance f</w:t>
      </w:r>
      <w:r w:rsidR="00A92500" w:rsidRPr="00216FF6">
        <w:rPr>
          <w:sz w:val="24"/>
          <w:szCs w:val="24"/>
        </w:rPr>
        <w:t xml:space="preserve">or individuals and communities will </w:t>
      </w:r>
      <w:r w:rsidR="00F93690">
        <w:rPr>
          <w:sz w:val="24"/>
          <w:szCs w:val="24"/>
        </w:rPr>
        <w:t xml:space="preserve">aid in the facilitation of </w:t>
      </w:r>
      <w:r w:rsidR="00A92500" w:rsidRPr="00216FF6">
        <w:rPr>
          <w:sz w:val="24"/>
          <w:szCs w:val="24"/>
        </w:rPr>
        <w:t xml:space="preserve">transparency and </w:t>
      </w:r>
      <w:r w:rsidR="00FB437A">
        <w:rPr>
          <w:sz w:val="24"/>
          <w:szCs w:val="24"/>
        </w:rPr>
        <w:t xml:space="preserve">assist in </w:t>
      </w:r>
      <w:r w:rsidR="00A92500" w:rsidRPr="00216FF6">
        <w:rPr>
          <w:sz w:val="24"/>
          <w:szCs w:val="24"/>
        </w:rPr>
        <w:t xml:space="preserve">gaining access to information that they may otherwise not </w:t>
      </w:r>
      <w:proofErr w:type="spellStart"/>
      <w:r w:rsidR="00A92500" w:rsidRPr="00216FF6">
        <w:rPr>
          <w:sz w:val="24"/>
          <w:szCs w:val="24"/>
        </w:rPr>
        <w:t>realise</w:t>
      </w:r>
      <w:proofErr w:type="spellEnd"/>
      <w:r w:rsidR="00A92500" w:rsidRPr="00216FF6">
        <w:rPr>
          <w:sz w:val="24"/>
          <w:szCs w:val="24"/>
        </w:rPr>
        <w:t xml:space="preserve"> might be necessary.</w:t>
      </w:r>
    </w:p>
    <w:p w14:paraId="357F0532" w14:textId="77777777" w:rsidR="00A92500" w:rsidRPr="00216FF6" w:rsidRDefault="00A92500" w:rsidP="00216FF6">
      <w:pPr>
        <w:pStyle w:val="Text"/>
        <w:jc w:val="left"/>
        <w:rPr>
          <w:sz w:val="24"/>
          <w:szCs w:val="24"/>
        </w:rPr>
      </w:pPr>
    </w:p>
    <w:p w14:paraId="3BBB6806" w14:textId="326E8D47" w:rsidR="00A92500" w:rsidRPr="00216FF6" w:rsidRDefault="002D5A1C" w:rsidP="00216FF6">
      <w:pPr>
        <w:pStyle w:val="Text"/>
        <w:jc w:val="left"/>
        <w:rPr>
          <w:sz w:val="24"/>
          <w:szCs w:val="24"/>
        </w:rPr>
      </w:pPr>
      <w:r>
        <w:rPr>
          <w:sz w:val="24"/>
          <w:szCs w:val="24"/>
        </w:rPr>
        <w:t>We also recommend that d</w:t>
      </w:r>
      <w:r w:rsidR="00A92500" w:rsidRPr="00216FF6">
        <w:rPr>
          <w:sz w:val="24"/>
          <w:szCs w:val="24"/>
        </w:rPr>
        <w:t xml:space="preserve">etailed policy guidelines and regulation should be used to prevent the use of inappropriate technology solutions which may entail risk to citizens or </w:t>
      </w:r>
      <w:proofErr w:type="spellStart"/>
      <w:r w:rsidR="00A92500" w:rsidRPr="00216FF6">
        <w:rPr>
          <w:sz w:val="24"/>
          <w:szCs w:val="24"/>
        </w:rPr>
        <w:t>organisations</w:t>
      </w:r>
      <w:proofErr w:type="spellEnd"/>
      <w:r w:rsidR="00A92500" w:rsidRPr="00216FF6">
        <w:rPr>
          <w:sz w:val="24"/>
          <w:szCs w:val="24"/>
        </w:rPr>
        <w:t xml:space="preserve">. </w:t>
      </w:r>
      <w:r>
        <w:rPr>
          <w:sz w:val="24"/>
          <w:szCs w:val="24"/>
        </w:rPr>
        <w:t xml:space="preserve">There is a </w:t>
      </w:r>
      <w:r w:rsidR="00A92500" w:rsidRPr="00216FF6">
        <w:rPr>
          <w:sz w:val="24"/>
          <w:szCs w:val="24"/>
        </w:rPr>
        <w:t xml:space="preserve">need for transparency at the device and system level, and associated regulation to ensure this. Tenders to public </w:t>
      </w:r>
      <w:proofErr w:type="spellStart"/>
      <w:r w:rsidR="00A92500" w:rsidRPr="00216FF6">
        <w:rPr>
          <w:sz w:val="24"/>
          <w:szCs w:val="24"/>
        </w:rPr>
        <w:t>organisations</w:t>
      </w:r>
      <w:proofErr w:type="spellEnd"/>
      <w:r w:rsidR="00A92500" w:rsidRPr="00216FF6">
        <w:rPr>
          <w:sz w:val="24"/>
          <w:szCs w:val="24"/>
        </w:rPr>
        <w:t xml:space="preserve"> must ensure IoT solutions meet minimum standards which mitigate risks</w:t>
      </w:r>
      <w:r w:rsidR="00A93327" w:rsidRPr="00216FF6">
        <w:rPr>
          <w:sz w:val="24"/>
          <w:szCs w:val="24"/>
        </w:rPr>
        <w:t>;</w:t>
      </w:r>
      <w:r w:rsidR="00A92500" w:rsidRPr="00216FF6">
        <w:rPr>
          <w:sz w:val="24"/>
          <w:szCs w:val="24"/>
        </w:rPr>
        <w:t xml:space="preserve"> for example</w:t>
      </w:r>
      <w:r w:rsidR="003E10FE" w:rsidRPr="00216FF6">
        <w:rPr>
          <w:sz w:val="24"/>
          <w:szCs w:val="24"/>
        </w:rPr>
        <w:t>,</w:t>
      </w:r>
      <w:r w:rsidR="00A92500" w:rsidRPr="00216FF6">
        <w:rPr>
          <w:sz w:val="24"/>
          <w:szCs w:val="24"/>
        </w:rPr>
        <w:t xml:space="preserve"> tracking data provenance to allow interrogation of data ownership and associated accountability. </w:t>
      </w:r>
      <w:r w:rsidR="00FB437A">
        <w:rPr>
          <w:sz w:val="24"/>
          <w:szCs w:val="24"/>
        </w:rPr>
        <w:t xml:space="preserve">Tools such as those described above aim to </w:t>
      </w:r>
      <w:r w:rsidR="00A92500" w:rsidRPr="00216FF6">
        <w:rPr>
          <w:sz w:val="24"/>
          <w:szCs w:val="24"/>
        </w:rPr>
        <w:t>encourag</w:t>
      </w:r>
      <w:r w:rsidR="00FB437A">
        <w:rPr>
          <w:sz w:val="24"/>
          <w:szCs w:val="24"/>
        </w:rPr>
        <w:t>e</w:t>
      </w:r>
      <w:r w:rsidR="00A92500" w:rsidRPr="00216FF6">
        <w:rPr>
          <w:sz w:val="24"/>
          <w:szCs w:val="24"/>
        </w:rPr>
        <w:t xml:space="preserve"> mindfulness of these considerations during the planning, implementation, communication and evaluation processes</w:t>
      </w:r>
      <w:r w:rsidR="00A93327" w:rsidRPr="00216FF6">
        <w:rPr>
          <w:sz w:val="24"/>
          <w:szCs w:val="24"/>
        </w:rPr>
        <w:t>;</w:t>
      </w:r>
      <w:r w:rsidR="00A92500" w:rsidRPr="00216FF6">
        <w:rPr>
          <w:sz w:val="24"/>
          <w:szCs w:val="24"/>
        </w:rPr>
        <w:t xml:space="preserve"> however</w:t>
      </w:r>
      <w:r w:rsidR="00A93327" w:rsidRPr="00216FF6">
        <w:rPr>
          <w:sz w:val="24"/>
          <w:szCs w:val="24"/>
        </w:rPr>
        <w:t>,</w:t>
      </w:r>
      <w:r w:rsidR="00A92500" w:rsidRPr="00216FF6">
        <w:rPr>
          <w:sz w:val="24"/>
          <w:szCs w:val="24"/>
        </w:rPr>
        <w:t xml:space="preserve"> this must form part of a wider move towards an ethos of greater transparency.</w:t>
      </w:r>
    </w:p>
    <w:p w14:paraId="1F92906A" w14:textId="77777777" w:rsidR="00A92500" w:rsidRPr="00216FF6" w:rsidRDefault="00A92500" w:rsidP="00216FF6">
      <w:pPr>
        <w:pStyle w:val="Text"/>
        <w:jc w:val="left"/>
        <w:rPr>
          <w:sz w:val="24"/>
          <w:szCs w:val="24"/>
        </w:rPr>
      </w:pPr>
    </w:p>
    <w:p w14:paraId="0EF58541" w14:textId="00D8A17B" w:rsidR="0076683A" w:rsidRPr="00216FF6" w:rsidRDefault="00A92500" w:rsidP="00216FF6">
      <w:pPr>
        <w:pStyle w:val="Text"/>
        <w:jc w:val="left"/>
        <w:rPr>
          <w:sz w:val="24"/>
          <w:szCs w:val="24"/>
        </w:rPr>
      </w:pPr>
      <w:r w:rsidRPr="00216FF6">
        <w:rPr>
          <w:sz w:val="24"/>
          <w:szCs w:val="24"/>
        </w:rPr>
        <w:t xml:space="preserve">It is important to </w:t>
      </w:r>
      <w:proofErr w:type="spellStart"/>
      <w:r w:rsidRPr="00216FF6">
        <w:rPr>
          <w:sz w:val="24"/>
          <w:szCs w:val="24"/>
        </w:rPr>
        <w:t>emphasise</w:t>
      </w:r>
      <w:proofErr w:type="spellEnd"/>
      <w:r w:rsidRPr="00216FF6">
        <w:rPr>
          <w:sz w:val="24"/>
          <w:szCs w:val="24"/>
        </w:rPr>
        <w:t xml:space="preserve"> that we do not suggest </w:t>
      </w:r>
      <w:r w:rsidR="00CA06D9">
        <w:rPr>
          <w:sz w:val="24"/>
          <w:szCs w:val="24"/>
        </w:rPr>
        <w:t xml:space="preserve">IoT </w:t>
      </w:r>
      <w:r w:rsidRPr="00216FF6">
        <w:rPr>
          <w:sz w:val="24"/>
          <w:szCs w:val="24"/>
        </w:rPr>
        <w:t xml:space="preserve">technologies </w:t>
      </w:r>
      <w:r w:rsidR="002D5A1C">
        <w:rPr>
          <w:sz w:val="24"/>
          <w:szCs w:val="24"/>
        </w:rPr>
        <w:t xml:space="preserve">associated with smart city rhetoric </w:t>
      </w:r>
      <w:r w:rsidRPr="00216FF6">
        <w:rPr>
          <w:sz w:val="24"/>
          <w:szCs w:val="24"/>
        </w:rPr>
        <w:t xml:space="preserve">are not beneficial, nor that the public sector </w:t>
      </w:r>
      <w:proofErr w:type="spellStart"/>
      <w:r w:rsidRPr="00216FF6">
        <w:rPr>
          <w:sz w:val="24"/>
          <w:szCs w:val="24"/>
        </w:rPr>
        <w:t>organisations</w:t>
      </w:r>
      <w:proofErr w:type="spellEnd"/>
      <w:r w:rsidRPr="00216FF6">
        <w:rPr>
          <w:sz w:val="24"/>
          <w:szCs w:val="24"/>
        </w:rPr>
        <w:t xml:space="preserve"> who implement them are not sincere about improving the lives of citizens. However, in order for individuals and communities to be able to place trust in public sector IoT deployments, there must be transparency regarding the functionality, origins </w:t>
      </w:r>
      <w:r w:rsidRPr="00216FF6">
        <w:rPr>
          <w:sz w:val="24"/>
          <w:szCs w:val="24"/>
        </w:rPr>
        <w:lastRenderedPageBreak/>
        <w:t xml:space="preserve">and risks entailed. The technologies must be properly implemented and the significant challenges of privacy and governance, particularly </w:t>
      </w:r>
      <w:r w:rsidR="00A93327" w:rsidRPr="00216FF6">
        <w:rPr>
          <w:sz w:val="24"/>
          <w:szCs w:val="24"/>
        </w:rPr>
        <w:t>with respect</w:t>
      </w:r>
      <w:r w:rsidRPr="00216FF6">
        <w:rPr>
          <w:sz w:val="24"/>
          <w:szCs w:val="24"/>
        </w:rPr>
        <w:t xml:space="preserve"> to data sharing</w:t>
      </w:r>
      <w:r w:rsidR="00CA06D9">
        <w:rPr>
          <w:sz w:val="24"/>
          <w:szCs w:val="24"/>
        </w:rPr>
        <w:t xml:space="preserve"> and ownership</w:t>
      </w:r>
      <w:r w:rsidRPr="00216FF6">
        <w:rPr>
          <w:sz w:val="24"/>
          <w:szCs w:val="24"/>
        </w:rPr>
        <w:t>, must be fully addressed. Meaningful accountability</w:t>
      </w:r>
      <w:r w:rsidR="00A93327" w:rsidRPr="00216FF6">
        <w:rPr>
          <w:sz w:val="24"/>
          <w:szCs w:val="24"/>
        </w:rPr>
        <w:t xml:space="preserve"> to</w:t>
      </w:r>
      <w:r w:rsidRPr="00216FF6">
        <w:rPr>
          <w:sz w:val="24"/>
          <w:szCs w:val="24"/>
        </w:rPr>
        <w:t xml:space="preserve"> and protection of the public must be incorporated into the new norms of technology as a facet of public service provision, </w:t>
      </w:r>
      <w:r w:rsidR="00F93690">
        <w:rPr>
          <w:sz w:val="24"/>
          <w:szCs w:val="24"/>
        </w:rPr>
        <w:t>in order for</w:t>
      </w:r>
      <w:r w:rsidRPr="00216FF6">
        <w:rPr>
          <w:sz w:val="24"/>
          <w:szCs w:val="24"/>
        </w:rPr>
        <w:t xml:space="preserve"> data </w:t>
      </w:r>
      <w:r w:rsidR="00F93690">
        <w:rPr>
          <w:sz w:val="24"/>
          <w:szCs w:val="24"/>
        </w:rPr>
        <w:t>to add</w:t>
      </w:r>
      <w:r w:rsidRPr="00216FF6">
        <w:rPr>
          <w:sz w:val="24"/>
          <w:szCs w:val="24"/>
        </w:rPr>
        <w:t xml:space="preserve"> value and enhance</w:t>
      </w:r>
      <w:r w:rsidR="00F93690">
        <w:rPr>
          <w:sz w:val="24"/>
          <w:szCs w:val="24"/>
        </w:rPr>
        <w:t xml:space="preserve"> the</w:t>
      </w:r>
      <w:r w:rsidRPr="00216FF6">
        <w:rPr>
          <w:sz w:val="24"/>
          <w:szCs w:val="24"/>
        </w:rPr>
        <w:t xml:space="preserve"> rights to all of society, rather than just a particular section of it.</w:t>
      </w:r>
    </w:p>
    <w:p w14:paraId="7069C615" w14:textId="407EE974" w:rsidR="00902A00" w:rsidRPr="00216FF6" w:rsidRDefault="00902A00" w:rsidP="00216FF6">
      <w:pPr>
        <w:pStyle w:val="SectionHeading"/>
        <w:jc w:val="left"/>
        <w:outlineLvl w:val="0"/>
        <w:rPr>
          <w:szCs w:val="24"/>
        </w:rPr>
      </w:pPr>
      <w:r w:rsidRPr="00216FF6">
        <w:rPr>
          <w:szCs w:val="24"/>
        </w:rPr>
        <w:t>Disclosure statements:</w:t>
      </w:r>
    </w:p>
    <w:p w14:paraId="792DA693" w14:textId="77777777" w:rsidR="00902A00" w:rsidRPr="00216FF6" w:rsidRDefault="00902A00" w:rsidP="00216FF6">
      <w:pPr>
        <w:pStyle w:val="Text"/>
        <w:jc w:val="left"/>
        <w:rPr>
          <w:i/>
          <w:sz w:val="24"/>
          <w:szCs w:val="24"/>
        </w:rPr>
      </w:pPr>
      <w:r w:rsidRPr="00216FF6">
        <w:rPr>
          <w:i/>
          <w:sz w:val="24"/>
          <w:szCs w:val="24"/>
        </w:rPr>
        <w:t xml:space="preserve">Acknowledgements: </w:t>
      </w:r>
    </w:p>
    <w:p w14:paraId="24E1061F" w14:textId="319D0FED" w:rsidR="00902A00" w:rsidRPr="00216FF6" w:rsidRDefault="00902A00" w:rsidP="00216FF6">
      <w:pPr>
        <w:pStyle w:val="Text"/>
        <w:jc w:val="left"/>
        <w:rPr>
          <w:sz w:val="24"/>
          <w:szCs w:val="24"/>
        </w:rPr>
      </w:pPr>
      <w:r w:rsidRPr="00216FF6">
        <w:rPr>
          <w:sz w:val="24"/>
          <w:szCs w:val="24"/>
        </w:rPr>
        <w:t xml:space="preserve">We would like to thank the community of Tillydrone in Aberdeen for giving their time to this project. </w:t>
      </w:r>
    </w:p>
    <w:p w14:paraId="2744365D" w14:textId="77777777" w:rsidR="00687A89" w:rsidRPr="00216FF6" w:rsidRDefault="00687A89" w:rsidP="00216FF6">
      <w:pPr>
        <w:pStyle w:val="Text"/>
        <w:jc w:val="left"/>
        <w:rPr>
          <w:sz w:val="24"/>
          <w:szCs w:val="24"/>
        </w:rPr>
      </w:pPr>
    </w:p>
    <w:p w14:paraId="7178B729" w14:textId="3D9A5B03" w:rsidR="00687A89" w:rsidRPr="00216FF6" w:rsidRDefault="00FD3BD6" w:rsidP="00216FF6">
      <w:pPr>
        <w:pStyle w:val="Text"/>
        <w:jc w:val="left"/>
        <w:rPr>
          <w:sz w:val="24"/>
          <w:szCs w:val="24"/>
        </w:rPr>
      </w:pPr>
      <w:r w:rsidRPr="00216FF6">
        <w:rPr>
          <w:sz w:val="24"/>
          <w:szCs w:val="24"/>
        </w:rPr>
        <w:t>A version of this</w:t>
      </w:r>
      <w:r w:rsidR="00687A89" w:rsidRPr="00216FF6">
        <w:rPr>
          <w:sz w:val="24"/>
          <w:szCs w:val="24"/>
        </w:rPr>
        <w:t xml:space="preserve"> work was previously made available </w:t>
      </w:r>
      <w:r w:rsidRPr="00216FF6">
        <w:rPr>
          <w:sz w:val="24"/>
          <w:szCs w:val="24"/>
        </w:rPr>
        <w:t>for the</w:t>
      </w:r>
      <w:r w:rsidR="00687A89" w:rsidRPr="00216FF6">
        <w:rPr>
          <w:sz w:val="24"/>
          <w:szCs w:val="24"/>
        </w:rPr>
        <w:t xml:space="preserve"> Data for Policy conference 2019 </w:t>
      </w:r>
      <w:r w:rsidR="00183480">
        <w:rPr>
          <w:sz w:val="24"/>
          <w:szCs w:val="24"/>
        </w:rPr>
        <w:t>(Jacobs et al, 2019)</w:t>
      </w:r>
    </w:p>
    <w:p w14:paraId="5A33652A" w14:textId="77777777" w:rsidR="00902A00" w:rsidRPr="00216FF6" w:rsidRDefault="00902A00" w:rsidP="00216FF6">
      <w:pPr>
        <w:rPr>
          <w:szCs w:val="24"/>
        </w:rPr>
      </w:pPr>
    </w:p>
    <w:p w14:paraId="22C53FD3" w14:textId="5E4E59AC" w:rsidR="00902A00" w:rsidRPr="00216FF6" w:rsidRDefault="00902A00" w:rsidP="00216FF6">
      <w:pPr>
        <w:rPr>
          <w:szCs w:val="24"/>
        </w:rPr>
      </w:pPr>
      <w:r w:rsidRPr="00216FF6">
        <w:rPr>
          <w:i/>
          <w:szCs w:val="24"/>
        </w:rPr>
        <w:t>Data availability statement:</w:t>
      </w:r>
      <w:r w:rsidRPr="00216FF6">
        <w:rPr>
          <w:szCs w:val="24"/>
        </w:rPr>
        <w:t xml:space="preserve"> </w:t>
      </w:r>
      <w:r w:rsidR="00900BB4">
        <w:rPr>
          <w:szCs w:val="24"/>
        </w:rPr>
        <w:t>The</w:t>
      </w:r>
      <w:r w:rsidRPr="00216FF6">
        <w:rPr>
          <w:szCs w:val="24"/>
        </w:rPr>
        <w:t xml:space="preserve"> qualitative data collected as part of this research is not openly available, but may be accessed for research purposes by contacting the authors.</w:t>
      </w:r>
      <w:r w:rsidR="00900BB4">
        <w:rPr>
          <w:szCs w:val="24"/>
        </w:rPr>
        <w:t xml:space="preserve"> This is for ethical reasons, due to the nature of the consent given by participants who contributed to the research.</w:t>
      </w:r>
    </w:p>
    <w:p w14:paraId="7D7F3039" w14:textId="77777777" w:rsidR="00902A00" w:rsidRPr="00216FF6" w:rsidRDefault="00902A00" w:rsidP="00216FF6">
      <w:pPr>
        <w:rPr>
          <w:szCs w:val="24"/>
        </w:rPr>
      </w:pPr>
    </w:p>
    <w:p w14:paraId="0B4802B3" w14:textId="4EC97A6E" w:rsidR="00681E1F" w:rsidRPr="00B558A4" w:rsidRDefault="00681E1F" w:rsidP="00216FF6">
      <w:pPr>
        <w:rPr>
          <w:i/>
          <w:szCs w:val="24"/>
        </w:rPr>
      </w:pPr>
      <w:r>
        <w:rPr>
          <w:i/>
          <w:szCs w:val="24"/>
        </w:rPr>
        <w:t>Author contributions:</w:t>
      </w:r>
      <w:r w:rsidR="00B558A4">
        <w:rPr>
          <w:i/>
          <w:szCs w:val="24"/>
        </w:rPr>
        <w:t xml:space="preserve"> </w:t>
      </w:r>
      <w:r w:rsidRPr="00681E1F">
        <w:rPr>
          <w:szCs w:val="24"/>
        </w:rPr>
        <w:t>Conceptualization, N.J., K.S., and C.D.C.; Investigation, N.J., C.D.C., M.M., and P.E.; Writing—Original Draft, N.J.; Writing—Review and Editing, N.J., P.E., C.D.C., M.M and K.S.; Funding Acquisition, P.E., C.D.C., and K.S.</w:t>
      </w:r>
    </w:p>
    <w:p w14:paraId="46471924" w14:textId="77777777" w:rsidR="00681E1F" w:rsidRDefault="00681E1F" w:rsidP="00216FF6">
      <w:pPr>
        <w:rPr>
          <w:i/>
          <w:szCs w:val="24"/>
        </w:rPr>
      </w:pPr>
    </w:p>
    <w:p w14:paraId="0673AED4" w14:textId="05AC83C0" w:rsidR="00902A00" w:rsidRPr="00216FF6" w:rsidRDefault="00902A00" w:rsidP="00216FF6">
      <w:pPr>
        <w:rPr>
          <w:i/>
          <w:szCs w:val="24"/>
        </w:rPr>
      </w:pPr>
      <w:r w:rsidRPr="00216FF6">
        <w:rPr>
          <w:i/>
          <w:szCs w:val="24"/>
        </w:rPr>
        <w:t xml:space="preserve">Funding statement: </w:t>
      </w:r>
    </w:p>
    <w:p w14:paraId="569B6431" w14:textId="0CEC5286" w:rsidR="006F0D6C" w:rsidRPr="00216FF6" w:rsidRDefault="00185CDA" w:rsidP="003C6799">
      <w:pPr>
        <w:rPr>
          <w:szCs w:val="24"/>
        </w:rPr>
        <w:sectPr w:rsidR="006F0D6C" w:rsidRPr="00216FF6" w:rsidSect="006F0D6C">
          <w:type w:val="continuous"/>
          <w:pgSz w:w="12240" w:h="15840"/>
          <w:pgMar w:top="1080" w:right="1080" w:bottom="1797" w:left="1080" w:header="720" w:footer="720" w:gutter="0"/>
          <w:cols w:space="540"/>
        </w:sectPr>
      </w:pPr>
      <w:r w:rsidRPr="00216FF6">
        <w:rPr>
          <w:szCs w:val="24"/>
        </w:rPr>
        <w:t xml:space="preserve">This research was funded through the </w:t>
      </w:r>
      <w:proofErr w:type="spellStart"/>
      <w:r w:rsidRPr="00216FF6">
        <w:rPr>
          <w:szCs w:val="24"/>
        </w:rPr>
        <w:t>TrustLens</w:t>
      </w:r>
      <w:proofErr w:type="spellEnd"/>
      <w:r w:rsidRPr="00216FF6">
        <w:rPr>
          <w:szCs w:val="24"/>
        </w:rPr>
        <w:t xml:space="preserve"> project, supported by the award made by the RCUK Digital Economy </w:t>
      </w:r>
      <w:proofErr w:type="spellStart"/>
      <w:r w:rsidRPr="00216FF6">
        <w:rPr>
          <w:szCs w:val="24"/>
        </w:rPr>
        <w:t>programme</w:t>
      </w:r>
      <w:proofErr w:type="spellEnd"/>
      <w:r w:rsidRPr="00216FF6">
        <w:rPr>
          <w:szCs w:val="24"/>
        </w:rPr>
        <w:t xml:space="preserve"> to the University of Aberdeen; award reference: EP/N028074/1.</w:t>
      </w:r>
      <w:r w:rsidR="00687A89" w:rsidRPr="00216FF6">
        <w:rPr>
          <w:szCs w:val="24"/>
        </w:rPr>
        <w:t xml:space="preserve"> The funder had no role in study design, data collection and analysis, decision t</w:t>
      </w:r>
      <w:r w:rsidR="000B2357">
        <w:rPr>
          <w:szCs w:val="24"/>
        </w:rPr>
        <w:t xml:space="preserve">o </w:t>
      </w:r>
      <w:r w:rsidR="000B2357" w:rsidRPr="000B2357">
        <w:rPr>
          <w:szCs w:val="24"/>
        </w:rPr>
        <w:t>publish, or preparation of the manuscript.</w:t>
      </w:r>
    </w:p>
    <w:p w14:paraId="48E0F05B" w14:textId="77777777" w:rsidR="006F0D6C" w:rsidRPr="00216FF6" w:rsidRDefault="006F0D6C" w:rsidP="00216FF6">
      <w:pPr>
        <w:rPr>
          <w:szCs w:val="24"/>
        </w:rPr>
        <w:sectPr w:rsidR="006F0D6C" w:rsidRPr="00216FF6" w:rsidSect="006F0D6C">
          <w:type w:val="continuous"/>
          <w:pgSz w:w="12240" w:h="15840"/>
          <w:pgMar w:top="1080" w:right="1080" w:bottom="1797" w:left="1080" w:header="720" w:footer="720" w:gutter="0"/>
          <w:cols w:space="540"/>
        </w:sectPr>
      </w:pPr>
    </w:p>
    <w:p w14:paraId="3794ED3A" w14:textId="225F9B99" w:rsidR="00902A00" w:rsidRPr="00216FF6" w:rsidRDefault="00902A00" w:rsidP="00216FF6">
      <w:pPr>
        <w:rPr>
          <w:szCs w:val="24"/>
        </w:rPr>
      </w:pPr>
    </w:p>
    <w:p w14:paraId="5F07A1F1" w14:textId="77777777" w:rsidR="00902A00" w:rsidRPr="00216FF6" w:rsidRDefault="00902A00" w:rsidP="00216FF6">
      <w:pPr>
        <w:rPr>
          <w:i/>
          <w:szCs w:val="24"/>
        </w:rPr>
      </w:pPr>
      <w:r w:rsidRPr="00216FF6">
        <w:rPr>
          <w:i/>
          <w:szCs w:val="24"/>
        </w:rPr>
        <w:t xml:space="preserve">Conflicts of Interest: </w:t>
      </w:r>
    </w:p>
    <w:p w14:paraId="0B7D74D1" w14:textId="1F06B2D7" w:rsidR="00902A00" w:rsidRPr="00216FF6" w:rsidRDefault="00902A00" w:rsidP="00216FF6">
      <w:pPr>
        <w:rPr>
          <w:szCs w:val="24"/>
        </w:rPr>
      </w:pPr>
      <w:r w:rsidRPr="00216FF6">
        <w:rPr>
          <w:szCs w:val="24"/>
        </w:rPr>
        <w:t>The authors declare none.</w:t>
      </w:r>
    </w:p>
    <w:p w14:paraId="5B10ADCA" w14:textId="77777777" w:rsidR="00E041A8" w:rsidRPr="00216FF6" w:rsidRDefault="00E041A8" w:rsidP="00216FF6">
      <w:pPr>
        <w:pStyle w:val="SectionHeading"/>
        <w:jc w:val="left"/>
        <w:outlineLvl w:val="0"/>
        <w:rPr>
          <w:szCs w:val="24"/>
        </w:rPr>
      </w:pPr>
      <w:r w:rsidRPr="00216FF6">
        <w:rPr>
          <w:szCs w:val="24"/>
        </w:rPr>
        <w:t>References</w:t>
      </w:r>
    </w:p>
    <w:p w14:paraId="4E9084C7" w14:textId="77777777" w:rsidR="003C5F1E" w:rsidRPr="00216FF6" w:rsidRDefault="003C5F1E" w:rsidP="00216FF6">
      <w:pPr>
        <w:pStyle w:val="References"/>
        <w:jc w:val="left"/>
        <w:rPr>
          <w:sz w:val="24"/>
          <w:szCs w:val="24"/>
        </w:rPr>
      </w:pPr>
    </w:p>
    <w:p w14:paraId="182786DA" w14:textId="1C9901C7" w:rsidR="009105BB" w:rsidRPr="00216FF6" w:rsidRDefault="009105BB" w:rsidP="00216FF6">
      <w:pPr>
        <w:pStyle w:val="References"/>
        <w:jc w:val="left"/>
        <w:rPr>
          <w:sz w:val="24"/>
          <w:szCs w:val="24"/>
        </w:rPr>
      </w:pPr>
      <w:proofErr w:type="spellStart"/>
      <w:r w:rsidRPr="00216FF6">
        <w:rPr>
          <w:sz w:val="24"/>
          <w:szCs w:val="24"/>
        </w:rPr>
        <w:t>Angelidou</w:t>
      </w:r>
      <w:proofErr w:type="spellEnd"/>
      <w:r w:rsidRPr="00216FF6">
        <w:rPr>
          <w:sz w:val="24"/>
          <w:szCs w:val="24"/>
        </w:rPr>
        <w:t xml:space="preserve">, M. (2014). Smart city policies: A spatial approach. </w:t>
      </w:r>
      <w:r w:rsidRPr="00216FF6">
        <w:rPr>
          <w:i/>
          <w:sz w:val="24"/>
          <w:szCs w:val="24"/>
        </w:rPr>
        <w:t>Cities</w:t>
      </w:r>
      <w:r w:rsidRPr="00216FF6">
        <w:rPr>
          <w:sz w:val="24"/>
          <w:szCs w:val="24"/>
        </w:rPr>
        <w:t>, 41, S3–S11.</w:t>
      </w:r>
    </w:p>
    <w:p w14:paraId="3F6D24B9" w14:textId="77777777" w:rsidR="009105BB" w:rsidRPr="00216FF6" w:rsidRDefault="009105BB" w:rsidP="00216FF6">
      <w:pPr>
        <w:pStyle w:val="References"/>
        <w:jc w:val="left"/>
        <w:rPr>
          <w:sz w:val="24"/>
          <w:szCs w:val="24"/>
        </w:rPr>
      </w:pPr>
    </w:p>
    <w:p w14:paraId="1942B2CB" w14:textId="043BAD78" w:rsidR="003C5F1E" w:rsidRPr="00216FF6" w:rsidRDefault="003C5F1E" w:rsidP="00216FF6">
      <w:pPr>
        <w:pStyle w:val="References"/>
        <w:jc w:val="left"/>
        <w:rPr>
          <w:sz w:val="24"/>
          <w:szCs w:val="24"/>
        </w:rPr>
      </w:pPr>
      <w:r w:rsidRPr="00216FF6">
        <w:rPr>
          <w:sz w:val="24"/>
          <w:szCs w:val="24"/>
        </w:rPr>
        <w:t xml:space="preserve">Ashton, K. (2009). That ‘internet of things’ thing. </w:t>
      </w:r>
      <w:r w:rsidRPr="00093D33">
        <w:rPr>
          <w:i/>
          <w:sz w:val="24"/>
          <w:szCs w:val="24"/>
        </w:rPr>
        <w:t>RFID journal</w:t>
      </w:r>
      <w:r w:rsidRPr="00216FF6">
        <w:rPr>
          <w:sz w:val="24"/>
          <w:szCs w:val="24"/>
        </w:rPr>
        <w:t>, 22(7), 97-114.</w:t>
      </w:r>
    </w:p>
    <w:p w14:paraId="007A97A9" w14:textId="77777777" w:rsidR="003C5F1E" w:rsidRPr="00216FF6" w:rsidRDefault="003C5F1E" w:rsidP="00216FF6">
      <w:pPr>
        <w:pStyle w:val="References"/>
        <w:jc w:val="left"/>
        <w:rPr>
          <w:sz w:val="24"/>
          <w:szCs w:val="24"/>
        </w:rPr>
      </w:pPr>
    </w:p>
    <w:p w14:paraId="5959F2BA" w14:textId="37D50023" w:rsidR="008641A4" w:rsidRPr="00216FF6" w:rsidRDefault="008641A4" w:rsidP="00216FF6">
      <w:pPr>
        <w:pStyle w:val="References"/>
        <w:jc w:val="left"/>
        <w:rPr>
          <w:sz w:val="24"/>
          <w:szCs w:val="24"/>
        </w:rPr>
      </w:pPr>
      <w:r w:rsidRPr="00216FF6">
        <w:rPr>
          <w:sz w:val="24"/>
          <w:szCs w:val="24"/>
        </w:rPr>
        <w:t xml:space="preserve">Bosch, T. (2012). Sci-Fi writer Bruce Sterling explains the intriguing new concept of Design Fiction. </w:t>
      </w:r>
      <w:r w:rsidRPr="00093D33">
        <w:rPr>
          <w:i/>
          <w:sz w:val="24"/>
          <w:szCs w:val="24"/>
        </w:rPr>
        <w:t>Slate</w:t>
      </w:r>
      <w:r w:rsidRPr="00216FF6">
        <w:rPr>
          <w:sz w:val="24"/>
          <w:szCs w:val="24"/>
        </w:rPr>
        <w:t>, March, 2</w:t>
      </w:r>
    </w:p>
    <w:p w14:paraId="0D3C11B2" w14:textId="77777777" w:rsidR="008641A4" w:rsidRPr="00216FF6" w:rsidRDefault="008641A4" w:rsidP="00216FF6">
      <w:pPr>
        <w:pStyle w:val="References"/>
        <w:jc w:val="left"/>
        <w:rPr>
          <w:sz w:val="24"/>
          <w:szCs w:val="24"/>
        </w:rPr>
      </w:pPr>
    </w:p>
    <w:p w14:paraId="5E85B3F5" w14:textId="6AC1B16B" w:rsidR="00915B26" w:rsidRPr="00216FF6" w:rsidRDefault="00915B26" w:rsidP="00216FF6">
      <w:pPr>
        <w:pStyle w:val="References"/>
        <w:jc w:val="left"/>
        <w:rPr>
          <w:sz w:val="24"/>
          <w:szCs w:val="24"/>
        </w:rPr>
      </w:pPr>
      <w:r w:rsidRPr="00216FF6">
        <w:rPr>
          <w:sz w:val="24"/>
          <w:szCs w:val="24"/>
        </w:rPr>
        <w:t xml:space="preserve">Davidson, J. (2018) Renfrewshire uses internet of things technology to detect fuel poverty. </w:t>
      </w:r>
      <w:r w:rsidRPr="00216FF6">
        <w:rPr>
          <w:i/>
          <w:sz w:val="24"/>
          <w:szCs w:val="24"/>
        </w:rPr>
        <w:t>Holyrood</w:t>
      </w:r>
      <w:r w:rsidRPr="00216FF6">
        <w:rPr>
          <w:sz w:val="24"/>
          <w:szCs w:val="24"/>
        </w:rPr>
        <w:t xml:space="preserve"> 24 January. Available online </w:t>
      </w:r>
      <w:hyperlink r:id="rId11" w:history="1">
        <w:r w:rsidRPr="00216FF6">
          <w:rPr>
            <w:rStyle w:val="Hyperlink"/>
            <w:sz w:val="24"/>
            <w:szCs w:val="24"/>
          </w:rPr>
          <w:t>https://www.holyrood.com/articles/news/renfrewshire-uses-internet-things-technology-detect-fuel-poverty</w:t>
        </w:r>
      </w:hyperlink>
      <w:r w:rsidRPr="00216FF6">
        <w:rPr>
          <w:sz w:val="24"/>
          <w:szCs w:val="24"/>
        </w:rPr>
        <w:t xml:space="preserve"> </w:t>
      </w:r>
    </w:p>
    <w:p w14:paraId="4A55ABA0" w14:textId="77777777" w:rsidR="00915B26" w:rsidRPr="00216FF6" w:rsidRDefault="00915B26" w:rsidP="00216FF6">
      <w:pPr>
        <w:pStyle w:val="References"/>
        <w:jc w:val="left"/>
        <w:rPr>
          <w:sz w:val="24"/>
          <w:szCs w:val="24"/>
        </w:rPr>
      </w:pPr>
    </w:p>
    <w:p w14:paraId="2013E175" w14:textId="0B49243E" w:rsidR="00FB175D" w:rsidRPr="00216FF6" w:rsidRDefault="00FB175D" w:rsidP="00216FF6">
      <w:pPr>
        <w:pStyle w:val="References"/>
        <w:jc w:val="left"/>
        <w:rPr>
          <w:sz w:val="24"/>
          <w:szCs w:val="24"/>
        </w:rPr>
      </w:pPr>
      <w:r w:rsidRPr="00216FF6">
        <w:rPr>
          <w:sz w:val="24"/>
          <w:szCs w:val="24"/>
        </w:rPr>
        <w:t xml:space="preserve">Department for Business, Energy &amp; Industrial Strategy, (2016). </w:t>
      </w:r>
      <w:r w:rsidRPr="00093D33">
        <w:rPr>
          <w:i/>
          <w:sz w:val="24"/>
          <w:szCs w:val="24"/>
        </w:rPr>
        <w:t xml:space="preserve">Smart Meters Implementation </w:t>
      </w:r>
      <w:proofErr w:type="spellStart"/>
      <w:r w:rsidRPr="00093D33">
        <w:rPr>
          <w:i/>
          <w:sz w:val="24"/>
          <w:szCs w:val="24"/>
        </w:rPr>
        <w:t>Programme</w:t>
      </w:r>
      <w:proofErr w:type="spellEnd"/>
      <w:r w:rsidRPr="00093D33">
        <w:rPr>
          <w:i/>
          <w:sz w:val="24"/>
          <w:szCs w:val="24"/>
        </w:rPr>
        <w:t xml:space="preserve"> 2016 progress update.</w:t>
      </w:r>
      <w:r w:rsidRPr="00216FF6">
        <w:rPr>
          <w:sz w:val="24"/>
          <w:szCs w:val="24"/>
        </w:rPr>
        <w:t xml:space="preserve"> UK Government. </w:t>
      </w:r>
      <w:hyperlink r:id="rId12" w:history="1">
        <w:r w:rsidRPr="00216FF6">
          <w:rPr>
            <w:rStyle w:val="Hyperlink"/>
            <w:sz w:val="24"/>
            <w:szCs w:val="24"/>
          </w:rPr>
          <w:t>https://assets.publishing.service.gov.uk/government/uploads/system/uploads/attachment_data/file/671929/Smart_Meters_2016_progress_update.pdf</w:t>
        </w:r>
      </w:hyperlink>
      <w:r w:rsidRPr="00216FF6">
        <w:rPr>
          <w:sz w:val="24"/>
          <w:szCs w:val="24"/>
        </w:rPr>
        <w:t xml:space="preserve"> </w:t>
      </w:r>
    </w:p>
    <w:p w14:paraId="35BCFBC1" w14:textId="77777777" w:rsidR="00FB175D" w:rsidRPr="00216FF6" w:rsidRDefault="00FB175D" w:rsidP="00216FF6">
      <w:pPr>
        <w:pStyle w:val="References"/>
        <w:jc w:val="left"/>
        <w:rPr>
          <w:sz w:val="24"/>
          <w:szCs w:val="24"/>
        </w:rPr>
      </w:pPr>
    </w:p>
    <w:p w14:paraId="29E800FD" w14:textId="77777777" w:rsidR="0031687E" w:rsidRPr="00216FF6" w:rsidRDefault="00E041A8" w:rsidP="00216FF6">
      <w:pPr>
        <w:pStyle w:val="References"/>
        <w:jc w:val="left"/>
        <w:rPr>
          <w:sz w:val="24"/>
          <w:szCs w:val="24"/>
        </w:rPr>
      </w:pPr>
      <w:proofErr w:type="spellStart"/>
      <w:r w:rsidRPr="00216FF6">
        <w:rPr>
          <w:sz w:val="24"/>
          <w:szCs w:val="24"/>
        </w:rPr>
        <w:lastRenderedPageBreak/>
        <w:t>Engelmore</w:t>
      </w:r>
      <w:proofErr w:type="spellEnd"/>
      <w:r w:rsidRPr="00216FF6">
        <w:rPr>
          <w:sz w:val="24"/>
          <w:szCs w:val="24"/>
        </w:rPr>
        <w:t xml:space="preserve">, R., and Morgan, A. eds. 1986. </w:t>
      </w:r>
      <w:r w:rsidRPr="00216FF6">
        <w:rPr>
          <w:i/>
          <w:sz w:val="24"/>
          <w:szCs w:val="24"/>
        </w:rPr>
        <w:t xml:space="preserve">Blackboard </w:t>
      </w:r>
      <w:r w:rsidR="006027BF" w:rsidRPr="00216FF6">
        <w:rPr>
          <w:i/>
          <w:sz w:val="24"/>
          <w:szCs w:val="24"/>
        </w:rPr>
        <w:t>Sys</w:t>
      </w:r>
      <w:r w:rsidR="006027BF" w:rsidRPr="00216FF6">
        <w:rPr>
          <w:i/>
          <w:sz w:val="24"/>
          <w:szCs w:val="24"/>
        </w:rPr>
        <w:softHyphen/>
        <w:t>tems</w:t>
      </w:r>
      <w:r w:rsidRPr="00216FF6">
        <w:rPr>
          <w:i/>
          <w:sz w:val="24"/>
          <w:szCs w:val="24"/>
        </w:rPr>
        <w:t>.</w:t>
      </w:r>
      <w:r w:rsidRPr="00216FF6">
        <w:rPr>
          <w:sz w:val="24"/>
          <w:szCs w:val="24"/>
        </w:rPr>
        <w:t xml:space="preserve"> Reading, Mass.: Addison-Wesley.</w:t>
      </w:r>
    </w:p>
    <w:p w14:paraId="0027D2A6" w14:textId="77777777" w:rsidR="00980F73" w:rsidRPr="00216FF6" w:rsidRDefault="00980F73" w:rsidP="00216FF6">
      <w:pPr>
        <w:pStyle w:val="References"/>
        <w:jc w:val="left"/>
        <w:rPr>
          <w:sz w:val="24"/>
          <w:szCs w:val="24"/>
        </w:rPr>
      </w:pPr>
    </w:p>
    <w:p w14:paraId="732DC63E" w14:textId="57523402" w:rsidR="009105BB" w:rsidRPr="00216FF6" w:rsidRDefault="009105BB" w:rsidP="00216FF6">
      <w:pPr>
        <w:pStyle w:val="References"/>
        <w:jc w:val="left"/>
        <w:rPr>
          <w:sz w:val="24"/>
          <w:szCs w:val="24"/>
        </w:rPr>
      </w:pPr>
      <w:r w:rsidRPr="00216FF6">
        <w:rPr>
          <w:sz w:val="24"/>
          <w:szCs w:val="24"/>
        </w:rPr>
        <w:t xml:space="preserve">Future Cities Catapult. (2017). </w:t>
      </w:r>
      <w:r w:rsidRPr="00216FF6">
        <w:rPr>
          <w:i/>
          <w:sz w:val="24"/>
          <w:szCs w:val="24"/>
        </w:rPr>
        <w:t>Smart City Strategies: A Global Review 2017.</w:t>
      </w:r>
      <w:r w:rsidRPr="00216FF6">
        <w:rPr>
          <w:sz w:val="24"/>
          <w:szCs w:val="24"/>
        </w:rPr>
        <w:t xml:space="preserve"> Future Cities Catapult. https://futurecities.catapult.org.uk/wp-content/uploads/2017/11/GRSCS-Final-Report.pdf</w:t>
      </w:r>
    </w:p>
    <w:p w14:paraId="3E1B3342" w14:textId="77777777" w:rsidR="009105BB" w:rsidRPr="00216FF6" w:rsidRDefault="009105BB" w:rsidP="00216FF6">
      <w:pPr>
        <w:pStyle w:val="References"/>
        <w:jc w:val="left"/>
        <w:rPr>
          <w:sz w:val="24"/>
          <w:szCs w:val="24"/>
        </w:rPr>
      </w:pPr>
    </w:p>
    <w:p w14:paraId="48821A8D" w14:textId="5488A27E" w:rsidR="009105BB" w:rsidRPr="00216FF6" w:rsidRDefault="009105BB" w:rsidP="00216FF6">
      <w:pPr>
        <w:pStyle w:val="References"/>
        <w:jc w:val="left"/>
        <w:rPr>
          <w:sz w:val="24"/>
          <w:szCs w:val="24"/>
        </w:rPr>
      </w:pPr>
      <w:r w:rsidRPr="00216FF6">
        <w:rPr>
          <w:sz w:val="24"/>
          <w:szCs w:val="24"/>
        </w:rPr>
        <w:t xml:space="preserve">Gartner. (2017). </w:t>
      </w:r>
      <w:r w:rsidRPr="00216FF6">
        <w:rPr>
          <w:i/>
          <w:sz w:val="24"/>
          <w:szCs w:val="24"/>
        </w:rPr>
        <w:t>Leading the IoT: Gartner insights on how to lead in a connected world.</w:t>
      </w:r>
      <w:r w:rsidR="00D86097" w:rsidRPr="00216FF6">
        <w:rPr>
          <w:sz w:val="24"/>
          <w:szCs w:val="24"/>
        </w:rPr>
        <w:t xml:space="preserve"> Gartner. https://</w:t>
      </w:r>
      <w:r w:rsidRPr="00216FF6">
        <w:rPr>
          <w:sz w:val="24"/>
          <w:szCs w:val="24"/>
        </w:rPr>
        <w:t>gartner.com/images</w:t>
      </w:r>
      <w:r w:rsidR="00D86097" w:rsidRPr="00216FF6">
        <w:rPr>
          <w:sz w:val="24"/>
          <w:szCs w:val="24"/>
        </w:rPr>
        <w:t>rv/books/iot/iotEbook_digital.pd</w:t>
      </w:r>
      <w:r w:rsidRPr="00216FF6">
        <w:rPr>
          <w:sz w:val="24"/>
          <w:szCs w:val="24"/>
        </w:rPr>
        <w:t>f</w:t>
      </w:r>
    </w:p>
    <w:p w14:paraId="42417E4C" w14:textId="77777777" w:rsidR="009105BB" w:rsidRPr="00216FF6" w:rsidRDefault="009105BB" w:rsidP="00216FF6">
      <w:pPr>
        <w:pStyle w:val="References"/>
        <w:jc w:val="left"/>
        <w:rPr>
          <w:sz w:val="24"/>
          <w:szCs w:val="24"/>
        </w:rPr>
      </w:pPr>
    </w:p>
    <w:p w14:paraId="7960FA0B" w14:textId="77777777" w:rsidR="00980F73" w:rsidRPr="00216FF6" w:rsidRDefault="00980F73" w:rsidP="00216FF6">
      <w:pPr>
        <w:pStyle w:val="References"/>
        <w:jc w:val="left"/>
        <w:rPr>
          <w:sz w:val="24"/>
          <w:szCs w:val="24"/>
        </w:rPr>
      </w:pPr>
      <w:proofErr w:type="spellStart"/>
      <w:r w:rsidRPr="00216FF6">
        <w:rPr>
          <w:sz w:val="24"/>
          <w:szCs w:val="24"/>
        </w:rPr>
        <w:t>Gunashekar</w:t>
      </w:r>
      <w:proofErr w:type="spellEnd"/>
      <w:r w:rsidRPr="00216FF6">
        <w:rPr>
          <w:sz w:val="24"/>
          <w:szCs w:val="24"/>
        </w:rPr>
        <w:t xml:space="preserve">, S., </w:t>
      </w:r>
      <w:proofErr w:type="spellStart"/>
      <w:r w:rsidRPr="00216FF6">
        <w:rPr>
          <w:sz w:val="24"/>
          <w:szCs w:val="24"/>
        </w:rPr>
        <w:t>Spisak</w:t>
      </w:r>
      <w:proofErr w:type="spellEnd"/>
      <w:r w:rsidRPr="00216FF6">
        <w:rPr>
          <w:sz w:val="24"/>
          <w:szCs w:val="24"/>
        </w:rPr>
        <w:t xml:space="preserve">, A., Dean, K., Ryan, N., </w:t>
      </w:r>
      <w:proofErr w:type="spellStart"/>
      <w:r w:rsidRPr="00216FF6">
        <w:rPr>
          <w:sz w:val="24"/>
          <w:szCs w:val="24"/>
        </w:rPr>
        <w:t>Lepetit</w:t>
      </w:r>
      <w:proofErr w:type="spellEnd"/>
      <w:r w:rsidRPr="00216FF6">
        <w:rPr>
          <w:sz w:val="24"/>
          <w:szCs w:val="24"/>
        </w:rPr>
        <w:t xml:space="preserve">, L., &amp; Cornish, P. (2016). </w:t>
      </w:r>
      <w:r w:rsidRPr="00093D33">
        <w:rPr>
          <w:i/>
          <w:sz w:val="24"/>
          <w:szCs w:val="24"/>
        </w:rPr>
        <w:t>Accelerating the Internet of Things in the UK</w:t>
      </w:r>
      <w:r w:rsidRPr="00216FF6">
        <w:rPr>
          <w:sz w:val="24"/>
          <w:szCs w:val="24"/>
        </w:rPr>
        <w:t>. Santa Monica, Calif., and Cambridge, UK: Rand Corporation.</w:t>
      </w:r>
    </w:p>
    <w:p w14:paraId="7BBD6D14" w14:textId="77777777" w:rsidR="008B2978" w:rsidRPr="00216FF6" w:rsidRDefault="008B2978" w:rsidP="00216FF6">
      <w:pPr>
        <w:pStyle w:val="References"/>
        <w:jc w:val="left"/>
        <w:rPr>
          <w:sz w:val="24"/>
          <w:szCs w:val="24"/>
        </w:rPr>
      </w:pPr>
    </w:p>
    <w:p w14:paraId="29C83FC0" w14:textId="695C17D9" w:rsidR="00B26FBA" w:rsidRDefault="00B26FBA" w:rsidP="00216FF6">
      <w:pPr>
        <w:pStyle w:val="References"/>
        <w:jc w:val="left"/>
        <w:rPr>
          <w:sz w:val="24"/>
          <w:szCs w:val="24"/>
        </w:rPr>
      </w:pPr>
      <w:proofErr w:type="spellStart"/>
      <w:r w:rsidRPr="00B26FBA">
        <w:rPr>
          <w:sz w:val="24"/>
          <w:szCs w:val="24"/>
        </w:rPr>
        <w:t>Gurstein</w:t>
      </w:r>
      <w:proofErr w:type="spellEnd"/>
      <w:r w:rsidRPr="00B26FBA">
        <w:rPr>
          <w:sz w:val="24"/>
          <w:szCs w:val="24"/>
        </w:rPr>
        <w:t xml:space="preserve">, M. B. (2011). Open data: Empowering the empowered or effective data use for </w:t>
      </w:r>
      <w:proofErr w:type="gramStart"/>
      <w:r w:rsidRPr="00B26FBA">
        <w:rPr>
          <w:sz w:val="24"/>
          <w:szCs w:val="24"/>
        </w:rPr>
        <w:t>everyone?.</w:t>
      </w:r>
      <w:proofErr w:type="gramEnd"/>
      <w:r w:rsidRPr="00B26FBA">
        <w:rPr>
          <w:sz w:val="24"/>
          <w:szCs w:val="24"/>
        </w:rPr>
        <w:t xml:space="preserve"> </w:t>
      </w:r>
      <w:r w:rsidRPr="00B26FBA">
        <w:rPr>
          <w:i/>
          <w:sz w:val="24"/>
          <w:szCs w:val="24"/>
        </w:rPr>
        <w:t>First Monday</w:t>
      </w:r>
      <w:r w:rsidRPr="00B26FBA">
        <w:rPr>
          <w:sz w:val="24"/>
          <w:szCs w:val="24"/>
        </w:rPr>
        <w:t>, 16(2).</w:t>
      </w:r>
    </w:p>
    <w:p w14:paraId="4A73A53A" w14:textId="77777777" w:rsidR="00B26FBA" w:rsidRDefault="00B26FBA" w:rsidP="00216FF6">
      <w:pPr>
        <w:pStyle w:val="References"/>
        <w:jc w:val="left"/>
        <w:rPr>
          <w:sz w:val="24"/>
          <w:szCs w:val="24"/>
        </w:rPr>
      </w:pPr>
    </w:p>
    <w:p w14:paraId="184BAA80" w14:textId="02427448" w:rsidR="00A022AA" w:rsidRPr="00216FF6" w:rsidRDefault="00A022AA" w:rsidP="00216FF6">
      <w:pPr>
        <w:pStyle w:val="References"/>
        <w:jc w:val="left"/>
        <w:rPr>
          <w:sz w:val="24"/>
          <w:szCs w:val="24"/>
        </w:rPr>
      </w:pPr>
      <w:r w:rsidRPr="00216FF6">
        <w:rPr>
          <w:sz w:val="24"/>
          <w:szCs w:val="24"/>
        </w:rPr>
        <w:t xml:space="preserve">Hill, N., Gibson, G., </w:t>
      </w:r>
      <w:proofErr w:type="spellStart"/>
      <w:r w:rsidRPr="00216FF6">
        <w:rPr>
          <w:sz w:val="24"/>
          <w:szCs w:val="24"/>
        </w:rPr>
        <w:t>Guidorzi</w:t>
      </w:r>
      <w:proofErr w:type="spellEnd"/>
      <w:r w:rsidRPr="00216FF6">
        <w:rPr>
          <w:sz w:val="24"/>
          <w:szCs w:val="24"/>
        </w:rPr>
        <w:t xml:space="preserve">, E., Amaral, S., </w:t>
      </w:r>
      <w:proofErr w:type="spellStart"/>
      <w:r w:rsidRPr="00216FF6">
        <w:rPr>
          <w:sz w:val="24"/>
          <w:szCs w:val="24"/>
        </w:rPr>
        <w:t>Parlikad</w:t>
      </w:r>
      <w:proofErr w:type="spellEnd"/>
      <w:r w:rsidRPr="00216FF6">
        <w:rPr>
          <w:sz w:val="24"/>
          <w:szCs w:val="24"/>
        </w:rPr>
        <w:t xml:space="preserve">, A. K., &amp; </w:t>
      </w:r>
      <w:proofErr w:type="spellStart"/>
      <w:r w:rsidRPr="00216FF6">
        <w:rPr>
          <w:sz w:val="24"/>
          <w:szCs w:val="24"/>
        </w:rPr>
        <w:t>Jin</w:t>
      </w:r>
      <w:proofErr w:type="spellEnd"/>
      <w:r w:rsidRPr="00216FF6">
        <w:rPr>
          <w:sz w:val="24"/>
          <w:szCs w:val="24"/>
        </w:rPr>
        <w:t xml:space="preserve">, Y. (2016). </w:t>
      </w:r>
      <w:r w:rsidRPr="00216FF6">
        <w:rPr>
          <w:i/>
          <w:sz w:val="24"/>
          <w:szCs w:val="24"/>
        </w:rPr>
        <w:t>Scoping study into deriving transport benefits from big data and the Internet of Things in smart cities: Final report for Department of Transport</w:t>
      </w:r>
      <w:r w:rsidRPr="00216FF6">
        <w:rPr>
          <w:sz w:val="24"/>
          <w:szCs w:val="24"/>
        </w:rPr>
        <w:t xml:space="preserve">. </w:t>
      </w:r>
      <w:proofErr w:type="spellStart"/>
      <w:r w:rsidRPr="00216FF6">
        <w:rPr>
          <w:sz w:val="24"/>
          <w:szCs w:val="24"/>
        </w:rPr>
        <w:t>Didcot</w:t>
      </w:r>
      <w:proofErr w:type="spellEnd"/>
      <w:r w:rsidRPr="00216FF6">
        <w:rPr>
          <w:sz w:val="24"/>
          <w:szCs w:val="24"/>
        </w:rPr>
        <w:t>, UK: Ricardo Energy &amp; Environment.</w:t>
      </w:r>
    </w:p>
    <w:p w14:paraId="29D8B882" w14:textId="77777777" w:rsidR="00A022AA" w:rsidRPr="00216FF6" w:rsidRDefault="00A022AA" w:rsidP="00216FF6">
      <w:pPr>
        <w:pStyle w:val="References"/>
        <w:jc w:val="left"/>
        <w:rPr>
          <w:sz w:val="24"/>
          <w:szCs w:val="24"/>
        </w:rPr>
      </w:pPr>
    </w:p>
    <w:p w14:paraId="579D52EF" w14:textId="28749388" w:rsidR="0075316D" w:rsidRDefault="000B7479" w:rsidP="00216FF6">
      <w:pPr>
        <w:pStyle w:val="References"/>
        <w:jc w:val="left"/>
        <w:rPr>
          <w:sz w:val="24"/>
          <w:szCs w:val="24"/>
        </w:rPr>
      </w:pPr>
      <w:r w:rsidRPr="000B7479">
        <w:rPr>
          <w:sz w:val="24"/>
          <w:szCs w:val="24"/>
        </w:rPr>
        <w:t xml:space="preserve">Hollands, R.G. </w:t>
      </w:r>
      <w:r w:rsidR="008A2C92">
        <w:rPr>
          <w:sz w:val="24"/>
          <w:szCs w:val="24"/>
        </w:rPr>
        <w:t xml:space="preserve">(2008) </w:t>
      </w:r>
      <w:r w:rsidRPr="000B7479">
        <w:rPr>
          <w:sz w:val="24"/>
          <w:szCs w:val="24"/>
        </w:rPr>
        <w:t xml:space="preserve">Will the real smart city please stand up? </w:t>
      </w:r>
      <w:r w:rsidRPr="008A2C92">
        <w:rPr>
          <w:i/>
          <w:sz w:val="24"/>
          <w:szCs w:val="24"/>
        </w:rPr>
        <w:t>City</w:t>
      </w:r>
      <w:r w:rsidRPr="000B7479">
        <w:rPr>
          <w:sz w:val="24"/>
          <w:szCs w:val="24"/>
        </w:rPr>
        <w:t>, 12(3), 303-320.</w:t>
      </w:r>
    </w:p>
    <w:p w14:paraId="1B4C7E0F" w14:textId="608CBB05" w:rsidR="00326CEC" w:rsidRDefault="00326CEC" w:rsidP="00216FF6">
      <w:pPr>
        <w:pStyle w:val="References"/>
        <w:jc w:val="left"/>
        <w:rPr>
          <w:sz w:val="24"/>
          <w:szCs w:val="24"/>
        </w:rPr>
      </w:pPr>
    </w:p>
    <w:p w14:paraId="11EFAA27" w14:textId="359AB5B6" w:rsidR="00326CEC" w:rsidRDefault="00326CEC" w:rsidP="00216FF6">
      <w:pPr>
        <w:pStyle w:val="References"/>
        <w:jc w:val="left"/>
        <w:rPr>
          <w:sz w:val="24"/>
          <w:szCs w:val="24"/>
        </w:rPr>
      </w:pPr>
      <w:r w:rsidRPr="00326CEC">
        <w:rPr>
          <w:sz w:val="24"/>
          <w:szCs w:val="24"/>
        </w:rPr>
        <w:t xml:space="preserve">Hollands, R. G. (2015). Critical interventions into the corporate smart city. </w:t>
      </w:r>
      <w:r w:rsidRPr="00326CEC">
        <w:rPr>
          <w:i/>
          <w:sz w:val="24"/>
          <w:szCs w:val="24"/>
        </w:rPr>
        <w:t>Cambridge Journal of Regions, Economy and Society</w:t>
      </w:r>
      <w:r w:rsidRPr="00326CEC">
        <w:rPr>
          <w:sz w:val="24"/>
          <w:szCs w:val="24"/>
        </w:rPr>
        <w:t>, 8(1), 61-77.</w:t>
      </w:r>
    </w:p>
    <w:p w14:paraId="43269447" w14:textId="77777777" w:rsidR="00183480" w:rsidRDefault="00183480" w:rsidP="00216FF6">
      <w:pPr>
        <w:pStyle w:val="References"/>
        <w:jc w:val="left"/>
        <w:rPr>
          <w:sz w:val="24"/>
          <w:szCs w:val="24"/>
        </w:rPr>
      </w:pPr>
    </w:p>
    <w:p w14:paraId="7B58DA97" w14:textId="65A25C4D" w:rsidR="000B7479" w:rsidRDefault="00183480" w:rsidP="00216FF6">
      <w:pPr>
        <w:pStyle w:val="References"/>
        <w:jc w:val="left"/>
        <w:rPr>
          <w:sz w:val="24"/>
          <w:szCs w:val="24"/>
        </w:rPr>
      </w:pPr>
      <w:r w:rsidRPr="00183480">
        <w:rPr>
          <w:sz w:val="24"/>
          <w:szCs w:val="24"/>
        </w:rPr>
        <w:t xml:space="preserve">Jacobs, Naomi, Edwards, Peter, Markovic, Milan, Caitlin D Cottrill, &amp; Karen Salt. (2019). Public Sector Internet of Things Deployments: Value, Transparency, Risks and Challenges. </w:t>
      </w:r>
      <w:proofErr w:type="spellStart"/>
      <w:r w:rsidRPr="00183480">
        <w:rPr>
          <w:sz w:val="24"/>
          <w:szCs w:val="24"/>
        </w:rPr>
        <w:t>Zenodo</w:t>
      </w:r>
      <w:proofErr w:type="spellEnd"/>
      <w:r w:rsidRPr="00183480">
        <w:rPr>
          <w:sz w:val="24"/>
          <w:szCs w:val="24"/>
        </w:rPr>
        <w:t>. http://doi.org/10.5281/zenodo.2713118</w:t>
      </w:r>
      <w:r>
        <w:rPr>
          <w:sz w:val="24"/>
          <w:szCs w:val="24"/>
        </w:rPr>
        <w:t xml:space="preserve"> </w:t>
      </w:r>
      <w:bookmarkStart w:id="0" w:name="_GoBack"/>
      <w:bookmarkEnd w:id="0"/>
    </w:p>
    <w:p w14:paraId="6DADA0F9" w14:textId="77777777" w:rsidR="00183480" w:rsidRDefault="00183480" w:rsidP="00216FF6">
      <w:pPr>
        <w:pStyle w:val="References"/>
        <w:jc w:val="left"/>
        <w:rPr>
          <w:sz w:val="24"/>
          <w:szCs w:val="24"/>
        </w:rPr>
      </w:pPr>
    </w:p>
    <w:p w14:paraId="18657A4D" w14:textId="1453CB5E" w:rsidR="00980F73" w:rsidRPr="00216FF6" w:rsidRDefault="00980F73" w:rsidP="00216FF6">
      <w:pPr>
        <w:pStyle w:val="References"/>
        <w:jc w:val="left"/>
        <w:rPr>
          <w:sz w:val="24"/>
          <w:szCs w:val="24"/>
        </w:rPr>
      </w:pPr>
      <w:r w:rsidRPr="00216FF6">
        <w:rPr>
          <w:sz w:val="24"/>
          <w:szCs w:val="24"/>
        </w:rPr>
        <w:t>Jacobs, N., Edwards, P., Cottrill, C., Salt, K. (20</w:t>
      </w:r>
      <w:r w:rsidR="0022539F">
        <w:rPr>
          <w:sz w:val="24"/>
          <w:szCs w:val="24"/>
        </w:rPr>
        <w:t>20</w:t>
      </w:r>
      <w:r w:rsidRPr="00216FF6">
        <w:rPr>
          <w:sz w:val="24"/>
          <w:szCs w:val="24"/>
        </w:rPr>
        <w:t xml:space="preserve">, Forthcoming). Governance and Accountability in Internet of Things (IoT) Networks. </w:t>
      </w:r>
      <w:r w:rsidRPr="00093D33">
        <w:rPr>
          <w:i/>
          <w:sz w:val="24"/>
          <w:szCs w:val="24"/>
        </w:rPr>
        <w:t>In Oxford Handbook of Digital Technology and Society</w:t>
      </w:r>
      <w:r w:rsidRPr="00216FF6">
        <w:rPr>
          <w:sz w:val="24"/>
          <w:szCs w:val="24"/>
        </w:rPr>
        <w:t xml:space="preserve">. Ed. Yates, S., &amp; Rice, R. (Oxford University Press) </w:t>
      </w:r>
    </w:p>
    <w:p w14:paraId="7A3C70B9" w14:textId="77777777" w:rsidR="008B2978" w:rsidRPr="00216FF6" w:rsidRDefault="008B2978" w:rsidP="00216FF6">
      <w:pPr>
        <w:pStyle w:val="References"/>
        <w:jc w:val="left"/>
        <w:rPr>
          <w:sz w:val="24"/>
          <w:szCs w:val="24"/>
        </w:rPr>
      </w:pPr>
    </w:p>
    <w:p w14:paraId="69C4B363" w14:textId="35D23E18" w:rsidR="009572BD" w:rsidRPr="00216FF6" w:rsidRDefault="009572BD" w:rsidP="00216FF6">
      <w:pPr>
        <w:pStyle w:val="References"/>
        <w:jc w:val="left"/>
        <w:rPr>
          <w:sz w:val="24"/>
          <w:szCs w:val="24"/>
        </w:rPr>
      </w:pPr>
      <w:proofErr w:type="spellStart"/>
      <w:r w:rsidRPr="00216FF6">
        <w:rPr>
          <w:sz w:val="24"/>
          <w:szCs w:val="24"/>
        </w:rPr>
        <w:t>Kitchin</w:t>
      </w:r>
      <w:proofErr w:type="spellEnd"/>
      <w:r w:rsidRPr="00216FF6">
        <w:rPr>
          <w:sz w:val="24"/>
          <w:szCs w:val="24"/>
        </w:rPr>
        <w:t xml:space="preserve">, R. (2014). The real-time city? Big data and smart urbanism. </w:t>
      </w:r>
      <w:proofErr w:type="spellStart"/>
      <w:r w:rsidRPr="00216FF6">
        <w:rPr>
          <w:sz w:val="24"/>
          <w:szCs w:val="24"/>
        </w:rPr>
        <w:t>GeoJournal</w:t>
      </w:r>
      <w:proofErr w:type="spellEnd"/>
      <w:r w:rsidRPr="00216FF6">
        <w:rPr>
          <w:sz w:val="24"/>
          <w:szCs w:val="24"/>
        </w:rPr>
        <w:t>, 79(1), 1-14.</w:t>
      </w:r>
    </w:p>
    <w:p w14:paraId="3A22CE68" w14:textId="77777777" w:rsidR="009572BD" w:rsidRPr="00216FF6" w:rsidRDefault="009572BD" w:rsidP="00216FF6">
      <w:pPr>
        <w:pStyle w:val="References"/>
        <w:jc w:val="left"/>
        <w:rPr>
          <w:sz w:val="24"/>
          <w:szCs w:val="24"/>
        </w:rPr>
      </w:pPr>
    </w:p>
    <w:p w14:paraId="7F748832" w14:textId="16EE65C4" w:rsidR="009105BB" w:rsidRPr="00216FF6" w:rsidRDefault="009105BB" w:rsidP="00216FF6">
      <w:pPr>
        <w:pStyle w:val="References"/>
        <w:jc w:val="left"/>
        <w:rPr>
          <w:sz w:val="24"/>
          <w:szCs w:val="24"/>
        </w:rPr>
      </w:pPr>
      <w:r w:rsidRPr="00216FF6">
        <w:rPr>
          <w:sz w:val="24"/>
          <w:szCs w:val="24"/>
        </w:rPr>
        <w:t xml:space="preserve">OECD. (2015). </w:t>
      </w:r>
      <w:r w:rsidRPr="00216FF6">
        <w:rPr>
          <w:i/>
          <w:sz w:val="24"/>
          <w:szCs w:val="24"/>
        </w:rPr>
        <w:t>OECD Digital economy outlook 2015</w:t>
      </w:r>
      <w:r w:rsidRPr="00216FF6">
        <w:rPr>
          <w:sz w:val="24"/>
          <w:szCs w:val="24"/>
        </w:rPr>
        <w:t xml:space="preserve">. Paris: OECD Publishing. </w:t>
      </w:r>
      <w:proofErr w:type="spellStart"/>
      <w:proofErr w:type="gramStart"/>
      <w:r w:rsidRPr="00216FF6">
        <w:rPr>
          <w:sz w:val="24"/>
          <w:szCs w:val="24"/>
        </w:rPr>
        <w:t>doi:http</w:t>
      </w:r>
      <w:proofErr w:type="spellEnd"/>
      <w:r w:rsidRPr="00216FF6">
        <w:rPr>
          <w:sz w:val="24"/>
          <w:szCs w:val="24"/>
        </w:rPr>
        <w:t>://dx.doi.org/10.1787/9789264232440-en</w:t>
      </w:r>
      <w:proofErr w:type="gramEnd"/>
      <w:r w:rsidR="00093D33">
        <w:rPr>
          <w:sz w:val="24"/>
          <w:szCs w:val="24"/>
        </w:rPr>
        <w:t xml:space="preserve"> </w:t>
      </w:r>
    </w:p>
    <w:p w14:paraId="46D30AC7" w14:textId="0DEC9C7B" w:rsidR="00D86097" w:rsidRDefault="00D86097" w:rsidP="00216FF6">
      <w:pPr>
        <w:pStyle w:val="References"/>
        <w:jc w:val="left"/>
        <w:rPr>
          <w:sz w:val="24"/>
          <w:szCs w:val="24"/>
        </w:rPr>
      </w:pPr>
    </w:p>
    <w:p w14:paraId="493BC5C4" w14:textId="7B4B6854" w:rsidR="00944D15" w:rsidRDefault="00944D15" w:rsidP="00216FF6">
      <w:pPr>
        <w:pStyle w:val="References"/>
        <w:jc w:val="left"/>
        <w:rPr>
          <w:sz w:val="24"/>
          <w:szCs w:val="24"/>
        </w:rPr>
      </w:pPr>
      <w:r w:rsidRPr="00944D15">
        <w:rPr>
          <w:sz w:val="24"/>
          <w:szCs w:val="24"/>
        </w:rPr>
        <w:t xml:space="preserve">Urquhart, </w:t>
      </w:r>
      <w:r>
        <w:rPr>
          <w:sz w:val="24"/>
          <w:szCs w:val="24"/>
        </w:rPr>
        <w:t xml:space="preserve">L., </w:t>
      </w:r>
      <w:r w:rsidRPr="00944D15">
        <w:rPr>
          <w:sz w:val="24"/>
          <w:szCs w:val="24"/>
        </w:rPr>
        <w:t>Lodge</w:t>
      </w:r>
      <w:r>
        <w:rPr>
          <w:sz w:val="24"/>
          <w:szCs w:val="24"/>
        </w:rPr>
        <w:t>, T.,</w:t>
      </w:r>
      <w:r w:rsidRPr="00944D15">
        <w:rPr>
          <w:sz w:val="24"/>
          <w:szCs w:val="24"/>
        </w:rPr>
        <w:t xml:space="preserve"> Crabtree</w:t>
      </w:r>
      <w:r>
        <w:rPr>
          <w:sz w:val="24"/>
          <w:szCs w:val="24"/>
        </w:rPr>
        <w:t>, A. (2019)</w:t>
      </w:r>
      <w:r w:rsidRPr="00944D15">
        <w:rPr>
          <w:sz w:val="24"/>
          <w:szCs w:val="24"/>
        </w:rPr>
        <w:t xml:space="preserve"> Demonstrably doing accountability in the Internet of Things</w:t>
      </w:r>
      <w:r>
        <w:rPr>
          <w:sz w:val="24"/>
          <w:szCs w:val="24"/>
        </w:rPr>
        <w:t>.</w:t>
      </w:r>
      <w:r w:rsidRPr="00944D15">
        <w:rPr>
          <w:sz w:val="24"/>
          <w:szCs w:val="24"/>
        </w:rPr>
        <w:t xml:space="preserve"> </w:t>
      </w:r>
      <w:r w:rsidRPr="00944D15">
        <w:rPr>
          <w:i/>
          <w:sz w:val="24"/>
          <w:szCs w:val="24"/>
        </w:rPr>
        <w:t>International Journal of Law and Information Technology</w:t>
      </w:r>
      <w:r>
        <w:rPr>
          <w:sz w:val="24"/>
          <w:szCs w:val="24"/>
        </w:rPr>
        <w:t xml:space="preserve"> </w:t>
      </w:r>
      <w:r w:rsidRPr="00944D15">
        <w:rPr>
          <w:sz w:val="24"/>
          <w:szCs w:val="24"/>
        </w:rPr>
        <w:t>27</w:t>
      </w:r>
      <w:r>
        <w:rPr>
          <w:sz w:val="24"/>
          <w:szCs w:val="24"/>
        </w:rPr>
        <w:t xml:space="preserve">(1), </w:t>
      </w:r>
      <w:r w:rsidRPr="00944D15">
        <w:rPr>
          <w:sz w:val="24"/>
          <w:szCs w:val="24"/>
        </w:rPr>
        <w:t>1–27</w:t>
      </w:r>
      <w:r w:rsidR="00093D33">
        <w:rPr>
          <w:sz w:val="24"/>
          <w:szCs w:val="24"/>
        </w:rPr>
        <w:t>.</w:t>
      </w:r>
      <w:r w:rsidRPr="00944D15">
        <w:rPr>
          <w:sz w:val="24"/>
          <w:szCs w:val="24"/>
        </w:rPr>
        <w:t xml:space="preserve"> https://doi.org/10.1093/ijlit/eay015</w:t>
      </w:r>
    </w:p>
    <w:p w14:paraId="78C73942" w14:textId="77777777" w:rsidR="00944D15" w:rsidRPr="00216FF6" w:rsidRDefault="00944D15" w:rsidP="00216FF6">
      <w:pPr>
        <w:pStyle w:val="References"/>
        <w:jc w:val="left"/>
        <w:rPr>
          <w:sz w:val="24"/>
          <w:szCs w:val="24"/>
        </w:rPr>
      </w:pPr>
    </w:p>
    <w:p w14:paraId="4EC64EFB" w14:textId="773B6DA4" w:rsidR="00D4673F" w:rsidRPr="00216FF6" w:rsidRDefault="00D4673F" w:rsidP="00216FF6">
      <w:pPr>
        <w:pStyle w:val="References"/>
        <w:jc w:val="left"/>
        <w:rPr>
          <w:sz w:val="24"/>
          <w:szCs w:val="24"/>
        </w:rPr>
      </w:pPr>
      <w:proofErr w:type="spellStart"/>
      <w:r w:rsidRPr="00216FF6">
        <w:rPr>
          <w:sz w:val="24"/>
          <w:szCs w:val="24"/>
        </w:rPr>
        <w:t>Vagle</w:t>
      </w:r>
      <w:proofErr w:type="spellEnd"/>
      <w:r w:rsidRPr="00216FF6">
        <w:rPr>
          <w:sz w:val="24"/>
          <w:szCs w:val="24"/>
        </w:rPr>
        <w:t xml:space="preserve">, J., 2016. The History, Means, and Effects of Structural Surveillance. </w:t>
      </w:r>
      <w:r w:rsidRPr="00093D33">
        <w:rPr>
          <w:i/>
          <w:sz w:val="24"/>
          <w:szCs w:val="24"/>
        </w:rPr>
        <w:t>U of Penn Law School, Public Law Research Paper,</w:t>
      </w:r>
      <w:r w:rsidRPr="00216FF6">
        <w:rPr>
          <w:sz w:val="24"/>
          <w:szCs w:val="24"/>
        </w:rPr>
        <w:t xml:space="preserve"> (16-3).</w:t>
      </w:r>
    </w:p>
    <w:p w14:paraId="3499D67C" w14:textId="77777777" w:rsidR="009105BB" w:rsidRPr="00216FF6" w:rsidRDefault="009105BB" w:rsidP="00216FF6">
      <w:pPr>
        <w:pStyle w:val="References"/>
        <w:jc w:val="left"/>
        <w:rPr>
          <w:sz w:val="24"/>
          <w:szCs w:val="24"/>
        </w:rPr>
      </w:pPr>
    </w:p>
    <w:p w14:paraId="059985B0" w14:textId="2F0470D6" w:rsidR="00F31BB4" w:rsidRPr="00216FF6" w:rsidRDefault="00980F73" w:rsidP="00216FF6">
      <w:pPr>
        <w:pStyle w:val="References"/>
        <w:jc w:val="left"/>
        <w:rPr>
          <w:sz w:val="24"/>
          <w:szCs w:val="24"/>
        </w:rPr>
      </w:pPr>
      <w:proofErr w:type="spellStart"/>
      <w:r w:rsidRPr="00216FF6">
        <w:rPr>
          <w:sz w:val="24"/>
          <w:szCs w:val="24"/>
        </w:rPr>
        <w:t>Walport</w:t>
      </w:r>
      <w:proofErr w:type="spellEnd"/>
      <w:r w:rsidRPr="00216FF6">
        <w:rPr>
          <w:sz w:val="24"/>
          <w:szCs w:val="24"/>
        </w:rPr>
        <w:t xml:space="preserve">, M. (2014). </w:t>
      </w:r>
      <w:r w:rsidRPr="00093D33">
        <w:rPr>
          <w:i/>
          <w:sz w:val="24"/>
          <w:szCs w:val="24"/>
        </w:rPr>
        <w:t>The Internet of Things: Making the most of the second digital revolution. A report by the UK Government Chief Scientific Adviser</w:t>
      </w:r>
      <w:r w:rsidRPr="00216FF6">
        <w:rPr>
          <w:sz w:val="24"/>
          <w:szCs w:val="24"/>
        </w:rPr>
        <w:t xml:space="preserve">. </w:t>
      </w:r>
      <w:r w:rsidRPr="00093D33">
        <w:rPr>
          <w:sz w:val="24"/>
          <w:szCs w:val="24"/>
        </w:rPr>
        <w:t>The Government Office for Science.</w:t>
      </w:r>
      <w:r w:rsidRPr="00216FF6">
        <w:rPr>
          <w:sz w:val="24"/>
          <w:szCs w:val="24"/>
        </w:rPr>
        <w:t xml:space="preserve">  </w:t>
      </w:r>
      <w:hyperlink r:id="rId13" w:history="1">
        <w:r w:rsidR="001F1204" w:rsidRPr="00216FF6">
          <w:rPr>
            <w:rStyle w:val="Hyperlink"/>
            <w:sz w:val="24"/>
            <w:szCs w:val="24"/>
          </w:rPr>
          <w:t>https://assets.publishing.service.gov.uk/government/uploads/system/uploads/attachment_data/file/409774/14-1230-internet-of-things-review.pdf</w:t>
        </w:r>
      </w:hyperlink>
      <w:r w:rsidR="001F1204" w:rsidRPr="00216FF6">
        <w:rPr>
          <w:sz w:val="24"/>
          <w:szCs w:val="24"/>
        </w:rPr>
        <w:t xml:space="preserve"> </w:t>
      </w:r>
      <w:r w:rsidRPr="00216FF6">
        <w:rPr>
          <w:sz w:val="24"/>
          <w:szCs w:val="24"/>
        </w:rPr>
        <w:t xml:space="preserve">   </w:t>
      </w:r>
    </w:p>
    <w:sectPr w:rsidR="00F31BB4" w:rsidRPr="00216FF6" w:rsidSect="00216FF6">
      <w:type w:val="continuous"/>
      <w:pgSz w:w="12240" w:h="15840"/>
      <w:pgMar w:top="1080" w:right="1080" w:bottom="1797" w:left="1080" w:header="720" w:footer="720" w:gutter="0"/>
      <w:cols w:space="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BC6C5" w14:textId="77777777" w:rsidR="00E61E2C" w:rsidRDefault="00E61E2C">
      <w:r>
        <w:separator/>
      </w:r>
    </w:p>
  </w:endnote>
  <w:endnote w:type="continuationSeparator" w:id="0">
    <w:p w14:paraId="7C2037E0" w14:textId="77777777" w:rsidR="00E61E2C" w:rsidRDefault="00E61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87D6D" w14:textId="77777777" w:rsidR="00E61E2C" w:rsidRDefault="00E61E2C">
      <w:r>
        <w:separator/>
      </w:r>
    </w:p>
  </w:footnote>
  <w:footnote w:type="continuationSeparator" w:id="0">
    <w:p w14:paraId="336D0626" w14:textId="77777777" w:rsidR="00E61E2C" w:rsidRDefault="00E61E2C">
      <w:r>
        <w:continuationSeparator/>
      </w:r>
    </w:p>
  </w:footnote>
  <w:footnote w:id="1">
    <w:p w14:paraId="43B4B836" w14:textId="77777777" w:rsidR="004B082D" w:rsidRPr="00021A23" w:rsidRDefault="004B082D" w:rsidP="004B082D">
      <w:pPr>
        <w:pStyle w:val="FootnoteText"/>
        <w:rPr>
          <w:lang w:val="en-GB"/>
        </w:rPr>
      </w:pPr>
      <w:r>
        <w:rPr>
          <w:rStyle w:val="FootnoteReference"/>
        </w:rPr>
        <w:footnoteRef/>
      </w:r>
      <w:r>
        <w:t xml:space="preserve"> </w:t>
      </w:r>
      <w:r>
        <w:rPr>
          <w:lang w:val="en-GB"/>
        </w:rPr>
        <w:t>https://trustlens.org</w:t>
      </w:r>
    </w:p>
  </w:footnote>
  <w:footnote w:id="2">
    <w:p w14:paraId="2B9F5679" w14:textId="77777777" w:rsidR="001E0A1E" w:rsidRPr="00D86097" w:rsidRDefault="001E0A1E" w:rsidP="001E0A1E">
      <w:pPr>
        <w:pStyle w:val="FootnoteText"/>
        <w:rPr>
          <w:lang w:val="en-GB"/>
        </w:rPr>
      </w:pPr>
      <w:r>
        <w:rPr>
          <w:rStyle w:val="FootnoteReference"/>
        </w:rPr>
        <w:footnoteRef/>
      </w:r>
      <w:r>
        <w:t xml:space="preserve"> </w:t>
      </w:r>
      <w:hyperlink r:id="rId1" w:history="1">
        <w:r>
          <w:rPr>
            <w:rStyle w:val="Hyperlink"/>
          </w:rPr>
          <w:t>https://eugdpr.org/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C2DAA"/>
    <w:multiLevelType w:val="multilevel"/>
    <w:tmpl w:val="1288447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01386E"/>
    <w:multiLevelType w:val="hybridMultilevel"/>
    <w:tmpl w:val="4DDA3A44"/>
    <w:lvl w:ilvl="0" w:tplc="CB981580">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SortMethod w:val="0000"/>
  <w:defaultTabStop w:val="200"/>
  <w:hyphenationZone w:val="0"/>
  <w:doNotHyphenateCaps/>
  <w:evenAndOddHeaders/>
  <w:drawingGridHorizontalSpacing w:val="0"/>
  <w:drawingGridVerticalSpacing w:val="0"/>
  <w:displayHorizontalDrawingGridEvery w:val="0"/>
  <w:displayVerticalDrawingGridEvery w:val="0"/>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449"/>
    <w:rsid w:val="00020E1E"/>
    <w:rsid w:val="00021A23"/>
    <w:rsid w:val="00023A16"/>
    <w:rsid w:val="0004413D"/>
    <w:rsid w:val="00063CDE"/>
    <w:rsid w:val="00066ED1"/>
    <w:rsid w:val="000710E3"/>
    <w:rsid w:val="000726B7"/>
    <w:rsid w:val="00074E6C"/>
    <w:rsid w:val="00077816"/>
    <w:rsid w:val="00093C7E"/>
    <w:rsid w:val="00093D33"/>
    <w:rsid w:val="00094137"/>
    <w:rsid w:val="00094CC5"/>
    <w:rsid w:val="000A0C34"/>
    <w:rsid w:val="000A353D"/>
    <w:rsid w:val="000A426A"/>
    <w:rsid w:val="000B2357"/>
    <w:rsid w:val="000B3220"/>
    <w:rsid w:val="000B6FDA"/>
    <w:rsid w:val="000B7479"/>
    <w:rsid w:val="000D0BA0"/>
    <w:rsid w:val="000D11DF"/>
    <w:rsid w:val="000E206B"/>
    <w:rsid w:val="000E7C68"/>
    <w:rsid w:val="000F2BCA"/>
    <w:rsid w:val="000F558C"/>
    <w:rsid w:val="000F646E"/>
    <w:rsid w:val="00100887"/>
    <w:rsid w:val="00104972"/>
    <w:rsid w:val="00104A13"/>
    <w:rsid w:val="00121BCA"/>
    <w:rsid w:val="00124C47"/>
    <w:rsid w:val="001324F8"/>
    <w:rsid w:val="0014049B"/>
    <w:rsid w:val="0014788A"/>
    <w:rsid w:val="00173639"/>
    <w:rsid w:val="00175851"/>
    <w:rsid w:val="00176640"/>
    <w:rsid w:val="00177BBE"/>
    <w:rsid w:val="00182D0A"/>
    <w:rsid w:val="00183480"/>
    <w:rsid w:val="00185CDA"/>
    <w:rsid w:val="00190C3E"/>
    <w:rsid w:val="00191DCC"/>
    <w:rsid w:val="001947A4"/>
    <w:rsid w:val="001B1F4A"/>
    <w:rsid w:val="001B4564"/>
    <w:rsid w:val="001D1FD1"/>
    <w:rsid w:val="001D540E"/>
    <w:rsid w:val="001E0A1E"/>
    <w:rsid w:val="001E12A3"/>
    <w:rsid w:val="001E20DF"/>
    <w:rsid w:val="001E38D7"/>
    <w:rsid w:val="001F1204"/>
    <w:rsid w:val="001F15D8"/>
    <w:rsid w:val="00207481"/>
    <w:rsid w:val="00214CB7"/>
    <w:rsid w:val="00215491"/>
    <w:rsid w:val="00216FF6"/>
    <w:rsid w:val="00222E3F"/>
    <w:rsid w:val="0022539F"/>
    <w:rsid w:val="00226A92"/>
    <w:rsid w:val="00233146"/>
    <w:rsid w:val="00240279"/>
    <w:rsid w:val="00241D94"/>
    <w:rsid w:val="0025233E"/>
    <w:rsid w:val="00256694"/>
    <w:rsid w:val="002726A7"/>
    <w:rsid w:val="002873D5"/>
    <w:rsid w:val="00293E19"/>
    <w:rsid w:val="00296380"/>
    <w:rsid w:val="002C77D1"/>
    <w:rsid w:val="002C7E5C"/>
    <w:rsid w:val="002D1050"/>
    <w:rsid w:val="002D4890"/>
    <w:rsid w:val="002D5A1C"/>
    <w:rsid w:val="002E0276"/>
    <w:rsid w:val="002E130A"/>
    <w:rsid w:val="002E2289"/>
    <w:rsid w:val="002E5EC5"/>
    <w:rsid w:val="002E78BC"/>
    <w:rsid w:val="0030516C"/>
    <w:rsid w:val="0030566F"/>
    <w:rsid w:val="0031687E"/>
    <w:rsid w:val="00326CEC"/>
    <w:rsid w:val="00332A11"/>
    <w:rsid w:val="003477FF"/>
    <w:rsid w:val="003967C7"/>
    <w:rsid w:val="003A085A"/>
    <w:rsid w:val="003A16F2"/>
    <w:rsid w:val="003B505C"/>
    <w:rsid w:val="003B663F"/>
    <w:rsid w:val="003C5F1E"/>
    <w:rsid w:val="003C6183"/>
    <w:rsid w:val="003C6799"/>
    <w:rsid w:val="003D2DBB"/>
    <w:rsid w:val="003D398C"/>
    <w:rsid w:val="003E10FE"/>
    <w:rsid w:val="0040730C"/>
    <w:rsid w:val="0041529D"/>
    <w:rsid w:val="00416D78"/>
    <w:rsid w:val="00417CBB"/>
    <w:rsid w:val="004203A0"/>
    <w:rsid w:val="0042047B"/>
    <w:rsid w:val="004301B9"/>
    <w:rsid w:val="00433170"/>
    <w:rsid w:val="00435ED7"/>
    <w:rsid w:val="00440A2F"/>
    <w:rsid w:val="00446F56"/>
    <w:rsid w:val="00454EB6"/>
    <w:rsid w:val="004573B0"/>
    <w:rsid w:val="004579C8"/>
    <w:rsid w:val="004626E8"/>
    <w:rsid w:val="00472FBB"/>
    <w:rsid w:val="00482FE1"/>
    <w:rsid w:val="004877BB"/>
    <w:rsid w:val="004953CC"/>
    <w:rsid w:val="004B082D"/>
    <w:rsid w:val="004B1A40"/>
    <w:rsid w:val="004C1C28"/>
    <w:rsid w:val="005112D4"/>
    <w:rsid w:val="0052552C"/>
    <w:rsid w:val="005332E3"/>
    <w:rsid w:val="00547FED"/>
    <w:rsid w:val="00554E5B"/>
    <w:rsid w:val="00560411"/>
    <w:rsid w:val="0056360B"/>
    <w:rsid w:val="00574EE2"/>
    <w:rsid w:val="0058752D"/>
    <w:rsid w:val="005A300B"/>
    <w:rsid w:val="005A409D"/>
    <w:rsid w:val="005A5B5A"/>
    <w:rsid w:val="005C4CD8"/>
    <w:rsid w:val="005D3131"/>
    <w:rsid w:val="005E092B"/>
    <w:rsid w:val="005E20C9"/>
    <w:rsid w:val="006027BF"/>
    <w:rsid w:val="0060486D"/>
    <w:rsid w:val="00613583"/>
    <w:rsid w:val="00622AD3"/>
    <w:rsid w:val="006364D7"/>
    <w:rsid w:val="00647F3B"/>
    <w:rsid w:val="00652FF5"/>
    <w:rsid w:val="006550B7"/>
    <w:rsid w:val="00681E1F"/>
    <w:rsid w:val="00685871"/>
    <w:rsid w:val="00687A89"/>
    <w:rsid w:val="00694D89"/>
    <w:rsid w:val="00697CF0"/>
    <w:rsid w:val="006B2308"/>
    <w:rsid w:val="006B4600"/>
    <w:rsid w:val="006C230A"/>
    <w:rsid w:val="006C2EDD"/>
    <w:rsid w:val="006C3417"/>
    <w:rsid w:val="006E7596"/>
    <w:rsid w:val="006F0D6C"/>
    <w:rsid w:val="006F18F3"/>
    <w:rsid w:val="006F47F9"/>
    <w:rsid w:val="006F712D"/>
    <w:rsid w:val="00751D66"/>
    <w:rsid w:val="0075316D"/>
    <w:rsid w:val="00755432"/>
    <w:rsid w:val="00762541"/>
    <w:rsid w:val="0076683A"/>
    <w:rsid w:val="007715D4"/>
    <w:rsid w:val="00780B16"/>
    <w:rsid w:val="007912F3"/>
    <w:rsid w:val="00792759"/>
    <w:rsid w:val="007B1C4F"/>
    <w:rsid w:val="007C1120"/>
    <w:rsid w:val="007C19D7"/>
    <w:rsid w:val="007C2E6F"/>
    <w:rsid w:val="007C6BE2"/>
    <w:rsid w:val="007D5697"/>
    <w:rsid w:val="007E2162"/>
    <w:rsid w:val="007E3D45"/>
    <w:rsid w:val="008121CD"/>
    <w:rsid w:val="008239B6"/>
    <w:rsid w:val="00825171"/>
    <w:rsid w:val="0082552A"/>
    <w:rsid w:val="008268BA"/>
    <w:rsid w:val="00855260"/>
    <w:rsid w:val="0085735F"/>
    <w:rsid w:val="00857439"/>
    <w:rsid w:val="00861884"/>
    <w:rsid w:val="008641A4"/>
    <w:rsid w:val="00871CF6"/>
    <w:rsid w:val="00874FEB"/>
    <w:rsid w:val="008A2C92"/>
    <w:rsid w:val="008B2978"/>
    <w:rsid w:val="008C09D1"/>
    <w:rsid w:val="008D6E0C"/>
    <w:rsid w:val="008E25CE"/>
    <w:rsid w:val="008E293B"/>
    <w:rsid w:val="008F4F5D"/>
    <w:rsid w:val="008F626C"/>
    <w:rsid w:val="00900BB4"/>
    <w:rsid w:val="00902943"/>
    <w:rsid w:val="00902A00"/>
    <w:rsid w:val="00906258"/>
    <w:rsid w:val="009105BB"/>
    <w:rsid w:val="00910D58"/>
    <w:rsid w:val="00915B26"/>
    <w:rsid w:val="00916E69"/>
    <w:rsid w:val="00920C52"/>
    <w:rsid w:val="00923BDA"/>
    <w:rsid w:val="00937B7D"/>
    <w:rsid w:val="00944D15"/>
    <w:rsid w:val="009513C1"/>
    <w:rsid w:val="00951C4C"/>
    <w:rsid w:val="00953122"/>
    <w:rsid w:val="009572BD"/>
    <w:rsid w:val="00980F73"/>
    <w:rsid w:val="0098266A"/>
    <w:rsid w:val="00984EC4"/>
    <w:rsid w:val="00990915"/>
    <w:rsid w:val="009958B8"/>
    <w:rsid w:val="00995EEF"/>
    <w:rsid w:val="00997299"/>
    <w:rsid w:val="009B003B"/>
    <w:rsid w:val="009C2044"/>
    <w:rsid w:val="009D4260"/>
    <w:rsid w:val="009E074F"/>
    <w:rsid w:val="009E0D15"/>
    <w:rsid w:val="009E15F3"/>
    <w:rsid w:val="009F1311"/>
    <w:rsid w:val="009F1F78"/>
    <w:rsid w:val="00A00BE3"/>
    <w:rsid w:val="00A01855"/>
    <w:rsid w:val="00A022AA"/>
    <w:rsid w:val="00A101E8"/>
    <w:rsid w:val="00A262F9"/>
    <w:rsid w:val="00A37ED9"/>
    <w:rsid w:val="00A402DE"/>
    <w:rsid w:val="00A42A19"/>
    <w:rsid w:val="00A521FD"/>
    <w:rsid w:val="00A54E42"/>
    <w:rsid w:val="00A7381D"/>
    <w:rsid w:val="00A77546"/>
    <w:rsid w:val="00A92500"/>
    <w:rsid w:val="00A93327"/>
    <w:rsid w:val="00A95F4A"/>
    <w:rsid w:val="00A9741D"/>
    <w:rsid w:val="00AD1737"/>
    <w:rsid w:val="00AE3230"/>
    <w:rsid w:val="00AF189D"/>
    <w:rsid w:val="00AF6976"/>
    <w:rsid w:val="00B105C5"/>
    <w:rsid w:val="00B24009"/>
    <w:rsid w:val="00B26A79"/>
    <w:rsid w:val="00B26FBA"/>
    <w:rsid w:val="00B3483B"/>
    <w:rsid w:val="00B36486"/>
    <w:rsid w:val="00B4383B"/>
    <w:rsid w:val="00B44DC0"/>
    <w:rsid w:val="00B5488F"/>
    <w:rsid w:val="00B558A4"/>
    <w:rsid w:val="00B57583"/>
    <w:rsid w:val="00B5766B"/>
    <w:rsid w:val="00B57B2D"/>
    <w:rsid w:val="00B6016E"/>
    <w:rsid w:val="00B61472"/>
    <w:rsid w:val="00B63664"/>
    <w:rsid w:val="00B7100B"/>
    <w:rsid w:val="00B761C3"/>
    <w:rsid w:val="00B870A9"/>
    <w:rsid w:val="00B92E37"/>
    <w:rsid w:val="00B93F91"/>
    <w:rsid w:val="00BA0073"/>
    <w:rsid w:val="00BB7EB3"/>
    <w:rsid w:val="00BC2A1D"/>
    <w:rsid w:val="00BE4116"/>
    <w:rsid w:val="00BE6B12"/>
    <w:rsid w:val="00C01C12"/>
    <w:rsid w:val="00C0392A"/>
    <w:rsid w:val="00C11666"/>
    <w:rsid w:val="00C12E65"/>
    <w:rsid w:val="00C15359"/>
    <w:rsid w:val="00C27C91"/>
    <w:rsid w:val="00C34038"/>
    <w:rsid w:val="00C44D6E"/>
    <w:rsid w:val="00C45117"/>
    <w:rsid w:val="00C4626D"/>
    <w:rsid w:val="00C4646C"/>
    <w:rsid w:val="00C52584"/>
    <w:rsid w:val="00C8078A"/>
    <w:rsid w:val="00C8299E"/>
    <w:rsid w:val="00C85B2A"/>
    <w:rsid w:val="00C8776A"/>
    <w:rsid w:val="00C9157B"/>
    <w:rsid w:val="00C91B19"/>
    <w:rsid w:val="00C957A3"/>
    <w:rsid w:val="00CA06D9"/>
    <w:rsid w:val="00CA58A3"/>
    <w:rsid w:val="00CB1EF5"/>
    <w:rsid w:val="00CB2B7B"/>
    <w:rsid w:val="00CB2CA6"/>
    <w:rsid w:val="00CC5AED"/>
    <w:rsid w:val="00CD6969"/>
    <w:rsid w:val="00CD7B55"/>
    <w:rsid w:val="00CD7FCC"/>
    <w:rsid w:val="00D25222"/>
    <w:rsid w:val="00D27301"/>
    <w:rsid w:val="00D43CD1"/>
    <w:rsid w:val="00D4673F"/>
    <w:rsid w:val="00D616F9"/>
    <w:rsid w:val="00D62F55"/>
    <w:rsid w:val="00D67139"/>
    <w:rsid w:val="00D7316E"/>
    <w:rsid w:val="00D86097"/>
    <w:rsid w:val="00DB5595"/>
    <w:rsid w:val="00DD39E6"/>
    <w:rsid w:val="00DD73FF"/>
    <w:rsid w:val="00DF5241"/>
    <w:rsid w:val="00DF5D47"/>
    <w:rsid w:val="00E041A8"/>
    <w:rsid w:val="00E05B14"/>
    <w:rsid w:val="00E15FFC"/>
    <w:rsid w:val="00E37473"/>
    <w:rsid w:val="00E46199"/>
    <w:rsid w:val="00E47987"/>
    <w:rsid w:val="00E61E2C"/>
    <w:rsid w:val="00E76BB8"/>
    <w:rsid w:val="00E83E02"/>
    <w:rsid w:val="00E87A60"/>
    <w:rsid w:val="00E92561"/>
    <w:rsid w:val="00E93D96"/>
    <w:rsid w:val="00E94109"/>
    <w:rsid w:val="00E95449"/>
    <w:rsid w:val="00E97A2B"/>
    <w:rsid w:val="00EA32B2"/>
    <w:rsid w:val="00EA53CF"/>
    <w:rsid w:val="00EB0873"/>
    <w:rsid w:val="00EB2404"/>
    <w:rsid w:val="00EC7100"/>
    <w:rsid w:val="00ED23A4"/>
    <w:rsid w:val="00ED31FD"/>
    <w:rsid w:val="00EF1695"/>
    <w:rsid w:val="00EF2704"/>
    <w:rsid w:val="00EF28BF"/>
    <w:rsid w:val="00EF33C4"/>
    <w:rsid w:val="00F00B02"/>
    <w:rsid w:val="00F06B11"/>
    <w:rsid w:val="00F13F95"/>
    <w:rsid w:val="00F165D3"/>
    <w:rsid w:val="00F178A6"/>
    <w:rsid w:val="00F225DF"/>
    <w:rsid w:val="00F242C3"/>
    <w:rsid w:val="00F249FD"/>
    <w:rsid w:val="00F26A4D"/>
    <w:rsid w:val="00F31BB4"/>
    <w:rsid w:val="00F3202E"/>
    <w:rsid w:val="00F46BA4"/>
    <w:rsid w:val="00F50686"/>
    <w:rsid w:val="00F72B9C"/>
    <w:rsid w:val="00F812F5"/>
    <w:rsid w:val="00F90841"/>
    <w:rsid w:val="00F93690"/>
    <w:rsid w:val="00FA0270"/>
    <w:rsid w:val="00FA6D85"/>
    <w:rsid w:val="00FB175D"/>
    <w:rsid w:val="00FB437A"/>
    <w:rsid w:val="00FB65A8"/>
    <w:rsid w:val="00FB7CBA"/>
    <w:rsid w:val="00FC7769"/>
    <w:rsid w:val="00FD3BD6"/>
    <w:rsid w:val="00FE0C94"/>
    <w:rsid w:val="00FE6E3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4CFC8B7"/>
  <w14:defaultImageDpi w14:val="300"/>
  <w15:docId w15:val="{1161CE93-F9DF-4DFE-ADCB-1BB1D967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3F95"/>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rsid w:val="00E041A8"/>
    <w:rPr>
      <w:rFonts w:ascii="Times New Roman" w:hAnsi="Times New Roman"/>
      <w:vertAlign w:val="superscript"/>
    </w:rPr>
  </w:style>
  <w:style w:type="character" w:styleId="FootnoteReference">
    <w:name w:val="footnote reference"/>
    <w:rsid w:val="00E041A8"/>
    <w:rPr>
      <w:rFonts w:ascii="Times New Roman" w:hAnsi="Times New Roman"/>
      <w:vertAlign w:val="superscript"/>
    </w:rPr>
  </w:style>
  <w:style w:type="paragraph" w:styleId="FootnoteText">
    <w:name w:val="footnote text"/>
    <w:basedOn w:val="Normal"/>
    <w:link w:val="FootnoteTextChar"/>
    <w:rsid w:val="00F13F95"/>
    <w:pPr>
      <w:spacing w:line="180" w:lineRule="exact"/>
      <w:jc w:val="both"/>
    </w:pPr>
    <w:rPr>
      <w:sz w:val="16"/>
    </w:rPr>
  </w:style>
  <w:style w:type="character" w:customStyle="1" w:styleId="FootnoteTextChar">
    <w:name w:val="Footnote Text Char"/>
    <w:link w:val="FootnoteText"/>
    <w:rsid w:val="00F13F95"/>
    <w:rPr>
      <w:rFonts w:ascii="Times New Roman" w:eastAsia="Times New Roman" w:hAnsi="Times New Roman"/>
      <w:sz w:val="16"/>
    </w:rPr>
  </w:style>
  <w:style w:type="paragraph" w:customStyle="1" w:styleId="PaperTitle">
    <w:name w:val="Paper Title"/>
    <w:basedOn w:val="Normal"/>
    <w:rsid w:val="00F13F95"/>
    <w:pPr>
      <w:tabs>
        <w:tab w:val="left" w:pos="200"/>
      </w:tabs>
      <w:spacing w:line="480" w:lineRule="exact"/>
      <w:jc w:val="center"/>
    </w:pPr>
    <w:rPr>
      <w:b/>
      <w:sz w:val="32"/>
    </w:rPr>
  </w:style>
  <w:style w:type="paragraph" w:customStyle="1" w:styleId="SectionHeading">
    <w:name w:val="Section Heading"/>
    <w:basedOn w:val="Normal"/>
    <w:rsid w:val="00F13F95"/>
    <w:pPr>
      <w:keepNext/>
      <w:tabs>
        <w:tab w:val="left" w:pos="200"/>
      </w:tabs>
      <w:spacing w:before="360" w:after="120" w:line="300" w:lineRule="exact"/>
      <w:jc w:val="center"/>
    </w:pPr>
    <w:rPr>
      <w:b/>
    </w:rPr>
  </w:style>
  <w:style w:type="paragraph" w:customStyle="1" w:styleId="Text">
    <w:name w:val="Text"/>
    <w:basedOn w:val="Normal"/>
    <w:rsid w:val="00F13F95"/>
    <w:pPr>
      <w:tabs>
        <w:tab w:val="left" w:pos="200"/>
      </w:tabs>
      <w:spacing w:line="240" w:lineRule="exact"/>
      <w:jc w:val="both"/>
    </w:pPr>
    <w:rPr>
      <w:sz w:val="20"/>
    </w:rPr>
  </w:style>
  <w:style w:type="paragraph" w:customStyle="1" w:styleId="SubsectionHeading">
    <w:name w:val="Subsection Heading"/>
    <w:basedOn w:val="Normal"/>
    <w:rsid w:val="00175851"/>
    <w:pPr>
      <w:keepNext/>
      <w:tabs>
        <w:tab w:val="left" w:pos="200"/>
      </w:tabs>
      <w:spacing w:before="240" w:after="60" w:line="260" w:lineRule="exact"/>
    </w:pPr>
    <w:rPr>
      <w:b/>
      <w:sz w:val="22"/>
    </w:rPr>
  </w:style>
  <w:style w:type="paragraph" w:customStyle="1" w:styleId="AbstractText">
    <w:name w:val="Abstract Text"/>
    <w:basedOn w:val="Normal"/>
    <w:rsid w:val="00F13F95"/>
    <w:pPr>
      <w:tabs>
        <w:tab w:val="left" w:pos="200"/>
      </w:tabs>
      <w:spacing w:line="200" w:lineRule="exact"/>
      <w:ind w:left="199" w:right="199"/>
      <w:jc w:val="both"/>
    </w:pPr>
    <w:rPr>
      <w:sz w:val="18"/>
    </w:rPr>
  </w:style>
  <w:style w:type="paragraph" w:customStyle="1" w:styleId="AuthorName">
    <w:name w:val="Author Name"/>
    <w:basedOn w:val="Normal"/>
    <w:rsid w:val="00F13F95"/>
    <w:pPr>
      <w:spacing w:before="240" w:line="300" w:lineRule="exact"/>
      <w:jc w:val="center"/>
    </w:pPr>
    <w:rPr>
      <w:b/>
    </w:rPr>
  </w:style>
  <w:style w:type="paragraph" w:customStyle="1" w:styleId="AffiliationandAddress">
    <w:name w:val="Affiliation and Address"/>
    <w:basedOn w:val="Normal"/>
    <w:rsid w:val="00F13F95"/>
    <w:pPr>
      <w:spacing w:before="60" w:line="200" w:lineRule="exact"/>
      <w:jc w:val="center"/>
    </w:pPr>
    <w:rPr>
      <w:sz w:val="18"/>
    </w:rPr>
  </w:style>
  <w:style w:type="paragraph" w:customStyle="1" w:styleId="Extract">
    <w:name w:val="Extract"/>
    <w:basedOn w:val="Normal"/>
    <w:next w:val="Normal"/>
    <w:rsid w:val="00F13F95"/>
    <w:pPr>
      <w:tabs>
        <w:tab w:val="left" w:pos="200"/>
      </w:tabs>
      <w:spacing w:before="120" w:line="220" w:lineRule="exact"/>
      <w:ind w:left="200" w:right="200"/>
      <w:jc w:val="both"/>
    </w:pPr>
    <w:rPr>
      <w:sz w:val="20"/>
    </w:rPr>
  </w:style>
  <w:style w:type="paragraph" w:customStyle="1" w:styleId="BulletedList">
    <w:name w:val="Bulleted List"/>
    <w:basedOn w:val="Normal"/>
    <w:next w:val="Normal"/>
    <w:rsid w:val="00F13F95"/>
    <w:pPr>
      <w:tabs>
        <w:tab w:val="left" w:pos="200"/>
      </w:tabs>
      <w:spacing w:before="40" w:after="40" w:line="220" w:lineRule="exact"/>
      <w:ind w:left="199" w:hanging="199"/>
      <w:jc w:val="both"/>
    </w:pPr>
    <w:rPr>
      <w:sz w:val="20"/>
    </w:rPr>
  </w:style>
  <w:style w:type="paragraph" w:customStyle="1" w:styleId="SubsubsectionHeading">
    <w:name w:val="Subsubsection Heading"/>
    <w:basedOn w:val="Text"/>
    <w:rsid w:val="00175851"/>
    <w:pPr>
      <w:keepNext/>
      <w:spacing w:before="60"/>
    </w:pPr>
    <w:rPr>
      <w:b/>
    </w:rPr>
  </w:style>
  <w:style w:type="paragraph" w:customStyle="1" w:styleId="AbstractHead">
    <w:name w:val="Abstract Head"/>
    <w:basedOn w:val="SubsectionHeading"/>
    <w:rsid w:val="00F13F95"/>
    <w:pPr>
      <w:spacing w:before="0" w:line="240" w:lineRule="exact"/>
      <w:jc w:val="center"/>
    </w:pPr>
    <w:rPr>
      <w:sz w:val="20"/>
    </w:rPr>
  </w:style>
  <w:style w:type="paragraph" w:customStyle="1" w:styleId="ColorfulList-Accent11">
    <w:name w:val="Colorful List - Accent 11"/>
    <w:basedOn w:val="Normal"/>
    <w:uiPriority w:val="34"/>
    <w:qFormat/>
    <w:rsid w:val="00F13F95"/>
    <w:pPr>
      <w:spacing w:after="40" w:line="200" w:lineRule="exact"/>
      <w:ind w:left="720"/>
    </w:pPr>
    <w:rPr>
      <w:sz w:val="18"/>
    </w:rPr>
  </w:style>
  <w:style w:type="paragraph" w:customStyle="1" w:styleId="References">
    <w:name w:val="References"/>
    <w:basedOn w:val="Text"/>
    <w:qFormat/>
    <w:rsid w:val="00F13F95"/>
    <w:pPr>
      <w:spacing w:after="60" w:line="200" w:lineRule="exact"/>
    </w:pPr>
    <w:rPr>
      <w:sz w:val="18"/>
    </w:rPr>
  </w:style>
  <w:style w:type="paragraph" w:customStyle="1" w:styleId="FigureCaption">
    <w:name w:val="Figure Caption"/>
    <w:basedOn w:val="Normal"/>
    <w:qFormat/>
    <w:rsid w:val="005C4CD8"/>
    <w:pPr>
      <w:tabs>
        <w:tab w:val="left" w:pos="200"/>
      </w:tabs>
      <w:spacing w:before="120" w:after="120" w:line="240" w:lineRule="exact"/>
      <w:jc w:val="center"/>
    </w:pPr>
    <w:rPr>
      <w:i/>
      <w:sz w:val="18"/>
    </w:rPr>
  </w:style>
  <w:style w:type="paragraph" w:customStyle="1" w:styleId="Text-Indent">
    <w:name w:val="Text-Indent"/>
    <w:basedOn w:val="Text"/>
    <w:qFormat/>
    <w:rsid w:val="00F13F95"/>
    <w:pPr>
      <w:ind w:firstLine="199"/>
    </w:pPr>
  </w:style>
  <w:style w:type="character" w:styleId="CommentReference">
    <w:name w:val="annotation reference"/>
    <w:uiPriority w:val="99"/>
    <w:semiHidden/>
    <w:unhideWhenUsed/>
    <w:rsid w:val="00E95449"/>
    <w:rPr>
      <w:sz w:val="16"/>
      <w:szCs w:val="16"/>
    </w:rPr>
  </w:style>
  <w:style w:type="paragraph" w:styleId="CommentText">
    <w:name w:val="annotation text"/>
    <w:basedOn w:val="Normal"/>
    <w:link w:val="CommentTextChar"/>
    <w:uiPriority w:val="99"/>
    <w:semiHidden/>
    <w:unhideWhenUsed/>
    <w:rsid w:val="00E95449"/>
    <w:rPr>
      <w:sz w:val="20"/>
    </w:rPr>
  </w:style>
  <w:style w:type="character" w:customStyle="1" w:styleId="CommentTextChar">
    <w:name w:val="Comment Text Char"/>
    <w:basedOn w:val="DefaultParagraphFont"/>
    <w:link w:val="CommentText"/>
    <w:uiPriority w:val="99"/>
    <w:semiHidden/>
    <w:rsid w:val="00E95449"/>
    <w:rPr>
      <w:lang w:val="en-US" w:eastAsia="en-US"/>
    </w:rPr>
  </w:style>
  <w:style w:type="paragraph" w:styleId="BalloonText">
    <w:name w:val="Balloon Text"/>
    <w:basedOn w:val="Normal"/>
    <w:link w:val="BalloonTextChar"/>
    <w:uiPriority w:val="99"/>
    <w:semiHidden/>
    <w:unhideWhenUsed/>
    <w:rsid w:val="00E95449"/>
    <w:rPr>
      <w:rFonts w:ascii="Tahoma" w:hAnsi="Tahoma" w:cs="Tahoma"/>
      <w:sz w:val="16"/>
      <w:szCs w:val="16"/>
    </w:rPr>
  </w:style>
  <w:style w:type="character" w:customStyle="1" w:styleId="BalloonTextChar">
    <w:name w:val="Balloon Text Char"/>
    <w:basedOn w:val="DefaultParagraphFont"/>
    <w:link w:val="BalloonText"/>
    <w:uiPriority w:val="99"/>
    <w:semiHidden/>
    <w:rsid w:val="00E95449"/>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E94109"/>
    <w:rPr>
      <w:b/>
      <w:bCs/>
    </w:rPr>
  </w:style>
  <w:style w:type="character" w:customStyle="1" w:styleId="CommentSubjectChar">
    <w:name w:val="Comment Subject Char"/>
    <w:basedOn w:val="CommentTextChar"/>
    <w:link w:val="CommentSubject"/>
    <w:uiPriority w:val="99"/>
    <w:semiHidden/>
    <w:rsid w:val="00E94109"/>
    <w:rPr>
      <w:b/>
      <w:bCs/>
      <w:lang w:val="en-US" w:eastAsia="en-US"/>
    </w:rPr>
  </w:style>
  <w:style w:type="character" w:styleId="Hyperlink">
    <w:name w:val="Hyperlink"/>
    <w:basedOn w:val="DefaultParagraphFont"/>
    <w:uiPriority w:val="99"/>
    <w:unhideWhenUsed/>
    <w:rsid w:val="00915B26"/>
    <w:rPr>
      <w:color w:val="0000FF"/>
      <w:u w:val="single"/>
    </w:rPr>
  </w:style>
  <w:style w:type="character" w:styleId="FollowedHyperlink">
    <w:name w:val="FollowedHyperlink"/>
    <w:basedOn w:val="DefaultParagraphFont"/>
    <w:uiPriority w:val="99"/>
    <w:semiHidden/>
    <w:unhideWhenUsed/>
    <w:rsid w:val="00FB175D"/>
    <w:rPr>
      <w:color w:val="800080" w:themeColor="followedHyperlink"/>
      <w:u w:val="single"/>
    </w:rPr>
  </w:style>
  <w:style w:type="paragraph" w:styleId="ListParagraph">
    <w:name w:val="List Paragraph"/>
    <w:basedOn w:val="Normal"/>
    <w:uiPriority w:val="72"/>
    <w:qFormat/>
    <w:rsid w:val="00825171"/>
    <w:pPr>
      <w:ind w:left="720"/>
      <w:contextualSpacing/>
    </w:pPr>
  </w:style>
  <w:style w:type="paragraph" w:styleId="NoSpacing">
    <w:name w:val="No Spacing"/>
    <w:uiPriority w:val="99"/>
    <w:qFormat/>
    <w:rsid w:val="00A01855"/>
    <w:rPr>
      <w:sz w:val="24"/>
      <w:lang w:val="en-US" w:eastAsia="en-US"/>
    </w:rPr>
  </w:style>
  <w:style w:type="character" w:styleId="UnresolvedMention">
    <w:name w:val="Unresolved Mention"/>
    <w:basedOn w:val="DefaultParagraphFont"/>
    <w:uiPriority w:val="99"/>
    <w:semiHidden/>
    <w:unhideWhenUsed/>
    <w:rsid w:val="00183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676157">
      <w:bodyDiv w:val="1"/>
      <w:marLeft w:val="0"/>
      <w:marRight w:val="0"/>
      <w:marTop w:val="0"/>
      <w:marBottom w:val="0"/>
      <w:divBdr>
        <w:top w:val="none" w:sz="0" w:space="0" w:color="auto"/>
        <w:left w:val="none" w:sz="0" w:space="0" w:color="auto"/>
        <w:bottom w:val="none" w:sz="0" w:space="0" w:color="auto"/>
        <w:right w:val="none" w:sz="0" w:space="0" w:color="auto"/>
      </w:divBdr>
      <w:divsChild>
        <w:div w:id="1392774165">
          <w:marLeft w:val="0"/>
          <w:marRight w:val="0"/>
          <w:marTop w:val="0"/>
          <w:marBottom w:val="0"/>
          <w:divBdr>
            <w:top w:val="none" w:sz="0" w:space="0" w:color="auto"/>
            <w:left w:val="none" w:sz="0" w:space="0" w:color="auto"/>
            <w:bottom w:val="none" w:sz="0" w:space="0" w:color="auto"/>
            <w:right w:val="none" w:sz="0" w:space="0" w:color="auto"/>
          </w:divBdr>
        </w:div>
        <w:div w:id="237135792">
          <w:marLeft w:val="0"/>
          <w:marRight w:val="0"/>
          <w:marTop w:val="0"/>
          <w:marBottom w:val="0"/>
          <w:divBdr>
            <w:top w:val="none" w:sz="0" w:space="0" w:color="auto"/>
            <w:left w:val="none" w:sz="0" w:space="0" w:color="auto"/>
            <w:bottom w:val="none" w:sz="0" w:space="0" w:color="auto"/>
            <w:right w:val="none" w:sz="0" w:space="0" w:color="auto"/>
          </w:divBdr>
        </w:div>
        <w:div w:id="2021085382">
          <w:marLeft w:val="0"/>
          <w:marRight w:val="0"/>
          <w:marTop w:val="0"/>
          <w:marBottom w:val="0"/>
          <w:divBdr>
            <w:top w:val="none" w:sz="0" w:space="0" w:color="auto"/>
            <w:left w:val="none" w:sz="0" w:space="0" w:color="auto"/>
            <w:bottom w:val="none" w:sz="0" w:space="0" w:color="auto"/>
            <w:right w:val="none" w:sz="0" w:space="0" w:color="auto"/>
          </w:divBdr>
        </w:div>
        <w:div w:id="1310288218">
          <w:marLeft w:val="0"/>
          <w:marRight w:val="0"/>
          <w:marTop w:val="0"/>
          <w:marBottom w:val="0"/>
          <w:divBdr>
            <w:top w:val="none" w:sz="0" w:space="0" w:color="auto"/>
            <w:left w:val="none" w:sz="0" w:space="0" w:color="auto"/>
            <w:bottom w:val="none" w:sz="0" w:space="0" w:color="auto"/>
            <w:right w:val="none" w:sz="0" w:space="0" w:color="auto"/>
          </w:divBdr>
        </w:div>
        <w:div w:id="988170425">
          <w:marLeft w:val="0"/>
          <w:marRight w:val="0"/>
          <w:marTop w:val="0"/>
          <w:marBottom w:val="0"/>
          <w:divBdr>
            <w:top w:val="none" w:sz="0" w:space="0" w:color="auto"/>
            <w:left w:val="none" w:sz="0" w:space="0" w:color="auto"/>
            <w:bottom w:val="none" w:sz="0" w:space="0" w:color="auto"/>
            <w:right w:val="none" w:sz="0" w:space="0" w:color="auto"/>
          </w:divBdr>
        </w:div>
        <w:div w:id="23287259">
          <w:marLeft w:val="0"/>
          <w:marRight w:val="0"/>
          <w:marTop w:val="0"/>
          <w:marBottom w:val="0"/>
          <w:divBdr>
            <w:top w:val="none" w:sz="0" w:space="0" w:color="auto"/>
            <w:left w:val="none" w:sz="0" w:space="0" w:color="auto"/>
            <w:bottom w:val="none" w:sz="0" w:space="0" w:color="auto"/>
            <w:right w:val="none" w:sz="0" w:space="0" w:color="auto"/>
          </w:divBdr>
        </w:div>
        <w:div w:id="1641963513">
          <w:marLeft w:val="0"/>
          <w:marRight w:val="0"/>
          <w:marTop w:val="0"/>
          <w:marBottom w:val="0"/>
          <w:divBdr>
            <w:top w:val="none" w:sz="0" w:space="0" w:color="auto"/>
            <w:left w:val="none" w:sz="0" w:space="0" w:color="auto"/>
            <w:bottom w:val="none" w:sz="0" w:space="0" w:color="auto"/>
            <w:right w:val="none" w:sz="0" w:space="0" w:color="auto"/>
          </w:divBdr>
        </w:div>
        <w:div w:id="1769813221">
          <w:marLeft w:val="0"/>
          <w:marRight w:val="0"/>
          <w:marTop w:val="0"/>
          <w:marBottom w:val="0"/>
          <w:divBdr>
            <w:top w:val="none" w:sz="0" w:space="0" w:color="auto"/>
            <w:left w:val="none" w:sz="0" w:space="0" w:color="auto"/>
            <w:bottom w:val="none" w:sz="0" w:space="0" w:color="auto"/>
            <w:right w:val="none" w:sz="0" w:space="0" w:color="auto"/>
          </w:divBdr>
        </w:div>
        <w:div w:id="1544291386">
          <w:marLeft w:val="0"/>
          <w:marRight w:val="0"/>
          <w:marTop w:val="0"/>
          <w:marBottom w:val="0"/>
          <w:divBdr>
            <w:top w:val="none" w:sz="0" w:space="0" w:color="auto"/>
            <w:left w:val="none" w:sz="0" w:space="0" w:color="auto"/>
            <w:bottom w:val="none" w:sz="0" w:space="0" w:color="auto"/>
            <w:right w:val="none" w:sz="0" w:space="0" w:color="auto"/>
          </w:divBdr>
        </w:div>
        <w:div w:id="807862935">
          <w:marLeft w:val="0"/>
          <w:marRight w:val="0"/>
          <w:marTop w:val="0"/>
          <w:marBottom w:val="0"/>
          <w:divBdr>
            <w:top w:val="none" w:sz="0" w:space="0" w:color="auto"/>
            <w:left w:val="none" w:sz="0" w:space="0" w:color="auto"/>
            <w:bottom w:val="none" w:sz="0" w:space="0" w:color="auto"/>
            <w:right w:val="none" w:sz="0" w:space="0" w:color="auto"/>
          </w:divBdr>
        </w:div>
        <w:div w:id="194290903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409774/14-1230-internet-of-things-review.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671929/Smart_Meters_2016_progress_update.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lyrood.com/articles/news/renfrewshire-uses-internet-things-technology-detect-fuel-povert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gdpr.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yde\AppData\Local\Temp\Temp1_AuthorKit16-3.zip\AuthorKit16\Word\aaai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1932465673204A9D0B74F644679F76" ma:contentTypeVersion="13" ma:contentTypeDescription="Create a new document." ma:contentTypeScope="" ma:versionID="f04142700eb7db196e0e455957455ce5">
  <xsd:schema xmlns:xsd="http://www.w3.org/2001/XMLSchema" xmlns:xs="http://www.w3.org/2001/XMLSchema" xmlns:p="http://schemas.microsoft.com/office/2006/metadata/properties" xmlns:ns3="037ea2fc-0079-4b01-abd7-1723123a84dd" xmlns:ns4="abaf390d-5d95-4eb0-b188-21f6c5eba44e" targetNamespace="http://schemas.microsoft.com/office/2006/metadata/properties" ma:root="true" ma:fieldsID="6099f9655d38df972a04680f665f9965" ns3:_="" ns4:_="">
    <xsd:import namespace="037ea2fc-0079-4b01-abd7-1723123a84dd"/>
    <xsd:import namespace="abaf390d-5d95-4eb0-b188-21f6c5eba4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ea2fc-0079-4b01-abd7-1723123a84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af390d-5d95-4eb0-b188-21f6c5eba4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A91D7-4B4D-410B-A159-30A8069F81DA}">
  <ds:schemaRefs>
    <ds:schemaRef ds:uri="http://schemas.microsoft.com/office/infopath/2007/PartnerControls"/>
    <ds:schemaRef ds:uri="037ea2fc-0079-4b01-abd7-1723123a84dd"/>
    <ds:schemaRef ds:uri="http://schemas.openxmlformats.org/package/2006/metadata/core-properties"/>
    <ds:schemaRef ds:uri="http://purl.org/dc/elements/1.1/"/>
    <ds:schemaRef ds:uri="http://schemas.microsoft.com/office/2006/metadata/properties"/>
    <ds:schemaRef ds:uri="http://purl.org/dc/terms/"/>
    <ds:schemaRef ds:uri="abaf390d-5d95-4eb0-b188-21f6c5eba44e"/>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6C83EBD9-E6B5-4BBE-B6E6-F136B8B95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ea2fc-0079-4b01-abd7-1723123a84dd"/>
    <ds:schemaRef ds:uri="abaf390d-5d95-4eb0-b188-21f6c5eba4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ED8FBE-30D4-46F3-AE6D-07C284779DB6}">
  <ds:schemaRefs>
    <ds:schemaRef ds:uri="http://schemas.microsoft.com/sharepoint/v3/contenttype/forms"/>
  </ds:schemaRefs>
</ds:datastoreItem>
</file>

<file path=customXml/itemProps4.xml><?xml version="1.0" encoding="utf-8"?>
<ds:datastoreItem xmlns:ds="http://schemas.openxmlformats.org/officeDocument/2006/customXml" ds:itemID="{1FD0ACFD-C80B-4CF1-8341-BF9621A47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aaai16.dot</Template>
  <TotalTime>43</TotalTime>
  <Pages>9</Pages>
  <Words>4914</Words>
  <Characters>28851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AAAI Proceedings Template</vt:lpstr>
    </vt:vector>
  </TitlesOfParts>
  <Company>The Live Oak Press</Company>
  <LinksUpToDate>false</LinksUpToDate>
  <CharactersWithSpaces>33698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IT Services</dc:creator>
  <cp:lastModifiedBy>Jacobs, Naomi</cp:lastModifiedBy>
  <cp:revision>7</cp:revision>
  <cp:lastPrinted>2019-05-13T10:58:00Z</cp:lastPrinted>
  <dcterms:created xsi:type="dcterms:W3CDTF">2020-05-15T14:26:00Z</dcterms:created>
  <dcterms:modified xsi:type="dcterms:W3CDTF">2020-05-20T11:39:00Z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0x010100C41932465673204A9D0B74F644679F76</vt:lpwstr>
  </property>
</Properties>
</file>