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50F23" w14:textId="640F70A2" w:rsidR="00803F67" w:rsidRDefault="00F54106" w:rsidP="00FA27A6">
      <w:pPr>
        <w:pStyle w:val="Heading1"/>
      </w:pPr>
      <w:bookmarkStart w:id="0" w:name="_Hlk532908429"/>
      <w:r>
        <w:t xml:space="preserve">Emotional </w:t>
      </w:r>
      <w:r w:rsidR="00A13BE4">
        <w:t>Difficulties</w:t>
      </w:r>
      <w:r w:rsidR="00B526D2">
        <w:t xml:space="preserve"> </w:t>
      </w:r>
      <w:r w:rsidR="0015697B">
        <w:t xml:space="preserve">and Self-Harm among </w:t>
      </w:r>
      <w:r w:rsidR="0075723C">
        <w:t xml:space="preserve">British </w:t>
      </w:r>
      <w:r>
        <w:t>Adolescent</w:t>
      </w:r>
      <w:r w:rsidR="00A13BE4">
        <w:t>s with and without Disabilities</w:t>
      </w:r>
      <w:r w:rsidR="00B004F2">
        <w:t>: Cross sectional study</w:t>
      </w:r>
    </w:p>
    <w:p w14:paraId="651CDFE4" w14:textId="77777777" w:rsidR="00FA27A6" w:rsidRPr="00FA27A6" w:rsidRDefault="00FA27A6" w:rsidP="00FA27A6"/>
    <w:bookmarkEnd w:id="0"/>
    <w:p w14:paraId="6D276B6E" w14:textId="3F60D842" w:rsidR="007B4658" w:rsidRDefault="007B4658" w:rsidP="008A6552">
      <w:pPr>
        <w:rPr>
          <w:rFonts w:asciiTheme="majorHAnsi" w:eastAsiaTheme="majorEastAsia" w:hAnsiTheme="majorHAnsi" w:cstheme="majorBidi"/>
          <w:color w:val="2E74B5" w:themeColor="accent1" w:themeShade="BF"/>
          <w:sz w:val="32"/>
          <w:szCs w:val="32"/>
        </w:rPr>
      </w:pPr>
      <w:r>
        <w:br w:type="page"/>
      </w:r>
    </w:p>
    <w:p w14:paraId="6817FB22" w14:textId="0F40E8A2" w:rsidR="00B17DBA" w:rsidRDefault="00F54106" w:rsidP="00FA27A6">
      <w:pPr>
        <w:pStyle w:val="Heading1"/>
        <w:spacing w:line="480" w:lineRule="auto"/>
      </w:pPr>
      <w:r>
        <w:lastRenderedPageBreak/>
        <w:t>Abstract</w:t>
      </w:r>
    </w:p>
    <w:p w14:paraId="3EC3BF7D" w14:textId="2F3A2085" w:rsidR="00BE3CA2" w:rsidRDefault="00582E9D" w:rsidP="00FA27A6">
      <w:pPr>
        <w:pStyle w:val="Heading2"/>
        <w:spacing w:line="480" w:lineRule="auto"/>
      </w:pPr>
      <w:r>
        <w:t>Background</w:t>
      </w:r>
      <w:r w:rsidR="00BE3CA2">
        <w:t xml:space="preserve"> </w:t>
      </w:r>
    </w:p>
    <w:p w14:paraId="155A333A" w14:textId="7B4C0FF6" w:rsidR="002969D9" w:rsidRDefault="00B004F2" w:rsidP="00FA27A6">
      <w:pPr>
        <w:spacing w:line="480" w:lineRule="auto"/>
      </w:pPr>
      <w:r>
        <w:t xml:space="preserve">Little is known about the prevalence of emotional difficulties and self-harm among adolescents with a disability. </w:t>
      </w:r>
    </w:p>
    <w:p w14:paraId="3825CF6B" w14:textId="77777777" w:rsidR="00B004F2" w:rsidRDefault="00B004F2" w:rsidP="00B004F2">
      <w:pPr>
        <w:pStyle w:val="Heading2"/>
      </w:pPr>
      <w:r>
        <w:t>Objective</w:t>
      </w:r>
      <w:r w:rsidRPr="00B004F2">
        <w:t xml:space="preserve"> </w:t>
      </w:r>
    </w:p>
    <w:p w14:paraId="3ED03071" w14:textId="33FE26DE" w:rsidR="00B004F2" w:rsidRDefault="00B004F2" w:rsidP="00B004F2">
      <w:pPr>
        <w:spacing w:line="480" w:lineRule="auto"/>
      </w:pPr>
      <w:r>
        <w:t xml:space="preserve">Our aims were: (1) to estimate </w:t>
      </w:r>
      <w:r w:rsidRPr="0036521B">
        <w:t>the prevalence of emotional difficulties and self-harm among British adolescents with and without disability</w:t>
      </w:r>
      <w:r>
        <w:t xml:space="preserve">; (2) to determine whether </w:t>
      </w:r>
      <w:r w:rsidRPr="0036521B">
        <w:t>prevalence var</w:t>
      </w:r>
      <w:r>
        <w:t xml:space="preserve">ies </w:t>
      </w:r>
      <w:r w:rsidRPr="0036521B">
        <w:t>by gender</w:t>
      </w:r>
      <w:r>
        <w:t xml:space="preserve">, </w:t>
      </w:r>
      <w:r w:rsidRPr="0036521B">
        <w:t>severity of disability and type of functional limitation</w:t>
      </w:r>
      <w:r>
        <w:t xml:space="preserve"> associated with disability.</w:t>
      </w:r>
    </w:p>
    <w:p w14:paraId="7D24B650" w14:textId="316196F7" w:rsidR="00BE3CA2" w:rsidRDefault="00BE3CA2" w:rsidP="00FA27A6">
      <w:pPr>
        <w:pStyle w:val="Heading2"/>
        <w:spacing w:line="480" w:lineRule="auto"/>
      </w:pPr>
      <w:r>
        <w:t>Methods</w:t>
      </w:r>
    </w:p>
    <w:p w14:paraId="1C4ECDAA" w14:textId="4F90CBE6" w:rsidR="002969D9" w:rsidRPr="002969D9" w:rsidRDefault="002969D9" w:rsidP="00FA27A6">
      <w:pPr>
        <w:spacing w:line="480" w:lineRule="auto"/>
      </w:pPr>
      <w:r>
        <w:t xml:space="preserve">Secondary analysis of age 14 data from the </w:t>
      </w:r>
      <w:r w:rsidRPr="00DC4786">
        <w:t>UK’s Millennium Cohort Study</w:t>
      </w:r>
      <w:r>
        <w:t xml:space="preserve">. </w:t>
      </w:r>
    </w:p>
    <w:p w14:paraId="04731F8A" w14:textId="00EB1B90" w:rsidR="00BE3CA2" w:rsidRDefault="00BE3CA2" w:rsidP="00FA27A6">
      <w:pPr>
        <w:pStyle w:val="Heading2"/>
        <w:spacing w:line="480" w:lineRule="auto"/>
      </w:pPr>
      <w:r>
        <w:t>Results</w:t>
      </w:r>
    </w:p>
    <w:p w14:paraId="568D1118" w14:textId="45C07966" w:rsidR="002969D9" w:rsidRPr="002969D9" w:rsidRDefault="00417038" w:rsidP="00FA27A6">
      <w:pPr>
        <w:spacing w:line="480" w:lineRule="auto"/>
      </w:pPr>
      <w:r>
        <w:t>A</w:t>
      </w:r>
      <w:r w:rsidR="002969D9">
        <w:t xml:space="preserve">dolescents with disability reported significantly higher rates of emotional difficulties and self-harm than their non-disabled peers. </w:t>
      </w:r>
      <w:r w:rsidR="00007148">
        <w:t xml:space="preserve">Among participants with and without disability, prevalence rates were notably higher among girls for most outcomes. </w:t>
      </w:r>
      <w:r w:rsidR="002969D9">
        <w:t xml:space="preserve">The strength of the association between disability and emotional difficulties and self-harm was greater for: maternal report of adolescent </w:t>
      </w:r>
      <w:r w:rsidR="002969D9" w:rsidRPr="00620CE0">
        <w:t>emotional difficulties</w:t>
      </w:r>
      <w:r w:rsidR="002969D9">
        <w:t xml:space="preserve">; disabled </w:t>
      </w:r>
      <w:r w:rsidR="002969D9" w:rsidRPr="00620CE0">
        <w:t xml:space="preserve">adolescents with </w:t>
      </w:r>
      <w:r w:rsidR="00325BE3">
        <w:t xml:space="preserve">moderate/severe </w:t>
      </w:r>
      <w:r w:rsidR="002969D9" w:rsidRPr="00620CE0">
        <w:t xml:space="preserve">activity </w:t>
      </w:r>
      <w:r w:rsidR="00325BE3">
        <w:t>limitations</w:t>
      </w:r>
      <w:r w:rsidR="002969D9">
        <w:t xml:space="preserve">; </w:t>
      </w:r>
      <w:r w:rsidR="005C1BB7">
        <w:t xml:space="preserve">and </w:t>
      </w:r>
      <w:r w:rsidR="002969D9">
        <w:t>adolescents with psychosocial impairments</w:t>
      </w:r>
      <w:r w:rsidR="00007148">
        <w:t xml:space="preserve">. </w:t>
      </w:r>
    </w:p>
    <w:p w14:paraId="4F8DAA01" w14:textId="7CD59EE2" w:rsidR="00BE3CA2" w:rsidRDefault="00BE3CA2" w:rsidP="00FA27A6">
      <w:pPr>
        <w:pStyle w:val="Heading2"/>
        <w:spacing w:line="480" w:lineRule="auto"/>
      </w:pPr>
      <w:r>
        <w:t>Conclusions</w:t>
      </w:r>
    </w:p>
    <w:p w14:paraId="6BFB0BCC" w14:textId="5A359659" w:rsidR="00007148" w:rsidRDefault="00007148" w:rsidP="00FA27A6">
      <w:pPr>
        <w:spacing w:line="480" w:lineRule="auto"/>
      </w:pPr>
      <w:r>
        <w:t xml:space="preserve">There is a clear need for providers of all mental health services to ensure that reasonable accommodations are made to services to ensure that they are responsive to the specific needs of adolescents with disabilities. Further research is needed to determine the extent to which our results </w:t>
      </w:r>
      <w:r>
        <w:lastRenderedPageBreak/>
        <w:t>can be generalised to adolescents in other settings, to specific subgroups of adolescents with disabilities, to other measures of emotional difficulties and to other informants. Future research is also needed to further explore the consistency</w:t>
      </w:r>
      <w:r w:rsidR="00B004F2">
        <w:t xml:space="preserve"> and </w:t>
      </w:r>
      <w:r>
        <w:t xml:space="preserve">determinants of the intersection between gender by disability </w:t>
      </w:r>
      <w:r w:rsidR="00417038">
        <w:t>regarding</w:t>
      </w:r>
      <w:r>
        <w:t xml:space="preserve"> adolescent mental health. </w:t>
      </w:r>
    </w:p>
    <w:p w14:paraId="47CD904E" w14:textId="77777777" w:rsidR="00582E9D" w:rsidRDefault="00582E9D" w:rsidP="00FA27A6">
      <w:pPr>
        <w:spacing w:line="480" w:lineRule="auto"/>
      </w:pPr>
    </w:p>
    <w:p w14:paraId="20D16D2C" w14:textId="77777777" w:rsidR="00F54106" w:rsidRDefault="00F54106" w:rsidP="00FA27A6">
      <w:pPr>
        <w:spacing w:line="480" w:lineRule="auto"/>
      </w:pPr>
      <w:r>
        <w:br w:type="page"/>
      </w:r>
    </w:p>
    <w:p w14:paraId="1D55FBFD" w14:textId="54D5B7B0" w:rsidR="00F54106" w:rsidRDefault="00F54106" w:rsidP="00FA27A6">
      <w:pPr>
        <w:pStyle w:val="Heading1"/>
        <w:spacing w:line="480" w:lineRule="auto"/>
      </w:pPr>
      <w:r>
        <w:lastRenderedPageBreak/>
        <w:t>Introduction</w:t>
      </w:r>
    </w:p>
    <w:p w14:paraId="06B0EBEF" w14:textId="6E02E533" w:rsidR="00F524A5" w:rsidRDefault="00250CE9" w:rsidP="00FA27A6">
      <w:pPr>
        <w:spacing w:line="480" w:lineRule="auto"/>
        <w:rPr>
          <w:rStyle w:val="CommentReference"/>
          <w:rFonts w:cs="Times New Roman"/>
          <w:sz w:val="22"/>
          <w:szCs w:val="22"/>
          <w:lang w:val="en-US"/>
        </w:rPr>
      </w:pPr>
      <w:r>
        <w:rPr>
          <w:lang w:val="en-US"/>
        </w:rPr>
        <w:t>Mental health problems make a significant contribution</w:t>
      </w:r>
      <w:r w:rsidRPr="00641DB2">
        <w:rPr>
          <w:lang w:val="en-US"/>
        </w:rPr>
        <w:t xml:space="preserve"> to the global burden of disease for adolescents</w:t>
      </w:r>
      <w:r w:rsidR="00B97809">
        <w:rPr>
          <w:lang w:val="en-US"/>
        </w:rPr>
        <w:t>.</w:t>
      </w:r>
      <w:r w:rsidRPr="00641DB2">
        <w:rPr>
          <w:lang w:val="en-US"/>
        </w:rPr>
        <w:fldChar w:fldCharType="begin"/>
      </w:r>
      <w:r w:rsidR="00126D9D">
        <w:rPr>
          <w:lang w:val="en-US"/>
        </w:rPr>
        <w:instrText xml:space="preserve"> ADDIN EN.CITE &lt;EndNote&gt;&lt;Cite&gt;&lt;Author&gt;Gore&lt;/Author&gt;&lt;Year&gt;2011&lt;/Year&gt;&lt;RecNum&gt;5633&lt;/RecNum&gt;&lt;DisplayText&gt;&lt;style face="superscript"&gt;1, 2&lt;/style&gt;&lt;/DisplayText&gt;&lt;record&gt;&lt;rec-number&gt;5633&lt;/rec-number&gt;&lt;foreign-keys&gt;&lt;key app="EN" db-id="0tzwrr05aez223ea2r9xt9tgddvasf55dw2p" timestamp="1520922072"&gt;5633&lt;/key&gt;&lt;/foreign-keys&gt;&lt;ref-type name="Journal Article"&gt;17&lt;/ref-type&gt;&lt;contributors&gt;&lt;authors&gt;&lt;author&gt;Gore, Fiona M&lt;/author&gt;&lt;author&gt;Bloem, Paul JN&lt;/author&gt;&lt;author&gt;Patton, George C&lt;/author&gt;&lt;author&gt;Ferguson, Jane&lt;/author&gt;&lt;author&gt;Joseph, Véronique&lt;/author&gt;&lt;author&gt;Coffey, Carolyn&lt;/author&gt;&lt;author&gt;Sawyer, Susan M&lt;/author&gt;&lt;author&gt;Mathers, Colin D&lt;/author&gt;&lt;/authors&gt;&lt;/contributors&gt;&lt;titles&gt;&lt;title&gt;Global burden of disease in young people aged 10–24 years: a systematic analysis&lt;/title&gt;&lt;secondary-title&gt;The Lancet&lt;/secondary-title&gt;&lt;/titles&gt;&lt;periodical&gt;&lt;full-title&gt;The Lancet&lt;/full-title&gt;&lt;/periodical&gt;&lt;pages&gt;2093-2102&lt;/pages&gt;&lt;volume&gt;377&lt;/volume&gt;&lt;number&gt;9783&lt;/number&gt;&lt;dates&gt;&lt;year&gt;2011&lt;/year&gt;&lt;/dates&gt;&lt;isbn&gt;0140-6736&lt;/isbn&gt;&lt;urls&gt;&lt;related-urls&gt;&lt;url&gt;http://ac.els-cdn.com/S0140673611605126/1-s2.0-S0140673611605126-main.pdf?_tid=6fe5111e-07b8-11e7-82a1-00000aab0f02&amp;amp;acdnat=1489387619_214769a9ddf63bef2250674ac6dc903e&lt;/url&gt;&lt;/related-urls&gt;&lt;/urls&gt;&lt;/record&gt;&lt;/Cite&gt;&lt;Cite&gt;&lt;Author&gt;UNICEF&lt;/Author&gt;&lt;Year&gt;2011&lt;/Year&gt;&lt;RecNum&gt;3412&lt;/RecNum&gt;&lt;record&gt;&lt;rec-number&gt;3412&lt;/rec-number&gt;&lt;foreign-keys&gt;&lt;key app="EN" db-id="0tzwrr05aez223ea2r9xt9tgddvasf55dw2p" timestamp="1314022631"&gt;3412&lt;/key&gt;&lt;/foreign-keys&gt;&lt;ref-type name="Report"&gt;27&lt;/ref-type&gt;&lt;contributors&gt;&lt;authors&gt;&lt;author&gt;UNICEF&lt;/author&gt;&lt;/authors&gt;&lt;/contributors&gt;&lt;titles&gt;&lt;title&gt;The State of the World&amp;apos;s Children 2011: Adolescence - An Age of Opportunity&lt;/title&gt;&lt;/titles&gt;&lt;dates&gt;&lt;year&gt;2011&lt;/year&gt;&lt;/dates&gt;&lt;pub-location&gt;New York&lt;/pub-location&gt;&lt;publisher&gt;UNICEF&lt;/publisher&gt;&lt;urls&gt;&lt;/urls&gt;&lt;/record&gt;&lt;/Cite&gt;&lt;/EndNote&gt;</w:instrText>
      </w:r>
      <w:r w:rsidRPr="00641DB2">
        <w:rPr>
          <w:lang w:val="en-US"/>
        </w:rPr>
        <w:fldChar w:fldCharType="separate"/>
      </w:r>
      <w:r w:rsidR="00126D9D" w:rsidRPr="00126D9D">
        <w:rPr>
          <w:noProof/>
          <w:vertAlign w:val="superscript"/>
          <w:lang w:val="en-US"/>
        </w:rPr>
        <w:t>1, 2</w:t>
      </w:r>
      <w:r w:rsidRPr="00641DB2">
        <w:rPr>
          <w:lang w:val="en-US"/>
        </w:rPr>
        <w:fldChar w:fldCharType="end"/>
      </w:r>
      <w:r>
        <w:rPr>
          <w:lang w:val="en-US"/>
        </w:rPr>
        <w:t xml:space="preserve"> They are </w:t>
      </w:r>
      <w:r w:rsidR="00B5289F">
        <w:rPr>
          <w:lang w:val="en-US"/>
        </w:rPr>
        <w:t xml:space="preserve">also </w:t>
      </w:r>
      <w:r w:rsidR="00F524A5" w:rsidRPr="00E34E5B">
        <w:t xml:space="preserve">related to lower educational achievements, substance abuse, violence, </w:t>
      </w:r>
      <w:r w:rsidR="00F524A5">
        <w:rPr>
          <w:lang w:val="en-US"/>
        </w:rPr>
        <w:t xml:space="preserve">self-harm, poor </w:t>
      </w:r>
      <w:r w:rsidR="00F524A5" w:rsidRPr="00641DB2">
        <w:rPr>
          <w:lang w:val="en-US"/>
        </w:rPr>
        <w:t>adult mental health</w:t>
      </w:r>
      <w:r w:rsidR="00F524A5">
        <w:rPr>
          <w:lang w:val="en-US"/>
        </w:rPr>
        <w:t>,</w:t>
      </w:r>
      <w:r w:rsidR="00F524A5" w:rsidRPr="00641DB2">
        <w:rPr>
          <w:lang w:val="en-US"/>
        </w:rPr>
        <w:t xml:space="preserve"> </w:t>
      </w:r>
      <w:r w:rsidR="00F524A5" w:rsidRPr="00E34E5B">
        <w:t>and poor reproductive and sexual health</w:t>
      </w:r>
      <w:r w:rsidR="00B97809">
        <w:t>.</w:t>
      </w:r>
      <w:r w:rsidR="00F524A5" w:rsidRPr="00641DB2">
        <w:rPr>
          <w:lang w:val="en-US"/>
        </w:rPr>
        <w:fldChar w:fldCharType="begin"/>
      </w:r>
      <w:r w:rsidR="00B97809">
        <w:rPr>
          <w:lang w:val="en-US"/>
        </w:rPr>
        <w:instrText xml:space="preserve"> ADDIN EN.CITE &lt;EndNote&gt;&lt;Cite&gt;&lt;Author&gt;Patel&lt;/Author&gt;&lt;Year&gt;2007&lt;/Year&gt;&lt;RecNum&gt;1760&lt;/RecNum&gt;&lt;DisplayText&gt;&lt;style face="superscript"&gt;3&lt;/style&gt;&lt;/DisplayText&gt;&lt;record&gt;&lt;rec-number&gt;1760&lt;/rec-number&gt;&lt;foreign-keys&gt;&lt;key app="EN" db-id="90v0wpv0sxsspced0xmx0s96f92w0de2p22t" timestamp="1508737956"&gt;1760&lt;/key&gt;&lt;/foreign-keys&gt;&lt;ref-type name="Journal Article"&gt;17&lt;/ref-type&gt;&lt;contributors&gt;&lt;authors&gt;&lt;author&gt;Patel, Vikram&lt;/author&gt;&lt;author&gt;Flisher, Alan J&lt;/author&gt;&lt;author&gt;Hetrick, Sarah&lt;/author&gt;&lt;author&gt;McGorry, Patrick&lt;/author&gt;&lt;/authors&gt;&lt;/contributors&gt;&lt;titles&gt;&lt;title&gt;Mental health of young people: a global public-health challenge&lt;/title&gt;&lt;secondary-title&gt;The Lancet&lt;/secondary-title&gt;&lt;/titles&gt;&lt;periodical&gt;&lt;full-title&gt;The Lancet&lt;/full-title&gt;&lt;/periodical&gt;&lt;pages&gt;1302-1313&lt;/pages&gt;&lt;volume&gt;369&lt;/volume&gt;&lt;number&gt;9569&lt;/number&gt;&lt;dates&gt;&lt;year&gt;2007&lt;/year&gt;&lt;/dates&gt;&lt;isbn&gt;0140-6736&lt;/isbn&gt;&lt;urls&gt;&lt;/urls&gt;&lt;/record&gt;&lt;/Cite&gt;&lt;/EndNote&gt;</w:instrText>
      </w:r>
      <w:r w:rsidR="00F524A5" w:rsidRPr="00641DB2">
        <w:rPr>
          <w:lang w:val="en-US"/>
        </w:rPr>
        <w:fldChar w:fldCharType="separate"/>
      </w:r>
      <w:r w:rsidR="00B97809" w:rsidRPr="00B97809">
        <w:rPr>
          <w:noProof/>
          <w:vertAlign w:val="superscript"/>
          <w:lang w:val="en-US"/>
        </w:rPr>
        <w:t>3</w:t>
      </w:r>
      <w:r w:rsidR="00F524A5" w:rsidRPr="00641DB2">
        <w:rPr>
          <w:lang w:val="en-US"/>
        </w:rPr>
        <w:fldChar w:fldCharType="end"/>
      </w:r>
      <w:r w:rsidR="00F524A5">
        <w:rPr>
          <w:lang w:val="en-US"/>
        </w:rPr>
        <w:t xml:space="preserve"> </w:t>
      </w:r>
      <w:r w:rsidR="00417038">
        <w:rPr>
          <w:lang w:val="en-US"/>
        </w:rPr>
        <w:t>A</w:t>
      </w:r>
      <w:r w:rsidRPr="00E34E5B">
        <w:rPr>
          <w:lang w:val="en-US"/>
        </w:rPr>
        <w:t xml:space="preserve">dolescence </w:t>
      </w:r>
      <w:r w:rsidR="00B5289F">
        <w:rPr>
          <w:lang w:val="en-US"/>
        </w:rPr>
        <w:t xml:space="preserve">is </w:t>
      </w:r>
      <w:r w:rsidR="00417038">
        <w:rPr>
          <w:lang w:val="en-US"/>
        </w:rPr>
        <w:t xml:space="preserve">therefore </w:t>
      </w:r>
      <w:r>
        <w:rPr>
          <w:lang w:val="en-US"/>
        </w:rPr>
        <w:t xml:space="preserve">regarded as a </w:t>
      </w:r>
      <w:r w:rsidRPr="00E34E5B">
        <w:rPr>
          <w:lang w:val="en-US"/>
        </w:rPr>
        <w:t xml:space="preserve">critical </w:t>
      </w:r>
      <w:r>
        <w:rPr>
          <w:lang w:val="en-US"/>
        </w:rPr>
        <w:t xml:space="preserve">period for </w:t>
      </w:r>
      <w:r w:rsidRPr="00E34E5B">
        <w:rPr>
          <w:lang w:val="en-US"/>
        </w:rPr>
        <w:t>laying the foundations for adult health</w:t>
      </w:r>
      <w:r w:rsidR="00B97809">
        <w:rPr>
          <w:lang w:val="en-US"/>
        </w:rPr>
        <w:t>.</w:t>
      </w:r>
      <w:r w:rsidRPr="00E34E5B">
        <w:rPr>
          <w:lang w:val="en-US"/>
        </w:rPr>
        <w:fldChar w:fldCharType="begin"/>
      </w:r>
      <w:r w:rsidR="00126D9D">
        <w:rPr>
          <w:lang w:val="en-US"/>
        </w:rPr>
        <w:instrText xml:space="preserve"> ADDIN EN.CITE &lt;EndNote&gt;&lt;Cite&gt;&lt;Author&gt;UNICEF&lt;/Author&gt;&lt;Year&gt;2011&lt;/Year&gt;&lt;RecNum&gt;3412&lt;/RecNum&gt;&lt;DisplayText&gt;&lt;style face="superscript"&gt;2, 4&lt;/style&gt;&lt;/DisplayText&gt;&lt;record&gt;&lt;rec-number&gt;3412&lt;/rec-number&gt;&lt;foreign-keys&gt;&lt;key app="EN" db-id="0tzwrr05aez223ea2r9xt9tgddvasf55dw2p" timestamp="1314022631"&gt;3412&lt;/key&gt;&lt;/foreign-keys&gt;&lt;ref-type name="Report"&gt;27&lt;/ref-type&gt;&lt;contributors&gt;&lt;authors&gt;&lt;author&gt;UNICEF&lt;/author&gt;&lt;/authors&gt;&lt;/contributors&gt;&lt;titles&gt;&lt;title&gt;The State of the World&amp;apos;s Children 2011: Adolescence - An Age of Opportunity&lt;/title&gt;&lt;/titles&gt;&lt;dates&gt;&lt;year&gt;2011&lt;/year&gt;&lt;/dates&gt;&lt;pub-location&gt;New York&lt;/pub-location&gt;&lt;publisher&gt;UNICEF&lt;/publisher&gt;&lt;urls&gt;&lt;/urls&gt;&lt;/record&gt;&lt;/Cite&gt;&lt;Cite&gt;&lt;Author&gt;World Health Organization&lt;/Author&gt;&lt;Year&gt;2014&lt;/Year&gt;&lt;RecNum&gt;5636&lt;/RecNum&gt;&lt;record&gt;&lt;rec-number&gt;5636&lt;/rec-number&gt;&lt;foreign-keys&gt;&lt;key app="EN" db-id="0tzwrr05aez223ea2r9xt9tgddvasf55dw2p" timestamp="1520922072"&gt;5636&lt;/key&gt;&lt;/foreign-keys&gt;&lt;ref-type name="Report"&gt;27&lt;/ref-type&gt;&lt;contributors&gt;&lt;authors&gt;&lt;author&gt;World Health Organization, &lt;/author&gt;&lt;/authors&gt;&lt;/contributors&gt;&lt;titles&gt;&lt;title&gt;Health for the World’s Adolescents: A second chance in the second decade&lt;/title&gt;&lt;/titles&gt;&lt;dates&gt;&lt;year&gt;2014&lt;/year&gt;&lt;/dates&gt;&lt;pub-location&gt;Geneva, Switzerland&lt;/pub-location&gt;&lt;publisher&gt;Department of Maternal, Newborn, Child and Adolescent Health; World Health Organisation&lt;/publisher&gt;&lt;urls&gt;&lt;/urls&gt;&lt;/record&gt;&lt;/Cite&gt;&lt;/EndNote&gt;</w:instrText>
      </w:r>
      <w:r w:rsidRPr="00E34E5B">
        <w:rPr>
          <w:lang w:val="en-US"/>
        </w:rPr>
        <w:fldChar w:fldCharType="separate"/>
      </w:r>
      <w:r w:rsidR="00126D9D" w:rsidRPr="00126D9D">
        <w:rPr>
          <w:noProof/>
          <w:vertAlign w:val="superscript"/>
          <w:lang w:val="en-US"/>
        </w:rPr>
        <w:t>2, 4</w:t>
      </w:r>
      <w:r w:rsidRPr="00E34E5B">
        <w:rPr>
          <w:lang w:val="en-US"/>
        </w:rPr>
        <w:fldChar w:fldCharType="end"/>
      </w:r>
      <w:r w:rsidRPr="00250CE9">
        <w:rPr>
          <w:lang w:val="en-US"/>
        </w:rPr>
        <w:t xml:space="preserve"> </w:t>
      </w:r>
    </w:p>
    <w:p w14:paraId="64334192" w14:textId="415AE461" w:rsidR="002763E1" w:rsidRPr="00CF4720" w:rsidRDefault="00110BFD" w:rsidP="00FA27A6">
      <w:pPr>
        <w:spacing w:line="480" w:lineRule="auto"/>
        <w:rPr>
          <w:rFonts w:cs="AdvOT863180fb"/>
          <w:color w:val="000000"/>
        </w:rPr>
      </w:pPr>
      <w:r>
        <w:rPr>
          <w:lang w:val="en-US"/>
        </w:rPr>
        <w:t>T</w:t>
      </w:r>
      <w:r w:rsidR="00F427C8" w:rsidRPr="00E34E5B">
        <w:rPr>
          <w:lang w:val="en-US"/>
        </w:rPr>
        <w:t xml:space="preserve">he prevalence of mental health disorders </w:t>
      </w:r>
      <w:r w:rsidR="00B5289F" w:rsidRPr="00E34E5B">
        <w:rPr>
          <w:lang w:val="en-US"/>
        </w:rPr>
        <w:t>rises</w:t>
      </w:r>
      <w:r w:rsidR="00F427C8" w:rsidRPr="00E34E5B">
        <w:rPr>
          <w:lang w:val="en-US"/>
        </w:rPr>
        <w:t xml:space="preserve"> significantly during adolescence</w:t>
      </w:r>
      <w:r>
        <w:rPr>
          <w:lang w:val="en-US"/>
        </w:rPr>
        <w:t xml:space="preserve">. For example, </w:t>
      </w:r>
      <w:r w:rsidR="00A3594B">
        <w:rPr>
          <w:lang w:val="en-US"/>
        </w:rPr>
        <w:t xml:space="preserve">a </w:t>
      </w:r>
      <w:r w:rsidR="00EC5976">
        <w:rPr>
          <w:lang w:val="en-US"/>
        </w:rPr>
        <w:t xml:space="preserve">UK </w:t>
      </w:r>
      <w:r w:rsidR="00A3594B">
        <w:rPr>
          <w:lang w:val="en-US"/>
        </w:rPr>
        <w:t xml:space="preserve">study </w:t>
      </w:r>
      <w:r w:rsidR="00F16BE7">
        <w:rPr>
          <w:lang w:val="en-US"/>
        </w:rPr>
        <w:t>suggested</w:t>
      </w:r>
      <w:r w:rsidR="00A3594B">
        <w:rPr>
          <w:lang w:val="en-US"/>
        </w:rPr>
        <w:t xml:space="preserve"> that</w:t>
      </w:r>
      <w:r>
        <w:rPr>
          <w:lang w:val="en-US"/>
        </w:rPr>
        <w:t xml:space="preserve"> </w:t>
      </w:r>
      <w:r w:rsidR="00E34E5B">
        <w:rPr>
          <w:lang w:val="en-US"/>
        </w:rPr>
        <w:t xml:space="preserve">the prevalence of diagnosable mental health disorders </w:t>
      </w:r>
      <w:r w:rsidR="007A7BA9">
        <w:rPr>
          <w:lang w:val="en-US"/>
        </w:rPr>
        <w:t xml:space="preserve">was </w:t>
      </w:r>
      <w:r w:rsidR="00C879B3">
        <w:rPr>
          <w:lang w:val="en-US"/>
        </w:rPr>
        <w:t xml:space="preserve">49% </w:t>
      </w:r>
      <w:r w:rsidR="007A7BA9">
        <w:rPr>
          <w:lang w:val="en-US"/>
        </w:rPr>
        <w:t xml:space="preserve">higher among 11-16 year old adolescents  when compared to </w:t>
      </w:r>
      <w:r w:rsidR="00795E6B">
        <w:rPr>
          <w:lang w:val="en-US"/>
        </w:rPr>
        <w:t>5-10 year old children</w:t>
      </w:r>
      <w:r w:rsidR="007B4658">
        <w:rPr>
          <w:lang w:val="en-US"/>
        </w:rPr>
        <w:t>, with emotional disorders being over 100% higher among 11-16 year old adolescents when compared to 5-10 year old children (5.0% vs. 2.4%)</w:t>
      </w:r>
      <w:r w:rsidR="00B97809">
        <w:rPr>
          <w:lang w:val="en-US"/>
        </w:rPr>
        <w:t>.</w:t>
      </w:r>
      <w:r w:rsidR="00795E6B" w:rsidRPr="00E34E5B">
        <w:rPr>
          <w:lang w:val="en-US"/>
        </w:rPr>
        <w:fldChar w:fldCharType="begin"/>
      </w:r>
      <w:r w:rsidR="00B97809">
        <w:rPr>
          <w:lang w:val="en-US"/>
        </w:rPr>
        <w:instrText xml:space="preserve"> ADDIN EN.CITE &lt;EndNote&gt;&lt;Cite&gt;&lt;Author&gt;Green&lt;/Author&gt;&lt;Year&gt;2005&lt;/Year&gt;&lt;RecNum&gt;364&lt;/RecNum&gt;&lt;DisplayText&gt;&lt;style face="superscript"&gt;5&lt;/style&gt;&lt;/DisplayText&gt;&lt;record&gt;&lt;rec-number&gt;364&lt;/rec-number&gt;&lt;foreign-keys&gt;&lt;key app="EN" db-id="0tzwrr05aez223ea2r9xt9tgddvasf55dw2p" timestamp="0"&gt;364&lt;/key&gt;&lt;/foreign-keys&gt;&lt;ref-type name="Book"&gt;6&lt;/ref-type&gt;&lt;contributors&gt;&lt;authors&gt;&lt;author&gt;Green, H&lt;/author&gt;&lt;author&gt;McGinnity, A&lt;/author&gt;&lt;author&gt;Meltzer, H&lt;/author&gt;&lt;author&gt;Ford, T&lt;/author&gt;&lt;author&gt;Goodman, R&lt;/author&gt;&lt;/authors&gt;&lt;/contributors&gt;&lt;titles&gt;&lt;title&gt;Mental Health of Children and Young People in Britain, 2004&lt;/title&gt;&lt;/titles&gt;&lt;dates&gt;&lt;year&gt;2005&lt;/year&gt;&lt;/dates&gt;&lt;pub-location&gt;Basingstoke&lt;/pub-location&gt;&lt;publisher&gt;Palgrave MacMillan&lt;/publisher&gt;&lt;urls&gt;&lt;/urls&gt;&lt;/record&gt;&lt;/Cite&gt;&lt;/EndNote&gt;</w:instrText>
      </w:r>
      <w:r w:rsidR="00795E6B" w:rsidRPr="00E34E5B">
        <w:rPr>
          <w:lang w:val="en-US"/>
        </w:rPr>
        <w:fldChar w:fldCharType="separate"/>
      </w:r>
      <w:r w:rsidR="00B97809" w:rsidRPr="00B97809">
        <w:rPr>
          <w:noProof/>
          <w:vertAlign w:val="superscript"/>
          <w:lang w:val="en-US"/>
        </w:rPr>
        <w:t>5</w:t>
      </w:r>
      <w:r w:rsidR="00795E6B" w:rsidRPr="00E34E5B">
        <w:rPr>
          <w:lang w:val="en-US"/>
        </w:rPr>
        <w:fldChar w:fldCharType="end"/>
      </w:r>
      <w:r w:rsidR="00795E6B">
        <w:rPr>
          <w:lang w:val="en-US"/>
        </w:rPr>
        <w:t xml:space="preserve"> </w:t>
      </w:r>
      <w:r w:rsidR="00E8488B">
        <w:rPr>
          <w:lang w:val="en-US"/>
        </w:rPr>
        <w:t>Th</w:t>
      </w:r>
      <w:r w:rsidR="007B4658">
        <w:rPr>
          <w:lang w:val="en-US"/>
        </w:rPr>
        <w:t xml:space="preserve">ese </w:t>
      </w:r>
      <w:r w:rsidR="007A7BA9">
        <w:rPr>
          <w:lang w:val="en-US"/>
        </w:rPr>
        <w:t>difference</w:t>
      </w:r>
      <w:r w:rsidR="007B4658">
        <w:rPr>
          <w:lang w:val="en-US"/>
        </w:rPr>
        <w:t>s</w:t>
      </w:r>
      <w:r w:rsidR="007A7BA9">
        <w:rPr>
          <w:lang w:val="en-US"/>
        </w:rPr>
        <w:t xml:space="preserve"> in prevalence </w:t>
      </w:r>
      <w:r w:rsidR="00B5289F">
        <w:rPr>
          <w:lang w:val="en-US"/>
        </w:rPr>
        <w:t xml:space="preserve">reflect </w:t>
      </w:r>
      <w:r w:rsidR="007A7BA9">
        <w:rPr>
          <w:lang w:val="en-US"/>
        </w:rPr>
        <w:t xml:space="preserve">differences in the prevalence </w:t>
      </w:r>
      <w:r w:rsidR="000870F7">
        <w:rPr>
          <w:lang w:val="en-US"/>
        </w:rPr>
        <w:t xml:space="preserve">of </w:t>
      </w:r>
      <w:r w:rsidR="00CA7D08">
        <w:rPr>
          <w:lang w:val="en-US"/>
        </w:rPr>
        <w:t xml:space="preserve">emotional disorders </w:t>
      </w:r>
      <w:r w:rsidR="00F524A5">
        <w:rPr>
          <w:lang w:val="en-US"/>
        </w:rPr>
        <w:t xml:space="preserve">among </w:t>
      </w:r>
      <w:r w:rsidR="00CA7D08">
        <w:rPr>
          <w:lang w:val="en-US"/>
        </w:rPr>
        <w:t xml:space="preserve">girls </w:t>
      </w:r>
      <w:r>
        <w:rPr>
          <w:lang w:val="en-US"/>
        </w:rPr>
        <w:t>(</w:t>
      </w:r>
      <w:r w:rsidR="000870F7">
        <w:rPr>
          <w:lang w:val="en-US"/>
        </w:rPr>
        <w:t xml:space="preserve">6.1% among 11-16 year old adolescent girls, </w:t>
      </w:r>
      <w:r>
        <w:rPr>
          <w:lang w:val="en-US"/>
        </w:rPr>
        <w:t>2.</w:t>
      </w:r>
      <w:r w:rsidR="00CA7D08">
        <w:rPr>
          <w:lang w:val="en-US"/>
        </w:rPr>
        <w:t xml:space="preserve">5% </w:t>
      </w:r>
      <w:r w:rsidR="000870F7">
        <w:rPr>
          <w:lang w:val="en-US"/>
        </w:rPr>
        <w:t>among 5-10 year old girls</w:t>
      </w:r>
      <w:r>
        <w:rPr>
          <w:lang w:val="en-US"/>
        </w:rPr>
        <w:t>)</w:t>
      </w:r>
      <w:r w:rsidR="00B97809">
        <w:rPr>
          <w:lang w:val="en-US"/>
        </w:rPr>
        <w:t>.</w:t>
      </w:r>
      <w:r w:rsidR="00C879B3" w:rsidRPr="00E34E5B">
        <w:rPr>
          <w:lang w:val="en-US"/>
        </w:rPr>
        <w:fldChar w:fldCharType="begin"/>
      </w:r>
      <w:r w:rsidR="00B97809">
        <w:rPr>
          <w:lang w:val="en-US"/>
        </w:rPr>
        <w:instrText xml:space="preserve"> ADDIN EN.CITE &lt;EndNote&gt;&lt;Cite&gt;&lt;Author&gt;Green&lt;/Author&gt;&lt;Year&gt;2005&lt;/Year&gt;&lt;RecNum&gt;364&lt;/RecNum&gt;&lt;DisplayText&gt;&lt;style face="superscript"&gt;5&lt;/style&gt;&lt;/DisplayText&gt;&lt;record&gt;&lt;rec-number&gt;364&lt;/rec-number&gt;&lt;foreign-keys&gt;&lt;key app="EN" db-id="0tzwrr05aez223ea2r9xt9tgddvasf55dw2p" timestamp="0"&gt;364&lt;/key&gt;&lt;/foreign-keys&gt;&lt;ref-type name="Book"&gt;6&lt;/ref-type&gt;&lt;contributors&gt;&lt;authors&gt;&lt;author&gt;Green, H&lt;/author&gt;&lt;author&gt;McGinnity, A&lt;/author&gt;&lt;author&gt;Meltzer, H&lt;/author&gt;&lt;author&gt;Ford, T&lt;/author&gt;&lt;author&gt;Goodman, R&lt;/author&gt;&lt;/authors&gt;&lt;/contributors&gt;&lt;titles&gt;&lt;title&gt;Mental Health of Children and Young People in Britain, 2004&lt;/title&gt;&lt;/titles&gt;&lt;dates&gt;&lt;year&gt;2005&lt;/year&gt;&lt;/dates&gt;&lt;pub-location&gt;Basingstoke&lt;/pub-location&gt;&lt;publisher&gt;Palgrave MacMillan&lt;/publisher&gt;&lt;urls&gt;&lt;/urls&gt;&lt;/record&gt;&lt;/Cite&gt;&lt;/EndNote&gt;</w:instrText>
      </w:r>
      <w:r w:rsidR="00C879B3" w:rsidRPr="00E34E5B">
        <w:rPr>
          <w:lang w:val="en-US"/>
        </w:rPr>
        <w:fldChar w:fldCharType="separate"/>
      </w:r>
      <w:r w:rsidR="00B97809" w:rsidRPr="00B97809">
        <w:rPr>
          <w:noProof/>
          <w:vertAlign w:val="superscript"/>
          <w:lang w:val="en-US"/>
        </w:rPr>
        <w:t>5</w:t>
      </w:r>
      <w:r w:rsidR="00C879B3" w:rsidRPr="00E34E5B">
        <w:rPr>
          <w:lang w:val="en-US"/>
        </w:rPr>
        <w:fldChar w:fldCharType="end"/>
      </w:r>
      <w:r w:rsidR="00C879B3" w:rsidRPr="00CF4720">
        <w:rPr>
          <w:lang w:val="en-US"/>
        </w:rPr>
        <w:t xml:space="preserve"> </w:t>
      </w:r>
      <w:r w:rsidR="00B5289F">
        <w:rPr>
          <w:lang w:val="en-US"/>
        </w:rPr>
        <w:t>I</w:t>
      </w:r>
      <w:r w:rsidR="00CA7D08" w:rsidRPr="00CF4720">
        <w:t xml:space="preserve">n </w:t>
      </w:r>
      <w:r w:rsidR="00352128" w:rsidRPr="00CF4720">
        <w:t xml:space="preserve">early adolescence, girls start to report higher levels of </w:t>
      </w:r>
      <w:r w:rsidR="00E74FD1" w:rsidRPr="00CF4720">
        <w:t xml:space="preserve">emotional disorders </w:t>
      </w:r>
      <w:r w:rsidR="00352128" w:rsidRPr="00CF4720">
        <w:t>than boys</w:t>
      </w:r>
      <w:r w:rsidR="00CA7D08" w:rsidRPr="00CF4720">
        <w:t xml:space="preserve">, a </w:t>
      </w:r>
      <w:r w:rsidR="00352128" w:rsidRPr="00CF4720">
        <w:t xml:space="preserve">difference </w:t>
      </w:r>
      <w:r w:rsidR="00CA7D08" w:rsidRPr="00CF4720">
        <w:t xml:space="preserve">that </w:t>
      </w:r>
      <w:r w:rsidR="00C14D1D" w:rsidRPr="00CF4720">
        <w:t xml:space="preserve">is maintained </w:t>
      </w:r>
      <w:r w:rsidR="00352128" w:rsidRPr="00CF4720">
        <w:t>over the life</w:t>
      </w:r>
      <w:r w:rsidR="007200ED" w:rsidRPr="00CF4720">
        <w:t xml:space="preserve"> course</w:t>
      </w:r>
      <w:r w:rsidR="00B97809">
        <w:t>.</w:t>
      </w:r>
      <w:r w:rsidR="00CA7D08" w:rsidRPr="00CF4720">
        <w:fldChar w:fldCharType="begin"/>
      </w:r>
      <w:r w:rsidR="00126D9D">
        <w:instrText xml:space="preserve"> ADDIN EN.CITE &lt;EndNote&gt;&lt;Cite&gt;&lt;Author&gt;Kessler&lt;/Author&gt;&lt;Year&gt;2003&lt;/Year&gt;&lt;RecNum&gt;5648&lt;/RecNum&gt;&lt;DisplayText&gt;&lt;style face="superscript"&gt;6, 7&lt;/style&gt;&lt;/DisplayText&gt;&lt;record&gt;&lt;rec-number&gt;5648&lt;/rec-number&gt;&lt;foreign-keys&gt;&lt;key app="EN" db-id="0tzwrr05aez223ea2r9xt9tgddvasf55dw2p" timestamp="1521337511"&gt;5648&lt;/key&gt;&lt;/foreign-keys&gt;&lt;ref-type name="Journal Article"&gt;17&lt;/ref-type&gt;&lt;contributors&gt;&lt;authors&gt;&lt;author&gt;Kessler, R C&lt;/author&gt;&lt;/authors&gt;&lt;/contributors&gt;&lt;titles&gt;&lt;title&gt;Epidemiology of women and depression&lt;/title&gt;&lt;secondary-title&gt;Journal of Affective Disorders&lt;/secondary-title&gt;&lt;/titles&gt;&lt;periodical&gt;&lt;full-title&gt;Journal of Affective Disorders&lt;/full-title&gt;&lt;abbr-1&gt;J. Affect. Disord.&lt;/abbr-1&gt;&lt;/periodical&gt;&lt;pages&gt;5-13&lt;/pages&gt;&lt;volume&gt;74&lt;/volume&gt;&lt;number&gt;1&lt;/number&gt;&lt;dates&gt;&lt;year&gt;2003&lt;/year&gt;&lt;/dates&gt;&lt;urls&gt;&lt;/urls&gt;&lt;/record&gt;&lt;/Cite&gt;&lt;Cite&gt;&lt;Author&gt;Collishaw&lt;/Author&gt;&lt;Year&gt;2010&lt;/Year&gt;&lt;RecNum&gt;5658&lt;/RecNum&gt;&lt;record&gt;&lt;rec-number&gt;5658&lt;/rec-number&gt;&lt;foreign-keys&gt;&lt;key app="EN" db-id="0tzwrr05aez223ea2r9xt9tgddvasf55dw2p" timestamp="1521343406"&gt;5658&lt;/key&gt;&lt;/foreign-keys&gt;&lt;ref-type name="Journal Article"&gt;17&lt;/ref-type&gt;&lt;contributors&gt;&lt;authors&gt;&lt;author&gt;Collishaw, S, &lt;/author&gt;&lt;author&gt;Maughan, B&lt;/author&gt;&lt;author&gt;Natarajan, L&lt;/author&gt;&lt;author&gt;Pickles, A&lt;/author&gt;&lt;/authors&gt;&lt;/contributors&gt;&lt;titles&gt;&lt;title&gt;Trends in adolescent emotional problems in England: A comparison of two national cohorts twenty years apart&lt;/title&gt;&lt;secondary-title&gt;Journal of Child Psychology and Psychiatry&lt;/secondary-title&gt;&lt;/titles&gt;&lt;periodical&gt;&lt;full-title&gt;Journal of Child Psychology and Psychiatry&lt;/full-title&gt;&lt;/periodical&gt;&lt;pages&gt;885-894&lt;/pages&gt;&lt;volume&gt;51&lt;/volume&gt;&lt;number&gt;8&lt;/number&gt;&lt;dates&gt;&lt;year&gt;2010&lt;/year&gt;&lt;/dates&gt;&lt;urls&gt;&lt;/urls&gt;&lt;/record&gt;&lt;/Cite&gt;&lt;/EndNote&gt;</w:instrText>
      </w:r>
      <w:r w:rsidR="00CA7D08" w:rsidRPr="00CF4720">
        <w:fldChar w:fldCharType="separate"/>
      </w:r>
      <w:r w:rsidR="00126D9D" w:rsidRPr="00126D9D">
        <w:rPr>
          <w:noProof/>
          <w:vertAlign w:val="superscript"/>
        </w:rPr>
        <w:t>6, 7</w:t>
      </w:r>
      <w:r w:rsidR="00CA7D08" w:rsidRPr="00CF4720">
        <w:fldChar w:fldCharType="end"/>
      </w:r>
      <w:r w:rsidR="00E74FD1" w:rsidRPr="00CF4720">
        <w:t xml:space="preserve"> </w:t>
      </w:r>
    </w:p>
    <w:p w14:paraId="1D6776E7" w14:textId="4DC0DF6F" w:rsidR="002763E1" w:rsidRPr="00CF4720" w:rsidRDefault="00CF4720" w:rsidP="00FA27A6">
      <w:pPr>
        <w:spacing w:line="480" w:lineRule="auto"/>
      </w:pPr>
      <w:r w:rsidRPr="00CF4720">
        <w:rPr>
          <w:rStyle w:val="CommentReference"/>
          <w:rFonts w:cs="Times New Roman"/>
          <w:sz w:val="22"/>
          <w:szCs w:val="22"/>
          <w:lang w:val="en-US"/>
        </w:rPr>
        <w:t xml:space="preserve">Self-harm </w:t>
      </w:r>
      <w:r w:rsidRPr="00CF4720">
        <w:t xml:space="preserve">is </w:t>
      </w:r>
      <w:r w:rsidRPr="00CF4720">
        <w:rPr>
          <w:rStyle w:val="CommentReference"/>
          <w:rFonts w:cs="Times New Roman"/>
          <w:sz w:val="22"/>
          <w:szCs w:val="22"/>
          <w:lang w:val="en-US"/>
        </w:rPr>
        <w:t>defined as any deliberate act of self-injury, irrespective of suicidal intent or motive</w:t>
      </w:r>
      <w:r w:rsidR="00B97809">
        <w:rPr>
          <w:rStyle w:val="CommentReference"/>
          <w:rFonts w:cs="Times New Roman"/>
          <w:sz w:val="22"/>
          <w:szCs w:val="22"/>
          <w:lang w:val="en-US"/>
        </w:rPr>
        <w:t>.</w:t>
      </w:r>
      <w:r w:rsidRPr="00CF4720">
        <w:rPr>
          <w:rStyle w:val="CommentReference"/>
          <w:rFonts w:cs="Times New Roman"/>
          <w:sz w:val="22"/>
          <w:szCs w:val="22"/>
          <w:lang w:val="en-US"/>
        </w:rPr>
        <w:fldChar w:fldCharType="begin"/>
      </w:r>
      <w:r w:rsidR="00B97809">
        <w:rPr>
          <w:rStyle w:val="CommentReference"/>
          <w:rFonts w:cs="Times New Roman"/>
          <w:sz w:val="22"/>
          <w:szCs w:val="22"/>
          <w:lang w:val="en-US"/>
        </w:rPr>
        <w:instrText xml:space="preserve"> ADDIN EN.CITE &lt;EndNote&gt;&lt;Cite&gt;&lt;Author&gt;Hawton&lt;/Author&gt;&lt;Year&gt;2012&lt;/Year&gt;&lt;RecNum&gt;5639&lt;/RecNum&gt;&lt;DisplayText&gt;&lt;style face="superscript"&gt;8&lt;/style&gt;&lt;/DisplayText&gt;&lt;record&gt;&lt;rec-number&gt;5639&lt;/rec-number&gt;&lt;foreign-keys&gt;&lt;key app="EN" db-id="0tzwrr05aez223ea2r9xt9tgddvasf55dw2p" timestamp="1520922072"&gt;5639&lt;/key&gt;&lt;/foreign-keys&gt;&lt;ref-type name="Journal Article"&gt;17&lt;/ref-type&gt;&lt;contributors&gt;&lt;authors&gt;&lt;author&gt;Hawton, Keith&lt;/author&gt;&lt;author&gt;Saunders, Kate EA&lt;/author&gt;&lt;author&gt;O&amp;apos;Connor, Rory C&lt;/author&gt;&lt;/authors&gt;&lt;/contributors&gt;&lt;titles&gt;&lt;title&gt;Self-harm and suicide in adolescents&lt;/title&gt;&lt;secondary-title&gt;The Lancet&lt;/secondary-title&gt;&lt;/titles&gt;&lt;periodical&gt;&lt;full-title&gt;The Lancet&lt;/full-title&gt;&lt;/periodical&gt;&lt;pages&gt;2373-2382&lt;/pages&gt;&lt;volume&gt;379&lt;/volume&gt;&lt;number&gt;9834&lt;/number&gt;&lt;dates&gt;&lt;year&gt;2012&lt;/year&gt;&lt;/dates&gt;&lt;isbn&gt;0140-6736&lt;/isbn&gt;&lt;urls&gt;&lt;/urls&gt;&lt;/record&gt;&lt;/Cite&gt;&lt;/EndNote&gt;</w:instrText>
      </w:r>
      <w:r w:rsidRPr="00CF4720">
        <w:rPr>
          <w:rStyle w:val="CommentReference"/>
          <w:rFonts w:cs="Times New Roman"/>
          <w:sz w:val="22"/>
          <w:szCs w:val="22"/>
          <w:lang w:val="en-US"/>
        </w:rPr>
        <w:fldChar w:fldCharType="separate"/>
      </w:r>
      <w:r w:rsidR="00B97809" w:rsidRPr="00B97809">
        <w:rPr>
          <w:rStyle w:val="CommentReference"/>
          <w:rFonts w:cs="Times New Roman"/>
          <w:noProof/>
          <w:sz w:val="22"/>
          <w:szCs w:val="22"/>
          <w:vertAlign w:val="superscript"/>
          <w:lang w:val="en-US"/>
        </w:rPr>
        <w:t>8</w:t>
      </w:r>
      <w:r w:rsidRPr="00CF4720">
        <w:rPr>
          <w:rStyle w:val="CommentReference"/>
          <w:rFonts w:cs="Times New Roman"/>
          <w:sz w:val="22"/>
          <w:szCs w:val="22"/>
          <w:lang w:val="en-US"/>
        </w:rPr>
        <w:fldChar w:fldCharType="end"/>
      </w:r>
      <w:r w:rsidRPr="00CF4720">
        <w:rPr>
          <w:rStyle w:val="CommentReference"/>
          <w:rFonts w:cs="Times New Roman"/>
          <w:sz w:val="22"/>
          <w:szCs w:val="22"/>
          <w:lang w:val="en-US"/>
        </w:rPr>
        <w:t xml:space="preserve"> </w:t>
      </w:r>
      <w:r w:rsidR="000870F7" w:rsidRPr="00CF4720">
        <w:t>G</w:t>
      </w:r>
      <w:r w:rsidR="00E74FD1" w:rsidRPr="00CF4720">
        <w:t xml:space="preserve">ender differences have been reported with regards to </w:t>
      </w:r>
      <w:r w:rsidR="000870F7" w:rsidRPr="00CF4720">
        <w:t xml:space="preserve">the prevalence of </w:t>
      </w:r>
      <w:r w:rsidR="00E74FD1" w:rsidRPr="00CF4720">
        <w:t>self-harm</w:t>
      </w:r>
      <w:r w:rsidR="00B5289F">
        <w:t xml:space="preserve"> with recent </w:t>
      </w:r>
      <w:r w:rsidRPr="00CF4720">
        <w:rPr>
          <w:rStyle w:val="CommentReference"/>
          <w:rFonts w:cs="Times New Roman"/>
          <w:sz w:val="22"/>
          <w:szCs w:val="22"/>
          <w:lang w:val="en-US"/>
        </w:rPr>
        <w:t>UK</w:t>
      </w:r>
      <w:r w:rsidR="00B5289F">
        <w:rPr>
          <w:rStyle w:val="CommentReference"/>
          <w:rFonts w:cs="Times New Roman"/>
          <w:sz w:val="22"/>
          <w:szCs w:val="22"/>
          <w:lang w:val="en-US"/>
        </w:rPr>
        <w:t xml:space="preserve"> </w:t>
      </w:r>
      <w:r w:rsidRPr="00CF4720">
        <w:rPr>
          <w:rStyle w:val="CommentReference"/>
          <w:rFonts w:cs="Times New Roman"/>
          <w:sz w:val="22"/>
          <w:szCs w:val="22"/>
          <w:lang w:val="en-US"/>
        </w:rPr>
        <w:t xml:space="preserve">estimates for lifetime self-reported self-harm among adolescents </w:t>
      </w:r>
      <w:r w:rsidR="00B5289F">
        <w:rPr>
          <w:rStyle w:val="CommentReference"/>
          <w:rFonts w:cs="Times New Roman"/>
          <w:sz w:val="22"/>
          <w:szCs w:val="22"/>
          <w:lang w:val="en-US"/>
        </w:rPr>
        <w:t xml:space="preserve">of </w:t>
      </w:r>
      <w:r w:rsidRPr="00CF4720">
        <w:rPr>
          <w:rFonts w:cs="AdvTT378de93d"/>
          <w:lang w:val="en-GB"/>
        </w:rPr>
        <w:t>23.1% among girls and 7.1% among boys</w:t>
      </w:r>
      <w:r w:rsidR="00B97809">
        <w:rPr>
          <w:rFonts w:cs="AdvTT378de93d"/>
          <w:lang w:val="en-GB"/>
        </w:rPr>
        <w:t>.</w:t>
      </w:r>
      <w:r>
        <w:rPr>
          <w:rFonts w:cs="AdvTT378de93d"/>
          <w:lang w:val="en-GB"/>
        </w:rPr>
        <w:fldChar w:fldCharType="begin"/>
      </w:r>
      <w:r w:rsidR="00B97809">
        <w:rPr>
          <w:rFonts w:cs="AdvTT378de93d"/>
          <w:lang w:val="en-GB"/>
        </w:rPr>
        <w:instrText xml:space="preserve"> ADDIN EN.CITE &lt;EndNote&gt;&lt;Cite&gt;&lt;Author&gt;Morey&lt;/Author&gt;&lt;Year&gt;2016&lt;/Year&gt;&lt;RecNum&gt;5679&lt;/RecNum&gt;&lt;DisplayText&gt;&lt;style face="superscript"&gt;9&lt;/style&gt;&lt;/DisplayText&gt;&lt;record&gt;&lt;rec-number&gt;5679&lt;/rec-number&gt;&lt;foreign-keys&gt;&lt;key app="EN" db-id="0tzwrr05aez223ea2r9xt9tgddvasf55dw2p" timestamp="1533808005"&gt;5679&lt;/key&gt;&lt;/foreign-keys&gt;&lt;ref-type name="Journal Article"&gt;17&lt;/ref-type&gt;&lt;contributors&gt;&lt;authors&gt;&lt;author&gt;Morey, Y&lt;/author&gt;&lt;author&gt;Mellon, D&lt;/author&gt;&lt;author&gt;Dailami, N&lt;/author&gt;&lt;author&gt;Verne, J&lt;/author&gt;&lt;author&gt;Tapp, A&lt;/author&gt;&lt;/authors&gt;&lt;/contributors&gt;&lt;titles&gt;&lt;title&gt;Adolescent self-harm in the community: an update on prevalence using a self-report survey of adolescents aged 13–18 in England&lt;/title&gt;&lt;secondary-title&gt;Journal of Public Health&lt;/secondary-title&gt;&lt;/titles&gt;&lt;periodical&gt;&lt;full-title&gt;Journal of Public Health&lt;/full-title&gt;&lt;/periodical&gt;&lt;pages&gt;58-64&lt;/pages&gt;&lt;volume&gt;39&lt;/volume&gt;&lt;dates&gt;&lt;year&gt;2016&lt;/year&gt;&lt;/dates&gt;&lt;urls&gt;&lt;/urls&gt;&lt;/record&gt;&lt;/Cite&gt;&lt;/EndNote&gt;</w:instrText>
      </w:r>
      <w:r>
        <w:rPr>
          <w:rFonts w:cs="AdvTT378de93d"/>
          <w:lang w:val="en-GB"/>
        </w:rPr>
        <w:fldChar w:fldCharType="separate"/>
      </w:r>
      <w:r w:rsidR="00B97809" w:rsidRPr="00B97809">
        <w:rPr>
          <w:rFonts w:cs="AdvTT378de93d"/>
          <w:noProof/>
          <w:vertAlign w:val="superscript"/>
          <w:lang w:val="en-GB"/>
        </w:rPr>
        <w:t>9</w:t>
      </w:r>
      <w:r>
        <w:rPr>
          <w:rFonts w:cs="AdvTT378de93d"/>
          <w:lang w:val="en-GB"/>
        </w:rPr>
        <w:fldChar w:fldCharType="end"/>
      </w:r>
      <w:r w:rsidRPr="00CF4720">
        <w:rPr>
          <w:rStyle w:val="CommentReference"/>
          <w:rFonts w:cs="Times New Roman"/>
          <w:sz w:val="22"/>
          <w:szCs w:val="22"/>
          <w:lang w:val="en-US"/>
        </w:rPr>
        <w:t xml:space="preserve">  </w:t>
      </w:r>
    </w:p>
    <w:p w14:paraId="1EE5ECC6" w14:textId="0EA7B560" w:rsidR="00B5289F" w:rsidRDefault="00C14D1D" w:rsidP="00F675E1">
      <w:pPr>
        <w:spacing w:line="480" w:lineRule="auto"/>
      </w:pPr>
      <w:r w:rsidRPr="00CF4720">
        <w:t xml:space="preserve">Policies aimed at improving </w:t>
      </w:r>
      <w:r w:rsidR="00110BFD" w:rsidRPr="00CF4720">
        <w:t xml:space="preserve">mental </w:t>
      </w:r>
      <w:r w:rsidRPr="00CF4720">
        <w:t xml:space="preserve">health need to </w:t>
      </w:r>
      <w:r w:rsidR="00110BFD" w:rsidRPr="00CF4720">
        <w:t xml:space="preserve">take account of </w:t>
      </w:r>
      <w:r w:rsidRPr="00CF4720">
        <w:t>the situations faced by</w:t>
      </w:r>
      <w:r>
        <w:t xml:space="preserve"> marginalised groups that may be particularly at risk of exposure to well-established determinants of poorer </w:t>
      </w:r>
      <w:r w:rsidR="00F524A5">
        <w:t xml:space="preserve">mental </w:t>
      </w:r>
      <w:r>
        <w:t>health</w:t>
      </w:r>
      <w:r w:rsidR="00B97809">
        <w:t>.</w:t>
      </w:r>
      <w:r>
        <w:fldChar w:fldCharType="begin"/>
      </w:r>
      <w:r w:rsidR="00B97809">
        <w:instrText xml:space="preserve"> ADDIN EN.CITE &lt;EndNote&gt;&lt;Cite&gt;&lt;Author&gt;World Health Organization and Calouste Gulbenkian Foundation&lt;/Author&gt;&lt;Year&gt;2014&lt;/Year&gt;&lt;RecNum&gt;5072&lt;/RecNum&gt;&lt;DisplayText&gt;&lt;style face="superscript"&gt;10&lt;/style&gt;&lt;/DisplayText&gt;&lt;record&gt;&lt;rec-number&gt;5072&lt;/rec-number&gt;&lt;foreign-keys&gt;&lt;key app="EN" db-id="0tzwrr05aez223ea2r9xt9tgddvasf55dw2p" timestamp="1428505204"&gt;5072&lt;/key&gt;&lt;/foreign-keys&gt;&lt;ref-type name="Report"&gt;27&lt;/ref-type&gt;&lt;contributors&gt;&lt;authors&gt;&lt;author&gt;World Health Organization and Calouste Gulbenkian Foundation,&lt;/author&gt;&lt;/authors&gt;&lt;/contributors&gt;&lt;titles&gt;&lt;title&gt;Social determinants of mental health&lt;/title&gt;&lt;/titles&gt;&lt;dates&gt;&lt;year&gt;2014&lt;/year&gt;&lt;/dates&gt;&lt;pub-location&gt;Geneva&lt;/pub-location&gt;&lt;publisher&gt;World Health Organization&lt;/publisher&gt;&lt;urls&gt;&lt;/urls&gt;&lt;/record&gt;&lt;/Cite&gt;&lt;/EndNote&gt;</w:instrText>
      </w:r>
      <w:r>
        <w:fldChar w:fldCharType="separate"/>
      </w:r>
      <w:r w:rsidR="00B97809" w:rsidRPr="00B97809">
        <w:rPr>
          <w:noProof/>
          <w:vertAlign w:val="superscript"/>
        </w:rPr>
        <w:t>10</w:t>
      </w:r>
      <w:r>
        <w:fldChar w:fldCharType="end"/>
      </w:r>
      <w:r>
        <w:t xml:space="preserve"> People with disabilities have been identified as one such group. </w:t>
      </w:r>
      <w:r w:rsidR="00B5289F">
        <w:rPr>
          <w:rStyle w:val="CommentReference"/>
          <w:rFonts w:cs="Times New Roman"/>
          <w:sz w:val="22"/>
          <w:szCs w:val="22"/>
          <w:lang w:val="en-US"/>
        </w:rPr>
        <w:t>I</w:t>
      </w:r>
      <w:r w:rsidR="00B530D4" w:rsidRPr="00641DB2">
        <w:rPr>
          <w:rFonts w:cs="Times New Roman"/>
          <w:lang w:val="en-US"/>
        </w:rPr>
        <w:t>t is estimated that</w:t>
      </w:r>
      <w:r w:rsidR="00B530D4" w:rsidRPr="00641DB2">
        <w:rPr>
          <w:rStyle w:val="CommentReference"/>
          <w:rFonts w:cs="Times New Roman"/>
          <w:sz w:val="22"/>
          <w:szCs w:val="22"/>
          <w:lang w:val="en-US"/>
        </w:rPr>
        <w:t xml:space="preserve"> </w:t>
      </w:r>
      <w:r w:rsidR="00B530D4" w:rsidRPr="00085D4F">
        <w:rPr>
          <w:rStyle w:val="CommentReference"/>
          <w:rFonts w:cs="Times New Roman"/>
          <w:sz w:val="22"/>
          <w:szCs w:val="22"/>
          <w:lang w:val="en-US"/>
        </w:rPr>
        <w:t xml:space="preserve">9-10% of </w:t>
      </w:r>
      <w:r w:rsidR="00F675E1">
        <w:rPr>
          <w:rStyle w:val="CommentReference"/>
          <w:rFonts w:cs="Times New Roman"/>
          <w:sz w:val="22"/>
          <w:szCs w:val="22"/>
          <w:lang w:val="en-US"/>
        </w:rPr>
        <w:t xml:space="preserve">UK </w:t>
      </w:r>
      <w:r w:rsidR="00B5289F">
        <w:rPr>
          <w:rStyle w:val="CommentReference"/>
          <w:rFonts w:cs="Times New Roman"/>
          <w:sz w:val="22"/>
          <w:szCs w:val="22"/>
          <w:lang w:val="en-US"/>
        </w:rPr>
        <w:t xml:space="preserve">adolescents </w:t>
      </w:r>
      <w:r w:rsidR="00F675E1">
        <w:rPr>
          <w:rStyle w:val="CommentReference"/>
          <w:rFonts w:cs="Times New Roman"/>
          <w:sz w:val="22"/>
          <w:szCs w:val="22"/>
          <w:lang w:val="en-US"/>
        </w:rPr>
        <w:t>have a disability</w:t>
      </w:r>
      <w:r w:rsidR="00B97809">
        <w:rPr>
          <w:rStyle w:val="CommentReference"/>
          <w:rFonts w:cs="Times New Roman"/>
          <w:sz w:val="22"/>
          <w:szCs w:val="22"/>
          <w:lang w:val="en-US"/>
        </w:rPr>
        <w:t>.</w:t>
      </w:r>
      <w:r w:rsidR="00B530D4">
        <w:rPr>
          <w:rStyle w:val="CommentReference"/>
          <w:rFonts w:cs="Times New Roman"/>
          <w:sz w:val="22"/>
          <w:szCs w:val="22"/>
          <w:lang w:val="en-US"/>
        </w:rPr>
        <w:fldChar w:fldCharType="begin"/>
      </w:r>
      <w:r w:rsidR="00B97809">
        <w:rPr>
          <w:rStyle w:val="CommentReference"/>
          <w:rFonts w:cs="Times New Roman"/>
          <w:sz w:val="22"/>
          <w:szCs w:val="22"/>
          <w:lang w:val="en-US"/>
        </w:rPr>
        <w:instrText xml:space="preserve"> ADDIN EN.CITE &lt;EndNote&gt;&lt;Cite&gt;&lt;Author&gt;Hagell&lt;/Author&gt;&lt;Year&gt;2017&lt;/Year&gt;&lt;RecNum&gt;5661&lt;/RecNum&gt;&lt;DisplayText&gt;&lt;style face="superscript"&gt;11&lt;/style&gt;&lt;/DisplayText&gt;&lt;record&gt;&lt;rec-number&gt;5661&lt;/rec-number&gt;&lt;foreign-keys&gt;&lt;key app="EN" db-id="0tzwrr05aez223ea2r9xt9tgddvasf55dw2p" timestamp="1521358035"&gt;5661&lt;/key&gt;&lt;/foreign-keys&gt;&lt;ref-type name="Report"&gt;27&lt;/ref-type&gt;&lt;contributors&gt;&lt;authors&gt;&lt;author&gt;Hagell, A &lt;/author&gt;&lt;author&gt;Shah, R&lt;/author&gt;&lt;author&gt;Coleman, J&lt;/author&gt;&lt;/authors&gt;&lt;/contributors&gt;&lt;titles&gt;&lt;title&gt;Key Data on Young People 2017&lt;/title&gt;&lt;/titles&gt;&lt;dates&gt;&lt;year&gt;2017&lt;/year&gt;&lt;/dates&gt;&lt;pub-location&gt;London&lt;/pub-location&gt;&lt;publisher&gt;Association for Young People’s Health&lt;/publisher&gt;&lt;urls&gt;&lt;/urls&gt;&lt;/record&gt;&lt;/Cite&gt;&lt;/EndNote&gt;</w:instrText>
      </w:r>
      <w:r w:rsidR="00B530D4">
        <w:rPr>
          <w:rStyle w:val="CommentReference"/>
          <w:rFonts w:cs="Times New Roman"/>
          <w:sz w:val="22"/>
          <w:szCs w:val="22"/>
          <w:lang w:val="en-US"/>
        </w:rPr>
        <w:fldChar w:fldCharType="separate"/>
      </w:r>
      <w:r w:rsidR="00B97809" w:rsidRPr="00B97809">
        <w:rPr>
          <w:rStyle w:val="CommentReference"/>
          <w:rFonts w:cs="Times New Roman"/>
          <w:noProof/>
          <w:sz w:val="22"/>
          <w:szCs w:val="22"/>
          <w:vertAlign w:val="superscript"/>
          <w:lang w:val="en-US"/>
        </w:rPr>
        <w:t>11</w:t>
      </w:r>
      <w:r w:rsidR="00B530D4">
        <w:rPr>
          <w:rStyle w:val="CommentReference"/>
          <w:rFonts w:cs="Times New Roman"/>
          <w:sz w:val="22"/>
          <w:szCs w:val="22"/>
          <w:lang w:val="en-US"/>
        </w:rPr>
        <w:fldChar w:fldCharType="end"/>
      </w:r>
      <w:r w:rsidR="00B5289F" w:rsidRPr="00B5289F">
        <w:rPr>
          <w:rStyle w:val="CommentReference"/>
          <w:rFonts w:cs="Times New Roman"/>
          <w:sz w:val="22"/>
          <w:szCs w:val="22"/>
          <w:lang w:val="en-US"/>
        </w:rPr>
        <w:t xml:space="preserve"> </w:t>
      </w:r>
      <w:r w:rsidR="00D601DE">
        <w:t>Compared to th</w:t>
      </w:r>
      <w:r w:rsidR="00F675E1">
        <w:t xml:space="preserve">eir peers, </w:t>
      </w:r>
      <w:r w:rsidR="00D601DE">
        <w:t>a</w:t>
      </w:r>
      <w:r>
        <w:t>dolescents with disabilities</w:t>
      </w:r>
      <w:r w:rsidR="00FA7077">
        <w:t xml:space="preserve"> are more likely to be exposed to social determinants of poor mental health including </w:t>
      </w:r>
      <w:r>
        <w:t>poverty, poor housing conditions, social exclusion and violence</w:t>
      </w:r>
      <w:r w:rsidR="00B97809">
        <w:t>.</w:t>
      </w:r>
      <w:r>
        <w:fldChar w:fldCharType="begin"/>
      </w:r>
      <w:r w:rsidR="00126D9D">
        <w:instrText xml:space="preserve"> ADDIN EN.CITE &lt;EndNote&gt;&lt;Cite&gt;&lt;Author&gt;Jones&lt;/Author&gt;&lt;Year&gt;2012&lt;/Year&gt;&lt;RecNum&gt;4063&lt;/RecNum&gt;&lt;DisplayText&gt;&lt;style face="superscript"&gt;12, 13&lt;/style&gt;&lt;/DisplayText&gt;&lt;record&gt;&lt;rec-number&gt;4063&lt;/rec-number&gt;&lt;foreign-keys&gt;&lt;key app="EN" db-id="0tzwrr05aez223ea2r9xt9tgddvasf55dw2p" timestamp="1349166142"&gt;4063&lt;/key&gt;&lt;/foreign-keys&gt;&lt;ref-type name="Journal Article"&gt;17&lt;/ref-type&gt;&lt;contributors&gt;&lt;authors&gt;&lt;author&gt;Jones, L&lt;/author&gt;&lt;author&gt;Bellis, M A&lt;/author&gt;&lt;author&gt;Wood, S&lt;/author&gt;&lt;author&gt;Hughes, K&lt;/author&gt;&lt;author&gt;McCoy, E&lt;/author&gt;&lt;author&gt;Eckley, L&lt;/author&gt;&lt;author&gt;Bates, G&lt;/author&gt;&lt;author&gt;Mikton, C&lt;/author&gt;&lt;author&gt;Shakespeare, T&lt;/author&gt;&lt;author&gt;Officer, A &lt;/author&gt;&lt;/authors&gt;&lt;/contributors&gt;&lt;titles&gt;&lt;title&gt;Prevalence and risk of violence against children with disabilities: a systematic review and meta-analysis of observational studies&lt;/title&gt;&lt;secondary-title&gt;Lancet&lt;/secondary-title&gt;&lt;/titles&gt;&lt;periodical&gt;&lt;full-title&gt;Lancet&lt;/full-title&gt;&lt;/periodical&gt;&lt;pages&gt;899-907&lt;/pages&gt;&lt;volume&gt;380(9845)&lt;/volume&gt;&lt;dates&gt;&lt;year&gt;2012&lt;/year&gt;&lt;/dates&gt;&lt;urls&gt;&lt;/urls&gt;&lt;/record&gt;&lt;/Cite&gt;&lt;Cite&gt;&lt;Author&gt;Maxey&lt;/Author&gt;&lt;Year&gt;2017&lt;/Year&gt;&lt;RecNum&gt;5659&lt;/RecNum&gt;&lt;record&gt;&lt;rec-number&gt;5659&lt;/rec-number&gt;&lt;foreign-keys&gt;&lt;key app="EN" db-id="0tzwrr05aez223ea2r9xt9tgddvasf55dw2p" timestamp="1521352580"&gt;5659&lt;/key&gt;&lt;/foreign-keys&gt;&lt;ref-type name="Journal Article"&gt;17&lt;/ref-type&gt;&lt;contributors&gt;&lt;authors&gt;&lt;author&gt;Maxey, M&lt;/author&gt;&lt;author&gt;Beckert, T E&lt;/author&gt;&lt;/authors&gt;&lt;/contributors&gt;&lt;titles&gt;&lt;title&gt;Adolescents with disabilities&lt;/title&gt;&lt;secondary-title&gt;Adolescent Research Review&lt;/secondary-title&gt;&lt;/titles&gt;&lt;periodical&gt;&lt;full-title&gt;Adolescent Research Review&lt;/full-title&gt;&lt;/periodical&gt;&lt;pages&gt;59–75&lt;/pages&gt;&lt;volume&gt;2&lt;/volume&gt;&lt;dates&gt;&lt;year&gt;2017&lt;/year&gt;&lt;/dates&gt;&lt;urls&gt;&lt;/urls&gt;&lt;/record&gt;&lt;/Cite&gt;&lt;/EndNote&gt;</w:instrText>
      </w:r>
      <w:r>
        <w:fldChar w:fldCharType="separate"/>
      </w:r>
      <w:r w:rsidR="00126D9D" w:rsidRPr="00126D9D">
        <w:rPr>
          <w:noProof/>
          <w:vertAlign w:val="superscript"/>
        </w:rPr>
        <w:t>12, 13</w:t>
      </w:r>
      <w:r>
        <w:fldChar w:fldCharType="end"/>
      </w:r>
      <w:r w:rsidR="00B530D4">
        <w:t xml:space="preserve"> </w:t>
      </w:r>
    </w:p>
    <w:p w14:paraId="72CADF27" w14:textId="7B5DBDD8" w:rsidR="005E7404" w:rsidRPr="00B5289F" w:rsidRDefault="00B5289F" w:rsidP="00F675E1">
      <w:pPr>
        <w:spacing w:line="480" w:lineRule="auto"/>
        <w:rPr>
          <w:rStyle w:val="CommentReference"/>
          <w:sz w:val="23"/>
          <w:szCs w:val="23"/>
        </w:rPr>
      </w:pPr>
      <w:r>
        <w:lastRenderedPageBreak/>
        <w:t>S</w:t>
      </w:r>
      <w:r w:rsidR="00F7333B">
        <w:t xml:space="preserve">urprisingly </w:t>
      </w:r>
      <w:r w:rsidR="00951582">
        <w:t xml:space="preserve">little </w:t>
      </w:r>
      <w:r w:rsidR="00F7333B">
        <w:t xml:space="preserve">is </w:t>
      </w:r>
      <w:r w:rsidR="00951582">
        <w:t xml:space="preserve">known about </w:t>
      </w:r>
      <w:r w:rsidR="002763E1">
        <w:t xml:space="preserve">the prevalence of </w:t>
      </w:r>
      <w:r w:rsidR="00951582">
        <w:t xml:space="preserve">emotional </w:t>
      </w:r>
      <w:r w:rsidR="002763E1">
        <w:t xml:space="preserve">disorders and self-harm among </w:t>
      </w:r>
      <w:r w:rsidR="00951582">
        <w:t>adolescents with disabilities</w:t>
      </w:r>
      <w:r w:rsidR="00467FCC">
        <w:t xml:space="preserve">. Most research undertaken in this area has focused on </w:t>
      </w:r>
      <w:r w:rsidR="00D20EF9">
        <w:t xml:space="preserve">investigating </w:t>
      </w:r>
      <w:r w:rsidR="00467FCC">
        <w:t xml:space="preserve">the extent to which </w:t>
      </w:r>
      <w:bookmarkStart w:id="1" w:name="_Hlk517795476"/>
      <w:r w:rsidR="00467FCC">
        <w:t>prevalence varies between adolescents w</w:t>
      </w:r>
      <w:r w:rsidR="00D20EF9">
        <w:t xml:space="preserve">ith/without </w:t>
      </w:r>
      <w:r w:rsidR="00467FCC">
        <w:t>specific health conditions or impairments</w:t>
      </w:r>
      <w:r w:rsidR="007200ED">
        <w:t xml:space="preserve"> that </w:t>
      </w:r>
      <w:r w:rsidR="00D20EF9">
        <w:t xml:space="preserve">are potentially </w:t>
      </w:r>
      <w:r w:rsidR="007200ED">
        <w:t>associated with disability</w:t>
      </w:r>
      <w:r w:rsidR="00467FCC">
        <w:t xml:space="preserve">. </w:t>
      </w:r>
      <w:bookmarkEnd w:id="1"/>
      <w:r w:rsidR="00D20EF9">
        <w:t>E</w:t>
      </w:r>
      <w:r w:rsidR="00B530D4">
        <w:t xml:space="preserve">vidence suggests </w:t>
      </w:r>
      <w:r w:rsidR="00D15678">
        <w:t xml:space="preserve">higher prevalence rates occur among children with </w:t>
      </w:r>
      <w:r w:rsidR="00467FCC">
        <w:t>asthma</w:t>
      </w:r>
      <w:r w:rsidR="00B97809">
        <w:t>,</w:t>
      </w:r>
      <w:r w:rsidR="00501570">
        <w:fldChar w:fldCharType="begin"/>
      </w:r>
      <w:r w:rsidR="00B97809">
        <w:instrText xml:space="preserve"> ADDIN EN.CITE &lt;EndNote&gt;&lt;Cite&gt;&lt;Author&gt;Brady&lt;/Author&gt;&lt;Year&gt;2017&lt;/Year&gt;&lt;RecNum&gt;5670&lt;/RecNum&gt;&lt;DisplayText&gt;&lt;style face="superscript"&gt;14&lt;/style&gt;&lt;/DisplayText&gt;&lt;record&gt;&lt;rec-number&gt;5670&lt;/rec-number&gt;&lt;foreign-keys&gt;&lt;key app="EN" db-id="0tzwrr05aez223ea2r9xt9tgddvasf55dw2p" timestamp="1529772257"&gt;5670&lt;/key&gt;&lt;/foreign-keys&gt;&lt;ref-type name="Journal Article"&gt;17&lt;/ref-type&gt;&lt;contributors&gt;&lt;authors&gt;&lt;author&gt;Brady, A M&lt;/author&gt;&lt;author&gt;Deighton, J&lt;/author&gt;&lt;author&gt;Stansfeld, S&lt;/author&gt;&lt;/authors&gt;&lt;/contributors&gt;&lt;titles&gt;&lt;title&gt;Psychiatric outcomes associated with chronic illness in adolescence: A systematic review&lt;/title&gt;&lt;secondary-title&gt;Journal of Adolescence&lt;/secondary-title&gt;&lt;/titles&gt;&lt;periodical&gt;&lt;full-title&gt;Journal of Adolescence&lt;/full-title&gt;&lt;/periodical&gt;&lt;pages&gt;112-123&lt;/pages&gt;&lt;volume&gt;59&lt;/volume&gt;&lt;dates&gt;&lt;year&gt;2017&lt;/year&gt;&lt;/dates&gt;&lt;urls&gt;&lt;/urls&gt;&lt;/record&gt;&lt;/Cite&gt;&lt;/EndNote&gt;</w:instrText>
      </w:r>
      <w:r w:rsidR="00501570">
        <w:fldChar w:fldCharType="separate"/>
      </w:r>
      <w:r w:rsidR="00B97809" w:rsidRPr="00B97809">
        <w:rPr>
          <w:noProof/>
          <w:vertAlign w:val="superscript"/>
        </w:rPr>
        <w:t>14</w:t>
      </w:r>
      <w:r w:rsidR="00501570">
        <w:fldChar w:fldCharType="end"/>
      </w:r>
      <w:r w:rsidR="00467FCC">
        <w:t xml:space="preserve"> </w:t>
      </w:r>
      <w:r w:rsidR="00933262">
        <w:t>autism spectrum disorders</w:t>
      </w:r>
      <w:r w:rsidR="00B97809">
        <w:t>,</w:t>
      </w:r>
      <w:r w:rsidR="00933262">
        <w:fldChar w:fldCharType="begin"/>
      </w:r>
      <w:r w:rsidR="00B97809">
        <w:instrText xml:space="preserve"> ADDIN EN.CITE &lt;EndNote&gt;&lt;Cite&gt;&lt;Author&gt;Simonoff&lt;/Author&gt;&lt;Year&gt;2008&lt;/Year&gt;&lt;RecNum&gt;5676&lt;/RecNum&gt;&lt;DisplayText&gt;&lt;style face="superscript"&gt;15&lt;/style&gt;&lt;/DisplayText&gt;&lt;record&gt;&lt;rec-number&gt;5676&lt;/rec-number&gt;&lt;foreign-keys&gt;&lt;key app="EN" db-id="0tzwrr05aez223ea2r9xt9tgddvasf55dw2p" timestamp="1529773951"&gt;5676&lt;/key&gt;&lt;/foreign-keys&gt;&lt;ref-type name="Journal Article"&gt;17&lt;/ref-type&gt;&lt;contributors&gt;&lt;authors&gt;&lt;author&gt;Simonoff, E&lt;/author&gt;&lt;author&gt;Pickles, A&lt;/author&gt;&lt;author&gt;Charman, T&lt;/author&gt;&lt;author&gt;Chandler, S&lt;/author&gt;&lt;author&gt;Loucas, T&lt;/author&gt;&lt;author&gt;Baird, G&lt;/author&gt;&lt;/authors&gt;&lt;/contributors&gt;&lt;titles&gt;&lt;title&gt;Psychiatric disorders in children with Autism Spectrum Disorders: Prevalence, comorbidity, and associated factors in a population-derived sample&lt;/title&gt;&lt;secondary-title&gt;Journal of the American Academy of Child &amp;amp; Adolescent Psychiatry&lt;/secondary-title&gt;&lt;/titles&gt;&lt;periodical&gt;&lt;full-title&gt;Journal of the American Academy of Child &amp;amp; Adolescent Psychiatry&lt;/full-title&gt;&lt;/periodical&gt;&lt;pages&gt;921-9&lt;/pages&gt;&lt;volume&gt;47&lt;/volume&gt;&lt;dates&gt;&lt;year&gt;2008&lt;/year&gt;&lt;/dates&gt;&lt;urls&gt;&lt;/urls&gt;&lt;/record&gt;&lt;/Cite&gt;&lt;/EndNote&gt;</w:instrText>
      </w:r>
      <w:r w:rsidR="00933262">
        <w:fldChar w:fldCharType="separate"/>
      </w:r>
      <w:r w:rsidR="00B97809" w:rsidRPr="00B97809">
        <w:rPr>
          <w:noProof/>
          <w:vertAlign w:val="superscript"/>
        </w:rPr>
        <w:t>15</w:t>
      </w:r>
      <w:r w:rsidR="00933262">
        <w:fldChar w:fldCharType="end"/>
      </w:r>
      <w:r w:rsidR="00933262">
        <w:t xml:space="preserve"> </w:t>
      </w:r>
      <w:r w:rsidR="00CB097A">
        <w:t>chronic physical conditions</w:t>
      </w:r>
      <w:r w:rsidR="00B97809">
        <w:t>,</w:t>
      </w:r>
      <w:r w:rsidR="00CB097A">
        <w:fldChar w:fldCharType="begin"/>
      </w:r>
      <w:r w:rsidR="00B97809">
        <w:instrText xml:space="preserve"> ADDIN EN.CITE &lt;EndNote&gt;&lt;Cite&gt;&lt;Author&gt;Lavigne&lt;/Author&gt;&lt;Year&gt;1992&lt;/Year&gt;&lt;RecNum&gt;5672&lt;/RecNum&gt;&lt;DisplayText&gt;&lt;style face="superscript"&gt;16&lt;/style&gt;&lt;/DisplayText&gt;&lt;record&gt;&lt;rec-number&gt;5672&lt;/rec-number&gt;&lt;foreign-keys&gt;&lt;key app="EN" db-id="0tzwrr05aez223ea2r9xt9tgddvasf55dw2p" timestamp="1529772912"&gt;5672&lt;/key&gt;&lt;/foreign-keys&gt;&lt;ref-type name="Journal Article"&gt;17&lt;/ref-type&gt;&lt;contributors&gt;&lt;authors&gt;&lt;author&gt;Lavigne, J V&lt;/author&gt;&lt;author&gt;Faier-Routman, J&lt;/author&gt;&lt;/authors&gt;&lt;/contributors&gt;&lt;titles&gt;&lt;title&gt;Psychological adjustment to pediatric physical disorders: A meta-analytic review&lt;/title&gt;&lt;secondary-title&gt;Journal of Pediatric Psychology&lt;/secondary-title&gt;&lt;/titles&gt;&lt;periodical&gt;&lt;full-title&gt;Journal of Pediatric Psychology&lt;/full-title&gt;&lt;/periodical&gt;&lt;pages&gt;133-157&lt;/pages&gt;&lt;volume&gt;17&lt;/volume&gt;&lt;dates&gt;&lt;year&gt;1992&lt;/year&gt;&lt;/dates&gt;&lt;urls&gt;&lt;/urls&gt;&lt;/record&gt;&lt;/Cite&gt;&lt;/EndNote&gt;</w:instrText>
      </w:r>
      <w:r w:rsidR="00CB097A">
        <w:fldChar w:fldCharType="separate"/>
      </w:r>
      <w:r w:rsidR="00B97809" w:rsidRPr="00B97809">
        <w:rPr>
          <w:noProof/>
          <w:vertAlign w:val="superscript"/>
        </w:rPr>
        <w:t>16</w:t>
      </w:r>
      <w:r w:rsidR="00CB097A">
        <w:fldChar w:fldCharType="end"/>
      </w:r>
      <w:r w:rsidR="00CB097A">
        <w:t xml:space="preserve"> </w:t>
      </w:r>
      <w:r w:rsidR="00467FCC">
        <w:t>diabetes</w:t>
      </w:r>
      <w:r w:rsidR="00B97809">
        <w:t>,</w:t>
      </w:r>
      <w:r w:rsidR="00501570" w:rsidRPr="00501570">
        <w:fldChar w:fldCharType="begin"/>
      </w:r>
      <w:r w:rsidR="00B97809">
        <w:instrText xml:space="preserve"> ADDIN EN.CITE &lt;EndNote&gt;&lt;Cite&gt;&lt;Author&gt;Brady&lt;/Author&gt;&lt;Year&gt;2017&lt;/Year&gt;&lt;RecNum&gt;5670&lt;/RecNum&gt;&lt;DisplayText&gt;&lt;style face="superscript"&gt;14&lt;/style&gt;&lt;/DisplayText&gt;&lt;record&gt;&lt;rec-number&gt;5670&lt;/rec-number&gt;&lt;foreign-keys&gt;&lt;key app="EN" db-id="0tzwrr05aez223ea2r9xt9tgddvasf55dw2p" timestamp="1529772257"&gt;5670&lt;/key&gt;&lt;/foreign-keys&gt;&lt;ref-type name="Journal Article"&gt;17&lt;/ref-type&gt;&lt;contributors&gt;&lt;authors&gt;&lt;author&gt;Brady, A M&lt;/author&gt;&lt;author&gt;Deighton, J&lt;/author&gt;&lt;author&gt;Stansfeld, S&lt;/author&gt;&lt;/authors&gt;&lt;/contributors&gt;&lt;titles&gt;&lt;title&gt;Psychiatric outcomes associated with chronic illness in adolescence: A systematic review&lt;/title&gt;&lt;secondary-title&gt;Journal of Adolescence&lt;/secondary-title&gt;&lt;/titles&gt;&lt;periodical&gt;&lt;full-title&gt;Journal of Adolescence&lt;/full-title&gt;&lt;/periodical&gt;&lt;pages&gt;112-123&lt;/pages&gt;&lt;volume&gt;59&lt;/volume&gt;&lt;dates&gt;&lt;year&gt;2017&lt;/year&gt;&lt;/dates&gt;&lt;urls&gt;&lt;/urls&gt;&lt;/record&gt;&lt;/Cite&gt;&lt;/EndNote&gt;</w:instrText>
      </w:r>
      <w:r w:rsidR="00501570" w:rsidRPr="00501570">
        <w:fldChar w:fldCharType="separate"/>
      </w:r>
      <w:r w:rsidR="00B97809" w:rsidRPr="00B97809">
        <w:rPr>
          <w:noProof/>
          <w:vertAlign w:val="superscript"/>
        </w:rPr>
        <w:t>14</w:t>
      </w:r>
      <w:r w:rsidR="00501570" w:rsidRPr="00501570">
        <w:fldChar w:fldCharType="end"/>
      </w:r>
      <w:r w:rsidR="00467FCC" w:rsidRPr="00501570">
        <w:t xml:space="preserve"> </w:t>
      </w:r>
      <w:r w:rsidR="00467FCC" w:rsidRPr="00501570">
        <w:rPr>
          <w:rStyle w:val="CommentReference"/>
          <w:rFonts w:cs="Times New Roman"/>
          <w:sz w:val="22"/>
          <w:szCs w:val="22"/>
          <w:lang w:val="en-US"/>
        </w:rPr>
        <w:t>hearing impairments</w:t>
      </w:r>
      <w:r w:rsidR="00B97809">
        <w:rPr>
          <w:rStyle w:val="CommentReference"/>
          <w:rFonts w:cs="Times New Roman"/>
          <w:sz w:val="22"/>
          <w:szCs w:val="22"/>
          <w:lang w:val="en-US"/>
        </w:rPr>
        <w:t>,</w:t>
      </w:r>
      <w:r w:rsidR="00467FCC" w:rsidRPr="00501570">
        <w:rPr>
          <w:rStyle w:val="CommentReference"/>
          <w:rFonts w:cs="Times New Roman"/>
          <w:sz w:val="22"/>
          <w:szCs w:val="22"/>
          <w:lang w:val="en-US"/>
        </w:rPr>
        <w:fldChar w:fldCharType="begin"/>
      </w:r>
      <w:r w:rsidR="00B97809">
        <w:rPr>
          <w:rStyle w:val="CommentReference"/>
          <w:rFonts w:cs="Times New Roman"/>
          <w:sz w:val="22"/>
          <w:szCs w:val="22"/>
          <w:lang w:val="en-US"/>
        </w:rPr>
        <w:instrText xml:space="preserve"> ADDIN EN.CITE &lt;EndNote&gt;&lt;Cite&gt;&lt;Author&gt;Stevenson&lt;/Author&gt;&lt;Year&gt;2015&lt;/Year&gt;&lt;RecNum&gt;5664&lt;/RecNum&gt;&lt;DisplayText&gt;&lt;style face="superscript"&gt;17&lt;/style&gt;&lt;/DisplayText&gt;&lt;record&gt;&lt;rec-number&gt;5664&lt;/rec-number&gt;&lt;foreign-keys&gt;&lt;key app="EN" db-id="0tzwrr05aez223ea2r9xt9tgddvasf55dw2p" timestamp="1521437678"&gt;5664&lt;/key&gt;&lt;/foreign-keys&gt;&lt;ref-type name="Journal Article"&gt;17&lt;/ref-type&gt;&lt;contributors&gt;&lt;authors&gt;&lt;author&gt;Stevenson, J&lt;/author&gt;&lt;author&gt;Kreppner, J&lt;/author&gt;&lt;author&gt;Pimperton, H&lt;/author&gt;&lt;author&gt;Worsfold, S&lt;/author&gt;&lt;author&gt;Kennedy, C&lt;/author&gt;&lt;/authors&gt;&lt;/contributors&gt;&lt;titles&gt;&lt;title&gt;Emotional and behavioural difficulties in children and adolescents with hearing impairments: a systematic review and meta analysis&lt;/title&gt;&lt;secondary-title&gt;European Child &amp;amp; Adolescent Psychiatry&lt;/secondary-title&gt;&lt;/titles&gt;&lt;periodical&gt;&lt;full-title&gt;European Child &amp;amp; Adolescent Psychiatry&lt;/full-title&gt;&lt;/periodical&gt;&lt;pages&gt;477–96&lt;/pages&gt;&lt;volume&gt;24&lt;/volume&gt;&lt;dates&gt;&lt;year&gt;2015&lt;/year&gt;&lt;/dates&gt;&lt;urls&gt;&lt;/urls&gt;&lt;/record&gt;&lt;/Cite&gt;&lt;/EndNote&gt;</w:instrText>
      </w:r>
      <w:r w:rsidR="00467FCC" w:rsidRPr="00501570">
        <w:rPr>
          <w:rStyle w:val="CommentReference"/>
          <w:rFonts w:cs="Times New Roman"/>
          <w:sz w:val="22"/>
          <w:szCs w:val="22"/>
          <w:lang w:val="en-US"/>
        </w:rPr>
        <w:fldChar w:fldCharType="separate"/>
      </w:r>
      <w:r w:rsidR="00B97809" w:rsidRPr="00B97809">
        <w:rPr>
          <w:rStyle w:val="CommentReference"/>
          <w:rFonts w:cs="Times New Roman"/>
          <w:noProof/>
          <w:sz w:val="22"/>
          <w:szCs w:val="22"/>
          <w:vertAlign w:val="superscript"/>
          <w:lang w:val="en-US"/>
        </w:rPr>
        <w:t>17</w:t>
      </w:r>
      <w:r w:rsidR="00467FCC" w:rsidRPr="00501570">
        <w:rPr>
          <w:rStyle w:val="CommentReference"/>
          <w:rFonts w:cs="Times New Roman"/>
          <w:sz w:val="22"/>
          <w:szCs w:val="22"/>
          <w:lang w:val="en-US"/>
        </w:rPr>
        <w:fldChar w:fldCharType="end"/>
      </w:r>
      <w:r w:rsidR="00467FCC" w:rsidRPr="00501570">
        <w:rPr>
          <w:rStyle w:val="CommentReference"/>
          <w:rFonts w:cs="Times New Roman"/>
          <w:sz w:val="22"/>
          <w:szCs w:val="22"/>
          <w:lang w:val="en-US"/>
        </w:rPr>
        <w:t xml:space="preserve"> intellectual disability</w:t>
      </w:r>
      <w:r w:rsidR="00B97809">
        <w:rPr>
          <w:rStyle w:val="CommentReference"/>
          <w:rFonts w:cs="Times New Roman"/>
          <w:sz w:val="22"/>
          <w:szCs w:val="22"/>
          <w:lang w:val="en-US"/>
        </w:rPr>
        <w:t>,</w:t>
      </w:r>
      <w:r w:rsidR="00467FCC" w:rsidRPr="00501570">
        <w:rPr>
          <w:rStyle w:val="CommentReference"/>
          <w:rFonts w:cs="Times New Roman"/>
          <w:sz w:val="22"/>
          <w:szCs w:val="22"/>
          <w:lang w:val="en-US"/>
        </w:rPr>
        <w:fldChar w:fldCharType="begin"/>
      </w:r>
      <w:r w:rsidR="00B97809">
        <w:rPr>
          <w:rStyle w:val="CommentReference"/>
          <w:rFonts w:cs="Times New Roman"/>
          <w:sz w:val="22"/>
          <w:szCs w:val="22"/>
          <w:lang w:val="en-US"/>
        </w:rPr>
        <w:instrText xml:space="preserve"> ADDIN EN.CITE &lt;EndNote&gt;&lt;Cite&gt;&lt;Author&gt;Emerson&lt;/Author&gt;&lt;Year&gt;2007&lt;/Year&gt;&lt;RecNum&gt;947&lt;/RecNum&gt;&lt;DisplayText&gt;&lt;style face="superscript"&gt;18&lt;/style&gt;&lt;/DisplayText&gt;&lt;record&gt;&lt;rec-number&gt;947&lt;/rec-number&gt;&lt;foreign-keys&gt;&lt;key app="EN" db-id="0tzwrr05aez223ea2r9xt9tgddvasf55dw2p" timestamp="0"&gt;947&lt;/key&gt;&lt;/foreign-keys&gt;&lt;ref-type name="Journal Article"&gt;17&lt;/ref-type&gt;&lt;contributors&gt;&lt;authors&gt;&lt;author&gt;Emerson, E&lt;/author&gt;&lt;author&gt;Hatton, C&lt;/author&gt;&lt;/authors&gt;&lt;/contributors&gt;&lt;titles&gt;&lt;title&gt;The mental health of children and adolescents with intellectual disabilities in Britain&lt;/title&gt;&lt;secondary-title&gt;British Journal of Psychiatry&lt;/secondary-title&gt;&lt;/titles&gt;&lt;periodical&gt;&lt;full-title&gt;British Journal of Psychiatry&lt;/full-title&gt;&lt;/periodical&gt;&lt;pages&gt;493-499&lt;/pages&gt;&lt;volume&gt;191&lt;/volume&gt;&lt;dates&gt;&lt;year&gt;2007&lt;/year&gt;&lt;/dates&gt;&lt;urls&gt;&lt;/urls&gt;&lt;/record&gt;&lt;/Cite&gt;&lt;/EndNote&gt;</w:instrText>
      </w:r>
      <w:r w:rsidR="00467FCC" w:rsidRPr="00501570">
        <w:rPr>
          <w:rStyle w:val="CommentReference"/>
          <w:rFonts w:cs="Times New Roman"/>
          <w:sz w:val="22"/>
          <w:szCs w:val="22"/>
          <w:lang w:val="en-US"/>
        </w:rPr>
        <w:fldChar w:fldCharType="separate"/>
      </w:r>
      <w:r w:rsidR="00B97809" w:rsidRPr="00B97809">
        <w:rPr>
          <w:rStyle w:val="CommentReference"/>
          <w:rFonts w:cs="Times New Roman"/>
          <w:noProof/>
          <w:sz w:val="22"/>
          <w:szCs w:val="22"/>
          <w:vertAlign w:val="superscript"/>
          <w:lang w:val="en-US"/>
        </w:rPr>
        <w:t>18</w:t>
      </w:r>
      <w:r w:rsidR="00467FCC" w:rsidRPr="00501570">
        <w:rPr>
          <w:rStyle w:val="CommentReference"/>
          <w:rFonts w:cs="Times New Roman"/>
          <w:sz w:val="22"/>
          <w:szCs w:val="22"/>
          <w:lang w:val="en-US"/>
        </w:rPr>
        <w:fldChar w:fldCharType="end"/>
      </w:r>
      <w:r w:rsidR="00B97809">
        <w:rPr>
          <w:rStyle w:val="CommentReference"/>
          <w:rFonts w:cs="Times New Roman"/>
          <w:sz w:val="22"/>
          <w:szCs w:val="22"/>
          <w:lang w:val="en-US"/>
        </w:rPr>
        <w:t xml:space="preserve"> specific learning disabilities</w:t>
      </w:r>
      <w:r w:rsidR="00501570">
        <w:rPr>
          <w:rStyle w:val="CommentReference"/>
          <w:rFonts w:cs="Times New Roman"/>
          <w:sz w:val="22"/>
          <w:szCs w:val="22"/>
          <w:lang w:val="en-US"/>
        </w:rPr>
        <w:fldChar w:fldCharType="begin"/>
      </w:r>
      <w:r w:rsidR="00B97809">
        <w:rPr>
          <w:rStyle w:val="CommentReference"/>
          <w:rFonts w:cs="Times New Roman"/>
          <w:sz w:val="22"/>
          <w:szCs w:val="22"/>
          <w:lang w:val="en-US"/>
        </w:rPr>
        <w:instrText xml:space="preserve"> ADDIN EN.CITE &lt;EndNote&gt;&lt;Cite&gt;&lt;Author&gt;Svetaz&lt;/Author&gt;&lt;Year&gt;2000&lt;/Year&gt;&lt;RecNum&gt;5671&lt;/RecNum&gt;&lt;DisplayText&gt;&lt;style face="superscript"&gt;19&lt;/style&gt;&lt;/DisplayText&gt;&lt;record&gt;&lt;rec-number&gt;5671&lt;/rec-number&gt;&lt;foreign-keys&gt;&lt;key app="EN" db-id="0tzwrr05aez223ea2r9xt9tgddvasf55dw2p" timestamp="1529772492"&gt;5671&lt;/key&gt;&lt;/foreign-keys&gt;&lt;ref-type name="Journal Article"&gt;17&lt;/ref-type&gt;&lt;contributors&gt;&lt;authors&gt;&lt;author&gt;Svetaz, M V&lt;/author&gt;&lt;author&gt;Ireland, M&lt;/author&gt;&lt;author&gt;Blim, R&lt;/author&gt;&lt;/authors&gt;&lt;/contributors&gt;&lt;titles&gt;&lt;title&gt;Adolescents with learning disabilities: Risk and protective factors associated with emotional well-being. Findings from the National Longitudinal Study of Adolescent Health&lt;/title&gt;&lt;secondary-title&gt;Journal of Adolescent Health&lt;/secondary-title&gt;&lt;/titles&gt;&lt;periodical&gt;&lt;full-title&gt;Journal of Adolescent Health&lt;/full-title&gt;&lt;/periodical&gt;&lt;pages&gt;340-348&lt;/pages&gt;&lt;volume&gt;27&lt;/volume&gt;&lt;dates&gt;&lt;year&gt;2000&lt;/year&gt;&lt;/dates&gt;&lt;urls&gt;&lt;/urls&gt;&lt;/record&gt;&lt;/Cite&gt;&lt;/EndNote&gt;</w:instrText>
      </w:r>
      <w:r w:rsidR="00501570">
        <w:rPr>
          <w:rStyle w:val="CommentReference"/>
          <w:rFonts w:cs="Times New Roman"/>
          <w:sz w:val="22"/>
          <w:szCs w:val="22"/>
          <w:lang w:val="en-US"/>
        </w:rPr>
        <w:fldChar w:fldCharType="separate"/>
      </w:r>
      <w:r w:rsidR="00B97809" w:rsidRPr="00B97809">
        <w:rPr>
          <w:rStyle w:val="CommentReference"/>
          <w:rFonts w:cs="Times New Roman"/>
          <w:noProof/>
          <w:sz w:val="22"/>
          <w:szCs w:val="22"/>
          <w:vertAlign w:val="superscript"/>
          <w:lang w:val="en-US"/>
        </w:rPr>
        <w:t>19</w:t>
      </w:r>
      <w:r w:rsidR="00501570">
        <w:rPr>
          <w:rStyle w:val="CommentReference"/>
          <w:rFonts w:cs="Times New Roman"/>
          <w:sz w:val="22"/>
          <w:szCs w:val="22"/>
          <w:lang w:val="en-US"/>
        </w:rPr>
        <w:fldChar w:fldCharType="end"/>
      </w:r>
      <w:r w:rsidR="00501570">
        <w:rPr>
          <w:rStyle w:val="CommentReference"/>
          <w:rFonts w:cs="Times New Roman"/>
          <w:sz w:val="22"/>
          <w:szCs w:val="22"/>
          <w:lang w:val="en-US"/>
        </w:rPr>
        <w:t xml:space="preserve"> </w:t>
      </w:r>
      <w:r w:rsidR="00467FCC" w:rsidRPr="00501570">
        <w:rPr>
          <w:rStyle w:val="CommentReference"/>
          <w:rFonts w:cs="Times New Roman"/>
          <w:sz w:val="22"/>
          <w:szCs w:val="22"/>
          <w:lang w:val="en-US"/>
        </w:rPr>
        <w:t xml:space="preserve">and </w:t>
      </w:r>
      <w:r w:rsidR="00462694" w:rsidRPr="00501570">
        <w:rPr>
          <w:rStyle w:val="CommentReference"/>
          <w:rFonts w:cs="Times New Roman"/>
          <w:sz w:val="22"/>
          <w:szCs w:val="22"/>
          <w:lang w:val="en-US"/>
        </w:rPr>
        <w:t>visual impairments</w:t>
      </w:r>
      <w:r w:rsidR="00B97809">
        <w:rPr>
          <w:rStyle w:val="CommentReference"/>
          <w:rFonts w:cs="Times New Roman"/>
          <w:sz w:val="22"/>
          <w:szCs w:val="22"/>
          <w:lang w:val="en-US"/>
        </w:rPr>
        <w:t>.</w:t>
      </w:r>
      <w:r w:rsidR="003C36BB" w:rsidRPr="00501570">
        <w:rPr>
          <w:rStyle w:val="CommentReference"/>
          <w:rFonts w:cs="Times New Roman"/>
          <w:sz w:val="22"/>
          <w:szCs w:val="22"/>
          <w:lang w:val="en-US"/>
        </w:rPr>
        <w:fldChar w:fldCharType="begin"/>
      </w:r>
      <w:r w:rsidR="00B97809">
        <w:rPr>
          <w:rStyle w:val="CommentReference"/>
          <w:rFonts w:cs="Times New Roman"/>
          <w:sz w:val="22"/>
          <w:szCs w:val="22"/>
          <w:lang w:val="en-US"/>
        </w:rPr>
        <w:instrText xml:space="preserve"> ADDIN EN.CITE &lt;EndNote&gt;&lt;Cite&gt;&lt;Author&gt;Harris&lt;/Author&gt;&lt;Year&gt;2016&lt;/Year&gt;&lt;RecNum&gt;5662&lt;/RecNum&gt;&lt;DisplayText&gt;&lt;style face="superscript"&gt;20&lt;/style&gt;&lt;/DisplayText&gt;&lt;record&gt;&lt;rec-number&gt;5662&lt;/rec-number&gt;&lt;foreign-keys&gt;&lt;key app="EN" db-id="0tzwrr05aez223ea2r9xt9tgddvasf55dw2p" timestamp="1521437100"&gt;5662&lt;/key&gt;&lt;/foreign-keys&gt;&lt;ref-type name="Journal Article"&gt;17&lt;/ref-type&gt;&lt;contributors&gt;&lt;authors&gt;&lt;author&gt;Harris, J&lt;/author&gt;&lt;author&gt;Lord, C&lt;/author&gt;&lt;/authors&gt;&lt;/contributors&gt;&lt;titles&gt;&lt;title&gt;Mental health of children with vision impairment at 11 years of age&lt;/title&gt;&lt;secondary-title&gt;Developmental Medicine &amp;amp; Child Neurology&lt;/secondary-title&gt;&lt;/titles&gt;&lt;periodical&gt;&lt;full-title&gt;Developmental Medicine &amp;amp; Child Neurology&lt;/full-title&gt;&lt;/periodical&gt;&lt;pages&gt;774–779&lt;/pages&gt;&lt;volume&gt;58&lt;/volume&gt;&lt;dates&gt;&lt;year&gt;2016&lt;/year&gt;&lt;/dates&gt;&lt;urls&gt;&lt;/urls&gt;&lt;/record&gt;&lt;/Cite&gt;&lt;/EndNote&gt;</w:instrText>
      </w:r>
      <w:r w:rsidR="003C36BB" w:rsidRPr="00501570">
        <w:rPr>
          <w:rStyle w:val="CommentReference"/>
          <w:rFonts w:cs="Times New Roman"/>
          <w:sz w:val="22"/>
          <w:szCs w:val="22"/>
          <w:lang w:val="en-US"/>
        </w:rPr>
        <w:fldChar w:fldCharType="separate"/>
      </w:r>
      <w:r w:rsidR="00B97809" w:rsidRPr="00B97809">
        <w:rPr>
          <w:rStyle w:val="CommentReference"/>
          <w:rFonts w:cs="Times New Roman"/>
          <w:noProof/>
          <w:sz w:val="22"/>
          <w:szCs w:val="22"/>
          <w:vertAlign w:val="superscript"/>
          <w:lang w:val="en-US"/>
        </w:rPr>
        <w:t>20</w:t>
      </w:r>
      <w:r w:rsidR="003C36BB" w:rsidRPr="00501570">
        <w:rPr>
          <w:rStyle w:val="CommentReference"/>
          <w:rFonts w:cs="Times New Roman"/>
          <w:sz w:val="22"/>
          <w:szCs w:val="22"/>
          <w:lang w:val="en-US"/>
        </w:rPr>
        <w:fldChar w:fldCharType="end"/>
      </w:r>
      <w:r w:rsidR="00D15678" w:rsidRPr="00501570">
        <w:rPr>
          <w:rStyle w:val="CommentReference"/>
          <w:rFonts w:cs="Times New Roman"/>
          <w:sz w:val="22"/>
          <w:szCs w:val="22"/>
          <w:lang w:val="en-US"/>
        </w:rPr>
        <w:t xml:space="preserve"> Limited </w:t>
      </w:r>
      <w:r w:rsidR="00641DB2" w:rsidRPr="00501570">
        <w:rPr>
          <w:rStyle w:val="CommentReference"/>
          <w:rFonts w:cs="Times New Roman"/>
          <w:sz w:val="22"/>
          <w:szCs w:val="22"/>
          <w:lang w:val="en-US"/>
        </w:rPr>
        <w:t xml:space="preserve">evidence </w:t>
      </w:r>
      <w:r w:rsidR="00D15678" w:rsidRPr="00501570">
        <w:rPr>
          <w:rStyle w:val="CommentReference"/>
          <w:rFonts w:cs="Times New Roman"/>
          <w:sz w:val="22"/>
          <w:szCs w:val="22"/>
          <w:lang w:val="en-US"/>
        </w:rPr>
        <w:t xml:space="preserve">also suggests that </w:t>
      </w:r>
      <w:r w:rsidR="00641DB2" w:rsidRPr="00501570">
        <w:rPr>
          <w:rStyle w:val="CommentReference"/>
          <w:rFonts w:cs="Times New Roman"/>
          <w:sz w:val="22"/>
          <w:szCs w:val="22"/>
          <w:lang w:val="en-US"/>
        </w:rPr>
        <w:t xml:space="preserve">adolescents with chronic physical conditions </w:t>
      </w:r>
      <w:r w:rsidR="00467FCC" w:rsidRPr="00501570">
        <w:rPr>
          <w:rStyle w:val="CommentReference"/>
          <w:rFonts w:cs="Times New Roman"/>
          <w:sz w:val="22"/>
          <w:szCs w:val="22"/>
          <w:lang w:val="en-US"/>
        </w:rPr>
        <w:t xml:space="preserve">and specific learning disabilities </w:t>
      </w:r>
      <w:r w:rsidR="00641DB2" w:rsidRPr="00501570">
        <w:rPr>
          <w:rStyle w:val="CommentReference"/>
          <w:rFonts w:cs="Times New Roman"/>
          <w:sz w:val="22"/>
          <w:szCs w:val="22"/>
          <w:lang w:val="en-US"/>
        </w:rPr>
        <w:t>have higher odds of self-harm</w:t>
      </w:r>
      <w:r w:rsidR="00B97809">
        <w:rPr>
          <w:rStyle w:val="CommentReference"/>
          <w:rFonts w:cs="Times New Roman"/>
          <w:sz w:val="22"/>
          <w:szCs w:val="22"/>
          <w:lang w:val="en-US"/>
        </w:rPr>
        <w:t>.</w:t>
      </w:r>
      <w:r w:rsidR="00641DB2" w:rsidRPr="00501570">
        <w:rPr>
          <w:rStyle w:val="CommentReference"/>
          <w:rFonts w:cs="Times New Roman"/>
          <w:sz w:val="22"/>
          <w:szCs w:val="22"/>
          <w:lang w:val="en-US"/>
        </w:rPr>
        <w:fldChar w:fldCharType="begin">
          <w:fldData xml:space="preserve">PEVuZE5vdGU+PENpdGU+PEF1dGhvcj5CYXJuZXM8L0F1dGhvcj48WWVhcj4yMDEwPC9ZZWFyPjxS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</w:fldData>
        </w:fldChar>
      </w:r>
      <w:r w:rsidR="00126D9D">
        <w:rPr>
          <w:rStyle w:val="CommentReference"/>
          <w:rFonts w:cs="Times New Roman"/>
          <w:sz w:val="22"/>
          <w:szCs w:val="22"/>
          <w:lang w:val="en-US"/>
        </w:rPr>
        <w:instrText xml:space="preserve"> ADDIN EN.CITE </w:instrText>
      </w:r>
      <w:r w:rsidR="00126D9D">
        <w:rPr>
          <w:rStyle w:val="CommentReference"/>
          <w:rFonts w:cs="Times New Roman"/>
          <w:sz w:val="22"/>
          <w:szCs w:val="22"/>
          <w:lang w:val="en-US"/>
        </w:rPr>
        <w:fldChar w:fldCharType="begin">
          <w:fldData xml:space="preserve">PEVuZE5vdGU+PENpdGU+PEF1dGhvcj5CYXJuZXM8L0F1dGhvcj48WWVhcj4yMDEwPC9ZZWFyPjxS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</w:fldData>
        </w:fldChar>
      </w:r>
      <w:r w:rsidR="00126D9D">
        <w:rPr>
          <w:rStyle w:val="CommentReference"/>
          <w:rFonts w:cs="Times New Roman"/>
          <w:sz w:val="22"/>
          <w:szCs w:val="22"/>
          <w:lang w:val="en-US"/>
        </w:rPr>
        <w:instrText xml:space="preserve"> ADDIN EN.CITE.DATA </w:instrText>
      </w:r>
      <w:r w:rsidR="00126D9D">
        <w:rPr>
          <w:rStyle w:val="CommentReference"/>
          <w:rFonts w:cs="Times New Roman"/>
          <w:sz w:val="22"/>
          <w:szCs w:val="22"/>
          <w:lang w:val="en-US"/>
        </w:rPr>
      </w:r>
      <w:r w:rsidR="00126D9D">
        <w:rPr>
          <w:rStyle w:val="CommentReference"/>
          <w:rFonts w:cs="Times New Roman"/>
          <w:sz w:val="22"/>
          <w:szCs w:val="22"/>
          <w:lang w:val="en-US"/>
        </w:rPr>
        <w:fldChar w:fldCharType="end"/>
      </w:r>
      <w:r w:rsidR="00641DB2" w:rsidRPr="00501570">
        <w:rPr>
          <w:rStyle w:val="CommentReference"/>
          <w:rFonts w:cs="Times New Roman"/>
          <w:sz w:val="22"/>
          <w:szCs w:val="22"/>
          <w:lang w:val="en-US"/>
        </w:rPr>
      </w:r>
      <w:r w:rsidR="00641DB2" w:rsidRPr="00501570">
        <w:rPr>
          <w:rStyle w:val="CommentReference"/>
          <w:rFonts w:cs="Times New Roman"/>
          <w:sz w:val="22"/>
          <w:szCs w:val="22"/>
          <w:lang w:val="en-US"/>
        </w:rPr>
        <w:fldChar w:fldCharType="separate"/>
      </w:r>
      <w:r w:rsidR="00126D9D" w:rsidRPr="00126D9D">
        <w:rPr>
          <w:rStyle w:val="CommentReference"/>
          <w:rFonts w:cs="Times New Roman"/>
          <w:noProof/>
          <w:sz w:val="22"/>
          <w:szCs w:val="22"/>
          <w:vertAlign w:val="superscript"/>
          <w:lang w:val="en-US"/>
        </w:rPr>
        <w:t>19, 21, 22</w:t>
      </w:r>
      <w:r w:rsidR="00641DB2" w:rsidRPr="00501570">
        <w:rPr>
          <w:rStyle w:val="CommentReference"/>
          <w:rFonts w:cs="Times New Roman"/>
          <w:sz w:val="22"/>
          <w:szCs w:val="22"/>
          <w:lang w:val="en-US"/>
        </w:rPr>
        <w:fldChar w:fldCharType="end"/>
      </w:r>
      <w:r w:rsidR="00D15678" w:rsidRPr="00501570">
        <w:rPr>
          <w:rStyle w:val="CommentReference"/>
          <w:rFonts w:cs="Times New Roman"/>
          <w:sz w:val="22"/>
          <w:szCs w:val="22"/>
          <w:lang w:val="en-US"/>
        </w:rPr>
        <w:t xml:space="preserve"> </w:t>
      </w:r>
      <w:r w:rsidR="00D20EF9">
        <w:rPr>
          <w:rStyle w:val="CommentReference"/>
          <w:rFonts w:cs="Times New Roman"/>
          <w:sz w:val="22"/>
          <w:szCs w:val="22"/>
          <w:lang w:val="en-US"/>
        </w:rPr>
        <w:t xml:space="preserve">Unfortunately, </w:t>
      </w:r>
      <w:r w:rsidR="007200ED">
        <w:rPr>
          <w:rStyle w:val="CommentReference"/>
          <w:rFonts w:cs="Times New Roman"/>
          <w:sz w:val="22"/>
          <w:szCs w:val="22"/>
          <w:lang w:val="en-US"/>
        </w:rPr>
        <w:t>this literature is often of poor methodological quality</w:t>
      </w:r>
      <w:r w:rsidR="00585CC6">
        <w:rPr>
          <w:rStyle w:val="CommentReference"/>
          <w:rFonts w:cs="Times New Roman"/>
          <w:sz w:val="22"/>
          <w:szCs w:val="22"/>
          <w:lang w:val="en-US"/>
        </w:rPr>
        <w:t>;</w:t>
      </w:r>
      <w:r w:rsidR="007200ED">
        <w:rPr>
          <w:rStyle w:val="CommentReference"/>
          <w:rFonts w:cs="Times New Roman"/>
          <w:sz w:val="22"/>
          <w:szCs w:val="22"/>
          <w:lang w:val="en-US"/>
        </w:rPr>
        <w:t xml:space="preserve"> </w:t>
      </w:r>
      <w:r w:rsidR="00F524A5">
        <w:rPr>
          <w:rStyle w:val="CommentReference"/>
          <w:rFonts w:cs="Times New Roman"/>
          <w:sz w:val="22"/>
          <w:szCs w:val="22"/>
          <w:lang w:val="en-US"/>
        </w:rPr>
        <w:t xml:space="preserve">commonly </w:t>
      </w:r>
      <w:r w:rsidR="007200ED">
        <w:rPr>
          <w:rStyle w:val="CommentReference"/>
          <w:rFonts w:cs="Times New Roman"/>
          <w:sz w:val="22"/>
          <w:szCs w:val="22"/>
          <w:lang w:val="en-US"/>
        </w:rPr>
        <w:t xml:space="preserve">relying on data from unrepresentative convenience samples and failing to address potential confounding effects associated with between group differences in gender </w:t>
      </w:r>
      <w:r w:rsidR="005E7404">
        <w:rPr>
          <w:rStyle w:val="CommentReference"/>
          <w:rFonts w:cs="Times New Roman"/>
          <w:sz w:val="22"/>
          <w:szCs w:val="22"/>
          <w:lang w:val="en-US"/>
        </w:rPr>
        <w:t>and family socio-economic position</w:t>
      </w:r>
      <w:r w:rsidR="00B97809">
        <w:rPr>
          <w:rStyle w:val="CommentReference"/>
          <w:rFonts w:cs="Times New Roman"/>
          <w:sz w:val="22"/>
          <w:szCs w:val="22"/>
          <w:lang w:val="en-US"/>
        </w:rPr>
        <w:t>.</w:t>
      </w:r>
      <w:r w:rsidR="00420703" w:rsidRPr="007200ED">
        <w:rPr>
          <w:rStyle w:val="CommentReference"/>
          <w:rFonts w:cs="Times New Roman"/>
          <w:sz w:val="22"/>
          <w:szCs w:val="22"/>
          <w:lang w:val="en-US"/>
        </w:rPr>
        <w:fldChar w:fldCharType="begin"/>
      </w:r>
      <w:r w:rsidR="00B97809">
        <w:rPr>
          <w:rStyle w:val="CommentReference"/>
          <w:rFonts w:cs="Times New Roman"/>
          <w:sz w:val="22"/>
          <w:szCs w:val="22"/>
          <w:lang w:val="en-US"/>
        </w:rPr>
        <w:instrText xml:space="preserve"> ADDIN EN.CITE &lt;EndNote&gt;&lt;Cite&gt;&lt;Author&gt;Brady&lt;/Author&gt;&lt;Year&gt;2017&lt;/Year&gt;&lt;RecNum&gt;5670&lt;/RecNum&gt;&lt;DisplayText&gt;&lt;style face="superscript"&gt;14&lt;/style&gt;&lt;/DisplayText&gt;&lt;record&gt;&lt;rec-number&gt;5670&lt;/rec-number&gt;&lt;foreign-keys&gt;&lt;key app="EN" db-id="0tzwrr05aez223ea2r9xt9tgddvasf55dw2p" timestamp="1529772257"&gt;5670&lt;/key&gt;&lt;/foreign-keys&gt;&lt;ref-type name="Journal Article"&gt;17&lt;/ref-type&gt;&lt;contributors&gt;&lt;authors&gt;&lt;author&gt;Brady, A M&lt;/author&gt;&lt;author&gt;Deighton, J&lt;/author&gt;&lt;author&gt;Stansfeld, S&lt;/author&gt;&lt;/authors&gt;&lt;/contributors&gt;&lt;titles&gt;&lt;title&gt;Psychiatric outcomes associated with chronic illness in adolescence: A systematic review&lt;/title&gt;&lt;secondary-title&gt;Journal of Adolescence&lt;/secondary-title&gt;&lt;/titles&gt;&lt;periodical&gt;&lt;full-title&gt;Journal of Adolescence&lt;/full-title&gt;&lt;/periodical&gt;&lt;pages&gt;112-123&lt;/pages&gt;&lt;volume&gt;59&lt;/volume&gt;&lt;dates&gt;&lt;year&gt;2017&lt;/year&gt;&lt;/dates&gt;&lt;urls&gt;&lt;/urls&gt;&lt;/record&gt;&lt;/Cite&gt;&lt;/EndNote&gt;</w:instrText>
      </w:r>
      <w:r w:rsidR="00420703" w:rsidRPr="007200ED">
        <w:rPr>
          <w:rStyle w:val="CommentReference"/>
          <w:rFonts w:cs="Times New Roman"/>
          <w:sz w:val="22"/>
          <w:szCs w:val="22"/>
          <w:lang w:val="en-US"/>
        </w:rPr>
        <w:fldChar w:fldCharType="separate"/>
      </w:r>
      <w:r w:rsidR="00B97809" w:rsidRPr="00B97809">
        <w:rPr>
          <w:rStyle w:val="CommentReference"/>
          <w:rFonts w:cs="Times New Roman"/>
          <w:noProof/>
          <w:sz w:val="22"/>
          <w:szCs w:val="22"/>
          <w:vertAlign w:val="superscript"/>
          <w:lang w:val="en-US"/>
        </w:rPr>
        <w:t>14</w:t>
      </w:r>
      <w:r w:rsidR="00420703" w:rsidRPr="007200ED">
        <w:rPr>
          <w:rStyle w:val="CommentReference"/>
          <w:rFonts w:cs="Times New Roman"/>
          <w:sz w:val="22"/>
          <w:szCs w:val="22"/>
          <w:lang w:val="en-US"/>
        </w:rPr>
        <w:fldChar w:fldCharType="end"/>
      </w:r>
      <w:r w:rsidR="005E7404">
        <w:rPr>
          <w:rStyle w:val="CommentReference"/>
          <w:rFonts w:cs="Times New Roman"/>
          <w:sz w:val="22"/>
          <w:szCs w:val="22"/>
          <w:lang w:val="en-US"/>
        </w:rPr>
        <w:t xml:space="preserve"> </w:t>
      </w:r>
    </w:p>
    <w:p w14:paraId="6BDFBFA5" w14:textId="2EE1EE41" w:rsidR="00774B5C" w:rsidRDefault="00D20EF9" w:rsidP="00FA27A6">
      <w:pPr>
        <w:spacing w:line="480" w:lineRule="auto"/>
      </w:pPr>
      <w:r>
        <w:rPr>
          <w:rStyle w:val="CommentReference"/>
          <w:rFonts w:cs="Times New Roman"/>
          <w:sz w:val="22"/>
          <w:szCs w:val="22"/>
          <w:lang w:val="en-US"/>
        </w:rPr>
        <w:t xml:space="preserve">Only two </w:t>
      </w:r>
      <w:r>
        <w:rPr>
          <w:sz w:val="23"/>
          <w:szCs w:val="23"/>
        </w:rPr>
        <w:t xml:space="preserve">large population-based studies </w:t>
      </w:r>
      <w:r w:rsidR="000B138A">
        <w:rPr>
          <w:rStyle w:val="CommentReference"/>
          <w:rFonts w:cs="Times New Roman"/>
          <w:sz w:val="22"/>
          <w:szCs w:val="22"/>
          <w:lang w:val="en-US"/>
        </w:rPr>
        <w:t xml:space="preserve">have </w:t>
      </w:r>
      <w:r w:rsidR="005E7404">
        <w:rPr>
          <w:rStyle w:val="CommentReference"/>
          <w:rFonts w:cs="Times New Roman"/>
          <w:sz w:val="22"/>
          <w:szCs w:val="22"/>
          <w:lang w:val="en-US"/>
        </w:rPr>
        <w:t>assess</w:t>
      </w:r>
      <w:r w:rsidR="000B138A">
        <w:rPr>
          <w:rStyle w:val="CommentReference"/>
          <w:rFonts w:cs="Times New Roman"/>
          <w:sz w:val="22"/>
          <w:szCs w:val="22"/>
          <w:lang w:val="en-US"/>
        </w:rPr>
        <w:t>ed</w:t>
      </w:r>
      <w:r w:rsidR="005E7404">
        <w:rPr>
          <w:rStyle w:val="CommentReference"/>
          <w:rFonts w:cs="Times New Roman"/>
          <w:sz w:val="22"/>
          <w:szCs w:val="22"/>
          <w:lang w:val="en-US"/>
        </w:rPr>
        <w:t xml:space="preserve"> whether the participants with </w:t>
      </w:r>
      <w:r w:rsidR="005E7404">
        <w:t>specific health conditions</w:t>
      </w:r>
      <w:r w:rsidR="000B138A">
        <w:t>/</w:t>
      </w:r>
      <w:r w:rsidR="005E7404">
        <w:t xml:space="preserve">impairments have a disability (i.e., </w:t>
      </w:r>
      <w:r w:rsidR="00CC559F">
        <w:t xml:space="preserve">they </w:t>
      </w:r>
      <w:r>
        <w:t xml:space="preserve">are impaired in </w:t>
      </w:r>
      <w:r w:rsidR="00CC559F">
        <w:t>carry</w:t>
      </w:r>
      <w:r>
        <w:t>ing</w:t>
      </w:r>
      <w:r w:rsidR="00CC559F">
        <w:t xml:space="preserve"> out normal day-to-day activities)</w:t>
      </w:r>
      <w:r w:rsidR="005E7404">
        <w:rPr>
          <w:sz w:val="23"/>
          <w:szCs w:val="23"/>
        </w:rPr>
        <w:t xml:space="preserve">. </w:t>
      </w:r>
      <w:r>
        <w:rPr>
          <w:sz w:val="23"/>
          <w:szCs w:val="23"/>
        </w:rPr>
        <w:t xml:space="preserve">Both </w:t>
      </w:r>
      <w:r w:rsidR="005E7404">
        <w:rPr>
          <w:sz w:val="23"/>
          <w:szCs w:val="23"/>
        </w:rPr>
        <w:t>have reported that</w:t>
      </w:r>
      <w:r>
        <w:rPr>
          <w:sz w:val="23"/>
          <w:szCs w:val="23"/>
        </w:rPr>
        <w:t xml:space="preserve"> </w:t>
      </w:r>
      <w:r w:rsidR="005E7404">
        <w:rPr>
          <w:sz w:val="23"/>
          <w:szCs w:val="23"/>
        </w:rPr>
        <w:t xml:space="preserve">the prevalence of emotional </w:t>
      </w:r>
      <w:r>
        <w:t>disorders wa</w:t>
      </w:r>
      <w:r w:rsidR="005E7404">
        <w:t xml:space="preserve">s significantly elevated among </w:t>
      </w:r>
      <w:r>
        <w:t xml:space="preserve">adolescents </w:t>
      </w:r>
      <w:r w:rsidR="005E7404">
        <w:t>who also experience restr</w:t>
      </w:r>
      <w:r w:rsidR="005E7404" w:rsidRPr="005E7404">
        <w:t>ictions to participation</w:t>
      </w:r>
      <w:r w:rsidR="00B97809">
        <w:t>.</w:t>
      </w:r>
      <w:r w:rsidR="00CB097A" w:rsidRPr="005E7404">
        <w:rPr>
          <w:rStyle w:val="CommentReference"/>
          <w:rFonts w:cs="Times New Roman"/>
          <w:sz w:val="22"/>
          <w:szCs w:val="22"/>
          <w:lang w:val="en-US"/>
        </w:rPr>
        <w:fldChar w:fldCharType="begin"/>
      </w:r>
      <w:r w:rsidR="00126D9D">
        <w:rPr>
          <w:rStyle w:val="CommentReference"/>
          <w:rFonts w:cs="Times New Roman"/>
          <w:sz w:val="22"/>
          <w:szCs w:val="22"/>
          <w:lang w:val="en-US"/>
        </w:rPr>
        <w:instrText xml:space="preserve"> ADDIN EN.CITE &lt;EndNote&gt;&lt;Cite&gt;&lt;Author&gt;Denny&lt;/Author&gt;&lt;Year&gt;2014&lt;/Year&gt;&lt;RecNum&gt;5673&lt;/RecNum&gt;&lt;DisplayText&gt;&lt;style face="superscript"&gt;23, 24&lt;/style&gt;&lt;/DisplayText&gt;&lt;record&gt;&lt;rec-number&gt;5673&lt;/rec-number&gt;&lt;foreign-keys&gt;&lt;key app="EN" db-id="0tzwrr05aez223ea2r9xt9tgddvasf55dw2p" timestamp="1529773211"&gt;5673&lt;/key&gt;&lt;/foreign-keys&gt;&lt;ref-type name="Journal Article"&gt;17&lt;/ref-type&gt;&lt;contributors&gt;&lt;authors&gt;&lt;author&gt;Denny, S&lt;/author&gt;&lt;author&gt;Silva, M&lt;/author&gt;&lt;author&gt;Fleming, T&lt;/author&gt;&lt;author&gt;Clark, T&lt;/author&gt;&lt;author&gt;Merry, S&lt;/author&gt;&lt;author&gt;Ameratunga, S &lt;/author&gt;&lt;author&gt;Fortune, S&lt;/author&gt;&lt;/authors&gt;&lt;/contributors&gt;&lt;titles&gt;&lt;title&gt;The prevalence of chronic health conditions impacting on daily functioning and the association with emotional well-being among a national sample of high school students&lt;/title&gt;&lt;secondary-title&gt;Journal of Adolescent Health&lt;/secondary-title&gt;&lt;/titles&gt;&lt;periodical&gt;&lt;full-title&gt;Journal of Adolescent Health&lt;/full-title&gt;&lt;/periodical&gt;&lt;pages&gt;410&lt;/pages&gt;&lt;volume&gt;54&lt;/volume&gt;&lt;dates&gt;&lt;year&gt;2014&lt;/year&gt;&lt;/dates&gt;&lt;urls&gt;&lt;/urls&gt;&lt;/record&gt;&lt;/Cite&gt;&lt;Cite&gt;&lt;Author&gt;Cadman&lt;/Author&gt;&lt;Year&gt;1987&lt;/Year&gt;&lt;RecNum&gt;5674&lt;/RecNum&gt;&lt;record&gt;&lt;rec-number&gt;5674&lt;/rec-number&gt;&lt;foreign-keys&gt;&lt;key app="EN" db-id="0tzwrr05aez223ea2r9xt9tgddvasf55dw2p" timestamp="1529773384"&gt;5674&lt;/key&gt;&lt;/foreign-keys&gt;&lt;ref-type name="Journal Article"&gt;17&lt;/ref-type&gt;&lt;contributors&gt;&lt;authors&gt;&lt;author&gt;Cadman, D&lt;/author&gt;&lt;author&gt;Boyle, M &lt;/author&gt;&lt;author&gt;Szatmari, P&lt;/author&gt;&lt;author&gt;Offord, D R&lt;/author&gt;&lt;/authors&gt;&lt;/contributors&gt;&lt;titles&gt;&lt;title&gt;Chronic illness, disability and mental and social well-being: Findings of the Ontario child health study&lt;/title&gt;&lt;secondary-title&gt;Pediatrics&lt;/secondary-title&gt;&lt;/titles&gt;&lt;periodical&gt;&lt;full-title&gt;Pediatrics&lt;/full-title&gt;&lt;/periodical&gt;&lt;pages&gt;805-13&lt;/pages&gt;&lt;volume&gt;79&lt;/volume&gt;&lt;dates&gt;&lt;year&gt;1987&lt;/year&gt;&lt;/dates&gt;&lt;urls&gt;&lt;/urls&gt;&lt;/record&gt;&lt;/Cite&gt;&lt;/EndNote&gt;</w:instrText>
      </w:r>
      <w:r w:rsidR="00CB097A" w:rsidRPr="005E7404">
        <w:rPr>
          <w:rStyle w:val="CommentReference"/>
          <w:rFonts w:cs="Times New Roman"/>
          <w:sz w:val="22"/>
          <w:szCs w:val="22"/>
          <w:lang w:val="en-US"/>
        </w:rPr>
        <w:fldChar w:fldCharType="separate"/>
      </w:r>
      <w:r w:rsidR="00126D9D" w:rsidRPr="00126D9D">
        <w:rPr>
          <w:rStyle w:val="CommentReference"/>
          <w:rFonts w:cs="Times New Roman"/>
          <w:noProof/>
          <w:sz w:val="22"/>
          <w:szCs w:val="22"/>
          <w:vertAlign w:val="superscript"/>
          <w:lang w:val="en-US"/>
        </w:rPr>
        <w:t>23, 24</w:t>
      </w:r>
      <w:r w:rsidR="00CB097A" w:rsidRPr="005E7404">
        <w:rPr>
          <w:rStyle w:val="CommentReference"/>
          <w:rFonts w:cs="Times New Roman"/>
          <w:sz w:val="22"/>
          <w:szCs w:val="22"/>
          <w:lang w:val="en-US"/>
        </w:rPr>
        <w:fldChar w:fldCharType="end"/>
      </w:r>
      <w:r w:rsidR="005E7404" w:rsidRPr="005E7404">
        <w:rPr>
          <w:rStyle w:val="CommentReference"/>
          <w:rFonts w:cs="Times New Roman"/>
          <w:sz w:val="22"/>
          <w:szCs w:val="22"/>
          <w:lang w:val="en-US"/>
        </w:rPr>
        <w:t xml:space="preserve"> </w:t>
      </w:r>
      <w:r w:rsidR="0080229E">
        <w:rPr>
          <w:rStyle w:val="CommentReference"/>
          <w:rFonts w:cs="Times New Roman"/>
          <w:sz w:val="22"/>
          <w:szCs w:val="22"/>
          <w:lang w:val="en-US"/>
        </w:rPr>
        <w:t xml:space="preserve">This </w:t>
      </w:r>
      <w:r>
        <w:rPr>
          <w:rStyle w:val="CommentReference"/>
          <w:rFonts w:cs="Times New Roman"/>
          <w:sz w:val="22"/>
          <w:szCs w:val="22"/>
          <w:lang w:val="en-US"/>
        </w:rPr>
        <w:t xml:space="preserve">suggests </w:t>
      </w:r>
      <w:r w:rsidR="0080229E">
        <w:rPr>
          <w:rStyle w:val="CommentReference"/>
          <w:rFonts w:cs="Times New Roman"/>
          <w:sz w:val="22"/>
          <w:szCs w:val="22"/>
          <w:lang w:val="en-US"/>
        </w:rPr>
        <w:t xml:space="preserve">that the larger body of studies which have </w:t>
      </w:r>
      <w:r>
        <w:rPr>
          <w:rStyle w:val="CommentReference"/>
          <w:rFonts w:cs="Times New Roman"/>
          <w:sz w:val="22"/>
          <w:szCs w:val="22"/>
          <w:lang w:val="en-US"/>
        </w:rPr>
        <w:t xml:space="preserve">investigated </w:t>
      </w:r>
      <w:r w:rsidR="0080229E">
        <w:t xml:space="preserve">emotional disorders </w:t>
      </w:r>
      <w:r>
        <w:t xml:space="preserve">among </w:t>
      </w:r>
      <w:r w:rsidR="0080229E">
        <w:t>adolescents w</w:t>
      </w:r>
      <w:r>
        <w:t xml:space="preserve">ith/without </w:t>
      </w:r>
      <w:r w:rsidR="0080229E">
        <w:t xml:space="preserve">specific health conditions may significantly underestimate the strength of the association between disability and emotional disorders.  The very small number of contemporary population-based studies that have focused on adolescents with </w:t>
      </w:r>
      <w:r w:rsidR="00585CC6">
        <w:t xml:space="preserve">a </w:t>
      </w:r>
      <w:r w:rsidR="0080229E">
        <w:t>disability have reported elevated prevalence rates for emotional disorde</w:t>
      </w:r>
      <w:r w:rsidR="00B97809">
        <w:t>rs and self-harm in New Zealand</w:t>
      </w:r>
      <w:r w:rsidR="0080229E">
        <w:fldChar w:fldCharType="begin"/>
      </w:r>
      <w:r w:rsidR="00B97809">
        <w:instrText xml:space="preserve"> ADDIN EN.CITE &lt;EndNote&gt;&lt;Cite&gt;&lt;Author&gt;Denny&lt;/Author&gt;&lt;Year&gt;2014&lt;/Year&gt;&lt;RecNum&gt;5673&lt;/RecNum&gt;&lt;DisplayText&gt;&lt;style face="superscript"&gt;23&lt;/style&gt;&lt;/DisplayText&gt;&lt;record&gt;&lt;rec-number&gt;5673&lt;/rec-number&gt;&lt;foreign-keys&gt;&lt;key app="EN" db-id="0tzwrr05aez223ea2r9xt9tgddvasf55dw2p" timestamp="1529773211"&gt;5673&lt;/key&gt;&lt;/foreign-keys&gt;&lt;ref-type name="Journal Article"&gt;17&lt;/ref-type&gt;&lt;contributors&gt;&lt;authors&gt;&lt;author&gt;Denny, S&lt;/author&gt;&lt;author&gt;Silva, M&lt;/author&gt;&lt;author&gt;Fleming, T&lt;/author&gt;&lt;author&gt;Clark, T&lt;/author&gt;&lt;author&gt;Merry, S&lt;/author&gt;&lt;author&gt;Ameratunga, S &lt;/author&gt;&lt;author&gt;Fortune, S&lt;/author&gt;&lt;/authors&gt;&lt;/contributors&gt;&lt;titles&gt;&lt;title&gt;The prevalence of chronic health conditions impacting on daily functioning and the association with emotional well-being among a national sample of high school students&lt;/title&gt;&lt;secondary-title&gt;Journal of Adolescent Health&lt;/secondary-title&gt;&lt;/titles&gt;&lt;periodical&gt;&lt;full-title&gt;Journal of Adolescent Health&lt;/full-title&gt;&lt;/periodical&gt;&lt;pages&gt;410&lt;/pages&gt;&lt;volume&gt;54&lt;/volume&gt;&lt;dates&gt;&lt;year&gt;2014&lt;/year&gt;&lt;/dates&gt;&lt;urls&gt;&lt;/urls&gt;&lt;/record&gt;&lt;/Cite&gt;&lt;/EndNote&gt;</w:instrText>
      </w:r>
      <w:r w:rsidR="0080229E">
        <w:fldChar w:fldCharType="separate"/>
      </w:r>
      <w:r w:rsidR="00B97809" w:rsidRPr="00B97809">
        <w:rPr>
          <w:noProof/>
          <w:vertAlign w:val="superscript"/>
        </w:rPr>
        <w:t>23</w:t>
      </w:r>
      <w:r w:rsidR="0080229E">
        <w:fldChar w:fldCharType="end"/>
      </w:r>
      <w:r w:rsidR="0080229E">
        <w:t xml:space="preserve"> and Australia</w:t>
      </w:r>
      <w:r w:rsidR="00B97809">
        <w:t>.</w:t>
      </w:r>
      <w:r w:rsidR="00F46EF8">
        <w:fldChar w:fldCharType="begin">
          <w:fldData xml:space="preserve">PEVuZE5vdGU+PENpdGU+PEF1dGhvcj5LaW5nPC9BdXRob3I+PFllYXI+MjAxOCwgb25saW5lPC9Z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</w:fldData>
        </w:fldChar>
      </w:r>
      <w:r w:rsidR="00126D9D">
        <w:instrText xml:space="preserve"> ADDIN EN.CITE </w:instrText>
      </w:r>
      <w:r w:rsidR="00126D9D">
        <w:fldChar w:fldCharType="begin">
          <w:fldData xml:space="preserve">PEVuZE5vdGU+PENpdGU+PEF1dGhvcj5LaW5nPC9BdXRob3I+PFllYXI+MjAxOCwgb25saW5lPC9Z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</w:fldData>
        </w:fldChar>
      </w:r>
      <w:r w:rsidR="00126D9D">
        <w:instrText xml:space="preserve"> ADDIN EN.CITE.DATA </w:instrText>
      </w:r>
      <w:r w:rsidR="00126D9D">
        <w:fldChar w:fldCharType="end"/>
      </w:r>
      <w:r w:rsidR="00F46EF8">
        <w:fldChar w:fldCharType="separate"/>
      </w:r>
      <w:r w:rsidR="00126D9D" w:rsidRPr="00126D9D">
        <w:rPr>
          <w:noProof/>
          <w:vertAlign w:val="superscript"/>
        </w:rPr>
        <w:t>25, 26</w:t>
      </w:r>
      <w:r w:rsidR="00F46EF8">
        <w:fldChar w:fldCharType="end"/>
      </w:r>
      <w:r w:rsidR="0080229E">
        <w:t xml:space="preserve"> </w:t>
      </w:r>
    </w:p>
    <w:p w14:paraId="01C80D1D" w14:textId="2B20EA47" w:rsidR="00933262" w:rsidRPr="00774B5C" w:rsidRDefault="00774B5C" w:rsidP="00FA27A6">
      <w:pPr>
        <w:spacing w:line="480" w:lineRule="auto"/>
        <w:rPr>
          <w:rStyle w:val="CommentReference"/>
          <w:sz w:val="22"/>
          <w:szCs w:val="22"/>
        </w:rPr>
      </w:pPr>
      <w:r>
        <w:t>N</w:t>
      </w:r>
      <w:r w:rsidR="00F46EF8">
        <w:t xml:space="preserve">either of these </w:t>
      </w:r>
      <w:r>
        <w:t xml:space="preserve">two </w:t>
      </w:r>
      <w:r w:rsidR="00F46EF8">
        <w:t xml:space="preserve">studies </w:t>
      </w:r>
      <w:r>
        <w:t>presented data disaggregated by gender. This is importan</w:t>
      </w:r>
      <w:r w:rsidR="000B138A">
        <w:t>t as</w:t>
      </w:r>
      <w:r>
        <w:t xml:space="preserve">: (1) gender differences in the prevalence of emotional disorders </w:t>
      </w:r>
      <w:r w:rsidR="00713718">
        <w:t xml:space="preserve">and self-harm </w:t>
      </w:r>
      <w:r w:rsidR="00D20EF9">
        <w:t xml:space="preserve">are well established </w:t>
      </w:r>
      <w:r w:rsidR="000B138A">
        <w:t>(see above)</w:t>
      </w:r>
      <w:r w:rsidR="00D20EF9">
        <w:t xml:space="preserve">; and </w:t>
      </w:r>
      <w:r w:rsidR="00D20EF9">
        <w:lastRenderedPageBreak/>
        <w:t xml:space="preserve">(2) </w:t>
      </w:r>
      <w:r>
        <w:t xml:space="preserve">limited evidence suggests that gender may moderate the association between disability and mental </w:t>
      </w:r>
      <w:r w:rsidRPr="00774B5C">
        <w:t xml:space="preserve">health </w:t>
      </w:r>
      <w:r>
        <w:t>in childhood</w:t>
      </w:r>
      <w:r w:rsidR="00B97809">
        <w:t>.</w:t>
      </w:r>
      <w:r w:rsidR="00933262" w:rsidRPr="00774B5C">
        <w:rPr>
          <w:rStyle w:val="CommentReference"/>
          <w:rFonts w:cs="Times New Roman"/>
          <w:sz w:val="22"/>
          <w:szCs w:val="22"/>
          <w:lang w:val="en-US"/>
        </w:rPr>
        <w:fldChar w:fldCharType="begin">
          <w:fldData xml:space="preserve">PEVuZE5vdGU+PENpdGU+PEF1dGhvcj5TdXLEsXM8L0F1dGhvcj48WWVhcj4xOTk2PC9ZZWFyPjxS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</w:fldData>
        </w:fldChar>
      </w:r>
      <w:r w:rsidR="00126D9D">
        <w:rPr>
          <w:rStyle w:val="CommentReference"/>
          <w:rFonts w:cs="Times New Roman"/>
          <w:sz w:val="22"/>
          <w:szCs w:val="22"/>
          <w:lang w:val="en-US"/>
        </w:rPr>
        <w:instrText xml:space="preserve"> ADDIN EN.CITE </w:instrText>
      </w:r>
      <w:r w:rsidR="00126D9D">
        <w:rPr>
          <w:rStyle w:val="CommentReference"/>
          <w:rFonts w:cs="Times New Roman"/>
          <w:sz w:val="22"/>
          <w:szCs w:val="22"/>
          <w:lang w:val="en-US"/>
        </w:rPr>
        <w:fldChar w:fldCharType="begin">
          <w:fldData xml:space="preserve">PEVuZE5vdGU+PENpdGU+PEF1dGhvcj5TdXLEsXM8L0F1dGhvcj48WWVhcj4xOTk2PC9ZZWFyPjxS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</w:fldData>
        </w:fldChar>
      </w:r>
      <w:r w:rsidR="00126D9D">
        <w:rPr>
          <w:rStyle w:val="CommentReference"/>
          <w:rFonts w:cs="Times New Roman"/>
          <w:sz w:val="22"/>
          <w:szCs w:val="22"/>
          <w:lang w:val="en-US"/>
        </w:rPr>
        <w:instrText xml:space="preserve"> ADDIN EN.CITE.DATA </w:instrText>
      </w:r>
      <w:r w:rsidR="00126D9D">
        <w:rPr>
          <w:rStyle w:val="CommentReference"/>
          <w:rFonts w:cs="Times New Roman"/>
          <w:sz w:val="22"/>
          <w:szCs w:val="22"/>
          <w:lang w:val="en-US"/>
        </w:rPr>
      </w:r>
      <w:r w:rsidR="00126D9D">
        <w:rPr>
          <w:rStyle w:val="CommentReference"/>
          <w:rFonts w:cs="Times New Roman"/>
          <w:sz w:val="22"/>
          <w:szCs w:val="22"/>
          <w:lang w:val="en-US"/>
        </w:rPr>
        <w:fldChar w:fldCharType="end"/>
      </w:r>
      <w:r w:rsidR="00933262" w:rsidRPr="00774B5C">
        <w:rPr>
          <w:rStyle w:val="CommentReference"/>
          <w:rFonts w:cs="Times New Roman"/>
          <w:sz w:val="22"/>
          <w:szCs w:val="22"/>
          <w:lang w:val="en-US"/>
        </w:rPr>
      </w:r>
      <w:r w:rsidR="00933262" w:rsidRPr="00774B5C">
        <w:rPr>
          <w:rStyle w:val="CommentReference"/>
          <w:rFonts w:cs="Times New Roman"/>
          <w:sz w:val="22"/>
          <w:szCs w:val="22"/>
          <w:lang w:val="en-US"/>
        </w:rPr>
        <w:fldChar w:fldCharType="separate"/>
      </w:r>
      <w:r w:rsidR="00126D9D" w:rsidRPr="00126D9D">
        <w:rPr>
          <w:rStyle w:val="CommentReference"/>
          <w:rFonts w:cs="Times New Roman"/>
          <w:noProof/>
          <w:sz w:val="22"/>
          <w:szCs w:val="22"/>
          <w:vertAlign w:val="superscript"/>
          <w:lang w:val="en-US"/>
        </w:rPr>
        <w:t>22, 27</w:t>
      </w:r>
      <w:r w:rsidR="00933262" w:rsidRPr="00774B5C">
        <w:rPr>
          <w:rStyle w:val="CommentReference"/>
          <w:rFonts w:cs="Times New Roman"/>
          <w:sz w:val="22"/>
          <w:szCs w:val="22"/>
          <w:lang w:val="en-US"/>
        </w:rPr>
        <w:fldChar w:fldCharType="end"/>
      </w:r>
      <w:r>
        <w:rPr>
          <w:rStyle w:val="CommentReference"/>
          <w:rFonts w:cs="Times New Roman"/>
          <w:sz w:val="22"/>
          <w:szCs w:val="22"/>
          <w:lang w:val="en-US"/>
        </w:rPr>
        <w:t xml:space="preserve"> </w:t>
      </w:r>
    </w:p>
    <w:p w14:paraId="43DB9C4F" w14:textId="36CF7246" w:rsidR="001318E5" w:rsidRDefault="00641DB2" w:rsidP="00FA27A6">
      <w:pPr>
        <w:spacing w:line="480" w:lineRule="auto"/>
      </w:pPr>
      <w:r w:rsidRPr="0036521B">
        <w:rPr>
          <w:rStyle w:val="CommentReference"/>
          <w:rFonts w:cs="Times New Roman"/>
          <w:sz w:val="22"/>
          <w:szCs w:val="22"/>
          <w:lang w:val="en-US"/>
        </w:rPr>
        <w:t xml:space="preserve">Given the paucity of knowledge </w:t>
      </w:r>
      <w:r w:rsidR="000B138A">
        <w:rPr>
          <w:rStyle w:val="CommentReference"/>
          <w:rFonts w:cs="Times New Roman"/>
          <w:sz w:val="22"/>
          <w:szCs w:val="22"/>
          <w:lang w:val="en-US"/>
        </w:rPr>
        <w:t xml:space="preserve">in this area </w:t>
      </w:r>
      <w:r w:rsidR="0080742C" w:rsidRPr="0036521B">
        <w:rPr>
          <w:rStyle w:val="CommentReference"/>
          <w:rFonts w:cs="Times New Roman"/>
          <w:sz w:val="22"/>
          <w:szCs w:val="22"/>
          <w:lang w:val="en-US"/>
        </w:rPr>
        <w:t xml:space="preserve">we seek to answer two research questions: 1) </w:t>
      </w:r>
      <w:r w:rsidR="001318E5" w:rsidRPr="0036521B">
        <w:t xml:space="preserve">What is the prevalence of emotional difficulties and self-harm among a contemporary </w:t>
      </w:r>
      <w:r w:rsidR="00F524A5" w:rsidRPr="0036521B">
        <w:t xml:space="preserve">nationally representative </w:t>
      </w:r>
      <w:r w:rsidR="001318E5" w:rsidRPr="0036521B">
        <w:t xml:space="preserve">sample of </w:t>
      </w:r>
      <w:r w:rsidR="00D15678" w:rsidRPr="0036521B">
        <w:t xml:space="preserve">male and female </w:t>
      </w:r>
      <w:r w:rsidR="001318E5" w:rsidRPr="0036521B">
        <w:t>British adolescents with and without disability?</w:t>
      </w:r>
      <w:r w:rsidR="00B2419C" w:rsidRPr="0036521B">
        <w:t xml:space="preserve">; </w:t>
      </w:r>
      <w:r w:rsidR="0080742C" w:rsidRPr="0036521B">
        <w:t xml:space="preserve">2) </w:t>
      </w:r>
      <w:r w:rsidR="001318E5" w:rsidRPr="0036521B">
        <w:t xml:space="preserve">Does the prevalence of emotional difficulties and self-harm </w:t>
      </w:r>
      <w:r w:rsidR="00713718" w:rsidRPr="0036521B">
        <w:t xml:space="preserve">among adolescents with a disability </w:t>
      </w:r>
      <w:r w:rsidR="001318E5" w:rsidRPr="0036521B">
        <w:t xml:space="preserve">vary by </w:t>
      </w:r>
      <w:r w:rsidR="00713718" w:rsidRPr="0036521B">
        <w:t xml:space="preserve">gender and, as been previously suggested, </w:t>
      </w:r>
      <w:r w:rsidR="001318E5" w:rsidRPr="0036521B">
        <w:t xml:space="preserve">severity of </w:t>
      </w:r>
      <w:r w:rsidR="00713718" w:rsidRPr="0036521B">
        <w:t xml:space="preserve">disability and </w:t>
      </w:r>
      <w:r w:rsidR="001318E5" w:rsidRPr="0036521B">
        <w:t>type</w:t>
      </w:r>
      <w:r w:rsidR="00F524A5" w:rsidRPr="0036521B">
        <w:t xml:space="preserve"> of functional limitation</w:t>
      </w:r>
      <w:r w:rsidR="001318E5" w:rsidRPr="0036521B">
        <w:t xml:space="preserve"> associated with disability?</w:t>
      </w:r>
    </w:p>
    <w:p w14:paraId="5B086BF9" w14:textId="25F4AF3C" w:rsidR="00F54106" w:rsidRDefault="00F54106" w:rsidP="00FA27A6">
      <w:pPr>
        <w:pStyle w:val="Heading1"/>
        <w:spacing w:line="480" w:lineRule="auto"/>
      </w:pPr>
      <w:r>
        <w:t>Method</w:t>
      </w:r>
    </w:p>
    <w:p w14:paraId="6D231129" w14:textId="692A9902" w:rsidR="00F54106" w:rsidRDefault="00D20EF9" w:rsidP="00FA27A6">
      <w:pPr>
        <w:spacing w:line="480" w:lineRule="auto"/>
      </w:pPr>
      <w:r>
        <w:t>S</w:t>
      </w:r>
      <w:r w:rsidR="00F54106">
        <w:t xml:space="preserve">econdary analysis of </w:t>
      </w:r>
      <w:r w:rsidR="00BE0300">
        <w:t xml:space="preserve">data from </w:t>
      </w:r>
      <w:r w:rsidR="00F54106">
        <w:t xml:space="preserve">the </w:t>
      </w:r>
      <w:r w:rsidR="00F54106" w:rsidRPr="00DC4786">
        <w:t>UK’s Millennium Cohort Study (MCS)</w:t>
      </w:r>
      <w:r w:rsidR="00BE0300">
        <w:t xml:space="preserve">, data which </w:t>
      </w:r>
      <w:r w:rsidR="00F54106" w:rsidRPr="00DC4786">
        <w:t xml:space="preserve">are available </w:t>
      </w:r>
      <w:r w:rsidR="00BE0300">
        <w:t xml:space="preserve">through </w:t>
      </w:r>
      <w:r w:rsidR="00F54106" w:rsidRPr="00DC4786">
        <w:t xml:space="preserve">the </w:t>
      </w:r>
      <w:r w:rsidR="00F54106">
        <w:t>UK Data Service (</w:t>
      </w:r>
      <w:hyperlink r:id="rId8" w:history="1">
        <w:r w:rsidR="00F54106" w:rsidRPr="009D170C">
          <w:rPr>
            <w:rStyle w:val="Hyperlink"/>
          </w:rPr>
          <w:t>http://ukdataservice.ac.uk/</w:t>
        </w:r>
      </w:hyperlink>
      <w:r w:rsidR="00F54106">
        <w:t>)</w:t>
      </w:r>
      <w:r w:rsidR="00F54106" w:rsidRPr="00DC4786">
        <w:t>. Full details of the design of MCS are available in a series of reports and technical papers</w:t>
      </w:r>
      <w:r w:rsidR="00B97809">
        <w:t>,</w:t>
      </w:r>
      <w:r w:rsidR="00C7336D">
        <w:fldChar w:fldCharType="begin"/>
      </w:r>
      <w:r w:rsidR="00B97809">
        <w:instrText xml:space="preserve"> ADDIN EN.CITE &lt;EndNote&gt;&lt;Cite&gt;&lt;Author&gt;Fitzsimons&lt;/Author&gt;&lt;Year&gt;2017&lt;/Year&gt;&lt;RecNum&gt;5500&lt;/RecNum&gt;&lt;DisplayText&gt;&lt;style face="superscript"&gt;28&lt;/style&gt;&lt;/DisplayText&gt;&lt;record&gt;&lt;rec-number&gt;5500&lt;/rec-number&gt;&lt;foreign-keys&gt;&lt;key app="EN" db-id="0tzwrr05aez223ea2r9xt9tgddvasf55dw2p" timestamp="1510295360"&gt;5500&lt;/key&gt;&lt;/foreign-keys&gt;&lt;ref-type name="Report"&gt;27&lt;/ref-type&gt;&lt;contributors&gt;&lt;authors&gt;&lt;author&gt;Fitzsimons, E (Ed.)&lt;/author&gt;&lt;/authors&gt;&lt;/contributors&gt;&lt;titles&gt;&lt;title&gt;Millennium Cohort Study Sixth Survey 2015-2016: User Guide (First Edition)&lt;/title&gt;&lt;/titles&gt;&lt;dates&gt;&lt;year&gt;2017&lt;/year&gt;&lt;/dates&gt;&lt;pub-location&gt;London&lt;/pub-location&gt;&lt;publisher&gt;Centre for Longitudinal Studies&lt;/publisher&gt;&lt;urls&gt;&lt;/urls&gt;&lt;/record&gt;&lt;/Cite&gt;&lt;/EndNote&gt;</w:instrText>
      </w:r>
      <w:r w:rsidR="00C7336D">
        <w:fldChar w:fldCharType="separate"/>
      </w:r>
      <w:r w:rsidR="00B97809" w:rsidRPr="00B97809">
        <w:rPr>
          <w:noProof/>
          <w:vertAlign w:val="superscript"/>
        </w:rPr>
        <w:t>28</w:t>
      </w:r>
      <w:r w:rsidR="00C7336D">
        <w:fldChar w:fldCharType="end"/>
      </w:r>
      <w:r w:rsidR="00F54106" w:rsidRPr="00DC4786">
        <w:t xml:space="preserve"> k</w:t>
      </w:r>
      <w:r w:rsidR="00F54106">
        <w:t>ey aspects of which are summaris</w:t>
      </w:r>
      <w:r w:rsidR="00F54106" w:rsidRPr="00DC4786">
        <w:t>ed below.</w:t>
      </w:r>
    </w:p>
    <w:p w14:paraId="75564CB3" w14:textId="36F35189" w:rsidR="00F54106" w:rsidRDefault="00F54106" w:rsidP="00FA27A6">
      <w:pPr>
        <w:pStyle w:val="Heading2"/>
        <w:spacing w:line="480" w:lineRule="auto"/>
      </w:pPr>
      <w:r>
        <w:t xml:space="preserve">Sampling </w:t>
      </w:r>
    </w:p>
    <w:p w14:paraId="0AC96425" w14:textId="050F6480" w:rsidR="00F54106" w:rsidRPr="00F10262" w:rsidRDefault="00F54106" w:rsidP="00FA27A6">
      <w:pPr>
        <w:spacing w:line="480" w:lineRule="auto"/>
      </w:pPr>
      <w:r w:rsidRPr="009C3109">
        <w:t>Participant</w:t>
      </w:r>
      <w:r>
        <w:t xml:space="preserve"> families </w:t>
      </w:r>
      <w:r w:rsidRPr="009C3109">
        <w:t>were randomly selected from Child Benefit Records</w:t>
      </w:r>
      <w:r>
        <w:t xml:space="preserve">, a </w:t>
      </w:r>
      <w:r w:rsidR="00F40B7F">
        <w:t>universal</w:t>
      </w:r>
      <w:r w:rsidRPr="009C3109">
        <w:t xml:space="preserve"> welfare benefit available to all UK children</w:t>
      </w:r>
      <w:r w:rsidR="0067705E">
        <w:t xml:space="preserve">. </w:t>
      </w:r>
      <w:r>
        <w:t xml:space="preserve">Sampling </w:t>
      </w:r>
      <w:r w:rsidRPr="009C3109">
        <w:t xml:space="preserve">was geographically clustered </w:t>
      </w:r>
      <w:r w:rsidR="00BE0300">
        <w:t xml:space="preserve">in </w:t>
      </w:r>
      <w:r w:rsidR="00BE0300" w:rsidRPr="009C3109">
        <w:t xml:space="preserve">398 randomly selected electoral wards in the UK </w:t>
      </w:r>
      <w:r w:rsidRPr="009C3109">
        <w:t xml:space="preserve">and stratified to over-sample </w:t>
      </w:r>
      <w:r>
        <w:t xml:space="preserve">children from </w:t>
      </w:r>
      <w:r w:rsidRPr="009C3109">
        <w:t xml:space="preserve">ethnic minority </w:t>
      </w:r>
      <w:r>
        <w:t>groups</w:t>
      </w:r>
      <w:r w:rsidR="00F40B7F">
        <w:t xml:space="preserve">, </w:t>
      </w:r>
      <w:r w:rsidRPr="009C3109">
        <w:t xml:space="preserve">disadvantaged </w:t>
      </w:r>
      <w:r>
        <w:t xml:space="preserve">communities </w:t>
      </w:r>
      <w:r w:rsidR="00F40B7F">
        <w:t>and children in Scotland, Wales and Northern Ireland</w:t>
      </w:r>
      <w:r w:rsidR="00B97809">
        <w:t>.</w:t>
      </w:r>
      <w:r>
        <w:fldChar w:fldCharType="begin"/>
      </w:r>
      <w:r w:rsidR="00B97809">
        <w:instrText xml:space="preserve"> ADDIN EN.CITE &lt;EndNote&gt;&lt;Cite&gt;&lt;Author&gt;Plewis&lt;/Author&gt;&lt;Year&gt;2007&lt;/Year&gt;&lt;RecNum&gt;1524&lt;/RecNum&gt;&lt;DisplayText&gt;&lt;style face="superscript"&gt;29&lt;/style&gt;&lt;/DisplayText&gt;&lt;record&gt;&lt;rec-number&gt;1524&lt;/rec-number&gt;&lt;foreign-keys&gt;&lt;key app="EN" db-id="0tzwrr05aez223ea2r9xt9tgddvasf55dw2p" timestamp="0"&gt;1524&lt;/key&gt;&lt;/foreign-keys&gt;&lt;ref-type name="Report"&gt;27&lt;/ref-type&gt;&lt;contributors&gt;&lt;authors&gt;&lt;author&gt;Plewis, I&lt;/author&gt;&lt;/authors&gt;&lt;/contributors&gt;&lt;titles&gt;&lt;title&gt;The Millennium Cohort Study: Technical Report on Sampling 4th Edition&lt;/title&gt;&lt;/titles&gt;&lt;dates&gt;&lt;year&gt;2007&lt;/year&gt;&lt;/dates&gt;&lt;pub-location&gt;London&lt;/pub-location&gt;&lt;publisher&gt;Centre For Longitudinal Studies&lt;/publisher&gt;&lt;urls&gt;&lt;/urls&gt;&lt;/record&gt;&lt;/Cite&gt;&lt;/EndNote&gt;</w:instrText>
      </w:r>
      <w:r>
        <w:fldChar w:fldCharType="separate"/>
      </w:r>
      <w:r w:rsidR="00B97809" w:rsidRPr="00B97809">
        <w:rPr>
          <w:noProof/>
          <w:vertAlign w:val="superscript"/>
        </w:rPr>
        <w:t>29</w:t>
      </w:r>
      <w:r>
        <w:fldChar w:fldCharType="end"/>
      </w:r>
      <w:r w:rsidRPr="009C3109">
        <w:t xml:space="preserve"> The first survey (MCS1) took place when children were nine months old and inclu</w:t>
      </w:r>
      <w:r w:rsidR="00F42EAC">
        <w:t>ded a total of 18,551</w:t>
      </w:r>
      <w:r w:rsidRPr="009C3109">
        <w:t xml:space="preserve"> families</w:t>
      </w:r>
      <w:r>
        <w:t xml:space="preserve">. Children were followed up at ages </w:t>
      </w:r>
      <w:r w:rsidR="00EC5976">
        <w:t xml:space="preserve">3, 5, 7, </w:t>
      </w:r>
      <w:r>
        <w:t xml:space="preserve">11 </w:t>
      </w:r>
      <w:r w:rsidR="00EC5976">
        <w:t xml:space="preserve">and </w:t>
      </w:r>
      <w:r>
        <w:t>14 (MCS</w:t>
      </w:r>
      <w:r w:rsidR="00260CD9">
        <w:t xml:space="preserve"> Wave </w:t>
      </w:r>
      <w:r>
        <w:t xml:space="preserve">6; </w:t>
      </w:r>
      <w:r w:rsidR="00F42EAC" w:rsidRPr="00F42EAC">
        <w:t>11,726 families, 63</w:t>
      </w:r>
      <w:r w:rsidRPr="00D44C0B">
        <w:t>%</w:t>
      </w:r>
      <w:r>
        <w:t xml:space="preserve"> retention rate from MCS1).</w:t>
      </w:r>
      <w:r w:rsidRPr="009C3109">
        <w:t xml:space="preserve"> </w:t>
      </w:r>
      <w:r>
        <w:t xml:space="preserve">For each family, information was collected on the target child falling within the designated birth date window. For multiple births (e.g., twins, triplets) information was collected on </w:t>
      </w:r>
      <w:r w:rsidR="00CC559F">
        <w:t xml:space="preserve">each child. </w:t>
      </w:r>
    </w:p>
    <w:p w14:paraId="6B138F51" w14:textId="2F8BCC36" w:rsidR="00F54106" w:rsidRDefault="00F54106" w:rsidP="00FA27A6">
      <w:pPr>
        <w:pStyle w:val="Heading2"/>
        <w:spacing w:line="480" w:lineRule="auto"/>
      </w:pPr>
      <w:r>
        <w:lastRenderedPageBreak/>
        <w:t>Procedure</w:t>
      </w:r>
    </w:p>
    <w:p w14:paraId="686E1940" w14:textId="4987430F" w:rsidR="00F54106" w:rsidRPr="00ED3030" w:rsidRDefault="00F54106" w:rsidP="00FA27A6">
      <w:pPr>
        <w:spacing w:line="480" w:lineRule="auto"/>
      </w:pPr>
      <w:bookmarkStart w:id="2" w:name="_Hlk1980158"/>
      <w:r>
        <w:t xml:space="preserve">All data used in the present study were collected </w:t>
      </w:r>
      <w:r w:rsidR="00D94B8A">
        <w:t xml:space="preserve">at child age 14 </w:t>
      </w:r>
      <w:bookmarkEnd w:id="2"/>
      <w:r w:rsidR="00D94B8A">
        <w:t xml:space="preserve">by </w:t>
      </w:r>
      <w:r>
        <w:t xml:space="preserve">face-to-face computer assisted personal interview with </w:t>
      </w:r>
      <w:r w:rsidR="00B2419C">
        <w:t>a key informant</w:t>
      </w:r>
      <w:r>
        <w:t xml:space="preserve">, </w:t>
      </w:r>
      <w:r w:rsidR="00BE0300">
        <w:t xml:space="preserve">a </w:t>
      </w:r>
      <w:r w:rsidR="00B2419C">
        <w:t xml:space="preserve">key informant </w:t>
      </w:r>
      <w:r w:rsidR="0015697B">
        <w:t xml:space="preserve">self-completion questionnaire </w:t>
      </w:r>
      <w:r>
        <w:t xml:space="preserve">and </w:t>
      </w:r>
      <w:r w:rsidR="00F42EAC">
        <w:t xml:space="preserve">computer assisted </w:t>
      </w:r>
      <w:r>
        <w:t xml:space="preserve">child self-report. </w:t>
      </w:r>
    </w:p>
    <w:p w14:paraId="62CB8BC8" w14:textId="21260C7C" w:rsidR="00F54106" w:rsidRDefault="00F54106" w:rsidP="00FA27A6">
      <w:pPr>
        <w:pStyle w:val="Heading2"/>
        <w:spacing w:line="480" w:lineRule="auto"/>
      </w:pPr>
      <w:r>
        <w:t xml:space="preserve">Identification of </w:t>
      </w:r>
      <w:r w:rsidR="0075723C">
        <w:t xml:space="preserve">Child </w:t>
      </w:r>
      <w:r w:rsidR="004120F7">
        <w:t>D</w:t>
      </w:r>
      <w:r>
        <w:t xml:space="preserve">isability  </w:t>
      </w:r>
    </w:p>
    <w:p w14:paraId="35BE6833" w14:textId="048731FA" w:rsidR="0067705E" w:rsidRDefault="0015697B" w:rsidP="00FA27A6">
      <w:pPr>
        <w:spacing w:line="480" w:lineRule="auto"/>
      </w:pPr>
      <w:r w:rsidRPr="004E63A2">
        <w:t>Child disability was identified through four items ad</w:t>
      </w:r>
      <w:r w:rsidR="0067705E">
        <w:t xml:space="preserve">ministered in the </w:t>
      </w:r>
      <w:r w:rsidR="0067705E" w:rsidRPr="00B530D4">
        <w:t xml:space="preserve">maternal </w:t>
      </w:r>
      <w:r w:rsidR="00260CD9">
        <w:t>interview</w:t>
      </w:r>
      <w:r w:rsidR="00CD70CF">
        <w:t xml:space="preserve"> at child age 14</w:t>
      </w:r>
      <w:r w:rsidR="0067705E" w:rsidRPr="00B530D4">
        <w:t>:</w:t>
      </w:r>
    </w:p>
    <w:p w14:paraId="64B03F9F" w14:textId="77777777" w:rsidR="0067705E" w:rsidRDefault="0015697B" w:rsidP="00FA27A6">
      <w:pPr>
        <w:pStyle w:val="ListParagraph"/>
        <w:numPr>
          <w:ilvl w:val="0"/>
          <w:numId w:val="3"/>
        </w:numPr>
        <w:spacing w:line="480" w:lineRule="auto"/>
      </w:pPr>
      <w:r w:rsidRPr="004E63A2">
        <w:t>Does [^Cohort member’s name] have any physical or mental health conditions or illnesses lasting or expected to last 12 months or more?</w:t>
      </w:r>
    </w:p>
    <w:p w14:paraId="5885A175" w14:textId="77777777" w:rsidR="0067705E" w:rsidRPr="0067705E" w:rsidRDefault="004E63A2" w:rsidP="00FA27A6">
      <w:pPr>
        <w:pStyle w:val="ListParagraph"/>
        <w:numPr>
          <w:ilvl w:val="0"/>
          <w:numId w:val="3"/>
        </w:numPr>
        <w:spacing w:line="480" w:lineRule="auto"/>
      </w:pPr>
      <w:r w:rsidRPr="0067705E">
        <w:rPr>
          <w:color w:val="000000"/>
        </w:rPr>
        <w:t>Do any of these</w:t>
      </w:r>
      <w:r w:rsidR="0015697B" w:rsidRPr="0067705E">
        <w:rPr>
          <w:color w:val="000000"/>
        </w:rPr>
        <w:t xml:space="preserve"> condition(s) or illness(es) affect ^Cohort member’s name] in</w:t>
      </w:r>
      <w:r w:rsidR="0015697B" w:rsidRPr="0067705E">
        <w:rPr>
          <w:color w:val="C55911"/>
        </w:rPr>
        <w:t xml:space="preserve"> </w:t>
      </w:r>
      <w:r w:rsidRPr="0067705E">
        <w:rPr>
          <w:color w:val="000000"/>
        </w:rPr>
        <w:t>any of the following areas (vision (for example blindness or partial sight), hearing (for example deafness or partial hearing), mobility (for example walking short distances or climbing stairs), dexterity (for example lifting and carrying objects, using a keyboard), learning or understanding or concentrating, memory, mental health, stamina or breathing or fatigue, socially or behaviourally (for example associated with autism, attention deficit disorder or Asperger’s Syndrome), o</w:t>
      </w:r>
      <w:r w:rsidR="00420F36">
        <w:rPr>
          <w:color w:val="000000"/>
        </w:rPr>
        <w:t>ther (PLEASE SPECIFY)?</w:t>
      </w:r>
      <w:r w:rsidRPr="0067705E">
        <w:rPr>
          <w:color w:val="000000"/>
        </w:rPr>
        <w:t xml:space="preserve"> </w:t>
      </w:r>
    </w:p>
    <w:p w14:paraId="198FF886" w14:textId="6C5F37D6" w:rsidR="0067705E" w:rsidRPr="0067705E" w:rsidRDefault="0015697B" w:rsidP="00FA27A6">
      <w:pPr>
        <w:pStyle w:val="ListParagraph"/>
        <w:numPr>
          <w:ilvl w:val="0"/>
          <w:numId w:val="3"/>
        </w:numPr>
        <w:spacing w:line="480" w:lineRule="auto"/>
      </w:pPr>
      <w:r w:rsidRPr="0067705E">
        <w:rPr>
          <w:color w:val="000000"/>
        </w:rPr>
        <w:t>Does this (Do any of these) condition(s) or illness(es) reduce [^Cohort member’s name]’s ability to carry out day-to-day activities? Would you say... 1 Yes, a lot, 2 Yes, a little, or 3 Not at all?</w:t>
      </w:r>
    </w:p>
    <w:p w14:paraId="433DD930" w14:textId="0BD902F9" w:rsidR="0067705E" w:rsidRPr="0067705E" w:rsidRDefault="0015697B" w:rsidP="00FA27A6">
      <w:pPr>
        <w:pStyle w:val="ListParagraph"/>
        <w:numPr>
          <w:ilvl w:val="0"/>
          <w:numId w:val="3"/>
        </w:numPr>
        <w:spacing w:line="480" w:lineRule="auto"/>
      </w:pPr>
      <w:r w:rsidRPr="0067705E">
        <w:rPr>
          <w:color w:val="000000"/>
        </w:rPr>
        <w:t xml:space="preserve">For how long has [^Cohort member’s name]’s ability to carry out day-to-day activities been reduced? Would you say .... </w:t>
      </w:r>
      <w:r w:rsidR="004E63A2" w:rsidRPr="0067705E">
        <w:rPr>
          <w:color w:val="000000"/>
        </w:rPr>
        <w:t>1 l</w:t>
      </w:r>
      <w:r w:rsidRPr="0067705E">
        <w:rPr>
          <w:color w:val="000000"/>
        </w:rPr>
        <w:t xml:space="preserve">ess than six months, </w:t>
      </w:r>
      <w:r w:rsidR="004E63A2" w:rsidRPr="0067705E">
        <w:rPr>
          <w:color w:val="000000"/>
        </w:rPr>
        <w:t>2 b</w:t>
      </w:r>
      <w:r w:rsidRPr="0067705E">
        <w:rPr>
          <w:color w:val="000000"/>
        </w:rPr>
        <w:t>etween six months and 12 months, or 3 12 months or more?</w:t>
      </w:r>
      <w:r w:rsidR="004E63A2" w:rsidRPr="0067705E">
        <w:rPr>
          <w:color w:val="000000"/>
        </w:rPr>
        <w:t xml:space="preserve"> </w:t>
      </w:r>
    </w:p>
    <w:p w14:paraId="36C1DC3B" w14:textId="6AB81B1E" w:rsidR="008144E2" w:rsidRDefault="004E63A2" w:rsidP="00FA27A6">
      <w:pPr>
        <w:spacing w:line="480" w:lineRule="auto"/>
        <w:rPr>
          <w:color w:val="000000"/>
        </w:rPr>
      </w:pPr>
      <w:r w:rsidRPr="0067705E">
        <w:rPr>
          <w:color w:val="000000"/>
        </w:rPr>
        <w:t xml:space="preserve">Cohort members were considered to have a disability if question 1 was answered in the affirmative </w:t>
      </w:r>
      <w:r w:rsidR="00CD70CF">
        <w:rPr>
          <w:color w:val="000000"/>
        </w:rPr>
        <w:t xml:space="preserve">by the child’s mother </w:t>
      </w:r>
      <w:r w:rsidRPr="0067705E">
        <w:rPr>
          <w:color w:val="000000"/>
        </w:rPr>
        <w:t xml:space="preserve">and question three was answered ‘a little’ or ‘a lot’ and question four was answered ‘between six months and 12 months’ or ‘12 months or more’. </w:t>
      </w:r>
    </w:p>
    <w:p w14:paraId="6BC0B986" w14:textId="0AC46E6D" w:rsidR="00F54106" w:rsidRDefault="00F54106" w:rsidP="00FA27A6">
      <w:pPr>
        <w:pStyle w:val="Heading2"/>
        <w:spacing w:line="480" w:lineRule="auto"/>
      </w:pPr>
      <w:r>
        <w:lastRenderedPageBreak/>
        <w:t xml:space="preserve">Measures of Emotional </w:t>
      </w:r>
      <w:r w:rsidR="00A13BE4">
        <w:t xml:space="preserve">Difficulties </w:t>
      </w:r>
      <w:r w:rsidR="0015697B">
        <w:t>and Self-Harm</w:t>
      </w:r>
    </w:p>
    <w:p w14:paraId="5B9A2A09" w14:textId="56ECE4F8" w:rsidR="00F54106" w:rsidRDefault="00EA4063" w:rsidP="00FA27A6">
      <w:pPr>
        <w:spacing w:line="480" w:lineRule="auto"/>
      </w:pPr>
      <w:r>
        <w:t xml:space="preserve">Indicators of emotional wellbeing and self-harm </w:t>
      </w:r>
      <w:r w:rsidR="00590003">
        <w:t xml:space="preserve">at age 14 </w:t>
      </w:r>
      <w:r>
        <w:t xml:space="preserve">were collected through maternal completion of the </w:t>
      </w:r>
      <w:r w:rsidRPr="004120F7">
        <w:rPr>
          <w:i/>
        </w:rPr>
        <w:t>Strengths and Difficulties Questionnaire</w:t>
      </w:r>
      <w:r w:rsidR="00590003" w:rsidRPr="00590003">
        <w:t>,</w:t>
      </w:r>
      <w:r w:rsidR="00590003">
        <w:rPr>
          <w:i/>
        </w:rPr>
        <w:t xml:space="preserve"> </w:t>
      </w:r>
      <w:r w:rsidR="00122D65">
        <w:t xml:space="preserve">adolescent </w:t>
      </w:r>
      <w:r w:rsidR="00590003">
        <w:t xml:space="preserve">completion of the </w:t>
      </w:r>
      <w:r w:rsidR="00590003" w:rsidRPr="00590003">
        <w:rPr>
          <w:i/>
        </w:rPr>
        <w:t>Short-Form Mood and Feelings Questionnaire</w:t>
      </w:r>
      <w:r w:rsidR="00590003" w:rsidRPr="00590003">
        <w:t xml:space="preserve"> </w:t>
      </w:r>
      <w:r>
        <w:t xml:space="preserve">and adolescent </w:t>
      </w:r>
      <w:r w:rsidR="004120F7">
        <w:t xml:space="preserve">computer assisted </w:t>
      </w:r>
      <w:r>
        <w:t xml:space="preserve">self-report </w:t>
      </w:r>
      <w:r w:rsidR="00686F1D">
        <w:t xml:space="preserve">of </w:t>
      </w:r>
      <w:r>
        <w:t>a single item regarding self-harm.</w:t>
      </w:r>
    </w:p>
    <w:p w14:paraId="444B8BE3" w14:textId="2CCCF08A" w:rsidR="00EA4063" w:rsidRDefault="00EA4063" w:rsidP="00FA27A6">
      <w:pPr>
        <w:pStyle w:val="Heading3"/>
        <w:spacing w:line="480" w:lineRule="auto"/>
      </w:pPr>
      <w:r>
        <w:t>Strengths and Difficulties Questionnaire</w:t>
      </w:r>
      <w:r w:rsidR="00DA6218">
        <w:t xml:space="preserve"> (SDQ)</w:t>
      </w:r>
    </w:p>
    <w:p w14:paraId="21425D88" w14:textId="64E293A3" w:rsidR="00DA6218" w:rsidRPr="00DA6218" w:rsidRDefault="00DA6218" w:rsidP="00FA27A6">
      <w:pPr>
        <w:spacing w:line="480" w:lineRule="auto"/>
      </w:pPr>
      <w:r w:rsidRPr="00DA6218">
        <w:t>The SDQ</w:t>
      </w:r>
      <w:r>
        <w:t xml:space="preserve"> is </w:t>
      </w:r>
      <w:r w:rsidR="004D7BFC">
        <w:t xml:space="preserve">a psychometrically robust instrument </w:t>
      </w:r>
      <w:r w:rsidRPr="00DA6218">
        <w:t>commonly used in</w:t>
      </w:r>
      <w:r>
        <w:t xml:space="preserve"> </w:t>
      </w:r>
      <w:r w:rsidRPr="00DA6218">
        <w:t>large-scale population surveys</w:t>
      </w:r>
      <w:r>
        <w:t xml:space="preserve"> to measure</w:t>
      </w:r>
      <w:r w:rsidR="00582E9D">
        <w:t xml:space="preserve"> </w:t>
      </w:r>
      <w:r>
        <w:t xml:space="preserve">emotional and behavioural </w:t>
      </w:r>
      <w:r w:rsidR="00B2419C">
        <w:t xml:space="preserve">difficulties </w:t>
      </w:r>
      <w:r w:rsidR="00BE0300">
        <w:t>in children</w:t>
      </w:r>
      <w:r w:rsidR="00B97809">
        <w:t>.</w:t>
      </w:r>
      <w:r>
        <w:fldChar w:fldCharType="begin">
          <w:fldData xml:space="preserve">PEVuZE5vdGU+PENpdGU+PEF1dGhvcj5NZWx0emVyPC9BdXRob3I+PFllYXI+MjAwMDwvWWVhcj48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</w:fldData>
        </w:fldChar>
      </w:r>
      <w:r w:rsidR="00126D9D">
        <w:instrText xml:space="preserve"> ADDIN EN.CITE </w:instrText>
      </w:r>
      <w:r w:rsidR="00126D9D">
        <w:fldChar w:fldCharType="begin">
          <w:fldData xml:space="preserve">PEVuZE5vdGU+PENpdGU+PEF1dGhvcj5NZWx0emVyPC9BdXRob3I+PFllYXI+MjAwMDwvWWVhcj48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</w:fldData>
        </w:fldChar>
      </w:r>
      <w:r w:rsidR="00126D9D">
        <w:instrText xml:space="preserve"> ADDIN EN.CITE.DATA </w:instrText>
      </w:r>
      <w:r w:rsidR="00126D9D">
        <w:fldChar w:fldCharType="end"/>
      </w:r>
      <w:r>
        <w:fldChar w:fldCharType="separate"/>
      </w:r>
      <w:r w:rsidR="00126D9D" w:rsidRPr="00126D9D">
        <w:rPr>
          <w:noProof/>
          <w:vertAlign w:val="superscript"/>
        </w:rPr>
        <w:t>5, 30-32</w:t>
      </w:r>
      <w:r>
        <w:fldChar w:fldCharType="end"/>
      </w:r>
      <w:r>
        <w:t xml:space="preserve"> It </w:t>
      </w:r>
      <w:r w:rsidR="00BE0300">
        <w:t xml:space="preserve">contains </w:t>
      </w:r>
      <w:r w:rsidRPr="00DA6218">
        <w:t>five subscales</w:t>
      </w:r>
      <w:r>
        <w:t xml:space="preserve">. </w:t>
      </w:r>
      <w:r w:rsidRPr="00DA6218">
        <w:t>For the purposes of th</w:t>
      </w:r>
      <w:r>
        <w:t xml:space="preserve">e present </w:t>
      </w:r>
      <w:r w:rsidRPr="00DA6218">
        <w:t xml:space="preserve">study, </w:t>
      </w:r>
      <w:r>
        <w:t xml:space="preserve">we </w:t>
      </w:r>
      <w:r w:rsidR="00CD70CF">
        <w:t xml:space="preserve">used the recommended </w:t>
      </w:r>
      <w:r w:rsidR="000777A4">
        <w:t xml:space="preserve">binary variable </w:t>
      </w:r>
      <w:r w:rsidR="00CD70CF">
        <w:t xml:space="preserve">of </w:t>
      </w:r>
      <w:r w:rsidRPr="00DA6218">
        <w:t>emotional</w:t>
      </w:r>
      <w:r>
        <w:t xml:space="preserve"> difficulties scoring </w:t>
      </w:r>
      <w:r w:rsidRPr="00DA6218">
        <w:t xml:space="preserve">in the </w:t>
      </w:r>
      <w:r w:rsidR="004D7BFC">
        <w:t>‘</w:t>
      </w:r>
      <w:r w:rsidRPr="00DA6218">
        <w:t>abnormal</w:t>
      </w:r>
      <w:r w:rsidR="004D7BFC">
        <w:t xml:space="preserve">’ range on </w:t>
      </w:r>
      <w:r w:rsidR="00830841">
        <w:t xml:space="preserve">the Emotional </w:t>
      </w:r>
      <w:r w:rsidR="00E805FB">
        <w:t xml:space="preserve">Symptoms </w:t>
      </w:r>
      <w:r w:rsidR="0064093C">
        <w:t xml:space="preserve">subscale </w:t>
      </w:r>
      <w:r w:rsidR="00260CD9" w:rsidRPr="00DA6218">
        <w:t xml:space="preserve">(see http://www.sdqinfo.org/ for </w:t>
      </w:r>
      <w:r w:rsidR="00CD70CF">
        <w:t xml:space="preserve">recommended </w:t>
      </w:r>
      <w:r w:rsidR="00260CD9" w:rsidRPr="00DA6218">
        <w:t>scoring</w:t>
      </w:r>
      <w:r w:rsidR="00CD70CF">
        <w:t xml:space="preserve"> of binary variables for SDQ subscales</w:t>
      </w:r>
      <w:r w:rsidR="00260CD9" w:rsidRPr="00DA6218">
        <w:t>)</w:t>
      </w:r>
      <w:r w:rsidR="004D7BFC">
        <w:t>.</w:t>
      </w:r>
      <w:r w:rsidR="003B5EEC">
        <w:fldChar w:fldCharType="begin"/>
      </w:r>
      <w:r w:rsidR="003B5EEC">
        <w:instrText xml:space="preserve"> ADDIN EN.CITE &lt;EndNote&gt;&lt;Cite&gt;&lt;Author&gt;Warnick&lt;/Author&gt;&lt;Year&gt;2008&lt;/Year&gt;&lt;RecNum&gt;5973&lt;/RecNum&gt;&lt;DisplayText&gt;&lt;style face="superscript"&gt;33&lt;/style&gt;&lt;/DisplayText&gt;&lt;record&gt;&lt;rec-number&gt;5973&lt;/rec-number&gt;&lt;foreign-keys&gt;&lt;key app="EN" db-id="0tzwrr05aez223ea2r9xt9tgddvasf55dw2p" timestamp="1551089688"&gt;5973&lt;/key&gt;&lt;/foreign-keys&gt;&lt;ref-type name="Journal Article"&gt;17&lt;/ref-type&gt;&lt;contributors&gt;&lt;authors&gt;&lt;author&gt;Warnick, E M&lt;/author&gt;&lt;author&gt;Bracken, M B&lt;/author&gt;&lt;author&gt;Kasl, S&lt;/author&gt;&lt;/authors&gt;&lt;/contributors&gt;&lt;titles&gt;&lt;title&gt;Screening Efficiency of the Child Behavior Checklist and Strengths and Difficulties Questionnaire: A Systematic Review&lt;/title&gt;&lt;secondary-title&gt;Child and Adolescent Mental Health&lt;/secondary-title&gt;&lt;/titles&gt;&lt;periodical&gt;&lt;full-title&gt;Child and Adolescent Mental Health&lt;/full-title&gt;&lt;/periodical&gt;&lt;pages&gt;140-147&lt;/pages&gt;&lt;volume&gt;13&lt;/volume&gt;&lt;dates&gt;&lt;year&gt;2008&lt;/year&gt;&lt;/dates&gt;&lt;urls&gt;&lt;/urls&gt;&lt;/record&gt;&lt;/Cite&gt;&lt;/EndNote&gt;</w:instrText>
      </w:r>
      <w:r w:rsidR="003B5EEC">
        <w:fldChar w:fldCharType="separate"/>
      </w:r>
      <w:r w:rsidR="003B5EEC" w:rsidRPr="003B5EEC">
        <w:rPr>
          <w:noProof/>
          <w:vertAlign w:val="superscript"/>
        </w:rPr>
        <w:t>33</w:t>
      </w:r>
      <w:r w:rsidR="003B5EEC">
        <w:fldChar w:fldCharType="end"/>
      </w:r>
      <w:r w:rsidR="004D7BFC">
        <w:t xml:space="preserve"> </w:t>
      </w:r>
    </w:p>
    <w:p w14:paraId="0A0AEAA0" w14:textId="6346BBC4" w:rsidR="00EA4063" w:rsidRDefault="00EA4063" w:rsidP="00FA27A6">
      <w:pPr>
        <w:pStyle w:val="Heading3"/>
        <w:spacing w:line="480" w:lineRule="auto"/>
      </w:pPr>
      <w:r>
        <w:t>Short-Form Mood and Feelings Questionnaire</w:t>
      </w:r>
      <w:r w:rsidR="00662430">
        <w:t xml:space="preserve"> </w:t>
      </w:r>
      <w:r w:rsidR="00590003">
        <w:t>(</w:t>
      </w:r>
      <w:r w:rsidR="00662430">
        <w:t>S</w:t>
      </w:r>
      <w:r w:rsidR="004D7BFC">
        <w:t>F-MFQ)</w:t>
      </w:r>
    </w:p>
    <w:p w14:paraId="5FD7A2C9" w14:textId="29D864D0" w:rsidR="00EA4063" w:rsidRPr="00B33D16" w:rsidRDefault="004D7BFC" w:rsidP="00FA27A6">
      <w:pPr>
        <w:spacing w:line="480" w:lineRule="auto"/>
      </w:pPr>
      <w:r w:rsidRPr="00B33D16">
        <w:t xml:space="preserve">The SF-MFQ is a </w:t>
      </w:r>
      <w:r w:rsidR="00CA6F9D">
        <w:t>13</w:t>
      </w:r>
      <w:r w:rsidRPr="00B33D16">
        <w:t>-item questionnaire designed to screen for depression in children and adolescents</w:t>
      </w:r>
      <w:r w:rsidR="00B97809">
        <w:t>.</w:t>
      </w:r>
      <w:r w:rsidRPr="00B33D16">
        <w:fldChar w:fldCharType="begin"/>
      </w:r>
      <w:r w:rsidR="003B5EEC">
        <w:instrText xml:space="preserve"> ADDIN EN.CITE &lt;EndNote&gt;&lt;Cite&gt;&lt;Author&gt;Angold&lt;/Author&gt;&lt;Year&gt;1995&lt;/Year&gt;&lt;RecNum&gt;5501&lt;/RecNum&gt;&lt;DisplayText&gt;&lt;style face="superscript"&gt;34&lt;/style&gt;&lt;/DisplayText&gt;&lt;record&gt;&lt;rec-number&gt;5501&lt;/rec-number&gt;&lt;foreign-keys&gt;&lt;key app="EN" db-id="0tzwrr05aez223ea2r9xt9tgddvasf55dw2p" timestamp="1510379495"&gt;5501&lt;/key&gt;&lt;/foreign-keys&gt;&lt;ref-type name="Journal Article"&gt;17&lt;/ref-type&gt;&lt;contributors&gt;&lt;authors&gt;&lt;author&gt;Angold, A&lt;/author&gt;&lt;author&gt;Costello, E J&lt;/author&gt;&lt;author&gt;Messer, S C&lt;/author&gt;&lt;author&gt;Pickles, A&lt;/author&gt;&lt;author&gt;Winder, F&lt;/author&gt;&lt;author&gt;Silver, D&lt;/author&gt;&lt;/authors&gt;&lt;/contributors&gt;&lt;titles&gt;&lt;title&gt;Development of a short questionnaire for use in epidemiological studies of depression in children and adolescents&lt;/title&gt;&lt;secondary-title&gt; International Journal of Methods in Psychiatric Research&lt;/secondary-title&gt;&lt;/titles&gt;&lt;pages&gt;237-249&lt;/pages&gt;&lt;volume&gt;5&lt;/volume&gt;&lt;dates&gt;&lt;year&gt;1995&lt;/year&gt;&lt;/dates&gt;&lt;urls&gt;&lt;/urls&gt;&lt;/record&gt;&lt;/Cite&gt;&lt;/EndNote&gt;</w:instrText>
      </w:r>
      <w:r w:rsidRPr="00B33D16">
        <w:fldChar w:fldCharType="separate"/>
      </w:r>
      <w:r w:rsidR="003B5EEC" w:rsidRPr="003B5EEC">
        <w:rPr>
          <w:noProof/>
          <w:vertAlign w:val="superscript"/>
        </w:rPr>
        <w:t>34</w:t>
      </w:r>
      <w:r w:rsidRPr="00B33D16">
        <w:fldChar w:fldCharType="end"/>
      </w:r>
      <w:r w:rsidR="00B33D16" w:rsidRPr="00B33D16">
        <w:t xml:space="preserve"> </w:t>
      </w:r>
      <w:r w:rsidR="004B5AE3">
        <w:t xml:space="preserve">While two </w:t>
      </w:r>
      <w:r w:rsidR="00CA6F9D">
        <w:t xml:space="preserve">studies have suggested using a cut-off </w:t>
      </w:r>
      <w:r w:rsidR="00DF4BDD">
        <w:t>of eight</w:t>
      </w:r>
      <w:r w:rsidR="00CA6F9D">
        <w:t xml:space="preserve"> or higher </w:t>
      </w:r>
      <w:r w:rsidR="004B5AE3">
        <w:rPr>
          <w:rFonts w:cs="ArialMT"/>
        </w:rPr>
        <w:t>for major depression</w:t>
      </w:r>
      <w:r w:rsidR="00B97809">
        <w:rPr>
          <w:rFonts w:cs="ArialMT"/>
        </w:rPr>
        <w:t>,</w:t>
      </w:r>
      <w:r w:rsidR="00B33D16" w:rsidRPr="00B33D16">
        <w:rPr>
          <w:rFonts w:cs="ArialMT"/>
        </w:rPr>
        <w:fldChar w:fldCharType="begin"/>
      </w:r>
      <w:r w:rsidR="00126D9D">
        <w:rPr>
          <w:rFonts w:cs="ArialMT"/>
        </w:rPr>
        <w:instrText xml:space="preserve"> ADDIN EN.CITE &lt;EndNote&gt;&lt;Cite&gt;&lt;Author&gt;Angold&lt;/Author&gt;&lt;Year&gt;1995&lt;/Year&gt;&lt;RecNum&gt;5501&lt;/RecNum&gt;&lt;DisplayText&gt;&lt;style face="superscript"&gt;34, 35&lt;/style&gt;&lt;/DisplayText&gt;&lt;record&gt;&lt;rec-number&gt;5501&lt;/rec-number&gt;&lt;foreign-keys&gt;&lt;key app="EN" db-id="0tzwrr05aez223ea2r9xt9tgddvasf55dw2p" timestamp="1510379495"&gt;5501&lt;/key&gt;&lt;/foreign-keys&gt;&lt;ref-type name="Journal Article"&gt;17&lt;/ref-type&gt;&lt;contributors&gt;&lt;authors&gt;&lt;author&gt;Angold, A&lt;/author&gt;&lt;author&gt;Costello, E J&lt;/author&gt;&lt;author&gt;Messer, S C&lt;/author&gt;&lt;author&gt;Pickles, A&lt;/author&gt;&lt;author&gt;Winder, F&lt;/author&gt;&lt;author&gt;Silver, D&lt;/author&gt;&lt;/authors&gt;&lt;/contributors&gt;&lt;titles&gt;&lt;title&gt;Development of a short questionnaire for use in epidemiological studies of depression in children and adolescents&lt;/title&gt;&lt;secondary-title&gt; International Journal of Methods in Psychiatric Research&lt;/secondary-title&gt;&lt;/titles&gt;&lt;pages&gt;237-249&lt;/pages&gt;&lt;volume&gt;5&lt;/volume&gt;&lt;dates&gt;&lt;year&gt;1995&lt;/year&gt;&lt;/dates&gt;&lt;urls&gt;&lt;/urls&gt;&lt;/record&gt;&lt;/Cite&gt;&lt;Cite&gt;&lt;Author&gt;Thapar&lt;/Author&gt;&lt;Year&gt;1998&lt;/Year&gt;&lt;RecNum&gt;5503&lt;/RecNum&gt;&lt;record&gt;&lt;rec-number&gt;5503&lt;/rec-number&gt;&lt;foreign-keys&gt;&lt;key app="EN" db-id="0tzwrr05aez223ea2r9xt9tgddvasf55dw2p" timestamp="1510380959"&gt;5503&lt;/key&gt;&lt;/foreign-keys&gt;&lt;ref-type name="Journal Article"&gt;17&lt;/ref-type&gt;&lt;contributors&gt;&lt;authors&gt;&lt;author&gt;Thapar, A&lt;/author&gt;&lt;author&gt;McGuffin, P&lt;/author&gt;&lt;/authors&gt;&lt;/contributors&gt;&lt;titles&gt;&lt;title&gt;Validity of the shortened Mood and Feelings Questionnaire in a community sample of children and adolescents: A preliminary research note&lt;/title&gt;&lt;secondary-title&gt;Psychiatry Research&lt;/secondary-title&gt;&lt;/titles&gt;&lt;periodical&gt;&lt;full-title&gt;Psychiatry Research&lt;/full-title&gt;&lt;/periodical&gt;&lt;pages&gt;259-268&lt;/pages&gt;&lt;volume&gt;81&lt;/volume&gt;&lt;dates&gt;&lt;year&gt;1998&lt;/year&gt;&lt;/dates&gt;&lt;urls&gt;&lt;/urls&gt;&lt;/record&gt;&lt;/Cite&gt;&lt;/EndNote&gt;</w:instrText>
      </w:r>
      <w:r w:rsidR="00B33D16" w:rsidRPr="00B33D16">
        <w:rPr>
          <w:rFonts w:cs="ArialMT"/>
        </w:rPr>
        <w:fldChar w:fldCharType="separate"/>
      </w:r>
      <w:r w:rsidR="00126D9D" w:rsidRPr="00126D9D">
        <w:rPr>
          <w:rFonts w:cs="ArialMT"/>
          <w:noProof/>
          <w:vertAlign w:val="superscript"/>
        </w:rPr>
        <w:t>34, 35</w:t>
      </w:r>
      <w:r w:rsidR="00B33D16" w:rsidRPr="00B33D16">
        <w:rPr>
          <w:rFonts w:cs="ArialMT"/>
        </w:rPr>
        <w:fldChar w:fldCharType="end"/>
      </w:r>
      <w:r w:rsidR="004B5AE3">
        <w:rPr>
          <w:rFonts w:cs="ArialMT"/>
        </w:rPr>
        <w:t xml:space="preserve"> </w:t>
      </w:r>
      <w:r w:rsidR="004B5AE3" w:rsidRPr="00B33D16">
        <w:t>s</w:t>
      </w:r>
      <w:r w:rsidR="004B5AE3" w:rsidRPr="00B33D16">
        <w:rPr>
          <w:rFonts w:cs="ArialMT"/>
        </w:rPr>
        <w:t xml:space="preserve">ensitivity </w:t>
      </w:r>
      <w:r w:rsidR="004B5AE3">
        <w:rPr>
          <w:rFonts w:cs="ArialMT"/>
        </w:rPr>
        <w:t xml:space="preserve">(ranging from </w:t>
      </w:r>
      <w:r w:rsidR="004B5AE3" w:rsidRPr="004C02CA">
        <w:rPr>
          <w:rFonts w:cs="ArialMT"/>
        </w:rPr>
        <w:t xml:space="preserve">60%-75%) and specificity (ranging from 74%-85%) are </w:t>
      </w:r>
      <w:r w:rsidR="004C02CA" w:rsidRPr="004C02CA">
        <w:rPr>
          <w:rFonts w:cs="ArialMT"/>
        </w:rPr>
        <w:t>less than optimal</w:t>
      </w:r>
      <w:r w:rsidR="00B33D16" w:rsidRPr="004C02CA">
        <w:rPr>
          <w:rFonts w:cs="ArialMT"/>
        </w:rPr>
        <w:t xml:space="preserve">. </w:t>
      </w:r>
      <w:r w:rsidR="004B5AE3" w:rsidRPr="004C02CA">
        <w:rPr>
          <w:rFonts w:cs="ArialMT"/>
        </w:rPr>
        <w:t xml:space="preserve">In </w:t>
      </w:r>
      <w:r w:rsidR="004B5AE3" w:rsidRPr="00A41827">
        <w:rPr>
          <w:rFonts w:cs="ArialMT"/>
        </w:rPr>
        <w:t>addition</w:t>
      </w:r>
      <w:r w:rsidR="004C02CA" w:rsidRPr="00A41827">
        <w:rPr>
          <w:rFonts w:cs="ArialMT"/>
        </w:rPr>
        <w:t>,</w:t>
      </w:r>
      <w:r w:rsidR="004B5AE3" w:rsidRPr="00A41827">
        <w:rPr>
          <w:rFonts w:cs="ArialMT"/>
        </w:rPr>
        <w:t xml:space="preserve"> this </w:t>
      </w:r>
      <w:r w:rsidR="000777A4" w:rsidRPr="00A41827">
        <w:rPr>
          <w:rFonts w:cs="ArialMT"/>
        </w:rPr>
        <w:t>cut</w:t>
      </w:r>
      <w:r w:rsidR="000777A4">
        <w:rPr>
          <w:rFonts w:cs="ArialMT"/>
        </w:rPr>
        <w:t>-</w:t>
      </w:r>
      <w:r w:rsidR="004B5AE3" w:rsidRPr="00A41827">
        <w:rPr>
          <w:rFonts w:cs="ArialMT"/>
        </w:rPr>
        <w:t xml:space="preserve">off identifies </w:t>
      </w:r>
      <w:r w:rsidR="004C02CA" w:rsidRPr="00A41827">
        <w:rPr>
          <w:rFonts w:cs="ArialMT"/>
        </w:rPr>
        <w:t>28.5% (95% CI 27.2% to 29.8</w:t>
      </w:r>
      <w:r w:rsidR="004B5AE3" w:rsidRPr="00A41827">
        <w:rPr>
          <w:rFonts w:cs="ArialMT"/>
        </w:rPr>
        <w:t xml:space="preserve">%) </w:t>
      </w:r>
      <w:r w:rsidR="00305E82">
        <w:rPr>
          <w:rFonts w:cs="ArialMT"/>
        </w:rPr>
        <w:t xml:space="preserve">of </w:t>
      </w:r>
      <w:r w:rsidR="004B5AE3" w:rsidRPr="00A41827">
        <w:rPr>
          <w:rFonts w:cs="ArialMT"/>
        </w:rPr>
        <w:t xml:space="preserve">children at risk of major depression compared to an estimated population prevalence among </w:t>
      </w:r>
      <w:r w:rsidR="00A41827" w:rsidRPr="00A41827">
        <w:rPr>
          <w:rFonts w:cs="ArialMT"/>
        </w:rPr>
        <w:t xml:space="preserve">11-16 </w:t>
      </w:r>
      <w:r w:rsidR="004C02CA" w:rsidRPr="00A41827">
        <w:rPr>
          <w:rFonts w:cs="ArialMT"/>
        </w:rPr>
        <w:t xml:space="preserve">year old </w:t>
      </w:r>
      <w:r w:rsidR="004B5AE3" w:rsidRPr="00A41827">
        <w:rPr>
          <w:rFonts w:cs="ArialMT"/>
        </w:rPr>
        <w:t xml:space="preserve">children in the UK of </w:t>
      </w:r>
      <w:r w:rsidR="00A41827" w:rsidRPr="00A41827">
        <w:rPr>
          <w:rFonts w:cs="ArialMT"/>
        </w:rPr>
        <w:t>1.4</w:t>
      </w:r>
      <w:r w:rsidR="004B5AE3" w:rsidRPr="00A41827">
        <w:rPr>
          <w:rFonts w:cs="ArialMT"/>
        </w:rPr>
        <w:t>%</w:t>
      </w:r>
      <w:r w:rsidR="00B97809">
        <w:rPr>
          <w:rFonts w:cs="ArialMT"/>
        </w:rPr>
        <w:t>.</w:t>
      </w:r>
      <w:r w:rsidR="00A41827">
        <w:rPr>
          <w:rFonts w:cs="ArialMT"/>
        </w:rPr>
        <w:fldChar w:fldCharType="begin"/>
      </w:r>
      <w:r w:rsidR="00B97809">
        <w:rPr>
          <w:rFonts w:cs="ArialMT"/>
        </w:rPr>
        <w:instrText xml:space="preserve"> ADDIN EN.CITE &lt;EndNote&gt;&lt;Cite&gt;&lt;Author&gt;Green&lt;/Author&gt;&lt;Year&gt;2005&lt;/Year&gt;&lt;RecNum&gt;364&lt;/RecNum&gt;&lt;DisplayText&gt;&lt;style face="superscript"&gt;5&lt;/style&gt;&lt;/DisplayText&gt;&lt;record&gt;&lt;rec-number&gt;364&lt;/rec-number&gt;&lt;foreign-keys&gt;&lt;key app="EN" db-id="0tzwrr05aez223ea2r9xt9tgddvasf55dw2p" timestamp="0"&gt;364&lt;/key&gt;&lt;/foreign-keys&gt;&lt;ref-type name="Book"&gt;6&lt;/ref-type&gt;&lt;contributors&gt;&lt;authors&gt;&lt;author&gt;Green, H&lt;/author&gt;&lt;author&gt;McGinnity, A&lt;/author&gt;&lt;author&gt;Meltzer, H&lt;/author&gt;&lt;author&gt;Ford, T&lt;/author&gt;&lt;author&gt;Goodman, R&lt;/author&gt;&lt;/authors&gt;&lt;/contributors&gt;&lt;titles&gt;&lt;title&gt;Mental Health of Children and Young People in Britain, 2004&lt;/title&gt;&lt;/titles&gt;&lt;dates&gt;&lt;year&gt;2005&lt;/year&gt;&lt;/dates&gt;&lt;pub-location&gt;Basingstoke&lt;/pub-location&gt;&lt;publisher&gt;Palgrave MacMillan&lt;/publisher&gt;&lt;urls&gt;&lt;/urls&gt;&lt;/record&gt;&lt;/Cite&gt;&lt;/EndNote&gt;</w:instrText>
      </w:r>
      <w:r w:rsidR="00A41827">
        <w:rPr>
          <w:rFonts w:cs="ArialMT"/>
        </w:rPr>
        <w:fldChar w:fldCharType="separate"/>
      </w:r>
      <w:r w:rsidR="00B97809" w:rsidRPr="00B97809">
        <w:rPr>
          <w:rFonts w:cs="ArialMT"/>
          <w:noProof/>
          <w:vertAlign w:val="superscript"/>
        </w:rPr>
        <w:t>5</w:t>
      </w:r>
      <w:r w:rsidR="00A41827">
        <w:rPr>
          <w:rFonts w:cs="ArialMT"/>
        </w:rPr>
        <w:fldChar w:fldCharType="end"/>
      </w:r>
      <w:r w:rsidR="004B5AE3">
        <w:rPr>
          <w:rFonts w:cs="ArialMT"/>
        </w:rPr>
        <w:t xml:space="preserve">  </w:t>
      </w:r>
      <w:r w:rsidR="00DF4BDD">
        <w:rPr>
          <w:rFonts w:cs="ArialMT"/>
        </w:rPr>
        <w:t xml:space="preserve">Given this, </w:t>
      </w:r>
      <w:r w:rsidR="007F0924">
        <w:rPr>
          <w:rFonts w:cs="ArialMT"/>
        </w:rPr>
        <w:t>to maintain consistency with</w:t>
      </w:r>
      <w:r w:rsidR="00662430">
        <w:rPr>
          <w:rFonts w:cs="ArialMT"/>
        </w:rPr>
        <w:t xml:space="preserve"> SDQ-based estimates </w:t>
      </w:r>
      <w:r w:rsidR="004B5AE3">
        <w:rPr>
          <w:rFonts w:cs="ArialMT"/>
        </w:rPr>
        <w:t xml:space="preserve">we </w:t>
      </w:r>
      <w:r w:rsidR="004B5AE3" w:rsidRPr="008144E2">
        <w:t>created a binary variable based on scoring in the top 10% of the weighted population</w:t>
      </w:r>
      <w:r w:rsidR="000777A4">
        <w:t xml:space="preserve"> distribution</w:t>
      </w:r>
      <w:r w:rsidR="004B5AE3">
        <w:t xml:space="preserve">. </w:t>
      </w:r>
      <w:r w:rsidR="007F0924" w:rsidRPr="007F0924">
        <w:t xml:space="preserve"> </w:t>
      </w:r>
    </w:p>
    <w:p w14:paraId="6E8CEEBB" w14:textId="2B9E2918" w:rsidR="00EA4063" w:rsidRDefault="004120F7" w:rsidP="00FA27A6">
      <w:pPr>
        <w:pStyle w:val="Heading3"/>
        <w:spacing w:line="480" w:lineRule="auto"/>
      </w:pPr>
      <w:r>
        <w:t>Self-h</w:t>
      </w:r>
      <w:r w:rsidR="00EA4063">
        <w:t>arm</w:t>
      </w:r>
    </w:p>
    <w:p w14:paraId="2FAF637C" w14:textId="39A90244" w:rsidR="00EA4063" w:rsidRPr="004120F7" w:rsidRDefault="004120F7" w:rsidP="00FA27A6">
      <w:pPr>
        <w:spacing w:line="480" w:lineRule="auto"/>
      </w:pPr>
      <w:r>
        <w:t xml:space="preserve">Adolescents </w:t>
      </w:r>
      <w:r w:rsidR="00B70954">
        <w:t xml:space="preserve">at age 14 </w:t>
      </w:r>
      <w:r>
        <w:t>were asked to respond to the following computer presented question: ‘</w:t>
      </w:r>
      <w:r w:rsidRPr="004120F7">
        <w:rPr>
          <w:i/>
        </w:rPr>
        <w:t>In the past year have you hurt yourself on purpose in any way?</w:t>
      </w:r>
      <w:r>
        <w:t>’ (Response options: y</w:t>
      </w:r>
      <w:r w:rsidRPr="004120F7">
        <w:t>es</w:t>
      </w:r>
      <w:r>
        <w:t>/n</w:t>
      </w:r>
      <w:r w:rsidRPr="004120F7">
        <w:t>o</w:t>
      </w:r>
      <w:r>
        <w:t>).</w:t>
      </w:r>
      <w:r w:rsidR="007F0924">
        <w:t xml:space="preserve"> </w:t>
      </w:r>
    </w:p>
    <w:p w14:paraId="76886715" w14:textId="6D9B3DDB" w:rsidR="004120F7" w:rsidRDefault="004120F7" w:rsidP="00FA27A6">
      <w:pPr>
        <w:pStyle w:val="Heading2"/>
        <w:spacing w:line="480" w:lineRule="auto"/>
      </w:pPr>
      <w:r>
        <w:lastRenderedPageBreak/>
        <w:t>Covariates</w:t>
      </w:r>
    </w:p>
    <w:p w14:paraId="69E78511" w14:textId="77A0E6FA" w:rsidR="004120F7" w:rsidRDefault="004120F7" w:rsidP="00FA27A6">
      <w:pPr>
        <w:pStyle w:val="Heading3"/>
        <w:spacing w:line="480" w:lineRule="auto"/>
      </w:pPr>
      <w:r>
        <w:t xml:space="preserve">Adolescent </w:t>
      </w:r>
      <w:r w:rsidR="00B2419C">
        <w:t xml:space="preserve">gender </w:t>
      </w:r>
    </w:p>
    <w:p w14:paraId="71E8C181" w14:textId="6D114CDE" w:rsidR="004120F7" w:rsidRDefault="004D7BFC" w:rsidP="00FA27A6">
      <w:pPr>
        <w:spacing w:line="480" w:lineRule="auto"/>
      </w:pPr>
      <w:r>
        <w:t xml:space="preserve">Adolescent </w:t>
      </w:r>
      <w:r w:rsidR="00B2419C">
        <w:t>gender</w:t>
      </w:r>
      <w:r>
        <w:t xml:space="preserve"> was measured by maternal report.</w:t>
      </w:r>
    </w:p>
    <w:p w14:paraId="09545406" w14:textId="72C9FEBA" w:rsidR="00717D88" w:rsidRDefault="00717D88" w:rsidP="00FA27A6">
      <w:pPr>
        <w:pStyle w:val="Heading3"/>
        <w:spacing w:line="480" w:lineRule="auto"/>
      </w:pPr>
      <w:r>
        <w:t>Adolescent ethnicity</w:t>
      </w:r>
    </w:p>
    <w:p w14:paraId="03281BDC" w14:textId="77777777" w:rsidR="00717D88" w:rsidRPr="004120F7" w:rsidRDefault="00DB04D9" w:rsidP="00FA27A6">
      <w:pPr>
        <w:spacing w:line="480" w:lineRule="auto"/>
      </w:pPr>
      <w:r>
        <w:t>Due to the relatively small numbers of adolescents with disabilities in specific minority ethnic groups, adolescent self-reported ethnicity was recoded into a single binary variable white/other.</w:t>
      </w:r>
      <w:r w:rsidR="00717D88">
        <w:t xml:space="preserve"> </w:t>
      </w:r>
    </w:p>
    <w:p w14:paraId="34C18ACF" w14:textId="4A3E13CA" w:rsidR="00717D88" w:rsidRDefault="00717D88" w:rsidP="00FA27A6">
      <w:pPr>
        <w:pStyle w:val="Heading3"/>
        <w:spacing w:line="480" w:lineRule="auto"/>
      </w:pPr>
      <w:r>
        <w:t>Family composition</w:t>
      </w:r>
    </w:p>
    <w:p w14:paraId="7FF6F067" w14:textId="53BA5192" w:rsidR="00717D88" w:rsidRPr="00717D88" w:rsidRDefault="00DB04D9" w:rsidP="00FA27A6">
      <w:pPr>
        <w:spacing w:line="480" w:lineRule="auto"/>
      </w:pPr>
      <w:r>
        <w:t xml:space="preserve">Family composition </w:t>
      </w:r>
      <w:r w:rsidR="007F0924">
        <w:t xml:space="preserve">at age 14 </w:t>
      </w:r>
      <w:r>
        <w:t>was coded as a binary variable (one parent household/two parent household).</w:t>
      </w:r>
    </w:p>
    <w:p w14:paraId="3F71A205" w14:textId="4A8A0DB7" w:rsidR="00F54106" w:rsidRDefault="004120F7" w:rsidP="00FA27A6">
      <w:pPr>
        <w:pStyle w:val="Heading3"/>
        <w:spacing w:line="480" w:lineRule="auto"/>
      </w:pPr>
      <w:r w:rsidRPr="001D77F4">
        <w:t>Family s</w:t>
      </w:r>
      <w:r w:rsidR="00F54106" w:rsidRPr="001D77F4">
        <w:t>ocio-economic position</w:t>
      </w:r>
    </w:p>
    <w:p w14:paraId="05616460" w14:textId="4C0678C8" w:rsidR="00717D88" w:rsidRDefault="00CA6F9D" w:rsidP="00FA27A6">
      <w:pPr>
        <w:autoSpaceDE w:val="0"/>
        <w:autoSpaceDN w:val="0"/>
        <w:adjustRightInd w:val="0"/>
        <w:spacing w:after="0" w:line="480" w:lineRule="auto"/>
      </w:pPr>
      <w:r>
        <w:t>Wave 6 of t</w:t>
      </w:r>
      <w:r w:rsidR="00F54106">
        <w:t xml:space="preserve">he MCS includes a range of indicators </w:t>
      </w:r>
      <w:r w:rsidR="00FF23EC">
        <w:t xml:space="preserve">of </w:t>
      </w:r>
      <w:r w:rsidR="00F54106">
        <w:t xml:space="preserve">socio-economic position. </w:t>
      </w:r>
      <w:r w:rsidR="006210F3">
        <w:t xml:space="preserve">We included three </w:t>
      </w:r>
      <w:r w:rsidR="00F54106">
        <w:t xml:space="preserve">indicators of household/family socio-economic position: (1) </w:t>
      </w:r>
      <w:r w:rsidR="00F54106" w:rsidRPr="00F421F6">
        <w:rPr>
          <w:i/>
        </w:rPr>
        <w:t>income poverty</w:t>
      </w:r>
      <w:r w:rsidR="00DF4BDD">
        <w:rPr>
          <w:i/>
        </w:rPr>
        <w:t>,</w:t>
      </w:r>
      <w:r w:rsidR="00F54106">
        <w:t xml:space="preserve"> defined as living in a household whose equivalised income was 60% less than the sample median</w:t>
      </w:r>
      <w:r w:rsidR="00B97809">
        <w:t>;</w:t>
      </w:r>
      <w:r w:rsidR="007F0924">
        <w:fldChar w:fldCharType="begin"/>
      </w:r>
      <w:r w:rsidR="003B5EEC">
        <w:instrText xml:space="preserve"> ADDIN EN.CITE &lt;EndNote&gt;&lt;Cite&gt;&lt;Author&gt;Department for Work and Pensions&lt;/Author&gt;&lt;Year&gt;2003&lt;/Year&gt;&lt;RecNum&gt;103&lt;/RecNum&gt;&lt;DisplayText&gt;&lt;style face="superscript"&gt;36&lt;/style&gt;&lt;/DisplayText&gt;&lt;record&gt;&lt;rec-number&gt;103&lt;/rec-number&gt;&lt;foreign-keys&gt;&lt;key app="EN" db-id="0tzwrr05aez223ea2r9xt9tgddvasf55dw2p" timestamp="0"&gt;103&lt;/key&gt;&lt;/foreign-keys&gt;&lt;ref-type name="Report"&gt;27&lt;/ref-type&gt;&lt;contributors&gt;&lt;authors&gt;&lt;author&gt;Department for Work and Pensions,&lt;/author&gt;&lt;/authors&gt;&lt;/contributors&gt;&lt;titles&gt;&lt;title&gt;Measuring child poverty&lt;/title&gt;&lt;/titles&gt;&lt;dates&gt;&lt;year&gt;2003&lt;/year&gt;&lt;/dates&gt;&lt;pub-location&gt;London&lt;/pub-location&gt;&lt;publisher&gt;Department of Work and Pensions&lt;/publisher&gt;&lt;urls&gt;&lt;/urls&gt;&lt;/record&gt;&lt;/Cite&gt;&lt;/EndNote&gt;</w:instrText>
      </w:r>
      <w:r w:rsidR="007F0924">
        <w:fldChar w:fldCharType="separate"/>
      </w:r>
      <w:r w:rsidR="003B5EEC" w:rsidRPr="003B5EEC">
        <w:rPr>
          <w:noProof/>
          <w:vertAlign w:val="superscript"/>
        </w:rPr>
        <w:t>36</w:t>
      </w:r>
      <w:r w:rsidR="007F0924">
        <w:fldChar w:fldCharType="end"/>
      </w:r>
      <w:r w:rsidR="00F54106">
        <w:t xml:space="preserve">  (2) experiencing </w:t>
      </w:r>
      <w:r w:rsidR="00F54106" w:rsidRPr="00F421F6">
        <w:rPr>
          <w:i/>
        </w:rPr>
        <w:t>material hardship</w:t>
      </w:r>
      <w:r w:rsidR="00DF4BDD">
        <w:rPr>
          <w:i/>
        </w:rPr>
        <w:t>,</w:t>
      </w:r>
      <w:r w:rsidR="00F54106">
        <w:t xml:space="preserve"> defined as </w:t>
      </w:r>
      <w:r w:rsidR="00F54106" w:rsidRPr="00A8496A">
        <w:t>not being</w:t>
      </w:r>
      <w:r w:rsidR="00F54106">
        <w:t xml:space="preserve"> a</w:t>
      </w:r>
      <w:r w:rsidR="00F54106" w:rsidRPr="001E3E22">
        <w:t xml:space="preserve">ble to afford two or more of a list of </w:t>
      </w:r>
      <w:r w:rsidRPr="001E3E22">
        <w:t>five</w:t>
      </w:r>
      <w:r w:rsidR="00F54106" w:rsidRPr="001E3E22">
        <w:t xml:space="preserve"> goods/activities that have been identified as basic necessities for UK families (e.g., </w:t>
      </w:r>
      <w:r w:rsidR="001E3E22" w:rsidRPr="001E3E22">
        <w:rPr>
          <w:rFonts w:cs="Arial"/>
        </w:rPr>
        <w:t>having celebrations on special occasions such as birthdays, Christmas or other religious f</w:t>
      </w:r>
      <w:r w:rsidR="001E3E22">
        <w:rPr>
          <w:rFonts w:cs="Arial"/>
        </w:rPr>
        <w:t>estivals</w:t>
      </w:r>
      <w:r w:rsidR="00F54106" w:rsidRPr="001E3E22">
        <w:t>)</w:t>
      </w:r>
      <w:r w:rsidR="00B97809">
        <w:t>;</w:t>
      </w:r>
      <w:r w:rsidR="00F54106" w:rsidRPr="001E3E22">
        <w:fldChar w:fldCharType="begin"/>
      </w:r>
      <w:r w:rsidR="003B5EEC">
        <w:instrText xml:space="preserve"> ADDIN EN.CITE &lt;EndNote&gt;&lt;Cite&gt;&lt;Author&gt;Pantazis&lt;/Author&gt;&lt;Year&gt;2006&lt;/Year&gt;&lt;RecNum&gt;721&lt;/RecNum&gt;&lt;DisplayText&gt;&lt;style face="superscript"&gt;37&lt;/style&gt;&lt;/DisplayText&gt;&lt;record&gt;&lt;rec-number&gt;721&lt;/rec-number&gt;&lt;foreign-keys&gt;&lt;key app="EN" db-id="0tzwrr05aez223ea2r9xt9tgddvasf55dw2p" timestamp="0"&gt;721&lt;/key&gt;&lt;/foreign-keys&gt;&lt;ref-type name="Edited Book"&gt;28&lt;/ref-type&gt;&lt;contributors&gt;&lt;authors&gt;&lt;author&gt;Pantazis, C&lt;/author&gt;&lt;author&gt;Gordon, D&lt;/author&gt;&lt;author&gt;Levitas, R&lt;/author&gt;&lt;/authors&gt;&lt;/contributors&gt;&lt;titles&gt;&lt;title&gt;Poverty and Social Exclusion in Britain: The Millennium Survey&lt;/title&gt;&lt;/titles&gt;&lt;dates&gt;&lt;year&gt;2006&lt;/year&gt;&lt;/dates&gt;&lt;pub-location&gt;Bristol&lt;/pub-location&gt;&lt;publisher&gt;Policy Press&lt;/publisher&gt;&lt;urls&gt;&lt;/urls&gt;&lt;/record&gt;&lt;/Cite&gt;&lt;/EndNote&gt;</w:instrText>
      </w:r>
      <w:r w:rsidR="00F54106" w:rsidRPr="001E3E22">
        <w:fldChar w:fldCharType="separate"/>
      </w:r>
      <w:r w:rsidR="003B5EEC" w:rsidRPr="003B5EEC">
        <w:rPr>
          <w:noProof/>
          <w:vertAlign w:val="superscript"/>
        </w:rPr>
        <w:t>37</w:t>
      </w:r>
      <w:r w:rsidR="00F54106" w:rsidRPr="001E3E22">
        <w:fldChar w:fldCharType="end"/>
      </w:r>
      <w:r w:rsidR="00F54106" w:rsidRPr="001E3E22">
        <w:t xml:space="preserve"> </w:t>
      </w:r>
      <w:r w:rsidR="006210F3">
        <w:t>(3</w:t>
      </w:r>
      <w:r w:rsidR="00F54106" w:rsidRPr="003545CB">
        <w:t xml:space="preserve">) </w:t>
      </w:r>
      <w:r w:rsidR="00F54106" w:rsidRPr="003545CB">
        <w:rPr>
          <w:i/>
        </w:rPr>
        <w:t>low maternal educational</w:t>
      </w:r>
      <w:r w:rsidR="00F54106" w:rsidRPr="003545CB">
        <w:t xml:space="preserve"> </w:t>
      </w:r>
      <w:r w:rsidR="00F54106" w:rsidRPr="003545CB">
        <w:rPr>
          <w:i/>
        </w:rPr>
        <w:t>attainment</w:t>
      </w:r>
      <w:r w:rsidR="00DF4BDD" w:rsidRPr="003545CB">
        <w:t>,</w:t>
      </w:r>
      <w:r w:rsidR="00F54106" w:rsidRPr="003545CB">
        <w:t xml:space="preserve"> defined as having a highest educational</w:t>
      </w:r>
      <w:r w:rsidR="00DF4BDD" w:rsidRPr="003545CB">
        <w:t xml:space="preserve">/vocational </w:t>
      </w:r>
      <w:r w:rsidR="00F54106" w:rsidRPr="003545CB">
        <w:t xml:space="preserve">qualification </w:t>
      </w:r>
      <w:r w:rsidR="003545CB" w:rsidRPr="003545CB">
        <w:t xml:space="preserve">equivalent to </w:t>
      </w:r>
      <w:r w:rsidR="00DF4BDD" w:rsidRPr="003545CB">
        <w:t xml:space="preserve">National Vocational Qualification (NVQ) Level </w:t>
      </w:r>
      <w:r w:rsidR="003545CB" w:rsidRPr="003545CB">
        <w:t>One (</w:t>
      </w:r>
      <w:r w:rsidR="003545CB">
        <w:t xml:space="preserve">acquisition of </w:t>
      </w:r>
      <w:r w:rsidR="003545CB" w:rsidRPr="003545CB">
        <w:rPr>
          <w:rFonts w:eastAsia="Times New Roman" w:cs="Arial"/>
          <w:lang w:eastAsia="en-AU"/>
        </w:rPr>
        <w:t xml:space="preserve">basic knowledge and skills </w:t>
      </w:r>
      <w:r w:rsidR="003545CB">
        <w:rPr>
          <w:rFonts w:eastAsia="Times New Roman" w:cs="Arial"/>
          <w:lang w:eastAsia="en-AU"/>
        </w:rPr>
        <w:t xml:space="preserve">plus </w:t>
      </w:r>
      <w:r w:rsidR="003545CB" w:rsidRPr="003545CB">
        <w:rPr>
          <w:lang w:eastAsia="en-AU"/>
        </w:rPr>
        <w:t>ability to apply learning with guidance or supervision</w:t>
      </w:r>
      <w:r w:rsidR="003545CB">
        <w:rPr>
          <w:lang w:eastAsia="en-AU"/>
        </w:rPr>
        <w:t>)</w:t>
      </w:r>
      <w:r w:rsidR="00F54106" w:rsidRPr="003545CB">
        <w:t>.</w:t>
      </w:r>
    </w:p>
    <w:p w14:paraId="7B40B393" w14:textId="33AF2851" w:rsidR="00F54106" w:rsidRDefault="00F54106" w:rsidP="00FA27A6">
      <w:pPr>
        <w:pStyle w:val="Heading2"/>
        <w:spacing w:line="480" w:lineRule="auto"/>
      </w:pPr>
      <w:r w:rsidRPr="007A4D33">
        <w:t>Approach to Analysis</w:t>
      </w:r>
    </w:p>
    <w:p w14:paraId="1D9B646C" w14:textId="5A0FC096" w:rsidR="004A062D" w:rsidRDefault="00865B57" w:rsidP="00FA27A6">
      <w:pPr>
        <w:spacing w:line="480" w:lineRule="auto"/>
      </w:pPr>
      <w:r>
        <w:t>In the first stage of analysi</w:t>
      </w:r>
      <w:r w:rsidR="004A062D">
        <w:t>s we examined the bivariate associations between the covariates and: (1) disability status</w:t>
      </w:r>
      <w:r>
        <w:t xml:space="preserve">; </w:t>
      </w:r>
      <w:r w:rsidR="004A062D">
        <w:t xml:space="preserve">(2) outcome measures. </w:t>
      </w:r>
      <w:r>
        <w:t xml:space="preserve">Prevalence estimates with 95% confidence intervals were </w:t>
      </w:r>
      <w:r>
        <w:lastRenderedPageBreak/>
        <w:t xml:space="preserve">estimated. In the second stage of analysis we </w:t>
      </w:r>
      <w:r w:rsidR="00D42981">
        <w:t xml:space="preserve">used </w:t>
      </w:r>
      <w:r w:rsidR="0082134E">
        <w:t>bivariate correlations (r) to examine</w:t>
      </w:r>
      <w:r>
        <w:t xml:space="preserve"> the strength of association between the three outcome measures. </w:t>
      </w:r>
    </w:p>
    <w:p w14:paraId="0EE71EC8" w14:textId="39118A2F" w:rsidR="004A062D" w:rsidRDefault="0082134E" w:rsidP="00FA27A6">
      <w:pPr>
        <w:spacing w:line="480" w:lineRule="auto"/>
      </w:pPr>
      <w:r>
        <w:t xml:space="preserve">In the third stage of analysis we examined the association between disability status and the three outcomes separately for boys and girls. </w:t>
      </w:r>
      <w:r w:rsidR="008E5590">
        <w:t>For each outcome we report prevalence estimates for participants without disability and for three</w:t>
      </w:r>
      <w:r w:rsidR="00294961">
        <w:t xml:space="preserve"> different classifications of disability</w:t>
      </w:r>
      <w:r w:rsidR="008E5590">
        <w:t xml:space="preserve"> (those with </w:t>
      </w:r>
      <w:r w:rsidR="00325BE3">
        <w:rPr>
          <w:color w:val="000000"/>
        </w:rPr>
        <w:t xml:space="preserve">mild activity </w:t>
      </w:r>
      <w:r w:rsidR="0036521B">
        <w:rPr>
          <w:color w:val="000000"/>
        </w:rPr>
        <w:t>limitations</w:t>
      </w:r>
      <w:r w:rsidR="008E5590">
        <w:rPr>
          <w:color w:val="000000"/>
        </w:rPr>
        <w:t xml:space="preserve">, those with </w:t>
      </w:r>
      <w:r w:rsidR="00325BE3">
        <w:rPr>
          <w:color w:val="000000"/>
        </w:rPr>
        <w:t>moderate/</w:t>
      </w:r>
      <w:bookmarkStart w:id="3" w:name="_GoBack"/>
      <w:r w:rsidR="00325BE3">
        <w:rPr>
          <w:color w:val="000000"/>
        </w:rPr>
        <w:t>severe</w:t>
      </w:r>
      <w:bookmarkEnd w:id="3"/>
      <w:r w:rsidR="00325BE3">
        <w:rPr>
          <w:color w:val="000000"/>
        </w:rPr>
        <w:t xml:space="preserve"> </w:t>
      </w:r>
      <w:r w:rsidR="008E5590">
        <w:rPr>
          <w:color w:val="000000"/>
        </w:rPr>
        <w:t xml:space="preserve">activity </w:t>
      </w:r>
      <w:r w:rsidR="0036521B">
        <w:rPr>
          <w:color w:val="000000"/>
        </w:rPr>
        <w:t>limitations</w:t>
      </w:r>
      <w:r w:rsidR="008E5590">
        <w:rPr>
          <w:color w:val="000000"/>
        </w:rPr>
        <w:t xml:space="preserve"> and those with </w:t>
      </w:r>
      <w:r w:rsidR="00294961">
        <w:rPr>
          <w:color w:val="000000"/>
        </w:rPr>
        <w:t>any disability (</w:t>
      </w:r>
      <w:r w:rsidR="00325BE3">
        <w:rPr>
          <w:color w:val="000000"/>
        </w:rPr>
        <w:t xml:space="preserve">mild or </w:t>
      </w:r>
      <w:r w:rsidR="00325BE3">
        <w:t>moderate/severe activity limitations</w:t>
      </w:r>
      <w:r w:rsidR="008E5590">
        <w:rPr>
          <w:color w:val="000000"/>
        </w:rPr>
        <w:t xml:space="preserve">). We also report unadjusted and adjusted PRR (with non-disabled participants as the reference group).  </w:t>
      </w:r>
      <w:r w:rsidR="008E5590">
        <w:t>We used Poisson regression with robust standard errors to estimate prevalence rate ratios adjusted for adolescent ethnicity, household composition, income poverty, material deprivation</w:t>
      </w:r>
      <w:r w:rsidR="007758AC">
        <w:t xml:space="preserve"> and </w:t>
      </w:r>
      <w:r w:rsidR="008E5590">
        <w:t>maternal education)</w:t>
      </w:r>
      <w:r w:rsidR="00B97809">
        <w:t>.</w:t>
      </w:r>
      <w:r w:rsidR="008E5590">
        <w:fldChar w:fldCharType="begin"/>
      </w:r>
      <w:r w:rsidR="00AB698C">
        <w:instrText xml:space="preserve"> ADDIN EN.CITE &lt;EndNote&gt;&lt;Cite&gt;&lt;Author&gt;Knol&lt;/Author&gt;&lt;Year&gt;2012&lt;/Year&gt;&lt;RecNum&gt;5314&lt;/RecNum&gt;&lt;DisplayText&gt;&lt;style face="superscript"&gt;38&lt;/style&gt;&lt;/DisplayText&gt;&lt;record&gt;&lt;rec-number&gt;5314&lt;/rec-number&gt;&lt;foreign-keys&gt;&lt;key app="EN" db-id="0tzwrr05aez223ea2r9xt9tgddvasf55dw2p" timestamp="1455074572"&gt;5314&lt;/key&gt;&lt;/foreign-keys&gt;&lt;ref-type name="Journal Article"&gt;17&lt;/ref-type&gt;&lt;contributors&gt;&lt;authors&gt;&lt;author&gt;Knol, M J&lt;/author&gt;&lt;author&gt;Le Cessie, S&lt;/author&gt;&lt;author&gt;Algra, A &lt;/author&gt;&lt;author&gt;Vandenbroucke, J P&lt;/author&gt;&lt;author&gt;Groenwold, R H H &lt;/author&gt;&lt;/authors&gt;&lt;/contributors&gt;&lt;titles&gt;&lt;title&gt;Overestimation of risk ratios by odds ratios in trials and cohort studies: alternatives for logistic regression&lt;/title&gt;&lt;secondary-title&gt;Canadian Medical Association Journal&lt;/secondary-title&gt;&lt;/titles&gt;&lt;periodical&gt;&lt;full-title&gt;Canadian Medical Association Journal&lt;/full-title&gt;&lt;/periodical&gt;&lt;pages&gt;895-899. DOI:10.1503/cmaj.101715&lt;/pages&gt;&lt;volume&gt;184&lt;/volume&gt;&lt;dates&gt;&lt;year&gt;2012&lt;/year&gt;&lt;/dates&gt;&lt;urls&gt;&lt;/urls&gt;&lt;/record&gt;&lt;/Cite&gt;&lt;/EndNote&gt;</w:instrText>
      </w:r>
      <w:r w:rsidR="008E5590">
        <w:fldChar w:fldCharType="separate"/>
      </w:r>
      <w:r w:rsidR="00AB698C" w:rsidRPr="00AB698C">
        <w:rPr>
          <w:noProof/>
          <w:vertAlign w:val="superscript"/>
        </w:rPr>
        <w:t>38</w:t>
      </w:r>
      <w:r w:rsidR="008E5590">
        <w:fldChar w:fldCharType="end"/>
      </w:r>
      <w:r w:rsidR="008E5590">
        <w:t xml:space="preserve"> </w:t>
      </w:r>
      <w:r w:rsidR="00260CD9">
        <w:t>T</w:t>
      </w:r>
      <w:r w:rsidR="00D93722">
        <w:t xml:space="preserve">o further explore disability and gender differences in prevalence we used Poisson regression to estimate the association between disability, gender and a two-way disability*gender interaction and each outcome. </w:t>
      </w:r>
    </w:p>
    <w:p w14:paraId="25523C5B" w14:textId="61AA7F45" w:rsidR="007F2845" w:rsidRDefault="007F2845" w:rsidP="00FA27A6">
      <w:pPr>
        <w:spacing w:line="480" w:lineRule="auto"/>
      </w:pPr>
      <w:r>
        <w:t>In the final stage of analysis</w:t>
      </w:r>
      <w:r w:rsidR="008460EF">
        <w:t>,</w:t>
      </w:r>
      <w:r>
        <w:t xml:space="preserve"> we examined whether the prevalence of emotional difficulties and self-harm among adolescents with a disability varied by type of functional limitation associated with disability. </w:t>
      </w:r>
      <w:r w:rsidR="007D02D3">
        <w:t>D</w:t>
      </w:r>
      <w:r w:rsidR="007C1366">
        <w:t xml:space="preserve">ue to small sample sizes for some specific impairments </w:t>
      </w:r>
      <w:r>
        <w:t xml:space="preserve">we created three groups of functional limitations from the available data: </w:t>
      </w:r>
    </w:p>
    <w:p w14:paraId="5EE22455" w14:textId="73FDF38B" w:rsidR="007F2845" w:rsidRDefault="007F2845" w:rsidP="00FA27A6">
      <w:pPr>
        <w:pStyle w:val="ListParagraph"/>
        <w:numPr>
          <w:ilvl w:val="0"/>
          <w:numId w:val="9"/>
        </w:numPr>
        <w:spacing w:line="480" w:lineRule="auto"/>
      </w:pPr>
      <w:r>
        <w:t xml:space="preserve">psychosocial limitations (defined as disability with impairments in one or more of the following areas – ‘learning’, ‘memory’, ‘social/behavioural’); </w:t>
      </w:r>
    </w:p>
    <w:p w14:paraId="2498B057" w14:textId="77777777" w:rsidR="007F2845" w:rsidRDefault="007F2845" w:rsidP="00FA27A6">
      <w:pPr>
        <w:pStyle w:val="ListParagraph"/>
        <w:numPr>
          <w:ilvl w:val="0"/>
          <w:numId w:val="9"/>
        </w:numPr>
        <w:spacing w:line="480" w:lineRule="auto"/>
      </w:pPr>
      <w:r>
        <w:t xml:space="preserve">motor limitations (defined as disability with impairments in one or more of the following areas – ‘mobility’, ‘dexterity’, ‘stamina’); </w:t>
      </w:r>
    </w:p>
    <w:p w14:paraId="10B1BCD2" w14:textId="77777777" w:rsidR="007F2845" w:rsidRDefault="007F2845" w:rsidP="00FA27A6">
      <w:pPr>
        <w:pStyle w:val="ListParagraph"/>
        <w:numPr>
          <w:ilvl w:val="0"/>
          <w:numId w:val="9"/>
        </w:numPr>
        <w:spacing w:line="480" w:lineRule="auto"/>
      </w:pPr>
      <w:r>
        <w:t>sensory limitations (defined as disability with impairments in one or more of the following areas – ‘vision’, ‘hearing’).</w:t>
      </w:r>
    </w:p>
    <w:p w14:paraId="0DA57525" w14:textId="2FEC9EAB" w:rsidR="007F2845" w:rsidRDefault="007F2845" w:rsidP="00FA27A6">
      <w:pPr>
        <w:spacing w:line="480" w:lineRule="auto"/>
      </w:pPr>
      <w:r>
        <w:lastRenderedPageBreak/>
        <w:t xml:space="preserve">We included ‘stamina’ in the motor limitations group given that exploratory factor analysis indicated that stamina primarily loaded on the same factor as mobility and dexterity. </w:t>
      </w:r>
      <w:r w:rsidR="00B5289F">
        <w:t>T</w:t>
      </w:r>
      <w:r w:rsidR="00F14DAE">
        <w:t xml:space="preserve">hese are not mutually exclusive groups as the respondent </w:t>
      </w:r>
      <w:r w:rsidR="00ED74E1">
        <w:t>could</w:t>
      </w:r>
      <w:r w:rsidR="00357AD7">
        <w:t xml:space="preserve"> identify multiple areas in which their child experienced functional limitations. </w:t>
      </w:r>
      <w:r w:rsidR="00ED74E1">
        <w:t>F</w:t>
      </w:r>
      <w:r w:rsidR="00D92BF7">
        <w:t xml:space="preserve">or each outcome we report prevalence estimates for participants without disability and for the three impairment-based groups of participants with disability, and </w:t>
      </w:r>
      <w:r w:rsidR="00D92BF7">
        <w:rPr>
          <w:color w:val="000000"/>
        </w:rPr>
        <w:t>unadjusted and adjusted PRR</w:t>
      </w:r>
      <w:r w:rsidR="00C9539E">
        <w:rPr>
          <w:color w:val="000000"/>
        </w:rPr>
        <w:t xml:space="preserve">. These analyses were not stratified by gender due to the relatively small sample sizes. </w:t>
      </w:r>
    </w:p>
    <w:p w14:paraId="579CA2A6" w14:textId="0AA74ED4" w:rsidR="0036521B" w:rsidRPr="00BA42DD" w:rsidRDefault="00F54106" w:rsidP="00FA27A6">
      <w:pPr>
        <w:spacing w:line="480" w:lineRule="auto"/>
        <w:rPr>
          <w:color w:val="000000"/>
        </w:rPr>
      </w:pPr>
      <w:r>
        <w:t xml:space="preserve">All analyses </w:t>
      </w:r>
      <w:r w:rsidR="00F42EAC">
        <w:t xml:space="preserve">were undertaken in </w:t>
      </w:r>
      <w:r w:rsidR="00445AF0">
        <w:t xml:space="preserve">Stata 15 </w:t>
      </w:r>
      <w:r>
        <w:t>us</w:t>
      </w:r>
      <w:r w:rsidR="00F42EAC">
        <w:t xml:space="preserve">ing the </w:t>
      </w:r>
      <w:proofErr w:type="spellStart"/>
      <w:r w:rsidR="00445AF0">
        <w:t>svyset</w:t>
      </w:r>
      <w:proofErr w:type="spellEnd"/>
      <w:r w:rsidR="00445AF0">
        <w:t xml:space="preserve"> and </w:t>
      </w:r>
      <w:proofErr w:type="spellStart"/>
      <w:r w:rsidR="00445AF0">
        <w:t>svy</w:t>
      </w:r>
      <w:proofErr w:type="spellEnd"/>
      <w:r w:rsidR="00445AF0">
        <w:t xml:space="preserve">: commands with </w:t>
      </w:r>
      <w:r w:rsidR="00F42EAC">
        <w:t>sampl</w:t>
      </w:r>
      <w:r w:rsidR="003F7738">
        <w:t xml:space="preserve">e </w:t>
      </w:r>
      <w:r w:rsidR="00F42EAC">
        <w:t xml:space="preserve">weights provided with the data </w:t>
      </w:r>
      <w:r>
        <w:t xml:space="preserve">to adjust for the initial sampling design and biases in recruitment and retention at </w:t>
      </w:r>
      <w:r w:rsidR="00F42EAC">
        <w:t>Wave 6</w:t>
      </w:r>
      <w:r w:rsidR="00B97809">
        <w:t>.</w:t>
      </w:r>
      <w:r w:rsidR="00445AF0">
        <w:fldChar w:fldCharType="begin"/>
      </w:r>
      <w:r w:rsidR="00AB698C">
        <w:instrText xml:space="preserve"> ADDIN EN.CITE &lt;EndNote&gt;&lt;Cite&gt;&lt;Author&gt;Ketende&lt;/Author&gt;&lt;Year&gt;2011&lt;/Year&gt;&lt;RecNum&gt;5630&lt;/RecNum&gt;&lt;DisplayText&gt;&lt;style face="superscript"&gt;39&lt;/style&gt;&lt;/DisplayText&gt;&lt;record&gt;&lt;rec-number&gt;5630&lt;/rec-number&gt;&lt;foreign-keys&gt;&lt;key app="EN" db-id="0tzwrr05aez223ea2r9xt9tgddvasf55dw2p" timestamp="1520905623"&gt;5630&lt;/key&gt;&lt;/foreign-keys&gt;&lt;ref-type name="Edited Book"&gt;28&lt;/ref-type&gt;&lt;contributors&gt;&lt;authors&gt;&lt;author&gt;Ketende, S&lt;/author&gt;&lt;author&gt;Jones, E&lt;/author&gt;&lt;/authors&gt;&lt;/contributors&gt;&lt;titles&gt;&lt;title&gt;Millennium Cohort Study: User Guide to Analysing MCS Data Using STATA&lt;/title&gt;&lt;/titles&gt;&lt;dates&gt;&lt;year&gt;2011&lt;/year&gt;&lt;/dates&gt;&lt;pub-location&gt;London&lt;/pub-location&gt;&lt;publisher&gt;Centre for Longitudinal Studies, Institute of Education, University of London&lt;/publisher&gt;&lt;urls&gt;&lt;/urls&gt;&lt;/record&gt;&lt;/Cite&gt;&lt;/EndNote&gt;</w:instrText>
      </w:r>
      <w:r w:rsidR="00445AF0">
        <w:fldChar w:fldCharType="separate"/>
      </w:r>
      <w:r w:rsidR="00AB698C" w:rsidRPr="00AB698C">
        <w:rPr>
          <w:noProof/>
          <w:vertAlign w:val="superscript"/>
        </w:rPr>
        <w:t>39</w:t>
      </w:r>
      <w:r w:rsidR="00445AF0">
        <w:fldChar w:fldCharType="end"/>
      </w:r>
      <w:r w:rsidR="005E4AE2">
        <w:t xml:space="preserve"> </w:t>
      </w:r>
      <w:r w:rsidR="00F42EAC">
        <w:t xml:space="preserve">To avoid the statistical problems associated with the clustering of multiple births within households, the present analyses are restricted to the first named target child in multiple birth households. </w:t>
      </w:r>
      <w:r w:rsidR="00512AF1">
        <w:t>To</w:t>
      </w:r>
      <w:r w:rsidR="00F42EAC">
        <w:t xml:space="preserve"> reduce biases resulting from the identity of the primary informant, we restricted our analyses to the subset of families in which the primary informant was the child’s biological mother </w:t>
      </w:r>
      <w:r w:rsidR="00F42EAC" w:rsidRPr="00D44C0B">
        <w:t>(</w:t>
      </w:r>
      <w:r w:rsidR="00694A73">
        <w:t>n=10,</w:t>
      </w:r>
      <w:r w:rsidR="00694A73" w:rsidRPr="00694A73">
        <w:t>244; 90.5</w:t>
      </w:r>
      <w:r w:rsidR="00F42EAC" w:rsidRPr="00694A73">
        <w:t>% of</w:t>
      </w:r>
      <w:r w:rsidR="00F42EAC" w:rsidRPr="00D44C0B">
        <w:t xml:space="preserve"> </w:t>
      </w:r>
      <w:r w:rsidR="00694A73">
        <w:t>child participants</w:t>
      </w:r>
      <w:r w:rsidR="00F42EAC">
        <w:t>).</w:t>
      </w:r>
      <w:r w:rsidR="005E4AE2">
        <w:t xml:space="preserve"> </w:t>
      </w:r>
      <w:r w:rsidR="006D5039">
        <w:t xml:space="preserve">A proportion of participants identified as having a disability would have had a mental health condition as the primary health condition or impairment associated with their disability. Unfortunately, information on </w:t>
      </w:r>
      <w:r w:rsidR="00BA42DD">
        <w:t xml:space="preserve">the nature of the primary health condition or impairment associated with disability was not collected. However, maternal informants were asked whether the child’s </w:t>
      </w:r>
      <w:r w:rsidR="00BA42DD" w:rsidRPr="0067705E">
        <w:rPr>
          <w:color w:val="000000"/>
        </w:rPr>
        <w:t>condition(s) or illness(es) affect</w:t>
      </w:r>
      <w:r w:rsidR="00BA42DD">
        <w:rPr>
          <w:color w:val="000000"/>
        </w:rPr>
        <w:t xml:space="preserve">ed their functioning in several areas, including mental health. </w:t>
      </w:r>
      <w:r w:rsidR="00126D9D">
        <w:t>T</w:t>
      </w:r>
      <w:r w:rsidR="00705710">
        <w:t xml:space="preserve">o reduce the risk of conflation resulting from mental health being both an exposure and outcome we excluded </w:t>
      </w:r>
      <w:r w:rsidR="006D5039">
        <w:t xml:space="preserve">participants </w:t>
      </w:r>
      <w:r w:rsidR="00BA42DD">
        <w:t xml:space="preserve">with a disability </w:t>
      </w:r>
      <w:r w:rsidR="00705710">
        <w:t xml:space="preserve">whose </w:t>
      </w:r>
      <w:r w:rsidR="00BA42DD">
        <w:t xml:space="preserve">functioning </w:t>
      </w:r>
      <w:r w:rsidR="00705710">
        <w:t xml:space="preserve">was </w:t>
      </w:r>
      <w:r w:rsidR="00705710" w:rsidRPr="00EC7426">
        <w:rPr>
          <w:i/>
        </w:rPr>
        <w:t>only</w:t>
      </w:r>
      <w:r w:rsidR="00705710">
        <w:t xml:space="preserve"> reportedly </w:t>
      </w:r>
      <w:r w:rsidR="00BA42DD">
        <w:t xml:space="preserve">limited in relation to their </w:t>
      </w:r>
      <w:r w:rsidR="00705710">
        <w:t xml:space="preserve">mental health </w:t>
      </w:r>
      <w:bookmarkStart w:id="4" w:name="_Hlk2019359"/>
      <w:r w:rsidR="00BA42DD">
        <w:t xml:space="preserve">on the assumption that these participants were likely to </w:t>
      </w:r>
      <w:r w:rsidR="00AB698C">
        <w:t xml:space="preserve">have </w:t>
      </w:r>
      <w:r w:rsidR="00BA42DD">
        <w:t xml:space="preserve">had a mental health condition as the primary health condition or impairment associated with their disability. </w:t>
      </w:r>
      <w:bookmarkEnd w:id="4"/>
      <w:r w:rsidR="00BA42DD">
        <w:t xml:space="preserve">The resulting subsample included </w:t>
      </w:r>
      <w:r w:rsidR="00705710">
        <w:t>9,845</w:t>
      </w:r>
      <w:r w:rsidR="00BA42DD">
        <w:t xml:space="preserve"> participants</w:t>
      </w:r>
      <w:r w:rsidR="00705710">
        <w:t>.</w:t>
      </w:r>
    </w:p>
    <w:p w14:paraId="7C36169E" w14:textId="63ABDD75" w:rsidR="003C520C" w:rsidRDefault="00B5289F" w:rsidP="00FA27A6">
      <w:pPr>
        <w:spacing w:line="480" w:lineRule="auto"/>
      </w:pPr>
      <w:r>
        <w:t>D</w:t>
      </w:r>
      <w:r w:rsidR="003C520C">
        <w:t>ata was missing for SDQ for 3.</w:t>
      </w:r>
      <w:r w:rsidR="00705710">
        <w:t>0</w:t>
      </w:r>
      <w:r w:rsidR="003C520C">
        <w:t xml:space="preserve">% of children and child –self report measures for less than 6.5% of children. Data on individual covariates was missing for less than 2.5% of children </w:t>
      </w:r>
      <w:r w:rsidR="00512AF1">
        <w:t>except for</w:t>
      </w:r>
      <w:r w:rsidR="005E4AE2">
        <w:t xml:space="preserve"> ethnicity </w:t>
      </w:r>
      <w:r w:rsidR="005E4AE2">
        <w:lastRenderedPageBreak/>
        <w:t>(missing for 4.2</w:t>
      </w:r>
      <w:r w:rsidR="005E4AE2" w:rsidRPr="00B51921">
        <w:t xml:space="preserve">%). Given the </w:t>
      </w:r>
      <w:r w:rsidR="00200F74">
        <w:t xml:space="preserve">relatively small </w:t>
      </w:r>
      <w:r w:rsidR="005E4AE2" w:rsidRPr="00B51921">
        <w:t>amounts of missing data we undertook complete case analysis</w:t>
      </w:r>
      <w:r w:rsidR="0036521B" w:rsidRPr="00B51921">
        <w:t xml:space="preserve"> of a restricted </w:t>
      </w:r>
      <w:r w:rsidR="00B51921" w:rsidRPr="00B51921">
        <w:t xml:space="preserve">dataset in which </w:t>
      </w:r>
      <w:r w:rsidR="0036521B" w:rsidRPr="00B51921">
        <w:t xml:space="preserve">data was available for all three </w:t>
      </w:r>
      <w:r w:rsidR="00B51921" w:rsidRPr="00B51921">
        <w:t xml:space="preserve">outcome measures </w:t>
      </w:r>
      <w:r w:rsidR="00294961">
        <w:t>with complete data on disability and all covariates</w:t>
      </w:r>
      <w:r w:rsidR="00294961" w:rsidRPr="00B51921">
        <w:t xml:space="preserve"> </w:t>
      </w:r>
      <w:r w:rsidR="00B51921" w:rsidRPr="00B51921">
        <w:t>(n=</w:t>
      </w:r>
      <w:r w:rsidR="00200F74">
        <w:t>8,146</w:t>
      </w:r>
      <w:r w:rsidR="00B51921" w:rsidRPr="00B51921">
        <w:t>)</w:t>
      </w:r>
      <w:r w:rsidR="00141388">
        <w:t xml:space="preserve">. </w:t>
      </w:r>
    </w:p>
    <w:p w14:paraId="1AB6C4E6" w14:textId="535BB216" w:rsidR="005B0652" w:rsidRDefault="005B0652" w:rsidP="005B0652">
      <w:pPr>
        <w:pStyle w:val="Heading2"/>
        <w:spacing w:line="480" w:lineRule="auto"/>
      </w:pPr>
      <w:r>
        <w:t>Ethics approval and consent to participate</w:t>
      </w:r>
    </w:p>
    <w:p w14:paraId="193B8054" w14:textId="2312A614" w:rsidR="005B0652" w:rsidRPr="005B0652" w:rsidRDefault="005B0652" w:rsidP="00FA27A6">
      <w:pPr>
        <w:spacing w:line="480" w:lineRule="auto"/>
      </w:pPr>
      <w:r w:rsidRPr="007B12F2">
        <w:t xml:space="preserve">The organisers of the Millennium Cohort Study have documented that they received approval from </w:t>
      </w:r>
      <w:r>
        <w:rPr>
          <w:shd w:val="clear" w:color="auto" w:fill="FCFCFC"/>
        </w:rPr>
        <w:t>NHS Multi-C</w:t>
      </w:r>
      <w:r w:rsidRPr="007B12F2">
        <w:t>entre Ethics Committees before surveying, and that informed consent to participate has been gained from children and parents/guardians</w:t>
      </w:r>
      <w:r w:rsidR="00B97809">
        <w:t>.</w:t>
      </w:r>
      <w:r>
        <w:fldChar w:fldCharType="begin"/>
      </w:r>
      <w:r w:rsidR="00AB698C">
        <w:instrText xml:space="preserve"> ADDIN EN.CITE &lt;EndNote&gt;&lt;Cite&gt;&lt;Author&gt;Fitzsimons&lt;/Author&gt;&lt;Year&gt;2017&lt;/Year&gt;&lt;RecNum&gt;5500&lt;/RecNum&gt;&lt;DisplayText&gt;&lt;style face="superscript"&gt;28, 40, 41&lt;/style&gt;&lt;/DisplayText&gt;&lt;record&gt;&lt;rec-number&gt;5500&lt;/rec-number&gt;&lt;foreign-keys&gt;&lt;key app="EN" db-id="0tzwrr05aez223ea2r9xt9tgddvasf55dw2p" timestamp="1510295360"&gt;5500&lt;/key&gt;&lt;/foreign-keys&gt;&lt;ref-type name="Report"&gt;27&lt;/ref-type&gt;&lt;contributors&gt;&lt;authors&gt;&lt;author&gt;Fitzsimons, E (Ed.)&lt;/author&gt;&lt;/authors&gt;&lt;/contributors&gt;&lt;titles&gt;&lt;title&gt;Millennium Cohort Study Sixth Survey 2015-2016: User Guide (First Edition)&lt;/title&gt;&lt;/titles&gt;&lt;dates&gt;&lt;year&gt;2017&lt;/year&gt;&lt;/dates&gt;&lt;pub-location&gt;London&lt;/pub-location&gt;&lt;publisher&gt;Centre for Longitudinal Studies&lt;/publisher&gt;&lt;urls&gt;&lt;/urls&gt;&lt;/record&gt;&lt;/Cite&gt;&lt;Cite&gt;&lt;Author&gt;Ipsos MORI&lt;/Author&gt;&lt;Year&gt;2016&lt;/Year&gt;&lt;RecNum&gt;5401&lt;/RecNum&gt;&lt;record&gt;&lt;rec-number&gt;5401&lt;/rec-number&gt;&lt;foreign-keys&gt;&lt;key app="EN" db-id="0tzwrr05aez223ea2r9xt9tgddvasf55dw2p" timestamp="1487744800"&gt;5401&lt;/key&gt;&lt;/foreign-keys&gt;&lt;ref-type name="Book"&gt;6&lt;/ref-type&gt;&lt;contributors&gt;&lt;authors&gt;&lt;author&gt;Ipsos MORI,&lt;/author&gt;&lt;/authors&gt;&lt;/contributors&gt;&lt;titles&gt;&lt;title&gt;Millennium Cohort Study Sixth Sweep (MCS6): Technical Report&lt;/title&gt;&lt;/titles&gt;&lt;dates&gt;&lt;year&gt;2016&lt;/year&gt;&lt;/dates&gt;&lt;pub-location&gt;London&lt;/pub-location&gt;&lt;publisher&gt;Ipsos Mori Social Research Institute&lt;/publisher&gt;&lt;urls&gt;&lt;/urls&gt;&lt;/record&gt;&lt;/Cite&gt;&lt;Cite&gt;&lt;Author&gt;Hansen&lt;/Author&gt;&lt;Year&gt;2014&lt;/Year&gt;&lt;RecNum&gt;4912&lt;/RecNum&gt;&lt;record&gt;&lt;rec-number&gt;4912&lt;/rec-number&gt;&lt;foreign-keys&gt;&lt;key app="EN" db-id="0tzwrr05aez223ea2r9xt9tgddvasf55dw2p" timestamp="1422895533"&gt;4912&lt;/key&gt;&lt;/foreign-keys&gt;&lt;ref-type name="Edited Book"&gt;28&lt;/ref-type&gt;&lt;contributors&gt;&lt;authors&gt;&lt;author&gt;Hansen, K&lt;/author&gt;&lt;/authors&gt;&lt;/contributors&gt;&lt;titles&gt;&lt;title&gt;Millennium Cohort Study:  A Guide to the Datasets. Eighth Edition. First, Second, Third, Fourth and Fifth Surveys.&lt;/title&gt;&lt;/titles&gt;&lt;dates&gt;&lt;year&gt;2014&lt;/year&gt;&lt;/dates&gt;&lt;pub-location&gt;London&lt;/pub-location&gt;&lt;publisher&gt;Centre for Longitudinal Studies, Institute of Education, University of London&lt;/publisher&gt;&lt;urls&gt;&lt;/urls&gt;&lt;/record&gt;&lt;/Cite&gt;&lt;/EndNote&gt;</w:instrText>
      </w:r>
      <w:r>
        <w:fldChar w:fldCharType="separate"/>
      </w:r>
      <w:r w:rsidR="00AB698C" w:rsidRPr="00AB698C">
        <w:rPr>
          <w:noProof/>
          <w:vertAlign w:val="superscript"/>
        </w:rPr>
        <w:t>28, 40, 41</w:t>
      </w:r>
      <w:r>
        <w:fldChar w:fldCharType="end"/>
      </w:r>
      <w:r>
        <w:t xml:space="preserve"> </w:t>
      </w:r>
    </w:p>
    <w:p w14:paraId="420EB44B" w14:textId="7FCBD4FF" w:rsidR="00F54106" w:rsidRDefault="00F54106" w:rsidP="00FA27A6">
      <w:pPr>
        <w:pStyle w:val="Heading1"/>
        <w:spacing w:line="480" w:lineRule="auto"/>
      </w:pPr>
      <w:r>
        <w:t>Results</w:t>
      </w:r>
    </w:p>
    <w:p w14:paraId="2D760E82" w14:textId="5A174774" w:rsidR="00B276CE" w:rsidRDefault="00B276CE" w:rsidP="005E4992">
      <w:pPr>
        <w:pStyle w:val="Heading2"/>
        <w:spacing w:line="480" w:lineRule="auto"/>
      </w:pPr>
      <w:r>
        <w:t xml:space="preserve">Prevalence of </w:t>
      </w:r>
      <w:r w:rsidRPr="005E4992">
        <w:t>Disability</w:t>
      </w:r>
    </w:p>
    <w:p w14:paraId="4C39C7C8" w14:textId="3B7DA800" w:rsidR="004246D6" w:rsidRDefault="005E4992" w:rsidP="004246D6">
      <w:pPr>
        <w:spacing w:line="480" w:lineRule="auto"/>
      </w:pPr>
      <w:r>
        <w:t xml:space="preserve">Our </w:t>
      </w:r>
      <w:r w:rsidRPr="0067705E">
        <w:t xml:space="preserve">procedure led to the identification of </w:t>
      </w:r>
      <w:r w:rsidR="00200F74">
        <w:t>972</w:t>
      </w:r>
      <w:r w:rsidRPr="0067705E">
        <w:t xml:space="preserve"> adolescents with disability (</w:t>
      </w:r>
      <w:r w:rsidR="00200F74">
        <w:t>9.9</w:t>
      </w:r>
      <w:r w:rsidRPr="0067705E">
        <w:t>% of the analytic sample</w:t>
      </w:r>
      <w:r>
        <w:t>, 95% CI 9.</w:t>
      </w:r>
      <w:r w:rsidR="00200F74">
        <w:t>0</w:t>
      </w:r>
      <w:r>
        <w:t>%-1</w:t>
      </w:r>
      <w:r w:rsidR="00200F74">
        <w:t>0.8</w:t>
      </w:r>
      <w:r>
        <w:t>%</w:t>
      </w:r>
      <w:r w:rsidRPr="0067705E">
        <w:t>); 6</w:t>
      </w:r>
      <w:r w:rsidR="00F0656D">
        <w:t>03</w:t>
      </w:r>
      <w:r w:rsidRPr="0067705E">
        <w:t xml:space="preserve"> (6.</w:t>
      </w:r>
      <w:r w:rsidR="00F0656D">
        <w:t>1</w:t>
      </w:r>
      <w:r w:rsidRPr="0067705E">
        <w:t>%</w:t>
      </w:r>
      <w:r>
        <w:t>, 95%CI 5.</w:t>
      </w:r>
      <w:r w:rsidR="00F0656D">
        <w:t>5</w:t>
      </w:r>
      <w:r>
        <w:t>%-</w:t>
      </w:r>
      <w:r w:rsidR="00F0656D">
        <w:t>6.8</w:t>
      </w:r>
      <w:r>
        <w:t>%)</w:t>
      </w:r>
      <w:r w:rsidRPr="0067705E">
        <w:t xml:space="preserve"> </w:t>
      </w:r>
      <w:r>
        <w:t xml:space="preserve">who </w:t>
      </w:r>
      <w:r w:rsidRPr="0067705E">
        <w:t xml:space="preserve">were reported to experience ‘a little’ </w:t>
      </w:r>
      <w:r>
        <w:t xml:space="preserve">limitation </w:t>
      </w:r>
      <w:r w:rsidRPr="0067705E">
        <w:t xml:space="preserve">in carrying out day-to-day activities and </w:t>
      </w:r>
      <w:r w:rsidR="00F0656D">
        <w:t>369</w:t>
      </w:r>
      <w:r w:rsidRPr="0067705E">
        <w:t xml:space="preserve"> (</w:t>
      </w:r>
      <w:r w:rsidR="00F0656D">
        <w:t>3.8</w:t>
      </w:r>
      <w:r w:rsidRPr="0067705E">
        <w:t>%</w:t>
      </w:r>
      <w:r>
        <w:t>, 95%CI 3.</w:t>
      </w:r>
      <w:r w:rsidR="00F0656D">
        <w:t>2</w:t>
      </w:r>
      <w:r>
        <w:t>%-4.</w:t>
      </w:r>
      <w:r w:rsidR="00F0656D">
        <w:t>4</w:t>
      </w:r>
      <w:r>
        <w:t>%)</w:t>
      </w:r>
      <w:r w:rsidRPr="0067705E">
        <w:t xml:space="preserve"> </w:t>
      </w:r>
      <w:r>
        <w:t xml:space="preserve">who were </w:t>
      </w:r>
      <w:r w:rsidRPr="0067705E">
        <w:t xml:space="preserve">reported to experience ‘a lot’ of </w:t>
      </w:r>
      <w:r>
        <w:t xml:space="preserve">limitation </w:t>
      </w:r>
      <w:r w:rsidRPr="0067705E">
        <w:t xml:space="preserve">in carrying out day-to-day activities. </w:t>
      </w:r>
      <w:r>
        <w:t>We will refer to these two groups as participants with ‘</w:t>
      </w:r>
      <w:r w:rsidR="00325BE3">
        <w:t xml:space="preserve">mild limitations </w:t>
      </w:r>
      <w:r>
        <w:t>’ and ‘mo</w:t>
      </w:r>
      <w:r w:rsidR="00325BE3">
        <w:t xml:space="preserve">derate/severe </w:t>
      </w:r>
      <w:r>
        <w:t>limitations</w:t>
      </w:r>
      <w:r w:rsidR="00325BE3">
        <w:t>’</w:t>
      </w:r>
      <w:r>
        <w:t>. Prevalence rates for type of</w:t>
      </w:r>
      <w:r w:rsidRPr="0067705E">
        <w:t xml:space="preserve"> function</w:t>
      </w:r>
      <w:r>
        <w:t xml:space="preserve">al limitation are </w:t>
      </w:r>
      <w:r w:rsidRPr="0067705E">
        <w:t>presented in Table 1.</w:t>
      </w:r>
    </w:p>
    <w:p w14:paraId="0827EDA2" w14:textId="1758FEF5" w:rsidR="00B276CE" w:rsidRDefault="00B276CE" w:rsidP="005E4992">
      <w:pPr>
        <w:pStyle w:val="Heading2"/>
        <w:spacing w:line="480" w:lineRule="auto"/>
      </w:pPr>
      <w:r>
        <w:t>Prevalence of Emotional Difficulties and Self-Harm</w:t>
      </w:r>
    </w:p>
    <w:p w14:paraId="4227B6C5" w14:textId="77777777" w:rsidR="004246D6" w:rsidRDefault="005E4992" w:rsidP="004246D6">
      <w:pPr>
        <w:spacing w:line="480" w:lineRule="auto"/>
      </w:pPr>
      <w:r>
        <w:t xml:space="preserve">Our procedures led to the identification </w:t>
      </w:r>
      <w:r w:rsidR="0021186A">
        <w:t xml:space="preserve">at age 14 </w:t>
      </w:r>
      <w:r>
        <w:t>of: ‘</w:t>
      </w:r>
      <w:r w:rsidRPr="00DA6218">
        <w:t>abnormal</w:t>
      </w:r>
      <w:r>
        <w:t>’ emotional d</w:t>
      </w:r>
      <w:r w:rsidRPr="004C02CA">
        <w:t>ifficulties among 1</w:t>
      </w:r>
      <w:r w:rsidR="0021186A">
        <w:t>3.8</w:t>
      </w:r>
      <w:r w:rsidRPr="004C02CA">
        <w:t xml:space="preserve">% of children </w:t>
      </w:r>
      <w:r>
        <w:t>(95</w:t>
      </w:r>
      <w:r w:rsidRPr="004C02CA">
        <w:t>% CI 1</w:t>
      </w:r>
      <w:r w:rsidR="0021186A">
        <w:t>2.9</w:t>
      </w:r>
      <w:r w:rsidRPr="004C02CA">
        <w:t>%-1</w:t>
      </w:r>
      <w:r w:rsidR="0021186A">
        <w:t>4</w:t>
      </w:r>
      <w:r w:rsidRPr="004C02CA">
        <w:t>.7%)</w:t>
      </w:r>
      <w:r>
        <w:t xml:space="preserve">; self-reported </w:t>
      </w:r>
      <w:r w:rsidRPr="00357AD7">
        <w:t xml:space="preserve">depression among </w:t>
      </w:r>
      <w:r w:rsidR="0021186A">
        <w:t>8.9</w:t>
      </w:r>
      <w:r w:rsidRPr="00357AD7">
        <w:t>% of children (95% CI 8.</w:t>
      </w:r>
      <w:r w:rsidR="0021186A">
        <w:t>2%</w:t>
      </w:r>
      <w:r w:rsidRPr="00357AD7">
        <w:t>-</w:t>
      </w:r>
      <w:r w:rsidR="0021186A">
        <w:t>9.7%</w:t>
      </w:r>
      <w:r w:rsidRPr="00357AD7">
        <w:t>%)</w:t>
      </w:r>
      <w:r>
        <w:t xml:space="preserve">; and self-reported </w:t>
      </w:r>
      <w:r w:rsidRPr="00357AD7">
        <w:t>self-harm among 1</w:t>
      </w:r>
      <w:r w:rsidR="0021186A">
        <w:t>4.9</w:t>
      </w:r>
      <w:r w:rsidRPr="00357AD7">
        <w:t>% of children (95% CI 1</w:t>
      </w:r>
      <w:r w:rsidR="0021186A">
        <w:t>3.9</w:t>
      </w:r>
      <w:r w:rsidRPr="00357AD7">
        <w:t>%-1</w:t>
      </w:r>
      <w:r w:rsidR="0021186A">
        <w:t>5.9</w:t>
      </w:r>
      <w:r w:rsidRPr="00357AD7">
        <w:t>%).</w:t>
      </w:r>
    </w:p>
    <w:p w14:paraId="492775B1" w14:textId="7D33AAAD" w:rsidR="00F54106" w:rsidRDefault="00E3313C" w:rsidP="00FA27A6">
      <w:pPr>
        <w:pStyle w:val="Heading2"/>
        <w:spacing w:line="480" w:lineRule="auto"/>
      </w:pPr>
      <w:r>
        <w:lastRenderedPageBreak/>
        <w:t xml:space="preserve">Association between </w:t>
      </w:r>
      <w:r w:rsidR="001C04C7">
        <w:t xml:space="preserve">Covariates </w:t>
      </w:r>
      <w:r>
        <w:t xml:space="preserve">and </w:t>
      </w:r>
      <w:r w:rsidR="001C04C7">
        <w:t>Disability Status</w:t>
      </w:r>
    </w:p>
    <w:p w14:paraId="09DAD5FB" w14:textId="5353F1F1" w:rsidR="005C5436" w:rsidRDefault="005E4AE2" w:rsidP="00FA27A6">
      <w:pPr>
        <w:spacing w:line="480" w:lineRule="auto"/>
      </w:pPr>
      <w:r>
        <w:t>T</w:t>
      </w:r>
      <w:r w:rsidR="001C04C7">
        <w:t>he prevalence of disability was significantly greater among boys, and among children living in single parent households</w:t>
      </w:r>
      <w:r w:rsidR="0021186A">
        <w:t xml:space="preserve"> and</w:t>
      </w:r>
      <w:r w:rsidR="001C04C7">
        <w:t xml:space="preserve"> lower SEP households</w:t>
      </w:r>
      <w:r w:rsidR="00512AF1">
        <w:t xml:space="preserve">. Full details are available in Table </w:t>
      </w:r>
      <w:r w:rsidR="00141388">
        <w:t>2</w:t>
      </w:r>
      <w:r w:rsidR="001C04C7">
        <w:t xml:space="preserve">. </w:t>
      </w:r>
      <w:r w:rsidR="00150CC6">
        <w:t xml:space="preserve">     </w:t>
      </w:r>
    </w:p>
    <w:p w14:paraId="2B4FA705" w14:textId="567590E7" w:rsidR="005C5436" w:rsidRDefault="005C5436" w:rsidP="00FA27A6">
      <w:pPr>
        <w:pStyle w:val="Heading2"/>
        <w:spacing w:line="480" w:lineRule="auto"/>
      </w:pPr>
      <w:r>
        <w:t xml:space="preserve">Association between Covariates and </w:t>
      </w:r>
      <w:r w:rsidR="00865B57">
        <w:t>Adolescent</w:t>
      </w:r>
      <w:r w:rsidR="00E33944">
        <w:t xml:space="preserve"> </w:t>
      </w:r>
      <w:r>
        <w:t>Outcomes</w:t>
      </w:r>
    </w:p>
    <w:p w14:paraId="4147E246" w14:textId="500E9AF5" w:rsidR="00512AF1" w:rsidRDefault="005E4AE2" w:rsidP="00FA27A6">
      <w:pPr>
        <w:spacing w:line="480" w:lineRule="auto"/>
      </w:pPr>
      <w:r>
        <w:t xml:space="preserve">Scoring in the ‘abnormal’ range on the </w:t>
      </w:r>
      <w:r w:rsidR="004C5DE2">
        <w:t>SDQ</w:t>
      </w:r>
      <w:r w:rsidR="00B70954">
        <w:t xml:space="preserve"> </w:t>
      </w:r>
      <w:r>
        <w:t xml:space="preserve">emotional </w:t>
      </w:r>
      <w:r w:rsidR="00B2419C">
        <w:t xml:space="preserve">symptoms </w:t>
      </w:r>
      <w:r>
        <w:t xml:space="preserve">subscale was </w:t>
      </w:r>
      <w:r w:rsidR="00C10087">
        <w:t>associated with female gender, living in a single parent household</w:t>
      </w:r>
      <w:r w:rsidR="00FD4053">
        <w:t xml:space="preserve"> and</w:t>
      </w:r>
      <w:r w:rsidR="00C10087">
        <w:t xml:space="preserve"> living in a low SEP family. </w:t>
      </w:r>
      <w:r>
        <w:t xml:space="preserve">Scoring in the top 10% of the population on the SF-MFQ </w:t>
      </w:r>
      <w:r w:rsidR="00C42CBF">
        <w:t>was associated with female gender</w:t>
      </w:r>
      <w:r w:rsidR="007D4818">
        <w:t xml:space="preserve"> and </w:t>
      </w:r>
      <w:r w:rsidR="00C42CBF">
        <w:t xml:space="preserve">living in material hardship. </w:t>
      </w:r>
      <w:r w:rsidR="0038624C">
        <w:t>Adolescent</w:t>
      </w:r>
      <w:r>
        <w:t>-reported s</w:t>
      </w:r>
      <w:r w:rsidR="00C10087">
        <w:t>elf-harm</w:t>
      </w:r>
      <w:r w:rsidR="00B70954">
        <w:t xml:space="preserve"> </w:t>
      </w:r>
      <w:r w:rsidR="00480522">
        <w:t>was associated with female gender, white ethnicity, living in a single parent household</w:t>
      </w:r>
      <w:r w:rsidR="007D4818">
        <w:t xml:space="preserve"> and </w:t>
      </w:r>
      <w:r w:rsidR="00480522">
        <w:t xml:space="preserve">living in material hardship. </w:t>
      </w:r>
      <w:r w:rsidR="00512AF1">
        <w:t xml:space="preserve">Full details are available in Supplementary Tables </w:t>
      </w:r>
      <w:r w:rsidR="00141388">
        <w:t>1</w:t>
      </w:r>
      <w:r w:rsidR="00512AF1">
        <w:t>-</w:t>
      </w:r>
      <w:r w:rsidR="00141388">
        <w:t>3</w:t>
      </w:r>
      <w:r w:rsidR="00512AF1">
        <w:t>.</w:t>
      </w:r>
    </w:p>
    <w:p w14:paraId="7DC06DD2" w14:textId="5B5B8FE1" w:rsidR="00FE2CC9" w:rsidRDefault="00FE2CC9" w:rsidP="00FA27A6">
      <w:pPr>
        <w:pStyle w:val="Heading2"/>
        <w:spacing w:line="480" w:lineRule="auto"/>
      </w:pPr>
      <w:r>
        <w:t>Association between Outcomes</w:t>
      </w:r>
    </w:p>
    <w:p w14:paraId="4A3CD80E" w14:textId="10F1BE00" w:rsidR="00FE2CC9" w:rsidRDefault="00FE2CC9" w:rsidP="00FA27A6">
      <w:pPr>
        <w:spacing w:line="480" w:lineRule="auto"/>
      </w:pPr>
      <w:r>
        <w:t xml:space="preserve">There were </w:t>
      </w:r>
      <w:r w:rsidR="005757A0">
        <w:t xml:space="preserve">only </w:t>
      </w:r>
      <w:r>
        <w:t xml:space="preserve">modest associations between </w:t>
      </w:r>
      <w:r w:rsidR="00297ADF">
        <w:t xml:space="preserve">maternal and adolescent report of </w:t>
      </w:r>
      <w:r>
        <w:t>indicators of emotional wellbeing</w:t>
      </w:r>
      <w:r w:rsidR="003A56FF">
        <w:t xml:space="preserve"> at age 14</w:t>
      </w:r>
      <w:r w:rsidR="00100259">
        <w:t xml:space="preserve"> </w:t>
      </w:r>
      <w:r w:rsidR="00100259" w:rsidRPr="0082134E">
        <w:t>(</w:t>
      </w:r>
      <w:r w:rsidRPr="0082134E">
        <w:t>maternal report (SDQ) and adolescent report (SF-MFQ) r</w:t>
      </w:r>
      <w:r w:rsidR="0082134E" w:rsidRPr="0082134E">
        <w:t>=0.15</w:t>
      </w:r>
      <w:r w:rsidR="00100259" w:rsidRPr="0082134E">
        <w:t>; m</w:t>
      </w:r>
      <w:r w:rsidRPr="0082134E">
        <w:t>aternal report (SDQ) and adolescent report (self-harm) r</w:t>
      </w:r>
      <w:r w:rsidR="0082134E" w:rsidRPr="0082134E">
        <w:t>=0.1</w:t>
      </w:r>
      <w:r w:rsidR="007D4818">
        <w:t>5</w:t>
      </w:r>
      <w:r w:rsidR="00297ADF">
        <w:t xml:space="preserve">). There was a stronger association between adolescent self-report of depression and </w:t>
      </w:r>
      <w:r w:rsidRPr="0082134E">
        <w:t>self-harm</w:t>
      </w:r>
      <w:r w:rsidR="00297ADF">
        <w:t xml:space="preserve"> (</w:t>
      </w:r>
      <w:r w:rsidRPr="0082134E">
        <w:t>r</w:t>
      </w:r>
      <w:r w:rsidR="0082134E" w:rsidRPr="0082134E">
        <w:t>=0.4</w:t>
      </w:r>
      <w:r w:rsidR="007D4818">
        <w:t>1</w:t>
      </w:r>
      <w:r w:rsidR="00100259" w:rsidRPr="0082134E">
        <w:t>).</w:t>
      </w:r>
      <w:r w:rsidR="00100259">
        <w:t xml:space="preserve"> </w:t>
      </w:r>
    </w:p>
    <w:p w14:paraId="1B397831" w14:textId="387EA7E2" w:rsidR="00480522" w:rsidRDefault="00480522" w:rsidP="00FA27A6">
      <w:pPr>
        <w:pStyle w:val="Heading2"/>
        <w:spacing w:line="480" w:lineRule="auto"/>
      </w:pPr>
      <w:bookmarkStart w:id="5" w:name="_Hlk1983850"/>
      <w:r>
        <w:t>Association between Disability Status</w:t>
      </w:r>
      <w:r w:rsidR="001A186A">
        <w:t>, Gender</w:t>
      </w:r>
      <w:r>
        <w:t xml:space="preserve"> and </w:t>
      </w:r>
      <w:r w:rsidR="00B51921">
        <w:t xml:space="preserve">Adolescent </w:t>
      </w:r>
      <w:r w:rsidR="00EC7426">
        <w:t xml:space="preserve">Emotional Difficulties </w:t>
      </w:r>
      <w:r w:rsidR="001A186A">
        <w:t>and Self-Harm</w:t>
      </w:r>
      <w:bookmarkEnd w:id="5"/>
    </w:p>
    <w:p w14:paraId="0217CF68" w14:textId="6DFB578D" w:rsidR="0026069C" w:rsidRDefault="005D36AB" w:rsidP="00FA27A6">
      <w:pPr>
        <w:spacing w:line="480" w:lineRule="auto"/>
      </w:pPr>
      <w:r>
        <w:t xml:space="preserve">Results are presented in Table </w:t>
      </w:r>
      <w:r w:rsidR="00141388">
        <w:t>3</w:t>
      </w:r>
      <w:r>
        <w:t xml:space="preserve">. </w:t>
      </w:r>
    </w:p>
    <w:p w14:paraId="26C59C4E" w14:textId="5E5A9CE1" w:rsidR="001116CF" w:rsidRDefault="001116CF" w:rsidP="00FA27A6">
      <w:pPr>
        <w:pStyle w:val="Heading3"/>
        <w:spacing w:line="480" w:lineRule="auto"/>
      </w:pPr>
      <w:r>
        <w:t xml:space="preserve">Maternal Reported Emotional Difficulties </w:t>
      </w:r>
    </w:p>
    <w:p w14:paraId="75BB47F4" w14:textId="651E5325" w:rsidR="00D1116A" w:rsidRDefault="00D1116A" w:rsidP="00FA27A6">
      <w:pPr>
        <w:spacing w:line="480" w:lineRule="auto"/>
      </w:pPr>
      <w:r w:rsidRPr="0003158A">
        <w:t xml:space="preserve">For both boys and girls there were strong </w:t>
      </w:r>
      <w:r>
        <w:t xml:space="preserve">and statistically significant </w:t>
      </w:r>
      <w:r w:rsidRPr="0003158A">
        <w:t>associations between disability status and maternal report of emotional difficulties on the SDQ</w:t>
      </w:r>
      <w:r w:rsidRPr="00E96F68">
        <w:t xml:space="preserve">. </w:t>
      </w:r>
      <w:r>
        <w:t xml:space="preserve">The prevalence of emotional difficulties was </w:t>
      </w:r>
      <w:r w:rsidR="00CF681E">
        <w:t xml:space="preserve">approximately four </w:t>
      </w:r>
      <w:r>
        <w:t xml:space="preserve">times higher for </w:t>
      </w:r>
      <w:r w:rsidR="00CF681E">
        <w:t xml:space="preserve">both </w:t>
      </w:r>
      <w:r>
        <w:t xml:space="preserve">boys </w:t>
      </w:r>
      <w:r w:rsidR="00CF681E">
        <w:t xml:space="preserve">and girls </w:t>
      </w:r>
      <w:r>
        <w:t xml:space="preserve">with disabilities compared to those without. </w:t>
      </w:r>
      <w:r w:rsidR="00CF681E">
        <w:lastRenderedPageBreak/>
        <w:t>Significantly l</w:t>
      </w:r>
      <w:r>
        <w:t xml:space="preserve">arger </w:t>
      </w:r>
      <w:r w:rsidR="00CF681E">
        <w:t xml:space="preserve">prevalence rate ratios </w:t>
      </w:r>
      <w:r>
        <w:t>were seen for boys and girls with mo</w:t>
      </w:r>
      <w:r w:rsidR="00325BE3">
        <w:t xml:space="preserve">derate/severe </w:t>
      </w:r>
      <w:r>
        <w:t>activity limitations.</w:t>
      </w:r>
    </w:p>
    <w:p w14:paraId="19B7B9CB" w14:textId="4DE5DA34" w:rsidR="001116CF" w:rsidRDefault="00D1116A" w:rsidP="00FA27A6">
      <w:pPr>
        <w:spacing w:line="480" w:lineRule="auto"/>
      </w:pPr>
      <w:r>
        <w:t xml:space="preserve">Among participants with and without disability prevalence rates were significantly higher among girls </w:t>
      </w:r>
      <w:proofErr w:type="gramStart"/>
      <w:r w:rsidR="00503110">
        <w:t>T</w:t>
      </w:r>
      <w:r>
        <w:t>he</w:t>
      </w:r>
      <w:proofErr w:type="gramEnd"/>
      <w:r>
        <w:t xml:space="preserve"> disability*gender interaction term w</w:t>
      </w:r>
      <w:r w:rsidR="00503110">
        <w:t xml:space="preserve">as not </w:t>
      </w:r>
      <w:r>
        <w:t>statistically significant.</w:t>
      </w:r>
    </w:p>
    <w:p w14:paraId="3D37BECC" w14:textId="05F0DAA1" w:rsidR="001116CF" w:rsidRDefault="001116CF" w:rsidP="00FA27A6">
      <w:pPr>
        <w:pStyle w:val="Heading3"/>
        <w:spacing w:line="480" w:lineRule="auto"/>
      </w:pPr>
      <w:r>
        <w:t>Self-Reported Depression</w:t>
      </w:r>
    </w:p>
    <w:p w14:paraId="5F8E18D0" w14:textId="4CBF75B8" w:rsidR="00D1116A" w:rsidRDefault="00D1116A" w:rsidP="00FA27A6">
      <w:pPr>
        <w:spacing w:line="480" w:lineRule="auto"/>
      </w:pPr>
      <w:r>
        <w:t xml:space="preserve">For girls there were </w:t>
      </w:r>
      <w:r w:rsidRPr="0003158A">
        <w:t xml:space="preserve">strong </w:t>
      </w:r>
      <w:r>
        <w:t xml:space="preserve">and statistically significant </w:t>
      </w:r>
      <w:r w:rsidRPr="0003158A">
        <w:t xml:space="preserve">associations between </w:t>
      </w:r>
      <w:r w:rsidRPr="005D36AB">
        <w:t>disability status</w:t>
      </w:r>
      <w:r w:rsidRPr="0003158A">
        <w:t xml:space="preserve"> and</w:t>
      </w:r>
      <w:r>
        <w:t xml:space="preserve"> adolescent self-report of indicators of depression, with the prevalence of depression </w:t>
      </w:r>
      <w:r w:rsidR="004D3282">
        <w:t xml:space="preserve">being </w:t>
      </w:r>
      <w:r w:rsidR="00CF681E">
        <w:t xml:space="preserve">approximately two </w:t>
      </w:r>
      <w:r>
        <w:t xml:space="preserve">times higher for </w:t>
      </w:r>
      <w:r w:rsidR="004D3282">
        <w:t xml:space="preserve">girls </w:t>
      </w:r>
      <w:r>
        <w:t>with disabilities compared to those without</w:t>
      </w:r>
      <w:r w:rsidR="004D3282">
        <w:t xml:space="preserve">. </w:t>
      </w:r>
      <w:r>
        <w:t xml:space="preserve">For boys, the association between disability status and depression was only statistically significant for participants with </w:t>
      </w:r>
      <w:r w:rsidR="00325BE3">
        <w:t>moderate/severe activity limitations</w:t>
      </w:r>
      <w:r w:rsidR="00CF681E">
        <w:t xml:space="preserve">. </w:t>
      </w:r>
      <w:r>
        <w:t>Among participants with and without disability, prevalence rates were significantly higher among girls</w:t>
      </w:r>
      <w:r w:rsidR="00C13C2A">
        <w:t>.</w:t>
      </w:r>
      <w:r>
        <w:t xml:space="preserve"> </w:t>
      </w:r>
      <w:r w:rsidR="00503110">
        <w:t xml:space="preserve">The disability*gender interaction term was not statistically significant. </w:t>
      </w:r>
    </w:p>
    <w:p w14:paraId="1298875C" w14:textId="1074617C" w:rsidR="001116CF" w:rsidRDefault="001116CF" w:rsidP="00FA27A6">
      <w:pPr>
        <w:pStyle w:val="Heading3"/>
        <w:spacing w:line="480" w:lineRule="auto"/>
      </w:pPr>
      <w:r>
        <w:t>Self-Reported Self-Harm</w:t>
      </w:r>
    </w:p>
    <w:p w14:paraId="7A79EDA7" w14:textId="7EBF542A" w:rsidR="00C13C2A" w:rsidRDefault="00E96F68" w:rsidP="00C13C2A">
      <w:pPr>
        <w:spacing w:line="480" w:lineRule="auto"/>
      </w:pPr>
      <w:r w:rsidRPr="0003158A">
        <w:t xml:space="preserve">For both boys and girls there were </w:t>
      </w:r>
      <w:r>
        <w:t xml:space="preserve">moderate and statistically significant </w:t>
      </w:r>
      <w:r w:rsidRPr="0003158A">
        <w:t xml:space="preserve">associations between disability status and </w:t>
      </w:r>
      <w:r>
        <w:t>self-harm</w:t>
      </w:r>
      <w:r w:rsidR="004D3282">
        <w:t>, with the prevalence of self-harm being more than 50% higher among adolescents with a disability when compared to their non-disabled peers</w:t>
      </w:r>
      <w:r w:rsidRPr="00E96F68">
        <w:t>.</w:t>
      </w:r>
      <w:r w:rsidR="00C9539E">
        <w:t xml:space="preserve"> </w:t>
      </w:r>
      <w:r w:rsidRPr="00E96F68">
        <w:t xml:space="preserve"> </w:t>
      </w:r>
      <w:r w:rsidR="00212FB7">
        <w:t>Among participants with a disability</w:t>
      </w:r>
      <w:r w:rsidR="00CB66A2">
        <w:t>,</w:t>
      </w:r>
      <w:r w:rsidR="00212FB7">
        <w:t xml:space="preserve"> </w:t>
      </w:r>
      <w:r w:rsidR="00C9539E">
        <w:t xml:space="preserve">the </w:t>
      </w:r>
      <w:r w:rsidR="00212FB7">
        <w:t xml:space="preserve">severity of activity </w:t>
      </w:r>
      <w:r w:rsidR="00C9539E">
        <w:t xml:space="preserve">limitation </w:t>
      </w:r>
      <w:r w:rsidR="00212FB7">
        <w:t xml:space="preserve">was not significantly related to prevalence of self-harm. </w:t>
      </w:r>
      <w:r w:rsidR="00C9539E">
        <w:t>P</w:t>
      </w:r>
      <w:r w:rsidR="00212FB7">
        <w:t xml:space="preserve">revalence rates </w:t>
      </w:r>
      <w:r w:rsidR="00C9539E">
        <w:t xml:space="preserve">for self-harm </w:t>
      </w:r>
      <w:r w:rsidR="00212FB7">
        <w:t xml:space="preserve">were significantly higher among girls </w:t>
      </w:r>
      <w:r w:rsidR="00C9539E">
        <w:t>when compared to boys among participants with and without disability</w:t>
      </w:r>
      <w:r w:rsidR="00C13C2A">
        <w:t>.</w:t>
      </w:r>
      <w:r w:rsidR="00C9539E">
        <w:t xml:space="preserve"> </w:t>
      </w:r>
      <w:r w:rsidR="00503110">
        <w:t xml:space="preserve">The disability*gender interaction term was not statistically significant. </w:t>
      </w:r>
    </w:p>
    <w:p w14:paraId="158EDD80" w14:textId="49EBE9EC" w:rsidR="00D94319" w:rsidRDefault="00D94319" w:rsidP="00503110">
      <w:pPr>
        <w:pStyle w:val="Heading2"/>
      </w:pPr>
      <w:r>
        <w:t xml:space="preserve">Association between </w:t>
      </w:r>
      <w:r w:rsidR="00A477F4">
        <w:t xml:space="preserve">Type of </w:t>
      </w:r>
      <w:r>
        <w:t xml:space="preserve">Functional </w:t>
      </w:r>
      <w:r w:rsidR="001A186A">
        <w:t>Activity Limitation</w:t>
      </w:r>
      <w:r>
        <w:t xml:space="preserve"> and </w:t>
      </w:r>
      <w:r w:rsidR="00212FB7">
        <w:t>Adolescent</w:t>
      </w:r>
      <w:r w:rsidR="00EC7426">
        <w:t xml:space="preserve"> Emotional Difficulties</w:t>
      </w:r>
      <w:r w:rsidR="001A186A">
        <w:t xml:space="preserve"> and Self-Harm</w:t>
      </w:r>
    </w:p>
    <w:p w14:paraId="1A4FD7F7" w14:textId="40432AD2" w:rsidR="00E1764F" w:rsidRDefault="000367AA" w:rsidP="00FA27A6">
      <w:pPr>
        <w:spacing w:line="480" w:lineRule="auto"/>
      </w:pPr>
      <w:r>
        <w:t>T</w:t>
      </w:r>
      <w:r w:rsidR="006A60DC">
        <w:t xml:space="preserve">he prevalence of emotional difficulties </w:t>
      </w:r>
      <w:r>
        <w:t xml:space="preserve">and self-harm </w:t>
      </w:r>
      <w:r w:rsidR="006A60DC">
        <w:t xml:space="preserve">was elevated on all outcome measures for </w:t>
      </w:r>
      <w:r w:rsidR="00C4305C">
        <w:t>e</w:t>
      </w:r>
      <w:r w:rsidR="006A60DC">
        <w:t xml:space="preserve">ach of the </w:t>
      </w:r>
      <w:r w:rsidR="009E3052">
        <w:t xml:space="preserve">three </w:t>
      </w:r>
      <w:r w:rsidR="00C4305C">
        <w:t xml:space="preserve">functional activity limitation </w:t>
      </w:r>
      <w:r w:rsidR="009E3052">
        <w:t xml:space="preserve">groups (Table </w:t>
      </w:r>
      <w:r w:rsidR="00141388">
        <w:t>4</w:t>
      </w:r>
      <w:r w:rsidR="006A60DC">
        <w:t xml:space="preserve">). </w:t>
      </w:r>
      <w:r w:rsidR="00C4305C">
        <w:t xml:space="preserve">In </w:t>
      </w:r>
      <w:r w:rsidR="005D44F2">
        <w:t>1</w:t>
      </w:r>
      <w:r w:rsidR="00CF681E">
        <w:t>6</w:t>
      </w:r>
      <w:r w:rsidR="00C4305C">
        <w:t xml:space="preserve"> of 18 instances these differences were </w:t>
      </w:r>
      <w:r w:rsidR="00C4305C">
        <w:lastRenderedPageBreak/>
        <w:t xml:space="preserve">statistically significant.  </w:t>
      </w:r>
      <w:r w:rsidR="00ED74E1">
        <w:t>E</w:t>
      </w:r>
      <w:r w:rsidR="006A60DC">
        <w:t xml:space="preserve">ffect sizes were </w:t>
      </w:r>
      <w:r w:rsidR="00C4305C">
        <w:t xml:space="preserve">significantly </w:t>
      </w:r>
      <w:r w:rsidR="006A60DC">
        <w:t>greater for maternal reported outcomes</w:t>
      </w:r>
      <w:r w:rsidR="00C4305C">
        <w:t xml:space="preserve"> than adolescent self-reported outcomes. </w:t>
      </w:r>
      <w:r w:rsidR="00861F98">
        <w:t xml:space="preserve">In most analyses the highest risk for emotional difficulties and self-harm was observed among adolescents with psychosocial limitations. </w:t>
      </w:r>
      <w:r w:rsidR="002F2DBA">
        <w:t xml:space="preserve">Disability*gender interaction terms were not statistically significant. </w:t>
      </w:r>
    </w:p>
    <w:p w14:paraId="041CEEFC" w14:textId="6BCE8EF5" w:rsidR="00F54106" w:rsidRDefault="00F54106" w:rsidP="00FA27A6">
      <w:pPr>
        <w:pStyle w:val="Heading1"/>
        <w:spacing w:line="480" w:lineRule="auto"/>
      </w:pPr>
      <w:r w:rsidRPr="00BC7581">
        <w:t>Discussion</w:t>
      </w:r>
    </w:p>
    <w:p w14:paraId="216E9CA3" w14:textId="604CFBD7" w:rsidR="00AD47B6" w:rsidRDefault="00AD47B6" w:rsidP="00FA27A6">
      <w:pPr>
        <w:spacing w:line="480" w:lineRule="auto"/>
      </w:pPr>
      <w:r>
        <w:t>The results of our study indicate that: (1) i</w:t>
      </w:r>
      <w:r w:rsidR="00F9608E">
        <w:t xml:space="preserve">n the majority of analyses adolescents with disability reported </w:t>
      </w:r>
      <w:r>
        <w:t xml:space="preserve">significantly </w:t>
      </w:r>
      <w:r w:rsidR="00F9608E">
        <w:t>higher rates of emotional difficulties and self-harm than their non-disabled peers</w:t>
      </w:r>
      <w:r>
        <w:t>; (2) t</w:t>
      </w:r>
      <w:r w:rsidR="00F9608E">
        <w:t>he strength of th</w:t>
      </w:r>
      <w:r>
        <w:t xml:space="preserve">e </w:t>
      </w:r>
      <w:r w:rsidR="00F9608E">
        <w:t xml:space="preserve">association </w:t>
      </w:r>
      <w:r>
        <w:t xml:space="preserve">between disability and emotional difficulties and self-harm was greater </w:t>
      </w:r>
      <w:r w:rsidR="00F9608E">
        <w:t xml:space="preserve">for maternal report of adolescent </w:t>
      </w:r>
      <w:r w:rsidR="00F9608E" w:rsidRPr="00620CE0">
        <w:t>emotional difficulties</w:t>
      </w:r>
      <w:r>
        <w:t xml:space="preserve"> </w:t>
      </w:r>
      <w:r w:rsidR="00F9608E" w:rsidRPr="00620CE0">
        <w:t xml:space="preserve">among </w:t>
      </w:r>
      <w:r>
        <w:t xml:space="preserve">disabled </w:t>
      </w:r>
      <w:r w:rsidR="00F9608E" w:rsidRPr="00620CE0">
        <w:t xml:space="preserve">adolescents with </w:t>
      </w:r>
      <w:r w:rsidR="00325BE3">
        <w:t>moderate/severe activity limitations</w:t>
      </w:r>
      <w:r>
        <w:t xml:space="preserve">, </w:t>
      </w:r>
      <w:r w:rsidR="008A294E">
        <w:t xml:space="preserve">and </w:t>
      </w:r>
      <w:r w:rsidR="00F9608E">
        <w:t>among adolescents with psychosocial impairments</w:t>
      </w:r>
      <w:r w:rsidRPr="00861F98">
        <w:t>; (3) a</w:t>
      </w:r>
      <w:r w:rsidR="00F9608E" w:rsidRPr="00861F98">
        <w:t>mong participants with and without disability, prevalence rates</w:t>
      </w:r>
      <w:r w:rsidR="00C37EC5" w:rsidRPr="00861F98">
        <w:t xml:space="preserve"> of</w:t>
      </w:r>
      <w:r w:rsidR="00861F98">
        <w:t xml:space="preserve"> emotional difficulties and self-harm </w:t>
      </w:r>
      <w:r w:rsidR="00F9608E" w:rsidRPr="00861F98">
        <w:t>were notably higher among girls</w:t>
      </w:r>
      <w:r w:rsidRPr="00861F98">
        <w:t xml:space="preserve"> for most outcomes</w:t>
      </w:r>
      <w:r w:rsidR="00F9608E" w:rsidRPr="00861F98">
        <w:t>.</w:t>
      </w:r>
      <w:r>
        <w:t xml:space="preserve"> </w:t>
      </w:r>
    </w:p>
    <w:p w14:paraId="580F4777" w14:textId="139B4BDB" w:rsidR="003C2F8F" w:rsidRDefault="00AD47B6" w:rsidP="00FA27A6">
      <w:pPr>
        <w:spacing w:line="480" w:lineRule="auto"/>
      </w:pPr>
      <w:r>
        <w:t xml:space="preserve">Our study is, to our knowledge, the first population-based study to examine the association between disability, gender and the emotional wellbeing of adolescents. It adds significantly to existing knowledge in two areas. First, it highlights the very high prevalence of emotional difficulties and self-harm among adolescents with disabilities (who account for approximately 10% of all adolescents). </w:t>
      </w:r>
      <w:r w:rsidR="00ED74E1">
        <w:t xml:space="preserve">From these data </w:t>
      </w:r>
      <w:r w:rsidR="001A186A">
        <w:t xml:space="preserve">we estimate that adolescents with disability account for 14%-30% of all adolescents with potential emotional disorders. </w:t>
      </w:r>
      <w:r w:rsidR="003C2F8F">
        <w:t>There is a clear need for providers of all mental health services (including those focusing on primary prevention) to ensure that reasonable accommodations are made to services to ensure that they are responsive to the specific needs of adolescents with disabilities. This is particularly the case for girls with disabilities</w:t>
      </w:r>
      <w:r w:rsidR="00ED74E1">
        <w:t xml:space="preserve">. </w:t>
      </w:r>
    </w:p>
    <w:p w14:paraId="459C90AB" w14:textId="74CCBD5A" w:rsidR="001A186A" w:rsidRDefault="003C2F8F" w:rsidP="00FA27A6">
      <w:pPr>
        <w:spacing w:line="480" w:lineRule="auto"/>
      </w:pPr>
      <w:r>
        <w:t xml:space="preserve">Second, it adds to the very limited literature on the interaction between gender and disability </w:t>
      </w:r>
      <w:r w:rsidR="007D02D3">
        <w:t>regarding</w:t>
      </w:r>
      <w:r>
        <w:t xml:space="preserve"> child and adolescent wellbeing.  </w:t>
      </w:r>
      <w:r w:rsidR="00BD5A7B">
        <w:t xml:space="preserve">Our results suggested a significant gender by disability interaction for </w:t>
      </w:r>
      <w:r w:rsidR="00BD5A7B">
        <w:lastRenderedPageBreak/>
        <w:t>one of the three outcomes (self-reported depression) with high</w:t>
      </w:r>
      <w:r w:rsidR="0090198C">
        <w:t>er than expected</w:t>
      </w:r>
      <w:r w:rsidR="00BD5A7B">
        <w:t xml:space="preserve"> prevalence rates (31%) among disabled girls. The few studies that have addressed this issue have reported: (1) higher than expected rates of disruptive behaviours among girls with intellectual disabilities</w:t>
      </w:r>
      <w:r w:rsidR="00B004F2">
        <w:t>;</w:t>
      </w:r>
      <w:r w:rsidR="00BD5A7B">
        <w:fldChar w:fldCharType="begin"/>
      </w:r>
      <w:r w:rsidR="00B97809">
        <w:instrText xml:space="preserve"> ADDIN EN.CITE &lt;EndNote&gt;&lt;Cite&gt;&lt;Author&gt;Einfeld&lt;/Author&gt;&lt;Year&gt;2010&lt;/Year&gt;&lt;RecNum&gt;5303&lt;/RecNum&gt;&lt;DisplayText&gt;&lt;style face="superscript"&gt;27&lt;/style&gt;&lt;/DisplayText&gt;&lt;record&gt;&lt;rec-number&gt;5303&lt;/rec-number&gt;&lt;foreign-keys&gt;&lt;key app="EN" db-id="0tzwrr05aez223ea2r9xt9tgddvasf55dw2p" timestamp="1454381417"&gt;5303&lt;/key&gt;&lt;/foreign-keys&gt;&lt;ref-type name="Journal Article"&gt;17&lt;/ref-type&gt;&lt;contributors&gt;&lt;authors&gt;&lt;author&gt;Einfeld, S L&lt;/author&gt;&lt;author&gt;Gray, K&lt;/author&gt;&lt;author&gt;Ellis, L.&lt;/author&gt;&lt;author&gt;Taffe, J&lt;/author&gt;&lt;author&gt;Emerson, E&lt;/author&gt;&lt;author&gt;Tonge, B&lt;/author&gt;&lt;author&gt;Horstead, S&lt;/author&gt;&lt;/authors&gt;&lt;/contributors&gt;&lt;titles&gt;&lt;title&gt; Intellectual disability modifies gender effects on disruptive behaviors&lt;/title&gt;&lt;secondary-title&gt;Journal of Mental Health Research in Intellectual Disabilities&lt;/secondary-title&gt;&lt;/titles&gt;&lt;periodical&gt;&lt;full-title&gt;Journal of Mental Health Research in Intellectual Disabilities&lt;/full-title&gt;&lt;/periodical&gt;&lt;pages&gt;177-189&lt;/pages&gt;&lt;volume&gt;3&lt;/volume&gt;&lt;dates&gt;&lt;year&gt;2010&lt;/year&gt;&lt;/dates&gt;&lt;urls&gt;&lt;/urls&gt;&lt;/record&gt;&lt;/Cite&gt;&lt;/EndNote&gt;</w:instrText>
      </w:r>
      <w:r w:rsidR="00BD5A7B">
        <w:fldChar w:fldCharType="separate"/>
      </w:r>
      <w:r w:rsidR="00B97809" w:rsidRPr="00B97809">
        <w:rPr>
          <w:noProof/>
          <w:vertAlign w:val="superscript"/>
        </w:rPr>
        <w:t>27</w:t>
      </w:r>
      <w:r w:rsidR="00BD5A7B">
        <w:fldChar w:fldCharType="end"/>
      </w:r>
      <w:r w:rsidR="00BD5A7B">
        <w:t xml:space="preserve"> (2) higher than expected rates of emotional difficulties among adolescent girls with chronic health conditions</w:t>
      </w:r>
      <w:r w:rsidR="00B004F2">
        <w:t>;</w:t>
      </w:r>
      <w:r w:rsidR="00BD5A7B">
        <w:fldChar w:fldCharType="begin"/>
      </w:r>
      <w:r w:rsidR="00B97809">
        <w:instrText xml:space="preserve"> ADDIN EN.CITE &lt;EndNote&gt;&lt;Cite&gt;&lt;Author&gt;Surıs&lt;/Author&gt;&lt;Year&gt;1996&lt;/Year&gt;&lt;RecNum&gt;5675&lt;/RecNum&gt;&lt;DisplayText&gt;&lt;style face="superscript"&gt;22&lt;/style&gt;&lt;/DisplayText&gt;&lt;record&gt;&lt;rec-number&gt;5675&lt;/rec-number&gt;&lt;foreign-keys&gt;&lt;key app="EN" db-id="0tzwrr05aez223ea2r9xt9tgddvasf55dw2p" timestamp="1529773610"&gt;5675&lt;/key&gt;&lt;/foreign-keys&gt;&lt;ref-type name="Journal Article"&gt;17&lt;/ref-type&gt;&lt;contributors&gt;&lt;authors&gt;&lt;author&gt;&lt;style face="normal" font="default" size="100%"&gt;Sur&lt;/style&gt;&lt;style face="normal" font="default" charset="162" size="100%"&gt;ıs&lt;/style&gt;&lt;style face="normal" font="default" size="100%"&gt;,&lt;/style&gt;&lt;style face="normal" font="default" charset="162" size="100%"&gt; J&lt;/style&gt;&lt;/author&gt;&lt;author&gt;&lt;style face="normal" font="default" charset="162" size="100%"&gt;Parera&lt;/style&gt;&lt;style face="normal" font="default" size="100%"&gt;,&lt;/style&gt;&lt;style face="normal" font="default" charset="162" size="100%"&gt; N &lt;/style&gt;&lt;/author&gt;&lt;author&gt;&lt;style face="normal" font="default" charset="162" size="100%"&gt;Puig&lt;/style&gt;&lt;style face="normal" font="default" size="100%"&gt;,&lt;/style&gt;&lt;style face="normal" font="default" charset="162" size="100%"&gt; C&lt;/style&gt;&lt;/author&gt;&lt;/authors&gt;&lt;/contributors&gt;&lt;titles&gt;&lt;title&gt;&lt;style face="normal" font="default" charset="162" size="100%"&gt;Chronic illness and emotional distress in&lt;/style&gt;&lt;style face="normal" font="default" size="100%"&gt; &lt;/style&gt;&lt;style face="normal" font="default" charset="162" size="100%"&gt;adolescence&lt;/style&gt;&lt;/title&gt;&lt;secondary-title&gt;Journal of Adolescent Health&lt;/secondary-title&gt;&lt;/titles&gt;&lt;periodical&gt;&lt;full-title&gt;Journal of Adolescent Health&lt;/full-title&gt;&lt;/periodical&gt;&lt;pages&gt;153-6&lt;/pages&gt;&lt;volume&gt;19&lt;/volume&gt;&lt;dates&gt;&lt;year&gt;1996&lt;/year&gt;&lt;/dates&gt;&lt;urls&gt;&lt;/urls&gt;&lt;/record&gt;&lt;/Cite&gt;&lt;/EndNote&gt;</w:instrText>
      </w:r>
      <w:r w:rsidR="00BD5A7B">
        <w:fldChar w:fldCharType="separate"/>
      </w:r>
      <w:r w:rsidR="00B97809" w:rsidRPr="00B97809">
        <w:rPr>
          <w:noProof/>
          <w:vertAlign w:val="superscript"/>
        </w:rPr>
        <w:t>22</w:t>
      </w:r>
      <w:r w:rsidR="00BD5A7B">
        <w:fldChar w:fldCharType="end"/>
      </w:r>
      <w:r w:rsidR="00BD5A7B">
        <w:t xml:space="preserve"> and, more recently, (3) </w:t>
      </w:r>
      <w:r w:rsidR="0090198C">
        <w:t>higher than expected rates of dissatisfaction with school among adolescent girls with disabilities</w:t>
      </w:r>
      <w:r w:rsidR="00B004F2">
        <w:t>.</w:t>
      </w:r>
      <w:r w:rsidR="0090198C">
        <w:fldChar w:fldCharType="begin"/>
      </w:r>
      <w:r w:rsidR="00AB698C">
        <w:instrText xml:space="preserve"> ADDIN EN.CITE &lt;EndNote&gt;&lt;Cite&gt;&lt;Author&gt;Arculi&lt;/Author&gt;&lt;Year&gt;2018, online&lt;/Year&gt;&lt;RecNum&gt;5698&lt;/RecNum&gt;&lt;DisplayText&gt;&lt;style face="superscript"&gt;42&lt;/style&gt;&lt;/DisplayText&gt;&lt;record&gt;&lt;rec-number&gt;5698&lt;/rec-number&gt;&lt;foreign-keys&gt;&lt;key app="EN" db-id="0tzwrr05aez223ea2r9xt9tgddvasf55dw2p" timestamp="1541587583"&gt;5698&lt;/key&gt;&lt;/foreign-keys&gt;&lt;ref-type name="Journal Article"&gt;17&lt;/ref-type&gt;&lt;contributors&gt;&lt;authors&gt;&lt;author&gt;Arculi, J&lt;/author&gt;&lt;author&gt;Emerson, E&lt;/author&gt;&lt;author&gt;Llewellyn, G&lt;/author&gt;&lt;/authors&gt;&lt;/contributors&gt;&lt;titles&gt;&lt;title&gt;Self-report of school satisfaction: The interaction between disability and gender&lt;/title&gt;&lt;secondary-title&gt;&lt;style face="normal" font="default" size="100%"&gt;School Psychology Quarterly &lt;/style&gt;&lt;style face="underline" font="default" size="100%"&gt;http://dx.doi.org/10.1037/spq0000275&lt;/style&gt;&lt;/secondary-title&gt;&lt;/titles&gt;&lt;periodical&gt;&lt;full-title&gt;School Psychology Quarterly http://dx.doi.org/10.1037/spq0000275&lt;/full-title&gt;&lt;/periodical&gt;&lt;dates&gt;&lt;year&gt;2018, online&lt;/year&gt;&lt;/dates&gt;&lt;urls&gt;&lt;/urls&gt;&lt;/record&gt;&lt;/Cite&gt;&lt;/EndNote&gt;</w:instrText>
      </w:r>
      <w:r w:rsidR="0090198C">
        <w:fldChar w:fldCharType="separate"/>
      </w:r>
      <w:r w:rsidR="00AB698C" w:rsidRPr="00AB698C">
        <w:rPr>
          <w:noProof/>
          <w:vertAlign w:val="superscript"/>
        </w:rPr>
        <w:t>42</w:t>
      </w:r>
      <w:r w:rsidR="0090198C">
        <w:fldChar w:fldCharType="end"/>
      </w:r>
    </w:p>
    <w:p w14:paraId="014FCDD9" w14:textId="181B1647" w:rsidR="00F9608E" w:rsidRDefault="0090198C" w:rsidP="00FA27A6">
      <w:pPr>
        <w:spacing w:line="480" w:lineRule="auto"/>
      </w:pPr>
      <w:r>
        <w:t>The main strengths of the present study are: (1) the use of a c</w:t>
      </w:r>
      <w:r w:rsidR="00F9608E">
        <w:t>ontemporary nationally representative sample</w:t>
      </w:r>
      <w:r>
        <w:t xml:space="preserve"> of adolescents; (2) the use of m</w:t>
      </w:r>
      <w:r w:rsidR="00F9608E">
        <w:t>ultiple informants</w:t>
      </w:r>
      <w:r>
        <w:t xml:space="preserve"> and </w:t>
      </w:r>
      <w:r w:rsidR="00F9608E">
        <w:t>measures</w:t>
      </w:r>
      <w:r>
        <w:t xml:space="preserve"> of emotional difficulties; and (2) the w</w:t>
      </w:r>
      <w:r w:rsidR="00F9608E">
        <w:t>ide range of covariates</w:t>
      </w:r>
      <w:r>
        <w:t xml:space="preserve"> that could be included in our analyses. However, </w:t>
      </w:r>
      <w:r w:rsidR="004C03AE">
        <w:t>t</w:t>
      </w:r>
      <w:r w:rsidR="003B5EEC">
        <w:t>hree</w:t>
      </w:r>
      <w:r>
        <w:t xml:space="preserve"> limitations need to be </w:t>
      </w:r>
      <w:r w:rsidR="007D02D3">
        <w:t>considered</w:t>
      </w:r>
      <w:r>
        <w:t xml:space="preserve"> when considering the implications of our study. First, both of our measures of emotional difficulties </w:t>
      </w:r>
      <w:r w:rsidR="004C03AE">
        <w:t xml:space="preserve">(the SDQ and SF-MFQ) </w:t>
      </w:r>
      <w:r>
        <w:t>were short scales developed for screening for potential emotional disorders</w:t>
      </w:r>
      <w:r w:rsidR="004C03AE">
        <w:t xml:space="preserve">. While both </w:t>
      </w:r>
      <w:r w:rsidR="002044D9">
        <w:t xml:space="preserve">are </w:t>
      </w:r>
      <w:r w:rsidR="004C03AE">
        <w:t>psychometrically robust</w:t>
      </w:r>
      <w:r>
        <w:t xml:space="preserve">, </w:t>
      </w:r>
      <w:r w:rsidR="004C03AE">
        <w:t xml:space="preserve">they are not equivalent to </w:t>
      </w:r>
      <w:r>
        <w:t xml:space="preserve">formal diagnoses of the presence of emotional disorders. </w:t>
      </w:r>
      <w:r w:rsidR="004C03AE">
        <w:t>Second</w:t>
      </w:r>
      <w:r w:rsidR="003B5EEC">
        <w:t>, we are not aware of any studies regarding the psychometric properties of the single item measure of self-harm. Finally</w:t>
      </w:r>
      <w:r w:rsidR="004C03AE">
        <w:t>, while our results indicated marked differences in the association between disability and emotional difficulties depending on the measure used, it is</w:t>
      </w:r>
      <w:r>
        <w:t xml:space="preserve"> </w:t>
      </w:r>
      <w:r w:rsidR="004C03AE">
        <w:t xml:space="preserve">not possible to determine whether these differences reflect differences in </w:t>
      </w:r>
      <w:r w:rsidR="00F9608E">
        <w:t>informant</w:t>
      </w:r>
      <w:r w:rsidR="004C03AE">
        <w:t>s</w:t>
      </w:r>
      <w:r w:rsidR="00F9608E">
        <w:t xml:space="preserve"> </w:t>
      </w:r>
      <w:r w:rsidR="004C03AE">
        <w:t xml:space="preserve">or the nature of the </w:t>
      </w:r>
      <w:r w:rsidR="00F9608E">
        <w:t xml:space="preserve">measure </w:t>
      </w:r>
      <w:r w:rsidR="004C03AE">
        <w:t xml:space="preserve">used. </w:t>
      </w:r>
    </w:p>
    <w:p w14:paraId="387156E0" w14:textId="2B917D41" w:rsidR="004C03AE" w:rsidRDefault="004C03AE" w:rsidP="00FA27A6">
      <w:pPr>
        <w:spacing w:line="480" w:lineRule="auto"/>
      </w:pPr>
      <w:r>
        <w:t xml:space="preserve">Future research is needed to determine the extent to which our results can be generalised to adolescents in other settings, to specific subgroups of adolescents with disabilities (e.g., adolescents with disabilities in minority ethnic groups), to other measures of emotional difficulties and to other informants. </w:t>
      </w:r>
      <w:r w:rsidR="002969D9">
        <w:t xml:space="preserve">Future research is also needed to further explore the consistency, determinants and impact of the intersection between gender by disability </w:t>
      </w:r>
      <w:r w:rsidR="007D02D3">
        <w:t>regarding</w:t>
      </w:r>
      <w:r w:rsidR="002969D9">
        <w:t xml:space="preserve"> adolescent mental health. </w:t>
      </w:r>
    </w:p>
    <w:p w14:paraId="03109946" w14:textId="3F7CAF8F" w:rsidR="00F54106" w:rsidRDefault="00F54106" w:rsidP="00FA27A6">
      <w:pPr>
        <w:pStyle w:val="Heading1"/>
        <w:spacing w:line="480" w:lineRule="auto"/>
      </w:pPr>
      <w:r>
        <w:lastRenderedPageBreak/>
        <w:t>References</w:t>
      </w:r>
    </w:p>
    <w:p w14:paraId="132BC2EE" w14:textId="77777777" w:rsidR="00AB698C" w:rsidRPr="00AB698C" w:rsidRDefault="00F54106" w:rsidP="00AB698C">
      <w:pPr>
        <w:pStyle w:val="EndNoteBibliography"/>
        <w:spacing w:after="0"/>
        <w:ind w:left="720" w:hanging="720"/>
      </w:pPr>
      <w:r>
        <w:fldChar w:fldCharType="begin"/>
      </w:r>
      <w:r>
        <w:instrText xml:space="preserve"> ADDIN EN.REFLIST </w:instrText>
      </w:r>
      <w:r>
        <w:fldChar w:fldCharType="separate"/>
      </w:r>
      <w:r w:rsidR="00AB698C" w:rsidRPr="00AB698C">
        <w:rPr>
          <w:b/>
        </w:rPr>
        <w:t>1.</w:t>
      </w:r>
      <w:r w:rsidR="00AB698C" w:rsidRPr="00AB698C">
        <w:tab/>
        <w:t xml:space="preserve">Gore FM, Bloem PJ, Patton GC, et al. Global burden of disease in young people aged 10–24 years: a systematic analysis. </w:t>
      </w:r>
      <w:r w:rsidR="00AB698C" w:rsidRPr="00AB698C">
        <w:rPr>
          <w:i/>
        </w:rPr>
        <w:t>The Lancet.</w:t>
      </w:r>
      <w:r w:rsidR="00AB698C" w:rsidRPr="00AB698C">
        <w:t xml:space="preserve"> 2011;377:2093-2102.</w:t>
      </w:r>
    </w:p>
    <w:p w14:paraId="7DF7E30C" w14:textId="77777777" w:rsidR="00AB698C" w:rsidRPr="00AB698C" w:rsidRDefault="00AB698C" w:rsidP="00AB698C">
      <w:pPr>
        <w:pStyle w:val="EndNoteBibliography"/>
        <w:spacing w:after="0"/>
        <w:ind w:left="720" w:hanging="720"/>
      </w:pPr>
      <w:r w:rsidRPr="00AB698C">
        <w:rPr>
          <w:b/>
        </w:rPr>
        <w:t>2.</w:t>
      </w:r>
      <w:r w:rsidRPr="00AB698C">
        <w:tab/>
        <w:t>UNICEF. The State of the World's Children 2011: Adolescence - An Age of Opportunity. New York: UNICEF; 2011.</w:t>
      </w:r>
    </w:p>
    <w:p w14:paraId="674DD0B7" w14:textId="77777777" w:rsidR="00AB698C" w:rsidRPr="00AB698C" w:rsidRDefault="00AB698C" w:rsidP="00AB698C">
      <w:pPr>
        <w:pStyle w:val="EndNoteBibliography"/>
        <w:spacing w:after="0"/>
        <w:ind w:left="720" w:hanging="720"/>
      </w:pPr>
      <w:r w:rsidRPr="00AB698C">
        <w:rPr>
          <w:b/>
        </w:rPr>
        <w:t>3.</w:t>
      </w:r>
      <w:r w:rsidRPr="00AB698C">
        <w:tab/>
        <w:t xml:space="preserve">Patel V, Flisher AJ, Hetrick S, McGorry P. Mental health of young people: a global public-health challenge. </w:t>
      </w:r>
      <w:r w:rsidRPr="00AB698C">
        <w:rPr>
          <w:i/>
        </w:rPr>
        <w:t>The Lancet.</w:t>
      </w:r>
      <w:r w:rsidRPr="00AB698C">
        <w:t xml:space="preserve"> 2007;369:1302-1313.</w:t>
      </w:r>
    </w:p>
    <w:p w14:paraId="0CB4D761" w14:textId="77777777" w:rsidR="00AB698C" w:rsidRPr="00AB698C" w:rsidRDefault="00AB698C" w:rsidP="00AB698C">
      <w:pPr>
        <w:pStyle w:val="EndNoteBibliography"/>
        <w:spacing w:after="0"/>
        <w:ind w:left="720" w:hanging="720"/>
      </w:pPr>
      <w:r w:rsidRPr="00AB698C">
        <w:rPr>
          <w:b/>
        </w:rPr>
        <w:t>4.</w:t>
      </w:r>
      <w:r w:rsidRPr="00AB698C">
        <w:tab/>
        <w:t>World Health Organization. Health for the World’s Adolescents: A second chance in the second decade. Geneva, Switzerland: Department of Maternal, Newborn, Child and Adolescent Health; World Health Organisation; 2014.</w:t>
      </w:r>
    </w:p>
    <w:p w14:paraId="307B3C10" w14:textId="77777777" w:rsidR="00AB698C" w:rsidRPr="00AB698C" w:rsidRDefault="00AB698C" w:rsidP="00AB698C">
      <w:pPr>
        <w:pStyle w:val="EndNoteBibliography"/>
        <w:spacing w:after="0"/>
        <w:ind w:left="720" w:hanging="720"/>
      </w:pPr>
      <w:r w:rsidRPr="00AB698C">
        <w:rPr>
          <w:b/>
        </w:rPr>
        <w:t>5.</w:t>
      </w:r>
      <w:r w:rsidRPr="00AB698C">
        <w:tab/>
        <w:t xml:space="preserve">Green H, McGinnity A, Meltzer H, Ford T, Goodman R. </w:t>
      </w:r>
      <w:r w:rsidRPr="00AB698C">
        <w:rPr>
          <w:i/>
        </w:rPr>
        <w:t>Mental Health of Children and Young People in Britain, 2004</w:t>
      </w:r>
      <w:r w:rsidRPr="00AB698C">
        <w:t>. Basingstoke: Palgrave MacMillan; 2005.</w:t>
      </w:r>
    </w:p>
    <w:p w14:paraId="00FE4F87" w14:textId="77777777" w:rsidR="00AB698C" w:rsidRPr="00AB698C" w:rsidRDefault="00AB698C" w:rsidP="00AB698C">
      <w:pPr>
        <w:pStyle w:val="EndNoteBibliography"/>
        <w:spacing w:after="0"/>
        <w:ind w:left="720" w:hanging="720"/>
      </w:pPr>
      <w:r w:rsidRPr="00AB698C">
        <w:rPr>
          <w:b/>
        </w:rPr>
        <w:t>6.</w:t>
      </w:r>
      <w:r w:rsidRPr="00AB698C">
        <w:tab/>
        <w:t xml:space="preserve">Kessler RC. Epidemiology of women and depression. </w:t>
      </w:r>
      <w:r w:rsidRPr="00AB698C">
        <w:rPr>
          <w:i/>
        </w:rPr>
        <w:t>J. Affect. Disord.</w:t>
      </w:r>
      <w:r w:rsidRPr="00AB698C">
        <w:t xml:space="preserve"> 2003;74:5-13.</w:t>
      </w:r>
    </w:p>
    <w:p w14:paraId="20DEEFDD" w14:textId="77777777" w:rsidR="00AB698C" w:rsidRPr="00AB698C" w:rsidRDefault="00AB698C" w:rsidP="00AB698C">
      <w:pPr>
        <w:pStyle w:val="EndNoteBibliography"/>
        <w:spacing w:after="0"/>
        <w:ind w:left="720" w:hanging="720"/>
      </w:pPr>
      <w:r w:rsidRPr="00AB698C">
        <w:rPr>
          <w:b/>
        </w:rPr>
        <w:t>7.</w:t>
      </w:r>
      <w:r w:rsidRPr="00AB698C">
        <w:tab/>
        <w:t xml:space="preserve">Collishaw S, Maughan B, Natarajan L, Pickles A. Trends in adolescent emotional problems in England: A comparison of two national cohorts twenty years apart. </w:t>
      </w:r>
      <w:r w:rsidRPr="00AB698C">
        <w:rPr>
          <w:i/>
        </w:rPr>
        <w:t>Journal of Child Psychology and Psychiatry.</w:t>
      </w:r>
      <w:r w:rsidRPr="00AB698C">
        <w:t xml:space="preserve"> 2010;51:885-894.</w:t>
      </w:r>
    </w:p>
    <w:p w14:paraId="02CF6AC9" w14:textId="77777777" w:rsidR="00AB698C" w:rsidRPr="00AB698C" w:rsidRDefault="00AB698C" w:rsidP="00AB698C">
      <w:pPr>
        <w:pStyle w:val="EndNoteBibliography"/>
        <w:spacing w:after="0"/>
        <w:ind w:left="720" w:hanging="720"/>
      </w:pPr>
      <w:r w:rsidRPr="00AB698C">
        <w:rPr>
          <w:b/>
        </w:rPr>
        <w:t>8.</w:t>
      </w:r>
      <w:r w:rsidRPr="00AB698C">
        <w:tab/>
        <w:t xml:space="preserve">Hawton K, Saunders KE, O'Connor RC. Self-harm and suicide in adolescents. </w:t>
      </w:r>
      <w:r w:rsidRPr="00AB698C">
        <w:rPr>
          <w:i/>
        </w:rPr>
        <w:t>The Lancet.</w:t>
      </w:r>
      <w:r w:rsidRPr="00AB698C">
        <w:t xml:space="preserve"> 2012;379:2373-2382.</w:t>
      </w:r>
    </w:p>
    <w:p w14:paraId="1539E180" w14:textId="77777777" w:rsidR="00AB698C" w:rsidRPr="00AB698C" w:rsidRDefault="00AB698C" w:rsidP="00AB698C">
      <w:pPr>
        <w:pStyle w:val="EndNoteBibliography"/>
        <w:spacing w:after="0"/>
        <w:ind w:left="720" w:hanging="720"/>
      </w:pPr>
      <w:r w:rsidRPr="00AB698C">
        <w:rPr>
          <w:b/>
        </w:rPr>
        <w:t>9.</w:t>
      </w:r>
      <w:r w:rsidRPr="00AB698C">
        <w:tab/>
        <w:t xml:space="preserve">Morey Y, Mellon D, Dailami N, Verne J, Tapp A. Adolescent self-harm in the community: an update on prevalence using a self-report survey of adolescents aged 13–18 in England. </w:t>
      </w:r>
      <w:r w:rsidRPr="00AB698C">
        <w:rPr>
          <w:i/>
        </w:rPr>
        <w:t>Journal of Public Health.</w:t>
      </w:r>
      <w:r w:rsidRPr="00AB698C">
        <w:t xml:space="preserve"> 2016;39:58-64.</w:t>
      </w:r>
    </w:p>
    <w:p w14:paraId="6ECC3DE4" w14:textId="77777777" w:rsidR="00AB698C" w:rsidRPr="00AB698C" w:rsidRDefault="00AB698C" w:rsidP="00AB698C">
      <w:pPr>
        <w:pStyle w:val="EndNoteBibliography"/>
        <w:spacing w:after="0"/>
        <w:ind w:left="720" w:hanging="720"/>
      </w:pPr>
      <w:r w:rsidRPr="00AB698C">
        <w:rPr>
          <w:b/>
        </w:rPr>
        <w:t>10.</w:t>
      </w:r>
      <w:r w:rsidRPr="00AB698C">
        <w:tab/>
        <w:t>World Health Organization and Calouste Gulbenkian Foundation. Social determinants of mental health. Geneva: World Health Organization; 2014.</w:t>
      </w:r>
    </w:p>
    <w:p w14:paraId="430C2A47" w14:textId="77777777" w:rsidR="00AB698C" w:rsidRPr="00AB698C" w:rsidRDefault="00AB698C" w:rsidP="00AB698C">
      <w:pPr>
        <w:pStyle w:val="EndNoteBibliography"/>
        <w:spacing w:after="0"/>
        <w:ind w:left="720" w:hanging="720"/>
      </w:pPr>
      <w:r w:rsidRPr="00AB698C">
        <w:rPr>
          <w:b/>
        </w:rPr>
        <w:t>11.</w:t>
      </w:r>
      <w:r w:rsidRPr="00AB698C">
        <w:tab/>
        <w:t>Hagell A, Shah R, Coleman J. Key Data on Young People 2017. London: Association for Young People’s Health; 2017.</w:t>
      </w:r>
    </w:p>
    <w:p w14:paraId="3EF8B57E" w14:textId="77777777" w:rsidR="00AB698C" w:rsidRPr="00AB698C" w:rsidRDefault="00AB698C" w:rsidP="00AB698C">
      <w:pPr>
        <w:pStyle w:val="EndNoteBibliography"/>
        <w:spacing w:after="0"/>
        <w:ind w:left="720" w:hanging="720"/>
      </w:pPr>
      <w:r w:rsidRPr="00AB698C">
        <w:rPr>
          <w:b/>
        </w:rPr>
        <w:t>12.</w:t>
      </w:r>
      <w:r w:rsidRPr="00AB698C">
        <w:tab/>
        <w:t xml:space="preserve">Jones L, Bellis MA, Wood S, et al. Prevalence and risk of violence against children with disabilities: a systematic review and meta-analysis of observational studies. </w:t>
      </w:r>
      <w:r w:rsidRPr="00AB698C">
        <w:rPr>
          <w:i/>
        </w:rPr>
        <w:t>Lancet.</w:t>
      </w:r>
      <w:r w:rsidRPr="00AB698C">
        <w:t xml:space="preserve"> 2012;380(9845):899-907.</w:t>
      </w:r>
    </w:p>
    <w:p w14:paraId="4673D7C6" w14:textId="77777777" w:rsidR="00AB698C" w:rsidRPr="00AB698C" w:rsidRDefault="00AB698C" w:rsidP="00AB698C">
      <w:pPr>
        <w:pStyle w:val="EndNoteBibliography"/>
        <w:spacing w:after="0"/>
        <w:ind w:left="720" w:hanging="720"/>
      </w:pPr>
      <w:r w:rsidRPr="00AB698C">
        <w:rPr>
          <w:b/>
        </w:rPr>
        <w:t>13.</w:t>
      </w:r>
      <w:r w:rsidRPr="00AB698C">
        <w:tab/>
        <w:t xml:space="preserve">Maxey M, Beckert TE. Adolescents with disabilities. </w:t>
      </w:r>
      <w:r w:rsidRPr="00AB698C">
        <w:rPr>
          <w:i/>
        </w:rPr>
        <w:t>Adolescent Research Review.</w:t>
      </w:r>
      <w:r w:rsidRPr="00AB698C">
        <w:t xml:space="preserve"> 2017;2:59–75.</w:t>
      </w:r>
    </w:p>
    <w:p w14:paraId="11D856C7" w14:textId="77777777" w:rsidR="00AB698C" w:rsidRPr="00AB698C" w:rsidRDefault="00AB698C" w:rsidP="00AB698C">
      <w:pPr>
        <w:pStyle w:val="EndNoteBibliography"/>
        <w:spacing w:after="0"/>
        <w:ind w:left="720" w:hanging="720"/>
      </w:pPr>
      <w:r w:rsidRPr="00AB698C">
        <w:rPr>
          <w:b/>
        </w:rPr>
        <w:t>14.</w:t>
      </w:r>
      <w:r w:rsidRPr="00AB698C">
        <w:tab/>
        <w:t xml:space="preserve">Brady AM, Deighton J, Stansfeld S. Psychiatric outcomes associated with chronic illness in adolescence: A systematic review. </w:t>
      </w:r>
      <w:r w:rsidRPr="00AB698C">
        <w:rPr>
          <w:i/>
        </w:rPr>
        <w:t>Journal of Adolescence.</w:t>
      </w:r>
      <w:r w:rsidRPr="00AB698C">
        <w:t xml:space="preserve"> 2017;59:112-123.</w:t>
      </w:r>
    </w:p>
    <w:p w14:paraId="04316599" w14:textId="77777777" w:rsidR="00AB698C" w:rsidRPr="00AB698C" w:rsidRDefault="00AB698C" w:rsidP="00AB698C">
      <w:pPr>
        <w:pStyle w:val="EndNoteBibliography"/>
        <w:spacing w:after="0"/>
        <w:ind w:left="720" w:hanging="720"/>
      </w:pPr>
      <w:r w:rsidRPr="00AB698C">
        <w:rPr>
          <w:b/>
        </w:rPr>
        <w:t>15.</w:t>
      </w:r>
      <w:r w:rsidRPr="00AB698C">
        <w:tab/>
        <w:t xml:space="preserve">Simonoff E, Pickles A, Charman T, Chandler S, Loucas T, Baird G. Psychiatric disorders in children with Autism Spectrum Disorders: Prevalence, comorbidity, and associated factors in a population-derived sample. </w:t>
      </w:r>
      <w:r w:rsidRPr="00AB698C">
        <w:rPr>
          <w:i/>
        </w:rPr>
        <w:t>Journal of the American Academy of Child &amp; Adolescent Psychiatry.</w:t>
      </w:r>
      <w:r w:rsidRPr="00AB698C">
        <w:t xml:space="preserve"> 2008;47:921-929.</w:t>
      </w:r>
    </w:p>
    <w:p w14:paraId="6A1532FE" w14:textId="77777777" w:rsidR="00AB698C" w:rsidRPr="00AB698C" w:rsidRDefault="00AB698C" w:rsidP="00AB698C">
      <w:pPr>
        <w:pStyle w:val="EndNoteBibliography"/>
        <w:spacing w:after="0"/>
        <w:ind w:left="720" w:hanging="720"/>
      </w:pPr>
      <w:r w:rsidRPr="00AB698C">
        <w:rPr>
          <w:b/>
        </w:rPr>
        <w:t>16.</w:t>
      </w:r>
      <w:r w:rsidRPr="00AB698C">
        <w:tab/>
        <w:t xml:space="preserve">Lavigne JV, Faier-Routman J. Psychological adjustment to pediatric physical disorders: A meta-analytic review. </w:t>
      </w:r>
      <w:r w:rsidRPr="00AB698C">
        <w:rPr>
          <w:i/>
        </w:rPr>
        <w:t>Journal of Pediatric Psychology.</w:t>
      </w:r>
      <w:r w:rsidRPr="00AB698C">
        <w:t xml:space="preserve"> 1992;17:133-157.</w:t>
      </w:r>
    </w:p>
    <w:p w14:paraId="1E018535" w14:textId="77777777" w:rsidR="00AB698C" w:rsidRPr="00AB698C" w:rsidRDefault="00AB698C" w:rsidP="00AB698C">
      <w:pPr>
        <w:pStyle w:val="EndNoteBibliography"/>
        <w:spacing w:after="0"/>
        <w:ind w:left="720" w:hanging="720"/>
      </w:pPr>
      <w:r w:rsidRPr="00AB698C">
        <w:rPr>
          <w:b/>
        </w:rPr>
        <w:t>17.</w:t>
      </w:r>
      <w:r w:rsidRPr="00AB698C">
        <w:tab/>
        <w:t xml:space="preserve">Stevenson J, Kreppner J, Pimperton H, Worsfold S, Kennedy C. Emotional and behavioural difficulties in children and adolescents with hearing impairments: a systematic review and meta analysis. </w:t>
      </w:r>
      <w:r w:rsidRPr="00AB698C">
        <w:rPr>
          <w:i/>
        </w:rPr>
        <w:t>European Child &amp; Adolescent Psychiatry.</w:t>
      </w:r>
      <w:r w:rsidRPr="00AB698C">
        <w:t xml:space="preserve"> 2015;24:477–496.</w:t>
      </w:r>
    </w:p>
    <w:p w14:paraId="6DAD3E38" w14:textId="77777777" w:rsidR="00AB698C" w:rsidRPr="00AB698C" w:rsidRDefault="00AB698C" w:rsidP="00AB698C">
      <w:pPr>
        <w:pStyle w:val="EndNoteBibliography"/>
        <w:spacing w:after="0"/>
        <w:ind w:left="720" w:hanging="720"/>
      </w:pPr>
      <w:r w:rsidRPr="00AB698C">
        <w:rPr>
          <w:b/>
        </w:rPr>
        <w:t>18.</w:t>
      </w:r>
      <w:r w:rsidRPr="00AB698C">
        <w:tab/>
        <w:t xml:space="preserve">Emerson E, Hatton C. The mental health of children and adolescents with intellectual disabilities in Britain. </w:t>
      </w:r>
      <w:r w:rsidRPr="00AB698C">
        <w:rPr>
          <w:i/>
        </w:rPr>
        <w:t>British Journal of Psychiatry.</w:t>
      </w:r>
      <w:r w:rsidRPr="00AB698C">
        <w:t xml:space="preserve"> 2007;191:493-499.</w:t>
      </w:r>
    </w:p>
    <w:p w14:paraId="1A98A884" w14:textId="77777777" w:rsidR="00AB698C" w:rsidRPr="00AB698C" w:rsidRDefault="00AB698C" w:rsidP="00AB698C">
      <w:pPr>
        <w:pStyle w:val="EndNoteBibliography"/>
        <w:spacing w:after="0"/>
        <w:ind w:left="720" w:hanging="720"/>
      </w:pPr>
      <w:r w:rsidRPr="00AB698C">
        <w:rPr>
          <w:b/>
        </w:rPr>
        <w:t>19.</w:t>
      </w:r>
      <w:r w:rsidRPr="00AB698C">
        <w:tab/>
        <w:t xml:space="preserve">Svetaz MV, Ireland M, Blim R. Adolescents with learning disabilities: Risk and protective factors associated with emotional well-being. Findings from the National Longitudinal Study of Adolescent Health. </w:t>
      </w:r>
      <w:r w:rsidRPr="00AB698C">
        <w:rPr>
          <w:i/>
        </w:rPr>
        <w:t>Journal of Adolescent Health.</w:t>
      </w:r>
      <w:r w:rsidRPr="00AB698C">
        <w:t xml:space="preserve"> 2000;27:340-348.</w:t>
      </w:r>
    </w:p>
    <w:p w14:paraId="7D42AE93" w14:textId="77777777" w:rsidR="00AB698C" w:rsidRPr="00AB698C" w:rsidRDefault="00AB698C" w:rsidP="00AB698C">
      <w:pPr>
        <w:pStyle w:val="EndNoteBibliography"/>
        <w:spacing w:after="0"/>
        <w:ind w:left="720" w:hanging="720"/>
      </w:pPr>
      <w:r w:rsidRPr="00AB698C">
        <w:rPr>
          <w:b/>
        </w:rPr>
        <w:lastRenderedPageBreak/>
        <w:t>20.</w:t>
      </w:r>
      <w:r w:rsidRPr="00AB698C">
        <w:tab/>
        <w:t xml:space="preserve">Harris J, Lord C. Mental health of children with vision impairment at 11 years of age. </w:t>
      </w:r>
      <w:r w:rsidRPr="00AB698C">
        <w:rPr>
          <w:i/>
        </w:rPr>
        <w:t>Developmental Medicine &amp; Child Neurology.</w:t>
      </w:r>
      <w:r w:rsidRPr="00AB698C">
        <w:t xml:space="preserve"> 2016;58:774–779.</w:t>
      </w:r>
    </w:p>
    <w:p w14:paraId="6FE08FDC" w14:textId="77777777" w:rsidR="00AB698C" w:rsidRPr="00AB698C" w:rsidRDefault="00AB698C" w:rsidP="00AB698C">
      <w:pPr>
        <w:pStyle w:val="EndNoteBibliography"/>
        <w:spacing w:after="0"/>
        <w:ind w:left="720" w:hanging="720"/>
      </w:pPr>
      <w:r w:rsidRPr="00AB698C">
        <w:rPr>
          <w:b/>
        </w:rPr>
        <w:t>21.</w:t>
      </w:r>
      <w:r w:rsidRPr="00AB698C">
        <w:tab/>
        <w:t xml:space="preserve">Barnes AJ, Eisenberg ME, Resnick MD. Suicide and self-injury among children and youth with chronic health conditions. </w:t>
      </w:r>
      <w:r w:rsidRPr="00AB698C">
        <w:rPr>
          <w:i/>
        </w:rPr>
        <w:t>Pediatrics.</w:t>
      </w:r>
      <w:r w:rsidRPr="00AB698C">
        <w:t xml:space="preserve"> 2010;125:889-895.</w:t>
      </w:r>
    </w:p>
    <w:p w14:paraId="1C11037C" w14:textId="77777777" w:rsidR="00AB698C" w:rsidRPr="00AB698C" w:rsidRDefault="00AB698C" w:rsidP="00AB698C">
      <w:pPr>
        <w:pStyle w:val="EndNoteBibliography"/>
        <w:spacing w:after="0"/>
        <w:ind w:left="720" w:hanging="720"/>
      </w:pPr>
      <w:r w:rsidRPr="00AB698C">
        <w:rPr>
          <w:b/>
        </w:rPr>
        <w:t>22.</w:t>
      </w:r>
      <w:r w:rsidRPr="00AB698C">
        <w:tab/>
        <w:t xml:space="preserve">Surıs J, Parera N, Puig C. Chronic illness and emotional distress in adolescence. </w:t>
      </w:r>
      <w:r w:rsidRPr="00AB698C">
        <w:rPr>
          <w:i/>
        </w:rPr>
        <w:t>Journal of Adolescent Health.</w:t>
      </w:r>
      <w:r w:rsidRPr="00AB698C">
        <w:t xml:space="preserve"> 1996;19:153-156.</w:t>
      </w:r>
    </w:p>
    <w:p w14:paraId="393A3B05" w14:textId="77777777" w:rsidR="00AB698C" w:rsidRPr="00AB698C" w:rsidRDefault="00AB698C" w:rsidP="00AB698C">
      <w:pPr>
        <w:pStyle w:val="EndNoteBibliography"/>
        <w:spacing w:after="0"/>
        <w:ind w:left="720" w:hanging="720"/>
      </w:pPr>
      <w:r w:rsidRPr="00AB698C">
        <w:rPr>
          <w:b/>
        </w:rPr>
        <w:t>23.</w:t>
      </w:r>
      <w:r w:rsidRPr="00AB698C">
        <w:tab/>
        <w:t xml:space="preserve">Denny S, Silva M, Fleming T, et al. The prevalence of chronic health conditions impacting on daily functioning and the association with emotional well-being among a national sample of high school students. </w:t>
      </w:r>
      <w:r w:rsidRPr="00AB698C">
        <w:rPr>
          <w:i/>
        </w:rPr>
        <w:t>Journal of Adolescent Health.</w:t>
      </w:r>
      <w:r w:rsidRPr="00AB698C">
        <w:t xml:space="preserve"> 2014;54:410.</w:t>
      </w:r>
    </w:p>
    <w:p w14:paraId="289BAB55" w14:textId="77777777" w:rsidR="00AB698C" w:rsidRPr="00AB698C" w:rsidRDefault="00AB698C" w:rsidP="00AB698C">
      <w:pPr>
        <w:pStyle w:val="EndNoteBibliography"/>
        <w:spacing w:after="0"/>
        <w:ind w:left="720" w:hanging="720"/>
      </w:pPr>
      <w:r w:rsidRPr="00AB698C">
        <w:rPr>
          <w:b/>
        </w:rPr>
        <w:t>24.</w:t>
      </w:r>
      <w:r w:rsidRPr="00AB698C">
        <w:tab/>
        <w:t xml:space="preserve">Cadman D, Boyle M, Szatmari P, Offord DR. Chronic illness, disability and mental and social well-being: Findings of the Ontario child health study. </w:t>
      </w:r>
      <w:r w:rsidRPr="00AB698C">
        <w:rPr>
          <w:i/>
        </w:rPr>
        <w:t>Pediatrics.</w:t>
      </w:r>
      <w:r w:rsidRPr="00AB698C">
        <w:t xml:space="preserve"> 1987;79:805-813.</w:t>
      </w:r>
    </w:p>
    <w:p w14:paraId="2D5FC22D" w14:textId="77777777" w:rsidR="00AB698C" w:rsidRPr="00AB698C" w:rsidRDefault="00AB698C" w:rsidP="00AB698C">
      <w:pPr>
        <w:pStyle w:val="EndNoteBibliography"/>
        <w:spacing w:after="0"/>
        <w:ind w:left="720" w:hanging="720"/>
      </w:pPr>
      <w:r w:rsidRPr="00AB698C">
        <w:rPr>
          <w:b/>
        </w:rPr>
        <w:t>25.</w:t>
      </w:r>
      <w:r w:rsidRPr="00AB698C">
        <w:tab/>
        <w:t xml:space="preserve">King T, Aitken Z, Milner A, et al. To what extent is the association between disability and mental health in adolescents mediated by bullying? A causal mediation analysis. </w:t>
      </w:r>
      <w:r w:rsidRPr="00AB698C">
        <w:rPr>
          <w:i/>
        </w:rPr>
        <w:t xml:space="preserve">International Journal of Epidemiology </w:t>
      </w:r>
      <w:r w:rsidRPr="00AB698C">
        <w:t>2018;47:1402-1413.</w:t>
      </w:r>
    </w:p>
    <w:p w14:paraId="6CBD9E2B" w14:textId="77777777" w:rsidR="00AB698C" w:rsidRPr="00AB698C" w:rsidRDefault="00AB698C" w:rsidP="00AB698C">
      <w:pPr>
        <w:pStyle w:val="EndNoteBibliography"/>
        <w:spacing w:after="0"/>
        <w:ind w:left="720" w:hanging="720"/>
      </w:pPr>
      <w:r w:rsidRPr="00AB698C">
        <w:rPr>
          <w:b/>
        </w:rPr>
        <w:t>26.</w:t>
      </w:r>
      <w:r w:rsidRPr="00AB698C">
        <w:tab/>
        <w:t xml:space="preserve">King T, Milner A, Aitken Z, Karahalios A, Emerson E, Kavanagh A. Socio-emotional wellbeing and mental health of young people: variations by disability or borderline intellectual functioning. </w:t>
      </w:r>
      <w:r w:rsidRPr="00AB698C">
        <w:rPr>
          <w:i/>
        </w:rPr>
        <w:t>European Child &amp; Adolescent Psychiatry.</w:t>
      </w:r>
      <w:r w:rsidRPr="00AB698C">
        <w:t xml:space="preserve"> 2018 online.</w:t>
      </w:r>
    </w:p>
    <w:p w14:paraId="10F1B4C9" w14:textId="77777777" w:rsidR="00AB698C" w:rsidRPr="00AB698C" w:rsidRDefault="00AB698C" w:rsidP="00AB698C">
      <w:pPr>
        <w:pStyle w:val="EndNoteBibliography"/>
        <w:spacing w:after="0"/>
        <w:ind w:left="720" w:hanging="720"/>
      </w:pPr>
      <w:r w:rsidRPr="00AB698C">
        <w:rPr>
          <w:b/>
        </w:rPr>
        <w:t>27.</w:t>
      </w:r>
      <w:r w:rsidRPr="00AB698C">
        <w:tab/>
        <w:t xml:space="preserve">Einfeld SL, Gray K, Ellis L, et al. Intellectual disability modifies gender effects on disruptive behaviors. </w:t>
      </w:r>
      <w:r w:rsidRPr="00AB698C">
        <w:rPr>
          <w:i/>
        </w:rPr>
        <w:t>Journal of Mental Health Research in Intellectual Disabilities.</w:t>
      </w:r>
      <w:r w:rsidRPr="00AB698C">
        <w:t xml:space="preserve"> 2010;3:177-189.</w:t>
      </w:r>
    </w:p>
    <w:p w14:paraId="03B28116" w14:textId="77777777" w:rsidR="00AB698C" w:rsidRPr="00AB698C" w:rsidRDefault="00AB698C" w:rsidP="00AB698C">
      <w:pPr>
        <w:pStyle w:val="EndNoteBibliography"/>
        <w:spacing w:after="0"/>
        <w:ind w:left="720" w:hanging="720"/>
      </w:pPr>
      <w:r w:rsidRPr="00AB698C">
        <w:rPr>
          <w:b/>
        </w:rPr>
        <w:t>28.</w:t>
      </w:r>
      <w:r w:rsidRPr="00AB698C">
        <w:tab/>
        <w:t>Fitzsimons EE. Millennium Cohort Study Sixth Survey 2015-2016: User Guide (First Edition). London: Centre for Longitudinal Studies; 2017.</w:t>
      </w:r>
    </w:p>
    <w:p w14:paraId="3D3597A0" w14:textId="77777777" w:rsidR="00AB698C" w:rsidRPr="00AB698C" w:rsidRDefault="00AB698C" w:rsidP="00AB698C">
      <w:pPr>
        <w:pStyle w:val="EndNoteBibliography"/>
        <w:spacing w:after="0"/>
        <w:ind w:left="720" w:hanging="720"/>
      </w:pPr>
      <w:r w:rsidRPr="00AB698C">
        <w:rPr>
          <w:b/>
        </w:rPr>
        <w:t>29.</w:t>
      </w:r>
      <w:r w:rsidRPr="00AB698C">
        <w:tab/>
        <w:t>Plewis I. The Millennium Cohort Study: Technical Report on Sampling 4th Edition. London: Centre For Longitudinal Studies; 2007.</w:t>
      </w:r>
    </w:p>
    <w:p w14:paraId="386D2027" w14:textId="77777777" w:rsidR="00AB698C" w:rsidRPr="00AB698C" w:rsidRDefault="00AB698C" w:rsidP="00AB698C">
      <w:pPr>
        <w:pStyle w:val="EndNoteBibliography"/>
        <w:spacing w:after="0"/>
        <w:ind w:left="720" w:hanging="720"/>
      </w:pPr>
      <w:r w:rsidRPr="00AB698C">
        <w:rPr>
          <w:b/>
        </w:rPr>
        <w:t>30.</w:t>
      </w:r>
      <w:r w:rsidRPr="00AB698C">
        <w:tab/>
        <w:t xml:space="preserve">Meltzer H, Gatward R, Goodman R, Ford T. </w:t>
      </w:r>
      <w:r w:rsidRPr="00AB698C">
        <w:rPr>
          <w:i/>
        </w:rPr>
        <w:t>Mental Health of Children and Adolescents in Great Britain</w:t>
      </w:r>
      <w:r w:rsidRPr="00AB698C">
        <w:t>. London: The Stationery Office; 2000.</w:t>
      </w:r>
    </w:p>
    <w:p w14:paraId="2537B874" w14:textId="77777777" w:rsidR="00AB698C" w:rsidRPr="00AB698C" w:rsidRDefault="00AB698C" w:rsidP="00AB698C">
      <w:pPr>
        <w:pStyle w:val="EndNoteBibliography"/>
        <w:spacing w:after="0"/>
        <w:ind w:left="720" w:hanging="720"/>
      </w:pPr>
      <w:r w:rsidRPr="00AB698C">
        <w:rPr>
          <w:b/>
        </w:rPr>
        <w:t>31.</w:t>
      </w:r>
      <w:r w:rsidRPr="00AB698C">
        <w:tab/>
        <w:t xml:space="preserve">Goodman R. Psychometric properties of the Strengths and Difficulties Questionnaire (SDQ). </w:t>
      </w:r>
      <w:r w:rsidRPr="00AB698C">
        <w:rPr>
          <w:i/>
        </w:rPr>
        <w:t>Journal of the American Academy of Child and Adolescent Psychiatry.</w:t>
      </w:r>
      <w:r w:rsidRPr="00AB698C">
        <w:t xml:space="preserve"> 2001;40:1337-1345.</w:t>
      </w:r>
    </w:p>
    <w:p w14:paraId="0FDB58C3" w14:textId="77777777" w:rsidR="00AB698C" w:rsidRPr="00AB698C" w:rsidRDefault="00AB698C" w:rsidP="00AB698C">
      <w:pPr>
        <w:pStyle w:val="EndNoteBibliography"/>
        <w:spacing w:after="0"/>
        <w:ind w:left="720" w:hanging="720"/>
      </w:pPr>
      <w:r w:rsidRPr="00AB698C">
        <w:rPr>
          <w:b/>
        </w:rPr>
        <w:t>32.</w:t>
      </w:r>
      <w:r w:rsidRPr="00AB698C">
        <w:tab/>
        <w:t xml:space="preserve">Goodman R, Ford T, Simmons H, Gatward R, Meltzer H. Using the Strengths and Difficulties Questionnaire (SDQ) to screen for child psychiatric disorders in a community sample. </w:t>
      </w:r>
      <w:r w:rsidRPr="00AB698C">
        <w:rPr>
          <w:i/>
        </w:rPr>
        <w:t>British Journal of Psychiatry.</w:t>
      </w:r>
      <w:r w:rsidRPr="00AB698C">
        <w:t xml:space="preserve"> 2000;177:534-539.</w:t>
      </w:r>
    </w:p>
    <w:p w14:paraId="3F159761" w14:textId="77777777" w:rsidR="00AB698C" w:rsidRPr="00AB698C" w:rsidRDefault="00AB698C" w:rsidP="00AB698C">
      <w:pPr>
        <w:pStyle w:val="EndNoteBibliography"/>
        <w:spacing w:after="0"/>
        <w:ind w:left="720" w:hanging="720"/>
      </w:pPr>
      <w:r w:rsidRPr="00AB698C">
        <w:rPr>
          <w:b/>
        </w:rPr>
        <w:t>33.</w:t>
      </w:r>
      <w:r w:rsidRPr="00AB698C">
        <w:tab/>
        <w:t xml:space="preserve">Warnick EM, Bracken MB, Kasl S. Screening Efficiency of the Child Behavior Checklist and Strengths and Difficulties Questionnaire: A Systematic Review. </w:t>
      </w:r>
      <w:r w:rsidRPr="00AB698C">
        <w:rPr>
          <w:i/>
        </w:rPr>
        <w:t>Child and Adolescent Mental Health.</w:t>
      </w:r>
      <w:r w:rsidRPr="00AB698C">
        <w:t xml:space="preserve"> 2008;13:140-147.</w:t>
      </w:r>
    </w:p>
    <w:p w14:paraId="3AB6EE61" w14:textId="77777777" w:rsidR="00AB698C" w:rsidRPr="00AB698C" w:rsidRDefault="00AB698C" w:rsidP="00AB698C">
      <w:pPr>
        <w:pStyle w:val="EndNoteBibliography"/>
        <w:spacing w:after="0"/>
        <w:ind w:left="720" w:hanging="720"/>
      </w:pPr>
      <w:r w:rsidRPr="00AB698C">
        <w:rPr>
          <w:b/>
        </w:rPr>
        <w:t>34.</w:t>
      </w:r>
      <w:r w:rsidRPr="00AB698C">
        <w:tab/>
        <w:t>Angold A, Costello EJ, Messer SC, Pickles A, Winder F, Silver D. Development of a short questionnaire for use in epidemiological studies of depression in children and adolescents.</w:t>
      </w:r>
      <w:r w:rsidRPr="00AB698C">
        <w:rPr>
          <w:i/>
        </w:rPr>
        <w:t xml:space="preserve"> International Journal of Methods in Psychiatric Research.</w:t>
      </w:r>
      <w:r w:rsidRPr="00AB698C">
        <w:t xml:space="preserve"> 1995;5:237-249.</w:t>
      </w:r>
    </w:p>
    <w:p w14:paraId="3CC9CB6D" w14:textId="77777777" w:rsidR="00AB698C" w:rsidRPr="00AB698C" w:rsidRDefault="00AB698C" w:rsidP="00AB698C">
      <w:pPr>
        <w:pStyle w:val="EndNoteBibliography"/>
        <w:spacing w:after="0"/>
        <w:ind w:left="720" w:hanging="720"/>
      </w:pPr>
      <w:r w:rsidRPr="00AB698C">
        <w:rPr>
          <w:b/>
        </w:rPr>
        <w:t>35.</w:t>
      </w:r>
      <w:r w:rsidRPr="00AB698C">
        <w:tab/>
        <w:t xml:space="preserve">Thapar A, McGuffin P. Validity of the shortened Mood and Feelings Questionnaire in a community sample of children and adolescents: A preliminary research note. </w:t>
      </w:r>
      <w:r w:rsidRPr="00AB698C">
        <w:rPr>
          <w:i/>
        </w:rPr>
        <w:t>Psychiatry Research.</w:t>
      </w:r>
      <w:r w:rsidRPr="00AB698C">
        <w:t xml:space="preserve"> 1998;81:259-268.</w:t>
      </w:r>
    </w:p>
    <w:p w14:paraId="175588F3" w14:textId="77777777" w:rsidR="00AB698C" w:rsidRPr="00AB698C" w:rsidRDefault="00AB698C" w:rsidP="00AB698C">
      <w:pPr>
        <w:pStyle w:val="EndNoteBibliography"/>
        <w:spacing w:after="0"/>
        <w:ind w:left="720" w:hanging="720"/>
      </w:pPr>
      <w:r w:rsidRPr="00AB698C">
        <w:rPr>
          <w:b/>
        </w:rPr>
        <w:t>36.</w:t>
      </w:r>
      <w:r w:rsidRPr="00AB698C">
        <w:tab/>
        <w:t>Department for Work and Pensions. Measuring child poverty. London: Department of Work and Pensions; 2003.</w:t>
      </w:r>
    </w:p>
    <w:p w14:paraId="396B65EB" w14:textId="77777777" w:rsidR="00AB698C" w:rsidRPr="00AB698C" w:rsidRDefault="00AB698C" w:rsidP="00AB698C">
      <w:pPr>
        <w:pStyle w:val="EndNoteBibliography"/>
        <w:spacing w:after="0"/>
        <w:ind w:left="720" w:hanging="720"/>
      </w:pPr>
      <w:r w:rsidRPr="00AB698C">
        <w:rPr>
          <w:b/>
        </w:rPr>
        <w:t>37.</w:t>
      </w:r>
      <w:r w:rsidRPr="00AB698C">
        <w:tab/>
        <w:t>Pantazis C, Gordon D, Levitas R. Poverty and Social Exclusion in Britain: The Millennium Survey. Bristol: Policy Press; 2006.</w:t>
      </w:r>
    </w:p>
    <w:p w14:paraId="4F9F00DE" w14:textId="77777777" w:rsidR="00AB698C" w:rsidRPr="00AB698C" w:rsidRDefault="00AB698C" w:rsidP="00AB698C">
      <w:pPr>
        <w:pStyle w:val="EndNoteBibliography"/>
        <w:spacing w:after="0"/>
        <w:ind w:left="720" w:hanging="720"/>
      </w:pPr>
      <w:r w:rsidRPr="00AB698C">
        <w:rPr>
          <w:b/>
        </w:rPr>
        <w:t>38.</w:t>
      </w:r>
      <w:r w:rsidRPr="00AB698C">
        <w:tab/>
        <w:t xml:space="preserve">Knol MJ, Le Cessie S, Algra A, Vandenbroucke JP, Groenwold RHH. Overestimation of risk ratios by odds ratios in trials and cohort studies: alternatives for logistic regression. </w:t>
      </w:r>
      <w:r w:rsidRPr="00AB698C">
        <w:rPr>
          <w:i/>
        </w:rPr>
        <w:t>Canadian Medical Association Journal.</w:t>
      </w:r>
      <w:r w:rsidRPr="00AB698C">
        <w:t xml:space="preserve"> 2012;184:895-899. DOI:810.1503/cmaj.101715.</w:t>
      </w:r>
    </w:p>
    <w:p w14:paraId="4D8A28F0" w14:textId="77777777" w:rsidR="00AB698C" w:rsidRPr="00AB698C" w:rsidRDefault="00AB698C" w:rsidP="00AB698C">
      <w:pPr>
        <w:pStyle w:val="EndNoteBibliography"/>
        <w:spacing w:after="0"/>
        <w:ind w:left="720" w:hanging="720"/>
      </w:pPr>
      <w:r w:rsidRPr="00AB698C">
        <w:rPr>
          <w:b/>
        </w:rPr>
        <w:t>39.</w:t>
      </w:r>
      <w:r w:rsidRPr="00AB698C">
        <w:tab/>
        <w:t>Ketende S, Jones E. Millennium Cohort Study: User Guide to Analysing MCS Data Using STATA. London: Centre for Longitudinal Studies, Institute of Education, University of London; 2011.</w:t>
      </w:r>
    </w:p>
    <w:p w14:paraId="17F537F1" w14:textId="77777777" w:rsidR="00AB698C" w:rsidRPr="00AB698C" w:rsidRDefault="00AB698C" w:rsidP="00AB698C">
      <w:pPr>
        <w:pStyle w:val="EndNoteBibliography"/>
        <w:spacing w:after="0"/>
        <w:ind w:left="720" w:hanging="720"/>
      </w:pPr>
      <w:r w:rsidRPr="00AB698C">
        <w:rPr>
          <w:b/>
        </w:rPr>
        <w:lastRenderedPageBreak/>
        <w:t>40.</w:t>
      </w:r>
      <w:r w:rsidRPr="00AB698C">
        <w:tab/>
        <w:t xml:space="preserve">Ipsos MORI. </w:t>
      </w:r>
      <w:r w:rsidRPr="00AB698C">
        <w:rPr>
          <w:i/>
        </w:rPr>
        <w:t>Millennium Cohort Study Sixth Sweep (MCS6): Technical Report</w:t>
      </w:r>
      <w:r w:rsidRPr="00AB698C">
        <w:t>. London: Ipsos Mori Social Research Institute; 2016.</w:t>
      </w:r>
    </w:p>
    <w:p w14:paraId="1CE1BAFE" w14:textId="77777777" w:rsidR="00AB698C" w:rsidRPr="00AB698C" w:rsidRDefault="00AB698C" w:rsidP="00AB698C">
      <w:pPr>
        <w:pStyle w:val="EndNoteBibliography"/>
        <w:spacing w:after="0"/>
        <w:ind w:left="720" w:hanging="720"/>
      </w:pPr>
      <w:r w:rsidRPr="00AB698C">
        <w:rPr>
          <w:b/>
        </w:rPr>
        <w:t>41.</w:t>
      </w:r>
      <w:r w:rsidRPr="00AB698C">
        <w:tab/>
        <w:t>Hansen K. Millennium Cohort Study:  A Guide to the Datasets. Eighth Edition. First, Second, Third, Fourth and Fifth Surveys. London: Centre for Longitudinal Studies, Institute of Education, University of London; 2014.</w:t>
      </w:r>
    </w:p>
    <w:p w14:paraId="404BA533" w14:textId="31E3DB33" w:rsidR="00AB698C" w:rsidRPr="00AB698C" w:rsidRDefault="00AB698C" w:rsidP="00AB698C">
      <w:pPr>
        <w:pStyle w:val="EndNoteBibliography"/>
        <w:ind w:left="720" w:hanging="720"/>
      </w:pPr>
      <w:r w:rsidRPr="00AB698C">
        <w:rPr>
          <w:b/>
        </w:rPr>
        <w:t>42.</w:t>
      </w:r>
      <w:r w:rsidRPr="00AB698C">
        <w:tab/>
        <w:t xml:space="preserve">Arculi J, Emerson E, Llewellyn G. Self-report of school satisfaction: The interaction between disability and gender. </w:t>
      </w:r>
      <w:r w:rsidRPr="00AB698C">
        <w:rPr>
          <w:i/>
        </w:rPr>
        <w:t xml:space="preserve">School Psychology Quarterly </w:t>
      </w:r>
      <w:hyperlink r:id="rId9" w:history="1">
        <w:r w:rsidRPr="00AB698C">
          <w:rPr>
            <w:rStyle w:val="Hyperlink"/>
            <w:i/>
          </w:rPr>
          <w:t>http://dx.doi.org/10.1037/spq0000275</w:t>
        </w:r>
      </w:hyperlink>
      <w:r w:rsidRPr="00AB698C">
        <w:rPr>
          <w:i/>
        </w:rPr>
        <w:t>.</w:t>
      </w:r>
      <w:r w:rsidRPr="00AB698C">
        <w:t xml:space="preserve"> 2018, online.</w:t>
      </w:r>
    </w:p>
    <w:p w14:paraId="6D168E95" w14:textId="22BCCE86" w:rsidR="005E4992" w:rsidRDefault="00F54106" w:rsidP="00FA27A6">
      <w:pPr>
        <w:spacing w:line="480" w:lineRule="auto"/>
      </w:pPr>
      <w:r>
        <w:fldChar w:fldCharType="end"/>
      </w:r>
    </w:p>
    <w:p w14:paraId="08BE2A09" w14:textId="77777777" w:rsidR="005E4992" w:rsidRDefault="005E4992">
      <w:r>
        <w:br w:type="page"/>
      </w:r>
    </w:p>
    <w:p w14:paraId="6AB0E21F" w14:textId="77777777" w:rsidR="00837063" w:rsidRDefault="00837063" w:rsidP="00FA27A6">
      <w:pPr>
        <w:spacing w:line="480" w:lineRule="auto"/>
        <w:rPr>
          <w:color w:val="000000"/>
        </w:rPr>
      </w:pPr>
    </w:p>
    <w:tbl>
      <w:tblPr>
        <w:tblStyle w:val="TableGrid"/>
        <w:tblW w:w="7508" w:type="dxa"/>
        <w:tblLook w:val="04A0" w:firstRow="1" w:lastRow="0" w:firstColumn="1" w:lastColumn="0" w:noHBand="0" w:noVBand="1"/>
      </w:tblPr>
      <w:tblGrid>
        <w:gridCol w:w="3595"/>
        <w:gridCol w:w="1220"/>
        <w:gridCol w:w="2693"/>
      </w:tblGrid>
      <w:tr w:rsidR="00620CE0" w14:paraId="49BC0BE7" w14:textId="77777777" w:rsidTr="0021186A">
        <w:tc>
          <w:tcPr>
            <w:tcW w:w="7508" w:type="dxa"/>
            <w:gridSpan w:val="3"/>
          </w:tcPr>
          <w:p w14:paraId="29DE219B" w14:textId="21084F01" w:rsidR="00620CE0" w:rsidRDefault="00620CE0" w:rsidP="00FA27A6">
            <w:pPr>
              <w:spacing w:line="480" w:lineRule="auto"/>
            </w:pPr>
            <w:r>
              <w:rPr>
                <w:rFonts w:cs="Arial"/>
                <w:color w:val="000000"/>
              </w:rPr>
              <w:t>Table 1: Areas of functioning affected by the health conditions</w:t>
            </w:r>
            <w:r w:rsidR="000B138A">
              <w:rPr>
                <w:rFonts w:cs="Arial"/>
                <w:color w:val="000000"/>
              </w:rPr>
              <w:t>/</w:t>
            </w:r>
            <w:r>
              <w:rPr>
                <w:rFonts w:cs="Arial"/>
                <w:color w:val="000000"/>
              </w:rPr>
              <w:t>impairments associated with adolesce</w:t>
            </w:r>
            <w:r w:rsidR="000B138A">
              <w:rPr>
                <w:rFonts w:cs="Arial"/>
                <w:color w:val="000000"/>
              </w:rPr>
              <w:t>nt disability</w:t>
            </w:r>
          </w:p>
        </w:tc>
      </w:tr>
      <w:tr w:rsidR="00620CE0" w14:paraId="7D69E927" w14:textId="77777777" w:rsidTr="0021186A">
        <w:tc>
          <w:tcPr>
            <w:tcW w:w="3595" w:type="dxa"/>
          </w:tcPr>
          <w:p w14:paraId="5B4D9850" w14:textId="77777777" w:rsidR="00620CE0" w:rsidRPr="003C520C" w:rsidRDefault="00620CE0" w:rsidP="00FA27A6">
            <w:pPr>
              <w:spacing w:line="480" w:lineRule="auto"/>
            </w:pPr>
          </w:p>
        </w:tc>
        <w:tc>
          <w:tcPr>
            <w:tcW w:w="1220" w:type="dxa"/>
          </w:tcPr>
          <w:p w14:paraId="0EDDEE1A" w14:textId="77777777" w:rsidR="00620CE0" w:rsidRDefault="00620CE0" w:rsidP="00FA27A6">
            <w:pPr>
              <w:spacing w:line="480" w:lineRule="auto"/>
            </w:pPr>
            <w:r>
              <w:t>N</w:t>
            </w:r>
          </w:p>
        </w:tc>
        <w:tc>
          <w:tcPr>
            <w:tcW w:w="2693" w:type="dxa"/>
          </w:tcPr>
          <w:p w14:paraId="73040CBF" w14:textId="77777777" w:rsidR="00620CE0" w:rsidRDefault="00620CE0" w:rsidP="00FA27A6">
            <w:pPr>
              <w:spacing w:line="480" w:lineRule="auto"/>
              <w:jc w:val="right"/>
            </w:pPr>
            <w:r>
              <w:t>% with 95% CI</w:t>
            </w:r>
          </w:p>
        </w:tc>
      </w:tr>
      <w:tr w:rsidR="00620CE0" w14:paraId="1A20BE46" w14:textId="77777777" w:rsidTr="0021186A">
        <w:tc>
          <w:tcPr>
            <w:tcW w:w="3595" w:type="dxa"/>
          </w:tcPr>
          <w:p w14:paraId="6322816A" w14:textId="6CE4D6E7" w:rsidR="00620CE0" w:rsidRDefault="00F0656D" w:rsidP="00FA27A6">
            <w:pPr>
              <w:spacing w:line="480" w:lineRule="auto"/>
            </w:pPr>
            <w:r>
              <w:t xml:space="preserve">Psychosocial </w:t>
            </w:r>
          </w:p>
        </w:tc>
        <w:tc>
          <w:tcPr>
            <w:tcW w:w="1220" w:type="dxa"/>
          </w:tcPr>
          <w:p w14:paraId="21783B4C" w14:textId="09A3F814" w:rsidR="00620CE0" w:rsidRDefault="00F02C0D" w:rsidP="00FA27A6">
            <w:pPr>
              <w:spacing w:line="480" w:lineRule="auto"/>
              <w:jc w:val="right"/>
            </w:pPr>
            <w:r>
              <w:t>519</w:t>
            </w:r>
            <w:r w:rsidR="0021186A">
              <w:t xml:space="preserve"> </w:t>
            </w:r>
          </w:p>
        </w:tc>
        <w:tc>
          <w:tcPr>
            <w:tcW w:w="2693" w:type="dxa"/>
          </w:tcPr>
          <w:p w14:paraId="1C87A063" w14:textId="6F54C7B5" w:rsidR="00620CE0" w:rsidRDefault="0021186A" w:rsidP="00FA27A6">
            <w:pPr>
              <w:spacing w:line="480" w:lineRule="auto"/>
              <w:jc w:val="right"/>
            </w:pPr>
            <w:r>
              <w:t xml:space="preserve">5.5% (4.9%-6.3%) </w:t>
            </w:r>
          </w:p>
        </w:tc>
      </w:tr>
      <w:tr w:rsidR="00620CE0" w14:paraId="02395F6D" w14:textId="77777777" w:rsidTr="0021186A">
        <w:tc>
          <w:tcPr>
            <w:tcW w:w="3595" w:type="dxa"/>
          </w:tcPr>
          <w:p w14:paraId="753041C4" w14:textId="22155335" w:rsidR="00620CE0" w:rsidRDefault="00F0656D" w:rsidP="00FA27A6">
            <w:pPr>
              <w:spacing w:line="480" w:lineRule="auto"/>
            </w:pPr>
            <w:r>
              <w:t>Motor</w:t>
            </w:r>
          </w:p>
        </w:tc>
        <w:tc>
          <w:tcPr>
            <w:tcW w:w="1220" w:type="dxa"/>
          </w:tcPr>
          <w:p w14:paraId="4A77DB67" w14:textId="7270E02B" w:rsidR="00620CE0" w:rsidRDefault="0021186A" w:rsidP="00FA27A6">
            <w:pPr>
              <w:spacing w:line="480" w:lineRule="auto"/>
              <w:jc w:val="right"/>
            </w:pPr>
            <w:r>
              <w:t xml:space="preserve"> 381 </w:t>
            </w:r>
          </w:p>
        </w:tc>
        <w:tc>
          <w:tcPr>
            <w:tcW w:w="2693" w:type="dxa"/>
          </w:tcPr>
          <w:p w14:paraId="7328E07F" w14:textId="227E4EC9" w:rsidR="00620CE0" w:rsidRDefault="0021186A" w:rsidP="00FA27A6">
            <w:pPr>
              <w:spacing w:line="480" w:lineRule="auto"/>
              <w:jc w:val="right"/>
            </w:pPr>
            <w:r>
              <w:t xml:space="preserve"> 4.1% (3.6%-4.7%) </w:t>
            </w:r>
          </w:p>
        </w:tc>
      </w:tr>
      <w:tr w:rsidR="00620CE0" w14:paraId="529314D0" w14:textId="77777777" w:rsidTr="0021186A">
        <w:tc>
          <w:tcPr>
            <w:tcW w:w="3595" w:type="dxa"/>
          </w:tcPr>
          <w:p w14:paraId="6E0E92AA" w14:textId="2725D253" w:rsidR="00620CE0" w:rsidRDefault="00F0656D" w:rsidP="00FA27A6">
            <w:pPr>
              <w:spacing w:line="480" w:lineRule="auto"/>
            </w:pPr>
            <w:r>
              <w:t>Sensory</w:t>
            </w:r>
          </w:p>
        </w:tc>
        <w:tc>
          <w:tcPr>
            <w:tcW w:w="1220" w:type="dxa"/>
          </w:tcPr>
          <w:p w14:paraId="573EB9FB" w14:textId="71028B39" w:rsidR="00620CE0" w:rsidRDefault="0021186A" w:rsidP="00FA27A6">
            <w:pPr>
              <w:spacing w:line="480" w:lineRule="auto"/>
              <w:jc w:val="right"/>
            </w:pPr>
            <w:r>
              <w:t xml:space="preserve"> 148 </w:t>
            </w:r>
          </w:p>
        </w:tc>
        <w:tc>
          <w:tcPr>
            <w:tcW w:w="2693" w:type="dxa"/>
          </w:tcPr>
          <w:p w14:paraId="1C71BE02" w14:textId="62A13B60" w:rsidR="00620CE0" w:rsidRDefault="0021186A" w:rsidP="00FA27A6">
            <w:pPr>
              <w:spacing w:line="480" w:lineRule="auto"/>
              <w:jc w:val="right"/>
            </w:pPr>
            <w:r>
              <w:t xml:space="preserve">1.6% (1.3%-2.1%) </w:t>
            </w:r>
          </w:p>
        </w:tc>
      </w:tr>
    </w:tbl>
    <w:p w14:paraId="1F1C648E" w14:textId="77777777" w:rsidR="0075723C" w:rsidRDefault="0075723C" w:rsidP="00FA27A6">
      <w:pPr>
        <w:spacing w:line="480" w:lineRule="auto"/>
      </w:pPr>
    </w:p>
    <w:p w14:paraId="4BFD32B3" w14:textId="77777777" w:rsidR="00141388" w:rsidRDefault="00141388">
      <w:r>
        <w:br w:type="page"/>
      </w:r>
    </w:p>
    <w:p w14:paraId="4B8ECF99" w14:textId="77777777" w:rsidR="00141388" w:rsidRPr="001C04C7" w:rsidRDefault="00141388" w:rsidP="00141388">
      <w:pPr>
        <w:spacing w:line="480" w:lineRule="auto"/>
      </w:pPr>
    </w:p>
    <w:tbl>
      <w:tblPr>
        <w:tblStyle w:val="TableGrid"/>
        <w:tblW w:w="0" w:type="auto"/>
        <w:tblLook w:val="04A0" w:firstRow="1" w:lastRow="0" w:firstColumn="1" w:lastColumn="0" w:noHBand="0" w:noVBand="1"/>
      </w:tblPr>
      <w:tblGrid>
        <w:gridCol w:w="2515"/>
        <w:gridCol w:w="1890"/>
        <w:gridCol w:w="1620"/>
        <w:gridCol w:w="1530"/>
        <w:gridCol w:w="1795"/>
      </w:tblGrid>
      <w:tr w:rsidR="00141388" w14:paraId="7A9107C8" w14:textId="77777777" w:rsidTr="00FD4053">
        <w:tc>
          <w:tcPr>
            <w:tcW w:w="9350" w:type="dxa"/>
            <w:gridSpan w:val="5"/>
          </w:tcPr>
          <w:p w14:paraId="40BF00DD" w14:textId="0054580A" w:rsidR="00141388" w:rsidRDefault="00141388" w:rsidP="00FD4053">
            <w:pPr>
              <w:spacing w:line="480" w:lineRule="auto"/>
            </w:pPr>
            <w:r>
              <w:t>Table 2: Association between covariates and disability status at age 14</w:t>
            </w:r>
          </w:p>
        </w:tc>
      </w:tr>
      <w:tr w:rsidR="00141388" w14:paraId="58C6FB05" w14:textId="77777777" w:rsidTr="00FD4053">
        <w:tc>
          <w:tcPr>
            <w:tcW w:w="2515" w:type="dxa"/>
          </w:tcPr>
          <w:p w14:paraId="28E47A45" w14:textId="77777777" w:rsidR="00141388" w:rsidRDefault="00141388" w:rsidP="00200F74">
            <w:pPr>
              <w:pStyle w:val="NoSpacing"/>
            </w:pPr>
            <w:r>
              <w:t>Covariates</w:t>
            </w:r>
          </w:p>
        </w:tc>
        <w:tc>
          <w:tcPr>
            <w:tcW w:w="1890" w:type="dxa"/>
          </w:tcPr>
          <w:p w14:paraId="60337139" w14:textId="77777777" w:rsidR="00141388" w:rsidRDefault="00141388" w:rsidP="00200F74">
            <w:pPr>
              <w:pStyle w:val="NoSpacing"/>
            </w:pPr>
            <w:r>
              <w:t>No disability (% with 95% CI)</w:t>
            </w:r>
          </w:p>
        </w:tc>
        <w:tc>
          <w:tcPr>
            <w:tcW w:w="1620" w:type="dxa"/>
          </w:tcPr>
          <w:p w14:paraId="308B6E7A" w14:textId="77777777" w:rsidR="00141388" w:rsidRDefault="00141388" w:rsidP="00200F74">
            <w:pPr>
              <w:pStyle w:val="NoSpacing"/>
            </w:pPr>
            <w:r>
              <w:t>Disability with ‘a little’ activity limitation</w:t>
            </w:r>
          </w:p>
        </w:tc>
        <w:tc>
          <w:tcPr>
            <w:tcW w:w="1530" w:type="dxa"/>
          </w:tcPr>
          <w:p w14:paraId="7019FED5" w14:textId="77777777" w:rsidR="00141388" w:rsidRDefault="00141388" w:rsidP="00200F74">
            <w:pPr>
              <w:pStyle w:val="NoSpacing"/>
            </w:pPr>
            <w:r>
              <w:t>Disability with ‘a lot’ of activity limitation</w:t>
            </w:r>
          </w:p>
        </w:tc>
        <w:tc>
          <w:tcPr>
            <w:tcW w:w="1795" w:type="dxa"/>
          </w:tcPr>
          <w:p w14:paraId="30521A48" w14:textId="77777777" w:rsidR="00141388" w:rsidRDefault="00141388" w:rsidP="00200F74">
            <w:pPr>
              <w:pStyle w:val="NoSpacing"/>
            </w:pPr>
            <w:r>
              <w:t>Statistical significance (Adjusted F</w:t>
            </w:r>
            <w:r w:rsidRPr="00EB1B37">
              <w:rPr>
                <w:vertAlign w:val="superscript"/>
              </w:rPr>
              <w:t>a</w:t>
            </w:r>
            <w:r>
              <w:t>, (df), p)</w:t>
            </w:r>
          </w:p>
        </w:tc>
      </w:tr>
      <w:tr w:rsidR="00141388" w14:paraId="2570268C" w14:textId="77777777" w:rsidTr="00FD4053">
        <w:tc>
          <w:tcPr>
            <w:tcW w:w="2515" w:type="dxa"/>
          </w:tcPr>
          <w:p w14:paraId="6498D7DD" w14:textId="3EC2312E" w:rsidR="00141388" w:rsidRDefault="00CD0223" w:rsidP="00FD4053">
            <w:pPr>
              <w:spacing w:line="480" w:lineRule="auto"/>
            </w:pPr>
            <w:r>
              <w:t>Gender</w:t>
            </w:r>
          </w:p>
        </w:tc>
        <w:tc>
          <w:tcPr>
            <w:tcW w:w="1890" w:type="dxa"/>
          </w:tcPr>
          <w:p w14:paraId="569E2C73" w14:textId="77777777" w:rsidR="00141388" w:rsidRDefault="00141388" w:rsidP="00FD4053">
            <w:pPr>
              <w:spacing w:line="480" w:lineRule="auto"/>
            </w:pPr>
          </w:p>
        </w:tc>
        <w:tc>
          <w:tcPr>
            <w:tcW w:w="1620" w:type="dxa"/>
          </w:tcPr>
          <w:p w14:paraId="0D1C1897" w14:textId="77777777" w:rsidR="00141388" w:rsidRDefault="00141388" w:rsidP="00FD4053">
            <w:pPr>
              <w:spacing w:line="480" w:lineRule="auto"/>
            </w:pPr>
          </w:p>
        </w:tc>
        <w:tc>
          <w:tcPr>
            <w:tcW w:w="1530" w:type="dxa"/>
          </w:tcPr>
          <w:p w14:paraId="09E8000C" w14:textId="77777777" w:rsidR="00141388" w:rsidRDefault="00141388" w:rsidP="00FD4053">
            <w:pPr>
              <w:spacing w:line="480" w:lineRule="auto"/>
            </w:pPr>
          </w:p>
        </w:tc>
        <w:tc>
          <w:tcPr>
            <w:tcW w:w="1795" w:type="dxa"/>
          </w:tcPr>
          <w:p w14:paraId="24567FC3" w14:textId="77777777" w:rsidR="00141388" w:rsidRDefault="00141388" w:rsidP="00FD4053">
            <w:pPr>
              <w:spacing w:line="480" w:lineRule="auto"/>
            </w:pPr>
          </w:p>
        </w:tc>
      </w:tr>
      <w:tr w:rsidR="00141388" w14:paraId="6FDE2365" w14:textId="77777777" w:rsidTr="00FD4053">
        <w:tc>
          <w:tcPr>
            <w:tcW w:w="2515" w:type="dxa"/>
          </w:tcPr>
          <w:p w14:paraId="5A838001" w14:textId="64D396A4" w:rsidR="00141388" w:rsidRDefault="00141388" w:rsidP="00FD4053">
            <w:pPr>
              <w:spacing w:line="480" w:lineRule="auto"/>
              <w:jc w:val="right"/>
            </w:pPr>
            <w:r>
              <w:t>Male</w:t>
            </w:r>
            <w:r w:rsidR="0024115B">
              <w:t xml:space="preserve"> (n=5</w:t>
            </w:r>
            <w:r w:rsidR="001847E2">
              <w:t>155</w:t>
            </w:r>
            <w:r w:rsidR="0024115B">
              <w:t>)</w:t>
            </w:r>
          </w:p>
        </w:tc>
        <w:tc>
          <w:tcPr>
            <w:tcW w:w="1890" w:type="dxa"/>
          </w:tcPr>
          <w:p w14:paraId="354D34FA" w14:textId="0DACC691" w:rsidR="0024115B" w:rsidRDefault="0024115B" w:rsidP="0024115B">
            <w:pPr>
              <w:pStyle w:val="NoSpacing"/>
            </w:pPr>
            <w:r>
              <w:t>51.</w:t>
            </w:r>
            <w:r w:rsidR="0021186A">
              <w:t>5</w:t>
            </w:r>
            <w:r>
              <w:t xml:space="preserve">% </w:t>
            </w:r>
          </w:p>
          <w:p w14:paraId="01D29A95" w14:textId="6B92AA76" w:rsidR="00141388" w:rsidRDefault="0024115B" w:rsidP="0024115B">
            <w:pPr>
              <w:pStyle w:val="NoSpacing"/>
            </w:pPr>
            <w:r>
              <w:t>(50.</w:t>
            </w:r>
            <w:r w:rsidR="0021186A">
              <w:t>1</w:t>
            </w:r>
            <w:r>
              <w:t>%-52.</w:t>
            </w:r>
            <w:r w:rsidR="0021186A">
              <w:t>8</w:t>
            </w:r>
            <w:r>
              <w:t>%)</w:t>
            </w:r>
          </w:p>
        </w:tc>
        <w:tc>
          <w:tcPr>
            <w:tcW w:w="1620" w:type="dxa"/>
          </w:tcPr>
          <w:p w14:paraId="3A70F7D1" w14:textId="7C445FF2" w:rsidR="0024115B" w:rsidRDefault="0024115B" w:rsidP="0024115B">
            <w:pPr>
              <w:pStyle w:val="NoSpacing"/>
            </w:pPr>
            <w:r>
              <w:t>5</w:t>
            </w:r>
            <w:r w:rsidR="0021186A">
              <w:t>6.9</w:t>
            </w:r>
            <w:r>
              <w:t xml:space="preserve">% </w:t>
            </w:r>
          </w:p>
          <w:p w14:paraId="0780EF0B" w14:textId="008924EF" w:rsidR="0024115B" w:rsidRDefault="0024115B" w:rsidP="0024115B">
            <w:pPr>
              <w:pStyle w:val="NoSpacing"/>
            </w:pPr>
            <w:r>
              <w:t>(</w:t>
            </w:r>
            <w:r w:rsidR="0021186A">
              <w:t>51.7</w:t>
            </w:r>
            <w:r>
              <w:t>%-</w:t>
            </w:r>
            <w:r w:rsidR="0021186A">
              <w:t>61.9</w:t>
            </w:r>
            <w:r>
              <w:t>%)</w:t>
            </w:r>
          </w:p>
        </w:tc>
        <w:tc>
          <w:tcPr>
            <w:tcW w:w="1530" w:type="dxa"/>
          </w:tcPr>
          <w:p w14:paraId="444FFA8E" w14:textId="75D3D867" w:rsidR="00141388" w:rsidRDefault="0024115B" w:rsidP="0024115B">
            <w:pPr>
              <w:pStyle w:val="NoSpacing"/>
            </w:pPr>
            <w:r>
              <w:t>6</w:t>
            </w:r>
            <w:r w:rsidR="0021186A">
              <w:t>6</w:t>
            </w:r>
            <w:r>
              <w:t>.</w:t>
            </w:r>
            <w:r w:rsidR="0021186A">
              <w:t>1</w:t>
            </w:r>
            <w:r>
              <w:t>%</w:t>
            </w:r>
          </w:p>
          <w:p w14:paraId="785F3337" w14:textId="5427EDF3" w:rsidR="0024115B" w:rsidRDefault="0024115B" w:rsidP="0024115B">
            <w:pPr>
              <w:pStyle w:val="NoSpacing"/>
            </w:pPr>
            <w:r>
              <w:t>(5</w:t>
            </w:r>
            <w:r w:rsidR="0021186A">
              <w:t>9.2</w:t>
            </w:r>
            <w:r>
              <w:t>%-</w:t>
            </w:r>
            <w:r w:rsidR="0021186A">
              <w:t>72.4</w:t>
            </w:r>
            <w:r>
              <w:t>%)</w:t>
            </w:r>
          </w:p>
        </w:tc>
        <w:tc>
          <w:tcPr>
            <w:tcW w:w="1795" w:type="dxa"/>
            <w:vMerge w:val="restart"/>
          </w:tcPr>
          <w:p w14:paraId="773CBAFB" w14:textId="65EDF37D" w:rsidR="00141388" w:rsidRDefault="00C531EE" w:rsidP="0024115B">
            <w:pPr>
              <w:pStyle w:val="NoSpacing"/>
            </w:pPr>
            <w:r>
              <w:t>9.98</w:t>
            </w:r>
            <w:r w:rsidR="00141388">
              <w:t xml:space="preserve"> (2, 7</w:t>
            </w:r>
            <w:r>
              <w:t>72</w:t>
            </w:r>
            <w:r w:rsidR="00141388">
              <w:t>)</w:t>
            </w:r>
            <w:r>
              <w:t>*</w:t>
            </w:r>
            <w:r w:rsidR="00141388">
              <w:t>**</w:t>
            </w:r>
          </w:p>
        </w:tc>
      </w:tr>
      <w:tr w:rsidR="00141388" w14:paraId="03841A7B" w14:textId="77777777" w:rsidTr="00FD4053">
        <w:tc>
          <w:tcPr>
            <w:tcW w:w="2515" w:type="dxa"/>
          </w:tcPr>
          <w:p w14:paraId="3800CF68" w14:textId="4268D812" w:rsidR="00141388" w:rsidRDefault="00141388" w:rsidP="00FD4053">
            <w:pPr>
              <w:spacing w:line="480" w:lineRule="auto"/>
              <w:jc w:val="right"/>
            </w:pPr>
            <w:r>
              <w:t>Female</w:t>
            </w:r>
            <w:r w:rsidR="0024115B">
              <w:t xml:space="preserve"> (n=4</w:t>
            </w:r>
            <w:r w:rsidR="001847E2">
              <w:t>690</w:t>
            </w:r>
            <w:r w:rsidR="0024115B">
              <w:t>)</w:t>
            </w:r>
          </w:p>
        </w:tc>
        <w:tc>
          <w:tcPr>
            <w:tcW w:w="1890" w:type="dxa"/>
          </w:tcPr>
          <w:p w14:paraId="379637E5" w14:textId="2E6C4209" w:rsidR="00141388" w:rsidRDefault="0024115B" w:rsidP="0024115B">
            <w:pPr>
              <w:pStyle w:val="NoSpacing"/>
            </w:pPr>
            <w:r>
              <w:t>48.</w:t>
            </w:r>
            <w:r w:rsidR="0021186A">
              <w:t>5</w:t>
            </w:r>
            <w:r>
              <w:t>%</w:t>
            </w:r>
          </w:p>
          <w:p w14:paraId="12218A0C" w14:textId="3B60F26E" w:rsidR="0024115B" w:rsidRDefault="0024115B" w:rsidP="0024115B">
            <w:pPr>
              <w:pStyle w:val="NoSpacing"/>
            </w:pPr>
            <w:r>
              <w:t>(47.</w:t>
            </w:r>
            <w:r w:rsidR="0021186A">
              <w:t>2</w:t>
            </w:r>
            <w:r>
              <w:t>%-</w:t>
            </w:r>
            <w:r w:rsidR="0021186A">
              <w:t>49.9</w:t>
            </w:r>
            <w:r>
              <w:t>%)</w:t>
            </w:r>
          </w:p>
        </w:tc>
        <w:tc>
          <w:tcPr>
            <w:tcW w:w="1620" w:type="dxa"/>
          </w:tcPr>
          <w:p w14:paraId="4C0B5490" w14:textId="40C5407C" w:rsidR="00141388" w:rsidRDefault="0024115B" w:rsidP="0024115B">
            <w:pPr>
              <w:pStyle w:val="NoSpacing"/>
            </w:pPr>
            <w:r>
              <w:t>4</w:t>
            </w:r>
            <w:r w:rsidR="0021186A">
              <w:t>3.1</w:t>
            </w:r>
            <w:r>
              <w:t>%</w:t>
            </w:r>
          </w:p>
          <w:p w14:paraId="2BB9A9DB" w14:textId="40C7929E" w:rsidR="0024115B" w:rsidRDefault="0024115B" w:rsidP="0024115B">
            <w:pPr>
              <w:pStyle w:val="NoSpacing"/>
            </w:pPr>
            <w:r>
              <w:t>(</w:t>
            </w:r>
            <w:r w:rsidR="0021186A">
              <w:t>38.1</w:t>
            </w:r>
            <w:r>
              <w:t>%-</w:t>
            </w:r>
            <w:r w:rsidR="0021186A">
              <w:t>48.3</w:t>
            </w:r>
            <w:r>
              <w:t>%)</w:t>
            </w:r>
          </w:p>
        </w:tc>
        <w:tc>
          <w:tcPr>
            <w:tcW w:w="1530" w:type="dxa"/>
          </w:tcPr>
          <w:p w14:paraId="224684B5" w14:textId="14CBF500" w:rsidR="00141388" w:rsidRDefault="0024115B" w:rsidP="0024115B">
            <w:pPr>
              <w:pStyle w:val="NoSpacing"/>
            </w:pPr>
            <w:r>
              <w:t>3</w:t>
            </w:r>
            <w:r w:rsidR="0021186A">
              <w:t>3.9</w:t>
            </w:r>
            <w:r>
              <w:t>%</w:t>
            </w:r>
          </w:p>
          <w:p w14:paraId="0CB5F294" w14:textId="47D835B3" w:rsidR="0024115B" w:rsidRDefault="0024115B" w:rsidP="0024115B">
            <w:pPr>
              <w:pStyle w:val="NoSpacing"/>
            </w:pPr>
            <w:r>
              <w:t>(</w:t>
            </w:r>
            <w:r w:rsidR="0021186A">
              <w:t>27.6</w:t>
            </w:r>
            <w:r>
              <w:t>%-4</w:t>
            </w:r>
            <w:r w:rsidR="0021186A">
              <w:t>0.8</w:t>
            </w:r>
            <w:r>
              <w:t>%)</w:t>
            </w:r>
          </w:p>
        </w:tc>
        <w:tc>
          <w:tcPr>
            <w:tcW w:w="1795" w:type="dxa"/>
            <w:vMerge/>
          </w:tcPr>
          <w:p w14:paraId="3B27DE33" w14:textId="77777777" w:rsidR="00141388" w:rsidRDefault="00141388" w:rsidP="0024115B">
            <w:pPr>
              <w:pStyle w:val="NoSpacing"/>
            </w:pPr>
          </w:p>
        </w:tc>
      </w:tr>
      <w:tr w:rsidR="00141388" w14:paraId="3AB6313E" w14:textId="77777777" w:rsidTr="00FD4053">
        <w:tc>
          <w:tcPr>
            <w:tcW w:w="2515" w:type="dxa"/>
          </w:tcPr>
          <w:p w14:paraId="7DF88CE3" w14:textId="77777777" w:rsidR="00141388" w:rsidRDefault="00141388" w:rsidP="00FD4053">
            <w:pPr>
              <w:spacing w:line="480" w:lineRule="auto"/>
            </w:pPr>
            <w:r>
              <w:t>Ethnicity</w:t>
            </w:r>
          </w:p>
        </w:tc>
        <w:tc>
          <w:tcPr>
            <w:tcW w:w="1890" w:type="dxa"/>
          </w:tcPr>
          <w:p w14:paraId="4341E71C" w14:textId="77777777" w:rsidR="00141388" w:rsidRDefault="00141388" w:rsidP="0024115B">
            <w:pPr>
              <w:pStyle w:val="NoSpacing"/>
            </w:pPr>
          </w:p>
        </w:tc>
        <w:tc>
          <w:tcPr>
            <w:tcW w:w="1620" w:type="dxa"/>
          </w:tcPr>
          <w:p w14:paraId="524C06BF" w14:textId="77777777" w:rsidR="00141388" w:rsidRDefault="00141388" w:rsidP="0024115B">
            <w:pPr>
              <w:pStyle w:val="NoSpacing"/>
            </w:pPr>
          </w:p>
        </w:tc>
        <w:tc>
          <w:tcPr>
            <w:tcW w:w="1530" w:type="dxa"/>
          </w:tcPr>
          <w:p w14:paraId="49ABA49A" w14:textId="77777777" w:rsidR="00141388" w:rsidRDefault="00141388" w:rsidP="0024115B">
            <w:pPr>
              <w:pStyle w:val="NoSpacing"/>
            </w:pPr>
          </w:p>
        </w:tc>
        <w:tc>
          <w:tcPr>
            <w:tcW w:w="1795" w:type="dxa"/>
          </w:tcPr>
          <w:p w14:paraId="58D69244" w14:textId="77777777" w:rsidR="00141388" w:rsidRDefault="00141388" w:rsidP="0024115B">
            <w:pPr>
              <w:pStyle w:val="NoSpacing"/>
            </w:pPr>
          </w:p>
        </w:tc>
      </w:tr>
      <w:tr w:rsidR="00141388" w14:paraId="6C8E74F9" w14:textId="77777777" w:rsidTr="00FD4053">
        <w:tc>
          <w:tcPr>
            <w:tcW w:w="2515" w:type="dxa"/>
          </w:tcPr>
          <w:p w14:paraId="7A8BD8A2" w14:textId="78541F03" w:rsidR="00141388" w:rsidRDefault="00141388" w:rsidP="00FD4053">
            <w:pPr>
              <w:spacing w:line="480" w:lineRule="auto"/>
              <w:jc w:val="right"/>
            </w:pPr>
            <w:r>
              <w:t>White</w:t>
            </w:r>
            <w:r w:rsidR="0024115B">
              <w:t xml:space="preserve"> (n=7</w:t>
            </w:r>
            <w:r w:rsidR="001847E2">
              <w:t>731</w:t>
            </w:r>
            <w:r w:rsidR="0024115B">
              <w:t>)</w:t>
            </w:r>
            <w:r>
              <w:t xml:space="preserve"> </w:t>
            </w:r>
          </w:p>
        </w:tc>
        <w:tc>
          <w:tcPr>
            <w:tcW w:w="1890" w:type="dxa"/>
          </w:tcPr>
          <w:p w14:paraId="4499F57F" w14:textId="7201ACCA" w:rsidR="00141388" w:rsidRDefault="0024115B" w:rsidP="0024115B">
            <w:pPr>
              <w:pStyle w:val="NoSpacing"/>
            </w:pPr>
            <w:r>
              <w:t>81.</w:t>
            </w:r>
            <w:r w:rsidR="0021186A">
              <w:t>7</w:t>
            </w:r>
            <w:r>
              <w:t>%</w:t>
            </w:r>
          </w:p>
          <w:p w14:paraId="6202B922" w14:textId="3BC2FBB3" w:rsidR="0024115B" w:rsidRDefault="0024115B" w:rsidP="0024115B">
            <w:pPr>
              <w:pStyle w:val="NoSpacing"/>
            </w:pPr>
            <w:r>
              <w:t>(78.</w:t>
            </w:r>
            <w:r w:rsidR="0021186A">
              <w:t>7</w:t>
            </w:r>
            <w:r>
              <w:t>%-84.</w:t>
            </w:r>
            <w:r w:rsidR="0021186A">
              <w:t>4</w:t>
            </w:r>
            <w:r>
              <w:t>%)</w:t>
            </w:r>
          </w:p>
        </w:tc>
        <w:tc>
          <w:tcPr>
            <w:tcW w:w="1620" w:type="dxa"/>
          </w:tcPr>
          <w:p w14:paraId="4E770AD7" w14:textId="3541F170" w:rsidR="00141388" w:rsidRDefault="0024115B" w:rsidP="0024115B">
            <w:pPr>
              <w:pStyle w:val="NoSpacing"/>
            </w:pPr>
            <w:r>
              <w:t>8</w:t>
            </w:r>
            <w:r w:rsidR="001847E2">
              <w:t>6.7</w:t>
            </w:r>
            <w:r>
              <w:t>%</w:t>
            </w:r>
          </w:p>
          <w:p w14:paraId="1D8537FA" w14:textId="799C5AB1" w:rsidR="0024115B" w:rsidRDefault="0024115B" w:rsidP="0024115B">
            <w:pPr>
              <w:pStyle w:val="NoSpacing"/>
            </w:pPr>
            <w:r>
              <w:t>(82.</w:t>
            </w:r>
            <w:r w:rsidR="001847E2">
              <w:t>2</w:t>
            </w:r>
            <w:r>
              <w:t>%-90.</w:t>
            </w:r>
            <w:r w:rsidR="001847E2">
              <w:t>2</w:t>
            </w:r>
            <w:r>
              <w:t>%)</w:t>
            </w:r>
          </w:p>
        </w:tc>
        <w:tc>
          <w:tcPr>
            <w:tcW w:w="1530" w:type="dxa"/>
          </w:tcPr>
          <w:p w14:paraId="393B1901" w14:textId="02EDBBD2" w:rsidR="00141388" w:rsidRDefault="0024115B" w:rsidP="0024115B">
            <w:pPr>
              <w:pStyle w:val="NoSpacing"/>
            </w:pPr>
            <w:r>
              <w:t>8</w:t>
            </w:r>
            <w:r w:rsidR="001847E2">
              <w:t>1</w:t>
            </w:r>
            <w:r>
              <w:t>.</w:t>
            </w:r>
            <w:r w:rsidR="001847E2">
              <w:t>9</w:t>
            </w:r>
            <w:r>
              <w:t>%</w:t>
            </w:r>
          </w:p>
          <w:p w14:paraId="1AC13782" w14:textId="3667121A" w:rsidR="0024115B" w:rsidRDefault="0024115B" w:rsidP="0024115B">
            <w:pPr>
              <w:pStyle w:val="NoSpacing"/>
            </w:pPr>
            <w:r>
              <w:t>(7</w:t>
            </w:r>
            <w:r w:rsidR="001847E2">
              <w:t>1.2</w:t>
            </w:r>
            <w:r>
              <w:t>%-89.</w:t>
            </w:r>
            <w:r w:rsidR="001847E2">
              <w:t>2</w:t>
            </w:r>
            <w:r>
              <w:t>%)</w:t>
            </w:r>
          </w:p>
        </w:tc>
        <w:tc>
          <w:tcPr>
            <w:tcW w:w="1795" w:type="dxa"/>
            <w:vMerge w:val="restart"/>
          </w:tcPr>
          <w:p w14:paraId="017B26DC" w14:textId="14F5A351" w:rsidR="00141388" w:rsidRDefault="00C531EE" w:rsidP="0024115B">
            <w:pPr>
              <w:pStyle w:val="NoSpacing"/>
            </w:pPr>
            <w:r>
              <w:t>1.56</w:t>
            </w:r>
            <w:r w:rsidR="00141388">
              <w:t xml:space="preserve"> (2, 666)</w:t>
            </w:r>
          </w:p>
        </w:tc>
      </w:tr>
      <w:tr w:rsidR="00141388" w14:paraId="07F7E04B" w14:textId="77777777" w:rsidTr="00FD4053">
        <w:tc>
          <w:tcPr>
            <w:tcW w:w="2515" w:type="dxa"/>
          </w:tcPr>
          <w:p w14:paraId="302A775C" w14:textId="6EDE8ECD" w:rsidR="00141388" w:rsidRDefault="00141388" w:rsidP="00FD4053">
            <w:pPr>
              <w:spacing w:line="480" w:lineRule="auto"/>
              <w:jc w:val="right"/>
            </w:pPr>
            <w:r>
              <w:t>Other</w:t>
            </w:r>
            <w:r w:rsidR="0024115B">
              <w:t xml:space="preserve"> (n=1</w:t>
            </w:r>
            <w:r w:rsidR="001847E2">
              <w:t>699</w:t>
            </w:r>
            <w:r w:rsidR="0024115B">
              <w:t>)</w:t>
            </w:r>
          </w:p>
        </w:tc>
        <w:tc>
          <w:tcPr>
            <w:tcW w:w="1890" w:type="dxa"/>
          </w:tcPr>
          <w:p w14:paraId="3578C0A0" w14:textId="2709865C" w:rsidR="00141388" w:rsidRDefault="0024115B" w:rsidP="0024115B">
            <w:pPr>
              <w:pStyle w:val="NoSpacing"/>
            </w:pPr>
            <w:r>
              <w:t>18.</w:t>
            </w:r>
            <w:r w:rsidR="001847E2">
              <w:t>3</w:t>
            </w:r>
            <w:r>
              <w:t>%</w:t>
            </w:r>
          </w:p>
          <w:p w14:paraId="6831D006" w14:textId="05606D23" w:rsidR="0024115B" w:rsidRDefault="0024115B" w:rsidP="0024115B">
            <w:pPr>
              <w:pStyle w:val="NoSpacing"/>
            </w:pPr>
            <w:r>
              <w:t>(15.</w:t>
            </w:r>
            <w:r w:rsidR="001847E2">
              <w:t>6</w:t>
            </w:r>
            <w:r>
              <w:t>%-21.</w:t>
            </w:r>
            <w:r w:rsidR="001847E2">
              <w:t>3</w:t>
            </w:r>
            <w:r>
              <w:t>%)</w:t>
            </w:r>
          </w:p>
        </w:tc>
        <w:tc>
          <w:tcPr>
            <w:tcW w:w="1620" w:type="dxa"/>
          </w:tcPr>
          <w:p w14:paraId="567D5B8E" w14:textId="66337870" w:rsidR="00141388" w:rsidRDefault="0024115B" w:rsidP="0024115B">
            <w:pPr>
              <w:pStyle w:val="NoSpacing"/>
            </w:pPr>
            <w:r>
              <w:t>1</w:t>
            </w:r>
            <w:r w:rsidR="001847E2">
              <w:t>3.3</w:t>
            </w:r>
            <w:r>
              <w:t>%</w:t>
            </w:r>
          </w:p>
          <w:p w14:paraId="5A065A95" w14:textId="4D6E84DD" w:rsidR="0024115B" w:rsidRDefault="0024115B" w:rsidP="0024115B">
            <w:pPr>
              <w:pStyle w:val="NoSpacing"/>
            </w:pPr>
            <w:r>
              <w:t>(9.</w:t>
            </w:r>
            <w:r w:rsidR="001847E2">
              <w:t>8</w:t>
            </w:r>
            <w:r>
              <w:t>%-17.</w:t>
            </w:r>
            <w:r w:rsidR="001847E2">
              <w:t>3</w:t>
            </w:r>
            <w:r>
              <w:t>%)</w:t>
            </w:r>
          </w:p>
        </w:tc>
        <w:tc>
          <w:tcPr>
            <w:tcW w:w="1530" w:type="dxa"/>
          </w:tcPr>
          <w:p w14:paraId="5091165D" w14:textId="5BE2C29C" w:rsidR="00141388" w:rsidRDefault="0024115B" w:rsidP="0024115B">
            <w:pPr>
              <w:pStyle w:val="NoSpacing"/>
            </w:pPr>
            <w:r>
              <w:t>1</w:t>
            </w:r>
            <w:r w:rsidR="001847E2">
              <w:t>8.1</w:t>
            </w:r>
            <w:r>
              <w:t>%</w:t>
            </w:r>
          </w:p>
          <w:p w14:paraId="40CDEF41" w14:textId="23E0EE0B" w:rsidR="0024115B" w:rsidRDefault="0024115B" w:rsidP="0024115B">
            <w:pPr>
              <w:pStyle w:val="NoSpacing"/>
            </w:pPr>
            <w:r>
              <w:t>(10.</w:t>
            </w:r>
            <w:r w:rsidR="001847E2">
              <w:t>8</w:t>
            </w:r>
            <w:r>
              <w:t>%-2</w:t>
            </w:r>
            <w:r w:rsidR="001847E2">
              <w:t>8</w:t>
            </w:r>
            <w:r>
              <w:t>.</w:t>
            </w:r>
            <w:r w:rsidR="001847E2">
              <w:t>8</w:t>
            </w:r>
            <w:r>
              <w:t>%)</w:t>
            </w:r>
          </w:p>
        </w:tc>
        <w:tc>
          <w:tcPr>
            <w:tcW w:w="1795" w:type="dxa"/>
            <w:vMerge/>
          </w:tcPr>
          <w:p w14:paraId="37606462" w14:textId="77777777" w:rsidR="00141388" w:rsidRDefault="00141388" w:rsidP="0024115B">
            <w:pPr>
              <w:pStyle w:val="NoSpacing"/>
            </w:pPr>
          </w:p>
        </w:tc>
      </w:tr>
      <w:tr w:rsidR="00141388" w14:paraId="33BFDE06" w14:textId="77777777" w:rsidTr="00FD4053">
        <w:tc>
          <w:tcPr>
            <w:tcW w:w="2515" w:type="dxa"/>
          </w:tcPr>
          <w:p w14:paraId="4B6444CF" w14:textId="77777777" w:rsidR="00141388" w:rsidRDefault="00141388" w:rsidP="00FD4053">
            <w:pPr>
              <w:spacing w:line="480" w:lineRule="auto"/>
            </w:pPr>
            <w:r>
              <w:t>Household composition</w:t>
            </w:r>
          </w:p>
        </w:tc>
        <w:tc>
          <w:tcPr>
            <w:tcW w:w="1890" w:type="dxa"/>
          </w:tcPr>
          <w:p w14:paraId="60B08F71" w14:textId="77777777" w:rsidR="00141388" w:rsidRDefault="00141388" w:rsidP="0024115B">
            <w:pPr>
              <w:pStyle w:val="NoSpacing"/>
            </w:pPr>
          </w:p>
        </w:tc>
        <w:tc>
          <w:tcPr>
            <w:tcW w:w="1620" w:type="dxa"/>
          </w:tcPr>
          <w:p w14:paraId="707BBE82" w14:textId="77777777" w:rsidR="00141388" w:rsidRDefault="00141388" w:rsidP="0024115B">
            <w:pPr>
              <w:pStyle w:val="NoSpacing"/>
            </w:pPr>
          </w:p>
        </w:tc>
        <w:tc>
          <w:tcPr>
            <w:tcW w:w="1530" w:type="dxa"/>
          </w:tcPr>
          <w:p w14:paraId="564886F9" w14:textId="77777777" w:rsidR="00141388" w:rsidRDefault="00141388" w:rsidP="0024115B">
            <w:pPr>
              <w:pStyle w:val="NoSpacing"/>
            </w:pPr>
          </w:p>
        </w:tc>
        <w:tc>
          <w:tcPr>
            <w:tcW w:w="1795" w:type="dxa"/>
          </w:tcPr>
          <w:p w14:paraId="376EE123" w14:textId="77777777" w:rsidR="00141388" w:rsidRDefault="00141388" w:rsidP="0024115B">
            <w:pPr>
              <w:pStyle w:val="NoSpacing"/>
            </w:pPr>
          </w:p>
        </w:tc>
      </w:tr>
      <w:tr w:rsidR="00141388" w14:paraId="06011492" w14:textId="77777777" w:rsidTr="00FD4053">
        <w:tc>
          <w:tcPr>
            <w:tcW w:w="2515" w:type="dxa"/>
          </w:tcPr>
          <w:p w14:paraId="62B54BA4" w14:textId="763431FC" w:rsidR="00141388" w:rsidRDefault="00141388" w:rsidP="00FD4053">
            <w:pPr>
              <w:spacing w:line="480" w:lineRule="auto"/>
              <w:jc w:val="right"/>
            </w:pPr>
            <w:r>
              <w:t>Single parent</w:t>
            </w:r>
            <w:r w:rsidR="0024115B">
              <w:t xml:space="preserve"> (n=</w:t>
            </w:r>
            <w:r w:rsidR="00124A1D">
              <w:t>2</w:t>
            </w:r>
            <w:r w:rsidR="001847E2">
              <w:t>889</w:t>
            </w:r>
            <w:r w:rsidR="00124A1D">
              <w:t>)</w:t>
            </w:r>
          </w:p>
        </w:tc>
        <w:tc>
          <w:tcPr>
            <w:tcW w:w="1890" w:type="dxa"/>
          </w:tcPr>
          <w:p w14:paraId="3D8427BD" w14:textId="77777777" w:rsidR="00141388" w:rsidRDefault="00124A1D" w:rsidP="0024115B">
            <w:pPr>
              <w:pStyle w:val="NoSpacing"/>
            </w:pPr>
            <w:r>
              <w:t>28.5%</w:t>
            </w:r>
          </w:p>
          <w:p w14:paraId="6023CD02" w14:textId="1BD86E62" w:rsidR="00124A1D" w:rsidRDefault="00124A1D" w:rsidP="0024115B">
            <w:pPr>
              <w:pStyle w:val="NoSpacing"/>
            </w:pPr>
            <w:r>
              <w:t>(27.</w:t>
            </w:r>
            <w:r w:rsidR="001847E2">
              <w:t>0</w:t>
            </w:r>
            <w:r>
              <w:t>%-30.0%)</w:t>
            </w:r>
          </w:p>
        </w:tc>
        <w:tc>
          <w:tcPr>
            <w:tcW w:w="1620" w:type="dxa"/>
          </w:tcPr>
          <w:p w14:paraId="359A513B" w14:textId="2987A21A" w:rsidR="00141388" w:rsidRDefault="00124A1D" w:rsidP="0024115B">
            <w:pPr>
              <w:pStyle w:val="NoSpacing"/>
            </w:pPr>
            <w:r>
              <w:t>3</w:t>
            </w:r>
            <w:r w:rsidR="001847E2">
              <w:t>4.5</w:t>
            </w:r>
            <w:r>
              <w:t>%</w:t>
            </w:r>
          </w:p>
          <w:p w14:paraId="587CBE49" w14:textId="7D3BF474" w:rsidR="00124A1D" w:rsidRDefault="00124A1D" w:rsidP="0024115B">
            <w:pPr>
              <w:pStyle w:val="NoSpacing"/>
            </w:pPr>
            <w:r>
              <w:t>(</w:t>
            </w:r>
            <w:r w:rsidR="001847E2">
              <w:t>29.7</w:t>
            </w:r>
            <w:r>
              <w:t>%-</w:t>
            </w:r>
            <w:r w:rsidR="001847E2">
              <w:t>39.6</w:t>
            </w:r>
            <w:r>
              <w:t>%)</w:t>
            </w:r>
          </w:p>
        </w:tc>
        <w:tc>
          <w:tcPr>
            <w:tcW w:w="1530" w:type="dxa"/>
          </w:tcPr>
          <w:p w14:paraId="233EEDA2" w14:textId="08CE27F9" w:rsidR="00141388" w:rsidRDefault="00124A1D" w:rsidP="0024115B">
            <w:pPr>
              <w:pStyle w:val="NoSpacing"/>
            </w:pPr>
            <w:r>
              <w:t>4</w:t>
            </w:r>
            <w:r w:rsidR="001847E2">
              <w:t>1.5</w:t>
            </w:r>
            <w:r>
              <w:t>%</w:t>
            </w:r>
          </w:p>
          <w:p w14:paraId="449CDA53" w14:textId="3E3F2033" w:rsidR="00124A1D" w:rsidRDefault="00124A1D" w:rsidP="0024115B">
            <w:pPr>
              <w:pStyle w:val="NoSpacing"/>
            </w:pPr>
            <w:r>
              <w:t>(3</w:t>
            </w:r>
            <w:r w:rsidR="001847E2">
              <w:t>4.4</w:t>
            </w:r>
            <w:r>
              <w:t>%-</w:t>
            </w:r>
            <w:r w:rsidR="001847E2">
              <w:t>48.9</w:t>
            </w:r>
            <w:r>
              <w:t>%)</w:t>
            </w:r>
          </w:p>
        </w:tc>
        <w:tc>
          <w:tcPr>
            <w:tcW w:w="1795" w:type="dxa"/>
            <w:vMerge w:val="restart"/>
          </w:tcPr>
          <w:p w14:paraId="507079E5" w14:textId="1F73E929" w:rsidR="00141388" w:rsidRDefault="00141388" w:rsidP="0024115B">
            <w:pPr>
              <w:pStyle w:val="NoSpacing"/>
            </w:pPr>
            <w:r>
              <w:t>1</w:t>
            </w:r>
            <w:r w:rsidR="00C531EE">
              <w:t>0.09</w:t>
            </w:r>
            <w:r>
              <w:t xml:space="preserve"> (2, 76</w:t>
            </w:r>
            <w:r w:rsidR="00C531EE">
              <w:t>3</w:t>
            </w:r>
            <w:r>
              <w:t>)***</w:t>
            </w:r>
          </w:p>
        </w:tc>
      </w:tr>
      <w:tr w:rsidR="00141388" w14:paraId="20B6D166" w14:textId="77777777" w:rsidTr="00FD4053">
        <w:tc>
          <w:tcPr>
            <w:tcW w:w="2515" w:type="dxa"/>
          </w:tcPr>
          <w:p w14:paraId="727ED85D" w14:textId="18B556AB" w:rsidR="00141388" w:rsidRDefault="00141388" w:rsidP="00FD4053">
            <w:pPr>
              <w:spacing w:line="480" w:lineRule="auto"/>
              <w:jc w:val="right"/>
            </w:pPr>
            <w:r>
              <w:t>Two parents</w:t>
            </w:r>
            <w:r w:rsidR="00124A1D">
              <w:t xml:space="preserve"> (n=</w:t>
            </w:r>
            <w:r w:rsidR="001847E2">
              <w:t>6956</w:t>
            </w:r>
            <w:r w:rsidR="00124A1D">
              <w:t>)</w:t>
            </w:r>
          </w:p>
        </w:tc>
        <w:tc>
          <w:tcPr>
            <w:tcW w:w="1890" w:type="dxa"/>
          </w:tcPr>
          <w:p w14:paraId="6DBDF3D0" w14:textId="31863303" w:rsidR="00141388" w:rsidRDefault="00124A1D" w:rsidP="0024115B">
            <w:pPr>
              <w:pStyle w:val="NoSpacing"/>
            </w:pPr>
            <w:r>
              <w:t>71.5%</w:t>
            </w:r>
          </w:p>
          <w:p w14:paraId="073F51E3" w14:textId="4ED29E4F" w:rsidR="00124A1D" w:rsidRDefault="00124A1D" w:rsidP="0024115B">
            <w:pPr>
              <w:pStyle w:val="NoSpacing"/>
            </w:pPr>
            <w:r>
              <w:t>(70.0%-72.9%)</w:t>
            </w:r>
          </w:p>
        </w:tc>
        <w:tc>
          <w:tcPr>
            <w:tcW w:w="1620" w:type="dxa"/>
          </w:tcPr>
          <w:p w14:paraId="03F16A8A" w14:textId="323BE2FB" w:rsidR="00141388" w:rsidRDefault="00124A1D" w:rsidP="0024115B">
            <w:pPr>
              <w:pStyle w:val="NoSpacing"/>
            </w:pPr>
            <w:r>
              <w:t>6</w:t>
            </w:r>
            <w:r w:rsidR="001847E2">
              <w:t>5.5</w:t>
            </w:r>
            <w:r>
              <w:t>%</w:t>
            </w:r>
          </w:p>
          <w:p w14:paraId="23352CBC" w14:textId="3BF92BAB" w:rsidR="00124A1D" w:rsidRDefault="00124A1D" w:rsidP="0024115B">
            <w:pPr>
              <w:pStyle w:val="NoSpacing"/>
            </w:pPr>
            <w:r>
              <w:t>(</w:t>
            </w:r>
            <w:r w:rsidR="001847E2">
              <w:t>60.4</w:t>
            </w:r>
            <w:r>
              <w:t>%-</w:t>
            </w:r>
            <w:r w:rsidR="001847E2">
              <w:t>70.3</w:t>
            </w:r>
            <w:r>
              <w:t>%)</w:t>
            </w:r>
          </w:p>
        </w:tc>
        <w:tc>
          <w:tcPr>
            <w:tcW w:w="1530" w:type="dxa"/>
          </w:tcPr>
          <w:p w14:paraId="3965CAB8" w14:textId="5A1DAD96" w:rsidR="00141388" w:rsidRDefault="00124A1D" w:rsidP="0024115B">
            <w:pPr>
              <w:pStyle w:val="NoSpacing"/>
            </w:pPr>
            <w:r>
              <w:t>5</w:t>
            </w:r>
            <w:r w:rsidR="001847E2">
              <w:t>8.5</w:t>
            </w:r>
            <w:r>
              <w:t>%</w:t>
            </w:r>
          </w:p>
          <w:p w14:paraId="4A01F5C6" w14:textId="3E71EF86" w:rsidR="00124A1D" w:rsidRDefault="00124A1D" w:rsidP="0024115B">
            <w:pPr>
              <w:pStyle w:val="NoSpacing"/>
            </w:pPr>
            <w:r>
              <w:t>(</w:t>
            </w:r>
            <w:r w:rsidR="001847E2">
              <w:t>51.1</w:t>
            </w:r>
            <w:r>
              <w:t>%-6</w:t>
            </w:r>
            <w:r w:rsidR="001847E2">
              <w:t>5</w:t>
            </w:r>
            <w:r>
              <w:t>.</w:t>
            </w:r>
            <w:r w:rsidR="001847E2">
              <w:t>6</w:t>
            </w:r>
            <w:r>
              <w:t>%)</w:t>
            </w:r>
          </w:p>
        </w:tc>
        <w:tc>
          <w:tcPr>
            <w:tcW w:w="1795" w:type="dxa"/>
            <w:vMerge/>
          </w:tcPr>
          <w:p w14:paraId="483E7FBA" w14:textId="77777777" w:rsidR="00141388" w:rsidRDefault="00141388" w:rsidP="0024115B">
            <w:pPr>
              <w:pStyle w:val="NoSpacing"/>
            </w:pPr>
          </w:p>
        </w:tc>
      </w:tr>
      <w:tr w:rsidR="00141388" w14:paraId="726687CB" w14:textId="77777777" w:rsidTr="00FD4053">
        <w:tc>
          <w:tcPr>
            <w:tcW w:w="2515" w:type="dxa"/>
          </w:tcPr>
          <w:p w14:paraId="208BECD4" w14:textId="77777777" w:rsidR="00141388" w:rsidRDefault="00141388" w:rsidP="00FD4053">
            <w:pPr>
              <w:spacing w:line="480" w:lineRule="auto"/>
            </w:pPr>
            <w:r>
              <w:t xml:space="preserve">Income poverty </w:t>
            </w:r>
          </w:p>
        </w:tc>
        <w:tc>
          <w:tcPr>
            <w:tcW w:w="1890" w:type="dxa"/>
          </w:tcPr>
          <w:p w14:paraId="33095264" w14:textId="77777777" w:rsidR="00141388" w:rsidRDefault="00141388" w:rsidP="0024115B">
            <w:pPr>
              <w:pStyle w:val="NoSpacing"/>
            </w:pPr>
          </w:p>
        </w:tc>
        <w:tc>
          <w:tcPr>
            <w:tcW w:w="1620" w:type="dxa"/>
          </w:tcPr>
          <w:p w14:paraId="07AA83D9" w14:textId="77777777" w:rsidR="00141388" w:rsidRDefault="00141388" w:rsidP="0024115B">
            <w:pPr>
              <w:pStyle w:val="NoSpacing"/>
            </w:pPr>
          </w:p>
        </w:tc>
        <w:tc>
          <w:tcPr>
            <w:tcW w:w="1530" w:type="dxa"/>
          </w:tcPr>
          <w:p w14:paraId="3390D42E" w14:textId="77777777" w:rsidR="00141388" w:rsidRDefault="00141388" w:rsidP="0024115B">
            <w:pPr>
              <w:pStyle w:val="NoSpacing"/>
            </w:pPr>
          </w:p>
        </w:tc>
        <w:tc>
          <w:tcPr>
            <w:tcW w:w="1795" w:type="dxa"/>
          </w:tcPr>
          <w:p w14:paraId="5628B2F7" w14:textId="77777777" w:rsidR="00141388" w:rsidRDefault="00141388" w:rsidP="0024115B">
            <w:pPr>
              <w:pStyle w:val="NoSpacing"/>
            </w:pPr>
          </w:p>
        </w:tc>
      </w:tr>
      <w:tr w:rsidR="00141388" w14:paraId="64B5FD55" w14:textId="77777777" w:rsidTr="00FD4053">
        <w:tc>
          <w:tcPr>
            <w:tcW w:w="2515" w:type="dxa"/>
          </w:tcPr>
          <w:p w14:paraId="62745D52" w14:textId="3C1FBBE6" w:rsidR="00141388" w:rsidRDefault="00141388" w:rsidP="00FD4053">
            <w:pPr>
              <w:spacing w:line="480" w:lineRule="auto"/>
              <w:jc w:val="right"/>
            </w:pPr>
            <w:r>
              <w:t>Yes</w:t>
            </w:r>
            <w:r w:rsidR="00124A1D">
              <w:t xml:space="preserve"> (n=32</w:t>
            </w:r>
            <w:r w:rsidR="001847E2">
              <w:t>10</w:t>
            </w:r>
            <w:r w:rsidR="00124A1D">
              <w:t>)</w:t>
            </w:r>
          </w:p>
        </w:tc>
        <w:tc>
          <w:tcPr>
            <w:tcW w:w="1890" w:type="dxa"/>
          </w:tcPr>
          <w:p w14:paraId="76FA83E5" w14:textId="24CA5CB7" w:rsidR="00141388" w:rsidRDefault="00124A1D" w:rsidP="0024115B">
            <w:pPr>
              <w:pStyle w:val="NoSpacing"/>
            </w:pPr>
            <w:r>
              <w:t>31.</w:t>
            </w:r>
            <w:r w:rsidR="001847E2">
              <w:t>0</w:t>
            </w:r>
            <w:r>
              <w:t>%</w:t>
            </w:r>
          </w:p>
          <w:p w14:paraId="252D0641" w14:textId="5D12A64F" w:rsidR="00124A1D" w:rsidRDefault="00124A1D" w:rsidP="0024115B">
            <w:pPr>
              <w:pStyle w:val="NoSpacing"/>
            </w:pPr>
            <w:r>
              <w:t>(28.</w:t>
            </w:r>
            <w:r w:rsidR="001847E2">
              <w:t>6</w:t>
            </w:r>
            <w:r>
              <w:t>%-33.5%)</w:t>
            </w:r>
          </w:p>
        </w:tc>
        <w:tc>
          <w:tcPr>
            <w:tcW w:w="1620" w:type="dxa"/>
          </w:tcPr>
          <w:p w14:paraId="42222DF8" w14:textId="50FE4AB4" w:rsidR="00141388" w:rsidRDefault="00124A1D" w:rsidP="0024115B">
            <w:pPr>
              <w:pStyle w:val="NoSpacing"/>
            </w:pPr>
            <w:r>
              <w:t>39.</w:t>
            </w:r>
            <w:r w:rsidR="001847E2">
              <w:t>7</w:t>
            </w:r>
            <w:r>
              <w:t>%</w:t>
            </w:r>
          </w:p>
          <w:p w14:paraId="4B55C1EE" w14:textId="2329CFF3" w:rsidR="00124A1D" w:rsidRDefault="00124A1D" w:rsidP="0024115B">
            <w:pPr>
              <w:pStyle w:val="NoSpacing"/>
            </w:pPr>
            <w:r>
              <w:t>(34.</w:t>
            </w:r>
            <w:r w:rsidR="001847E2">
              <w:t>5</w:t>
            </w:r>
            <w:r>
              <w:t>%-45.</w:t>
            </w:r>
            <w:r w:rsidR="001847E2">
              <w:t>2</w:t>
            </w:r>
            <w:r>
              <w:t>%)</w:t>
            </w:r>
          </w:p>
        </w:tc>
        <w:tc>
          <w:tcPr>
            <w:tcW w:w="1530" w:type="dxa"/>
          </w:tcPr>
          <w:p w14:paraId="5D632BB2" w14:textId="6995923F" w:rsidR="00141388" w:rsidRDefault="001847E2" w:rsidP="0024115B">
            <w:pPr>
              <w:pStyle w:val="NoSpacing"/>
            </w:pPr>
            <w:r>
              <w:t>59.6</w:t>
            </w:r>
            <w:r w:rsidR="00124A1D">
              <w:t>%</w:t>
            </w:r>
          </w:p>
          <w:p w14:paraId="33FDAAE4" w14:textId="57B57299" w:rsidR="00124A1D" w:rsidRDefault="00124A1D" w:rsidP="0024115B">
            <w:pPr>
              <w:pStyle w:val="NoSpacing"/>
            </w:pPr>
            <w:r>
              <w:t>(5</w:t>
            </w:r>
            <w:r w:rsidR="001847E2">
              <w:t>2.8</w:t>
            </w:r>
            <w:r>
              <w:t>%-6</w:t>
            </w:r>
            <w:r w:rsidR="001847E2">
              <w:t>6.0</w:t>
            </w:r>
            <w:r>
              <w:t>%)</w:t>
            </w:r>
          </w:p>
        </w:tc>
        <w:tc>
          <w:tcPr>
            <w:tcW w:w="1795" w:type="dxa"/>
            <w:vMerge w:val="restart"/>
          </w:tcPr>
          <w:p w14:paraId="2591C818" w14:textId="3297A03D" w:rsidR="00141388" w:rsidRDefault="00141388" w:rsidP="0024115B">
            <w:pPr>
              <w:pStyle w:val="NoSpacing"/>
            </w:pPr>
            <w:r>
              <w:t>4</w:t>
            </w:r>
            <w:r w:rsidR="00C531EE">
              <w:t>3.10</w:t>
            </w:r>
            <w:r>
              <w:t xml:space="preserve"> (2, 77</w:t>
            </w:r>
            <w:r w:rsidR="00C531EE">
              <w:t>7</w:t>
            </w:r>
            <w:r>
              <w:t>)***</w:t>
            </w:r>
          </w:p>
        </w:tc>
      </w:tr>
      <w:tr w:rsidR="00141388" w14:paraId="126AE7C2" w14:textId="77777777" w:rsidTr="00FD4053">
        <w:tc>
          <w:tcPr>
            <w:tcW w:w="2515" w:type="dxa"/>
          </w:tcPr>
          <w:p w14:paraId="34C4A40F" w14:textId="69D53576" w:rsidR="00141388" w:rsidRDefault="00141388" w:rsidP="00FD4053">
            <w:pPr>
              <w:spacing w:line="480" w:lineRule="auto"/>
              <w:jc w:val="right"/>
            </w:pPr>
            <w:r>
              <w:t>No</w:t>
            </w:r>
            <w:r w:rsidR="00124A1D">
              <w:t xml:space="preserve"> (n=6</w:t>
            </w:r>
            <w:r w:rsidR="001847E2">
              <w:t>635</w:t>
            </w:r>
            <w:r w:rsidR="00124A1D">
              <w:t>)</w:t>
            </w:r>
          </w:p>
        </w:tc>
        <w:tc>
          <w:tcPr>
            <w:tcW w:w="1890" w:type="dxa"/>
          </w:tcPr>
          <w:p w14:paraId="5742FE95" w14:textId="78B1E243" w:rsidR="00141388" w:rsidRDefault="00124A1D" w:rsidP="0024115B">
            <w:pPr>
              <w:pStyle w:val="NoSpacing"/>
            </w:pPr>
            <w:r>
              <w:t>68.9%</w:t>
            </w:r>
          </w:p>
          <w:p w14:paraId="76D6A8CA" w14:textId="3B97B9C5" w:rsidR="00124A1D" w:rsidRDefault="00124A1D" w:rsidP="0024115B">
            <w:pPr>
              <w:pStyle w:val="NoSpacing"/>
            </w:pPr>
            <w:r>
              <w:t>(66.5%-71.3%)</w:t>
            </w:r>
          </w:p>
        </w:tc>
        <w:tc>
          <w:tcPr>
            <w:tcW w:w="1620" w:type="dxa"/>
          </w:tcPr>
          <w:p w14:paraId="097AC553" w14:textId="77777777" w:rsidR="00141388" w:rsidRDefault="00124A1D" w:rsidP="0024115B">
            <w:pPr>
              <w:pStyle w:val="NoSpacing"/>
            </w:pPr>
            <w:r>
              <w:t>60.2%</w:t>
            </w:r>
          </w:p>
          <w:p w14:paraId="24164951" w14:textId="1C23465A" w:rsidR="00124A1D" w:rsidRDefault="00124A1D" w:rsidP="0024115B">
            <w:pPr>
              <w:pStyle w:val="NoSpacing"/>
            </w:pPr>
            <w:r>
              <w:t>(55.0%-65.2%)</w:t>
            </w:r>
          </w:p>
        </w:tc>
        <w:tc>
          <w:tcPr>
            <w:tcW w:w="1530" w:type="dxa"/>
          </w:tcPr>
          <w:p w14:paraId="30F9EC47" w14:textId="77777777" w:rsidR="00141388" w:rsidRDefault="00124A1D" w:rsidP="0024115B">
            <w:pPr>
              <w:pStyle w:val="NoSpacing"/>
            </w:pPr>
            <w:r>
              <w:t>38.9%</w:t>
            </w:r>
          </w:p>
          <w:p w14:paraId="06076CB0" w14:textId="5448F855" w:rsidR="00124A1D" w:rsidRDefault="00124A1D" w:rsidP="0024115B">
            <w:pPr>
              <w:pStyle w:val="NoSpacing"/>
            </w:pPr>
            <w:r>
              <w:t>(32.6%-45.6%)</w:t>
            </w:r>
          </w:p>
        </w:tc>
        <w:tc>
          <w:tcPr>
            <w:tcW w:w="1795" w:type="dxa"/>
            <w:vMerge/>
          </w:tcPr>
          <w:p w14:paraId="65E1619E" w14:textId="77777777" w:rsidR="00141388" w:rsidRDefault="00141388" w:rsidP="0024115B">
            <w:pPr>
              <w:pStyle w:val="NoSpacing"/>
            </w:pPr>
          </w:p>
        </w:tc>
      </w:tr>
      <w:tr w:rsidR="00141388" w14:paraId="2BCE8B6B" w14:textId="77777777" w:rsidTr="00FD4053">
        <w:tc>
          <w:tcPr>
            <w:tcW w:w="2515" w:type="dxa"/>
          </w:tcPr>
          <w:p w14:paraId="2A49AC88" w14:textId="77777777" w:rsidR="00141388" w:rsidRDefault="00141388" w:rsidP="00FD4053">
            <w:pPr>
              <w:spacing w:line="480" w:lineRule="auto"/>
            </w:pPr>
            <w:r>
              <w:t>Material deprivation</w:t>
            </w:r>
          </w:p>
        </w:tc>
        <w:tc>
          <w:tcPr>
            <w:tcW w:w="1890" w:type="dxa"/>
          </w:tcPr>
          <w:p w14:paraId="676CB9F1" w14:textId="77777777" w:rsidR="00141388" w:rsidRDefault="00141388" w:rsidP="0024115B">
            <w:pPr>
              <w:pStyle w:val="NoSpacing"/>
            </w:pPr>
          </w:p>
        </w:tc>
        <w:tc>
          <w:tcPr>
            <w:tcW w:w="1620" w:type="dxa"/>
          </w:tcPr>
          <w:p w14:paraId="512638E7" w14:textId="77777777" w:rsidR="00141388" w:rsidRDefault="00141388" w:rsidP="0024115B">
            <w:pPr>
              <w:pStyle w:val="NoSpacing"/>
            </w:pPr>
          </w:p>
        </w:tc>
        <w:tc>
          <w:tcPr>
            <w:tcW w:w="1530" w:type="dxa"/>
          </w:tcPr>
          <w:p w14:paraId="4261D467" w14:textId="77777777" w:rsidR="00141388" w:rsidRDefault="00141388" w:rsidP="0024115B">
            <w:pPr>
              <w:pStyle w:val="NoSpacing"/>
            </w:pPr>
          </w:p>
        </w:tc>
        <w:tc>
          <w:tcPr>
            <w:tcW w:w="1795" w:type="dxa"/>
          </w:tcPr>
          <w:p w14:paraId="3E1E4F21" w14:textId="77777777" w:rsidR="00141388" w:rsidRDefault="00141388" w:rsidP="0024115B">
            <w:pPr>
              <w:pStyle w:val="NoSpacing"/>
            </w:pPr>
          </w:p>
        </w:tc>
      </w:tr>
      <w:tr w:rsidR="00141388" w14:paraId="53CBC50C" w14:textId="77777777" w:rsidTr="00FD4053">
        <w:tc>
          <w:tcPr>
            <w:tcW w:w="2515" w:type="dxa"/>
          </w:tcPr>
          <w:p w14:paraId="2DC746F6" w14:textId="57AE6E44" w:rsidR="00141388" w:rsidRDefault="00141388" w:rsidP="00FD4053">
            <w:pPr>
              <w:spacing w:line="480" w:lineRule="auto"/>
              <w:jc w:val="right"/>
            </w:pPr>
            <w:r>
              <w:t>Yes</w:t>
            </w:r>
            <w:r w:rsidR="00C90852">
              <w:t xml:space="preserve"> (n=22</w:t>
            </w:r>
            <w:r w:rsidR="001847E2">
              <w:t>30</w:t>
            </w:r>
            <w:r w:rsidR="00C90852">
              <w:t>)</w:t>
            </w:r>
          </w:p>
        </w:tc>
        <w:tc>
          <w:tcPr>
            <w:tcW w:w="1890" w:type="dxa"/>
          </w:tcPr>
          <w:p w14:paraId="6EB9855A" w14:textId="77777777" w:rsidR="00141388" w:rsidRDefault="00C90852" w:rsidP="0024115B">
            <w:pPr>
              <w:pStyle w:val="NoSpacing"/>
            </w:pPr>
            <w:r>
              <w:t>22.0%</w:t>
            </w:r>
          </w:p>
          <w:p w14:paraId="50FA22F5" w14:textId="2DB54F77" w:rsidR="00C90852" w:rsidRDefault="00C90852" w:rsidP="0024115B">
            <w:pPr>
              <w:pStyle w:val="NoSpacing"/>
            </w:pPr>
            <w:r>
              <w:t>(20.</w:t>
            </w:r>
            <w:r w:rsidR="001847E2">
              <w:t>5</w:t>
            </w:r>
            <w:r>
              <w:t>%-23.5%)</w:t>
            </w:r>
          </w:p>
        </w:tc>
        <w:tc>
          <w:tcPr>
            <w:tcW w:w="1620" w:type="dxa"/>
          </w:tcPr>
          <w:p w14:paraId="7D13FF81" w14:textId="651A1AC7" w:rsidR="00141388" w:rsidRDefault="00C90852" w:rsidP="0024115B">
            <w:pPr>
              <w:pStyle w:val="NoSpacing"/>
            </w:pPr>
            <w:r>
              <w:t>2</w:t>
            </w:r>
            <w:r w:rsidR="001847E2">
              <w:t>4.8</w:t>
            </w:r>
            <w:r>
              <w:t>%</w:t>
            </w:r>
          </w:p>
          <w:p w14:paraId="271BF7CF" w14:textId="5CBA9B96" w:rsidR="00C90852" w:rsidRDefault="00C90852" w:rsidP="0024115B">
            <w:pPr>
              <w:pStyle w:val="NoSpacing"/>
            </w:pPr>
            <w:r>
              <w:t>(2</w:t>
            </w:r>
            <w:r w:rsidR="001847E2">
              <w:t>0.4</w:t>
            </w:r>
            <w:r>
              <w:t>%-29.</w:t>
            </w:r>
            <w:r w:rsidR="001847E2">
              <w:t>7</w:t>
            </w:r>
            <w:r>
              <w:t>%)</w:t>
            </w:r>
          </w:p>
        </w:tc>
        <w:tc>
          <w:tcPr>
            <w:tcW w:w="1530" w:type="dxa"/>
          </w:tcPr>
          <w:p w14:paraId="46EF0825" w14:textId="1ABDFBC8" w:rsidR="00141388" w:rsidRDefault="00C90852" w:rsidP="0024115B">
            <w:pPr>
              <w:pStyle w:val="NoSpacing"/>
            </w:pPr>
            <w:r>
              <w:t>3</w:t>
            </w:r>
            <w:r w:rsidR="001847E2">
              <w:t>5.2</w:t>
            </w:r>
            <w:r>
              <w:t>%</w:t>
            </w:r>
          </w:p>
          <w:p w14:paraId="76FE7BC4" w14:textId="19F0A692" w:rsidR="00C90852" w:rsidRDefault="00C90852" w:rsidP="0024115B">
            <w:pPr>
              <w:pStyle w:val="NoSpacing"/>
            </w:pPr>
            <w:r>
              <w:t>(</w:t>
            </w:r>
            <w:r w:rsidR="001847E2">
              <w:t>29.2</w:t>
            </w:r>
            <w:r>
              <w:t>%-4</w:t>
            </w:r>
            <w:r w:rsidR="001847E2">
              <w:t>1.7</w:t>
            </w:r>
            <w:r>
              <w:t>%)</w:t>
            </w:r>
          </w:p>
        </w:tc>
        <w:tc>
          <w:tcPr>
            <w:tcW w:w="1795" w:type="dxa"/>
            <w:vMerge w:val="restart"/>
          </w:tcPr>
          <w:p w14:paraId="1BDEF78E" w14:textId="18FAA206" w:rsidR="00141388" w:rsidRDefault="00141388" w:rsidP="0024115B">
            <w:pPr>
              <w:pStyle w:val="NoSpacing"/>
            </w:pPr>
            <w:r>
              <w:t>1</w:t>
            </w:r>
            <w:r w:rsidR="00C531EE">
              <w:t>1.00</w:t>
            </w:r>
            <w:r>
              <w:t xml:space="preserve"> (2, 7</w:t>
            </w:r>
            <w:r w:rsidR="00C531EE">
              <w:t>68</w:t>
            </w:r>
            <w:r>
              <w:t>)***</w:t>
            </w:r>
          </w:p>
        </w:tc>
      </w:tr>
      <w:tr w:rsidR="00141388" w14:paraId="5D2B05C7" w14:textId="77777777" w:rsidTr="00FD4053">
        <w:tc>
          <w:tcPr>
            <w:tcW w:w="2515" w:type="dxa"/>
          </w:tcPr>
          <w:p w14:paraId="4B533B9E" w14:textId="049B606B" w:rsidR="00141388" w:rsidRDefault="00141388" w:rsidP="00FD4053">
            <w:pPr>
              <w:spacing w:line="480" w:lineRule="auto"/>
              <w:jc w:val="right"/>
            </w:pPr>
            <w:r>
              <w:t>No</w:t>
            </w:r>
            <w:r w:rsidR="00C90852">
              <w:t xml:space="preserve"> (n=7</w:t>
            </w:r>
            <w:r w:rsidR="001847E2">
              <w:t>614</w:t>
            </w:r>
            <w:r w:rsidR="00C90852">
              <w:t>)</w:t>
            </w:r>
          </w:p>
        </w:tc>
        <w:tc>
          <w:tcPr>
            <w:tcW w:w="1890" w:type="dxa"/>
          </w:tcPr>
          <w:p w14:paraId="292E39C8" w14:textId="77777777" w:rsidR="00141388" w:rsidRDefault="00C90852" w:rsidP="0024115B">
            <w:pPr>
              <w:pStyle w:val="NoSpacing"/>
            </w:pPr>
            <w:r>
              <w:t>78.0%</w:t>
            </w:r>
          </w:p>
          <w:p w14:paraId="53230991" w14:textId="7A625C8C" w:rsidR="00C90852" w:rsidRDefault="00C90852" w:rsidP="0024115B">
            <w:pPr>
              <w:pStyle w:val="NoSpacing"/>
            </w:pPr>
            <w:r>
              <w:t>(76.5%-79.</w:t>
            </w:r>
            <w:r w:rsidR="001847E2">
              <w:t>5</w:t>
            </w:r>
            <w:r>
              <w:t>%)</w:t>
            </w:r>
          </w:p>
        </w:tc>
        <w:tc>
          <w:tcPr>
            <w:tcW w:w="1620" w:type="dxa"/>
          </w:tcPr>
          <w:p w14:paraId="1B2F23FD" w14:textId="7CC9E289" w:rsidR="00141388" w:rsidRDefault="00C90852" w:rsidP="0024115B">
            <w:pPr>
              <w:pStyle w:val="NoSpacing"/>
            </w:pPr>
            <w:r>
              <w:t>7</w:t>
            </w:r>
            <w:r w:rsidR="001847E2">
              <w:t>5.2</w:t>
            </w:r>
            <w:r>
              <w:t>%</w:t>
            </w:r>
          </w:p>
          <w:p w14:paraId="0232F278" w14:textId="2F69BE8A" w:rsidR="00C90852" w:rsidRDefault="00C90852" w:rsidP="0024115B">
            <w:pPr>
              <w:pStyle w:val="NoSpacing"/>
            </w:pPr>
            <w:r>
              <w:t>(70.</w:t>
            </w:r>
            <w:r w:rsidR="001847E2">
              <w:t>3</w:t>
            </w:r>
            <w:r>
              <w:t>%-7</w:t>
            </w:r>
            <w:r w:rsidR="001847E2">
              <w:t>9</w:t>
            </w:r>
            <w:r>
              <w:t>.</w:t>
            </w:r>
            <w:r w:rsidR="001847E2">
              <w:t>6</w:t>
            </w:r>
            <w:r>
              <w:t>%)</w:t>
            </w:r>
          </w:p>
        </w:tc>
        <w:tc>
          <w:tcPr>
            <w:tcW w:w="1530" w:type="dxa"/>
          </w:tcPr>
          <w:p w14:paraId="146D8FE2" w14:textId="58EE4412" w:rsidR="00141388" w:rsidRDefault="00C90852" w:rsidP="0024115B">
            <w:pPr>
              <w:pStyle w:val="NoSpacing"/>
            </w:pPr>
            <w:r>
              <w:t>6</w:t>
            </w:r>
            <w:r w:rsidR="001847E2">
              <w:t>4.8</w:t>
            </w:r>
            <w:r>
              <w:t>%</w:t>
            </w:r>
          </w:p>
          <w:p w14:paraId="778CA38E" w14:textId="16298A75" w:rsidR="00C90852" w:rsidRDefault="00C90852" w:rsidP="0024115B">
            <w:pPr>
              <w:pStyle w:val="NoSpacing"/>
            </w:pPr>
            <w:r>
              <w:t>(</w:t>
            </w:r>
            <w:r w:rsidR="001847E2">
              <w:t>58.3</w:t>
            </w:r>
            <w:r>
              <w:t>%-</w:t>
            </w:r>
            <w:r w:rsidR="001847E2">
              <w:t>70.8</w:t>
            </w:r>
            <w:r>
              <w:t>%)</w:t>
            </w:r>
          </w:p>
        </w:tc>
        <w:tc>
          <w:tcPr>
            <w:tcW w:w="1795" w:type="dxa"/>
            <w:vMerge/>
          </w:tcPr>
          <w:p w14:paraId="696B871B" w14:textId="77777777" w:rsidR="00141388" w:rsidRDefault="00141388" w:rsidP="0024115B">
            <w:pPr>
              <w:pStyle w:val="NoSpacing"/>
            </w:pPr>
          </w:p>
        </w:tc>
      </w:tr>
      <w:tr w:rsidR="00141388" w14:paraId="6834C7AA" w14:textId="77777777" w:rsidTr="00FD4053">
        <w:tc>
          <w:tcPr>
            <w:tcW w:w="2515" w:type="dxa"/>
          </w:tcPr>
          <w:p w14:paraId="56897D81" w14:textId="77777777" w:rsidR="00141388" w:rsidRDefault="00141388" w:rsidP="00FD4053">
            <w:pPr>
              <w:spacing w:line="480" w:lineRule="auto"/>
            </w:pPr>
            <w:r>
              <w:t>Maternal education</w:t>
            </w:r>
          </w:p>
        </w:tc>
        <w:tc>
          <w:tcPr>
            <w:tcW w:w="1890" w:type="dxa"/>
          </w:tcPr>
          <w:p w14:paraId="73A0B260" w14:textId="77777777" w:rsidR="00141388" w:rsidRDefault="00141388" w:rsidP="0024115B">
            <w:pPr>
              <w:pStyle w:val="NoSpacing"/>
            </w:pPr>
          </w:p>
        </w:tc>
        <w:tc>
          <w:tcPr>
            <w:tcW w:w="1620" w:type="dxa"/>
          </w:tcPr>
          <w:p w14:paraId="76E7F805" w14:textId="77777777" w:rsidR="00141388" w:rsidRDefault="00141388" w:rsidP="0024115B">
            <w:pPr>
              <w:pStyle w:val="NoSpacing"/>
            </w:pPr>
          </w:p>
        </w:tc>
        <w:tc>
          <w:tcPr>
            <w:tcW w:w="1530" w:type="dxa"/>
          </w:tcPr>
          <w:p w14:paraId="3C22CE6E" w14:textId="77777777" w:rsidR="00141388" w:rsidRDefault="00141388" w:rsidP="0024115B">
            <w:pPr>
              <w:pStyle w:val="NoSpacing"/>
            </w:pPr>
          </w:p>
        </w:tc>
        <w:tc>
          <w:tcPr>
            <w:tcW w:w="1795" w:type="dxa"/>
          </w:tcPr>
          <w:p w14:paraId="1E561A1F" w14:textId="77777777" w:rsidR="00141388" w:rsidRDefault="00141388" w:rsidP="0024115B">
            <w:pPr>
              <w:pStyle w:val="NoSpacing"/>
            </w:pPr>
          </w:p>
        </w:tc>
      </w:tr>
      <w:tr w:rsidR="00141388" w14:paraId="65D90842" w14:textId="77777777" w:rsidTr="00FD4053">
        <w:tc>
          <w:tcPr>
            <w:tcW w:w="2515" w:type="dxa"/>
          </w:tcPr>
          <w:p w14:paraId="4BDCABA2" w14:textId="60C459B3" w:rsidR="00141388" w:rsidRDefault="00141388" w:rsidP="00FD4053">
            <w:pPr>
              <w:spacing w:line="480" w:lineRule="auto"/>
              <w:jc w:val="right"/>
            </w:pPr>
            <w:r>
              <w:t>Low</w:t>
            </w:r>
            <w:r w:rsidR="00C90852">
              <w:t xml:space="preserve"> (n=2</w:t>
            </w:r>
            <w:r w:rsidR="001847E2">
              <w:t>175</w:t>
            </w:r>
            <w:r w:rsidR="00C90852">
              <w:t>)</w:t>
            </w:r>
          </w:p>
        </w:tc>
        <w:tc>
          <w:tcPr>
            <w:tcW w:w="1890" w:type="dxa"/>
          </w:tcPr>
          <w:p w14:paraId="5789CFB8" w14:textId="200E5504" w:rsidR="00141388" w:rsidRDefault="001847E2" w:rsidP="0024115B">
            <w:pPr>
              <w:pStyle w:val="NoSpacing"/>
            </w:pPr>
            <w:r>
              <w:t>21.6</w:t>
            </w:r>
            <w:r w:rsidR="00C90852">
              <w:t>%</w:t>
            </w:r>
          </w:p>
          <w:p w14:paraId="6BB14EC0" w14:textId="1320D734" w:rsidR="00C90852" w:rsidRDefault="00C90852" w:rsidP="0024115B">
            <w:pPr>
              <w:pStyle w:val="NoSpacing"/>
            </w:pPr>
            <w:r>
              <w:t>(19.</w:t>
            </w:r>
            <w:r w:rsidR="001847E2">
              <w:t>8</w:t>
            </w:r>
            <w:r>
              <w:t>%-23.5%)</w:t>
            </w:r>
          </w:p>
        </w:tc>
        <w:tc>
          <w:tcPr>
            <w:tcW w:w="1620" w:type="dxa"/>
          </w:tcPr>
          <w:p w14:paraId="47FFB96C" w14:textId="7C1FF13D" w:rsidR="00141388" w:rsidRDefault="001847E2" w:rsidP="0024115B">
            <w:pPr>
              <w:pStyle w:val="NoSpacing"/>
            </w:pPr>
            <w:r>
              <w:t>24.6</w:t>
            </w:r>
            <w:r w:rsidR="00C90852">
              <w:t>%</w:t>
            </w:r>
          </w:p>
          <w:p w14:paraId="0C2700FB" w14:textId="654D2BCE" w:rsidR="00C90852" w:rsidRDefault="00C90852" w:rsidP="0024115B">
            <w:pPr>
              <w:pStyle w:val="NoSpacing"/>
            </w:pPr>
            <w:r>
              <w:t>(19.</w:t>
            </w:r>
            <w:r w:rsidR="001847E2">
              <w:t>7</w:t>
            </w:r>
            <w:r>
              <w:t>%-</w:t>
            </w:r>
            <w:r w:rsidR="001847E2">
              <w:t>30.1</w:t>
            </w:r>
            <w:r>
              <w:t>%)</w:t>
            </w:r>
          </w:p>
        </w:tc>
        <w:tc>
          <w:tcPr>
            <w:tcW w:w="1530" w:type="dxa"/>
          </w:tcPr>
          <w:p w14:paraId="4211A7B9" w14:textId="1206F2FC" w:rsidR="00141388" w:rsidRDefault="00C90852" w:rsidP="0024115B">
            <w:pPr>
              <w:pStyle w:val="NoSpacing"/>
            </w:pPr>
            <w:r>
              <w:t>30.</w:t>
            </w:r>
            <w:r w:rsidR="001847E2">
              <w:t>5</w:t>
            </w:r>
            <w:r>
              <w:t>%</w:t>
            </w:r>
          </w:p>
          <w:p w14:paraId="4F5D5FF2" w14:textId="70A0E1D1" w:rsidR="00C90852" w:rsidRDefault="00C90852" w:rsidP="0024115B">
            <w:pPr>
              <w:pStyle w:val="NoSpacing"/>
            </w:pPr>
            <w:r>
              <w:t>(2</w:t>
            </w:r>
            <w:r w:rsidR="001847E2">
              <w:t>4.5</w:t>
            </w:r>
            <w:r>
              <w:t>%-37.</w:t>
            </w:r>
            <w:r w:rsidR="001847E2">
              <w:t>4</w:t>
            </w:r>
            <w:r>
              <w:t>%)</w:t>
            </w:r>
          </w:p>
        </w:tc>
        <w:tc>
          <w:tcPr>
            <w:tcW w:w="1795" w:type="dxa"/>
            <w:vMerge w:val="restart"/>
          </w:tcPr>
          <w:p w14:paraId="4C369AAF" w14:textId="02C07B45" w:rsidR="00141388" w:rsidRDefault="00C531EE" w:rsidP="0024115B">
            <w:pPr>
              <w:pStyle w:val="NoSpacing"/>
            </w:pPr>
            <w:r>
              <w:t>4.55</w:t>
            </w:r>
            <w:r w:rsidR="00141388">
              <w:t xml:space="preserve"> (2, 75</w:t>
            </w:r>
            <w:r>
              <w:t>9</w:t>
            </w:r>
            <w:r w:rsidR="00141388">
              <w:t>)*</w:t>
            </w:r>
          </w:p>
        </w:tc>
      </w:tr>
      <w:tr w:rsidR="00141388" w14:paraId="014901AF" w14:textId="77777777" w:rsidTr="00FD4053">
        <w:tc>
          <w:tcPr>
            <w:tcW w:w="2515" w:type="dxa"/>
          </w:tcPr>
          <w:p w14:paraId="521EC044" w14:textId="7D2C536C" w:rsidR="00141388" w:rsidRDefault="00141388" w:rsidP="00FD4053">
            <w:pPr>
              <w:spacing w:line="480" w:lineRule="auto"/>
              <w:jc w:val="right"/>
            </w:pPr>
            <w:r>
              <w:t>High</w:t>
            </w:r>
            <w:r w:rsidR="00C90852">
              <w:t xml:space="preserve"> (n=7</w:t>
            </w:r>
            <w:r w:rsidR="001847E2">
              <w:t>667</w:t>
            </w:r>
            <w:r w:rsidR="00C90852">
              <w:t>)</w:t>
            </w:r>
          </w:p>
        </w:tc>
        <w:tc>
          <w:tcPr>
            <w:tcW w:w="1890" w:type="dxa"/>
          </w:tcPr>
          <w:p w14:paraId="1A5788D4" w14:textId="77777777" w:rsidR="00141388" w:rsidRDefault="001B3F2C" w:rsidP="0024115B">
            <w:pPr>
              <w:pStyle w:val="NoSpacing"/>
            </w:pPr>
            <w:r>
              <w:t>78.4%</w:t>
            </w:r>
          </w:p>
          <w:p w14:paraId="00C2C6F3" w14:textId="64525E86" w:rsidR="001B3F2C" w:rsidRDefault="001B3F2C" w:rsidP="0024115B">
            <w:pPr>
              <w:pStyle w:val="NoSpacing"/>
            </w:pPr>
            <w:r>
              <w:t>(76.5%-80.1%)</w:t>
            </w:r>
          </w:p>
        </w:tc>
        <w:tc>
          <w:tcPr>
            <w:tcW w:w="1620" w:type="dxa"/>
          </w:tcPr>
          <w:p w14:paraId="1BC7D964" w14:textId="2271AEFA" w:rsidR="00141388" w:rsidRDefault="001B3F2C" w:rsidP="0024115B">
            <w:pPr>
              <w:pStyle w:val="NoSpacing"/>
            </w:pPr>
            <w:r>
              <w:t>75.</w:t>
            </w:r>
            <w:r w:rsidR="001847E2">
              <w:t>4</w:t>
            </w:r>
            <w:r>
              <w:t>%</w:t>
            </w:r>
          </w:p>
          <w:p w14:paraId="4B570E60" w14:textId="19BBB87F" w:rsidR="001B3F2C" w:rsidRDefault="001B3F2C" w:rsidP="0024115B">
            <w:pPr>
              <w:pStyle w:val="NoSpacing"/>
            </w:pPr>
            <w:r>
              <w:t>(</w:t>
            </w:r>
            <w:r w:rsidR="00C531EE">
              <w:t>69.9</w:t>
            </w:r>
            <w:r>
              <w:t>%-80.</w:t>
            </w:r>
            <w:r w:rsidR="00C531EE">
              <w:t>3</w:t>
            </w:r>
            <w:r>
              <w:t>%)</w:t>
            </w:r>
          </w:p>
        </w:tc>
        <w:tc>
          <w:tcPr>
            <w:tcW w:w="1530" w:type="dxa"/>
          </w:tcPr>
          <w:p w14:paraId="70828A2A" w14:textId="4282B359" w:rsidR="00141388" w:rsidRDefault="001B3F2C" w:rsidP="0024115B">
            <w:pPr>
              <w:pStyle w:val="NoSpacing"/>
            </w:pPr>
            <w:r>
              <w:t>69.</w:t>
            </w:r>
            <w:r w:rsidR="00C531EE">
              <w:t>5</w:t>
            </w:r>
            <w:r>
              <w:t>%</w:t>
            </w:r>
          </w:p>
          <w:p w14:paraId="65CF5842" w14:textId="4B128E43" w:rsidR="001B3F2C" w:rsidRDefault="001B3F2C" w:rsidP="0024115B">
            <w:pPr>
              <w:pStyle w:val="NoSpacing"/>
            </w:pPr>
            <w:r>
              <w:t>(62.</w:t>
            </w:r>
            <w:r w:rsidR="00C531EE">
              <w:t>6</w:t>
            </w:r>
            <w:r>
              <w:t>%-75.</w:t>
            </w:r>
            <w:r w:rsidR="00C531EE">
              <w:t>5</w:t>
            </w:r>
            <w:r>
              <w:t>%)</w:t>
            </w:r>
          </w:p>
        </w:tc>
        <w:tc>
          <w:tcPr>
            <w:tcW w:w="1795" w:type="dxa"/>
            <w:vMerge/>
          </w:tcPr>
          <w:p w14:paraId="5E79CA0B" w14:textId="77777777" w:rsidR="00141388" w:rsidRDefault="00141388" w:rsidP="0024115B">
            <w:pPr>
              <w:pStyle w:val="NoSpacing"/>
            </w:pPr>
          </w:p>
        </w:tc>
      </w:tr>
      <w:tr w:rsidR="00141388" w14:paraId="32C5CEC9" w14:textId="77777777" w:rsidTr="00FD4053">
        <w:tc>
          <w:tcPr>
            <w:tcW w:w="9350" w:type="dxa"/>
            <w:gridSpan w:val="5"/>
          </w:tcPr>
          <w:p w14:paraId="74EA66F2" w14:textId="77777777" w:rsidR="00141388" w:rsidRDefault="00141388" w:rsidP="00FD4053">
            <w:pPr>
              <w:spacing w:line="480" w:lineRule="auto"/>
            </w:pPr>
            <w:r>
              <w:t>Notes</w:t>
            </w:r>
          </w:p>
          <w:p w14:paraId="5F7C39FD" w14:textId="77777777" w:rsidR="00141388" w:rsidRDefault="00141388" w:rsidP="00FD4053">
            <w:pPr>
              <w:spacing w:line="480" w:lineRule="auto"/>
            </w:pPr>
            <w:proofErr w:type="spellStart"/>
            <w:r w:rsidRPr="00480DA3">
              <w:rPr>
                <w:vertAlign w:val="superscript"/>
              </w:rPr>
              <w:lastRenderedPageBreak/>
              <w:t>a</w:t>
            </w:r>
            <w:proofErr w:type="spellEnd"/>
            <w:r w:rsidRPr="00480DA3">
              <w:rPr>
                <w:vertAlign w:val="superscript"/>
              </w:rPr>
              <w:t xml:space="preserve"> </w:t>
            </w:r>
            <w:proofErr w:type="gramStart"/>
            <w:r>
              <w:t>The</w:t>
            </w:r>
            <w:proofErr w:type="gramEnd"/>
            <w:r>
              <w:t xml:space="preserve"> adjusted F is a variant of the second-order Rao-Scott adjusted χ2 statistic</w:t>
            </w:r>
          </w:p>
          <w:p w14:paraId="3BC9844A" w14:textId="77777777" w:rsidR="00141388" w:rsidRDefault="00141388" w:rsidP="00FD4053">
            <w:pPr>
              <w:spacing w:line="480" w:lineRule="auto"/>
            </w:pPr>
            <w:r>
              <w:t>df = degrees of freedom</w:t>
            </w:r>
          </w:p>
          <w:p w14:paraId="3CE4DB82" w14:textId="77777777" w:rsidR="00141388" w:rsidRPr="005C5436" w:rsidRDefault="00141388" w:rsidP="00FD4053">
            <w:pPr>
              <w:spacing w:line="480" w:lineRule="auto"/>
            </w:pPr>
            <w:r>
              <w:t>** p&lt;0.01 *** p&lt;0.001</w:t>
            </w:r>
          </w:p>
        </w:tc>
      </w:tr>
    </w:tbl>
    <w:p w14:paraId="699AD693" w14:textId="77777777" w:rsidR="00141388" w:rsidRDefault="00141388" w:rsidP="00141388">
      <w:pPr>
        <w:spacing w:line="480" w:lineRule="auto"/>
      </w:pPr>
    </w:p>
    <w:p w14:paraId="010CE762" w14:textId="660E41BF" w:rsidR="005E4AE2" w:rsidRDefault="005E4AE2" w:rsidP="00FA27A6">
      <w:pPr>
        <w:spacing w:line="480" w:lineRule="auto"/>
      </w:pPr>
      <w:r>
        <w:br w:type="page"/>
      </w:r>
    </w:p>
    <w:tbl>
      <w:tblPr>
        <w:tblStyle w:val="TableGrid"/>
        <w:tblW w:w="9535" w:type="dxa"/>
        <w:tblLook w:val="04A0" w:firstRow="1" w:lastRow="0" w:firstColumn="1" w:lastColumn="0" w:noHBand="0" w:noVBand="1"/>
      </w:tblPr>
      <w:tblGrid>
        <w:gridCol w:w="3256"/>
        <w:gridCol w:w="2126"/>
        <w:gridCol w:w="1984"/>
        <w:gridCol w:w="2169"/>
      </w:tblGrid>
      <w:tr w:rsidR="00070E29" w14:paraId="39BCCBC8" w14:textId="77777777" w:rsidTr="00EC7426">
        <w:tc>
          <w:tcPr>
            <w:tcW w:w="9535" w:type="dxa"/>
            <w:gridSpan w:val="4"/>
          </w:tcPr>
          <w:p w14:paraId="67155DCF" w14:textId="3AE5785F" w:rsidR="00070E29" w:rsidRPr="00313754" w:rsidRDefault="00512AF1" w:rsidP="00FA27A6">
            <w:pPr>
              <w:spacing w:line="480" w:lineRule="auto"/>
            </w:pPr>
            <w:r w:rsidRPr="00313754">
              <w:lastRenderedPageBreak/>
              <w:t xml:space="preserve">Table </w:t>
            </w:r>
            <w:r w:rsidR="00141388">
              <w:t>3</w:t>
            </w:r>
            <w:r w:rsidR="00070E29" w:rsidRPr="00313754">
              <w:t xml:space="preserve">: Association between disability status and </w:t>
            </w:r>
            <w:r w:rsidR="00917CC6">
              <w:t>adolescent</w:t>
            </w:r>
            <w:r w:rsidR="00917CC6" w:rsidRPr="002D33D0">
              <w:t xml:space="preserve"> emotional </w:t>
            </w:r>
            <w:r w:rsidR="00917CC6">
              <w:t>difficulties and self-harm</w:t>
            </w:r>
          </w:p>
        </w:tc>
      </w:tr>
      <w:tr w:rsidR="00441C35" w14:paraId="79E7FFD4" w14:textId="77777777" w:rsidTr="00C13C2A">
        <w:tc>
          <w:tcPr>
            <w:tcW w:w="3256" w:type="dxa"/>
          </w:tcPr>
          <w:p w14:paraId="1AE28715" w14:textId="77777777" w:rsidR="00441C35" w:rsidRPr="00313754" w:rsidRDefault="00441C35" w:rsidP="00FA27A6">
            <w:pPr>
              <w:spacing w:line="480" w:lineRule="auto"/>
              <w:rPr>
                <w:b/>
              </w:rPr>
            </w:pPr>
            <w:r w:rsidRPr="00313754">
              <w:rPr>
                <w:b/>
              </w:rPr>
              <w:t>BOYS</w:t>
            </w:r>
          </w:p>
        </w:tc>
        <w:tc>
          <w:tcPr>
            <w:tcW w:w="2126" w:type="dxa"/>
          </w:tcPr>
          <w:p w14:paraId="7F64F8C8" w14:textId="77777777" w:rsidR="00441C35" w:rsidRPr="00313754" w:rsidRDefault="00441C35" w:rsidP="00FA27A6">
            <w:pPr>
              <w:spacing w:line="480" w:lineRule="auto"/>
              <w:jc w:val="center"/>
            </w:pPr>
          </w:p>
        </w:tc>
        <w:tc>
          <w:tcPr>
            <w:tcW w:w="1984" w:type="dxa"/>
          </w:tcPr>
          <w:p w14:paraId="5FA90DC9" w14:textId="77777777" w:rsidR="00441C35" w:rsidRPr="009E3052" w:rsidRDefault="00441C35" w:rsidP="00FA27A6">
            <w:pPr>
              <w:spacing w:line="480" w:lineRule="auto"/>
              <w:jc w:val="center"/>
              <w:rPr>
                <w:highlight w:val="yellow"/>
              </w:rPr>
            </w:pPr>
          </w:p>
        </w:tc>
        <w:tc>
          <w:tcPr>
            <w:tcW w:w="2169" w:type="dxa"/>
          </w:tcPr>
          <w:p w14:paraId="7382BF0B" w14:textId="77777777" w:rsidR="00441C35" w:rsidRPr="009E3052" w:rsidRDefault="00441C35" w:rsidP="00FA27A6">
            <w:pPr>
              <w:spacing w:line="480" w:lineRule="auto"/>
              <w:jc w:val="center"/>
              <w:rPr>
                <w:highlight w:val="yellow"/>
              </w:rPr>
            </w:pPr>
          </w:p>
        </w:tc>
      </w:tr>
      <w:tr w:rsidR="00441C35" w14:paraId="0A3740DC" w14:textId="77777777" w:rsidTr="00C13C2A">
        <w:tc>
          <w:tcPr>
            <w:tcW w:w="3256" w:type="dxa"/>
          </w:tcPr>
          <w:p w14:paraId="544E6B84" w14:textId="77777777" w:rsidR="00441C35" w:rsidRPr="00313754" w:rsidRDefault="00441C35" w:rsidP="00FA27A6">
            <w:pPr>
              <w:spacing w:line="480" w:lineRule="auto"/>
              <w:rPr>
                <w:b/>
              </w:rPr>
            </w:pPr>
            <w:r w:rsidRPr="00313754">
              <w:rPr>
                <w:b/>
              </w:rPr>
              <w:t>Maternal-reported outcomes</w:t>
            </w:r>
          </w:p>
        </w:tc>
        <w:tc>
          <w:tcPr>
            <w:tcW w:w="2126" w:type="dxa"/>
          </w:tcPr>
          <w:p w14:paraId="5F7F7866" w14:textId="77777777" w:rsidR="00441C35" w:rsidRPr="00313754" w:rsidRDefault="00441C35" w:rsidP="00FA27A6">
            <w:pPr>
              <w:spacing w:line="480" w:lineRule="auto"/>
              <w:jc w:val="center"/>
            </w:pPr>
            <w:r w:rsidRPr="00313754">
              <w:t>%</w:t>
            </w:r>
          </w:p>
        </w:tc>
        <w:tc>
          <w:tcPr>
            <w:tcW w:w="1984" w:type="dxa"/>
          </w:tcPr>
          <w:p w14:paraId="383ACBE7" w14:textId="77777777" w:rsidR="00441C35" w:rsidRPr="00427DE7" w:rsidRDefault="00441C35" w:rsidP="00FA27A6">
            <w:pPr>
              <w:spacing w:line="480" w:lineRule="auto"/>
              <w:jc w:val="center"/>
            </w:pPr>
            <w:r w:rsidRPr="00427DE7">
              <w:t>Unadjusted PRR</w:t>
            </w:r>
          </w:p>
        </w:tc>
        <w:tc>
          <w:tcPr>
            <w:tcW w:w="2169" w:type="dxa"/>
          </w:tcPr>
          <w:p w14:paraId="42AD3782" w14:textId="77777777" w:rsidR="00441C35" w:rsidRPr="00427DE7" w:rsidRDefault="00441C35" w:rsidP="00FA27A6">
            <w:pPr>
              <w:spacing w:line="480" w:lineRule="auto"/>
              <w:jc w:val="center"/>
            </w:pPr>
            <w:r w:rsidRPr="00427DE7">
              <w:t xml:space="preserve">Adjusted </w:t>
            </w:r>
            <w:proofErr w:type="spellStart"/>
            <w:r w:rsidRPr="00427DE7">
              <w:t>PRR</w:t>
            </w:r>
            <w:r w:rsidRPr="00427DE7">
              <w:rPr>
                <w:vertAlign w:val="superscript"/>
              </w:rPr>
              <w:t>a</w:t>
            </w:r>
            <w:proofErr w:type="spellEnd"/>
          </w:p>
        </w:tc>
      </w:tr>
      <w:tr w:rsidR="00441C35" w14:paraId="44D482BC" w14:textId="77777777" w:rsidTr="00C13C2A">
        <w:tc>
          <w:tcPr>
            <w:tcW w:w="3256" w:type="dxa"/>
          </w:tcPr>
          <w:p w14:paraId="04BFE81B" w14:textId="71F5112A" w:rsidR="00441C35" w:rsidRPr="00313754" w:rsidRDefault="000B138A" w:rsidP="00FA27A6">
            <w:pPr>
              <w:spacing w:line="480" w:lineRule="auto"/>
              <w:rPr>
                <w:i/>
              </w:rPr>
            </w:pPr>
            <w:r>
              <w:rPr>
                <w:i/>
              </w:rPr>
              <w:t>Emotional Difficulties</w:t>
            </w:r>
          </w:p>
        </w:tc>
        <w:tc>
          <w:tcPr>
            <w:tcW w:w="2126" w:type="dxa"/>
          </w:tcPr>
          <w:p w14:paraId="5137FF6B" w14:textId="77777777" w:rsidR="00441C35" w:rsidRPr="00313754" w:rsidRDefault="00441C35" w:rsidP="00FA27A6">
            <w:pPr>
              <w:spacing w:line="480" w:lineRule="auto"/>
            </w:pPr>
          </w:p>
        </w:tc>
        <w:tc>
          <w:tcPr>
            <w:tcW w:w="1984" w:type="dxa"/>
          </w:tcPr>
          <w:p w14:paraId="6C4E7AC5" w14:textId="77777777" w:rsidR="00441C35" w:rsidRPr="00427DE7" w:rsidRDefault="00441C35" w:rsidP="00FA27A6">
            <w:pPr>
              <w:spacing w:line="480" w:lineRule="auto"/>
            </w:pPr>
          </w:p>
        </w:tc>
        <w:tc>
          <w:tcPr>
            <w:tcW w:w="2169" w:type="dxa"/>
          </w:tcPr>
          <w:p w14:paraId="19C8BBAC" w14:textId="77777777" w:rsidR="00441C35" w:rsidRPr="00427DE7" w:rsidRDefault="00441C35" w:rsidP="00FA27A6">
            <w:pPr>
              <w:spacing w:line="480" w:lineRule="auto"/>
            </w:pPr>
          </w:p>
        </w:tc>
      </w:tr>
      <w:tr w:rsidR="00441C35" w14:paraId="29B3B090" w14:textId="77777777" w:rsidTr="00C13C2A">
        <w:tc>
          <w:tcPr>
            <w:tcW w:w="3256" w:type="dxa"/>
          </w:tcPr>
          <w:p w14:paraId="27A84A8E" w14:textId="27073ABE" w:rsidR="00441C35" w:rsidRPr="00313754" w:rsidRDefault="00441C35" w:rsidP="00FA27A6">
            <w:pPr>
              <w:spacing w:line="480" w:lineRule="auto"/>
              <w:jc w:val="right"/>
            </w:pPr>
            <w:r w:rsidRPr="00313754">
              <w:t>No disability</w:t>
            </w:r>
            <w:r w:rsidR="00017465">
              <w:t xml:space="preserve"> (n=</w:t>
            </w:r>
            <w:r w:rsidR="00075B48">
              <w:t>4441</w:t>
            </w:r>
            <w:r w:rsidR="00017465">
              <w:t>)</w:t>
            </w:r>
          </w:p>
        </w:tc>
        <w:tc>
          <w:tcPr>
            <w:tcW w:w="2126" w:type="dxa"/>
          </w:tcPr>
          <w:p w14:paraId="7E40DE68" w14:textId="2C076518" w:rsidR="00441C35" w:rsidRPr="00FC7838" w:rsidRDefault="001A23DC" w:rsidP="00FA27A6">
            <w:pPr>
              <w:spacing w:line="480" w:lineRule="auto"/>
            </w:pPr>
            <w:r>
              <w:t xml:space="preserve">   </w:t>
            </w:r>
            <w:r w:rsidR="00075B48">
              <w:t>8.4</w:t>
            </w:r>
            <w:r>
              <w:t>% (</w:t>
            </w:r>
            <w:r w:rsidR="00075B48">
              <w:t>7.3%</w:t>
            </w:r>
            <w:r>
              <w:t>-</w:t>
            </w:r>
            <w:r w:rsidR="00075B48">
              <w:t>9.7%</w:t>
            </w:r>
            <w:r w:rsidR="00441C35" w:rsidRPr="00FC7838">
              <w:t>)</w:t>
            </w:r>
          </w:p>
        </w:tc>
        <w:tc>
          <w:tcPr>
            <w:tcW w:w="1984" w:type="dxa"/>
          </w:tcPr>
          <w:p w14:paraId="19A13E29" w14:textId="77777777" w:rsidR="00441C35" w:rsidRPr="00427DE7" w:rsidRDefault="00441C35" w:rsidP="00FA27A6">
            <w:pPr>
              <w:spacing w:line="480" w:lineRule="auto"/>
            </w:pPr>
            <w:r w:rsidRPr="00427DE7">
              <w:t>1</w:t>
            </w:r>
          </w:p>
        </w:tc>
        <w:tc>
          <w:tcPr>
            <w:tcW w:w="2169" w:type="dxa"/>
          </w:tcPr>
          <w:p w14:paraId="59DA6078" w14:textId="77777777" w:rsidR="00441C35" w:rsidRPr="00427DE7" w:rsidRDefault="00441C35" w:rsidP="00FA27A6">
            <w:pPr>
              <w:spacing w:line="480" w:lineRule="auto"/>
            </w:pPr>
            <w:r w:rsidRPr="00427DE7">
              <w:t>1</w:t>
            </w:r>
          </w:p>
        </w:tc>
      </w:tr>
      <w:tr w:rsidR="00441C35" w14:paraId="10737400" w14:textId="77777777" w:rsidTr="00C13C2A">
        <w:tc>
          <w:tcPr>
            <w:tcW w:w="3256" w:type="dxa"/>
          </w:tcPr>
          <w:p w14:paraId="6D895D66" w14:textId="5B655474" w:rsidR="00441C35" w:rsidRPr="00313754" w:rsidRDefault="00441C35" w:rsidP="00FA27A6">
            <w:pPr>
              <w:spacing w:line="480" w:lineRule="auto"/>
              <w:jc w:val="right"/>
            </w:pPr>
            <w:r w:rsidRPr="00313754">
              <w:t xml:space="preserve">Disability </w:t>
            </w:r>
            <w:r w:rsidR="00754682">
              <w:t>(</w:t>
            </w:r>
            <w:r w:rsidR="000B138A">
              <w:t xml:space="preserve">LS) </w:t>
            </w:r>
            <w:r w:rsidR="00B0722A">
              <w:t>(n=</w:t>
            </w:r>
            <w:r w:rsidR="00075B48">
              <w:t>336</w:t>
            </w:r>
            <w:r w:rsidR="00B0722A">
              <w:t>)</w:t>
            </w:r>
          </w:p>
        </w:tc>
        <w:tc>
          <w:tcPr>
            <w:tcW w:w="2126" w:type="dxa"/>
          </w:tcPr>
          <w:p w14:paraId="49D11122" w14:textId="30B7121F" w:rsidR="00441C35" w:rsidRPr="00FC7838" w:rsidRDefault="00F70326" w:rsidP="00FA27A6">
            <w:pPr>
              <w:spacing w:line="480" w:lineRule="auto"/>
            </w:pPr>
            <w:r>
              <w:t>2</w:t>
            </w:r>
            <w:r w:rsidR="00075B48">
              <w:t>2.9</w:t>
            </w:r>
            <w:r>
              <w:t>% (</w:t>
            </w:r>
            <w:r w:rsidR="00075B48">
              <w:t>17.8%</w:t>
            </w:r>
            <w:r>
              <w:t>-</w:t>
            </w:r>
            <w:r w:rsidR="00075B48">
              <w:t>29.0%</w:t>
            </w:r>
            <w:r w:rsidR="00441C35" w:rsidRPr="00FC7838">
              <w:t>)</w:t>
            </w:r>
          </w:p>
        </w:tc>
        <w:tc>
          <w:tcPr>
            <w:tcW w:w="1984" w:type="dxa"/>
          </w:tcPr>
          <w:p w14:paraId="748B2196" w14:textId="7611EA29" w:rsidR="00441C35" w:rsidRPr="00427DE7" w:rsidRDefault="004A5BD9" w:rsidP="00FA27A6">
            <w:pPr>
              <w:spacing w:line="480" w:lineRule="auto"/>
            </w:pPr>
            <w:r>
              <w:t>2.73</w:t>
            </w:r>
            <w:r w:rsidR="00E25CE5">
              <w:t xml:space="preserve"> (2.</w:t>
            </w:r>
            <w:r>
              <w:t>05</w:t>
            </w:r>
            <w:r w:rsidR="00E25CE5">
              <w:t>-</w:t>
            </w:r>
            <w:r>
              <w:t>3.63</w:t>
            </w:r>
            <w:r w:rsidR="00441C35" w:rsidRPr="00427DE7">
              <w:t>)</w:t>
            </w:r>
            <w:r w:rsidR="00E25CE5">
              <w:t>***</w:t>
            </w:r>
          </w:p>
        </w:tc>
        <w:tc>
          <w:tcPr>
            <w:tcW w:w="2169" w:type="dxa"/>
          </w:tcPr>
          <w:p w14:paraId="18946856" w14:textId="57546442" w:rsidR="00441C35" w:rsidRPr="00427DE7" w:rsidRDefault="004A5BD9" w:rsidP="00FA27A6">
            <w:pPr>
              <w:spacing w:line="480" w:lineRule="auto"/>
            </w:pPr>
            <w:r>
              <w:t>2.60</w:t>
            </w:r>
            <w:r w:rsidR="00E25CE5">
              <w:t xml:space="preserve"> (</w:t>
            </w:r>
            <w:r>
              <w:t>1.90</w:t>
            </w:r>
            <w:r w:rsidR="00E25CE5">
              <w:t>-</w:t>
            </w:r>
            <w:r>
              <w:t>3.57</w:t>
            </w:r>
            <w:r w:rsidR="00441C35" w:rsidRPr="00427DE7">
              <w:t>)</w:t>
            </w:r>
            <w:r w:rsidR="00E25CE5">
              <w:t>***</w:t>
            </w:r>
          </w:p>
        </w:tc>
      </w:tr>
      <w:tr w:rsidR="00441C35" w14:paraId="3C3BFEC7" w14:textId="77777777" w:rsidTr="00C13C2A">
        <w:tc>
          <w:tcPr>
            <w:tcW w:w="3256" w:type="dxa"/>
          </w:tcPr>
          <w:p w14:paraId="3835E5CA" w14:textId="5965C047" w:rsidR="00441C35" w:rsidRPr="00313754" w:rsidRDefault="00441C35" w:rsidP="00FA27A6">
            <w:pPr>
              <w:spacing w:line="480" w:lineRule="auto"/>
              <w:jc w:val="right"/>
            </w:pPr>
            <w:r w:rsidRPr="00313754">
              <w:t xml:space="preserve">Disability </w:t>
            </w:r>
            <w:r w:rsidR="00754682">
              <w:t>(</w:t>
            </w:r>
            <w:r w:rsidR="000B138A">
              <w:t>MS</w:t>
            </w:r>
            <w:r w:rsidR="00754682">
              <w:t>)</w:t>
            </w:r>
            <w:r w:rsidR="00B0722A">
              <w:t xml:space="preserve"> (n=</w:t>
            </w:r>
            <w:r w:rsidR="00075B48">
              <w:t>231</w:t>
            </w:r>
            <w:r w:rsidR="00B0722A">
              <w:t>)</w:t>
            </w:r>
          </w:p>
        </w:tc>
        <w:tc>
          <w:tcPr>
            <w:tcW w:w="2126" w:type="dxa"/>
          </w:tcPr>
          <w:p w14:paraId="06BD3C4B" w14:textId="6DB380C4" w:rsidR="00441C35" w:rsidRPr="00FC7838" w:rsidRDefault="00F96BB9" w:rsidP="00FA27A6">
            <w:pPr>
              <w:spacing w:line="480" w:lineRule="auto"/>
            </w:pPr>
            <w:r>
              <w:t>5</w:t>
            </w:r>
            <w:r w:rsidR="00075B48">
              <w:t>4.0</w:t>
            </w:r>
            <w:r>
              <w:t>% (4</w:t>
            </w:r>
            <w:r w:rsidR="00075B48">
              <w:t>5.5%</w:t>
            </w:r>
            <w:r>
              <w:t>-6</w:t>
            </w:r>
            <w:r w:rsidR="00075B48">
              <w:t>2.2%</w:t>
            </w:r>
            <w:r w:rsidR="00441C35" w:rsidRPr="00FC7838">
              <w:t>)</w:t>
            </w:r>
          </w:p>
        </w:tc>
        <w:tc>
          <w:tcPr>
            <w:tcW w:w="1984" w:type="dxa"/>
          </w:tcPr>
          <w:p w14:paraId="24BECEC8" w14:textId="21D012EC" w:rsidR="00441C35" w:rsidRPr="00427DE7" w:rsidRDefault="004A5BD9" w:rsidP="00FA27A6">
            <w:pPr>
              <w:spacing w:line="480" w:lineRule="auto"/>
            </w:pPr>
            <w:r>
              <w:t>6.42</w:t>
            </w:r>
            <w:r w:rsidR="00E25CE5">
              <w:t xml:space="preserve"> (</w:t>
            </w:r>
            <w:r>
              <w:t>5.21</w:t>
            </w:r>
            <w:r w:rsidR="00E25CE5">
              <w:t>-</w:t>
            </w:r>
            <w:r>
              <w:t>7.92</w:t>
            </w:r>
            <w:r w:rsidR="00441C35" w:rsidRPr="00427DE7">
              <w:t>)</w:t>
            </w:r>
            <w:r w:rsidR="00E25CE5">
              <w:t>***</w:t>
            </w:r>
          </w:p>
        </w:tc>
        <w:tc>
          <w:tcPr>
            <w:tcW w:w="2169" w:type="dxa"/>
          </w:tcPr>
          <w:p w14:paraId="470F97B6" w14:textId="2AA42D66" w:rsidR="00441C35" w:rsidRPr="00427DE7" w:rsidRDefault="004A5BD9" w:rsidP="00FA27A6">
            <w:pPr>
              <w:spacing w:line="480" w:lineRule="auto"/>
            </w:pPr>
            <w:r>
              <w:t>5.80</w:t>
            </w:r>
            <w:r w:rsidR="00E25CE5">
              <w:t xml:space="preserve"> (</w:t>
            </w:r>
            <w:r>
              <w:t>4.44</w:t>
            </w:r>
            <w:r w:rsidR="00427DE7" w:rsidRPr="00427DE7">
              <w:t>-</w:t>
            </w:r>
            <w:r>
              <w:t>7.58</w:t>
            </w:r>
            <w:r w:rsidR="00441C35" w:rsidRPr="00427DE7">
              <w:t>)</w:t>
            </w:r>
            <w:r w:rsidR="00E25CE5">
              <w:t>***</w:t>
            </w:r>
          </w:p>
        </w:tc>
      </w:tr>
      <w:tr w:rsidR="00566B2A" w14:paraId="61148A0C" w14:textId="77777777" w:rsidTr="00C13C2A">
        <w:tc>
          <w:tcPr>
            <w:tcW w:w="3256" w:type="dxa"/>
          </w:tcPr>
          <w:p w14:paraId="64A9F414" w14:textId="2F8E5157" w:rsidR="00566B2A" w:rsidRPr="00313754" w:rsidRDefault="00566B2A" w:rsidP="00FA27A6">
            <w:pPr>
              <w:spacing w:line="480" w:lineRule="auto"/>
              <w:jc w:val="right"/>
            </w:pPr>
            <w:r>
              <w:t xml:space="preserve">Disability </w:t>
            </w:r>
            <w:r w:rsidR="00754682">
              <w:t>(</w:t>
            </w:r>
            <w:r w:rsidR="000B138A">
              <w:t>ALL</w:t>
            </w:r>
            <w:r w:rsidR="00754682">
              <w:t>)</w:t>
            </w:r>
            <w:r w:rsidR="00B0722A">
              <w:t xml:space="preserve"> (n=</w:t>
            </w:r>
            <w:r w:rsidR="00075B48">
              <w:t>567</w:t>
            </w:r>
            <w:r w:rsidR="00B0722A">
              <w:t>)</w:t>
            </w:r>
            <w:r>
              <w:t xml:space="preserve"> </w:t>
            </w:r>
          </w:p>
        </w:tc>
        <w:tc>
          <w:tcPr>
            <w:tcW w:w="2126" w:type="dxa"/>
          </w:tcPr>
          <w:p w14:paraId="670590A9" w14:textId="64EFCDB9" w:rsidR="00566B2A" w:rsidRDefault="001A23DC" w:rsidP="00FA27A6">
            <w:pPr>
              <w:spacing w:line="480" w:lineRule="auto"/>
            </w:pPr>
            <w:r>
              <w:t>3</w:t>
            </w:r>
            <w:r w:rsidR="00075B48">
              <w:t>5.6</w:t>
            </w:r>
            <w:r>
              <w:t>% (30.4</w:t>
            </w:r>
            <w:r w:rsidR="00075B48">
              <w:t>%</w:t>
            </w:r>
            <w:r>
              <w:t>-4</w:t>
            </w:r>
            <w:r w:rsidR="00075B48">
              <w:t>1.1%</w:t>
            </w:r>
            <w:r w:rsidR="005B06E8">
              <w:t>)</w:t>
            </w:r>
          </w:p>
        </w:tc>
        <w:tc>
          <w:tcPr>
            <w:tcW w:w="1984" w:type="dxa"/>
          </w:tcPr>
          <w:p w14:paraId="5B8B84BA" w14:textId="2D28573F" w:rsidR="00566B2A" w:rsidRPr="00427DE7" w:rsidRDefault="00A96A77" w:rsidP="00FA27A6">
            <w:pPr>
              <w:spacing w:line="480" w:lineRule="auto"/>
            </w:pPr>
            <w:r>
              <w:t>4.</w:t>
            </w:r>
            <w:r w:rsidR="002A5CF4">
              <w:t>2</w:t>
            </w:r>
            <w:r>
              <w:t>3 (3.</w:t>
            </w:r>
            <w:r w:rsidR="002A5CF4">
              <w:t>4</w:t>
            </w:r>
            <w:r>
              <w:t>4-5.</w:t>
            </w:r>
            <w:r w:rsidR="002A5CF4">
              <w:t>21</w:t>
            </w:r>
            <w:r w:rsidR="00613BBE">
              <w:t>)</w:t>
            </w:r>
            <w:r>
              <w:t>***</w:t>
            </w:r>
          </w:p>
        </w:tc>
        <w:tc>
          <w:tcPr>
            <w:tcW w:w="2169" w:type="dxa"/>
          </w:tcPr>
          <w:p w14:paraId="126FAB8A" w14:textId="507E259E" w:rsidR="00566B2A" w:rsidRPr="00427DE7" w:rsidRDefault="002A5CF4" w:rsidP="00FA27A6">
            <w:pPr>
              <w:spacing w:line="480" w:lineRule="auto"/>
            </w:pPr>
            <w:r>
              <w:t>3.90</w:t>
            </w:r>
            <w:r w:rsidR="00A96A77">
              <w:t xml:space="preserve"> (3.</w:t>
            </w:r>
            <w:r>
              <w:t>07</w:t>
            </w:r>
            <w:r w:rsidR="00A96A77">
              <w:t>-</w:t>
            </w:r>
            <w:r>
              <w:t>4.96</w:t>
            </w:r>
            <w:r w:rsidR="00613BBE">
              <w:t>)</w:t>
            </w:r>
            <w:r w:rsidR="00A96A77">
              <w:t>***</w:t>
            </w:r>
          </w:p>
        </w:tc>
      </w:tr>
      <w:tr w:rsidR="00441C35" w14:paraId="626FCD66" w14:textId="77777777" w:rsidTr="00C13C2A">
        <w:tc>
          <w:tcPr>
            <w:tcW w:w="3256" w:type="dxa"/>
          </w:tcPr>
          <w:p w14:paraId="6C00E20C" w14:textId="77777777" w:rsidR="00441C35" w:rsidRPr="00313754" w:rsidRDefault="00441C35" w:rsidP="00FA27A6">
            <w:pPr>
              <w:spacing w:line="480" w:lineRule="auto"/>
              <w:rPr>
                <w:b/>
              </w:rPr>
            </w:pPr>
            <w:r w:rsidRPr="00313754">
              <w:rPr>
                <w:b/>
              </w:rPr>
              <w:t>Adolescent-reported outcomes</w:t>
            </w:r>
          </w:p>
        </w:tc>
        <w:tc>
          <w:tcPr>
            <w:tcW w:w="2126" w:type="dxa"/>
          </w:tcPr>
          <w:p w14:paraId="78ECD194" w14:textId="77777777" w:rsidR="00441C35" w:rsidRPr="00FC7838" w:rsidRDefault="00441C35" w:rsidP="00FA27A6">
            <w:pPr>
              <w:spacing w:line="480" w:lineRule="auto"/>
            </w:pPr>
          </w:p>
        </w:tc>
        <w:tc>
          <w:tcPr>
            <w:tcW w:w="1984" w:type="dxa"/>
          </w:tcPr>
          <w:p w14:paraId="30311846" w14:textId="77777777" w:rsidR="00441C35" w:rsidRPr="00427DE7" w:rsidRDefault="00441C35" w:rsidP="00FA27A6">
            <w:pPr>
              <w:spacing w:line="480" w:lineRule="auto"/>
            </w:pPr>
          </w:p>
        </w:tc>
        <w:tc>
          <w:tcPr>
            <w:tcW w:w="2169" w:type="dxa"/>
          </w:tcPr>
          <w:p w14:paraId="667CF27F" w14:textId="77777777" w:rsidR="00441C35" w:rsidRPr="00427DE7" w:rsidRDefault="00441C35" w:rsidP="00FA27A6">
            <w:pPr>
              <w:spacing w:line="480" w:lineRule="auto"/>
            </w:pPr>
          </w:p>
        </w:tc>
      </w:tr>
      <w:tr w:rsidR="00441C35" w14:paraId="162A5AAD" w14:textId="77777777" w:rsidTr="00C13C2A">
        <w:tc>
          <w:tcPr>
            <w:tcW w:w="3256" w:type="dxa"/>
          </w:tcPr>
          <w:p w14:paraId="7627A508" w14:textId="231EB56A" w:rsidR="00441C35" w:rsidRPr="00313754" w:rsidRDefault="000B138A" w:rsidP="00FA27A6">
            <w:pPr>
              <w:spacing w:line="480" w:lineRule="auto"/>
              <w:rPr>
                <w:i/>
              </w:rPr>
            </w:pPr>
            <w:r>
              <w:rPr>
                <w:i/>
              </w:rPr>
              <w:t>Depression</w:t>
            </w:r>
          </w:p>
        </w:tc>
        <w:tc>
          <w:tcPr>
            <w:tcW w:w="2126" w:type="dxa"/>
          </w:tcPr>
          <w:p w14:paraId="69F32215" w14:textId="77777777" w:rsidR="00441C35" w:rsidRPr="00FC7838" w:rsidRDefault="00441C35" w:rsidP="00FA27A6">
            <w:pPr>
              <w:spacing w:line="480" w:lineRule="auto"/>
            </w:pPr>
          </w:p>
        </w:tc>
        <w:tc>
          <w:tcPr>
            <w:tcW w:w="1984" w:type="dxa"/>
          </w:tcPr>
          <w:p w14:paraId="2F6F7B56" w14:textId="77777777" w:rsidR="00441C35" w:rsidRPr="00427DE7" w:rsidRDefault="00441C35" w:rsidP="00FA27A6">
            <w:pPr>
              <w:spacing w:line="480" w:lineRule="auto"/>
            </w:pPr>
          </w:p>
        </w:tc>
        <w:tc>
          <w:tcPr>
            <w:tcW w:w="2169" w:type="dxa"/>
          </w:tcPr>
          <w:p w14:paraId="62DB67CF" w14:textId="77777777" w:rsidR="00441C35" w:rsidRPr="00427DE7" w:rsidRDefault="00441C35" w:rsidP="00FA27A6">
            <w:pPr>
              <w:spacing w:line="480" w:lineRule="auto"/>
            </w:pPr>
          </w:p>
        </w:tc>
      </w:tr>
      <w:tr w:rsidR="00B0722A" w14:paraId="04A24763" w14:textId="77777777" w:rsidTr="00C13C2A">
        <w:tc>
          <w:tcPr>
            <w:tcW w:w="3256" w:type="dxa"/>
          </w:tcPr>
          <w:p w14:paraId="71E55697" w14:textId="13CF3BD8" w:rsidR="00B0722A" w:rsidRPr="00313754" w:rsidRDefault="00B0722A" w:rsidP="00FA27A6">
            <w:pPr>
              <w:spacing w:line="480" w:lineRule="auto"/>
              <w:jc w:val="right"/>
            </w:pPr>
            <w:r w:rsidRPr="00313754">
              <w:t>No disability</w:t>
            </w:r>
          </w:p>
        </w:tc>
        <w:tc>
          <w:tcPr>
            <w:tcW w:w="2126" w:type="dxa"/>
          </w:tcPr>
          <w:p w14:paraId="0637E475" w14:textId="54171E71" w:rsidR="00B0722A" w:rsidRPr="00FC7838" w:rsidRDefault="001A23DC" w:rsidP="00FA27A6">
            <w:pPr>
              <w:spacing w:line="480" w:lineRule="auto"/>
            </w:pPr>
            <w:r>
              <w:t xml:space="preserve">   4.1% (3.</w:t>
            </w:r>
            <w:r w:rsidR="00075B48">
              <w:t>3%</w:t>
            </w:r>
            <w:r>
              <w:t>-</w:t>
            </w:r>
            <w:r w:rsidR="00075B48">
              <w:t>4.9%</w:t>
            </w:r>
            <w:r w:rsidR="00B0722A" w:rsidRPr="00FC7838">
              <w:t>)</w:t>
            </w:r>
          </w:p>
        </w:tc>
        <w:tc>
          <w:tcPr>
            <w:tcW w:w="1984" w:type="dxa"/>
          </w:tcPr>
          <w:p w14:paraId="29440AE3" w14:textId="77777777" w:rsidR="00B0722A" w:rsidRPr="00427DE7" w:rsidRDefault="00B0722A" w:rsidP="00FA27A6">
            <w:pPr>
              <w:spacing w:line="480" w:lineRule="auto"/>
            </w:pPr>
            <w:r w:rsidRPr="00427DE7">
              <w:t>1</w:t>
            </w:r>
          </w:p>
        </w:tc>
        <w:tc>
          <w:tcPr>
            <w:tcW w:w="2169" w:type="dxa"/>
          </w:tcPr>
          <w:p w14:paraId="32626AA7" w14:textId="77777777" w:rsidR="00B0722A" w:rsidRPr="00427DE7" w:rsidRDefault="00B0722A" w:rsidP="00FA27A6">
            <w:pPr>
              <w:spacing w:line="480" w:lineRule="auto"/>
            </w:pPr>
            <w:r w:rsidRPr="00427DE7">
              <w:t>1</w:t>
            </w:r>
          </w:p>
        </w:tc>
      </w:tr>
      <w:tr w:rsidR="00B0722A" w14:paraId="7DCFC2F6" w14:textId="77777777" w:rsidTr="00C13C2A">
        <w:tc>
          <w:tcPr>
            <w:tcW w:w="3256" w:type="dxa"/>
          </w:tcPr>
          <w:p w14:paraId="609955B6" w14:textId="513C114A" w:rsidR="00B0722A" w:rsidRPr="00313754" w:rsidRDefault="00B0722A" w:rsidP="00FA27A6">
            <w:pPr>
              <w:spacing w:line="480" w:lineRule="auto"/>
              <w:jc w:val="right"/>
            </w:pPr>
            <w:r w:rsidRPr="00313754">
              <w:t xml:space="preserve">Disability </w:t>
            </w:r>
            <w:r w:rsidR="00754682">
              <w:t>(</w:t>
            </w:r>
            <w:r w:rsidR="000B138A">
              <w:t>LS)</w:t>
            </w:r>
            <w:r w:rsidR="00754682">
              <w:t xml:space="preserve"> </w:t>
            </w:r>
            <w:r>
              <w:t xml:space="preserve"> </w:t>
            </w:r>
          </w:p>
        </w:tc>
        <w:tc>
          <w:tcPr>
            <w:tcW w:w="2126" w:type="dxa"/>
          </w:tcPr>
          <w:p w14:paraId="757A2285" w14:textId="1C68A069" w:rsidR="00B0722A" w:rsidRPr="00FC7838" w:rsidRDefault="00F70326" w:rsidP="00FA27A6">
            <w:pPr>
              <w:spacing w:line="480" w:lineRule="auto"/>
            </w:pPr>
            <w:r>
              <w:t xml:space="preserve">   3.</w:t>
            </w:r>
            <w:r w:rsidR="00075B48">
              <w:t>7</w:t>
            </w:r>
            <w:r>
              <w:t>% (1.</w:t>
            </w:r>
            <w:r w:rsidR="00075B48">
              <w:t>6%</w:t>
            </w:r>
            <w:r w:rsidR="00B0722A" w:rsidRPr="00FC7838">
              <w:t>-</w:t>
            </w:r>
            <w:r w:rsidR="00075B48">
              <w:t>8.4%</w:t>
            </w:r>
            <w:r w:rsidR="00B0722A" w:rsidRPr="00FC7838">
              <w:t>)</w:t>
            </w:r>
          </w:p>
        </w:tc>
        <w:tc>
          <w:tcPr>
            <w:tcW w:w="1984" w:type="dxa"/>
          </w:tcPr>
          <w:p w14:paraId="698B4EBC" w14:textId="0D01BF43" w:rsidR="00B0722A" w:rsidRPr="00427DE7" w:rsidRDefault="00E25CE5" w:rsidP="00FA27A6">
            <w:pPr>
              <w:spacing w:line="480" w:lineRule="auto"/>
            </w:pPr>
            <w:r>
              <w:t>0.</w:t>
            </w:r>
            <w:r w:rsidR="004A5BD9">
              <w:t xml:space="preserve">92 </w:t>
            </w:r>
            <w:r>
              <w:t>(0.</w:t>
            </w:r>
            <w:r w:rsidR="004A5BD9">
              <w:t>39</w:t>
            </w:r>
            <w:r>
              <w:t>-</w:t>
            </w:r>
            <w:r w:rsidR="004A5BD9">
              <w:t>2.18</w:t>
            </w:r>
            <w:r w:rsidR="00B0722A" w:rsidRPr="00427DE7">
              <w:t>)</w:t>
            </w:r>
          </w:p>
        </w:tc>
        <w:tc>
          <w:tcPr>
            <w:tcW w:w="2169" w:type="dxa"/>
          </w:tcPr>
          <w:p w14:paraId="20587D68" w14:textId="21BE6297" w:rsidR="00B0722A" w:rsidRPr="00427DE7" w:rsidRDefault="00E25CE5" w:rsidP="00FA27A6">
            <w:pPr>
              <w:spacing w:line="480" w:lineRule="auto"/>
            </w:pPr>
            <w:r>
              <w:t>0.</w:t>
            </w:r>
            <w:r w:rsidR="004A5BD9">
              <w:t xml:space="preserve">90 </w:t>
            </w:r>
            <w:r>
              <w:t>(0.</w:t>
            </w:r>
            <w:r w:rsidR="004A5BD9">
              <w:t>39</w:t>
            </w:r>
            <w:r>
              <w:t>-</w:t>
            </w:r>
            <w:r w:rsidR="004A5BD9">
              <w:t>2.08</w:t>
            </w:r>
            <w:r w:rsidR="00B0722A" w:rsidRPr="00427DE7">
              <w:t>)</w:t>
            </w:r>
          </w:p>
        </w:tc>
      </w:tr>
      <w:tr w:rsidR="00B0722A" w14:paraId="5CC90C85" w14:textId="77777777" w:rsidTr="00C13C2A">
        <w:tc>
          <w:tcPr>
            <w:tcW w:w="3256" w:type="dxa"/>
          </w:tcPr>
          <w:p w14:paraId="267762D0" w14:textId="2CF64F5E" w:rsidR="00B0722A" w:rsidRPr="00313754" w:rsidRDefault="00B0722A" w:rsidP="00FA27A6">
            <w:pPr>
              <w:spacing w:line="480" w:lineRule="auto"/>
              <w:jc w:val="right"/>
            </w:pPr>
            <w:r w:rsidRPr="00313754">
              <w:t xml:space="preserve">Disability </w:t>
            </w:r>
            <w:r w:rsidR="00754682">
              <w:t>(</w:t>
            </w:r>
            <w:r w:rsidR="000B138A">
              <w:t>MS</w:t>
            </w:r>
            <w:r w:rsidR="00754682">
              <w:t xml:space="preserve">) </w:t>
            </w:r>
          </w:p>
        </w:tc>
        <w:tc>
          <w:tcPr>
            <w:tcW w:w="2126" w:type="dxa"/>
          </w:tcPr>
          <w:p w14:paraId="4D167A63" w14:textId="1CBC609F" w:rsidR="00B0722A" w:rsidRPr="00FC7838" w:rsidRDefault="00B0722A" w:rsidP="00FA27A6">
            <w:pPr>
              <w:spacing w:line="480" w:lineRule="auto"/>
            </w:pPr>
            <w:r>
              <w:t xml:space="preserve">   </w:t>
            </w:r>
            <w:r w:rsidRPr="00FC7838">
              <w:t>9</w:t>
            </w:r>
            <w:r w:rsidR="00F96BB9">
              <w:t>.</w:t>
            </w:r>
            <w:r w:rsidR="00075B48">
              <w:t>2</w:t>
            </w:r>
            <w:r w:rsidR="00F96BB9">
              <w:t>% (</w:t>
            </w:r>
            <w:r w:rsidR="00075B48">
              <w:t>4.7%</w:t>
            </w:r>
            <w:r w:rsidR="00F96BB9">
              <w:t>-17.</w:t>
            </w:r>
            <w:r w:rsidR="00075B48">
              <w:t>0%</w:t>
            </w:r>
            <w:r w:rsidRPr="00FC7838">
              <w:t>)</w:t>
            </w:r>
          </w:p>
        </w:tc>
        <w:tc>
          <w:tcPr>
            <w:tcW w:w="1984" w:type="dxa"/>
          </w:tcPr>
          <w:p w14:paraId="726203F9" w14:textId="22308952" w:rsidR="00B0722A" w:rsidRPr="00427DE7" w:rsidRDefault="00E25CE5" w:rsidP="00FA27A6">
            <w:pPr>
              <w:spacing w:line="480" w:lineRule="auto"/>
            </w:pPr>
            <w:r>
              <w:t>2.</w:t>
            </w:r>
            <w:r w:rsidR="004A5BD9">
              <w:t xml:space="preserve">26 </w:t>
            </w:r>
            <w:r>
              <w:t>(1.</w:t>
            </w:r>
            <w:r w:rsidR="004A5BD9">
              <w:t>18</w:t>
            </w:r>
            <w:r>
              <w:t>-4.3</w:t>
            </w:r>
            <w:r w:rsidR="004A5BD9">
              <w:t>3</w:t>
            </w:r>
            <w:r w:rsidR="00B0722A" w:rsidRPr="00427DE7">
              <w:t>)</w:t>
            </w:r>
            <w:r>
              <w:t>*</w:t>
            </w:r>
          </w:p>
        </w:tc>
        <w:tc>
          <w:tcPr>
            <w:tcW w:w="2169" w:type="dxa"/>
          </w:tcPr>
          <w:p w14:paraId="353F69C2" w14:textId="555E9748" w:rsidR="00B0722A" w:rsidRPr="00427DE7" w:rsidRDefault="004A5BD9" w:rsidP="00FA27A6">
            <w:pPr>
              <w:spacing w:line="480" w:lineRule="auto"/>
            </w:pPr>
            <w:r>
              <w:t>2.07</w:t>
            </w:r>
            <w:r w:rsidR="00E25CE5">
              <w:t xml:space="preserve"> (</w:t>
            </w:r>
            <w:r>
              <w:t>1.10</w:t>
            </w:r>
            <w:r w:rsidR="00E25CE5">
              <w:t>-</w:t>
            </w:r>
            <w:r>
              <w:t>3.89</w:t>
            </w:r>
            <w:r w:rsidR="00B0722A" w:rsidRPr="00427DE7">
              <w:t>)</w:t>
            </w:r>
            <w:r>
              <w:t>*</w:t>
            </w:r>
          </w:p>
        </w:tc>
      </w:tr>
      <w:tr w:rsidR="00B0722A" w14:paraId="28B5BF0F" w14:textId="77777777" w:rsidTr="00C13C2A">
        <w:tc>
          <w:tcPr>
            <w:tcW w:w="3256" w:type="dxa"/>
          </w:tcPr>
          <w:p w14:paraId="27F22A60" w14:textId="5BFAA28A" w:rsidR="00B0722A" w:rsidRPr="00313754" w:rsidRDefault="00B0722A" w:rsidP="00FA27A6">
            <w:pPr>
              <w:spacing w:line="480" w:lineRule="auto"/>
              <w:jc w:val="right"/>
            </w:pPr>
            <w:r>
              <w:t xml:space="preserve">Disability </w:t>
            </w:r>
            <w:r w:rsidR="00754682">
              <w:t>(</w:t>
            </w:r>
            <w:r w:rsidR="000B138A">
              <w:t>ALL</w:t>
            </w:r>
            <w:r w:rsidR="00754682">
              <w:t>)</w:t>
            </w:r>
          </w:p>
        </w:tc>
        <w:tc>
          <w:tcPr>
            <w:tcW w:w="2126" w:type="dxa"/>
          </w:tcPr>
          <w:p w14:paraId="10507979" w14:textId="7B252985" w:rsidR="00B0722A" w:rsidRDefault="00B0722A" w:rsidP="00FA27A6">
            <w:pPr>
              <w:spacing w:line="480" w:lineRule="auto"/>
            </w:pPr>
            <w:r>
              <w:t xml:space="preserve"> </w:t>
            </w:r>
            <w:r w:rsidR="001A23DC">
              <w:t xml:space="preserve">  5.</w:t>
            </w:r>
            <w:r w:rsidR="00075B48">
              <w:t>7</w:t>
            </w:r>
            <w:r w:rsidR="001A23DC">
              <w:t>% (3.4</w:t>
            </w:r>
            <w:r w:rsidR="00075B48">
              <w:t>%</w:t>
            </w:r>
            <w:r>
              <w:t>-9.</w:t>
            </w:r>
            <w:r w:rsidR="00075B48">
              <w:t>2%</w:t>
            </w:r>
            <w:r>
              <w:t>)</w:t>
            </w:r>
          </w:p>
        </w:tc>
        <w:tc>
          <w:tcPr>
            <w:tcW w:w="1984" w:type="dxa"/>
          </w:tcPr>
          <w:p w14:paraId="7A50CD34" w14:textId="0FF1863C" w:rsidR="00B0722A" w:rsidRPr="00427DE7" w:rsidRDefault="00A96A77" w:rsidP="00FA27A6">
            <w:pPr>
              <w:spacing w:line="480" w:lineRule="auto"/>
            </w:pPr>
            <w:r>
              <w:t>1.</w:t>
            </w:r>
            <w:r w:rsidR="002A5CF4">
              <w:t>40</w:t>
            </w:r>
            <w:r>
              <w:t xml:space="preserve"> (0.82-2.</w:t>
            </w:r>
            <w:r w:rsidR="002A5CF4">
              <w:t>3</w:t>
            </w:r>
            <w:r>
              <w:t>7</w:t>
            </w:r>
            <w:r w:rsidR="00B0722A">
              <w:t>)</w:t>
            </w:r>
          </w:p>
        </w:tc>
        <w:tc>
          <w:tcPr>
            <w:tcW w:w="2169" w:type="dxa"/>
          </w:tcPr>
          <w:p w14:paraId="08DD3137" w14:textId="7B008733" w:rsidR="00B0722A" w:rsidRPr="00427DE7" w:rsidRDefault="00A96A77" w:rsidP="00FA27A6">
            <w:pPr>
              <w:spacing w:line="480" w:lineRule="auto"/>
            </w:pPr>
            <w:r>
              <w:t>1.</w:t>
            </w:r>
            <w:r w:rsidR="002A5CF4">
              <w:t>33</w:t>
            </w:r>
            <w:r>
              <w:t xml:space="preserve"> (0.</w:t>
            </w:r>
            <w:r w:rsidR="002A5CF4">
              <w:t>80</w:t>
            </w:r>
            <w:r>
              <w:t>-</w:t>
            </w:r>
            <w:r w:rsidR="002A5CF4">
              <w:t>2.22</w:t>
            </w:r>
            <w:r w:rsidR="00B0722A">
              <w:t>)</w:t>
            </w:r>
          </w:p>
        </w:tc>
      </w:tr>
      <w:tr w:rsidR="00B0722A" w14:paraId="71334A92" w14:textId="77777777" w:rsidTr="00C13C2A">
        <w:tc>
          <w:tcPr>
            <w:tcW w:w="3256" w:type="dxa"/>
          </w:tcPr>
          <w:p w14:paraId="5F6F5F24" w14:textId="77777777" w:rsidR="00B0722A" w:rsidRPr="00313754" w:rsidRDefault="00B0722A" w:rsidP="00FA27A6">
            <w:pPr>
              <w:spacing w:line="480" w:lineRule="auto"/>
              <w:rPr>
                <w:i/>
              </w:rPr>
            </w:pPr>
            <w:r w:rsidRPr="00313754">
              <w:rPr>
                <w:i/>
              </w:rPr>
              <w:t>Self-harm</w:t>
            </w:r>
          </w:p>
        </w:tc>
        <w:tc>
          <w:tcPr>
            <w:tcW w:w="2126" w:type="dxa"/>
          </w:tcPr>
          <w:p w14:paraId="4EA1C6DD" w14:textId="77777777" w:rsidR="00B0722A" w:rsidRPr="00FC7838" w:rsidRDefault="00B0722A" w:rsidP="00FA27A6">
            <w:pPr>
              <w:spacing w:line="480" w:lineRule="auto"/>
            </w:pPr>
          </w:p>
        </w:tc>
        <w:tc>
          <w:tcPr>
            <w:tcW w:w="1984" w:type="dxa"/>
          </w:tcPr>
          <w:p w14:paraId="2F56DD82" w14:textId="77777777" w:rsidR="00B0722A" w:rsidRPr="00427DE7" w:rsidRDefault="00B0722A" w:rsidP="00FA27A6">
            <w:pPr>
              <w:spacing w:line="480" w:lineRule="auto"/>
            </w:pPr>
          </w:p>
        </w:tc>
        <w:tc>
          <w:tcPr>
            <w:tcW w:w="2169" w:type="dxa"/>
          </w:tcPr>
          <w:p w14:paraId="327C9A2C" w14:textId="77777777" w:rsidR="00B0722A" w:rsidRPr="00427DE7" w:rsidRDefault="00B0722A" w:rsidP="00FA27A6">
            <w:pPr>
              <w:spacing w:line="480" w:lineRule="auto"/>
            </w:pPr>
          </w:p>
        </w:tc>
      </w:tr>
      <w:tr w:rsidR="00B0722A" w14:paraId="08569015" w14:textId="77777777" w:rsidTr="00C13C2A">
        <w:tc>
          <w:tcPr>
            <w:tcW w:w="3256" w:type="dxa"/>
          </w:tcPr>
          <w:p w14:paraId="57C0B2E8" w14:textId="4A6C2CE8" w:rsidR="00B0722A" w:rsidRPr="00313754" w:rsidRDefault="00B0722A" w:rsidP="00FA27A6">
            <w:pPr>
              <w:spacing w:line="480" w:lineRule="auto"/>
              <w:jc w:val="right"/>
            </w:pPr>
            <w:r w:rsidRPr="00313754">
              <w:t>No disability</w:t>
            </w:r>
          </w:p>
        </w:tc>
        <w:tc>
          <w:tcPr>
            <w:tcW w:w="2126" w:type="dxa"/>
          </w:tcPr>
          <w:p w14:paraId="169C4F77" w14:textId="0A80077D" w:rsidR="00B0722A" w:rsidRPr="00FC7838" w:rsidRDefault="001A23DC" w:rsidP="00FA27A6">
            <w:pPr>
              <w:spacing w:line="480" w:lineRule="auto"/>
            </w:pPr>
            <w:r>
              <w:t xml:space="preserve">   </w:t>
            </w:r>
            <w:r w:rsidR="00075B48">
              <w:t>7.6</w:t>
            </w:r>
            <w:r>
              <w:t>% (</w:t>
            </w:r>
            <w:r w:rsidR="00075B48">
              <w:t>6.7%</w:t>
            </w:r>
            <w:r>
              <w:t>-</w:t>
            </w:r>
            <w:r w:rsidR="00075B48">
              <w:t>8.6%</w:t>
            </w:r>
            <w:r w:rsidR="00B0722A" w:rsidRPr="00FC7838">
              <w:t>)</w:t>
            </w:r>
          </w:p>
        </w:tc>
        <w:tc>
          <w:tcPr>
            <w:tcW w:w="1984" w:type="dxa"/>
          </w:tcPr>
          <w:p w14:paraId="05A15243" w14:textId="77777777" w:rsidR="00B0722A" w:rsidRPr="00427DE7" w:rsidRDefault="00B0722A" w:rsidP="00FA27A6">
            <w:pPr>
              <w:spacing w:line="480" w:lineRule="auto"/>
            </w:pPr>
            <w:r w:rsidRPr="00427DE7">
              <w:t>1</w:t>
            </w:r>
          </w:p>
        </w:tc>
        <w:tc>
          <w:tcPr>
            <w:tcW w:w="2169" w:type="dxa"/>
          </w:tcPr>
          <w:p w14:paraId="18DD9980" w14:textId="77777777" w:rsidR="00B0722A" w:rsidRPr="00427DE7" w:rsidRDefault="00B0722A" w:rsidP="00FA27A6">
            <w:pPr>
              <w:spacing w:line="480" w:lineRule="auto"/>
            </w:pPr>
            <w:r w:rsidRPr="00427DE7">
              <w:t>1</w:t>
            </w:r>
          </w:p>
        </w:tc>
      </w:tr>
      <w:tr w:rsidR="00B0722A" w14:paraId="2A85401C" w14:textId="77777777" w:rsidTr="00C13C2A">
        <w:tc>
          <w:tcPr>
            <w:tcW w:w="3256" w:type="dxa"/>
          </w:tcPr>
          <w:p w14:paraId="7BE21B2A" w14:textId="554BB2A2" w:rsidR="00B0722A" w:rsidRPr="00313754" w:rsidRDefault="00B0722A" w:rsidP="00FA27A6">
            <w:pPr>
              <w:spacing w:line="480" w:lineRule="auto"/>
              <w:jc w:val="right"/>
            </w:pPr>
            <w:r w:rsidRPr="00313754">
              <w:t xml:space="preserve">Disability </w:t>
            </w:r>
            <w:r w:rsidR="00754682">
              <w:t>(</w:t>
            </w:r>
            <w:r w:rsidR="000B138A">
              <w:t>LS</w:t>
            </w:r>
            <w:r w:rsidR="00754682">
              <w:t xml:space="preserve">) </w:t>
            </w:r>
          </w:p>
        </w:tc>
        <w:tc>
          <w:tcPr>
            <w:tcW w:w="2126" w:type="dxa"/>
          </w:tcPr>
          <w:p w14:paraId="2C391A89" w14:textId="34C2FC54" w:rsidR="00B0722A" w:rsidRPr="00FC7838" w:rsidRDefault="00F70326" w:rsidP="00FA27A6">
            <w:pPr>
              <w:spacing w:line="480" w:lineRule="auto"/>
            </w:pPr>
            <w:r>
              <w:t>13.</w:t>
            </w:r>
            <w:r w:rsidR="00075B48">
              <w:t>4</w:t>
            </w:r>
            <w:r>
              <w:t>% (</w:t>
            </w:r>
            <w:r w:rsidR="00075B48">
              <w:t>8.8%</w:t>
            </w:r>
            <w:r>
              <w:t>-19.</w:t>
            </w:r>
            <w:r w:rsidR="00075B48">
              <w:t>9%</w:t>
            </w:r>
            <w:r w:rsidR="00B0722A" w:rsidRPr="00FC7838">
              <w:t>)</w:t>
            </w:r>
          </w:p>
        </w:tc>
        <w:tc>
          <w:tcPr>
            <w:tcW w:w="1984" w:type="dxa"/>
          </w:tcPr>
          <w:p w14:paraId="25BBD269" w14:textId="4823345B" w:rsidR="00B0722A" w:rsidRPr="00427DE7" w:rsidRDefault="00E25CE5" w:rsidP="00FA27A6">
            <w:pPr>
              <w:spacing w:line="480" w:lineRule="auto"/>
            </w:pPr>
            <w:r>
              <w:t>1.</w:t>
            </w:r>
            <w:r w:rsidR="00DA7D07">
              <w:t xml:space="preserve">77 </w:t>
            </w:r>
            <w:r>
              <w:t>(1.</w:t>
            </w:r>
            <w:r w:rsidR="00DA7D07">
              <w:t>15</w:t>
            </w:r>
            <w:r>
              <w:t>-2.</w:t>
            </w:r>
            <w:r w:rsidR="00DA7D07">
              <w:t>72</w:t>
            </w:r>
            <w:r w:rsidR="00B0722A" w:rsidRPr="00427DE7">
              <w:t>)</w:t>
            </w:r>
            <w:r w:rsidR="00DA7D07">
              <w:t>*</w:t>
            </w:r>
            <w:r>
              <w:t>*</w:t>
            </w:r>
          </w:p>
        </w:tc>
        <w:tc>
          <w:tcPr>
            <w:tcW w:w="2169" w:type="dxa"/>
          </w:tcPr>
          <w:p w14:paraId="3183DB6A" w14:textId="6FC39CB9" w:rsidR="00B0722A" w:rsidRPr="00427DE7" w:rsidRDefault="00E25CE5" w:rsidP="00FA27A6">
            <w:pPr>
              <w:spacing w:line="480" w:lineRule="auto"/>
            </w:pPr>
            <w:r>
              <w:t>1.</w:t>
            </w:r>
            <w:r w:rsidR="00DA7D07">
              <w:t xml:space="preserve">77 </w:t>
            </w:r>
            <w:r>
              <w:t>(1.</w:t>
            </w:r>
            <w:r w:rsidR="00DA7D07">
              <w:t>16</w:t>
            </w:r>
            <w:r>
              <w:t>-2.</w:t>
            </w:r>
            <w:r w:rsidR="00DA7D07">
              <w:t>71</w:t>
            </w:r>
            <w:r w:rsidR="00B0722A" w:rsidRPr="00427DE7">
              <w:t>)</w:t>
            </w:r>
            <w:r w:rsidR="00DA7D07">
              <w:t>*</w:t>
            </w:r>
            <w:r>
              <w:t>*</w:t>
            </w:r>
          </w:p>
        </w:tc>
      </w:tr>
      <w:tr w:rsidR="00B0722A" w14:paraId="01B09E2E" w14:textId="77777777" w:rsidTr="00C13C2A">
        <w:tc>
          <w:tcPr>
            <w:tcW w:w="3256" w:type="dxa"/>
          </w:tcPr>
          <w:p w14:paraId="54F93A67" w14:textId="0996B964" w:rsidR="00B0722A" w:rsidRPr="00313754" w:rsidRDefault="00B0722A" w:rsidP="00FA27A6">
            <w:pPr>
              <w:spacing w:line="480" w:lineRule="auto"/>
              <w:jc w:val="right"/>
            </w:pPr>
            <w:r w:rsidRPr="00313754">
              <w:t xml:space="preserve">Disability </w:t>
            </w:r>
            <w:r w:rsidR="00754682">
              <w:t>(</w:t>
            </w:r>
            <w:r w:rsidR="000B138A">
              <w:t>MS</w:t>
            </w:r>
            <w:r w:rsidR="00754682">
              <w:t xml:space="preserve">) </w:t>
            </w:r>
          </w:p>
        </w:tc>
        <w:tc>
          <w:tcPr>
            <w:tcW w:w="2126" w:type="dxa"/>
          </w:tcPr>
          <w:p w14:paraId="78425F26" w14:textId="53201958" w:rsidR="00B0722A" w:rsidRPr="00FC7838" w:rsidRDefault="00F96BB9" w:rsidP="00FA27A6">
            <w:pPr>
              <w:spacing w:line="480" w:lineRule="auto"/>
            </w:pPr>
            <w:r>
              <w:t>1</w:t>
            </w:r>
            <w:r w:rsidR="00075B48">
              <w:t>4.4</w:t>
            </w:r>
            <w:r>
              <w:t>% (</w:t>
            </w:r>
            <w:r w:rsidR="00075B48">
              <w:t>8.9%</w:t>
            </w:r>
            <w:r>
              <w:t>-2</w:t>
            </w:r>
            <w:r w:rsidR="00075B48">
              <w:t>2.3%</w:t>
            </w:r>
            <w:r w:rsidR="00B0722A" w:rsidRPr="00FC7838">
              <w:t>)</w:t>
            </w:r>
          </w:p>
        </w:tc>
        <w:tc>
          <w:tcPr>
            <w:tcW w:w="1984" w:type="dxa"/>
          </w:tcPr>
          <w:p w14:paraId="25493DED" w14:textId="3E189055" w:rsidR="00B0722A" w:rsidRPr="00427DE7" w:rsidRDefault="00E25CE5" w:rsidP="00FA27A6">
            <w:pPr>
              <w:spacing w:line="480" w:lineRule="auto"/>
            </w:pPr>
            <w:r>
              <w:t>1.</w:t>
            </w:r>
            <w:r w:rsidR="00DA7D07">
              <w:t xml:space="preserve">89 </w:t>
            </w:r>
            <w:r>
              <w:t>(1.</w:t>
            </w:r>
            <w:r w:rsidR="00DA7D07">
              <w:t>20</w:t>
            </w:r>
            <w:r>
              <w:t>-2.</w:t>
            </w:r>
            <w:r w:rsidR="00DA7D07">
              <w:t>98</w:t>
            </w:r>
            <w:r w:rsidR="00B0722A" w:rsidRPr="00427DE7">
              <w:t>)</w:t>
            </w:r>
            <w:r>
              <w:t>**</w:t>
            </w:r>
          </w:p>
        </w:tc>
        <w:tc>
          <w:tcPr>
            <w:tcW w:w="2169" w:type="dxa"/>
          </w:tcPr>
          <w:p w14:paraId="05D9702A" w14:textId="73D5217E" w:rsidR="00B0722A" w:rsidRPr="00427DE7" w:rsidRDefault="00E25CE5" w:rsidP="00FA27A6">
            <w:pPr>
              <w:spacing w:line="480" w:lineRule="auto"/>
            </w:pPr>
            <w:r>
              <w:t>1.</w:t>
            </w:r>
            <w:r w:rsidR="00DA7D07">
              <w:t xml:space="preserve">74 </w:t>
            </w:r>
            <w:r>
              <w:t>(1.</w:t>
            </w:r>
            <w:r w:rsidR="00DA7D07">
              <w:t>10</w:t>
            </w:r>
            <w:r w:rsidR="00B0722A" w:rsidRPr="00427DE7">
              <w:t>-2.</w:t>
            </w:r>
            <w:r w:rsidR="00DA7D07">
              <w:t>75</w:t>
            </w:r>
            <w:r w:rsidR="00B0722A" w:rsidRPr="00427DE7">
              <w:t>)</w:t>
            </w:r>
            <w:r>
              <w:t>*</w:t>
            </w:r>
          </w:p>
        </w:tc>
      </w:tr>
      <w:tr w:rsidR="00B0722A" w14:paraId="5A7A4CEC" w14:textId="77777777" w:rsidTr="00C13C2A">
        <w:tc>
          <w:tcPr>
            <w:tcW w:w="3256" w:type="dxa"/>
          </w:tcPr>
          <w:p w14:paraId="725DA038" w14:textId="77777777" w:rsidR="00B0722A" w:rsidRDefault="00B0722A" w:rsidP="00FA27A6">
            <w:pPr>
              <w:spacing w:line="480" w:lineRule="auto"/>
              <w:jc w:val="right"/>
            </w:pPr>
            <w:r>
              <w:t xml:space="preserve">Disability </w:t>
            </w:r>
            <w:r w:rsidR="00754682">
              <w:t>(</w:t>
            </w:r>
            <w:r w:rsidR="000B138A">
              <w:t>ALL</w:t>
            </w:r>
            <w:r w:rsidR="00754682">
              <w:t>)</w:t>
            </w:r>
          </w:p>
          <w:p w14:paraId="662BA597" w14:textId="77777777" w:rsidR="00D47061" w:rsidRDefault="00D47061" w:rsidP="00FA27A6">
            <w:pPr>
              <w:spacing w:line="480" w:lineRule="auto"/>
              <w:jc w:val="right"/>
            </w:pPr>
          </w:p>
          <w:p w14:paraId="4C5E023C" w14:textId="77777777" w:rsidR="00D47061" w:rsidRDefault="00D47061" w:rsidP="00FA27A6">
            <w:pPr>
              <w:spacing w:line="480" w:lineRule="auto"/>
              <w:jc w:val="right"/>
            </w:pPr>
          </w:p>
          <w:p w14:paraId="0AAF92BF" w14:textId="77777777" w:rsidR="00D47061" w:rsidRDefault="00D47061" w:rsidP="00FA27A6">
            <w:pPr>
              <w:spacing w:line="480" w:lineRule="auto"/>
              <w:jc w:val="right"/>
            </w:pPr>
          </w:p>
          <w:p w14:paraId="6FB0F08C" w14:textId="4D888DAA" w:rsidR="00D47061" w:rsidRPr="00313754" w:rsidRDefault="00D47061" w:rsidP="00FA27A6">
            <w:pPr>
              <w:spacing w:line="480" w:lineRule="auto"/>
              <w:jc w:val="right"/>
            </w:pPr>
          </w:p>
        </w:tc>
        <w:tc>
          <w:tcPr>
            <w:tcW w:w="2126" w:type="dxa"/>
          </w:tcPr>
          <w:p w14:paraId="720920A5" w14:textId="7D6EE560" w:rsidR="00B0722A" w:rsidRDefault="001A23DC" w:rsidP="00FA27A6">
            <w:pPr>
              <w:spacing w:line="480" w:lineRule="auto"/>
            </w:pPr>
            <w:r>
              <w:t>1</w:t>
            </w:r>
            <w:r w:rsidR="00075B48">
              <w:t>3.8</w:t>
            </w:r>
            <w:r>
              <w:t>% (10.</w:t>
            </w:r>
            <w:r w:rsidR="00075B48">
              <w:t>1%</w:t>
            </w:r>
            <w:r>
              <w:t>-18.</w:t>
            </w:r>
            <w:r w:rsidR="00075B48">
              <w:t>5%</w:t>
            </w:r>
            <w:r w:rsidR="00B0722A">
              <w:t>)</w:t>
            </w:r>
          </w:p>
        </w:tc>
        <w:tc>
          <w:tcPr>
            <w:tcW w:w="1984" w:type="dxa"/>
          </w:tcPr>
          <w:p w14:paraId="63365F89" w14:textId="6116A9AC" w:rsidR="00B0722A" w:rsidRPr="00427DE7" w:rsidRDefault="00A96A77" w:rsidP="00FA27A6">
            <w:pPr>
              <w:spacing w:line="480" w:lineRule="auto"/>
            </w:pPr>
            <w:r>
              <w:t>1.</w:t>
            </w:r>
            <w:r w:rsidR="002A5CF4">
              <w:t>81</w:t>
            </w:r>
            <w:r>
              <w:t xml:space="preserve"> (1.</w:t>
            </w:r>
            <w:r w:rsidR="002A5CF4">
              <w:t>31</w:t>
            </w:r>
            <w:r>
              <w:t>-2.</w:t>
            </w:r>
            <w:r w:rsidR="002A5CF4">
              <w:t>50</w:t>
            </w:r>
            <w:r w:rsidR="00B0722A">
              <w:t>)</w:t>
            </w:r>
            <w:r>
              <w:t>***</w:t>
            </w:r>
          </w:p>
        </w:tc>
        <w:tc>
          <w:tcPr>
            <w:tcW w:w="2169" w:type="dxa"/>
          </w:tcPr>
          <w:p w14:paraId="37FC05E1" w14:textId="05B8CD91" w:rsidR="00B0722A" w:rsidRPr="00427DE7" w:rsidRDefault="00A96A77" w:rsidP="00FA27A6">
            <w:pPr>
              <w:spacing w:line="480" w:lineRule="auto"/>
            </w:pPr>
            <w:r>
              <w:t>1.</w:t>
            </w:r>
            <w:r w:rsidR="002A5CF4">
              <w:t>76</w:t>
            </w:r>
            <w:r>
              <w:t xml:space="preserve"> (1.</w:t>
            </w:r>
            <w:r w:rsidR="002A5CF4">
              <w:t>28</w:t>
            </w:r>
            <w:r w:rsidR="00B0722A">
              <w:t>-2.</w:t>
            </w:r>
            <w:r w:rsidR="002A5CF4">
              <w:t>42</w:t>
            </w:r>
            <w:r w:rsidR="00B0722A">
              <w:t>)</w:t>
            </w:r>
            <w:r>
              <w:t>**</w:t>
            </w:r>
          </w:p>
        </w:tc>
      </w:tr>
      <w:tr w:rsidR="00B0722A" w14:paraId="5A34600F" w14:textId="77777777" w:rsidTr="00C13C2A">
        <w:tc>
          <w:tcPr>
            <w:tcW w:w="3256" w:type="dxa"/>
          </w:tcPr>
          <w:p w14:paraId="20E5DED1" w14:textId="77777777" w:rsidR="00B0722A" w:rsidRPr="00313754" w:rsidRDefault="00B0722A" w:rsidP="00FA27A6">
            <w:pPr>
              <w:spacing w:line="480" w:lineRule="auto"/>
              <w:rPr>
                <w:b/>
              </w:rPr>
            </w:pPr>
            <w:r w:rsidRPr="00313754">
              <w:rPr>
                <w:b/>
              </w:rPr>
              <w:lastRenderedPageBreak/>
              <w:t>GIRLS</w:t>
            </w:r>
          </w:p>
        </w:tc>
        <w:tc>
          <w:tcPr>
            <w:tcW w:w="2126" w:type="dxa"/>
          </w:tcPr>
          <w:p w14:paraId="2DA1ACAD" w14:textId="77777777" w:rsidR="00B0722A" w:rsidRPr="00FC7838" w:rsidRDefault="00B0722A" w:rsidP="00FA27A6">
            <w:pPr>
              <w:spacing w:line="480" w:lineRule="auto"/>
            </w:pPr>
          </w:p>
        </w:tc>
        <w:tc>
          <w:tcPr>
            <w:tcW w:w="1984" w:type="dxa"/>
          </w:tcPr>
          <w:p w14:paraId="2E6A3DE5" w14:textId="77777777" w:rsidR="00B0722A" w:rsidRPr="009E3052" w:rsidRDefault="00B0722A" w:rsidP="00FA27A6">
            <w:pPr>
              <w:spacing w:line="480" w:lineRule="auto"/>
              <w:rPr>
                <w:highlight w:val="yellow"/>
              </w:rPr>
            </w:pPr>
          </w:p>
        </w:tc>
        <w:tc>
          <w:tcPr>
            <w:tcW w:w="2169" w:type="dxa"/>
          </w:tcPr>
          <w:p w14:paraId="3CD533E3" w14:textId="77777777" w:rsidR="00B0722A" w:rsidRPr="009E3052" w:rsidRDefault="00B0722A" w:rsidP="00FA27A6">
            <w:pPr>
              <w:spacing w:line="480" w:lineRule="auto"/>
              <w:rPr>
                <w:highlight w:val="yellow"/>
              </w:rPr>
            </w:pPr>
          </w:p>
        </w:tc>
      </w:tr>
      <w:tr w:rsidR="00B0722A" w14:paraId="3750BAC4" w14:textId="77777777" w:rsidTr="00C13C2A">
        <w:tc>
          <w:tcPr>
            <w:tcW w:w="3256" w:type="dxa"/>
          </w:tcPr>
          <w:p w14:paraId="2655FC10" w14:textId="77777777" w:rsidR="00B0722A" w:rsidRPr="00313754" w:rsidRDefault="00B0722A" w:rsidP="00FA27A6">
            <w:pPr>
              <w:spacing w:line="480" w:lineRule="auto"/>
              <w:rPr>
                <w:b/>
              </w:rPr>
            </w:pPr>
            <w:r w:rsidRPr="00313754">
              <w:rPr>
                <w:b/>
              </w:rPr>
              <w:t>Maternal-reported outcomes</w:t>
            </w:r>
          </w:p>
        </w:tc>
        <w:tc>
          <w:tcPr>
            <w:tcW w:w="2126" w:type="dxa"/>
          </w:tcPr>
          <w:p w14:paraId="4BB3B8C5" w14:textId="77777777" w:rsidR="00B0722A" w:rsidRPr="00FC7838" w:rsidRDefault="00B0722A" w:rsidP="00FA27A6">
            <w:pPr>
              <w:spacing w:line="480" w:lineRule="auto"/>
            </w:pPr>
          </w:p>
        </w:tc>
        <w:tc>
          <w:tcPr>
            <w:tcW w:w="1984" w:type="dxa"/>
          </w:tcPr>
          <w:p w14:paraId="48C437EE" w14:textId="77777777" w:rsidR="00B0722A" w:rsidRPr="009E3052" w:rsidRDefault="00B0722A" w:rsidP="00FA27A6">
            <w:pPr>
              <w:spacing w:line="480" w:lineRule="auto"/>
              <w:rPr>
                <w:highlight w:val="yellow"/>
              </w:rPr>
            </w:pPr>
          </w:p>
        </w:tc>
        <w:tc>
          <w:tcPr>
            <w:tcW w:w="2169" w:type="dxa"/>
          </w:tcPr>
          <w:p w14:paraId="2AA2818D" w14:textId="77777777" w:rsidR="00B0722A" w:rsidRPr="009E3052" w:rsidRDefault="00B0722A" w:rsidP="00FA27A6">
            <w:pPr>
              <w:spacing w:line="480" w:lineRule="auto"/>
              <w:rPr>
                <w:highlight w:val="yellow"/>
              </w:rPr>
            </w:pPr>
          </w:p>
        </w:tc>
      </w:tr>
      <w:tr w:rsidR="00B0722A" w14:paraId="488F8B66" w14:textId="77777777" w:rsidTr="00C13C2A">
        <w:tc>
          <w:tcPr>
            <w:tcW w:w="3256" w:type="dxa"/>
          </w:tcPr>
          <w:p w14:paraId="2F19C20D" w14:textId="77777777" w:rsidR="00B0722A" w:rsidRPr="00313754" w:rsidRDefault="00B0722A" w:rsidP="00FA27A6">
            <w:pPr>
              <w:spacing w:line="480" w:lineRule="auto"/>
              <w:rPr>
                <w:i/>
              </w:rPr>
            </w:pPr>
            <w:r w:rsidRPr="00313754">
              <w:rPr>
                <w:i/>
              </w:rPr>
              <w:t>Emotional Difficulties (SDQ)</w:t>
            </w:r>
          </w:p>
        </w:tc>
        <w:tc>
          <w:tcPr>
            <w:tcW w:w="2126" w:type="dxa"/>
          </w:tcPr>
          <w:p w14:paraId="0A364631" w14:textId="77777777" w:rsidR="00B0722A" w:rsidRPr="00FC7838" w:rsidRDefault="00B0722A" w:rsidP="00FA27A6">
            <w:pPr>
              <w:spacing w:line="480" w:lineRule="auto"/>
            </w:pPr>
          </w:p>
        </w:tc>
        <w:tc>
          <w:tcPr>
            <w:tcW w:w="1984" w:type="dxa"/>
          </w:tcPr>
          <w:p w14:paraId="5F2F74A1" w14:textId="77777777" w:rsidR="00B0722A" w:rsidRPr="009E3052" w:rsidRDefault="00B0722A" w:rsidP="00FA27A6">
            <w:pPr>
              <w:spacing w:line="480" w:lineRule="auto"/>
              <w:rPr>
                <w:highlight w:val="yellow"/>
              </w:rPr>
            </w:pPr>
          </w:p>
        </w:tc>
        <w:tc>
          <w:tcPr>
            <w:tcW w:w="2169" w:type="dxa"/>
          </w:tcPr>
          <w:p w14:paraId="3A9A327C" w14:textId="77777777" w:rsidR="00B0722A" w:rsidRPr="009E3052" w:rsidRDefault="00B0722A" w:rsidP="00FA27A6">
            <w:pPr>
              <w:spacing w:line="480" w:lineRule="auto"/>
              <w:rPr>
                <w:highlight w:val="yellow"/>
              </w:rPr>
            </w:pPr>
          </w:p>
        </w:tc>
      </w:tr>
      <w:tr w:rsidR="00B0722A" w14:paraId="23F62800" w14:textId="77777777" w:rsidTr="00C13C2A">
        <w:tc>
          <w:tcPr>
            <w:tcW w:w="3256" w:type="dxa"/>
          </w:tcPr>
          <w:p w14:paraId="45E3A56A" w14:textId="0C9D50A7" w:rsidR="00B0722A" w:rsidRPr="00313754" w:rsidRDefault="00B0722A" w:rsidP="00FA27A6">
            <w:pPr>
              <w:spacing w:line="480" w:lineRule="auto"/>
              <w:jc w:val="right"/>
            </w:pPr>
            <w:r w:rsidRPr="00313754">
              <w:t>No disability</w:t>
            </w:r>
            <w:r>
              <w:t xml:space="preserve"> (n=</w:t>
            </w:r>
            <w:r w:rsidR="00196557">
              <w:t>4169</w:t>
            </w:r>
            <w:r>
              <w:t>)</w:t>
            </w:r>
          </w:p>
        </w:tc>
        <w:tc>
          <w:tcPr>
            <w:tcW w:w="2126" w:type="dxa"/>
          </w:tcPr>
          <w:p w14:paraId="494DB9C9" w14:textId="3F3F50A7" w:rsidR="00B0722A" w:rsidRPr="00FC7838" w:rsidRDefault="001A23DC" w:rsidP="00FA27A6">
            <w:pPr>
              <w:spacing w:line="480" w:lineRule="auto"/>
            </w:pPr>
            <w:r>
              <w:t>13.</w:t>
            </w:r>
            <w:r w:rsidR="00075B48">
              <w:t>6</w:t>
            </w:r>
            <w:r>
              <w:t>% (12.</w:t>
            </w:r>
            <w:r w:rsidR="00075B48">
              <w:t>3%</w:t>
            </w:r>
            <w:r>
              <w:t>-15.</w:t>
            </w:r>
            <w:r w:rsidR="00075B48">
              <w:t>0%</w:t>
            </w:r>
            <w:r w:rsidR="00B0722A" w:rsidRPr="00FC7838">
              <w:t>)</w:t>
            </w:r>
          </w:p>
        </w:tc>
        <w:tc>
          <w:tcPr>
            <w:tcW w:w="1984" w:type="dxa"/>
          </w:tcPr>
          <w:p w14:paraId="45DD2B89" w14:textId="77777777" w:rsidR="00B0722A" w:rsidRPr="00313754" w:rsidRDefault="00B0722A" w:rsidP="00FA27A6">
            <w:pPr>
              <w:spacing w:line="480" w:lineRule="auto"/>
            </w:pPr>
            <w:r w:rsidRPr="00313754">
              <w:t>1</w:t>
            </w:r>
          </w:p>
        </w:tc>
        <w:tc>
          <w:tcPr>
            <w:tcW w:w="2169" w:type="dxa"/>
          </w:tcPr>
          <w:p w14:paraId="50DC069A" w14:textId="77777777" w:rsidR="00B0722A" w:rsidRPr="00313754" w:rsidRDefault="00B0722A" w:rsidP="00FA27A6">
            <w:pPr>
              <w:spacing w:line="480" w:lineRule="auto"/>
            </w:pPr>
            <w:r w:rsidRPr="00313754">
              <w:t>1</w:t>
            </w:r>
          </w:p>
        </w:tc>
      </w:tr>
      <w:tr w:rsidR="00B0722A" w14:paraId="6955E3D6" w14:textId="77777777" w:rsidTr="00C13C2A">
        <w:tc>
          <w:tcPr>
            <w:tcW w:w="3256" w:type="dxa"/>
          </w:tcPr>
          <w:p w14:paraId="35694A9D" w14:textId="0A2BD10A" w:rsidR="00B0722A" w:rsidRPr="00313754" w:rsidRDefault="00B0722A" w:rsidP="00FA27A6">
            <w:pPr>
              <w:spacing w:line="480" w:lineRule="auto"/>
              <w:jc w:val="right"/>
            </w:pPr>
            <w:r w:rsidRPr="00313754">
              <w:t xml:space="preserve">Disability </w:t>
            </w:r>
            <w:r w:rsidR="00754682">
              <w:t>(</w:t>
            </w:r>
            <w:r w:rsidR="000B138A">
              <w:t>LS</w:t>
            </w:r>
            <w:r w:rsidR="00062997">
              <w:t>)</w:t>
            </w:r>
            <w:r>
              <w:t xml:space="preserve"> (n=</w:t>
            </w:r>
            <w:r w:rsidR="00196557">
              <w:t>251</w:t>
            </w:r>
            <w:r>
              <w:t>)</w:t>
            </w:r>
          </w:p>
        </w:tc>
        <w:tc>
          <w:tcPr>
            <w:tcW w:w="2126" w:type="dxa"/>
          </w:tcPr>
          <w:p w14:paraId="23602EDF" w14:textId="4963B318" w:rsidR="00B0722A" w:rsidRPr="00FC7838" w:rsidRDefault="00075B48" w:rsidP="00FA27A6">
            <w:pPr>
              <w:spacing w:line="480" w:lineRule="auto"/>
            </w:pPr>
            <w:r>
              <w:t>38.2</w:t>
            </w:r>
            <w:r w:rsidR="00F70326">
              <w:t>% (3</w:t>
            </w:r>
            <w:r>
              <w:t>0.9%</w:t>
            </w:r>
            <w:r w:rsidR="00F70326">
              <w:t>-4</w:t>
            </w:r>
            <w:r>
              <w:t>6.0%</w:t>
            </w:r>
            <w:r w:rsidR="00B0722A" w:rsidRPr="00FC7838">
              <w:t>)</w:t>
            </w:r>
          </w:p>
        </w:tc>
        <w:tc>
          <w:tcPr>
            <w:tcW w:w="1984" w:type="dxa"/>
          </w:tcPr>
          <w:p w14:paraId="3BF2DF94" w14:textId="27402551" w:rsidR="00B0722A" w:rsidRPr="00313754" w:rsidRDefault="00DA7D07" w:rsidP="00FA27A6">
            <w:pPr>
              <w:spacing w:line="480" w:lineRule="auto"/>
            </w:pPr>
            <w:r>
              <w:t>2.81</w:t>
            </w:r>
            <w:r w:rsidR="00C23255">
              <w:t xml:space="preserve"> (2.</w:t>
            </w:r>
            <w:r>
              <w:t>22</w:t>
            </w:r>
            <w:r w:rsidR="00B0722A" w:rsidRPr="00313754">
              <w:t>-3.</w:t>
            </w:r>
            <w:r>
              <w:t>56</w:t>
            </w:r>
            <w:r w:rsidR="00B0722A" w:rsidRPr="00313754">
              <w:t>)</w:t>
            </w:r>
            <w:r w:rsidR="00C23255">
              <w:t>***</w:t>
            </w:r>
          </w:p>
        </w:tc>
        <w:tc>
          <w:tcPr>
            <w:tcW w:w="2169" w:type="dxa"/>
          </w:tcPr>
          <w:p w14:paraId="6F77FDF0" w14:textId="52DEA841" w:rsidR="00B0722A" w:rsidRPr="00313754" w:rsidRDefault="00DA7D07" w:rsidP="00FA27A6">
            <w:pPr>
              <w:spacing w:line="480" w:lineRule="auto"/>
            </w:pPr>
            <w:r>
              <w:t>2.75</w:t>
            </w:r>
            <w:r w:rsidR="00C23255">
              <w:t xml:space="preserve"> (2.</w:t>
            </w:r>
            <w:r>
              <w:t>17</w:t>
            </w:r>
            <w:r w:rsidR="00C23255">
              <w:t>-3.</w:t>
            </w:r>
            <w:r>
              <w:t>48</w:t>
            </w:r>
            <w:r w:rsidR="00B0722A" w:rsidRPr="00313754">
              <w:t>)</w:t>
            </w:r>
            <w:r w:rsidR="00C23255">
              <w:t>***</w:t>
            </w:r>
          </w:p>
        </w:tc>
      </w:tr>
      <w:tr w:rsidR="00B0722A" w14:paraId="639EFEA5" w14:textId="77777777" w:rsidTr="00C13C2A">
        <w:tc>
          <w:tcPr>
            <w:tcW w:w="3256" w:type="dxa"/>
          </w:tcPr>
          <w:p w14:paraId="1F126821" w14:textId="4DFF3337" w:rsidR="00B0722A" w:rsidRPr="00313754" w:rsidRDefault="00B0722A" w:rsidP="00FA27A6">
            <w:pPr>
              <w:spacing w:line="480" w:lineRule="auto"/>
              <w:jc w:val="right"/>
            </w:pPr>
            <w:r w:rsidRPr="00313754">
              <w:t xml:space="preserve">Disability </w:t>
            </w:r>
            <w:r w:rsidR="00754682">
              <w:t>(</w:t>
            </w:r>
            <w:r w:rsidR="000B138A">
              <w:t>MS</w:t>
            </w:r>
            <w:r w:rsidR="00062997">
              <w:t>)</w:t>
            </w:r>
            <w:r>
              <w:t xml:space="preserve"> (n=</w:t>
            </w:r>
            <w:r w:rsidR="00196557">
              <w:t>94</w:t>
            </w:r>
            <w:r>
              <w:t>)</w:t>
            </w:r>
          </w:p>
        </w:tc>
        <w:tc>
          <w:tcPr>
            <w:tcW w:w="2126" w:type="dxa"/>
          </w:tcPr>
          <w:p w14:paraId="2031763C" w14:textId="2687B2E4" w:rsidR="00B0722A" w:rsidRPr="00FC7838" w:rsidRDefault="00075B48" w:rsidP="00FA27A6">
            <w:pPr>
              <w:spacing w:line="480" w:lineRule="auto"/>
            </w:pPr>
            <w:r>
              <w:t>66.3</w:t>
            </w:r>
            <w:r w:rsidR="00F96BB9">
              <w:t>% (</w:t>
            </w:r>
            <w:r>
              <w:t>54.9%</w:t>
            </w:r>
            <w:r w:rsidR="00F96BB9">
              <w:t>-</w:t>
            </w:r>
            <w:r>
              <w:t>76.0%</w:t>
            </w:r>
            <w:r w:rsidR="00B0722A">
              <w:t>)</w:t>
            </w:r>
          </w:p>
        </w:tc>
        <w:tc>
          <w:tcPr>
            <w:tcW w:w="1984" w:type="dxa"/>
          </w:tcPr>
          <w:p w14:paraId="249190C6" w14:textId="5936F291" w:rsidR="00B0722A" w:rsidRPr="00313754" w:rsidRDefault="00DA7D07" w:rsidP="00FA27A6">
            <w:pPr>
              <w:spacing w:line="480" w:lineRule="auto"/>
            </w:pPr>
            <w:r>
              <w:t>4.88</w:t>
            </w:r>
            <w:r w:rsidR="00C23255">
              <w:t xml:space="preserve"> (4.</w:t>
            </w:r>
            <w:r>
              <w:t>04</w:t>
            </w:r>
            <w:r w:rsidR="00C23255">
              <w:t>-</w:t>
            </w:r>
            <w:r>
              <w:t>5.89</w:t>
            </w:r>
            <w:r w:rsidR="00B0722A" w:rsidRPr="00313754">
              <w:t>)</w:t>
            </w:r>
            <w:r w:rsidR="00C23255">
              <w:t>***</w:t>
            </w:r>
          </w:p>
        </w:tc>
        <w:tc>
          <w:tcPr>
            <w:tcW w:w="2169" w:type="dxa"/>
          </w:tcPr>
          <w:p w14:paraId="7F6BBF83" w14:textId="178E5734" w:rsidR="00B0722A" w:rsidRPr="00313754" w:rsidRDefault="00C23255" w:rsidP="00FA27A6">
            <w:pPr>
              <w:spacing w:line="480" w:lineRule="auto"/>
            </w:pPr>
            <w:r>
              <w:t>4.</w:t>
            </w:r>
            <w:r w:rsidR="00DA7D07">
              <w:t xml:space="preserve">79 </w:t>
            </w:r>
            <w:r>
              <w:t>(3.</w:t>
            </w:r>
            <w:r w:rsidR="00DA7D07">
              <w:t>90</w:t>
            </w:r>
            <w:r>
              <w:t>-5.89</w:t>
            </w:r>
            <w:r w:rsidR="00B0722A" w:rsidRPr="00313754">
              <w:t>)</w:t>
            </w:r>
            <w:r>
              <w:t>***</w:t>
            </w:r>
          </w:p>
        </w:tc>
      </w:tr>
      <w:tr w:rsidR="00E25CE5" w14:paraId="01F1E1FC" w14:textId="77777777" w:rsidTr="00C13C2A">
        <w:tc>
          <w:tcPr>
            <w:tcW w:w="3256" w:type="dxa"/>
          </w:tcPr>
          <w:p w14:paraId="659BFC18" w14:textId="525CA2DD" w:rsidR="00E25CE5" w:rsidRPr="00313754" w:rsidRDefault="00E25CE5" w:rsidP="00FA27A6">
            <w:pPr>
              <w:spacing w:line="480" w:lineRule="auto"/>
              <w:jc w:val="right"/>
            </w:pPr>
            <w:r>
              <w:t>Disability (</w:t>
            </w:r>
            <w:r w:rsidR="000B138A">
              <w:t>ALL</w:t>
            </w:r>
            <w:r>
              <w:t>) (n=</w:t>
            </w:r>
            <w:r w:rsidR="00196557">
              <w:t>344</w:t>
            </w:r>
            <w:r>
              <w:t xml:space="preserve">) </w:t>
            </w:r>
          </w:p>
        </w:tc>
        <w:tc>
          <w:tcPr>
            <w:tcW w:w="2126" w:type="dxa"/>
          </w:tcPr>
          <w:p w14:paraId="2C232419" w14:textId="5EA9B3BE" w:rsidR="00E25CE5" w:rsidRDefault="00075B48" w:rsidP="00FA27A6">
            <w:pPr>
              <w:spacing w:line="480" w:lineRule="auto"/>
            </w:pPr>
            <w:r>
              <w:t>47.1</w:t>
            </w:r>
            <w:r w:rsidR="00E25CE5">
              <w:t>% (4</w:t>
            </w:r>
            <w:r>
              <w:t>0.8%</w:t>
            </w:r>
            <w:r w:rsidR="00E25CE5">
              <w:t>-5</w:t>
            </w:r>
            <w:r>
              <w:t>3.5%</w:t>
            </w:r>
            <w:r w:rsidR="00E25CE5">
              <w:t>)</w:t>
            </w:r>
          </w:p>
        </w:tc>
        <w:tc>
          <w:tcPr>
            <w:tcW w:w="1984" w:type="dxa"/>
          </w:tcPr>
          <w:p w14:paraId="5B2CA4D4" w14:textId="1ED112F0" w:rsidR="00E25CE5" w:rsidRPr="00313754" w:rsidRDefault="00E25CE5" w:rsidP="00FA27A6">
            <w:pPr>
              <w:spacing w:line="480" w:lineRule="auto"/>
            </w:pPr>
            <w:r>
              <w:t>3.</w:t>
            </w:r>
            <w:r w:rsidR="002A5CF4">
              <w:t>47</w:t>
            </w:r>
            <w:r>
              <w:t xml:space="preserve"> (</w:t>
            </w:r>
            <w:r w:rsidR="002A5CF4">
              <w:t>2.91</w:t>
            </w:r>
            <w:r>
              <w:t>-4.</w:t>
            </w:r>
            <w:r w:rsidR="002A5CF4">
              <w:t>14</w:t>
            </w:r>
            <w:r>
              <w:t>)***</w:t>
            </w:r>
          </w:p>
        </w:tc>
        <w:tc>
          <w:tcPr>
            <w:tcW w:w="2169" w:type="dxa"/>
          </w:tcPr>
          <w:p w14:paraId="5ABC395F" w14:textId="5C379A1C" w:rsidR="00E25CE5" w:rsidRPr="00313754" w:rsidRDefault="00E25CE5" w:rsidP="00FA27A6">
            <w:pPr>
              <w:spacing w:line="480" w:lineRule="auto"/>
            </w:pPr>
            <w:r>
              <w:t>3.</w:t>
            </w:r>
            <w:r w:rsidR="002A5CF4">
              <w:t>37</w:t>
            </w:r>
            <w:r>
              <w:t xml:space="preserve"> (2.</w:t>
            </w:r>
            <w:r w:rsidR="002A5CF4">
              <w:t>81</w:t>
            </w:r>
            <w:r>
              <w:t>-4.</w:t>
            </w:r>
            <w:r w:rsidR="00D47061">
              <w:t>0</w:t>
            </w:r>
            <w:r w:rsidR="002A5CF4">
              <w:t>3</w:t>
            </w:r>
            <w:r>
              <w:t>)***</w:t>
            </w:r>
          </w:p>
        </w:tc>
      </w:tr>
      <w:tr w:rsidR="00B0722A" w14:paraId="73CE1972" w14:textId="77777777" w:rsidTr="00C13C2A">
        <w:tc>
          <w:tcPr>
            <w:tcW w:w="3256" w:type="dxa"/>
          </w:tcPr>
          <w:p w14:paraId="37772650" w14:textId="77777777" w:rsidR="00B0722A" w:rsidRPr="00313754" w:rsidRDefault="00B0722A" w:rsidP="00FA27A6">
            <w:pPr>
              <w:spacing w:line="480" w:lineRule="auto"/>
              <w:rPr>
                <w:b/>
              </w:rPr>
            </w:pPr>
            <w:r w:rsidRPr="00313754">
              <w:rPr>
                <w:b/>
              </w:rPr>
              <w:t>Adolescent-reported outcomes</w:t>
            </w:r>
          </w:p>
        </w:tc>
        <w:tc>
          <w:tcPr>
            <w:tcW w:w="2126" w:type="dxa"/>
          </w:tcPr>
          <w:p w14:paraId="71059385" w14:textId="77777777" w:rsidR="00B0722A" w:rsidRPr="00FC7838" w:rsidRDefault="00B0722A" w:rsidP="00FA27A6">
            <w:pPr>
              <w:spacing w:line="480" w:lineRule="auto"/>
            </w:pPr>
          </w:p>
        </w:tc>
        <w:tc>
          <w:tcPr>
            <w:tcW w:w="1984" w:type="dxa"/>
          </w:tcPr>
          <w:p w14:paraId="7DF93898" w14:textId="77777777" w:rsidR="00B0722A" w:rsidRPr="00313754" w:rsidRDefault="00B0722A" w:rsidP="00FA27A6">
            <w:pPr>
              <w:spacing w:line="480" w:lineRule="auto"/>
            </w:pPr>
          </w:p>
        </w:tc>
        <w:tc>
          <w:tcPr>
            <w:tcW w:w="2169" w:type="dxa"/>
          </w:tcPr>
          <w:p w14:paraId="5CFD12FB" w14:textId="77777777" w:rsidR="00B0722A" w:rsidRPr="00313754" w:rsidRDefault="00B0722A" w:rsidP="00FA27A6">
            <w:pPr>
              <w:spacing w:line="480" w:lineRule="auto"/>
            </w:pPr>
          </w:p>
        </w:tc>
      </w:tr>
      <w:tr w:rsidR="00B0722A" w14:paraId="4620830F" w14:textId="77777777" w:rsidTr="00C13C2A">
        <w:tc>
          <w:tcPr>
            <w:tcW w:w="3256" w:type="dxa"/>
          </w:tcPr>
          <w:p w14:paraId="44B32AB1" w14:textId="77777777" w:rsidR="00B0722A" w:rsidRPr="00313754" w:rsidRDefault="00B0722A" w:rsidP="00FA27A6">
            <w:pPr>
              <w:spacing w:line="480" w:lineRule="auto"/>
              <w:rPr>
                <w:i/>
              </w:rPr>
            </w:pPr>
            <w:r w:rsidRPr="00313754">
              <w:rPr>
                <w:i/>
              </w:rPr>
              <w:t>Depression (SF-MFQ)</w:t>
            </w:r>
          </w:p>
        </w:tc>
        <w:tc>
          <w:tcPr>
            <w:tcW w:w="2126" w:type="dxa"/>
          </w:tcPr>
          <w:p w14:paraId="2879A0F1" w14:textId="77777777" w:rsidR="00B0722A" w:rsidRPr="00FC7838" w:rsidRDefault="00B0722A" w:rsidP="00FA27A6">
            <w:pPr>
              <w:spacing w:line="480" w:lineRule="auto"/>
            </w:pPr>
          </w:p>
        </w:tc>
        <w:tc>
          <w:tcPr>
            <w:tcW w:w="1984" w:type="dxa"/>
          </w:tcPr>
          <w:p w14:paraId="5D2012D1" w14:textId="77777777" w:rsidR="00B0722A" w:rsidRPr="00313754" w:rsidRDefault="00B0722A" w:rsidP="00FA27A6">
            <w:pPr>
              <w:spacing w:line="480" w:lineRule="auto"/>
            </w:pPr>
          </w:p>
        </w:tc>
        <w:tc>
          <w:tcPr>
            <w:tcW w:w="2169" w:type="dxa"/>
          </w:tcPr>
          <w:p w14:paraId="327ED0E4" w14:textId="77777777" w:rsidR="00B0722A" w:rsidRPr="00313754" w:rsidRDefault="00B0722A" w:rsidP="00FA27A6">
            <w:pPr>
              <w:spacing w:line="480" w:lineRule="auto"/>
            </w:pPr>
          </w:p>
        </w:tc>
      </w:tr>
      <w:tr w:rsidR="00B0722A" w14:paraId="3810A02C" w14:textId="77777777" w:rsidTr="00C13C2A">
        <w:tc>
          <w:tcPr>
            <w:tcW w:w="3256" w:type="dxa"/>
          </w:tcPr>
          <w:p w14:paraId="6850B42F" w14:textId="4D807AF6" w:rsidR="00B0722A" w:rsidRPr="00313754" w:rsidRDefault="00B0722A" w:rsidP="00FA27A6">
            <w:pPr>
              <w:spacing w:line="480" w:lineRule="auto"/>
              <w:jc w:val="right"/>
            </w:pPr>
            <w:r w:rsidRPr="00313754">
              <w:t>No disability</w:t>
            </w:r>
          </w:p>
        </w:tc>
        <w:tc>
          <w:tcPr>
            <w:tcW w:w="2126" w:type="dxa"/>
          </w:tcPr>
          <w:p w14:paraId="7B1D51D4" w14:textId="27DFE17A" w:rsidR="00B0722A" w:rsidRPr="00FC7838" w:rsidRDefault="001A23DC" w:rsidP="00FA27A6">
            <w:pPr>
              <w:spacing w:line="480" w:lineRule="auto"/>
            </w:pPr>
            <w:r>
              <w:t>13.</w:t>
            </w:r>
            <w:r w:rsidR="00075B48">
              <w:t>0</w:t>
            </w:r>
            <w:r w:rsidR="00B0722A" w:rsidRPr="00FC7838">
              <w:t>% (1</w:t>
            </w:r>
            <w:r w:rsidR="00075B48">
              <w:t>1.8%</w:t>
            </w:r>
            <w:r w:rsidR="00B0722A" w:rsidRPr="00FC7838">
              <w:t>-14.</w:t>
            </w:r>
            <w:r w:rsidR="00075B48">
              <w:t>4%</w:t>
            </w:r>
            <w:r w:rsidR="00B0722A" w:rsidRPr="00FC7838">
              <w:t>)</w:t>
            </w:r>
          </w:p>
        </w:tc>
        <w:tc>
          <w:tcPr>
            <w:tcW w:w="1984" w:type="dxa"/>
          </w:tcPr>
          <w:p w14:paraId="2ED91B4B" w14:textId="77777777" w:rsidR="00B0722A" w:rsidRPr="00313754" w:rsidRDefault="00B0722A" w:rsidP="00FA27A6">
            <w:pPr>
              <w:spacing w:line="480" w:lineRule="auto"/>
            </w:pPr>
            <w:r w:rsidRPr="00313754">
              <w:t>1</w:t>
            </w:r>
          </w:p>
        </w:tc>
        <w:tc>
          <w:tcPr>
            <w:tcW w:w="2169" w:type="dxa"/>
          </w:tcPr>
          <w:p w14:paraId="59F8C7AA" w14:textId="77777777" w:rsidR="00B0722A" w:rsidRPr="00313754" w:rsidRDefault="00B0722A" w:rsidP="00FA27A6">
            <w:pPr>
              <w:spacing w:line="480" w:lineRule="auto"/>
            </w:pPr>
            <w:r w:rsidRPr="00313754">
              <w:t>1</w:t>
            </w:r>
          </w:p>
        </w:tc>
      </w:tr>
      <w:tr w:rsidR="00B0722A" w14:paraId="6B285556" w14:textId="77777777" w:rsidTr="00C13C2A">
        <w:tc>
          <w:tcPr>
            <w:tcW w:w="3256" w:type="dxa"/>
          </w:tcPr>
          <w:p w14:paraId="70DD8289" w14:textId="7102BC1D" w:rsidR="00B0722A" w:rsidRPr="00313754" w:rsidRDefault="00B0722A" w:rsidP="00FA27A6">
            <w:pPr>
              <w:spacing w:line="480" w:lineRule="auto"/>
              <w:jc w:val="right"/>
            </w:pPr>
            <w:r w:rsidRPr="00313754">
              <w:t xml:space="preserve">Disability </w:t>
            </w:r>
            <w:r w:rsidR="00754682">
              <w:t>(</w:t>
            </w:r>
            <w:r w:rsidR="000B138A">
              <w:t>LS</w:t>
            </w:r>
            <w:r w:rsidR="00754682">
              <w:t xml:space="preserve">) </w:t>
            </w:r>
          </w:p>
        </w:tc>
        <w:tc>
          <w:tcPr>
            <w:tcW w:w="2126" w:type="dxa"/>
          </w:tcPr>
          <w:p w14:paraId="7CE5B7B4" w14:textId="23AA3565" w:rsidR="00B0722A" w:rsidRPr="00FC7838" w:rsidRDefault="00F70326" w:rsidP="00FA27A6">
            <w:pPr>
              <w:spacing w:line="480" w:lineRule="auto"/>
            </w:pPr>
            <w:r>
              <w:t>2</w:t>
            </w:r>
            <w:r w:rsidR="00075B48">
              <w:t>2.6</w:t>
            </w:r>
            <w:r>
              <w:t>% (</w:t>
            </w:r>
            <w:r w:rsidR="00075B48">
              <w:t>17.0%</w:t>
            </w:r>
            <w:r>
              <w:t>-</w:t>
            </w:r>
            <w:r w:rsidR="00075B48">
              <w:t>29.4%</w:t>
            </w:r>
            <w:r w:rsidR="00B0722A" w:rsidRPr="00FC7838">
              <w:t>)</w:t>
            </w:r>
          </w:p>
        </w:tc>
        <w:tc>
          <w:tcPr>
            <w:tcW w:w="1984" w:type="dxa"/>
          </w:tcPr>
          <w:p w14:paraId="13C57100" w14:textId="4CC0A157" w:rsidR="00B0722A" w:rsidRPr="00313754" w:rsidRDefault="00DA7D07" w:rsidP="00FA27A6">
            <w:pPr>
              <w:spacing w:line="480" w:lineRule="auto"/>
            </w:pPr>
            <w:r>
              <w:t>1.73</w:t>
            </w:r>
            <w:r w:rsidR="00C23255">
              <w:t xml:space="preserve"> (1.</w:t>
            </w:r>
            <w:r>
              <w:t>3</w:t>
            </w:r>
            <w:r w:rsidR="00C23255">
              <w:t>1-2.</w:t>
            </w:r>
            <w:r>
              <w:t>2</w:t>
            </w:r>
            <w:r w:rsidR="00C23255">
              <w:t>9</w:t>
            </w:r>
            <w:r w:rsidR="00B0722A" w:rsidRPr="00313754">
              <w:t>)</w:t>
            </w:r>
            <w:r w:rsidR="00C23255">
              <w:t>***</w:t>
            </w:r>
          </w:p>
        </w:tc>
        <w:tc>
          <w:tcPr>
            <w:tcW w:w="2169" w:type="dxa"/>
          </w:tcPr>
          <w:p w14:paraId="188CC32D" w14:textId="6A46AAE3" w:rsidR="00B0722A" w:rsidRPr="00313754" w:rsidRDefault="00C23255" w:rsidP="00FA27A6">
            <w:pPr>
              <w:spacing w:line="480" w:lineRule="auto"/>
            </w:pPr>
            <w:r>
              <w:t>1.</w:t>
            </w:r>
            <w:r w:rsidR="00DA7D07">
              <w:t xml:space="preserve">68 </w:t>
            </w:r>
            <w:r>
              <w:t>(1.</w:t>
            </w:r>
            <w:r w:rsidR="00DA7D07">
              <w:t>2</w:t>
            </w:r>
            <w:r>
              <w:t>7-2.</w:t>
            </w:r>
            <w:r w:rsidR="00DA7D07">
              <w:t>23</w:t>
            </w:r>
            <w:r w:rsidR="00B0722A" w:rsidRPr="00313754">
              <w:t>)</w:t>
            </w:r>
            <w:r>
              <w:t>***</w:t>
            </w:r>
          </w:p>
        </w:tc>
      </w:tr>
      <w:tr w:rsidR="00B0722A" w14:paraId="778E49FF" w14:textId="77777777" w:rsidTr="00C13C2A">
        <w:tc>
          <w:tcPr>
            <w:tcW w:w="3256" w:type="dxa"/>
          </w:tcPr>
          <w:p w14:paraId="055EA2BB" w14:textId="798C054D" w:rsidR="00B0722A" w:rsidRPr="00313754" w:rsidRDefault="00B0722A" w:rsidP="00FA27A6">
            <w:pPr>
              <w:spacing w:line="480" w:lineRule="auto"/>
              <w:jc w:val="right"/>
            </w:pPr>
            <w:r w:rsidRPr="00313754">
              <w:t xml:space="preserve">Disability </w:t>
            </w:r>
            <w:r w:rsidR="00754682">
              <w:t>(</w:t>
            </w:r>
            <w:r w:rsidR="000B138A">
              <w:t>MS</w:t>
            </w:r>
            <w:r w:rsidR="00754682">
              <w:t xml:space="preserve">) </w:t>
            </w:r>
          </w:p>
        </w:tc>
        <w:tc>
          <w:tcPr>
            <w:tcW w:w="2126" w:type="dxa"/>
          </w:tcPr>
          <w:p w14:paraId="1A95955C" w14:textId="0F4A345F" w:rsidR="00B0722A" w:rsidRPr="00FC7838" w:rsidRDefault="00F96BB9" w:rsidP="00FA27A6">
            <w:pPr>
              <w:spacing w:line="480" w:lineRule="auto"/>
            </w:pPr>
            <w:r>
              <w:t>3</w:t>
            </w:r>
            <w:r w:rsidR="0017175A">
              <w:t>0.6</w:t>
            </w:r>
            <w:r>
              <w:t>% (</w:t>
            </w:r>
            <w:r w:rsidR="0017175A">
              <w:t>19.4%</w:t>
            </w:r>
            <w:r>
              <w:t>-</w:t>
            </w:r>
            <w:r w:rsidR="0017175A">
              <w:t>44.8%</w:t>
            </w:r>
            <w:r w:rsidR="00B0722A">
              <w:t>)</w:t>
            </w:r>
          </w:p>
        </w:tc>
        <w:tc>
          <w:tcPr>
            <w:tcW w:w="1984" w:type="dxa"/>
          </w:tcPr>
          <w:p w14:paraId="778FB173" w14:textId="24CC8FA6" w:rsidR="00B0722A" w:rsidRPr="00313754" w:rsidRDefault="00C23255" w:rsidP="00FA27A6">
            <w:pPr>
              <w:spacing w:line="480" w:lineRule="auto"/>
            </w:pPr>
            <w:r>
              <w:t>2.</w:t>
            </w:r>
            <w:r w:rsidR="00DA7D07">
              <w:t xml:space="preserve">35 </w:t>
            </w:r>
            <w:r>
              <w:t>(</w:t>
            </w:r>
            <w:r w:rsidR="00DA7D07">
              <w:t>1.53</w:t>
            </w:r>
            <w:r>
              <w:t>-</w:t>
            </w:r>
            <w:r w:rsidR="00DA7D07">
              <w:t>3.62</w:t>
            </w:r>
            <w:r w:rsidR="00B0722A" w:rsidRPr="00313754">
              <w:t>)</w:t>
            </w:r>
            <w:r>
              <w:t>***</w:t>
            </w:r>
          </w:p>
        </w:tc>
        <w:tc>
          <w:tcPr>
            <w:tcW w:w="2169" w:type="dxa"/>
          </w:tcPr>
          <w:p w14:paraId="5E979079" w14:textId="41C1D37E" w:rsidR="00B0722A" w:rsidRPr="00313754" w:rsidRDefault="00C23255" w:rsidP="00FA27A6">
            <w:pPr>
              <w:spacing w:line="480" w:lineRule="auto"/>
            </w:pPr>
            <w:r>
              <w:t>2.</w:t>
            </w:r>
            <w:r w:rsidR="00DA7D07">
              <w:t xml:space="preserve">27 </w:t>
            </w:r>
            <w:r>
              <w:t>(1.</w:t>
            </w:r>
            <w:r w:rsidR="00DA7D07">
              <w:t>5</w:t>
            </w:r>
            <w:r>
              <w:t>1-3.</w:t>
            </w:r>
            <w:r w:rsidR="00DA7D07">
              <w:t>4</w:t>
            </w:r>
            <w:r>
              <w:t>3</w:t>
            </w:r>
            <w:r w:rsidR="00B0722A" w:rsidRPr="00313754">
              <w:t>)</w:t>
            </w:r>
            <w:r>
              <w:t>***</w:t>
            </w:r>
          </w:p>
        </w:tc>
      </w:tr>
      <w:tr w:rsidR="00B0722A" w14:paraId="19720B42" w14:textId="77777777" w:rsidTr="00C13C2A">
        <w:tc>
          <w:tcPr>
            <w:tcW w:w="3256" w:type="dxa"/>
          </w:tcPr>
          <w:p w14:paraId="28B9A5E3" w14:textId="5D3BD147" w:rsidR="00B0722A" w:rsidRPr="00313754" w:rsidRDefault="00B0722A" w:rsidP="00FA27A6">
            <w:pPr>
              <w:spacing w:line="480" w:lineRule="auto"/>
              <w:jc w:val="right"/>
            </w:pPr>
            <w:r>
              <w:t xml:space="preserve">Disability </w:t>
            </w:r>
            <w:r w:rsidR="00754682">
              <w:t>(</w:t>
            </w:r>
            <w:r w:rsidR="000B138A">
              <w:t>ALL</w:t>
            </w:r>
            <w:r w:rsidR="00062997">
              <w:t>)</w:t>
            </w:r>
          </w:p>
        </w:tc>
        <w:tc>
          <w:tcPr>
            <w:tcW w:w="2126" w:type="dxa"/>
          </w:tcPr>
          <w:p w14:paraId="751DBED1" w14:textId="62AA2FFB" w:rsidR="00B0722A" w:rsidRDefault="0017175A" w:rsidP="00FA27A6">
            <w:pPr>
              <w:spacing w:line="480" w:lineRule="auto"/>
            </w:pPr>
            <w:r>
              <w:t>24</w:t>
            </w:r>
            <w:r w:rsidR="001A23DC">
              <w:t>.8% (</w:t>
            </w:r>
            <w:r>
              <w:t>19.6%</w:t>
            </w:r>
            <w:r w:rsidR="001A23DC">
              <w:t>-3</w:t>
            </w:r>
            <w:r>
              <w:t>0.7%</w:t>
            </w:r>
            <w:r w:rsidR="00B0722A">
              <w:t>)</w:t>
            </w:r>
          </w:p>
        </w:tc>
        <w:tc>
          <w:tcPr>
            <w:tcW w:w="1984" w:type="dxa"/>
          </w:tcPr>
          <w:p w14:paraId="112E5176" w14:textId="22134CC3" w:rsidR="00B0722A" w:rsidRPr="00313754" w:rsidRDefault="002A5CF4" w:rsidP="00FA27A6">
            <w:pPr>
              <w:spacing w:line="480" w:lineRule="auto"/>
            </w:pPr>
            <w:r>
              <w:t>1.90</w:t>
            </w:r>
            <w:r w:rsidR="00E25CE5">
              <w:t xml:space="preserve"> (1.</w:t>
            </w:r>
            <w:r>
              <w:t>46</w:t>
            </w:r>
            <w:r w:rsidR="00E25CE5">
              <w:t>-2.</w:t>
            </w:r>
            <w:r>
              <w:t>32</w:t>
            </w:r>
            <w:r w:rsidR="00B0722A">
              <w:t>)</w:t>
            </w:r>
            <w:r w:rsidR="00E25CE5">
              <w:t>***</w:t>
            </w:r>
          </w:p>
        </w:tc>
        <w:tc>
          <w:tcPr>
            <w:tcW w:w="2169" w:type="dxa"/>
          </w:tcPr>
          <w:p w14:paraId="38F7E752" w14:textId="59EB044C" w:rsidR="00B0722A" w:rsidRPr="00313754" w:rsidRDefault="002A5CF4" w:rsidP="00FA27A6">
            <w:pPr>
              <w:spacing w:line="480" w:lineRule="auto"/>
            </w:pPr>
            <w:r>
              <w:t>1.84</w:t>
            </w:r>
            <w:r w:rsidR="00E25CE5">
              <w:t xml:space="preserve"> (1.</w:t>
            </w:r>
            <w:r>
              <w:t>46</w:t>
            </w:r>
            <w:r w:rsidR="00E25CE5">
              <w:t>-2.</w:t>
            </w:r>
            <w:r>
              <w:t>32</w:t>
            </w:r>
            <w:r w:rsidR="00B0722A">
              <w:t>)</w:t>
            </w:r>
            <w:r w:rsidR="00E25CE5">
              <w:t>***</w:t>
            </w:r>
          </w:p>
        </w:tc>
      </w:tr>
      <w:tr w:rsidR="00B0722A" w14:paraId="4725F96A" w14:textId="77777777" w:rsidTr="00C13C2A">
        <w:tc>
          <w:tcPr>
            <w:tcW w:w="3256" w:type="dxa"/>
          </w:tcPr>
          <w:p w14:paraId="4726ADFB" w14:textId="77777777" w:rsidR="00B0722A" w:rsidRPr="00313754" w:rsidRDefault="00B0722A" w:rsidP="00FA27A6">
            <w:pPr>
              <w:spacing w:line="480" w:lineRule="auto"/>
              <w:rPr>
                <w:i/>
              </w:rPr>
            </w:pPr>
            <w:r w:rsidRPr="00313754">
              <w:rPr>
                <w:i/>
              </w:rPr>
              <w:t>Self-harm</w:t>
            </w:r>
          </w:p>
        </w:tc>
        <w:tc>
          <w:tcPr>
            <w:tcW w:w="2126" w:type="dxa"/>
          </w:tcPr>
          <w:p w14:paraId="31ED4935" w14:textId="77777777" w:rsidR="00B0722A" w:rsidRPr="00FC7838" w:rsidRDefault="00B0722A" w:rsidP="00FA27A6">
            <w:pPr>
              <w:spacing w:line="480" w:lineRule="auto"/>
            </w:pPr>
          </w:p>
        </w:tc>
        <w:tc>
          <w:tcPr>
            <w:tcW w:w="1984" w:type="dxa"/>
          </w:tcPr>
          <w:p w14:paraId="771E339E" w14:textId="77777777" w:rsidR="00B0722A" w:rsidRPr="00313754" w:rsidRDefault="00B0722A" w:rsidP="00FA27A6">
            <w:pPr>
              <w:spacing w:line="480" w:lineRule="auto"/>
            </w:pPr>
          </w:p>
        </w:tc>
        <w:tc>
          <w:tcPr>
            <w:tcW w:w="2169" w:type="dxa"/>
          </w:tcPr>
          <w:p w14:paraId="5CAF2B88" w14:textId="77777777" w:rsidR="00B0722A" w:rsidRPr="00313754" w:rsidRDefault="00B0722A" w:rsidP="00FA27A6">
            <w:pPr>
              <w:spacing w:line="480" w:lineRule="auto"/>
            </w:pPr>
          </w:p>
        </w:tc>
      </w:tr>
      <w:tr w:rsidR="00B0722A" w14:paraId="03ABFE7D" w14:textId="77777777" w:rsidTr="00C13C2A">
        <w:tc>
          <w:tcPr>
            <w:tcW w:w="3256" w:type="dxa"/>
          </w:tcPr>
          <w:p w14:paraId="16DE3EC3" w14:textId="1264530C" w:rsidR="00B0722A" w:rsidRPr="00313754" w:rsidRDefault="00B0722A" w:rsidP="00FA27A6">
            <w:pPr>
              <w:spacing w:line="480" w:lineRule="auto"/>
              <w:jc w:val="right"/>
            </w:pPr>
            <w:r w:rsidRPr="00313754">
              <w:t>No disability</w:t>
            </w:r>
          </w:p>
        </w:tc>
        <w:tc>
          <w:tcPr>
            <w:tcW w:w="2126" w:type="dxa"/>
          </w:tcPr>
          <w:p w14:paraId="671A7DDA" w14:textId="2238802F" w:rsidR="00B0722A" w:rsidRPr="00FC7838" w:rsidRDefault="00B0722A" w:rsidP="00FA27A6">
            <w:pPr>
              <w:spacing w:line="480" w:lineRule="auto"/>
            </w:pPr>
            <w:r w:rsidRPr="00FC7838">
              <w:t>21.</w:t>
            </w:r>
            <w:r w:rsidR="0017175A">
              <w:t>2</w:t>
            </w:r>
            <w:r w:rsidRPr="00FC7838">
              <w:t>% (19.</w:t>
            </w:r>
            <w:r w:rsidR="0017175A">
              <w:t>4%</w:t>
            </w:r>
            <w:r w:rsidRPr="00FC7838">
              <w:t>-23.</w:t>
            </w:r>
            <w:r w:rsidR="0017175A">
              <w:t>1%</w:t>
            </w:r>
            <w:r w:rsidRPr="00FC7838">
              <w:t>)</w:t>
            </w:r>
          </w:p>
        </w:tc>
        <w:tc>
          <w:tcPr>
            <w:tcW w:w="1984" w:type="dxa"/>
          </w:tcPr>
          <w:p w14:paraId="7E5B0B2E" w14:textId="77777777" w:rsidR="00B0722A" w:rsidRPr="00313754" w:rsidRDefault="00B0722A" w:rsidP="00FA27A6">
            <w:pPr>
              <w:spacing w:line="480" w:lineRule="auto"/>
            </w:pPr>
            <w:r w:rsidRPr="00313754">
              <w:t>1</w:t>
            </w:r>
          </w:p>
        </w:tc>
        <w:tc>
          <w:tcPr>
            <w:tcW w:w="2169" w:type="dxa"/>
          </w:tcPr>
          <w:p w14:paraId="05C8CEA3" w14:textId="77777777" w:rsidR="00B0722A" w:rsidRPr="00313754" w:rsidRDefault="00B0722A" w:rsidP="00FA27A6">
            <w:pPr>
              <w:spacing w:line="480" w:lineRule="auto"/>
            </w:pPr>
            <w:r w:rsidRPr="00313754">
              <w:t>1</w:t>
            </w:r>
          </w:p>
        </w:tc>
      </w:tr>
      <w:tr w:rsidR="00B0722A" w14:paraId="01DBCAE7" w14:textId="77777777" w:rsidTr="00C13C2A">
        <w:tc>
          <w:tcPr>
            <w:tcW w:w="3256" w:type="dxa"/>
          </w:tcPr>
          <w:p w14:paraId="784EA885" w14:textId="48DE270E" w:rsidR="00B0722A" w:rsidRPr="00313754" w:rsidRDefault="00B0722A" w:rsidP="00FA27A6">
            <w:pPr>
              <w:spacing w:line="480" w:lineRule="auto"/>
              <w:jc w:val="right"/>
            </w:pPr>
            <w:r w:rsidRPr="00313754">
              <w:t xml:space="preserve">Disability </w:t>
            </w:r>
            <w:r w:rsidR="00754682">
              <w:t>(</w:t>
            </w:r>
            <w:r w:rsidR="000B138A">
              <w:t>LS</w:t>
            </w:r>
            <w:r w:rsidR="00754682">
              <w:t xml:space="preserve">) </w:t>
            </w:r>
            <w:r w:rsidR="00062997">
              <w:t xml:space="preserve"> </w:t>
            </w:r>
          </w:p>
        </w:tc>
        <w:tc>
          <w:tcPr>
            <w:tcW w:w="2126" w:type="dxa"/>
          </w:tcPr>
          <w:p w14:paraId="7CA3EF79" w14:textId="11E30AA1" w:rsidR="00B0722A" w:rsidRPr="00FC7838" w:rsidRDefault="00F96BB9" w:rsidP="00FA27A6">
            <w:pPr>
              <w:spacing w:line="480" w:lineRule="auto"/>
            </w:pPr>
            <w:r>
              <w:t>3</w:t>
            </w:r>
            <w:r w:rsidR="0017175A">
              <w:t>0.7</w:t>
            </w:r>
            <w:r>
              <w:t>% (2</w:t>
            </w:r>
            <w:r w:rsidR="0017175A">
              <w:t>4.5%</w:t>
            </w:r>
            <w:r>
              <w:t>-</w:t>
            </w:r>
            <w:r w:rsidR="0017175A">
              <w:t>37.8%</w:t>
            </w:r>
            <w:r w:rsidR="00B0722A" w:rsidRPr="00FC7838">
              <w:t>)</w:t>
            </w:r>
          </w:p>
        </w:tc>
        <w:tc>
          <w:tcPr>
            <w:tcW w:w="1984" w:type="dxa"/>
          </w:tcPr>
          <w:p w14:paraId="3826EA38" w14:textId="1DC8E3D2" w:rsidR="00B0722A" w:rsidRPr="00313754" w:rsidRDefault="00C23255" w:rsidP="00FA27A6">
            <w:pPr>
              <w:spacing w:line="480" w:lineRule="auto"/>
            </w:pPr>
            <w:r>
              <w:t>1.</w:t>
            </w:r>
            <w:r w:rsidR="00DA7D07">
              <w:t xml:space="preserve">45 </w:t>
            </w:r>
            <w:r>
              <w:t>(1.</w:t>
            </w:r>
            <w:r w:rsidR="00DA7D07">
              <w:t>08</w:t>
            </w:r>
            <w:r>
              <w:t>-1.</w:t>
            </w:r>
            <w:r w:rsidR="00DA7D07">
              <w:t>7</w:t>
            </w:r>
            <w:r>
              <w:t>5</w:t>
            </w:r>
            <w:r w:rsidR="00B0722A" w:rsidRPr="00313754">
              <w:t>)</w:t>
            </w:r>
            <w:r>
              <w:t>**</w:t>
            </w:r>
          </w:p>
        </w:tc>
        <w:tc>
          <w:tcPr>
            <w:tcW w:w="2169" w:type="dxa"/>
          </w:tcPr>
          <w:p w14:paraId="47F44A86" w14:textId="3C1F30BC" w:rsidR="00B0722A" w:rsidRPr="00313754" w:rsidRDefault="00C23255" w:rsidP="00FA27A6">
            <w:pPr>
              <w:spacing w:line="480" w:lineRule="auto"/>
            </w:pPr>
            <w:r>
              <w:t>1.</w:t>
            </w:r>
            <w:r w:rsidR="002C6D54">
              <w:t xml:space="preserve">38 </w:t>
            </w:r>
            <w:r>
              <w:t>(1.</w:t>
            </w:r>
            <w:r w:rsidR="002C6D54">
              <w:t>08</w:t>
            </w:r>
            <w:r>
              <w:t>-1.</w:t>
            </w:r>
            <w:r w:rsidR="002C6D54">
              <w:t>75</w:t>
            </w:r>
            <w:r w:rsidR="00B0722A" w:rsidRPr="00313754">
              <w:t>)</w:t>
            </w:r>
            <w:r>
              <w:t>**</w:t>
            </w:r>
          </w:p>
        </w:tc>
      </w:tr>
      <w:tr w:rsidR="00B0722A" w14:paraId="0ADF0E96" w14:textId="77777777" w:rsidTr="00C13C2A">
        <w:tc>
          <w:tcPr>
            <w:tcW w:w="3256" w:type="dxa"/>
          </w:tcPr>
          <w:p w14:paraId="6803B9B0" w14:textId="28617816" w:rsidR="00B0722A" w:rsidRPr="00313754" w:rsidRDefault="00B0722A" w:rsidP="00FA27A6">
            <w:pPr>
              <w:spacing w:line="480" w:lineRule="auto"/>
              <w:jc w:val="right"/>
            </w:pPr>
            <w:r w:rsidRPr="00313754">
              <w:t xml:space="preserve">Disability </w:t>
            </w:r>
            <w:r w:rsidR="00754682">
              <w:t>(</w:t>
            </w:r>
            <w:r w:rsidR="000B138A">
              <w:t xml:space="preserve">MS) </w:t>
            </w:r>
          </w:p>
        </w:tc>
        <w:tc>
          <w:tcPr>
            <w:tcW w:w="2126" w:type="dxa"/>
          </w:tcPr>
          <w:p w14:paraId="71F77080" w14:textId="7C2E2E69" w:rsidR="00B0722A" w:rsidRPr="00FC7838" w:rsidRDefault="00F96BB9" w:rsidP="00FA27A6">
            <w:pPr>
              <w:spacing w:line="480" w:lineRule="auto"/>
            </w:pPr>
            <w:r>
              <w:t>3</w:t>
            </w:r>
            <w:r w:rsidR="0017175A">
              <w:t>3.5%</w:t>
            </w:r>
            <w:r>
              <w:t xml:space="preserve"> (2</w:t>
            </w:r>
            <w:r w:rsidR="0017175A">
              <w:t>2.9%</w:t>
            </w:r>
            <w:r>
              <w:t>-</w:t>
            </w:r>
            <w:r w:rsidR="0017175A">
              <w:t>46</w:t>
            </w:r>
            <w:r>
              <w:t>.0</w:t>
            </w:r>
            <w:r w:rsidR="0017175A">
              <w:t>%</w:t>
            </w:r>
            <w:r w:rsidR="00B0722A">
              <w:t>)</w:t>
            </w:r>
          </w:p>
        </w:tc>
        <w:tc>
          <w:tcPr>
            <w:tcW w:w="1984" w:type="dxa"/>
          </w:tcPr>
          <w:p w14:paraId="3CA3CDFE" w14:textId="6C15E2B3" w:rsidR="00B0722A" w:rsidRPr="00313754" w:rsidRDefault="00C23255" w:rsidP="00FA27A6">
            <w:pPr>
              <w:spacing w:line="480" w:lineRule="auto"/>
            </w:pPr>
            <w:r>
              <w:t>1.</w:t>
            </w:r>
            <w:r w:rsidR="00DA7D07">
              <w:t xml:space="preserve">47 </w:t>
            </w:r>
            <w:r>
              <w:t>(1.</w:t>
            </w:r>
            <w:r w:rsidR="00DA7D07">
              <w:t>04</w:t>
            </w:r>
            <w:r>
              <w:t>-2.</w:t>
            </w:r>
            <w:r w:rsidR="00DA7D07">
              <w:t>06</w:t>
            </w:r>
            <w:r w:rsidR="00B0722A" w:rsidRPr="00313754">
              <w:t>)</w:t>
            </w:r>
            <w:r>
              <w:t>*</w:t>
            </w:r>
          </w:p>
        </w:tc>
        <w:tc>
          <w:tcPr>
            <w:tcW w:w="2169" w:type="dxa"/>
          </w:tcPr>
          <w:p w14:paraId="73226DE6" w14:textId="3FCA99F1" w:rsidR="00B0722A" w:rsidRPr="00313754" w:rsidRDefault="00C23255" w:rsidP="00FA27A6">
            <w:pPr>
              <w:spacing w:line="480" w:lineRule="auto"/>
            </w:pPr>
            <w:r>
              <w:t>1.4</w:t>
            </w:r>
            <w:r w:rsidR="002C6D54">
              <w:t>7</w:t>
            </w:r>
            <w:r>
              <w:t xml:space="preserve"> (</w:t>
            </w:r>
            <w:r w:rsidR="002C6D54">
              <w:t>1.04</w:t>
            </w:r>
            <w:r>
              <w:t>-2.0</w:t>
            </w:r>
            <w:r w:rsidR="002C6D54">
              <w:t>6</w:t>
            </w:r>
            <w:r w:rsidR="00B0722A" w:rsidRPr="00313754">
              <w:t>)</w:t>
            </w:r>
            <w:r w:rsidR="002C6D54">
              <w:t>*</w:t>
            </w:r>
          </w:p>
        </w:tc>
      </w:tr>
      <w:tr w:rsidR="00B0722A" w14:paraId="3DB50B0F" w14:textId="77777777" w:rsidTr="00C13C2A">
        <w:tc>
          <w:tcPr>
            <w:tcW w:w="3256" w:type="dxa"/>
          </w:tcPr>
          <w:p w14:paraId="2A3F580D" w14:textId="360EB655" w:rsidR="00B0722A" w:rsidRPr="00313754" w:rsidRDefault="00B0722A" w:rsidP="00FA27A6">
            <w:pPr>
              <w:spacing w:line="480" w:lineRule="auto"/>
              <w:jc w:val="right"/>
            </w:pPr>
            <w:r>
              <w:t xml:space="preserve">Disability </w:t>
            </w:r>
            <w:r w:rsidR="00754682">
              <w:t>(</w:t>
            </w:r>
            <w:r w:rsidR="000B138A">
              <w:t xml:space="preserve">ALL) </w:t>
            </w:r>
          </w:p>
        </w:tc>
        <w:tc>
          <w:tcPr>
            <w:tcW w:w="2126" w:type="dxa"/>
          </w:tcPr>
          <w:p w14:paraId="5B21B01B" w14:textId="39E95687" w:rsidR="00B0722A" w:rsidRDefault="001A23DC" w:rsidP="00FA27A6">
            <w:pPr>
              <w:spacing w:line="480" w:lineRule="auto"/>
            </w:pPr>
            <w:r>
              <w:t>3</w:t>
            </w:r>
            <w:r w:rsidR="0017175A">
              <w:t>1.5</w:t>
            </w:r>
            <w:r>
              <w:t>% (2</w:t>
            </w:r>
            <w:r w:rsidR="0017175A">
              <w:t>5.8%</w:t>
            </w:r>
            <w:r>
              <w:t>-</w:t>
            </w:r>
            <w:r w:rsidR="0017175A">
              <w:t>37.8%</w:t>
            </w:r>
            <w:r w:rsidR="00B0722A">
              <w:t>)</w:t>
            </w:r>
          </w:p>
        </w:tc>
        <w:tc>
          <w:tcPr>
            <w:tcW w:w="1984" w:type="dxa"/>
          </w:tcPr>
          <w:p w14:paraId="366DDD4B" w14:textId="47A93C41" w:rsidR="00B0722A" w:rsidRPr="00313754" w:rsidRDefault="00E25CE5" w:rsidP="00FA27A6">
            <w:pPr>
              <w:spacing w:line="480" w:lineRule="auto"/>
            </w:pPr>
            <w:r>
              <w:t>1.</w:t>
            </w:r>
            <w:r w:rsidR="002A5CF4">
              <w:t>49</w:t>
            </w:r>
            <w:r>
              <w:t xml:space="preserve"> (1.</w:t>
            </w:r>
            <w:r w:rsidR="002A5CF4">
              <w:t>20</w:t>
            </w:r>
            <w:r>
              <w:t>-1.</w:t>
            </w:r>
            <w:r w:rsidR="002A5CF4">
              <w:t>85</w:t>
            </w:r>
            <w:r w:rsidR="00B0722A">
              <w:t>)</w:t>
            </w:r>
            <w:r>
              <w:t>***</w:t>
            </w:r>
          </w:p>
        </w:tc>
        <w:tc>
          <w:tcPr>
            <w:tcW w:w="2169" w:type="dxa"/>
          </w:tcPr>
          <w:p w14:paraId="2FCF45C9" w14:textId="408B8623" w:rsidR="00B0722A" w:rsidRPr="00313754" w:rsidRDefault="00E25CE5" w:rsidP="00FA27A6">
            <w:pPr>
              <w:spacing w:line="480" w:lineRule="auto"/>
            </w:pPr>
            <w:r>
              <w:t>1.4</w:t>
            </w:r>
            <w:r w:rsidR="002A5CF4">
              <w:t>0</w:t>
            </w:r>
            <w:r>
              <w:t xml:space="preserve"> (1.1</w:t>
            </w:r>
            <w:r w:rsidR="002A5CF4">
              <w:t>3</w:t>
            </w:r>
            <w:r>
              <w:t>-1.7</w:t>
            </w:r>
            <w:r w:rsidR="002A5CF4">
              <w:t>4</w:t>
            </w:r>
            <w:r w:rsidR="00B0722A">
              <w:t>)</w:t>
            </w:r>
            <w:r>
              <w:t>**</w:t>
            </w:r>
          </w:p>
        </w:tc>
      </w:tr>
      <w:tr w:rsidR="00B0722A" w14:paraId="1F835025" w14:textId="77777777" w:rsidTr="00EC7426">
        <w:tc>
          <w:tcPr>
            <w:tcW w:w="9535" w:type="dxa"/>
            <w:gridSpan w:val="4"/>
          </w:tcPr>
          <w:p w14:paraId="4A9189A4" w14:textId="77777777" w:rsidR="00062997" w:rsidRDefault="00B0722A" w:rsidP="00FA27A6">
            <w:pPr>
              <w:spacing w:line="480" w:lineRule="auto"/>
            </w:pPr>
            <w:r w:rsidRPr="00313754">
              <w:t xml:space="preserve">Note: </w:t>
            </w:r>
          </w:p>
          <w:p w14:paraId="3C41598D" w14:textId="47BEA16A" w:rsidR="00062997" w:rsidRDefault="00062997" w:rsidP="00FA27A6">
            <w:pPr>
              <w:spacing w:line="480" w:lineRule="auto"/>
            </w:pPr>
            <w:r>
              <w:t xml:space="preserve">n (sample sizes) are weighted </w:t>
            </w:r>
          </w:p>
          <w:p w14:paraId="65760C86" w14:textId="4374054D" w:rsidR="00B0722A" w:rsidRDefault="00B0722A" w:rsidP="00FA27A6">
            <w:pPr>
              <w:spacing w:line="480" w:lineRule="auto"/>
            </w:pPr>
            <w:r w:rsidRPr="00313754">
              <w:t xml:space="preserve">PRR = prevalence rate ratio </w:t>
            </w:r>
          </w:p>
          <w:p w14:paraId="54FC3855" w14:textId="776695C3" w:rsidR="000B138A" w:rsidRDefault="000B138A" w:rsidP="00FA27A6">
            <w:pPr>
              <w:spacing w:line="480" w:lineRule="auto"/>
            </w:pPr>
            <w:r>
              <w:t xml:space="preserve">LS = </w:t>
            </w:r>
            <w:r w:rsidR="00325BE3">
              <w:t xml:space="preserve">mild </w:t>
            </w:r>
            <w:r>
              <w:t>activity limitations</w:t>
            </w:r>
          </w:p>
          <w:p w14:paraId="02BC5EB3" w14:textId="53E3B0C3" w:rsidR="000B138A" w:rsidRDefault="000B138A" w:rsidP="00FA27A6">
            <w:pPr>
              <w:spacing w:line="480" w:lineRule="auto"/>
            </w:pPr>
            <w:r>
              <w:t>MS = mo</w:t>
            </w:r>
            <w:r w:rsidR="00325BE3">
              <w:t>derate/</w:t>
            </w:r>
            <w:r>
              <w:t>severe activity limitations</w:t>
            </w:r>
          </w:p>
          <w:p w14:paraId="5ECE7F99" w14:textId="68AF3D9E" w:rsidR="000B138A" w:rsidRPr="00313754" w:rsidRDefault="000B138A" w:rsidP="00FA27A6">
            <w:pPr>
              <w:spacing w:line="480" w:lineRule="auto"/>
            </w:pPr>
            <w:r>
              <w:lastRenderedPageBreak/>
              <w:t xml:space="preserve">ALL = </w:t>
            </w:r>
            <w:r w:rsidR="00325BE3">
              <w:t xml:space="preserve">mild or </w:t>
            </w:r>
            <w:r w:rsidR="00325BE3">
              <w:t>moderate/severe activity limitations</w:t>
            </w:r>
            <w:r w:rsidR="00325BE3">
              <w:t xml:space="preserve"> </w:t>
            </w:r>
          </w:p>
          <w:p w14:paraId="7B3EA1F7" w14:textId="718952AD" w:rsidR="00B0722A" w:rsidRDefault="00B0722A" w:rsidP="00FA27A6">
            <w:pPr>
              <w:spacing w:line="480" w:lineRule="auto"/>
            </w:pPr>
            <w:proofErr w:type="spellStart"/>
            <w:proofErr w:type="gramStart"/>
            <w:r w:rsidRPr="00313754">
              <w:rPr>
                <w:vertAlign w:val="superscript"/>
              </w:rPr>
              <w:t>a</w:t>
            </w:r>
            <w:proofErr w:type="spellEnd"/>
            <w:proofErr w:type="gramEnd"/>
            <w:r w:rsidRPr="00313754">
              <w:rPr>
                <w:vertAlign w:val="superscript"/>
              </w:rPr>
              <w:t xml:space="preserve"> </w:t>
            </w:r>
            <w:r w:rsidRPr="00313754">
              <w:t>adjusted for child gender, child ethnicity, family income poverty, family composition (one or two resident parents), family material hardship.</w:t>
            </w:r>
          </w:p>
          <w:p w14:paraId="7CCB54DB" w14:textId="2CD8782B" w:rsidR="006765CA" w:rsidRPr="00313754" w:rsidRDefault="006765CA" w:rsidP="00FA27A6">
            <w:pPr>
              <w:spacing w:line="480" w:lineRule="auto"/>
            </w:pPr>
            <w:r>
              <w:t>* p&lt;0.05, ** p&lt;0.01, *** p&lt;0.001</w:t>
            </w:r>
          </w:p>
        </w:tc>
      </w:tr>
    </w:tbl>
    <w:p w14:paraId="3A260850" w14:textId="77777777" w:rsidR="00754682" w:rsidRDefault="00754682" w:rsidP="00FA27A6">
      <w:pPr>
        <w:spacing w:line="480" w:lineRule="auto"/>
      </w:pPr>
      <w:r>
        <w:lastRenderedPageBreak/>
        <w:br w:type="page"/>
      </w:r>
    </w:p>
    <w:tbl>
      <w:tblPr>
        <w:tblStyle w:val="TableGrid"/>
        <w:tblW w:w="9535" w:type="dxa"/>
        <w:tblLook w:val="04A0" w:firstRow="1" w:lastRow="0" w:firstColumn="1" w:lastColumn="0" w:noHBand="0" w:noVBand="1"/>
      </w:tblPr>
      <w:tblGrid>
        <w:gridCol w:w="3397"/>
        <w:gridCol w:w="1843"/>
        <w:gridCol w:w="2045"/>
        <w:gridCol w:w="2250"/>
      </w:tblGrid>
      <w:tr w:rsidR="00EC7426" w14:paraId="071FD42F" w14:textId="77777777" w:rsidTr="00EC7426">
        <w:tc>
          <w:tcPr>
            <w:tcW w:w="9535" w:type="dxa"/>
            <w:gridSpan w:val="4"/>
          </w:tcPr>
          <w:p w14:paraId="0BA65537" w14:textId="3C359CD3" w:rsidR="00EC7426" w:rsidRPr="002D33D0" w:rsidRDefault="00512AF1" w:rsidP="00FA27A6">
            <w:pPr>
              <w:spacing w:line="480" w:lineRule="auto"/>
            </w:pPr>
            <w:r w:rsidRPr="002D33D0">
              <w:lastRenderedPageBreak/>
              <w:t xml:space="preserve">Table </w:t>
            </w:r>
            <w:r w:rsidR="00141388">
              <w:t>4</w:t>
            </w:r>
            <w:r w:rsidR="00EC7426" w:rsidRPr="002D33D0">
              <w:t>: Association between f</w:t>
            </w:r>
            <w:r w:rsidR="00850192">
              <w:t xml:space="preserve">unctional </w:t>
            </w:r>
            <w:r w:rsidR="0038624C">
              <w:t xml:space="preserve">activity </w:t>
            </w:r>
            <w:r w:rsidR="00850192">
              <w:t>limitation groupings</w:t>
            </w:r>
            <w:r w:rsidR="00EC7426" w:rsidRPr="002D33D0">
              <w:t xml:space="preserve"> and </w:t>
            </w:r>
            <w:r w:rsidR="00917CC6">
              <w:t>adolescent</w:t>
            </w:r>
            <w:r w:rsidR="00EC7426" w:rsidRPr="002D33D0">
              <w:t xml:space="preserve"> emotional </w:t>
            </w:r>
            <w:r w:rsidR="000B138A">
              <w:t>difficulties and self-harm</w:t>
            </w:r>
          </w:p>
        </w:tc>
      </w:tr>
      <w:tr w:rsidR="00EC7426" w14:paraId="1615BA2C" w14:textId="77777777" w:rsidTr="00C9539E">
        <w:tc>
          <w:tcPr>
            <w:tcW w:w="3397" w:type="dxa"/>
          </w:tcPr>
          <w:p w14:paraId="6B1BC133" w14:textId="77777777" w:rsidR="00EC7426" w:rsidRPr="009E3052" w:rsidRDefault="00EC7426" w:rsidP="00FA27A6">
            <w:pPr>
              <w:spacing w:line="480" w:lineRule="auto"/>
              <w:rPr>
                <w:b/>
                <w:highlight w:val="yellow"/>
              </w:rPr>
            </w:pPr>
          </w:p>
        </w:tc>
        <w:tc>
          <w:tcPr>
            <w:tcW w:w="1843" w:type="dxa"/>
          </w:tcPr>
          <w:p w14:paraId="22CFAF39" w14:textId="77777777" w:rsidR="00EC7426" w:rsidRPr="002D33D0" w:rsidRDefault="00EC7426" w:rsidP="00FA27A6">
            <w:pPr>
              <w:spacing w:line="480" w:lineRule="auto"/>
              <w:jc w:val="center"/>
            </w:pPr>
            <w:r w:rsidRPr="002D33D0">
              <w:t>%</w:t>
            </w:r>
          </w:p>
        </w:tc>
        <w:tc>
          <w:tcPr>
            <w:tcW w:w="2045" w:type="dxa"/>
          </w:tcPr>
          <w:p w14:paraId="1481F48D" w14:textId="0B2B998D" w:rsidR="00EC7426" w:rsidRPr="002D33D0" w:rsidRDefault="00EC7426" w:rsidP="00FA27A6">
            <w:pPr>
              <w:spacing w:line="480" w:lineRule="auto"/>
              <w:jc w:val="center"/>
            </w:pPr>
            <w:r w:rsidRPr="002D33D0">
              <w:t>PRR</w:t>
            </w:r>
            <w:r w:rsidR="00D7525D">
              <w:t xml:space="preserve"> adjusted for gender </w:t>
            </w:r>
          </w:p>
        </w:tc>
        <w:tc>
          <w:tcPr>
            <w:tcW w:w="2250" w:type="dxa"/>
          </w:tcPr>
          <w:p w14:paraId="588F8CB4" w14:textId="372EE4CE" w:rsidR="00EC7426" w:rsidRPr="002D33D0" w:rsidRDefault="00D7525D" w:rsidP="00FA27A6">
            <w:pPr>
              <w:spacing w:line="480" w:lineRule="auto"/>
              <w:jc w:val="center"/>
            </w:pPr>
            <w:r>
              <w:t>Fully a</w:t>
            </w:r>
            <w:r w:rsidR="00EC7426" w:rsidRPr="002D33D0">
              <w:t>djusted PRR</w:t>
            </w:r>
            <w:r w:rsidR="00EC7426" w:rsidRPr="002D33D0">
              <w:rPr>
                <w:vertAlign w:val="superscript"/>
              </w:rPr>
              <w:t xml:space="preserve"> a</w:t>
            </w:r>
          </w:p>
        </w:tc>
      </w:tr>
      <w:tr w:rsidR="00A3668C" w14:paraId="4DF02CD9" w14:textId="77777777" w:rsidTr="00C9539E">
        <w:tc>
          <w:tcPr>
            <w:tcW w:w="3397" w:type="dxa"/>
          </w:tcPr>
          <w:p w14:paraId="3829593A" w14:textId="23C8A503" w:rsidR="00A3668C" w:rsidRDefault="00A3668C" w:rsidP="00FA27A6">
            <w:pPr>
              <w:spacing w:line="480" w:lineRule="auto"/>
              <w:rPr>
                <w:i/>
              </w:rPr>
            </w:pPr>
            <w:r w:rsidRPr="00313754">
              <w:rPr>
                <w:b/>
              </w:rPr>
              <w:t>Maternal-reported outcomes</w:t>
            </w:r>
          </w:p>
        </w:tc>
        <w:tc>
          <w:tcPr>
            <w:tcW w:w="1843" w:type="dxa"/>
          </w:tcPr>
          <w:p w14:paraId="2550D7AB" w14:textId="77777777" w:rsidR="00A3668C" w:rsidRPr="009E3052" w:rsidRDefault="00A3668C" w:rsidP="00FA27A6">
            <w:pPr>
              <w:spacing w:line="480" w:lineRule="auto"/>
              <w:jc w:val="center"/>
              <w:rPr>
                <w:highlight w:val="yellow"/>
              </w:rPr>
            </w:pPr>
          </w:p>
        </w:tc>
        <w:tc>
          <w:tcPr>
            <w:tcW w:w="2045" w:type="dxa"/>
          </w:tcPr>
          <w:p w14:paraId="296E8D8B" w14:textId="77777777" w:rsidR="00A3668C" w:rsidRPr="009E3052" w:rsidRDefault="00A3668C" w:rsidP="00FA27A6">
            <w:pPr>
              <w:spacing w:line="480" w:lineRule="auto"/>
              <w:jc w:val="center"/>
              <w:rPr>
                <w:highlight w:val="yellow"/>
              </w:rPr>
            </w:pPr>
          </w:p>
        </w:tc>
        <w:tc>
          <w:tcPr>
            <w:tcW w:w="2250" w:type="dxa"/>
          </w:tcPr>
          <w:p w14:paraId="1138DFD8" w14:textId="77777777" w:rsidR="00A3668C" w:rsidRPr="009E3052" w:rsidRDefault="00A3668C" w:rsidP="00FA27A6">
            <w:pPr>
              <w:spacing w:line="480" w:lineRule="auto"/>
              <w:jc w:val="center"/>
              <w:rPr>
                <w:highlight w:val="yellow"/>
              </w:rPr>
            </w:pPr>
          </w:p>
        </w:tc>
      </w:tr>
      <w:tr w:rsidR="00EC7426" w14:paraId="0A576E3F" w14:textId="77777777" w:rsidTr="00C9539E">
        <w:tc>
          <w:tcPr>
            <w:tcW w:w="3397" w:type="dxa"/>
          </w:tcPr>
          <w:p w14:paraId="0E5A7F58" w14:textId="37FFFF2C" w:rsidR="00EC7426" w:rsidRPr="007C24E6" w:rsidRDefault="000B138A" w:rsidP="00FA27A6">
            <w:pPr>
              <w:spacing w:line="480" w:lineRule="auto"/>
              <w:rPr>
                <w:b/>
              </w:rPr>
            </w:pPr>
            <w:r>
              <w:rPr>
                <w:i/>
              </w:rPr>
              <w:t>Emotional Difficulties</w:t>
            </w:r>
          </w:p>
        </w:tc>
        <w:tc>
          <w:tcPr>
            <w:tcW w:w="1843" w:type="dxa"/>
          </w:tcPr>
          <w:p w14:paraId="40D4016D" w14:textId="77777777" w:rsidR="00EC7426" w:rsidRPr="009E3052" w:rsidRDefault="00EC7426" w:rsidP="00FA27A6">
            <w:pPr>
              <w:spacing w:line="480" w:lineRule="auto"/>
              <w:jc w:val="center"/>
              <w:rPr>
                <w:highlight w:val="yellow"/>
              </w:rPr>
            </w:pPr>
          </w:p>
        </w:tc>
        <w:tc>
          <w:tcPr>
            <w:tcW w:w="2045" w:type="dxa"/>
          </w:tcPr>
          <w:p w14:paraId="20477DC1" w14:textId="77777777" w:rsidR="00EC7426" w:rsidRPr="009E3052" w:rsidRDefault="00EC7426" w:rsidP="00FA27A6">
            <w:pPr>
              <w:spacing w:line="480" w:lineRule="auto"/>
              <w:jc w:val="center"/>
              <w:rPr>
                <w:highlight w:val="yellow"/>
              </w:rPr>
            </w:pPr>
          </w:p>
        </w:tc>
        <w:tc>
          <w:tcPr>
            <w:tcW w:w="2250" w:type="dxa"/>
          </w:tcPr>
          <w:p w14:paraId="71B00FB4" w14:textId="77777777" w:rsidR="00EC7426" w:rsidRPr="009E3052" w:rsidRDefault="00EC7426" w:rsidP="00FA27A6">
            <w:pPr>
              <w:spacing w:line="480" w:lineRule="auto"/>
              <w:jc w:val="center"/>
              <w:rPr>
                <w:highlight w:val="yellow"/>
              </w:rPr>
            </w:pPr>
          </w:p>
        </w:tc>
      </w:tr>
      <w:tr w:rsidR="00EC7426" w14:paraId="436EFEAF" w14:textId="77777777" w:rsidTr="00C9539E">
        <w:tc>
          <w:tcPr>
            <w:tcW w:w="3397" w:type="dxa"/>
          </w:tcPr>
          <w:p w14:paraId="0C055370" w14:textId="6FCE2CBB" w:rsidR="00EC7426" w:rsidRPr="007C24E6" w:rsidRDefault="00EC7426" w:rsidP="00FA27A6">
            <w:pPr>
              <w:spacing w:line="480" w:lineRule="auto"/>
              <w:jc w:val="right"/>
            </w:pPr>
            <w:r w:rsidRPr="007C24E6">
              <w:t>No disability</w:t>
            </w:r>
            <w:r w:rsidR="000E35EB">
              <w:t xml:space="preserve"> (n=</w:t>
            </w:r>
            <w:r w:rsidR="00572E6A">
              <w:t>8610</w:t>
            </w:r>
            <w:r w:rsidR="000E35EB">
              <w:t>)</w:t>
            </w:r>
          </w:p>
        </w:tc>
        <w:tc>
          <w:tcPr>
            <w:tcW w:w="1843" w:type="dxa"/>
          </w:tcPr>
          <w:p w14:paraId="435EAA48" w14:textId="3DDD1C04" w:rsidR="00EC7426" w:rsidRPr="00125DF3" w:rsidRDefault="00CF79EF" w:rsidP="00FA27A6">
            <w:pPr>
              <w:spacing w:line="480" w:lineRule="auto"/>
            </w:pPr>
            <w:r w:rsidRPr="00125DF3">
              <w:t>10.9% (10.1-11.8</w:t>
            </w:r>
            <w:r w:rsidR="00EC7426" w:rsidRPr="00125DF3">
              <w:t>)</w:t>
            </w:r>
          </w:p>
        </w:tc>
        <w:tc>
          <w:tcPr>
            <w:tcW w:w="2045" w:type="dxa"/>
          </w:tcPr>
          <w:p w14:paraId="21B767A5" w14:textId="77777777" w:rsidR="00EC7426" w:rsidRPr="00C47CDB" w:rsidRDefault="00EC7426" w:rsidP="00FA27A6">
            <w:pPr>
              <w:spacing w:line="480" w:lineRule="auto"/>
            </w:pPr>
            <w:r w:rsidRPr="00C47CDB">
              <w:t>1</w:t>
            </w:r>
          </w:p>
        </w:tc>
        <w:tc>
          <w:tcPr>
            <w:tcW w:w="2250" w:type="dxa"/>
          </w:tcPr>
          <w:p w14:paraId="140FF677" w14:textId="77777777" w:rsidR="00EC7426" w:rsidRPr="00C47CDB" w:rsidRDefault="00EC7426" w:rsidP="00FA27A6">
            <w:pPr>
              <w:spacing w:line="480" w:lineRule="auto"/>
            </w:pPr>
            <w:r w:rsidRPr="00C47CDB">
              <w:t>1</w:t>
            </w:r>
          </w:p>
        </w:tc>
      </w:tr>
      <w:tr w:rsidR="00EC7426" w14:paraId="004E18A3" w14:textId="77777777" w:rsidTr="00C9539E">
        <w:tc>
          <w:tcPr>
            <w:tcW w:w="3397" w:type="dxa"/>
          </w:tcPr>
          <w:p w14:paraId="142D560B" w14:textId="5396F938" w:rsidR="00EC7426" w:rsidRPr="007C24E6" w:rsidRDefault="007B5D12" w:rsidP="00FA27A6">
            <w:pPr>
              <w:spacing w:line="480" w:lineRule="auto"/>
              <w:jc w:val="right"/>
            </w:pPr>
            <w:r>
              <w:t>Motor impairments</w:t>
            </w:r>
            <w:r w:rsidR="000E35EB">
              <w:t xml:space="preserve"> (n=</w:t>
            </w:r>
            <w:r w:rsidR="00825790">
              <w:t>3</w:t>
            </w:r>
            <w:r w:rsidR="00B20D54">
              <w:t>81</w:t>
            </w:r>
            <w:r w:rsidR="000E35EB">
              <w:t>)</w:t>
            </w:r>
            <w:r w:rsidR="00EC7426" w:rsidRPr="007C24E6">
              <w:t xml:space="preserve"> </w:t>
            </w:r>
          </w:p>
        </w:tc>
        <w:tc>
          <w:tcPr>
            <w:tcW w:w="1843" w:type="dxa"/>
          </w:tcPr>
          <w:p w14:paraId="2A4AAF00" w14:textId="2A5C6E08" w:rsidR="00EC7426" w:rsidRPr="00125DF3" w:rsidRDefault="00CF79EF" w:rsidP="00FA27A6">
            <w:pPr>
              <w:spacing w:line="480" w:lineRule="auto"/>
            </w:pPr>
            <w:r w:rsidRPr="00125DF3">
              <w:t>40.1% (33.9-46.6</w:t>
            </w:r>
            <w:r w:rsidR="00EC7426" w:rsidRPr="00125DF3">
              <w:t>)</w:t>
            </w:r>
          </w:p>
        </w:tc>
        <w:tc>
          <w:tcPr>
            <w:tcW w:w="2045" w:type="dxa"/>
          </w:tcPr>
          <w:p w14:paraId="0E286606" w14:textId="54FE6969" w:rsidR="00EC7426" w:rsidRPr="00C47CDB" w:rsidRDefault="00825790" w:rsidP="00FA27A6">
            <w:pPr>
              <w:spacing w:line="480" w:lineRule="auto"/>
            </w:pPr>
            <w:r>
              <w:t>3.</w:t>
            </w:r>
            <w:r w:rsidR="006851E3">
              <w:t xml:space="preserve">69 </w:t>
            </w:r>
            <w:r>
              <w:t>(3.</w:t>
            </w:r>
            <w:r w:rsidR="006851E3">
              <w:t>07</w:t>
            </w:r>
            <w:r>
              <w:t>-4.4</w:t>
            </w:r>
            <w:r w:rsidR="006851E3">
              <w:t>3</w:t>
            </w:r>
            <w:r w:rsidR="00EC7426" w:rsidRPr="00C47CDB">
              <w:t>)</w:t>
            </w:r>
            <w:r w:rsidR="00E17A82">
              <w:t>***</w:t>
            </w:r>
          </w:p>
        </w:tc>
        <w:tc>
          <w:tcPr>
            <w:tcW w:w="2250" w:type="dxa"/>
          </w:tcPr>
          <w:p w14:paraId="3EDEB18C" w14:textId="0898C49F" w:rsidR="00EC7426" w:rsidRPr="00C47CDB" w:rsidRDefault="00825790" w:rsidP="00FA27A6">
            <w:pPr>
              <w:spacing w:line="480" w:lineRule="auto"/>
            </w:pPr>
            <w:r>
              <w:t>3.</w:t>
            </w:r>
            <w:r w:rsidR="006851E3">
              <w:t xml:space="preserve">58 </w:t>
            </w:r>
            <w:r>
              <w:t>(</w:t>
            </w:r>
            <w:r w:rsidR="006851E3">
              <w:t>2.94</w:t>
            </w:r>
            <w:r>
              <w:t>-4.</w:t>
            </w:r>
            <w:r w:rsidR="006851E3">
              <w:t>36</w:t>
            </w:r>
            <w:r w:rsidR="00EC7426" w:rsidRPr="00C47CDB">
              <w:t>)</w:t>
            </w:r>
            <w:r w:rsidR="00E17A82">
              <w:t>***</w:t>
            </w:r>
          </w:p>
        </w:tc>
      </w:tr>
      <w:tr w:rsidR="007B5D12" w14:paraId="547C6365" w14:textId="77777777" w:rsidTr="00C9539E">
        <w:tc>
          <w:tcPr>
            <w:tcW w:w="3397" w:type="dxa"/>
          </w:tcPr>
          <w:p w14:paraId="4C1CC926" w14:textId="61E3B9C6" w:rsidR="007B5D12" w:rsidRPr="007C24E6" w:rsidRDefault="007B5D12" w:rsidP="00FA27A6">
            <w:pPr>
              <w:spacing w:line="480" w:lineRule="auto"/>
              <w:jc w:val="right"/>
              <w:rPr>
                <w:i/>
              </w:rPr>
            </w:pPr>
            <w:r>
              <w:t>Psychosocial impairments (n=</w:t>
            </w:r>
            <w:r w:rsidR="00572E6A">
              <w:t>519</w:t>
            </w:r>
            <w:r>
              <w:t>)</w:t>
            </w:r>
            <w:r w:rsidRPr="007C24E6">
              <w:t xml:space="preserve"> </w:t>
            </w:r>
          </w:p>
        </w:tc>
        <w:tc>
          <w:tcPr>
            <w:tcW w:w="1843" w:type="dxa"/>
          </w:tcPr>
          <w:p w14:paraId="075D954B" w14:textId="1A164956" w:rsidR="007B5D12" w:rsidRPr="00125DF3" w:rsidRDefault="007B5D12" w:rsidP="00FA27A6">
            <w:pPr>
              <w:spacing w:line="480" w:lineRule="auto"/>
            </w:pPr>
            <w:r w:rsidRPr="00125DF3">
              <w:t>51.9% (45.7-58.1)</w:t>
            </w:r>
          </w:p>
        </w:tc>
        <w:tc>
          <w:tcPr>
            <w:tcW w:w="2045" w:type="dxa"/>
          </w:tcPr>
          <w:p w14:paraId="2C351399" w14:textId="1A7F15A2" w:rsidR="007B5D12" w:rsidRPr="00C47CDB" w:rsidRDefault="007B5D12" w:rsidP="00FA27A6">
            <w:pPr>
              <w:spacing w:line="480" w:lineRule="auto"/>
            </w:pPr>
            <w:r>
              <w:t>5.</w:t>
            </w:r>
            <w:r w:rsidR="00A13DCF">
              <w:t xml:space="preserve">29 </w:t>
            </w:r>
            <w:r>
              <w:t>(4.5</w:t>
            </w:r>
            <w:r w:rsidR="00A13DCF">
              <w:t>5</w:t>
            </w:r>
            <w:r>
              <w:t>-6.16</w:t>
            </w:r>
            <w:r w:rsidRPr="00EF28CC">
              <w:t>)</w:t>
            </w:r>
            <w:r>
              <w:t>***</w:t>
            </w:r>
          </w:p>
        </w:tc>
        <w:tc>
          <w:tcPr>
            <w:tcW w:w="2250" w:type="dxa"/>
          </w:tcPr>
          <w:p w14:paraId="0B3D94A6" w14:textId="3D7D259F" w:rsidR="007B5D12" w:rsidRPr="00C47CDB" w:rsidRDefault="007B5D12" w:rsidP="00FA27A6">
            <w:pPr>
              <w:spacing w:line="480" w:lineRule="auto"/>
            </w:pPr>
            <w:r>
              <w:t>5.</w:t>
            </w:r>
            <w:r w:rsidR="00A13DCF">
              <w:t xml:space="preserve">04 </w:t>
            </w:r>
            <w:r>
              <w:t>(4.</w:t>
            </w:r>
            <w:r w:rsidR="00A13DCF">
              <w:t>27</w:t>
            </w:r>
            <w:r>
              <w:t>-</w:t>
            </w:r>
            <w:r w:rsidR="00A13DCF">
              <w:t>5.95</w:t>
            </w:r>
            <w:r w:rsidRPr="00EF28CC">
              <w:t>)</w:t>
            </w:r>
            <w:r>
              <w:t>***</w:t>
            </w:r>
          </w:p>
        </w:tc>
      </w:tr>
      <w:tr w:rsidR="007B5D12" w14:paraId="2CCA9BA9" w14:textId="77777777" w:rsidTr="00C9539E">
        <w:tc>
          <w:tcPr>
            <w:tcW w:w="3397" w:type="dxa"/>
          </w:tcPr>
          <w:p w14:paraId="42FDF148" w14:textId="785AD85D" w:rsidR="007B5D12" w:rsidRPr="007C24E6" w:rsidRDefault="007B5D12" w:rsidP="00FA27A6">
            <w:pPr>
              <w:spacing w:line="480" w:lineRule="auto"/>
              <w:jc w:val="right"/>
              <w:rPr>
                <w:i/>
              </w:rPr>
            </w:pPr>
            <w:r>
              <w:t>Sensory impairments (n=</w:t>
            </w:r>
            <w:r w:rsidR="00572E6A">
              <w:t>148</w:t>
            </w:r>
            <w:r>
              <w:t>)</w:t>
            </w:r>
            <w:r w:rsidRPr="007C24E6">
              <w:t xml:space="preserve"> </w:t>
            </w:r>
          </w:p>
        </w:tc>
        <w:tc>
          <w:tcPr>
            <w:tcW w:w="1843" w:type="dxa"/>
          </w:tcPr>
          <w:p w14:paraId="231E3DF6" w14:textId="08DEBA3D" w:rsidR="007B5D12" w:rsidRPr="00125DF3" w:rsidRDefault="007B5D12" w:rsidP="00FA27A6">
            <w:pPr>
              <w:spacing w:line="480" w:lineRule="auto"/>
            </w:pPr>
            <w:r w:rsidRPr="00125DF3">
              <w:t>44.8% (32.9-57.3)</w:t>
            </w:r>
          </w:p>
        </w:tc>
        <w:tc>
          <w:tcPr>
            <w:tcW w:w="2045" w:type="dxa"/>
          </w:tcPr>
          <w:p w14:paraId="5A3BC1EF" w14:textId="2DBDE261" w:rsidR="007B5D12" w:rsidRPr="00C47CDB" w:rsidRDefault="007B5D12" w:rsidP="00FA27A6">
            <w:pPr>
              <w:spacing w:line="480" w:lineRule="auto"/>
            </w:pPr>
            <w:r>
              <w:t>4.2</w:t>
            </w:r>
            <w:r w:rsidR="00A13DCF">
              <w:t>3</w:t>
            </w:r>
            <w:r>
              <w:t xml:space="preserve"> (3.12-5.7</w:t>
            </w:r>
            <w:r w:rsidR="00A13DCF">
              <w:t>4</w:t>
            </w:r>
            <w:r w:rsidRPr="00EF28CC">
              <w:t>)</w:t>
            </w:r>
            <w:r>
              <w:t>***</w:t>
            </w:r>
          </w:p>
        </w:tc>
        <w:tc>
          <w:tcPr>
            <w:tcW w:w="2250" w:type="dxa"/>
          </w:tcPr>
          <w:p w14:paraId="418BD72C" w14:textId="66D22F7B" w:rsidR="007B5D12" w:rsidRPr="00C47CDB" w:rsidRDefault="007B5D12" w:rsidP="00FA27A6">
            <w:pPr>
              <w:spacing w:line="480" w:lineRule="auto"/>
            </w:pPr>
            <w:r>
              <w:t>4.</w:t>
            </w:r>
            <w:r w:rsidR="00A13DCF">
              <w:t xml:space="preserve">00 </w:t>
            </w:r>
            <w:r>
              <w:t>(</w:t>
            </w:r>
            <w:r w:rsidR="00A13DCF">
              <w:t>2.99</w:t>
            </w:r>
            <w:r>
              <w:t>-</w:t>
            </w:r>
            <w:r w:rsidR="00A13DCF">
              <w:t>5.36</w:t>
            </w:r>
            <w:r w:rsidRPr="00EF28CC">
              <w:t>)</w:t>
            </w:r>
            <w:r>
              <w:t>***</w:t>
            </w:r>
          </w:p>
        </w:tc>
      </w:tr>
      <w:tr w:rsidR="00A3668C" w14:paraId="5F592785" w14:textId="77777777" w:rsidTr="00C9539E">
        <w:tc>
          <w:tcPr>
            <w:tcW w:w="3397" w:type="dxa"/>
          </w:tcPr>
          <w:p w14:paraId="75987A33" w14:textId="2957E47C" w:rsidR="00A3668C" w:rsidRPr="007C24E6" w:rsidRDefault="00A3668C" w:rsidP="00FA27A6">
            <w:pPr>
              <w:spacing w:line="480" w:lineRule="auto"/>
              <w:rPr>
                <w:i/>
              </w:rPr>
            </w:pPr>
            <w:r w:rsidRPr="00313754">
              <w:rPr>
                <w:b/>
              </w:rPr>
              <w:t>Adolescent-reported outcomes</w:t>
            </w:r>
          </w:p>
        </w:tc>
        <w:tc>
          <w:tcPr>
            <w:tcW w:w="1843" w:type="dxa"/>
          </w:tcPr>
          <w:p w14:paraId="7594EA5D" w14:textId="77777777" w:rsidR="00A3668C" w:rsidRPr="00125DF3" w:rsidRDefault="00A3668C" w:rsidP="00FA27A6">
            <w:pPr>
              <w:spacing w:line="480" w:lineRule="auto"/>
            </w:pPr>
          </w:p>
        </w:tc>
        <w:tc>
          <w:tcPr>
            <w:tcW w:w="2045" w:type="dxa"/>
          </w:tcPr>
          <w:p w14:paraId="6CEFEB17" w14:textId="77777777" w:rsidR="00A3668C" w:rsidRPr="00C47CDB" w:rsidRDefault="00A3668C" w:rsidP="00FA27A6">
            <w:pPr>
              <w:spacing w:line="480" w:lineRule="auto"/>
            </w:pPr>
          </w:p>
        </w:tc>
        <w:tc>
          <w:tcPr>
            <w:tcW w:w="2250" w:type="dxa"/>
          </w:tcPr>
          <w:p w14:paraId="4B1AD48E" w14:textId="77777777" w:rsidR="00A3668C" w:rsidRPr="00C47CDB" w:rsidRDefault="00A3668C" w:rsidP="00FA27A6">
            <w:pPr>
              <w:spacing w:line="480" w:lineRule="auto"/>
            </w:pPr>
          </w:p>
        </w:tc>
      </w:tr>
      <w:tr w:rsidR="007B5D12" w14:paraId="5D946732" w14:textId="77777777" w:rsidTr="00C9539E">
        <w:tc>
          <w:tcPr>
            <w:tcW w:w="3397" w:type="dxa"/>
          </w:tcPr>
          <w:p w14:paraId="4F13D159" w14:textId="249F6A82" w:rsidR="007B5D12" w:rsidRPr="007C24E6" w:rsidRDefault="007B5D12" w:rsidP="00FA27A6">
            <w:pPr>
              <w:spacing w:line="480" w:lineRule="auto"/>
              <w:rPr>
                <w:i/>
              </w:rPr>
            </w:pPr>
            <w:r w:rsidRPr="007C24E6">
              <w:rPr>
                <w:i/>
              </w:rPr>
              <w:t>De</w:t>
            </w:r>
            <w:r w:rsidR="000B138A">
              <w:rPr>
                <w:i/>
              </w:rPr>
              <w:t>pression</w:t>
            </w:r>
          </w:p>
        </w:tc>
        <w:tc>
          <w:tcPr>
            <w:tcW w:w="1843" w:type="dxa"/>
          </w:tcPr>
          <w:p w14:paraId="46531CA6" w14:textId="77777777" w:rsidR="007B5D12" w:rsidRPr="00125DF3" w:rsidRDefault="007B5D12" w:rsidP="00FA27A6">
            <w:pPr>
              <w:spacing w:line="480" w:lineRule="auto"/>
            </w:pPr>
          </w:p>
        </w:tc>
        <w:tc>
          <w:tcPr>
            <w:tcW w:w="2045" w:type="dxa"/>
          </w:tcPr>
          <w:p w14:paraId="7D7EE1F2" w14:textId="77777777" w:rsidR="007B5D12" w:rsidRPr="00C47CDB" w:rsidRDefault="007B5D12" w:rsidP="00FA27A6">
            <w:pPr>
              <w:spacing w:line="480" w:lineRule="auto"/>
            </w:pPr>
          </w:p>
        </w:tc>
        <w:tc>
          <w:tcPr>
            <w:tcW w:w="2250" w:type="dxa"/>
          </w:tcPr>
          <w:p w14:paraId="07AEF25C" w14:textId="77777777" w:rsidR="007B5D12" w:rsidRPr="00C47CDB" w:rsidRDefault="007B5D12" w:rsidP="00FA27A6">
            <w:pPr>
              <w:spacing w:line="480" w:lineRule="auto"/>
            </w:pPr>
          </w:p>
        </w:tc>
      </w:tr>
      <w:tr w:rsidR="007B5D12" w14:paraId="733D2B8F" w14:textId="77777777" w:rsidTr="00C9539E">
        <w:tc>
          <w:tcPr>
            <w:tcW w:w="3397" w:type="dxa"/>
          </w:tcPr>
          <w:p w14:paraId="2147D6B6" w14:textId="0DC32D8D" w:rsidR="007B5D12" w:rsidRPr="007C24E6" w:rsidRDefault="007B5D12" w:rsidP="00FA27A6">
            <w:pPr>
              <w:spacing w:line="480" w:lineRule="auto"/>
              <w:jc w:val="right"/>
            </w:pPr>
            <w:r w:rsidRPr="007C24E6">
              <w:t>No disability</w:t>
            </w:r>
          </w:p>
        </w:tc>
        <w:tc>
          <w:tcPr>
            <w:tcW w:w="1843" w:type="dxa"/>
          </w:tcPr>
          <w:p w14:paraId="5C04CD05" w14:textId="6A9A9CEB" w:rsidR="007B5D12" w:rsidRPr="00125DF3" w:rsidRDefault="007B5D12" w:rsidP="00FA27A6">
            <w:pPr>
              <w:spacing w:line="480" w:lineRule="auto"/>
            </w:pPr>
            <w:r w:rsidRPr="00125DF3">
              <w:t xml:space="preserve">   8.4% (7.7-9.2)</w:t>
            </w:r>
          </w:p>
        </w:tc>
        <w:tc>
          <w:tcPr>
            <w:tcW w:w="2045" w:type="dxa"/>
          </w:tcPr>
          <w:p w14:paraId="3F3A2EE7" w14:textId="77777777" w:rsidR="007B5D12" w:rsidRPr="00C47CDB" w:rsidRDefault="007B5D12" w:rsidP="00FA27A6">
            <w:pPr>
              <w:spacing w:line="480" w:lineRule="auto"/>
            </w:pPr>
            <w:r w:rsidRPr="00C47CDB">
              <w:t>1</w:t>
            </w:r>
          </w:p>
        </w:tc>
        <w:tc>
          <w:tcPr>
            <w:tcW w:w="2250" w:type="dxa"/>
          </w:tcPr>
          <w:p w14:paraId="362637F3" w14:textId="77777777" w:rsidR="007B5D12" w:rsidRPr="00C47CDB" w:rsidRDefault="007B5D12" w:rsidP="00FA27A6">
            <w:pPr>
              <w:spacing w:line="480" w:lineRule="auto"/>
            </w:pPr>
            <w:r w:rsidRPr="00C47CDB">
              <w:t>1</w:t>
            </w:r>
          </w:p>
        </w:tc>
      </w:tr>
      <w:tr w:rsidR="007B5D12" w14:paraId="3ED78567" w14:textId="77777777" w:rsidTr="00C9539E">
        <w:tc>
          <w:tcPr>
            <w:tcW w:w="3397" w:type="dxa"/>
          </w:tcPr>
          <w:p w14:paraId="0CBCF554" w14:textId="69EA2829" w:rsidR="007B5D12" w:rsidRPr="007C24E6" w:rsidRDefault="00C9539E" w:rsidP="00FA27A6">
            <w:pPr>
              <w:spacing w:line="480" w:lineRule="auto"/>
              <w:jc w:val="right"/>
            </w:pPr>
            <w:r>
              <w:t>Motor impairments</w:t>
            </w:r>
            <w:r w:rsidR="007B5D12" w:rsidRPr="007C24E6">
              <w:t xml:space="preserve"> </w:t>
            </w:r>
          </w:p>
        </w:tc>
        <w:tc>
          <w:tcPr>
            <w:tcW w:w="1843" w:type="dxa"/>
          </w:tcPr>
          <w:p w14:paraId="481C4C0A" w14:textId="7D0C5AF5" w:rsidR="007B5D12" w:rsidRPr="00125DF3" w:rsidRDefault="007B5D12" w:rsidP="00FA27A6">
            <w:pPr>
              <w:spacing w:line="480" w:lineRule="auto"/>
            </w:pPr>
            <w:r w:rsidRPr="00125DF3">
              <w:t>12.9% (9.1-17.8)</w:t>
            </w:r>
          </w:p>
        </w:tc>
        <w:tc>
          <w:tcPr>
            <w:tcW w:w="2045" w:type="dxa"/>
          </w:tcPr>
          <w:p w14:paraId="009E0224" w14:textId="351439DD" w:rsidR="007B5D12" w:rsidRPr="00C47CDB" w:rsidRDefault="007B5D12" w:rsidP="00FA27A6">
            <w:pPr>
              <w:spacing w:line="480" w:lineRule="auto"/>
            </w:pPr>
            <w:r>
              <w:t>1.57 (1.14-2.17</w:t>
            </w:r>
            <w:r w:rsidRPr="00C47CDB">
              <w:t>)</w:t>
            </w:r>
            <w:r>
              <w:t>**</w:t>
            </w:r>
          </w:p>
        </w:tc>
        <w:tc>
          <w:tcPr>
            <w:tcW w:w="2250" w:type="dxa"/>
          </w:tcPr>
          <w:p w14:paraId="48C4BEC6" w14:textId="61AA5392" w:rsidR="007B5D12" w:rsidRPr="00C47CDB" w:rsidRDefault="007B5D12" w:rsidP="00FA27A6">
            <w:pPr>
              <w:spacing w:line="480" w:lineRule="auto"/>
            </w:pPr>
            <w:r>
              <w:t>1.</w:t>
            </w:r>
            <w:r w:rsidR="006851E3">
              <w:t xml:space="preserve">54 </w:t>
            </w:r>
            <w:r>
              <w:t>(</w:t>
            </w:r>
            <w:r w:rsidR="006851E3">
              <w:t>1.13</w:t>
            </w:r>
            <w:r>
              <w:t>-</w:t>
            </w:r>
            <w:r w:rsidR="006851E3">
              <w:t>2.12</w:t>
            </w:r>
            <w:r w:rsidRPr="00C47CDB">
              <w:t>)</w:t>
            </w:r>
            <w:r w:rsidR="006851E3">
              <w:t>**</w:t>
            </w:r>
          </w:p>
        </w:tc>
      </w:tr>
      <w:tr w:rsidR="007B5D12" w14:paraId="4928A0E0" w14:textId="77777777" w:rsidTr="007B5D12">
        <w:tc>
          <w:tcPr>
            <w:tcW w:w="3397" w:type="dxa"/>
          </w:tcPr>
          <w:p w14:paraId="6DA112C9" w14:textId="493CB8CD" w:rsidR="007B5D12" w:rsidRPr="007C24E6" w:rsidDel="007B5D12" w:rsidRDefault="007B5D12" w:rsidP="00FA27A6">
            <w:pPr>
              <w:spacing w:line="480" w:lineRule="auto"/>
              <w:jc w:val="right"/>
              <w:rPr>
                <w:i/>
              </w:rPr>
            </w:pPr>
            <w:r>
              <w:t>Psychosocial i</w:t>
            </w:r>
            <w:r w:rsidR="00C9539E">
              <w:t>mpairments</w:t>
            </w:r>
            <w:r w:rsidRPr="007C24E6">
              <w:t xml:space="preserve"> </w:t>
            </w:r>
          </w:p>
        </w:tc>
        <w:tc>
          <w:tcPr>
            <w:tcW w:w="1843" w:type="dxa"/>
          </w:tcPr>
          <w:p w14:paraId="575AAB2B" w14:textId="2729535A" w:rsidR="007B5D12" w:rsidRPr="00125DF3" w:rsidRDefault="007B5D12" w:rsidP="00FA27A6">
            <w:pPr>
              <w:spacing w:line="480" w:lineRule="auto"/>
            </w:pPr>
            <w:r w:rsidRPr="00125DF3">
              <w:t>15.8% (11.7-21.0)</w:t>
            </w:r>
          </w:p>
        </w:tc>
        <w:tc>
          <w:tcPr>
            <w:tcW w:w="2045" w:type="dxa"/>
          </w:tcPr>
          <w:p w14:paraId="4C657E17" w14:textId="4DDFE600" w:rsidR="007B5D12" w:rsidRPr="00C47CDB" w:rsidRDefault="007B5D12" w:rsidP="00FA27A6">
            <w:pPr>
              <w:spacing w:line="480" w:lineRule="auto"/>
            </w:pPr>
            <w:r>
              <w:t>2.</w:t>
            </w:r>
            <w:r w:rsidR="00A13DCF">
              <w:t xml:space="preserve">42 </w:t>
            </w:r>
            <w:r>
              <w:t>(1.7</w:t>
            </w:r>
            <w:r w:rsidR="00A13DCF">
              <w:t>9</w:t>
            </w:r>
            <w:r>
              <w:t>-3.2</w:t>
            </w:r>
            <w:r w:rsidR="00A13DCF">
              <w:t>8</w:t>
            </w:r>
            <w:r w:rsidRPr="00EF28CC">
              <w:t>)</w:t>
            </w:r>
            <w:r>
              <w:t>***</w:t>
            </w:r>
          </w:p>
        </w:tc>
        <w:tc>
          <w:tcPr>
            <w:tcW w:w="2250" w:type="dxa"/>
          </w:tcPr>
          <w:p w14:paraId="6CA320A7" w14:textId="1A1FD4EC" w:rsidR="007B5D12" w:rsidRPr="00C47CDB" w:rsidRDefault="007B5D12" w:rsidP="00FA27A6">
            <w:pPr>
              <w:spacing w:line="480" w:lineRule="auto"/>
            </w:pPr>
            <w:r>
              <w:t>2.</w:t>
            </w:r>
            <w:r w:rsidR="00A13DCF">
              <w:t xml:space="preserve">28 </w:t>
            </w:r>
            <w:r>
              <w:t>(1.</w:t>
            </w:r>
            <w:r w:rsidR="00A13DCF">
              <w:t>68</w:t>
            </w:r>
            <w:r>
              <w:t>-</w:t>
            </w:r>
            <w:r w:rsidR="00A13DCF">
              <w:t>3.09</w:t>
            </w:r>
            <w:r w:rsidRPr="00EF28CC">
              <w:t>)</w:t>
            </w:r>
            <w:r>
              <w:t>***</w:t>
            </w:r>
          </w:p>
        </w:tc>
      </w:tr>
      <w:tr w:rsidR="007B5D12" w14:paraId="63C8244E" w14:textId="77777777" w:rsidTr="007B5D12">
        <w:tc>
          <w:tcPr>
            <w:tcW w:w="3397" w:type="dxa"/>
          </w:tcPr>
          <w:p w14:paraId="36B0951B" w14:textId="3F1FB717" w:rsidR="007B5D12" w:rsidRPr="007C24E6" w:rsidDel="007B5D12" w:rsidRDefault="00C9539E" w:rsidP="00FA27A6">
            <w:pPr>
              <w:spacing w:line="480" w:lineRule="auto"/>
              <w:jc w:val="right"/>
              <w:rPr>
                <w:i/>
              </w:rPr>
            </w:pPr>
            <w:r>
              <w:t>Sensory impairments</w:t>
            </w:r>
            <w:r w:rsidR="007B5D12" w:rsidRPr="007C24E6">
              <w:t xml:space="preserve"> </w:t>
            </w:r>
          </w:p>
        </w:tc>
        <w:tc>
          <w:tcPr>
            <w:tcW w:w="1843" w:type="dxa"/>
          </w:tcPr>
          <w:p w14:paraId="2F54FD95" w14:textId="7C175652" w:rsidR="007B5D12" w:rsidRPr="00125DF3" w:rsidRDefault="007B5D12" w:rsidP="00FA27A6">
            <w:pPr>
              <w:spacing w:line="480" w:lineRule="auto"/>
            </w:pPr>
            <w:r w:rsidRPr="00125DF3">
              <w:t>18.6% (10.7-30.3)</w:t>
            </w:r>
          </w:p>
        </w:tc>
        <w:tc>
          <w:tcPr>
            <w:tcW w:w="2045" w:type="dxa"/>
          </w:tcPr>
          <w:p w14:paraId="6A910F9F" w14:textId="61E11DB3" w:rsidR="007B5D12" w:rsidRPr="00C47CDB" w:rsidRDefault="007B5D12" w:rsidP="00FA27A6">
            <w:pPr>
              <w:spacing w:line="480" w:lineRule="auto"/>
            </w:pPr>
            <w:r>
              <w:t>2.2</w:t>
            </w:r>
            <w:r w:rsidR="00A13DCF">
              <w:t>4</w:t>
            </w:r>
            <w:r>
              <w:t xml:space="preserve"> (1.35-3.</w:t>
            </w:r>
            <w:r w:rsidR="00A13DCF">
              <w:t>72</w:t>
            </w:r>
            <w:r w:rsidRPr="00EF28CC">
              <w:t>)</w:t>
            </w:r>
            <w:r>
              <w:t>**</w:t>
            </w:r>
          </w:p>
        </w:tc>
        <w:tc>
          <w:tcPr>
            <w:tcW w:w="2250" w:type="dxa"/>
          </w:tcPr>
          <w:p w14:paraId="5A114670" w14:textId="3FAD89C4" w:rsidR="007B5D12" w:rsidRPr="00C47CDB" w:rsidRDefault="007B5D12" w:rsidP="00FA27A6">
            <w:pPr>
              <w:spacing w:line="480" w:lineRule="auto"/>
            </w:pPr>
            <w:r>
              <w:t>2.</w:t>
            </w:r>
            <w:r w:rsidR="00A13DCF">
              <w:t xml:space="preserve">23 </w:t>
            </w:r>
            <w:r>
              <w:t>(1.3</w:t>
            </w:r>
            <w:r w:rsidR="00A13DCF">
              <w:t>3</w:t>
            </w:r>
            <w:r>
              <w:t>-</w:t>
            </w:r>
            <w:r w:rsidR="00A13DCF">
              <w:t>3.73</w:t>
            </w:r>
            <w:r w:rsidRPr="00EF28CC">
              <w:t>)</w:t>
            </w:r>
            <w:r>
              <w:t>**</w:t>
            </w:r>
          </w:p>
        </w:tc>
      </w:tr>
      <w:tr w:rsidR="007B5D12" w14:paraId="34E5F0AF" w14:textId="77777777" w:rsidTr="00C9539E">
        <w:tc>
          <w:tcPr>
            <w:tcW w:w="3397" w:type="dxa"/>
          </w:tcPr>
          <w:p w14:paraId="6D258CB1" w14:textId="62AAECB1" w:rsidR="007B5D12" w:rsidRPr="007C24E6" w:rsidRDefault="007B5D12" w:rsidP="00FA27A6">
            <w:pPr>
              <w:spacing w:line="480" w:lineRule="auto"/>
              <w:rPr>
                <w:i/>
              </w:rPr>
            </w:pPr>
            <w:r>
              <w:rPr>
                <w:i/>
              </w:rPr>
              <w:t>Self-Harm</w:t>
            </w:r>
          </w:p>
        </w:tc>
        <w:tc>
          <w:tcPr>
            <w:tcW w:w="1843" w:type="dxa"/>
          </w:tcPr>
          <w:p w14:paraId="54935F0E" w14:textId="77777777" w:rsidR="007B5D12" w:rsidRPr="00125DF3" w:rsidRDefault="007B5D12" w:rsidP="00FA27A6">
            <w:pPr>
              <w:spacing w:line="480" w:lineRule="auto"/>
            </w:pPr>
          </w:p>
        </w:tc>
        <w:tc>
          <w:tcPr>
            <w:tcW w:w="2045" w:type="dxa"/>
          </w:tcPr>
          <w:p w14:paraId="34B2868F" w14:textId="77777777" w:rsidR="007B5D12" w:rsidRPr="00C47CDB" w:rsidRDefault="007B5D12" w:rsidP="00FA27A6">
            <w:pPr>
              <w:spacing w:line="480" w:lineRule="auto"/>
            </w:pPr>
          </w:p>
        </w:tc>
        <w:tc>
          <w:tcPr>
            <w:tcW w:w="2250" w:type="dxa"/>
          </w:tcPr>
          <w:p w14:paraId="3FE0FA0F" w14:textId="77777777" w:rsidR="007B5D12" w:rsidRPr="00C47CDB" w:rsidRDefault="007B5D12" w:rsidP="00FA27A6">
            <w:pPr>
              <w:spacing w:line="480" w:lineRule="auto"/>
            </w:pPr>
          </w:p>
        </w:tc>
      </w:tr>
      <w:tr w:rsidR="007B5D12" w14:paraId="30565BAB" w14:textId="77777777" w:rsidTr="00C9539E">
        <w:tc>
          <w:tcPr>
            <w:tcW w:w="3397" w:type="dxa"/>
          </w:tcPr>
          <w:p w14:paraId="744F3E3E" w14:textId="74A905F9" w:rsidR="007B5D12" w:rsidRPr="007C24E6" w:rsidRDefault="007B5D12" w:rsidP="00FA27A6">
            <w:pPr>
              <w:spacing w:line="480" w:lineRule="auto"/>
              <w:jc w:val="right"/>
            </w:pPr>
            <w:r w:rsidRPr="007C24E6">
              <w:t>No disability</w:t>
            </w:r>
          </w:p>
        </w:tc>
        <w:tc>
          <w:tcPr>
            <w:tcW w:w="1843" w:type="dxa"/>
          </w:tcPr>
          <w:p w14:paraId="1F13B41B" w14:textId="49ADDA13" w:rsidR="007B5D12" w:rsidRPr="00125DF3" w:rsidRDefault="007B5D12" w:rsidP="00FA27A6">
            <w:pPr>
              <w:spacing w:line="480" w:lineRule="auto"/>
            </w:pPr>
            <w:r w:rsidRPr="00125DF3">
              <w:t>14.4% (13.4-15.4)</w:t>
            </w:r>
          </w:p>
        </w:tc>
        <w:tc>
          <w:tcPr>
            <w:tcW w:w="2045" w:type="dxa"/>
          </w:tcPr>
          <w:p w14:paraId="51F132B8" w14:textId="77777777" w:rsidR="007B5D12" w:rsidRPr="00C47CDB" w:rsidRDefault="007B5D12" w:rsidP="00FA27A6">
            <w:pPr>
              <w:spacing w:line="480" w:lineRule="auto"/>
            </w:pPr>
            <w:r w:rsidRPr="00C47CDB">
              <w:t>1</w:t>
            </w:r>
          </w:p>
        </w:tc>
        <w:tc>
          <w:tcPr>
            <w:tcW w:w="2250" w:type="dxa"/>
          </w:tcPr>
          <w:p w14:paraId="2D339E8D" w14:textId="77777777" w:rsidR="007B5D12" w:rsidRPr="00C47CDB" w:rsidRDefault="007B5D12" w:rsidP="00FA27A6">
            <w:pPr>
              <w:spacing w:line="480" w:lineRule="auto"/>
            </w:pPr>
            <w:r w:rsidRPr="00C47CDB">
              <w:t>1</w:t>
            </w:r>
          </w:p>
        </w:tc>
      </w:tr>
      <w:tr w:rsidR="007B5D12" w14:paraId="26FF2972" w14:textId="77777777" w:rsidTr="00C9539E">
        <w:tc>
          <w:tcPr>
            <w:tcW w:w="3397" w:type="dxa"/>
          </w:tcPr>
          <w:p w14:paraId="7C077DCB" w14:textId="01B8E837" w:rsidR="007B5D12" w:rsidRPr="007C24E6" w:rsidRDefault="00C9539E" w:rsidP="00FA27A6">
            <w:pPr>
              <w:spacing w:line="480" w:lineRule="auto"/>
              <w:jc w:val="right"/>
            </w:pPr>
            <w:r>
              <w:t>Motor impairments</w:t>
            </w:r>
            <w:r w:rsidR="007B5D12" w:rsidRPr="007C24E6">
              <w:t xml:space="preserve"> </w:t>
            </w:r>
          </w:p>
        </w:tc>
        <w:tc>
          <w:tcPr>
            <w:tcW w:w="1843" w:type="dxa"/>
          </w:tcPr>
          <w:p w14:paraId="4671CA4F" w14:textId="328F5DA3" w:rsidR="007B5D12" w:rsidRPr="00125DF3" w:rsidRDefault="007B5D12" w:rsidP="00FA27A6">
            <w:pPr>
              <w:spacing w:line="480" w:lineRule="auto"/>
            </w:pPr>
            <w:r w:rsidRPr="00125DF3">
              <w:t>19.1% (14.3-25.0)</w:t>
            </w:r>
          </w:p>
        </w:tc>
        <w:tc>
          <w:tcPr>
            <w:tcW w:w="2045" w:type="dxa"/>
          </w:tcPr>
          <w:p w14:paraId="166B1264" w14:textId="025D6F5A" w:rsidR="007B5D12" w:rsidRPr="00C47CDB" w:rsidRDefault="007B5D12" w:rsidP="00FA27A6">
            <w:pPr>
              <w:spacing w:line="480" w:lineRule="auto"/>
            </w:pPr>
            <w:r>
              <w:t>1.3</w:t>
            </w:r>
            <w:r w:rsidR="00A13DCF">
              <w:t>7</w:t>
            </w:r>
            <w:r>
              <w:t xml:space="preserve"> (1.0</w:t>
            </w:r>
            <w:r w:rsidR="00A13DCF">
              <w:t>5</w:t>
            </w:r>
            <w:r>
              <w:t>-1.</w:t>
            </w:r>
            <w:r w:rsidR="00A13DCF">
              <w:t>80</w:t>
            </w:r>
            <w:r w:rsidRPr="00C47CDB">
              <w:t>)</w:t>
            </w:r>
            <w:r>
              <w:t>*</w:t>
            </w:r>
          </w:p>
        </w:tc>
        <w:tc>
          <w:tcPr>
            <w:tcW w:w="2250" w:type="dxa"/>
          </w:tcPr>
          <w:p w14:paraId="24AD4A11" w14:textId="6C8F1099" w:rsidR="007B5D12" w:rsidRPr="00C47CDB" w:rsidRDefault="007B5D12" w:rsidP="00FA27A6">
            <w:pPr>
              <w:spacing w:line="480" w:lineRule="auto"/>
            </w:pPr>
            <w:r>
              <w:t>1.</w:t>
            </w:r>
            <w:r w:rsidR="00A13DCF">
              <w:t xml:space="preserve">33 </w:t>
            </w:r>
            <w:r>
              <w:t>(</w:t>
            </w:r>
            <w:r w:rsidR="00A13DCF">
              <w:t>1.01</w:t>
            </w:r>
            <w:r>
              <w:t>-1.7</w:t>
            </w:r>
            <w:r w:rsidR="00A13DCF">
              <w:t>4</w:t>
            </w:r>
            <w:r w:rsidRPr="00C47CDB">
              <w:t>)</w:t>
            </w:r>
            <w:r w:rsidR="00A13DCF">
              <w:t>*</w:t>
            </w:r>
          </w:p>
        </w:tc>
      </w:tr>
      <w:tr w:rsidR="007B5D12" w14:paraId="0451EEE2" w14:textId="77777777" w:rsidTr="00C9539E">
        <w:tc>
          <w:tcPr>
            <w:tcW w:w="3397" w:type="dxa"/>
          </w:tcPr>
          <w:p w14:paraId="25E5C7E4" w14:textId="0D7BD820" w:rsidR="007B5D12" w:rsidRPr="00990DC1" w:rsidRDefault="00C9539E" w:rsidP="00FA27A6">
            <w:pPr>
              <w:spacing w:line="480" w:lineRule="auto"/>
              <w:jc w:val="right"/>
              <w:rPr>
                <w:b/>
              </w:rPr>
            </w:pPr>
            <w:r>
              <w:t>Psychosocial impairments</w:t>
            </w:r>
            <w:r w:rsidR="007B5D12" w:rsidRPr="007C24E6">
              <w:t xml:space="preserve"> </w:t>
            </w:r>
          </w:p>
        </w:tc>
        <w:tc>
          <w:tcPr>
            <w:tcW w:w="1843" w:type="dxa"/>
          </w:tcPr>
          <w:p w14:paraId="7B32489F" w14:textId="1FC217DD" w:rsidR="007B5D12" w:rsidRPr="00125DF3" w:rsidRDefault="007B5D12" w:rsidP="00FA27A6">
            <w:pPr>
              <w:spacing w:line="480" w:lineRule="auto"/>
              <w:jc w:val="center"/>
            </w:pPr>
            <w:r w:rsidRPr="00125DF3">
              <w:t>23.2% (18.0-29.3)</w:t>
            </w:r>
          </w:p>
        </w:tc>
        <w:tc>
          <w:tcPr>
            <w:tcW w:w="2045" w:type="dxa"/>
          </w:tcPr>
          <w:p w14:paraId="5318F0F3" w14:textId="769A47CA" w:rsidR="007B5D12" w:rsidRPr="009E3052" w:rsidRDefault="00A13DCF" w:rsidP="00FA27A6">
            <w:pPr>
              <w:spacing w:line="480" w:lineRule="auto"/>
              <w:rPr>
                <w:highlight w:val="yellow"/>
              </w:rPr>
            </w:pPr>
            <w:r>
              <w:t>2.01</w:t>
            </w:r>
            <w:r w:rsidR="007B5D12">
              <w:t xml:space="preserve"> (1.</w:t>
            </w:r>
            <w:r>
              <w:t>58</w:t>
            </w:r>
            <w:r w:rsidR="007B5D12">
              <w:t>-2.</w:t>
            </w:r>
            <w:r>
              <w:t>56</w:t>
            </w:r>
            <w:r w:rsidR="007B5D12" w:rsidRPr="00EF28CC">
              <w:t>)</w:t>
            </w:r>
            <w:r w:rsidR="007B5D12">
              <w:t>***</w:t>
            </w:r>
          </w:p>
        </w:tc>
        <w:tc>
          <w:tcPr>
            <w:tcW w:w="2250" w:type="dxa"/>
          </w:tcPr>
          <w:p w14:paraId="7EE07769" w14:textId="4C8C0C7D" w:rsidR="007B5D12" w:rsidRPr="009E3052" w:rsidRDefault="007B5D12" w:rsidP="00FA27A6">
            <w:pPr>
              <w:spacing w:line="480" w:lineRule="auto"/>
              <w:rPr>
                <w:highlight w:val="yellow"/>
              </w:rPr>
            </w:pPr>
            <w:r>
              <w:t>1.</w:t>
            </w:r>
            <w:r w:rsidR="00A13DCF">
              <w:t xml:space="preserve">86 </w:t>
            </w:r>
            <w:r>
              <w:t>(1.</w:t>
            </w:r>
            <w:r w:rsidR="00A13DCF">
              <w:t>47</w:t>
            </w:r>
            <w:r>
              <w:t>-2.3</w:t>
            </w:r>
            <w:r w:rsidR="00A13DCF">
              <w:t>6</w:t>
            </w:r>
            <w:r w:rsidRPr="00EF28CC">
              <w:t>)</w:t>
            </w:r>
            <w:r>
              <w:t>***</w:t>
            </w:r>
          </w:p>
        </w:tc>
      </w:tr>
      <w:tr w:rsidR="007B5D12" w14:paraId="6B94AB20" w14:textId="77777777" w:rsidTr="007B5D12">
        <w:tc>
          <w:tcPr>
            <w:tcW w:w="3397" w:type="dxa"/>
          </w:tcPr>
          <w:p w14:paraId="73973B30" w14:textId="6C732CE8" w:rsidR="007B5D12" w:rsidRPr="00990DC1" w:rsidDel="007B5D12" w:rsidRDefault="00C9539E" w:rsidP="00FA27A6">
            <w:pPr>
              <w:spacing w:line="480" w:lineRule="auto"/>
              <w:jc w:val="right"/>
              <w:rPr>
                <w:b/>
              </w:rPr>
            </w:pPr>
            <w:r>
              <w:t>Sensory impairments</w:t>
            </w:r>
            <w:r w:rsidR="007B5D12" w:rsidRPr="007C24E6">
              <w:t xml:space="preserve"> </w:t>
            </w:r>
          </w:p>
        </w:tc>
        <w:tc>
          <w:tcPr>
            <w:tcW w:w="1843" w:type="dxa"/>
          </w:tcPr>
          <w:p w14:paraId="0BC6A18B" w14:textId="6B17A17B" w:rsidR="007B5D12" w:rsidRPr="00125DF3" w:rsidRDefault="007B5D12" w:rsidP="00FA27A6">
            <w:pPr>
              <w:spacing w:line="480" w:lineRule="auto"/>
              <w:jc w:val="center"/>
            </w:pPr>
            <w:r w:rsidRPr="00125DF3">
              <w:t>19.7% (11.7-31.1)</w:t>
            </w:r>
          </w:p>
        </w:tc>
        <w:tc>
          <w:tcPr>
            <w:tcW w:w="2045" w:type="dxa"/>
          </w:tcPr>
          <w:p w14:paraId="5E3003C5" w14:textId="10FA14A4" w:rsidR="007B5D12" w:rsidRPr="009E3052" w:rsidRDefault="007B5D12" w:rsidP="00FA27A6">
            <w:pPr>
              <w:spacing w:line="480" w:lineRule="auto"/>
              <w:rPr>
                <w:highlight w:val="yellow"/>
              </w:rPr>
            </w:pPr>
            <w:r>
              <w:t>1.</w:t>
            </w:r>
            <w:r w:rsidR="00A13DCF">
              <w:t xml:space="preserve">41 </w:t>
            </w:r>
            <w:r>
              <w:t>(0.86-2.</w:t>
            </w:r>
            <w:r w:rsidR="00A13DCF">
              <w:t>30</w:t>
            </w:r>
            <w:r w:rsidRPr="00EF28CC">
              <w:t>)</w:t>
            </w:r>
          </w:p>
        </w:tc>
        <w:tc>
          <w:tcPr>
            <w:tcW w:w="2250" w:type="dxa"/>
          </w:tcPr>
          <w:p w14:paraId="730D9832" w14:textId="20D1CAC7" w:rsidR="007B5D12" w:rsidRPr="009E3052" w:rsidRDefault="007B5D12" w:rsidP="00FA27A6">
            <w:pPr>
              <w:spacing w:line="480" w:lineRule="auto"/>
              <w:rPr>
                <w:highlight w:val="yellow"/>
              </w:rPr>
            </w:pPr>
            <w:r>
              <w:t>1.</w:t>
            </w:r>
            <w:r w:rsidR="00A13DCF">
              <w:t xml:space="preserve">38 </w:t>
            </w:r>
            <w:r>
              <w:t>(0.</w:t>
            </w:r>
            <w:r w:rsidR="00A13DCF">
              <w:t>85</w:t>
            </w:r>
            <w:r>
              <w:t>-2.2</w:t>
            </w:r>
            <w:r w:rsidR="00A13DCF">
              <w:t>5</w:t>
            </w:r>
            <w:r w:rsidRPr="00EF28CC">
              <w:t>)</w:t>
            </w:r>
          </w:p>
        </w:tc>
      </w:tr>
      <w:tr w:rsidR="00C9539E" w14:paraId="6409001D" w14:textId="77777777" w:rsidTr="003E74E2">
        <w:tc>
          <w:tcPr>
            <w:tcW w:w="9535" w:type="dxa"/>
            <w:gridSpan w:val="4"/>
          </w:tcPr>
          <w:p w14:paraId="482AABE1" w14:textId="77777777" w:rsidR="00C9539E" w:rsidRDefault="00C9539E" w:rsidP="00FA27A6">
            <w:pPr>
              <w:spacing w:line="480" w:lineRule="auto"/>
            </w:pPr>
            <w:r w:rsidRPr="00313754">
              <w:t xml:space="preserve">Note: </w:t>
            </w:r>
          </w:p>
          <w:p w14:paraId="2810C40F" w14:textId="323859CE" w:rsidR="00C9539E" w:rsidRDefault="00C9539E" w:rsidP="00FA27A6">
            <w:pPr>
              <w:spacing w:line="480" w:lineRule="auto"/>
            </w:pPr>
            <w:r>
              <w:lastRenderedPageBreak/>
              <w:t>n (sample sizes) are weighted, sample sizes for depression and self-harm are the same as for emotional difficulties</w:t>
            </w:r>
          </w:p>
          <w:p w14:paraId="263E4DD1" w14:textId="77777777" w:rsidR="00C9539E" w:rsidRPr="00313754" w:rsidRDefault="00C9539E" w:rsidP="00FA27A6">
            <w:pPr>
              <w:spacing w:line="480" w:lineRule="auto"/>
            </w:pPr>
            <w:r w:rsidRPr="00313754">
              <w:t xml:space="preserve">PRR = prevalence rate ratio </w:t>
            </w:r>
          </w:p>
          <w:p w14:paraId="5E56877D" w14:textId="64F6831C" w:rsidR="006765CA" w:rsidRDefault="00C9539E" w:rsidP="006765CA">
            <w:pPr>
              <w:spacing w:line="480" w:lineRule="auto"/>
            </w:pPr>
            <w:proofErr w:type="spellStart"/>
            <w:proofErr w:type="gramStart"/>
            <w:r w:rsidRPr="00313754">
              <w:rPr>
                <w:vertAlign w:val="superscript"/>
              </w:rPr>
              <w:t>a</w:t>
            </w:r>
            <w:proofErr w:type="spellEnd"/>
            <w:proofErr w:type="gramEnd"/>
            <w:r w:rsidRPr="00313754">
              <w:rPr>
                <w:vertAlign w:val="superscript"/>
              </w:rPr>
              <w:t xml:space="preserve"> </w:t>
            </w:r>
            <w:r w:rsidRPr="00313754">
              <w:t>adjusted for child gender, child ethnicity, family income poverty, family composition (one or two resident parents), family material hardship.</w:t>
            </w:r>
          </w:p>
          <w:p w14:paraId="1279C1B5" w14:textId="1C2435FE" w:rsidR="006765CA" w:rsidRDefault="006765CA" w:rsidP="006765CA">
            <w:pPr>
              <w:spacing w:line="480" w:lineRule="auto"/>
            </w:pPr>
            <w:r>
              <w:t>* p&lt;0.05, ** p&lt;0.01, *** p&lt;0.001</w:t>
            </w:r>
          </w:p>
        </w:tc>
      </w:tr>
    </w:tbl>
    <w:p w14:paraId="6C37853F" w14:textId="3281F9B1" w:rsidR="00474ECD" w:rsidRDefault="00990DC1">
      <w:r>
        <w:lastRenderedPageBreak/>
        <w:br w:type="page"/>
      </w:r>
      <w:r w:rsidR="00474ECD">
        <w:rPr>
          <w:noProof/>
        </w:rPr>
        <w:lastRenderedPageBreak/>
        <mc:AlternateContent>
          <mc:Choice Requires="wps">
            <w:drawing>
              <wp:anchor distT="45720" distB="45720" distL="114300" distR="114300" simplePos="0" relativeHeight="251659264" behindDoc="0" locked="0" layoutInCell="1" allowOverlap="1" wp14:anchorId="5E026FCE" wp14:editId="6BAF9D26">
                <wp:simplePos x="0" y="0"/>
                <wp:positionH relativeFrom="margin">
                  <wp:posOffset>15498</wp:posOffset>
                </wp:positionH>
                <wp:positionV relativeFrom="paragraph">
                  <wp:posOffset>84272</wp:posOffset>
                </wp:positionV>
                <wp:extent cx="5924550" cy="1404620"/>
                <wp:effectExtent l="0" t="0" r="1905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14:paraId="6BCA84EB" w14:textId="5642168C" w:rsidR="00AB2D68" w:rsidRPr="00474ECD" w:rsidRDefault="00AB2D68" w:rsidP="00474ECD">
                            <w:pPr>
                              <w:pStyle w:val="Heading2"/>
                              <w:spacing w:line="480" w:lineRule="auto"/>
                              <w:rPr>
                                <w:b/>
                                <w:shd w:val="clear" w:color="auto" w:fill="FFFFFF"/>
                              </w:rPr>
                            </w:pPr>
                            <w:r w:rsidRPr="00474ECD">
                              <w:rPr>
                                <w:b/>
                                <w:color w:val="auto"/>
                                <w:shd w:val="clear" w:color="auto" w:fill="FFFFFF"/>
                              </w:rPr>
                              <w:t>Key points</w:t>
                            </w:r>
                            <w:r w:rsidRPr="00474ECD">
                              <w:rPr>
                                <w:b/>
                              </w:rPr>
                              <w:t xml:space="preserve"> </w:t>
                            </w:r>
                          </w:p>
                          <w:p w14:paraId="44615597" w14:textId="23BB842D" w:rsidR="00AB2D68" w:rsidRDefault="00AB2D68" w:rsidP="00474ECD">
                            <w:pPr>
                              <w:pStyle w:val="ListParagraph"/>
                              <w:numPr>
                                <w:ilvl w:val="0"/>
                                <w:numId w:val="21"/>
                              </w:numPr>
                              <w:spacing w:line="480" w:lineRule="auto"/>
                            </w:pPr>
                            <w:r>
                              <w:t>Little is known about the association between emotional difficulties and self-harm among adolescents with a disability</w:t>
                            </w:r>
                          </w:p>
                          <w:p w14:paraId="2BCA32E2" w14:textId="77777777" w:rsidR="00AB2D68" w:rsidRDefault="00AB2D68" w:rsidP="00474ECD">
                            <w:pPr>
                              <w:pStyle w:val="ListParagraph"/>
                              <w:numPr>
                                <w:ilvl w:val="0"/>
                                <w:numId w:val="21"/>
                              </w:numPr>
                              <w:spacing w:line="480" w:lineRule="auto"/>
                            </w:pPr>
                            <w:r>
                              <w:t>In a nationally representative cohort of UK adolescents, those with disability reported markedly higher levels of emotion difficulties and self-harm</w:t>
                            </w:r>
                          </w:p>
                          <w:p w14:paraId="4943BA93" w14:textId="77777777" w:rsidR="00AB2D68" w:rsidRDefault="00AB2D68" w:rsidP="00474ECD">
                            <w:pPr>
                              <w:pStyle w:val="ListParagraph"/>
                              <w:numPr>
                                <w:ilvl w:val="0"/>
                                <w:numId w:val="21"/>
                              </w:numPr>
                              <w:spacing w:line="480" w:lineRule="auto"/>
                            </w:pPr>
                            <w:r>
                              <w:t>Levels of emotional difficulties and self-harm among adolescent girls with disabilities were 1.5 to 4.5 times higher than their non-disabled peers</w:t>
                            </w:r>
                          </w:p>
                          <w:p w14:paraId="4B831E08" w14:textId="178E0545" w:rsidR="00AB2D68" w:rsidRDefault="00AB2D68" w:rsidP="00474ECD">
                            <w:pPr>
                              <w:pStyle w:val="ListParagraph"/>
                              <w:numPr>
                                <w:ilvl w:val="0"/>
                                <w:numId w:val="21"/>
                              </w:numPr>
                              <w:spacing w:line="480" w:lineRule="auto"/>
                            </w:pPr>
                            <w:r>
                              <w:t xml:space="preserve">There is a clear need for providers of all mental health services (including those focusing on primary prevention) to ensure that reasonable accommodations are made to services to ensure that they are responsive to the specific needs of adolescents with disabilities. This is particularly the case for girls with disabilities.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026FCE" id="_x0000_t202" coordsize="21600,21600" o:spt="202" path="m,l,21600r21600,l21600,xe">
                <v:stroke joinstyle="miter"/>
                <v:path gradientshapeok="t" o:connecttype="rect"/>
              </v:shapetype>
              <v:shape id="Text Box 2" o:spid="_x0000_s1026" type="#_x0000_t202" style="position:absolute;margin-left:1.2pt;margin-top:6.65pt;width:466.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">
                <v:textbox style="mso-fit-shape-to-text:t">
                  <w:txbxContent>
                    <w:p w14:paraId="6BCA84EB" w14:textId="5642168C" w:rsidR="00AB2D68" w:rsidRPr="00474ECD" w:rsidRDefault="00AB2D68" w:rsidP="00474ECD">
                      <w:pPr>
                        <w:pStyle w:val="Heading2"/>
                        <w:spacing w:line="480" w:lineRule="auto"/>
                        <w:rPr>
                          <w:b/>
                          <w:shd w:val="clear" w:color="auto" w:fill="FFFFFF"/>
                        </w:rPr>
                      </w:pPr>
                      <w:r w:rsidRPr="00474ECD">
                        <w:rPr>
                          <w:b/>
                          <w:color w:val="auto"/>
                          <w:shd w:val="clear" w:color="auto" w:fill="FFFFFF"/>
                        </w:rPr>
                        <w:t>Key points</w:t>
                      </w:r>
                      <w:r w:rsidRPr="00474ECD">
                        <w:rPr>
                          <w:b/>
                        </w:rPr>
                        <w:t xml:space="preserve"> </w:t>
                      </w:r>
                    </w:p>
                    <w:p w14:paraId="44615597" w14:textId="23BB842D" w:rsidR="00AB2D68" w:rsidRDefault="00AB2D68" w:rsidP="00474ECD">
                      <w:pPr>
                        <w:pStyle w:val="ListParagraph"/>
                        <w:numPr>
                          <w:ilvl w:val="0"/>
                          <w:numId w:val="21"/>
                        </w:numPr>
                        <w:spacing w:line="480" w:lineRule="auto"/>
                      </w:pPr>
                      <w:r>
                        <w:t>Little is known about the association between emotional difficulties and self-harm among adolescents with a disability</w:t>
                      </w:r>
                    </w:p>
                    <w:p w14:paraId="2BCA32E2" w14:textId="77777777" w:rsidR="00AB2D68" w:rsidRDefault="00AB2D68" w:rsidP="00474ECD">
                      <w:pPr>
                        <w:pStyle w:val="ListParagraph"/>
                        <w:numPr>
                          <w:ilvl w:val="0"/>
                          <w:numId w:val="21"/>
                        </w:numPr>
                        <w:spacing w:line="480" w:lineRule="auto"/>
                      </w:pPr>
                      <w:r>
                        <w:t>In a nationally representative cohort of UK adolescents, those with disability reported markedly higher levels of emotion difficulties and self-harm</w:t>
                      </w:r>
                    </w:p>
                    <w:p w14:paraId="4943BA93" w14:textId="77777777" w:rsidR="00AB2D68" w:rsidRDefault="00AB2D68" w:rsidP="00474ECD">
                      <w:pPr>
                        <w:pStyle w:val="ListParagraph"/>
                        <w:numPr>
                          <w:ilvl w:val="0"/>
                          <w:numId w:val="21"/>
                        </w:numPr>
                        <w:spacing w:line="480" w:lineRule="auto"/>
                      </w:pPr>
                      <w:r>
                        <w:t>Levels of emotional difficulties and self-harm among adolescent girls with disabilities were 1.5 to 4.5 times higher than their non-disabled peers</w:t>
                      </w:r>
                    </w:p>
                    <w:p w14:paraId="4B831E08" w14:textId="178E0545" w:rsidR="00AB2D68" w:rsidRDefault="00AB2D68" w:rsidP="00474ECD">
                      <w:pPr>
                        <w:pStyle w:val="ListParagraph"/>
                        <w:numPr>
                          <w:ilvl w:val="0"/>
                          <w:numId w:val="21"/>
                        </w:numPr>
                        <w:spacing w:line="480" w:lineRule="auto"/>
                      </w:pPr>
                      <w:r>
                        <w:t xml:space="preserve">There is a clear need for providers of all mental health services (including those focusing on primary prevention) to ensure that reasonable accommodations are made to services to ensure that they are responsive to the specific needs of adolescents with disabilities. This is particularly the case for girls with disabilities.  </w:t>
                      </w:r>
                    </w:p>
                  </w:txbxContent>
                </v:textbox>
                <w10:wrap type="square" anchorx="margin"/>
              </v:shape>
            </w:pict>
          </mc:Fallback>
        </mc:AlternateContent>
      </w:r>
      <w:r w:rsidR="00474ECD">
        <w:br w:type="page"/>
      </w:r>
    </w:p>
    <w:p w14:paraId="28FFAB63" w14:textId="15BF057D" w:rsidR="005E4AE2" w:rsidRDefault="00512AF1" w:rsidP="00FA27A6">
      <w:pPr>
        <w:pStyle w:val="Heading1"/>
        <w:spacing w:line="480" w:lineRule="auto"/>
      </w:pPr>
      <w:r>
        <w:lastRenderedPageBreak/>
        <w:t>Supplementary Tables</w:t>
      </w:r>
    </w:p>
    <w:p w14:paraId="523A908A" w14:textId="77777777" w:rsidR="00512AF1" w:rsidRDefault="00512AF1" w:rsidP="00FA27A6">
      <w:pPr>
        <w:spacing w:line="480" w:lineRule="auto"/>
      </w:pPr>
      <w:r>
        <w:br w:type="page"/>
      </w:r>
    </w:p>
    <w:tbl>
      <w:tblPr>
        <w:tblStyle w:val="TableGrid"/>
        <w:tblW w:w="0" w:type="auto"/>
        <w:tblLook w:val="04A0" w:firstRow="1" w:lastRow="0" w:firstColumn="1" w:lastColumn="0" w:noHBand="0" w:noVBand="1"/>
      </w:tblPr>
      <w:tblGrid>
        <w:gridCol w:w="2425"/>
        <w:gridCol w:w="3330"/>
        <w:gridCol w:w="3420"/>
      </w:tblGrid>
      <w:tr w:rsidR="00512AF1" w14:paraId="30727211" w14:textId="77777777" w:rsidTr="00F524A5">
        <w:tc>
          <w:tcPr>
            <w:tcW w:w="9175" w:type="dxa"/>
            <w:gridSpan w:val="3"/>
          </w:tcPr>
          <w:p w14:paraId="2BC7F0ED" w14:textId="6010B777" w:rsidR="00512AF1" w:rsidRDefault="00512AF1" w:rsidP="00FA27A6">
            <w:pPr>
              <w:spacing w:line="480" w:lineRule="auto"/>
            </w:pPr>
            <w:r>
              <w:lastRenderedPageBreak/>
              <w:t xml:space="preserve">Supplementary Table </w:t>
            </w:r>
            <w:r w:rsidR="001D33EC">
              <w:t>1</w:t>
            </w:r>
            <w:r>
              <w:t>: Association between covariates and maternal-reported SDQ abnormal child emotional difficulties at age 14</w:t>
            </w:r>
          </w:p>
        </w:tc>
      </w:tr>
      <w:tr w:rsidR="00512AF1" w14:paraId="593CCA5E" w14:textId="77777777" w:rsidTr="00F524A5">
        <w:tc>
          <w:tcPr>
            <w:tcW w:w="2425" w:type="dxa"/>
          </w:tcPr>
          <w:p w14:paraId="318EB1F8" w14:textId="77777777" w:rsidR="00512AF1" w:rsidRDefault="00512AF1" w:rsidP="00FA27A6">
            <w:pPr>
              <w:spacing w:line="480" w:lineRule="auto"/>
            </w:pPr>
            <w:r>
              <w:t>Covariates</w:t>
            </w:r>
          </w:p>
        </w:tc>
        <w:tc>
          <w:tcPr>
            <w:tcW w:w="3330" w:type="dxa"/>
          </w:tcPr>
          <w:p w14:paraId="4A4E4EFC" w14:textId="77777777" w:rsidR="00512AF1" w:rsidRDefault="00512AF1" w:rsidP="00FA27A6">
            <w:pPr>
              <w:spacing w:line="480" w:lineRule="auto"/>
              <w:jc w:val="right"/>
            </w:pPr>
            <w:r>
              <w:t>% (with 95% CI)</w:t>
            </w:r>
          </w:p>
        </w:tc>
        <w:tc>
          <w:tcPr>
            <w:tcW w:w="3420" w:type="dxa"/>
          </w:tcPr>
          <w:p w14:paraId="3938F5DC" w14:textId="77777777" w:rsidR="00512AF1" w:rsidRDefault="00512AF1" w:rsidP="00FA27A6">
            <w:pPr>
              <w:spacing w:line="480" w:lineRule="auto"/>
              <w:jc w:val="right"/>
            </w:pPr>
            <w:r>
              <w:t>Prevalence rate ratio (with 95% CI)</w:t>
            </w:r>
          </w:p>
        </w:tc>
      </w:tr>
      <w:tr w:rsidR="00512AF1" w14:paraId="0F4A9B93" w14:textId="77777777" w:rsidTr="00F524A5">
        <w:tc>
          <w:tcPr>
            <w:tcW w:w="2425" w:type="dxa"/>
          </w:tcPr>
          <w:p w14:paraId="0C2C6300" w14:textId="39FAAF5D" w:rsidR="00512AF1" w:rsidRDefault="00BA42DD" w:rsidP="00FA27A6">
            <w:pPr>
              <w:spacing w:line="480" w:lineRule="auto"/>
            </w:pPr>
            <w:r>
              <w:t xml:space="preserve">Gender </w:t>
            </w:r>
          </w:p>
        </w:tc>
        <w:tc>
          <w:tcPr>
            <w:tcW w:w="3330" w:type="dxa"/>
          </w:tcPr>
          <w:p w14:paraId="1DDEAB3A" w14:textId="77777777" w:rsidR="00512AF1" w:rsidRDefault="00512AF1" w:rsidP="00FA27A6">
            <w:pPr>
              <w:spacing w:line="480" w:lineRule="auto"/>
            </w:pPr>
          </w:p>
        </w:tc>
        <w:tc>
          <w:tcPr>
            <w:tcW w:w="3420" w:type="dxa"/>
          </w:tcPr>
          <w:p w14:paraId="025B9AB4" w14:textId="77777777" w:rsidR="00512AF1" w:rsidRDefault="00512AF1" w:rsidP="00FA27A6">
            <w:pPr>
              <w:spacing w:line="480" w:lineRule="auto"/>
            </w:pPr>
          </w:p>
        </w:tc>
      </w:tr>
      <w:tr w:rsidR="00512AF1" w:rsidRPr="00387554" w14:paraId="57B74C23" w14:textId="77777777" w:rsidTr="00F524A5">
        <w:tc>
          <w:tcPr>
            <w:tcW w:w="2425" w:type="dxa"/>
          </w:tcPr>
          <w:p w14:paraId="3C3F0203" w14:textId="77777777" w:rsidR="00512AF1" w:rsidRDefault="00512AF1" w:rsidP="00FA27A6">
            <w:pPr>
              <w:spacing w:line="480" w:lineRule="auto"/>
              <w:jc w:val="right"/>
            </w:pPr>
            <w:r>
              <w:t>Male</w:t>
            </w:r>
          </w:p>
        </w:tc>
        <w:tc>
          <w:tcPr>
            <w:tcW w:w="3330" w:type="dxa"/>
          </w:tcPr>
          <w:p w14:paraId="583D12FE" w14:textId="15D4A279" w:rsidR="00512AF1" w:rsidRDefault="00512AF1" w:rsidP="00FA27A6">
            <w:pPr>
              <w:spacing w:line="480" w:lineRule="auto"/>
              <w:jc w:val="right"/>
            </w:pPr>
            <w:r>
              <w:t>11.</w:t>
            </w:r>
            <w:r w:rsidR="006875A8">
              <w:t>5</w:t>
            </w:r>
            <w:r>
              <w:t>% (10.</w:t>
            </w:r>
            <w:r w:rsidR="006875A8">
              <w:t>3</w:t>
            </w:r>
            <w:r>
              <w:t>%-1</w:t>
            </w:r>
            <w:r w:rsidR="006875A8">
              <w:t>2.8</w:t>
            </w:r>
            <w:r>
              <w:t>%)</w:t>
            </w:r>
          </w:p>
        </w:tc>
        <w:tc>
          <w:tcPr>
            <w:tcW w:w="3420" w:type="dxa"/>
          </w:tcPr>
          <w:p w14:paraId="3A0E7550" w14:textId="77777777" w:rsidR="00512AF1" w:rsidRPr="00387554" w:rsidRDefault="00512AF1" w:rsidP="00FA27A6">
            <w:pPr>
              <w:spacing w:line="480" w:lineRule="auto"/>
              <w:jc w:val="right"/>
            </w:pPr>
            <w:r w:rsidRPr="00387554">
              <w:t>1</w:t>
            </w:r>
          </w:p>
        </w:tc>
      </w:tr>
      <w:tr w:rsidR="00512AF1" w:rsidRPr="00387554" w14:paraId="091CEE5C" w14:textId="77777777" w:rsidTr="00F524A5">
        <w:tc>
          <w:tcPr>
            <w:tcW w:w="2425" w:type="dxa"/>
          </w:tcPr>
          <w:p w14:paraId="2DF0BEE5" w14:textId="77777777" w:rsidR="00512AF1" w:rsidRDefault="00512AF1" w:rsidP="00FA27A6">
            <w:pPr>
              <w:spacing w:line="480" w:lineRule="auto"/>
              <w:jc w:val="right"/>
            </w:pPr>
            <w:r>
              <w:t>Female</w:t>
            </w:r>
          </w:p>
        </w:tc>
        <w:tc>
          <w:tcPr>
            <w:tcW w:w="3330" w:type="dxa"/>
          </w:tcPr>
          <w:p w14:paraId="07D82B6A" w14:textId="3CEB7109" w:rsidR="00512AF1" w:rsidRDefault="00512AF1" w:rsidP="00FA27A6">
            <w:pPr>
              <w:spacing w:line="480" w:lineRule="auto"/>
              <w:jc w:val="right"/>
            </w:pPr>
            <w:r>
              <w:t>1</w:t>
            </w:r>
            <w:r w:rsidR="006875A8">
              <w:t>6.3</w:t>
            </w:r>
            <w:r>
              <w:t>% (1</w:t>
            </w:r>
            <w:r w:rsidR="006875A8">
              <w:t>5.0</w:t>
            </w:r>
            <w:r>
              <w:t>%-1</w:t>
            </w:r>
            <w:r w:rsidR="006875A8">
              <w:t>7.7</w:t>
            </w:r>
            <w:r>
              <w:t>%)</w:t>
            </w:r>
          </w:p>
        </w:tc>
        <w:tc>
          <w:tcPr>
            <w:tcW w:w="3420" w:type="dxa"/>
          </w:tcPr>
          <w:p w14:paraId="0B063B48" w14:textId="3E62FE8D" w:rsidR="00512AF1" w:rsidRPr="00387554" w:rsidRDefault="00512AF1" w:rsidP="00FA27A6">
            <w:pPr>
              <w:spacing w:line="480" w:lineRule="auto"/>
              <w:jc w:val="right"/>
            </w:pPr>
            <w:r w:rsidRPr="00387554">
              <w:t>1.4</w:t>
            </w:r>
            <w:r w:rsidR="00341519" w:rsidRPr="00387554">
              <w:t>2</w:t>
            </w:r>
            <w:r w:rsidRPr="00387554">
              <w:t xml:space="preserve"> (1.</w:t>
            </w:r>
            <w:r w:rsidR="00341519" w:rsidRPr="00387554">
              <w:t>24</w:t>
            </w:r>
            <w:r w:rsidRPr="00387554">
              <w:t>-1.6</w:t>
            </w:r>
            <w:r w:rsidR="00341519" w:rsidRPr="00387554">
              <w:t>3</w:t>
            </w:r>
            <w:r w:rsidRPr="00387554">
              <w:t>)</w:t>
            </w:r>
            <w:r w:rsidR="006875A8" w:rsidRPr="00387554">
              <w:t>***</w:t>
            </w:r>
          </w:p>
        </w:tc>
      </w:tr>
      <w:tr w:rsidR="00512AF1" w14:paraId="61DA0684" w14:textId="77777777" w:rsidTr="00F524A5">
        <w:tc>
          <w:tcPr>
            <w:tcW w:w="2425" w:type="dxa"/>
          </w:tcPr>
          <w:p w14:paraId="35F0F18D" w14:textId="77777777" w:rsidR="00512AF1" w:rsidRDefault="00512AF1" w:rsidP="00FA27A6">
            <w:pPr>
              <w:spacing w:line="480" w:lineRule="auto"/>
            </w:pPr>
            <w:r>
              <w:t>Ethnicity</w:t>
            </w:r>
          </w:p>
        </w:tc>
        <w:tc>
          <w:tcPr>
            <w:tcW w:w="3330" w:type="dxa"/>
          </w:tcPr>
          <w:p w14:paraId="776F758D" w14:textId="77777777" w:rsidR="00512AF1" w:rsidRDefault="00512AF1" w:rsidP="00FA27A6">
            <w:pPr>
              <w:spacing w:line="480" w:lineRule="auto"/>
              <w:jc w:val="right"/>
            </w:pPr>
          </w:p>
        </w:tc>
        <w:tc>
          <w:tcPr>
            <w:tcW w:w="3420" w:type="dxa"/>
          </w:tcPr>
          <w:p w14:paraId="09FD9F6E" w14:textId="77777777" w:rsidR="00512AF1" w:rsidRDefault="00512AF1" w:rsidP="00FA27A6">
            <w:pPr>
              <w:spacing w:line="480" w:lineRule="auto"/>
              <w:jc w:val="right"/>
            </w:pPr>
          </w:p>
        </w:tc>
      </w:tr>
      <w:tr w:rsidR="00512AF1" w14:paraId="2A2FC307" w14:textId="77777777" w:rsidTr="00F524A5">
        <w:tc>
          <w:tcPr>
            <w:tcW w:w="2425" w:type="dxa"/>
          </w:tcPr>
          <w:p w14:paraId="0438E1B4" w14:textId="77777777" w:rsidR="00512AF1" w:rsidRDefault="00512AF1" w:rsidP="00FA27A6">
            <w:pPr>
              <w:spacing w:line="480" w:lineRule="auto"/>
              <w:jc w:val="right"/>
            </w:pPr>
            <w:r>
              <w:t xml:space="preserve">White </w:t>
            </w:r>
          </w:p>
        </w:tc>
        <w:tc>
          <w:tcPr>
            <w:tcW w:w="3330" w:type="dxa"/>
          </w:tcPr>
          <w:p w14:paraId="15377183" w14:textId="25AE3444" w:rsidR="00512AF1" w:rsidRDefault="00512AF1" w:rsidP="00FA27A6">
            <w:pPr>
              <w:spacing w:line="480" w:lineRule="auto"/>
              <w:jc w:val="right"/>
            </w:pPr>
            <w:r>
              <w:t>1</w:t>
            </w:r>
            <w:r w:rsidR="006875A8">
              <w:t>3</w:t>
            </w:r>
            <w:r>
              <w:t>.1% (1</w:t>
            </w:r>
            <w:r w:rsidR="006875A8">
              <w:t>2.2</w:t>
            </w:r>
            <w:r>
              <w:t>%-1</w:t>
            </w:r>
            <w:r w:rsidR="006875A8">
              <w:t>4.2</w:t>
            </w:r>
            <w:r>
              <w:t>%)</w:t>
            </w:r>
          </w:p>
        </w:tc>
        <w:tc>
          <w:tcPr>
            <w:tcW w:w="3420" w:type="dxa"/>
          </w:tcPr>
          <w:p w14:paraId="0B0A6E22" w14:textId="77777777" w:rsidR="00512AF1" w:rsidRDefault="00512AF1" w:rsidP="00FA27A6">
            <w:pPr>
              <w:spacing w:line="480" w:lineRule="auto"/>
              <w:jc w:val="right"/>
            </w:pPr>
            <w:r>
              <w:t>1</w:t>
            </w:r>
          </w:p>
        </w:tc>
      </w:tr>
      <w:tr w:rsidR="00512AF1" w14:paraId="36DB4EAE" w14:textId="77777777" w:rsidTr="00F524A5">
        <w:tc>
          <w:tcPr>
            <w:tcW w:w="2425" w:type="dxa"/>
          </w:tcPr>
          <w:p w14:paraId="0559B19F" w14:textId="77777777" w:rsidR="00512AF1" w:rsidRDefault="00512AF1" w:rsidP="00FA27A6">
            <w:pPr>
              <w:spacing w:line="480" w:lineRule="auto"/>
              <w:jc w:val="right"/>
            </w:pPr>
            <w:r>
              <w:t>Other</w:t>
            </w:r>
          </w:p>
        </w:tc>
        <w:tc>
          <w:tcPr>
            <w:tcW w:w="3330" w:type="dxa"/>
          </w:tcPr>
          <w:p w14:paraId="5CFFDE93" w14:textId="2B92E17F" w:rsidR="00512AF1" w:rsidRDefault="00512AF1" w:rsidP="00FA27A6">
            <w:pPr>
              <w:spacing w:line="480" w:lineRule="auto"/>
              <w:jc w:val="right"/>
            </w:pPr>
            <w:r>
              <w:t>1</w:t>
            </w:r>
            <w:r w:rsidR="006875A8">
              <w:t>5.7</w:t>
            </w:r>
            <w:r>
              <w:t>% (13.</w:t>
            </w:r>
            <w:r w:rsidR="006875A8">
              <w:t>2</w:t>
            </w:r>
            <w:r>
              <w:t>%-1</w:t>
            </w:r>
            <w:r w:rsidR="006875A8">
              <w:t>8</w:t>
            </w:r>
            <w:r>
              <w:t>.</w:t>
            </w:r>
            <w:r w:rsidR="006875A8">
              <w:t>5</w:t>
            </w:r>
            <w:r>
              <w:t>%)</w:t>
            </w:r>
          </w:p>
        </w:tc>
        <w:tc>
          <w:tcPr>
            <w:tcW w:w="3420" w:type="dxa"/>
          </w:tcPr>
          <w:p w14:paraId="5F0AA7FC" w14:textId="268EB4B8" w:rsidR="00512AF1" w:rsidRDefault="00512AF1" w:rsidP="00FA27A6">
            <w:pPr>
              <w:spacing w:line="480" w:lineRule="auto"/>
              <w:jc w:val="right"/>
            </w:pPr>
            <w:r>
              <w:t>1.1</w:t>
            </w:r>
            <w:r w:rsidR="00387554">
              <w:t>9</w:t>
            </w:r>
            <w:r>
              <w:t xml:space="preserve"> (0.9</w:t>
            </w:r>
            <w:r w:rsidR="00387554">
              <w:t>9</w:t>
            </w:r>
            <w:r>
              <w:t>-1.</w:t>
            </w:r>
            <w:r w:rsidR="00387554">
              <w:t>4</w:t>
            </w:r>
            <w:r>
              <w:t>3)</w:t>
            </w:r>
          </w:p>
        </w:tc>
      </w:tr>
      <w:tr w:rsidR="00512AF1" w14:paraId="5620E784" w14:textId="77777777" w:rsidTr="00F524A5">
        <w:tc>
          <w:tcPr>
            <w:tcW w:w="2425" w:type="dxa"/>
          </w:tcPr>
          <w:p w14:paraId="166644C7" w14:textId="77777777" w:rsidR="00512AF1" w:rsidRDefault="00512AF1" w:rsidP="00FA27A6">
            <w:pPr>
              <w:spacing w:line="480" w:lineRule="auto"/>
            </w:pPr>
            <w:r>
              <w:t>Household composition</w:t>
            </w:r>
          </w:p>
        </w:tc>
        <w:tc>
          <w:tcPr>
            <w:tcW w:w="3330" w:type="dxa"/>
          </w:tcPr>
          <w:p w14:paraId="6C69386B" w14:textId="77777777" w:rsidR="00512AF1" w:rsidRDefault="00512AF1" w:rsidP="00FA27A6">
            <w:pPr>
              <w:spacing w:line="480" w:lineRule="auto"/>
              <w:jc w:val="right"/>
            </w:pPr>
          </w:p>
        </w:tc>
        <w:tc>
          <w:tcPr>
            <w:tcW w:w="3420" w:type="dxa"/>
          </w:tcPr>
          <w:p w14:paraId="1BA64E92" w14:textId="77777777" w:rsidR="00512AF1" w:rsidRDefault="00512AF1" w:rsidP="00FA27A6">
            <w:pPr>
              <w:spacing w:line="480" w:lineRule="auto"/>
              <w:jc w:val="right"/>
            </w:pPr>
          </w:p>
        </w:tc>
      </w:tr>
      <w:tr w:rsidR="00512AF1" w14:paraId="18ED39B5" w14:textId="77777777" w:rsidTr="00F524A5">
        <w:tc>
          <w:tcPr>
            <w:tcW w:w="2425" w:type="dxa"/>
          </w:tcPr>
          <w:p w14:paraId="475EA0CC" w14:textId="77777777" w:rsidR="00512AF1" w:rsidRDefault="00512AF1" w:rsidP="00FA27A6">
            <w:pPr>
              <w:spacing w:line="480" w:lineRule="auto"/>
              <w:jc w:val="right"/>
            </w:pPr>
            <w:r>
              <w:t>Single parent</w:t>
            </w:r>
          </w:p>
        </w:tc>
        <w:tc>
          <w:tcPr>
            <w:tcW w:w="3330" w:type="dxa"/>
          </w:tcPr>
          <w:p w14:paraId="144B96E4" w14:textId="5F83EB42" w:rsidR="00512AF1" w:rsidRDefault="006875A8" w:rsidP="00FA27A6">
            <w:pPr>
              <w:spacing w:line="480" w:lineRule="auto"/>
              <w:jc w:val="right"/>
            </w:pPr>
            <w:r>
              <w:t>18.7</w:t>
            </w:r>
            <w:r w:rsidR="00512AF1">
              <w:t>% (1</w:t>
            </w:r>
            <w:r>
              <w:t>6.8</w:t>
            </w:r>
            <w:r w:rsidR="00512AF1">
              <w:t>%-2</w:t>
            </w:r>
            <w:r>
              <w:t>0.8</w:t>
            </w:r>
            <w:r w:rsidR="00512AF1">
              <w:t>%)</w:t>
            </w:r>
          </w:p>
        </w:tc>
        <w:tc>
          <w:tcPr>
            <w:tcW w:w="3420" w:type="dxa"/>
          </w:tcPr>
          <w:p w14:paraId="32E86812" w14:textId="1631F3BA" w:rsidR="00512AF1" w:rsidRDefault="00512AF1" w:rsidP="00FA27A6">
            <w:pPr>
              <w:spacing w:line="480" w:lineRule="auto"/>
              <w:jc w:val="right"/>
            </w:pPr>
            <w:r>
              <w:t>1.60 (1.40-1.83)</w:t>
            </w:r>
            <w:r w:rsidR="006875A8">
              <w:t>***</w:t>
            </w:r>
          </w:p>
        </w:tc>
      </w:tr>
      <w:tr w:rsidR="00512AF1" w14:paraId="13FDB988" w14:textId="77777777" w:rsidTr="00F524A5">
        <w:tc>
          <w:tcPr>
            <w:tcW w:w="2425" w:type="dxa"/>
          </w:tcPr>
          <w:p w14:paraId="5FCB8CF3" w14:textId="77777777" w:rsidR="00512AF1" w:rsidRDefault="00512AF1" w:rsidP="00FA27A6">
            <w:pPr>
              <w:spacing w:line="480" w:lineRule="auto"/>
              <w:jc w:val="right"/>
            </w:pPr>
            <w:r>
              <w:t>Two parents</w:t>
            </w:r>
          </w:p>
        </w:tc>
        <w:tc>
          <w:tcPr>
            <w:tcW w:w="3330" w:type="dxa"/>
          </w:tcPr>
          <w:p w14:paraId="1EEB28F6" w14:textId="7B53F8FD" w:rsidR="00512AF1" w:rsidRDefault="00512AF1" w:rsidP="00FA27A6">
            <w:pPr>
              <w:spacing w:line="480" w:lineRule="auto"/>
              <w:jc w:val="right"/>
            </w:pPr>
            <w:r>
              <w:t>1</w:t>
            </w:r>
            <w:r w:rsidR="006875A8">
              <w:t>1.7</w:t>
            </w:r>
            <w:r>
              <w:t>% (1</w:t>
            </w:r>
            <w:r w:rsidR="006875A8">
              <w:t>0.8</w:t>
            </w:r>
            <w:r>
              <w:t>%-1</w:t>
            </w:r>
            <w:r w:rsidR="006875A8">
              <w:t>2.8</w:t>
            </w:r>
            <w:r>
              <w:t>%)</w:t>
            </w:r>
          </w:p>
        </w:tc>
        <w:tc>
          <w:tcPr>
            <w:tcW w:w="3420" w:type="dxa"/>
          </w:tcPr>
          <w:p w14:paraId="3E8F214F" w14:textId="77777777" w:rsidR="00512AF1" w:rsidRDefault="00512AF1" w:rsidP="00FA27A6">
            <w:pPr>
              <w:spacing w:line="480" w:lineRule="auto"/>
              <w:jc w:val="right"/>
            </w:pPr>
            <w:r>
              <w:t>1</w:t>
            </w:r>
          </w:p>
        </w:tc>
      </w:tr>
      <w:tr w:rsidR="00512AF1" w14:paraId="0E081D68" w14:textId="77777777" w:rsidTr="00F524A5">
        <w:tc>
          <w:tcPr>
            <w:tcW w:w="2425" w:type="dxa"/>
          </w:tcPr>
          <w:p w14:paraId="07C3441E" w14:textId="77777777" w:rsidR="00512AF1" w:rsidRDefault="00512AF1" w:rsidP="00FA27A6">
            <w:pPr>
              <w:spacing w:line="480" w:lineRule="auto"/>
            </w:pPr>
            <w:r>
              <w:t xml:space="preserve">Income poverty </w:t>
            </w:r>
          </w:p>
        </w:tc>
        <w:tc>
          <w:tcPr>
            <w:tcW w:w="3330" w:type="dxa"/>
          </w:tcPr>
          <w:p w14:paraId="6918DEBB" w14:textId="77777777" w:rsidR="00512AF1" w:rsidRDefault="00512AF1" w:rsidP="00FA27A6">
            <w:pPr>
              <w:spacing w:line="480" w:lineRule="auto"/>
              <w:jc w:val="right"/>
            </w:pPr>
          </w:p>
        </w:tc>
        <w:tc>
          <w:tcPr>
            <w:tcW w:w="3420" w:type="dxa"/>
          </w:tcPr>
          <w:p w14:paraId="7A258FBC" w14:textId="77777777" w:rsidR="00512AF1" w:rsidRDefault="00512AF1" w:rsidP="00FA27A6">
            <w:pPr>
              <w:spacing w:line="480" w:lineRule="auto"/>
              <w:jc w:val="right"/>
            </w:pPr>
          </w:p>
        </w:tc>
      </w:tr>
      <w:tr w:rsidR="00512AF1" w14:paraId="53574811" w14:textId="77777777" w:rsidTr="00F524A5">
        <w:tc>
          <w:tcPr>
            <w:tcW w:w="2425" w:type="dxa"/>
          </w:tcPr>
          <w:p w14:paraId="685CC6DE" w14:textId="77777777" w:rsidR="00512AF1" w:rsidRDefault="00512AF1" w:rsidP="00FA27A6">
            <w:pPr>
              <w:spacing w:line="480" w:lineRule="auto"/>
              <w:jc w:val="right"/>
            </w:pPr>
            <w:r>
              <w:t>Yes</w:t>
            </w:r>
          </w:p>
        </w:tc>
        <w:tc>
          <w:tcPr>
            <w:tcW w:w="3330" w:type="dxa"/>
          </w:tcPr>
          <w:p w14:paraId="4A46134E" w14:textId="5DF0341A" w:rsidR="00512AF1" w:rsidRDefault="00512AF1" w:rsidP="00FA27A6">
            <w:pPr>
              <w:spacing w:line="480" w:lineRule="auto"/>
              <w:jc w:val="right"/>
            </w:pPr>
            <w:r>
              <w:t>2</w:t>
            </w:r>
            <w:r w:rsidR="006875A8">
              <w:t>9.4</w:t>
            </w:r>
            <w:r>
              <w:t>% (1</w:t>
            </w:r>
            <w:r w:rsidR="006875A8">
              <w:t>7.4</w:t>
            </w:r>
            <w:r>
              <w:t>%-2</w:t>
            </w:r>
            <w:r w:rsidR="006875A8">
              <w:t>1.5</w:t>
            </w:r>
            <w:r>
              <w:t>%)</w:t>
            </w:r>
          </w:p>
        </w:tc>
        <w:tc>
          <w:tcPr>
            <w:tcW w:w="3420" w:type="dxa"/>
          </w:tcPr>
          <w:p w14:paraId="7D5F7D4F" w14:textId="06929855" w:rsidR="00512AF1" w:rsidRDefault="00512AF1" w:rsidP="00FA27A6">
            <w:pPr>
              <w:spacing w:line="480" w:lineRule="auto"/>
              <w:jc w:val="right"/>
            </w:pPr>
            <w:r>
              <w:t>1.</w:t>
            </w:r>
            <w:r w:rsidR="00387554">
              <w:t>75</w:t>
            </w:r>
            <w:r>
              <w:t xml:space="preserve"> (1.5</w:t>
            </w:r>
            <w:r w:rsidR="00387554">
              <w:t>3</w:t>
            </w:r>
            <w:r>
              <w:t>-2.0</w:t>
            </w:r>
            <w:r w:rsidR="00387554">
              <w:t>0</w:t>
            </w:r>
            <w:r>
              <w:t>)</w:t>
            </w:r>
            <w:r w:rsidR="006875A8">
              <w:t>***</w:t>
            </w:r>
          </w:p>
        </w:tc>
      </w:tr>
      <w:tr w:rsidR="00512AF1" w14:paraId="30211E82" w14:textId="77777777" w:rsidTr="00F524A5">
        <w:tc>
          <w:tcPr>
            <w:tcW w:w="2425" w:type="dxa"/>
          </w:tcPr>
          <w:p w14:paraId="5674A47E" w14:textId="77777777" w:rsidR="00512AF1" w:rsidRDefault="00512AF1" w:rsidP="00FA27A6">
            <w:pPr>
              <w:spacing w:line="480" w:lineRule="auto"/>
              <w:jc w:val="right"/>
            </w:pPr>
            <w:r>
              <w:t>No</w:t>
            </w:r>
          </w:p>
        </w:tc>
        <w:tc>
          <w:tcPr>
            <w:tcW w:w="3330" w:type="dxa"/>
          </w:tcPr>
          <w:p w14:paraId="53D75A54" w14:textId="4D834FCD" w:rsidR="00512AF1" w:rsidRDefault="00512AF1" w:rsidP="00FA27A6">
            <w:pPr>
              <w:spacing w:line="480" w:lineRule="auto"/>
              <w:jc w:val="right"/>
            </w:pPr>
            <w:r>
              <w:t>11.</w:t>
            </w:r>
            <w:r w:rsidR="006875A8">
              <w:t>1</w:t>
            </w:r>
            <w:r>
              <w:t>% (10.</w:t>
            </w:r>
            <w:r w:rsidR="006875A8">
              <w:t>2</w:t>
            </w:r>
            <w:r>
              <w:t>%-12.</w:t>
            </w:r>
            <w:r w:rsidR="006875A8">
              <w:t>0</w:t>
            </w:r>
            <w:r>
              <w:t>%)</w:t>
            </w:r>
          </w:p>
        </w:tc>
        <w:tc>
          <w:tcPr>
            <w:tcW w:w="3420" w:type="dxa"/>
          </w:tcPr>
          <w:p w14:paraId="07B11938" w14:textId="77777777" w:rsidR="00512AF1" w:rsidRDefault="00512AF1" w:rsidP="00FA27A6">
            <w:pPr>
              <w:spacing w:line="480" w:lineRule="auto"/>
              <w:jc w:val="right"/>
            </w:pPr>
            <w:r>
              <w:t>1</w:t>
            </w:r>
          </w:p>
        </w:tc>
      </w:tr>
      <w:tr w:rsidR="00512AF1" w14:paraId="05B1C022" w14:textId="77777777" w:rsidTr="00F524A5">
        <w:tc>
          <w:tcPr>
            <w:tcW w:w="2425" w:type="dxa"/>
          </w:tcPr>
          <w:p w14:paraId="019C3EAB" w14:textId="77777777" w:rsidR="00512AF1" w:rsidRDefault="00512AF1" w:rsidP="00FA27A6">
            <w:pPr>
              <w:spacing w:line="480" w:lineRule="auto"/>
            </w:pPr>
            <w:r>
              <w:t>Material deprivation</w:t>
            </w:r>
          </w:p>
        </w:tc>
        <w:tc>
          <w:tcPr>
            <w:tcW w:w="3330" w:type="dxa"/>
          </w:tcPr>
          <w:p w14:paraId="621CC6A3" w14:textId="77777777" w:rsidR="00512AF1" w:rsidRDefault="00512AF1" w:rsidP="00FA27A6">
            <w:pPr>
              <w:spacing w:line="480" w:lineRule="auto"/>
              <w:jc w:val="right"/>
            </w:pPr>
          </w:p>
        </w:tc>
        <w:tc>
          <w:tcPr>
            <w:tcW w:w="3420" w:type="dxa"/>
          </w:tcPr>
          <w:p w14:paraId="04FD54FA" w14:textId="77777777" w:rsidR="00512AF1" w:rsidRDefault="00512AF1" w:rsidP="00FA27A6">
            <w:pPr>
              <w:spacing w:line="480" w:lineRule="auto"/>
              <w:jc w:val="right"/>
            </w:pPr>
          </w:p>
        </w:tc>
      </w:tr>
      <w:tr w:rsidR="00512AF1" w14:paraId="7C8C6890" w14:textId="77777777" w:rsidTr="00F524A5">
        <w:tc>
          <w:tcPr>
            <w:tcW w:w="2425" w:type="dxa"/>
          </w:tcPr>
          <w:p w14:paraId="0F248C81" w14:textId="77777777" w:rsidR="00512AF1" w:rsidRDefault="00512AF1" w:rsidP="00FA27A6">
            <w:pPr>
              <w:spacing w:line="480" w:lineRule="auto"/>
              <w:jc w:val="right"/>
            </w:pPr>
            <w:r>
              <w:t>Yes</w:t>
            </w:r>
          </w:p>
        </w:tc>
        <w:tc>
          <w:tcPr>
            <w:tcW w:w="3330" w:type="dxa"/>
          </w:tcPr>
          <w:p w14:paraId="082EF487" w14:textId="58673C1F" w:rsidR="00512AF1" w:rsidRDefault="00512AF1" w:rsidP="00FA27A6">
            <w:pPr>
              <w:spacing w:line="480" w:lineRule="auto"/>
              <w:jc w:val="right"/>
            </w:pPr>
            <w:r>
              <w:t>2</w:t>
            </w:r>
            <w:r w:rsidR="006875A8">
              <w:t>1.7</w:t>
            </w:r>
            <w:r>
              <w:t>% (</w:t>
            </w:r>
            <w:r w:rsidR="006875A8">
              <w:t>19.5</w:t>
            </w:r>
            <w:r>
              <w:t>%-2</w:t>
            </w:r>
            <w:r w:rsidR="006875A8">
              <w:t>4.1</w:t>
            </w:r>
            <w:r>
              <w:t>%)</w:t>
            </w:r>
          </w:p>
        </w:tc>
        <w:tc>
          <w:tcPr>
            <w:tcW w:w="3420" w:type="dxa"/>
          </w:tcPr>
          <w:p w14:paraId="0C679359" w14:textId="40EA9C11" w:rsidR="00512AF1" w:rsidRDefault="00512AF1" w:rsidP="00FA27A6">
            <w:pPr>
              <w:spacing w:line="480" w:lineRule="auto"/>
              <w:jc w:val="right"/>
            </w:pPr>
            <w:r>
              <w:t>1.90 (1.6</w:t>
            </w:r>
            <w:r w:rsidR="00387554">
              <w:t>7</w:t>
            </w:r>
            <w:r>
              <w:t>-2.16)</w:t>
            </w:r>
            <w:r w:rsidR="006875A8">
              <w:t>***</w:t>
            </w:r>
          </w:p>
        </w:tc>
      </w:tr>
      <w:tr w:rsidR="00512AF1" w14:paraId="60A3261A" w14:textId="77777777" w:rsidTr="00F524A5">
        <w:tc>
          <w:tcPr>
            <w:tcW w:w="2425" w:type="dxa"/>
          </w:tcPr>
          <w:p w14:paraId="31945519" w14:textId="77777777" w:rsidR="00512AF1" w:rsidRDefault="00512AF1" w:rsidP="00FA27A6">
            <w:pPr>
              <w:spacing w:line="480" w:lineRule="auto"/>
              <w:jc w:val="right"/>
            </w:pPr>
            <w:r>
              <w:t>No</w:t>
            </w:r>
          </w:p>
        </w:tc>
        <w:tc>
          <w:tcPr>
            <w:tcW w:w="3330" w:type="dxa"/>
          </w:tcPr>
          <w:p w14:paraId="2291726E" w14:textId="639363C7" w:rsidR="00512AF1" w:rsidRDefault="00512AF1" w:rsidP="00FA27A6">
            <w:pPr>
              <w:spacing w:line="480" w:lineRule="auto"/>
              <w:jc w:val="right"/>
            </w:pPr>
            <w:r>
              <w:t>1</w:t>
            </w:r>
            <w:r w:rsidR="006875A8">
              <w:t>1.5</w:t>
            </w:r>
            <w:r>
              <w:t>% (1</w:t>
            </w:r>
            <w:r w:rsidR="006875A8">
              <w:t>0.6</w:t>
            </w:r>
            <w:r>
              <w:t>%-1</w:t>
            </w:r>
            <w:r w:rsidR="006875A8">
              <w:t>2.4</w:t>
            </w:r>
            <w:r>
              <w:t>%)</w:t>
            </w:r>
          </w:p>
        </w:tc>
        <w:tc>
          <w:tcPr>
            <w:tcW w:w="3420" w:type="dxa"/>
          </w:tcPr>
          <w:p w14:paraId="40DFB157" w14:textId="77777777" w:rsidR="00512AF1" w:rsidRDefault="00512AF1" w:rsidP="00FA27A6">
            <w:pPr>
              <w:spacing w:line="480" w:lineRule="auto"/>
              <w:jc w:val="right"/>
            </w:pPr>
            <w:r>
              <w:t>1</w:t>
            </w:r>
          </w:p>
        </w:tc>
      </w:tr>
      <w:tr w:rsidR="00512AF1" w14:paraId="129B80B8" w14:textId="77777777" w:rsidTr="00F524A5">
        <w:tc>
          <w:tcPr>
            <w:tcW w:w="2425" w:type="dxa"/>
          </w:tcPr>
          <w:p w14:paraId="6DF9A8EE" w14:textId="77777777" w:rsidR="00512AF1" w:rsidRDefault="00512AF1" w:rsidP="00FA27A6">
            <w:pPr>
              <w:spacing w:line="480" w:lineRule="auto"/>
            </w:pPr>
            <w:r>
              <w:t>Maternal education</w:t>
            </w:r>
          </w:p>
        </w:tc>
        <w:tc>
          <w:tcPr>
            <w:tcW w:w="3330" w:type="dxa"/>
          </w:tcPr>
          <w:p w14:paraId="1DD2AB79" w14:textId="77777777" w:rsidR="00512AF1" w:rsidRDefault="00512AF1" w:rsidP="00FA27A6">
            <w:pPr>
              <w:spacing w:line="480" w:lineRule="auto"/>
              <w:jc w:val="right"/>
            </w:pPr>
          </w:p>
        </w:tc>
        <w:tc>
          <w:tcPr>
            <w:tcW w:w="3420" w:type="dxa"/>
          </w:tcPr>
          <w:p w14:paraId="360901EC" w14:textId="77777777" w:rsidR="00512AF1" w:rsidRDefault="00512AF1" w:rsidP="00FA27A6">
            <w:pPr>
              <w:spacing w:line="480" w:lineRule="auto"/>
              <w:jc w:val="right"/>
            </w:pPr>
          </w:p>
        </w:tc>
      </w:tr>
      <w:tr w:rsidR="00512AF1" w14:paraId="3180CEED" w14:textId="77777777" w:rsidTr="00F524A5">
        <w:tc>
          <w:tcPr>
            <w:tcW w:w="2425" w:type="dxa"/>
          </w:tcPr>
          <w:p w14:paraId="72A5DF58" w14:textId="77777777" w:rsidR="00512AF1" w:rsidRDefault="00512AF1" w:rsidP="00FA27A6">
            <w:pPr>
              <w:spacing w:line="480" w:lineRule="auto"/>
              <w:jc w:val="right"/>
            </w:pPr>
            <w:r>
              <w:t>Low</w:t>
            </w:r>
          </w:p>
        </w:tc>
        <w:tc>
          <w:tcPr>
            <w:tcW w:w="3330" w:type="dxa"/>
          </w:tcPr>
          <w:p w14:paraId="60761E44" w14:textId="0A2C08CB" w:rsidR="00512AF1" w:rsidRDefault="006875A8" w:rsidP="00FA27A6">
            <w:pPr>
              <w:spacing w:line="480" w:lineRule="auto"/>
              <w:jc w:val="right"/>
            </w:pPr>
            <w:r>
              <w:t>18.9</w:t>
            </w:r>
            <w:r w:rsidR="00512AF1">
              <w:t>% (1</w:t>
            </w:r>
            <w:r>
              <w:t>6.5</w:t>
            </w:r>
            <w:r w:rsidR="00512AF1">
              <w:t>%-2</w:t>
            </w:r>
            <w:r>
              <w:t>1.7</w:t>
            </w:r>
            <w:r w:rsidR="00512AF1">
              <w:t>%)</w:t>
            </w:r>
          </w:p>
        </w:tc>
        <w:tc>
          <w:tcPr>
            <w:tcW w:w="3420" w:type="dxa"/>
          </w:tcPr>
          <w:p w14:paraId="2E73F4BD" w14:textId="5E0B4E8D" w:rsidR="00512AF1" w:rsidRDefault="00512AF1" w:rsidP="00FA27A6">
            <w:pPr>
              <w:spacing w:line="480" w:lineRule="auto"/>
              <w:jc w:val="right"/>
            </w:pPr>
            <w:r>
              <w:t>1.5</w:t>
            </w:r>
            <w:r w:rsidR="00387554">
              <w:t>3</w:t>
            </w:r>
            <w:r>
              <w:t xml:space="preserve"> (1.3</w:t>
            </w:r>
            <w:r w:rsidR="00387554">
              <w:t>0</w:t>
            </w:r>
            <w:r>
              <w:t>-1.8</w:t>
            </w:r>
            <w:r w:rsidR="00387554">
              <w:t>1</w:t>
            </w:r>
            <w:r>
              <w:t>)</w:t>
            </w:r>
            <w:r w:rsidR="006875A8">
              <w:t>***</w:t>
            </w:r>
          </w:p>
        </w:tc>
      </w:tr>
      <w:tr w:rsidR="00512AF1" w14:paraId="23305C73" w14:textId="77777777" w:rsidTr="00F524A5">
        <w:tc>
          <w:tcPr>
            <w:tcW w:w="2425" w:type="dxa"/>
          </w:tcPr>
          <w:p w14:paraId="358F32E3" w14:textId="77777777" w:rsidR="00512AF1" w:rsidRDefault="00512AF1" w:rsidP="00FA27A6">
            <w:pPr>
              <w:spacing w:line="480" w:lineRule="auto"/>
              <w:jc w:val="right"/>
            </w:pPr>
            <w:r>
              <w:t>High</w:t>
            </w:r>
          </w:p>
        </w:tc>
        <w:tc>
          <w:tcPr>
            <w:tcW w:w="3330" w:type="dxa"/>
          </w:tcPr>
          <w:p w14:paraId="51A011AB" w14:textId="5659F803" w:rsidR="00512AF1" w:rsidRDefault="00512AF1" w:rsidP="00FA27A6">
            <w:pPr>
              <w:spacing w:line="480" w:lineRule="auto"/>
              <w:jc w:val="right"/>
            </w:pPr>
            <w:r>
              <w:t>1</w:t>
            </w:r>
            <w:r w:rsidR="006875A8">
              <w:t>2.3</w:t>
            </w:r>
            <w:r>
              <w:t>% (1</w:t>
            </w:r>
            <w:r w:rsidR="006875A8">
              <w:t>1.4</w:t>
            </w:r>
            <w:r>
              <w:t>%-1</w:t>
            </w:r>
            <w:r w:rsidR="006875A8">
              <w:t>3.4</w:t>
            </w:r>
            <w:r>
              <w:t>%)</w:t>
            </w:r>
          </w:p>
        </w:tc>
        <w:tc>
          <w:tcPr>
            <w:tcW w:w="3420" w:type="dxa"/>
          </w:tcPr>
          <w:p w14:paraId="04D2B9D9" w14:textId="77777777" w:rsidR="00512AF1" w:rsidRDefault="00512AF1" w:rsidP="00FA27A6">
            <w:pPr>
              <w:spacing w:line="480" w:lineRule="auto"/>
              <w:jc w:val="right"/>
            </w:pPr>
            <w:r>
              <w:t>1</w:t>
            </w:r>
          </w:p>
        </w:tc>
      </w:tr>
      <w:tr w:rsidR="006875A8" w14:paraId="76D8957B" w14:textId="77777777" w:rsidTr="00521C31">
        <w:tc>
          <w:tcPr>
            <w:tcW w:w="9175" w:type="dxa"/>
            <w:gridSpan w:val="3"/>
          </w:tcPr>
          <w:p w14:paraId="69B2439C" w14:textId="07ADC18F" w:rsidR="006875A8" w:rsidRDefault="006875A8" w:rsidP="006875A8">
            <w:pPr>
              <w:spacing w:line="480" w:lineRule="auto"/>
            </w:pPr>
            <w:r>
              <w:t>* p&lt;0.05, ** p&lt;0.01, *** p&lt;0.001</w:t>
            </w:r>
          </w:p>
        </w:tc>
      </w:tr>
    </w:tbl>
    <w:p w14:paraId="08EC2CB2" w14:textId="77777777" w:rsidR="00512AF1" w:rsidRDefault="00512AF1" w:rsidP="00FA27A6">
      <w:pPr>
        <w:pStyle w:val="NoSpacing"/>
        <w:spacing w:line="480" w:lineRule="auto"/>
      </w:pPr>
    </w:p>
    <w:p w14:paraId="677B4D4D" w14:textId="77777777" w:rsidR="00512AF1" w:rsidRDefault="00512AF1" w:rsidP="00FA27A6">
      <w:pPr>
        <w:spacing w:line="480" w:lineRule="auto"/>
      </w:pPr>
      <w:r>
        <w:br w:type="page"/>
      </w:r>
    </w:p>
    <w:tbl>
      <w:tblPr>
        <w:tblStyle w:val="TableGrid"/>
        <w:tblW w:w="0" w:type="auto"/>
        <w:tblLook w:val="04A0" w:firstRow="1" w:lastRow="0" w:firstColumn="1" w:lastColumn="0" w:noHBand="0" w:noVBand="1"/>
      </w:tblPr>
      <w:tblGrid>
        <w:gridCol w:w="2425"/>
        <w:gridCol w:w="3330"/>
        <w:gridCol w:w="3420"/>
      </w:tblGrid>
      <w:tr w:rsidR="00512AF1" w14:paraId="50382028" w14:textId="77777777" w:rsidTr="00F524A5">
        <w:tc>
          <w:tcPr>
            <w:tcW w:w="9175" w:type="dxa"/>
            <w:gridSpan w:val="3"/>
          </w:tcPr>
          <w:p w14:paraId="511C92CA" w14:textId="7299382A" w:rsidR="00512AF1" w:rsidRDefault="00512AF1" w:rsidP="00FA27A6">
            <w:pPr>
              <w:spacing w:line="480" w:lineRule="auto"/>
            </w:pPr>
            <w:r>
              <w:lastRenderedPageBreak/>
              <w:t xml:space="preserve">Supplementary Table </w:t>
            </w:r>
            <w:r w:rsidR="001D33EC">
              <w:t>2</w:t>
            </w:r>
            <w:r>
              <w:t xml:space="preserve">: Association between covariates and </w:t>
            </w:r>
            <w:r w:rsidR="0038624C">
              <w:t>adolescent</w:t>
            </w:r>
            <w:r>
              <w:t xml:space="preserve">-reported </w:t>
            </w:r>
            <w:r w:rsidRPr="005E20A0">
              <w:t>SF-MFQ</w:t>
            </w:r>
            <w:r>
              <w:t xml:space="preserve"> mental health outcomes at age 14</w:t>
            </w:r>
          </w:p>
        </w:tc>
      </w:tr>
      <w:tr w:rsidR="00512AF1" w14:paraId="299A4084" w14:textId="77777777" w:rsidTr="00F524A5">
        <w:tc>
          <w:tcPr>
            <w:tcW w:w="2425" w:type="dxa"/>
          </w:tcPr>
          <w:p w14:paraId="14367F6B" w14:textId="77777777" w:rsidR="00512AF1" w:rsidRDefault="00512AF1" w:rsidP="00FA27A6">
            <w:pPr>
              <w:spacing w:line="480" w:lineRule="auto"/>
            </w:pPr>
            <w:r>
              <w:t>Covariates</w:t>
            </w:r>
          </w:p>
        </w:tc>
        <w:tc>
          <w:tcPr>
            <w:tcW w:w="3330" w:type="dxa"/>
          </w:tcPr>
          <w:p w14:paraId="09C2DA08" w14:textId="77777777" w:rsidR="00512AF1" w:rsidRDefault="00512AF1" w:rsidP="00FA27A6">
            <w:pPr>
              <w:spacing w:line="480" w:lineRule="auto"/>
              <w:jc w:val="right"/>
            </w:pPr>
            <w:r>
              <w:t>% (with 95% CI)</w:t>
            </w:r>
          </w:p>
        </w:tc>
        <w:tc>
          <w:tcPr>
            <w:tcW w:w="3420" w:type="dxa"/>
          </w:tcPr>
          <w:p w14:paraId="13331430" w14:textId="77777777" w:rsidR="00512AF1" w:rsidRDefault="00512AF1" w:rsidP="00FA27A6">
            <w:pPr>
              <w:spacing w:line="480" w:lineRule="auto"/>
              <w:jc w:val="right"/>
            </w:pPr>
            <w:r>
              <w:t>Prevalence rate ratio (with 95% CI)</w:t>
            </w:r>
          </w:p>
        </w:tc>
      </w:tr>
      <w:tr w:rsidR="00512AF1" w14:paraId="47CEDCF8" w14:textId="77777777" w:rsidTr="00F524A5">
        <w:tc>
          <w:tcPr>
            <w:tcW w:w="2425" w:type="dxa"/>
          </w:tcPr>
          <w:p w14:paraId="1DA9E1F2" w14:textId="77777777" w:rsidR="00512AF1" w:rsidRDefault="00512AF1" w:rsidP="00FA27A6">
            <w:pPr>
              <w:spacing w:line="480" w:lineRule="auto"/>
            </w:pPr>
            <w:r>
              <w:t xml:space="preserve">Sex </w:t>
            </w:r>
          </w:p>
        </w:tc>
        <w:tc>
          <w:tcPr>
            <w:tcW w:w="3330" w:type="dxa"/>
          </w:tcPr>
          <w:p w14:paraId="194DBA29" w14:textId="77777777" w:rsidR="00512AF1" w:rsidRDefault="00512AF1" w:rsidP="00FA27A6">
            <w:pPr>
              <w:spacing w:line="480" w:lineRule="auto"/>
            </w:pPr>
          </w:p>
        </w:tc>
        <w:tc>
          <w:tcPr>
            <w:tcW w:w="3420" w:type="dxa"/>
          </w:tcPr>
          <w:p w14:paraId="55EB880A" w14:textId="77777777" w:rsidR="00512AF1" w:rsidRDefault="00512AF1" w:rsidP="00FA27A6">
            <w:pPr>
              <w:spacing w:line="480" w:lineRule="auto"/>
            </w:pPr>
          </w:p>
        </w:tc>
      </w:tr>
      <w:tr w:rsidR="00512AF1" w14:paraId="342CB1E8" w14:textId="77777777" w:rsidTr="00F524A5">
        <w:tc>
          <w:tcPr>
            <w:tcW w:w="2425" w:type="dxa"/>
          </w:tcPr>
          <w:p w14:paraId="6600012A" w14:textId="77777777" w:rsidR="00512AF1" w:rsidRDefault="00512AF1" w:rsidP="00FA27A6">
            <w:pPr>
              <w:spacing w:line="480" w:lineRule="auto"/>
              <w:jc w:val="right"/>
            </w:pPr>
            <w:r>
              <w:t>Male</w:t>
            </w:r>
          </w:p>
        </w:tc>
        <w:tc>
          <w:tcPr>
            <w:tcW w:w="3330" w:type="dxa"/>
          </w:tcPr>
          <w:p w14:paraId="293997C1" w14:textId="1E5DEC12" w:rsidR="00512AF1" w:rsidRDefault="00C0424A" w:rsidP="00FA27A6">
            <w:pPr>
              <w:spacing w:line="480" w:lineRule="auto"/>
            </w:pPr>
            <w:r>
              <w:t xml:space="preserve">  4.2% (3.5%-5.</w:t>
            </w:r>
            <w:r w:rsidR="006020FC">
              <w:t>1</w:t>
            </w:r>
            <w:r>
              <w:t>%)</w:t>
            </w:r>
          </w:p>
        </w:tc>
        <w:tc>
          <w:tcPr>
            <w:tcW w:w="3420" w:type="dxa"/>
          </w:tcPr>
          <w:p w14:paraId="217F8562" w14:textId="77777777" w:rsidR="00512AF1" w:rsidRDefault="00512AF1" w:rsidP="00FA27A6">
            <w:pPr>
              <w:spacing w:line="480" w:lineRule="auto"/>
              <w:jc w:val="right"/>
            </w:pPr>
            <w:r>
              <w:t>1</w:t>
            </w:r>
          </w:p>
        </w:tc>
      </w:tr>
      <w:tr w:rsidR="00512AF1" w14:paraId="618EF953" w14:textId="77777777" w:rsidTr="00F524A5">
        <w:tc>
          <w:tcPr>
            <w:tcW w:w="2425" w:type="dxa"/>
          </w:tcPr>
          <w:p w14:paraId="31B1D8B0" w14:textId="77777777" w:rsidR="00512AF1" w:rsidRDefault="00512AF1" w:rsidP="00FA27A6">
            <w:pPr>
              <w:spacing w:line="480" w:lineRule="auto"/>
              <w:jc w:val="right"/>
            </w:pPr>
            <w:r>
              <w:t>Female</w:t>
            </w:r>
          </w:p>
        </w:tc>
        <w:tc>
          <w:tcPr>
            <w:tcW w:w="3330" w:type="dxa"/>
          </w:tcPr>
          <w:p w14:paraId="0ED2B5C0" w14:textId="28B6D6ED" w:rsidR="00512AF1" w:rsidRDefault="00C0424A" w:rsidP="00FA27A6">
            <w:pPr>
              <w:spacing w:line="480" w:lineRule="auto"/>
            </w:pPr>
            <w:r>
              <w:t>1</w:t>
            </w:r>
            <w:r w:rsidR="006020FC">
              <w:t>3.9</w:t>
            </w:r>
            <w:r>
              <w:t>% (1</w:t>
            </w:r>
            <w:r w:rsidR="006020FC">
              <w:t>2.6</w:t>
            </w:r>
            <w:r>
              <w:t>%-1</w:t>
            </w:r>
            <w:r w:rsidR="006020FC">
              <w:t>5.3</w:t>
            </w:r>
            <w:r>
              <w:t>%)</w:t>
            </w:r>
          </w:p>
        </w:tc>
        <w:tc>
          <w:tcPr>
            <w:tcW w:w="3420" w:type="dxa"/>
          </w:tcPr>
          <w:p w14:paraId="44934A1C" w14:textId="066E6570" w:rsidR="00512AF1" w:rsidRDefault="009A1CEC" w:rsidP="00FA27A6">
            <w:pPr>
              <w:spacing w:line="480" w:lineRule="auto"/>
              <w:jc w:val="right"/>
            </w:pPr>
            <w:r>
              <w:t>3.</w:t>
            </w:r>
            <w:r w:rsidR="00387554">
              <w:t>31</w:t>
            </w:r>
            <w:r>
              <w:t xml:space="preserve"> (2.</w:t>
            </w:r>
            <w:r w:rsidR="00387554">
              <w:t>67</w:t>
            </w:r>
            <w:r>
              <w:t>-4.</w:t>
            </w:r>
            <w:r w:rsidR="00387554">
              <w:t>09</w:t>
            </w:r>
            <w:r>
              <w:t>)</w:t>
            </w:r>
            <w:r w:rsidR="006020FC">
              <w:t>***</w:t>
            </w:r>
          </w:p>
        </w:tc>
      </w:tr>
      <w:tr w:rsidR="00512AF1" w14:paraId="3A86DCDE" w14:textId="77777777" w:rsidTr="00F524A5">
        <w:tc>
          <w:tcPr>
            <w:tcW w:w="2425" w:type="dxa"/>
          </w:tcPr>
          <w:p w14:paraId="44FFC73C" w14:textId="77777777" w:rsidR="00512AF1" w:rsidRDefault="00512AF1" w:rsidP="00FA27A6">
            <w:pPr>
              <w:spacing w:line="480" w:lineRule="auto"/>
            </w:pPr>
            <w:r>
              <w:t>Ethnicity</w:t>
            </w:r>
          </w:p>
        </w:tc>
        <w:tc>
          <w:tcPr>
            <w:tcW w:w="3330" w:type="dxa"/>
          </w:tcPr>
          <w:p w14:paraId="238B19B9" w14:textId="77777777" w:rsidR="00512AF1" w:rsidRDefault="00512AF1" w:rsidP="00FA27A6">
            <w:pPr>
              <w:spacing w:line="480" w:lineRule="auto"/>
            </w:pPr>
          </w:p>
        </w:tc>
        <w:tc>
          <w:tcPr>
            <w:tcW w:w="3420" w:type="dxa"/>
          </w:tcPr>
          <w:p w14:paraId="2A668847" w14:textId="77777777" w:rsidR="00512AF1" w:rsidRDefault="00512AF1" w:rsidP="00FA27A6">
            <w:pPr>
              <w:spacing w:line="480" w:lineRule="auto"/>
              <w:jc w:val="right"/>
            </w:pPr>
          </w:p>
        </w:tc>
      </w:tr>
      <w:tr w:rsidR="00512AF1" w14:paraId="5C9787DB" w14:textId="77777777" w:rsidTr="00F524A5">
        <w:tc>
          <w:tcPr>
            <w:tcW w:w="2425" w:type="dxa"/>
          </w:tcPr>
          <w:p w14:paraId="62D3F8A7" w14:textId="77777777" w:rsidR="00512AF1" w:rsidRDefault="00512AF1" w:rsidP="00FA27A6">
            <w:pPr>
              <w:spacing w:line="480" w:lineRule="auto"/>
              <w:jc w:val="right"/>
            </w:pPr>
            <w:r>
              <w:t xml:space="preserve">White </w:t>
            </w:r>
          </w:p>
        </w:tc>
        <w:tc>
          <w:tcPr>
            <w:tcW w:w="3330" w:type="dxa"/>
          </w:tcPr>
          <w:p w14:paraId="78F70DDC" w14:textId="2D17F380" w:rsidR="00512AF1" w:rsidRDefault="006020FC" w:rsidP="00FA27A6">
            <w:pPr>
              <w:spacing w:line="480" w:lineRule="auto"/>
            </w:pPr>
            <w:r>
              <w:t>9.4</w:t>
            </w:r>
            <w:r w:rsidR="00C0424A">
              <w:t>% (</w:t>
            </w:r>
            <w:r>
              <w:t>8.6</w:t>
            </w:r>
            <w:r w:rsidR="00C0424A">
              <w:t>%-10.</w:t>
            </w:r>
            <w:r>
              <w:t>2</w:t>
            </w:r>
            <w:r w:rsidR="00C0424A">
              <w:t>%)</w:t>
            </w:r>
          </w:p>
        </w:tc>
        <w:tc>
          <w:tcPr>
            <w:tcW w:w="3420" w:type="dxa"/>
          </w:tcPr>
          <w:p w14:paraId="38DBA00B" w14:textId="77777777" w:rsidR="00512AF1" w:rsidRDefault="00512AF1" w:rsidP="00FA27A6">
            <w:pPr>
              <w:spacing w:line="480" w:lineRule="auto"/>
              <w:jc w:val="right"/>
            </w:pPr>
            <w:r>
              <w:t>1</w:t>
            </w:r>
          </w:p>
        </w:tc>
      </w:tr>
      <w:tr w:rsidR="00512AF1" w14:paraId="661FB054" w14:textId="77777777" w:rsidTr="00F524A5">
        <w:tc>
          <w:tcPr>
            <w:tcW w:w="2425" w:type="dxa"/>
          </w:tcPr>
          <w:p w14:paraId="3C43CFCD" w14:textId="77777777" w:rsidR="00512AF1" w:rsidRDefault="00512AF1" w:rsidP="00FA27A6">
            <w:pPr>
              <w:spacing w:line="480" w:lineRule="auto"/>
              <w:jc w:val="right"/>
            </w:pPr>
            <w:r>
              <w:t>Other</w:t>
            </w:r>
          </w:p>
        </w:tc>
        <w:tc>
          <w:tcPr>
            <w:tcW w:w="3330" w:type="dxa"/>
          </w:tcPr>
          <w:p w14:paraId="1087ACE3" w14:textId="38A9401D" w:rsidR="00512AF1" w:rsidRDefault="00C0424A" w:rsidP="00FA27A6">
            <w:pPr>
              <w:spacing w:line="480" w:lineRule="auto"/>
            </w:pPr>
            <w:r>
              <w:t xml:space="preserve">  7.</w:t>
            </w:r>
            <w:r w:rsidR="006020FC">
              <w:t>2</w:t>
            </w:r>
            <w:r>
              <w:t>% (</w:t>
            </w:r>
            <w:r w:rsidR="006020FC">
              <w:t>5.5</w:t>
            </w:r>
            <w:r>
              <w:t>%-9.</w:t>
            </w:r>
            <w:r w:rsidR="006020FC">
              <w:t>4</w:t>
            </w:r>
            <w:r>
              <w:t>%)</w:t>
            </w:r>
          </w:p>
        </w:tc>
        <w:tc>
          <w:tcPr>
            <w:tcW w:w="3420" w:type="dxa"/>
          </w:tcPr>
          <w:p w14:paraId="400049E5" w14:textId="2E8B054C" w:rsidR="00512AF1" w:rsidRDefault="009A1CEC" w:rsidP="00FA27A6">
            <w:pPr>
              <w:spacing w:line="480" w:lineRule="auto"/>
              <w:jc w:val="right"/>
            </w:pPr>
            <w:r>
              <w:t>0.7</w:t>
            </w:r>
            <w:r w:rsidR="00387554">
              <w:t>8</w:t>
            </w:r>
            <w:r>
              <w:t xml:space="preserve"> (0.</w:t>
            </w:r>
            <w:r w:rsidR="006A79CE">
              <w:t>58</w:t>
            </w:r>
            <w:r>
              <w:t>-</w:t>
            </w:r>
            <w:r w:rsidR="00387554">
              <w:t>1.02</w:t>
            </w:r>
            <w:r>
              <w:t>)</w:t>
            </w:r>
          </w:p>
        </w:tc>
      </w:tr>
      <w:tr w:rsidR="00512AF1" w14:paraId="1F899AB5" w14:textId="77777777" w:rsidTr="00F524A5">
        <w:tc>
          <w:tcPr>
            <w:tcW w:w="2425" w:type="dxa"/>
          </w:tcPr>
          <w:p w14:paraId="68BC740F" w14:textId="77777777" w:rsidR="00512AF1" w:rsidRDefault="00512AF1" w:rsidP="00FA27A6">
            <w:pPr>
              <w:spacing w:line="480" w:lineRule="auto"/>
            </w:pPr>
            <w:r>
              <w:t>Household composition</w:t>
            </w:r>
          </w:p>
        </w:tc>
        <w:tc>
          <w:tcPr>
            <w:tcW w:w="3330" w:type="dxa"/>
          </w:tcPr>
          <w:p w14:paraId="20BD52B8" w14:textId="77777777" w:rsidR="00512AF1" w:rsidRDefault="00512AF1" w:rsidP="00FA27A6">
            <w:pPr>
              <w:spacing w:line="480" w:lineRule="auto"/>
            </w:pPr>
          </w:p>
        </w:tc>
        <w:tc>
          <w:tcPr>
            <w:tcW w:w="3420" w:type="dxa"/>
          </w:tcPr>
          <w:p w14:paraId="1A1B2C92" w14:textId="77777777" w:rsidR="00512AF1" w:rsidRDefault="00512AF1" w:rsidP="00FA27A6">
            <w:pPr>
              <w:spacing w:line="480" w:lineRule="auto"/>
              <w:jc w:val="right"/>
            </w:pPr>
          </w:p>
        </w:tc>
      </w:tr>
      <w:tr w:rsidR="00512AF1" w14:paraId="70BDB084" w14:textId="77777777" w:rsidTr="00F524A5">
        <w:tc>
          <w:tcPr>
            <w:tcW w:w="2425" w:type="dxa"/>
          </w:tcPr>
          <w:p w14:paraId="7D00D809" w14:textId="77777777" w:rsidR="00512AF1" w:rsidRDefault="00512AF1" w:rsidP="00FA27A6">
            <w:pPr>
              <w:spacing w:line="480" w:lineRule="auto"/>
              <w:jc w:val="right"/>
            </w:pPr>
            <w:r>
              <w:t>Single parent</w:t>
            </w:r>
          </w:p>
        </w:tc>
        <w:tc>
          <w:tcPr>
            <w:tcW w:w="3330" w:type="dxa"/>
          </w:tcPr>
          <w:p w14:paraId="246CB9A6" w14:textId="216AC1BE" w:rsidR="00512AF1" w:rsidRDefault="00C0424A" w:rsidP="00FA27A6">
            <w:pPr>
              <w:spacing w:line="480" w:lineRule="auto"/>
            </w:pPr>
            <w:r>
              <w:t>10.</w:t>
            </w:r>
            <w:r w:rsidR="006020FC">
              <w:t>0</w:t>
            </w:r>
            <w:r>
              <w:t>% (</w:t>
            </w:r>
            <w:r w:rsidR="006020FC">
              <w:t>8.4</w:t>
            </w:r>
            <w:r>
              <w:t>%-</w:t>
            </w:r>
            <w:r w:rsidR="006020FC">
              <w:t>11</w:t>
            </w:r>
            <w:r>
              <w:t>.8%)</w:t>
            </w:r>
          </w:p>
        </w:tc>
        <w:tc>
          <w:tcPr>
            <w:tcW w:w="3420" w:type="dxa"/>
          </w:tcPr>
          <w:p w14:paraId="7A1AC9D4" w14:textId="79CEBABF" w:rsidR="00512AF1" w:rsidRDefault="009A1CEC" w:rsidP="00FA27A6">
            <w:pPr>
              <w:spacing w:line="480" w:lineRule="auto"/>
              <w:jc w:val="right"/>
            </w:pPr>
            <w:r>
              <w:t>1.</w:t>
            </w:r>
            <w:r w:rsidR="006A79CE">
              <w:t>17</w:t>
            </w:r>
            <w:r>
              <w:t xml:space="preserve"> (</w:t>
            </w:r>
            <w:r w:rsidR="006A79CE">
              <w:t>0.97</w:t>
            </w:r>
            <w:r>
              <w:t>-1.4</w:t>
            </w:r>
            <w:r w:rsidR="006A79CE">
              <w:t>1</w:t>
            </w:r>
            <w:r>
              <w:t>)</w:t>
            </w:r>
          </w:p>
        </w:tc>
      </w:tr>
      <w:tr w:rsidR="00512AF1" w14:paraId="3768C8BE" w14:textId="77777777" w:rsidTr="00F524A5">
        <w:tc>
          <w:tcPr>
            <w:tcW w:w="2425" w:type="dxa"/>
          </w:tcPr>
          <w:p w14:paraId="3829A460" w14:textId="77777777" w:rsidR="00512AF1" w:rsidRDefault="00512AF1" w:rsidP="00FA27A6">
            <w:pPr>
              <w:spacing w:line="480" w:lineRule="auto"/>
              <w:jc w:val="right"/>
            </w:pPr>
            <w:r>
              <w:t>Two parents</w:t>
            </w:r>
          </w:p>
        </w:tc>
        <w:tc>
          <w:tcPr>
            <w:tcW w:w="3330" w:type="dxa"/>
          </w:tcPr>
          <w:p w14:paraId="3093CA6C" w14:textId="0CC6D500" w:rsidR="00512AF1" w:rsidRDefault="00C0424A" w:rsidP="00FA27A6">
            <w:pPr>
              <w:spacing w:line="480" w:lineRule="auto"/>
            </w:pPr>
            <w:r>
              <w:t xml:space="preserve">  </w:t>
            </w:r>
            <w:r w:rsidR="006020FC">
              <w:t>8.5</w:t>
            </w:r>
            <w:r>
              <w:t>% (</w:t>
            </w:r>
            <w:r w:rsidR="006020FC">
              <w:t>7.7</w:t>
            </w:r>
            <w:r>
              <w:t>%-9.</w:t>
            </w:r>
            <w:r w:rsidR="006020FC">
              <w:t>3</w:t>
            </w:r>
            <w:r>
              <w:t>%)</w:t>
            </w:r>
          </w:p>
        </w:tc>
        <w:tc>
          <w:tcPr>
            <w:tcW w:w="3420" w:type="dxa"/>
          </w:tcPr>
          <w:p w14:paraId="30C95904" w14:textId="77777777" w:rsidR="00512AF1" w:rsidRDefault="00512AF1" w:rsidP="00FA27A6">
            <w:pPr>
              <w:spacing w:line="480" w:lineRule="auto"/>
              <w:jc w:val="right"/>
            </w:pPr>
            <w:r>
              <w:t>1</w:t>
            </w:r>
          </w:p>
        </w:tc>
      </w:tr>
      <w:tr w:rsidR="00512AF1" w14:paraId="641B0D24" w14:textId="77777777" w:rsidTr="00F524A5">
        <w:tc>
          <w:tcPr>
            <w:tcW w:w="2425" w:type="dxa"/>
          </w:tcPr>
          <w:p w14:paraId="49E9F624" w14:textId="77777777" w:rsidR="00512AF1" w:rsidRDefault="00512AF1" w:rsidP="00FA27A6">
            <w:pPr>
              <w:spacing w:line="480" w:lineRule="auto"/>
            </w:pPr>
            <w:r>
              <w:t xml:space="preserve">Income poverty </w:t>
            </w:r>
          </w:p>
        </w:tc>
        <w:tc>
          <w:tcPr>
            <w:tcW w:w="3330" w:type="dxa"/>
          </w:tcPr>
          <w:p w14:paraId="2F94AA1B" w14:textId="77777777" w:rsidR="00512AF1" w:rsidRDefault="00512AF1" w:rsidP="00FA27A6">
            <w:pPr>
              <w:spacing w:line="480" w:lineRule="auto"/>
            </w:pPr>
          </w:p>
        </w:tc>
        <w:tc>
          <w:tcPr>
            <w:tcW w:w="3420" w:type="dxa"/>
          </w:tcPr>
          <w:p w14:paraId="754E9E47" w14:textId="77777777" w:rsidR="00512AF1" w:rsidRDefault="00512AF1" w:rsidP="00FA27A6">
            <w:pPr>
              <w:spacing w:line="480" w:lineRule="auto"/>
              <w:jc w:val="right"/>
            </w:pPr>
          </w:p>
        </w:tc>
      </w:tr>
      <w:tr w:rsidR="00512AF1" w14:paraId="7C7CB6A7" w14:textId="77777777" w:rsidTr="00F524A5">
        <w:tc>
          <w:tcPr>
            <w:tcW w:w="2425" w:type="dxa"/>
          </w:tcPr>
          <w:p w14:paraId="7CD407F3" w14:textId="77777777" w:rsidR="00512AF1" w:rsidRDefault="00512AF1" w:rsidP="00FA27A6">
            <w:pPr>
              <w:spacing w:line="480" w:lineRule="auto"/>
              <w:jc w:val="right"/>
            </w:pPr>
            <w:r>
              <w:t>Yes</w:t>
            </w:r>
          </w:p>
        </w:tc>
        <w:tc>
          <w:tcPr>
            <w:tcW w:w="3330" w:type="dxa"/>
          </w:tcPr>
          <w:p w14:paraId="6D41E85D" w14:textId="2F0152A6" w:rsidR="00512AF1" w:rsidRDefault="006020FC" w:rsidP="00FA27A6">
            <w:pPr>
              <w:spacing w:line="480" w:lineRule="auto"/>
            </w:pPr>
            <w:r>
              <w:t>9</w:t>
            </w:r>
            <w:r w:rsidR="00C0424A">
              <w:t>.4% (8.</w:t>
            </w:r>
            <w:r>
              <w:t>0</w:t>
            </w:r>
            <w:r w:rsidR="00C0424A">
              <w:t>%-1</w:t>
            </w:r>
            <w:r>
              <w:t>1</w:t>
            </w:r>
            <w:r w:rsidR="00C0424A">
              <w:t>.1%)</w:t>
            </w:r>
          </w:p>
        </w:tc>
        <w:tc>
          <w:tcPr>
            <w:tcW w:w="3420" w:type="dxa"/>
          </w:tcPr>
          <w:p w14:paraId="147C37FE" w14:textId="79FC6C19" w:rsidR="00512AF1" w:rsidRDefault="009A1CEC" w:rsidP="00FA27A6">
            <w:pPr>
              <w:spacing w:line="480" w:lineRule="auto"/>
              <w:jc w:val="right"/>
            </w:pPr>
            <w:r>
              <w:t>1.</w:t>
            </w:r>
            <w:r w:rsidR="006A79CE">
              <w:t xml:space="preserve">08 </w:t>
            </w:r>
            <w:r>
              <w:t>(0.9</w:t>
            </w:r>
            <w:r w:rsidR="006A79CE">
              <w:t>0</w:t>
            </w:r>
            <w:r>
              <w:t>-1.3</w:t>
            </w:r>
            <w:r w:rsidR="006A79CE">
              <w:t>0</w:t>
            </w:r>
            <w:r>
              <w:t>)</w:t>
            </w:r>
          </w:p>
        </w:tc>
      </w:tr>
      <w:tr w:rsidR="00512AF1" w14:paraId="3B9D4161" w14:textId="77777777" w:rsidTr="00F524A5">
        <w:tc>
          <w:tcPr>
            <w:tcW w:w="2425" w:type="dxa"/>
          </w:tcPr>
          <w:p w14:paraId="57782B63" w14:textId="77777777" w:rsidR="00512AF1" w:rsidRDefault="00512AF1" w:rsidP="00FA27A6">
            <w:pPr>
              <w:spacing w:line="480" w:lineRule="auto"/>
              <w:jc w:val="right"/>
            </w:pPr>
            <w:r>
              <w:t>No</w:t>
            </w:r>
          </w:p>
        </w:tc>
        <w:tc>
          <w:tcPr>
            <w:tcW w:w="3330" w:type="dxa"/>
          </w:tcPr>
          <w:p w14:paraId="38256595" w14:textId="1B102A9C" w:rsidR="00512AF1" w:rsidRDefault="00C0424A" w:rsidP="00FA27A6">
            <w:pPr>
              <w:spacing w:line="480" w:lineRule="auto"/>
            </w:pPr>
            <w:r>
              <w:t xml:space="preserve">  </w:t>
            </w:r>
            <w:r w:rsidR="006020FC">
              <w:t>8.7</w:t>
            </w:r>
            <w:r>
              <w:t>% (</w:t>
            </w:r>
            <w:r w:rsidR="006020FC">
              <w:t>7.9</w:t>
            </w:r>
            <w:r>
              <w:t>%-</w:t>
            </w:r>
            <w:r w:rsidR="006020FC">
              <w:t>9.6</w:t>
            </w:r>
            <w:r>
              <w:t>%)</w:t>
            </w:r>
          </w:p>
        </w:tc>
        <w:tc>
          <w:tcPr>
            <w:tcW w:w="3420" w:type="dxa"/>
          </w:tcPr>
          <w:p w14:paraId="0DB6DF32" w14:textId="77777777" w:rsidR="00512AF1" w:rsidRDefault="00512AF1" w:rsidP="00FA27A6">
            <w:pPr>
              <w:spacing w:line="480" w:lineRule="auto"/>
              <w:jc w:val="right"/>
            </w:pPr>
            <w:r>
              <w:t>1</w:t>
            </w:r>
          </w:p>
        </w:tc>
      </w:tr>
      <w:tr w:rsidR="00512AF1" w14:paraId="39294952" w14:textId="77777777" w:rsidTr="00F524A5">
        <w:tc>
          <w:tcPr>
            <w:tcW w:w="2425" w:type="dxa"/>
          </w:tcPr>
          <w:p w14:paraId="1AE1F344" w14:textId="77777777" w:rsidR="00512AF1" w:rsidRDefault="00512AF1" w:rsidP="00FA27A6">
            <w:pPr>
              <w:spacing w:line="480" w:lineRule="auto"/>
            </w:pPr>
            <w:r>
              <w:t>Material deprivation</w:t>
            </w:r>
          </w:p>
        </w:tc>
        <w:tc>
          <w:tcPr>
            <w:tcW w:w="3330" w:type="dxa"/>
          </w:tcPr>
          <w:p w14:paraId="693E470D" w14:textId="77777777" w:rsidR="00512AF1" w:rsidRDefault="00512AF1" w:rsidP="00FA27A6">
            <w:pPr>
              <w:spacing w:line="480" w:lineRule="auto"/>
            </w:pPr>
          </w:p>
        </w:tc>
        <w:tc>
          <w:tcPr>
            <w:tcW w:w="3420" w:type="dxa"/>
          </w:tcPr>
          <w:p w14:paraId="1538A547" w14:textId="77777777" w:rsidR="00512AF1" w:rsidRDefault="00512AF1" w:rsidP="00FA27A6">
            <w:pPr>
              <w:spacing w:line="480" w:lineRule="auto"/>
              <w:jc w:val="right"/>
            </w:pPr>
          </w:p>
        </w:tc>
      </w:tr>
      <w:tr w:rsidR="00512AF1" w14:paraId="670AB924" w14:textId="77777777" w:rsidTr="00F524A5">
        <w:tc>
          <w:tcPr>
            <w:tcW w:w="2425" w:type="dxa"/>
          </w:tcPr>
          <w:p w14:paraId="7FEE8EED" w14:textId="77777777" w:rsidR="00512AF1" w:rsidRDefault="00512AF1" w:rsidP="00FA27A6">
            <w:pPr>
              <w:spacing w:line="480" w:lineRule="auto"/>
              <w:jc w:val="right"/>
            </w:pPr>
            <w:r>
              <w:t>Yes</w:t>
            </w:r>
          </w:p>
        </w:tc>
        <w:tc>
          <w:tcPr>
            <w:tcW w:w="3330" w:type="dxa"/>
          </w:tcPr>
          <w:p w14:paraId="7DEE0684" w14:textId="518F608E" w:rsidR="00512AF1" w:rsidRDefault="00C0424A" w:rsidP="00FA27A6">
            <w:pPr>
              <w:spacing w:line="480" w:lineRule="auto"/>
            </w:pPr>
            <w:r>
              <w:t>1</w:t>
            </w:r>
            <w:r w:rsidR="006020FC">
              <w:t>1.9</w:t>
            </w:r>
            <w:r>
              <w:t>% (1</w:t>
            </w:r>
            <w:r w:rsidR="006020FC">
              <w:t>0.2</w:t>
            </w:r>
            <w:r>
              <w:t>%-1</w:t>
            </w:r>
            <w:r w:rsidR="006020FC">
              <w:t>3.8</w:t>
            </w:r>
            <w:r>
              <w:t>%)</w:t>
            </w:r>
          </w:p>
        </w:tc>
        <w:tc>
          <w:tcPr>
            <w:tcW w:w="3420" w:type="dxa"/>
          </w:tcPr>
          <w:p w14:paraId="2F7CEFDD" w14:textId="7FBE236D" w:rsidR="00512AF1" w:rsidRDefault="009A1CEC" w:rsidP="00FA27A6">
            <w:pPr>
              <w:spacing w:line="480" w:lineRule="auto"/>
              <w:jc w:val="right"/>
            </w:pPr>
            <w:r>
              <w:t>1.48 (1.25-1.7</w:t>
            </w:r>
            <w:r w:rsidR="006A79CE">
              <w:t>5</w:t>
            </w:r>
            <w:r>
              <w:t>)</w:t>
            </w:r>
            <w:r w:rsidR="006020FC">
              <w:t>***</w:t>
            </w:r>
          </w:p>
        </w:tc>
      </w:tr>
      <w:tr w:rsidR="00512AF1" w14:paraId="55141B44" w14:textId="77777777" w:rsidTr="00F524A5">
        <w:tc>
          <w:tcPr>
            <w:tcW w:w="2425" w:type="dxa"/>
          </w:tcPr>
          <w:p w14:paraId="216D7B56" w14:textId="77777777" w:rsidR="00512AF1" w:rsidRDefault="00512AF1" w:rsidP="00FA27A6">
            <w:pPr>
              <w:spacing w:line="480" w:lineRule="auto"/>
              <w:jc w:val="right"/>
            </w:pPr>
            <w:r>
              <w:t>No</w:t>
            </w:r>
          </w:p>
        </w:tc>
        <w:tc>
          <w:tcPr>
            <w:tcW w:w="3330" w:type="dxa"/>
          </w:tcPr>
          <w:p w14:paraId="0021633E" w14:textId="20874065" w:rsidR="00512AF1" w:rsidRDefault="00C0424A" w:rsidP="00FA27A6">
            <w:pPr>
              <w:spacing w:line="480" w:lineRule="auto"/>
            </w:pPr>
            <w:r>
              <w:t xml:space="preserve">  8.</w:t>
            </w:r>
            <w:r w:rsidR="006020FC">
              <w:t>1</w:t>
            </w:r>
            <w:r>
              <w:t>% (7.</w:t>
            </w:r>
            <w:r w:rsidR="006020FC">
              <w:t>3</w:t>
            </w:r>
            <w:r>
              <w:t>%-</w:t>
            </w:r>
            <w:r w:rsidR="006020FC">
              <w:t>8.9</w:t>
            </w:r>
            <w:r>
              <w:t>%)</w:t>
            </w:r>
          </w:p>
        </w:tc>
        <w:tc>
          <w:tcPr>
            <w:tcW w:w="3420" w:type="dxa"/>
          </w:tcPr>
          <w:p w14:paraId="1BE90290" w14:textId="77777777" w:rsidR="00512AF1" w:rsidRDefault="00512AF1" w:rsidP="00FA27A6">
            <w:pPr>
              <w:spacing w:line="480" w:lineRule="auto"/>
              <w:jc w:val="right"/>
            </w:pPr>
            <w:r>
              <w:t>1</w:t>
            </w:r>
          </w:p>
        </w:tc>
      </w:tr>
      <w:tr w:rsidR="00512AF1" w14:paraId="777F1ADF" w14:textId="77777777" w:rsidTr="00F524A5">
        <w:tc>
          <w:tcPr>
            <w:tcW w:w="2425" w:type="dxa"/>
          </w:tcPr>
          <w:p w14:paraId="7F66D677" w14:textId="77777777" w:rsidR="00512AF1" w:rsidRDefault="00512AF1" w:rsidP="00FA27A6">
            <w:pPr>
              <w:spacing w:line="480" w:lineRule="auto"/>
            </w:pPr>
            <w:r>
              <w:t>Maternal education</w:t>
            </w:r>
          </w:p>
        </w:tc>
        <w:tc>
          <w:tcPr>
            <w:tcW w:w="3330" w:type="dxa"/>
          </w:tcPr>
          <w:p w14:paraId="273EA079" w14:textId="77777777" w:rsidR="00512AF1" w:rsidRDefault="00512AF1" w:rsidP="00FA27A6">
            <w:pPr>
              <w:spacing w:line="480" w:lineRule="auto"/>
            </w:pPr>
          </w:p>
        </w:tc>
        <w:tc>
          <w:tcPr>
            <w:tcW w:w="3420" w:type="dxa"/>
          </w:tcPr>
          <w:p w14:paraId="289F0492" w14:textId="77777777" w:rsidR="00512AF1" w:rsidRDefault="00512AF1" w:rsidP="00FA27A6">
            <w:pPr>
              <w:spacing w:line="480" w:lineRule="auto"/>
              <w:jc w:val="right"/>
            </w:pPr>
          </w:p>
        </w:tc>
      </w:tr>
      <w:tr w:rsidR="00512AF1" w14:paraId="442BE5C2" w14:textId="77777777" w:rsidTr="00F524A5">
        <w:tc>
          <w:tcPr>
            <w:tcW w:w="2425" w:type="dxa"/>
          </w:tcPr>
          <w:p w14:paraId="6236C1F0" w14:textId="77777777" w:rsidR="00512AF1" w:rsidRDefault="00512AF1" w:rsidP="00FA27A6">
            <w:pPr>
              <w:spacing w:line="480" w:lineRule="auto"/>
              <w:jc w:val="right"/>
            </w:pPr>
            <w:r>
              <w:t>Low</w:t>
            </w:r>
          </w:p>
        </w:tc>
        <w:tc>
          <w:tcPr>
            <w:tcW w:w="3330" w:type="dxa"/>
          </w:tcPr>
          <w:p w14:paraId="69BB07CD" w14:textId="3D2705F6" w:rsidR="00512AF1" w:rsidRDefault="00C0424A" w:rsidP="00FA27A6">
            <w:pPr>
              <w:spacing w:line="480" w:lineRule="auto"/>
            </w:pPr>
            <w:r>
              <w:t xml:space="preserve">  </w:t>
            </w:r>
            <w:r w:rsidR="006020FC">
              <w:t>8.9</w:t>
            </w:r>
            <w:r>
              <w:t>% (7.</w:t>
            </w:r>
            <w:r w:rsidR="006020FC">
              <w:t>2</w:t>
            </w:r>
            <w:r>
              <w:t>%-11.</w:t>
            </w:r>
            <w:r w:rsidR="006020FC">
              <w:t>0</w:t>
            </w:r>
            <w:r>
              <w:t>%)</w:t>
            </w:r>
          </w:p>
        </w:tc>
        <w:tc>
          <w:tcPr>
            <w:tcW w:w="3420" w:type="dxa"/>
          </w:tcPr>
          <w:p w14:paraId="472727BA" w14:textId="4B4BCCEE" w:rsidR="00512AF1" w:rsidRDefault="009A1CEC" w:rsidP="00FA27A6">
            <w:pPr>
              <w:spacing w:line="480" w:lineRule="auto"/>
              <w:jc w:val="right"/>
            </w:pPr>
            <w:r>
              <w:t>1.0</w:t>
            </w:r>
            <w:r w:rsidR="006A79CE">
              <w:t>0</w:t>
            </w:r>
            <w:r>
              <w:t xml:space="preserve"> (0.</w:t>
            </w:r>
            <w:r w:rsidR="006A79CE">
              <w:t>79</w:t>
            </w:r>
            <w:r>
              <w:t>-1.2</w:t>
            </w:r>
            <w:r w:rsidR="006A79CE">
              <w:t>7</w:t>
            </w:r>
            <w:r>
              <w:t>)</w:t>
            </w:r>
          </w:p>
        </w:tc>
      </w:tr>
      <w:tr w:rsidR="00512AF1" w14:paraId="01FF2C37" w14:textId="77777777" w:rsidTr="00F524A5">
        <w:tc>
          <w:tcPr>
            <w:tcW w:w="2425" w:type="dxa"/>
          </w:tcPr>
          <w:p w14:paraId="631A1F7D" w14:textId="77777777" w:rsidR="00512AF1" w:rsidRDefault="00512AF1" w:rsidP="00FA27A6">
            <w:pPr>
              <w:spacing w:line="480" w:lineRule="auto"/>
              <w:jc w:val="right"/>
            </w:pPr>
            <w:r>
              <w:t>High</w:t>
            </w:r>
          </w:p>
        </w:tc>
        <w:tc>
          <w:tcPr>
            <w:tcW w:w="3330" w:type="dxa"/>
          </w:tcPr>
          <w:p w14:paraId="7C36DA58" w14:textId="28B763F5" w:rsidR="00512AF1" w:rsidRDefault="00C0424A" w:rsidP="00FA27A6">
            <w:pPr>
              <w:spacing w:line="480" w:lineRule="auto"/>
            </w:pPr>
            <w:r>
              <w:t xml:space="preserve">  </w:t>
            </w:r>
            <w:r w:rsidR="006020FC">
              <w:t>8.9</w:t>
            </w:r>
            <w:r>
              <w:t>% (</w:t>
            </w:r>
            <w:r w:rsidR="006020FC">
              <w:t>8.1</w:t>
            </w:r>
            <w:r>
              <w:t>%-</w:t>
            </w:r>
            <w:r w:rsidR="006020FC">
              <w:t>9.8</w:t>
            </w:r>
            <w:r>
              <w:t>%)</w:t>
            </w:r>
          </w:p>
        </w:tc>
        <w:tc>
          <w:tcPr>
            <w:tcW w:w="3420" w:type="dxa"/>
          </w:tcPr>
          <w:p w14:paraId="5F635D4D" w14:textId="77777777" w:rsidR="00512AF1" w:rsidRDefault="00512AF1" w:rsidP="00FA27A6">
            <w:pPr>
              <w:spacing w:line="480" w:lineRule="auto"/>
              <w:jc w:val="right"/>
            </w:pPr>
            <w:r>
              <w:t>1</w:t>
            </w:r>
          </w:p>
        </w:tc>
      </w:tr>
      <w:tr w:rsidR="006875A8" w14:paraId="41C8AF09" w14:textId="77777777" w:rsidTr="00521C31">
        <w:tc>
          <w:tcPr>
            <w:tcW w:w="9175" w:type="dxa"/>
            <w:gridSpan w:val="3"/>
          </w:tcPr>
          <w:p w14:paraId="3E93A90A" w14:textId="1D0F101E" w:rsidR="006875A8" w:rsidRDefault="006875A8" w:rsidP="006875A8">
            <w:pPr>
              <w:spacing w:line="480" w:lineRule="auto"/>
            </w:pPr>
            <w:r>
              <w:t>* p&lt;0.05, ** p&lt;0.01, *** p&lt;0.001</w:t>
            </w:r>
          </w:p>
        </w:tc>
      </w:tr>
    </w:tbl>
    <w:p w14:paraId="1AAA8084" w14:textId="77777777" w:rsidR="00512AF1" w:rsidRDefault="00512AF1" w:rsidP="00FA27A6">
      <w:pPr>
        <w:pStyle w:val="NoSpacing"/>
        <w:spacing w:line="480" w:lineRule="auto"/>
      </w:pPr>
    </w:p>
    <w:tbl>
      <w:tblPr>
        <w:tblStyle w:val="TableGrid"/>
        <w:tblW w:w="0" w:type="auto"/>
        <w:tblLook w:val="04A0" w:firstRow="1" w:lastRow="0" w:firstColumn="1" w:lastColumn="0" w:noHBand="0" w:noVBand="1"/>
      </w:tblPr>
      <w:tblGrid>
        <w:gridCol w:w="2425"/>
        <w:gridCol w:w="3330"/>
        <w:gridCol w:w="3420"/>
      </w:tblGrid>
      <w:tr w:rsidR="00512AF1" w14:paraId="50D6D0C4" w14:textId="77777777" w:rsidTr="00F524A5">
        <w:tc>
          <w:tcPr>
            <w:tcW w:w="9175" w:type="dxa"/>
            <w:gridSpan w:val="3"/>
          </w:tcPr>
          <w:p w14:paraId="15469BE1" w14:textId="3C620A67" w:rsidR="00512AF1" w:rsidRDefault="00512AF1" w:rsidP="00FA27A6">
            <w:pPr>
              <w:spacing w:line="480" w:lineRule="auto"/>
            </w:pPr>
            <w:r>
              <w:lastRenderedPageBreak/>
              <w:br w:type="page"/>
              <w:t xml:space="preserve">Supplementary Table </w:t>
            </w:r>
            <w:r w:rsidR="001D33EC">
              <w:t>3</w:t>
            </w:r>
            <w:r>
              <w:t xml:space="preserve">: Association between covariates and </w:t>
            </w:r>
            <w:r w:rsidR="0038624C">
              <w:t>adolescent</w:t>
            </w:r>
            <w:r>
              <w:t>-reported self-harm at age 14</w:t>
            </w:r>
          </w:p>
        </w:tc>
      </w:tr>
      <w:tr w:rsidR="00512AF1" w14:paraId="5A0BB0AB" w14:textId="77777777" w:rsidTr="00F524A5">
        <w:tc>
          <w:tcPr>
            <w:tcW w:w="2425" w:type="dxa"/>
          </w:tcPr>
          <w:p w14:paraId="5C13DAB9" w14:textId="77777777" w:rsidR="00512AF1" w:rsidRDefault="00512AF1" w:rsidP="00FA27A6">
            <w:pPr>
              <w:spacing w:line="480" w:lineRule="auto"/>
            </w:pPr>
            <w:r>
              <w:t>Covariates</w:t>
            </w:r>
          </w:p>
        </w:tc>
        <w:tc>
          <w:tcPr>
            <w:tcW w:w="3330" w:type="dxa"/>
          </w:tcPr>
          <w:p w14:paraId="00BADE27" w14:textId="77777777" w:rsidR="00512AF1" w:rsidRDefault="00512AF1" w:rsidP="00FA27A6">
            <w:pPr>
              <w:spacing w:line="480" w:lineRule="auto"/>
              <w:jc w:val="right"/>
            </w:pPr>
            <w:r>
              <w:t>% (with 95% CI)</w:t>
            </w:r>
          </w:p>
        </w:tc>
        <w:tc>
          <w:tcPr>
            <w:tcW w:w="3420" w:type="dxa"/>
          </w:tcPr>
          <w:p w14:paraId="1BE923B6" w14:textId="77777777" w:rsidR="00512AF1" w:rsidRDefault="00512AF1" w:rsidP="00FA27A6">
            <w:pPr>
              <w:spacing w:line="480" w:lineRule="auto"/>
              <w:jc w:val="right"/>
            </w:pPr>
            <w:r>
              <w:t>Prevalence rate ratio (with 95% CI)</w:t>
            </w:r>
          </w:p>
        </w:tc>
      </w:tr>
      <w:tr w:rsidR="00512AF1" w14:paraId="6EF2C63A" w14:textId="77777777" w:rsidTr="00F524A5">
        <w:tc>
          <w:tcPr>
            <w:tcW w:w="2425" w:type="dxa"/>
          </w:tcPr>
          <w:p w14:paraId="0D857444" w14:textId="77777777" w:rsidR="00512AF1" w:rsidRDefault="00512AF1" w:rsidP="00FA27A6">
            <w:pPr>
              <w:spacing w:line="480" w:lineRule="auto"/>
            </w:pPr>
            <w:r>
              <w:t xml:space="preserve">Sex </w:t>
            </w:r>
          </w:p>
        </w:tc>
        <w:tc>
          <w:tcPr>
            <w:tcW w:w="3330" w:type="dxa"/>
          </w:tcPr>
          <w:p w14:paraId="53CA124B" w14:textId="77777777" w:rsidR="00512AF1" w:rsidRDefault="00512AF1" w:rsidP="00FA27A6">
            <w:pPr>
              <w:spacing w:line="480" w:lineRule="auto"/>
              <w:jc w:val="right"/>
            </w:pPr>
          </w:p>
        </w:tc>
        <w:tc>
          <w:tcPr>
            <w:tcW w:w="3420" w:type="dxa"/>
          </w:tcPr>
          <w:p w14:paraId="0A2CACED" w14:textId="77777777" w:rsidR="00512AF1" w:rsidRDefault="00512AF1" w:rsidP="00FA27A6">
            <w:pPr>
              <w:spacing w:line="480" w:lineRule="auto"/>
              <w:jc w:val="right"/>
            </w:pPr>
          </w:p>
        </w:tc>
      </w:tr>
      <w:tr w:rsidR="00512AF1" w14:paraId="3F53D35A" w14:textId="77777777" w:rsidTr="00F524A5">
        <w:tc>
          <w:tcPr>
            <w:tcW w:w="2425" w:type="dxa"/>
          </w:tcPr>
          <w:p w14:paraId="72AB9FDF" w14:textId="77777777" w:rsidR="00512AF1" w:rsidRDefault="00512AF1" w:rsidP="00FA27A6">
            <w:pPr>
              <w:spacing w:line="480" w:lineRule="auto"/>
              <w:jc w:val="right"/>
            </w:pPr>
            <w:r>
              <w:t>Male</w:t>
            </w:r>
          </w:p>
        </w:tc>
        <w:tc>
          <w:tcPr>
            <w:tcW w:w="3330" w:type="dxa"/>
          </w:tcPr>
          <w:p w14:paraId="3D211124" w14:textId="14A56FC5" w:rsidR="00512AF1" w:rsidRDefault="00512AF1" w:rsidP="00FA27A6">
            <w:pPr>
              <w:spacing w:line="480" w:lineRule="auto"/>
              <w:jc w:val="right"/>
            </w:pPr>
            <w:r>
              <w:t>8.2% (7.3</w:t>
            </w:r>
            <w:r w:rsidR="006020FC">
              <w:t>%</w:t>
            </w:r>
            <w:r>
              <w:t>-9.2</w:t>
            </w:r>
            <w:r w:rsidR="006020FC">
              <w:t>%</w:t>
            </w:r>
            <w:r>
              <w:t>)</w:t>
            </w:r>
          </w:p>
        </w:tc>
        <w:tc>
          <w:tcPr>
            <w:tcW w:w="3420" w:type="dxa"/>
          </w:tcPr>
          <w:p w14:paraId="389B77E8" w14:textId="77777777" w:rsidR="00512AF1" w:rsidRDefault="00512AF1" w:rsidP="00FA27A6">
            <w:pPr>
              <w:spacing w:line="480" w:lineRule="auto"/>
              <w:jc w:val="right"/>
            </w:pPr>
            <w:r>
              <w:t>1</w:t>
            </w:r>
          </w:p>
        </w:tc>
      </w:tr>
      <w:tr w:rsidR="00512AF1" w14:paraId="2D234298" w14:textId="77777777" w:rsidTr="00F524A5">
        <w:tc>
          <w:tcPr>
            <w:tcW w:w="2425" w:type="dxa"/>
          </w:tcPr>
          <w:p w14:paraId="0DDFF5E5" w14:textId="77777777" w:rsidR="00512AF1" w:rsidRDefault="00512AF1" w:rsidP="00FA27A6">
            <w:pPr>
              <w:spacing w:line="480" w:lineRule="auto"/>
              <w:jc w:val="right"/>
            </w:pPr>
            <w:r>
              <w:t>Female</w:t>
            </w:r>
          </w:p>
        </w:tc>
        <w:tc>
          <w:tcPr>
            <w:tcW w:w="3330" w:type="dxa"/>
          </w:tcPr>
          <w:p w14:paraId="63E90FA1" w14:textId="4BCB0701" w:rsidR="00512AF1" w:rsidRDefault="00512AF1" w:rsidP="00FA27A6">
            <w:pPr>
              <w:spacing w:line="480" w:lineRule="auto"/>
              <w:jc w:val="right"/>
            </w:pPr>
            <w:r>
              <w:t>22.</w:t>
            </w:r>
            <w:r w:rsidR="006020FC">
              <w:t>0</w:t>
            </w:r>
            <w:r>
              <w:t>% (2</w:t>
            </w:r>
            <w:r w:rsidR="006020FC">
              <w:t>0.3%</w:t>
            </w:r>
            <w:r>
              <w:t>-2</w:t>
            </w:r>
            <w:r w:rsidR="006020FC">
              <w:t>3.7%</w:t>
            </w:r>
            <w:r>
              <w:t>)</w:t>
            </w:r>
          </w:p>
        </w:tc>
        <w:tc>
          <w:tcPr>
            <w:tcW w:w="3420" w:type="dxa"/>
          </w:tcPr>
          <w:p w14:paraId="7F099197" w14:textId="46D8A175" w:rsidR="00512AF1" w:rsidRDefault="00512AF1" w:rsidP="00FA27A6">
            <w:pPr>
              <w:spacing w:line="480" w:lineRule="auto"/>
              <w:jc w:val="right"/>
            </w:pPr>
            <w:r>
              <w:t>2.</w:t>
            </w:r>
            <w:r w:rsidR="006A79CE">
              <w:t>6</w:t>
            </w:r>
            <w:r>
              <w:t>7 (2.44-3.19)</w:t>
            </w:r>
            <w:r w:rsidR="00130748">
              <w:t>***</w:t>
            </w:r>
          </w:p>
        </w:tc>
      </w:tr>
      <w:tr w:rsidR="00512AF1" w14:paraId="7066FAF7" w14:textId="77777777" w:rsidTr="00F524A5">
        <w:tc>
          <w:tcPr>
            <w:tcW w:w="2425" w:type="dxa"/>
          </w:tcPr>
          <w:p w14:paraId="3CBE9B0F" w14:textId="77777777" w:rsidR="00512AF1" w:rsidRDefault="00512AF1" w:rsidP="00FA27A6">
            <w:pPr>
              <w:spacing w:line="480" w:lineRule="auto"/>
            </w:pPr>
            <w:r>
              <w:t>Ethnicity</w:t>
            </w:r>
          </w:p>
        </w:tc>
        <w:tc>
          <w:tcPr>
            <w:tcW w:w="3330" w:type="dxa"/>
          </w:tcPr>
          <w:p w14:paraId="774F601E" w14:textId="77777777" w:rsidR="00512AF1" w:rsidRDefault="00512AF1" w:rsidP="00FA27A6">
            <w:pPr>
              <w:spacing w:line="480" w:lineRule="auto"/>
              <w:jc w:val="right"/>
            </w:pPr>
          </w:p>
        </w:tc>
        <w:tc>
          <w:tcPr>
            <w:tcW w:w="3420" w:type="dxa"/>
          </w:tcPr>
          <w:p w14:paraId="3B275EA7" w14:textId="77777777" w:rsidR="00512AF1" w:rsidRDefault="00512AF1" w:rsidP="00FA27A6">
            <w:pPr>
              <w:spacing w:line="480" w:lineRule="auto"/>
              <w:jc w:val="right"/>
            </w:pPr>
          </w:p>
        </w:tc>
      </w:tr>
      <w:tr w:rsidR="00512AF1" w14:paraId="1C8D5E02" w14:textId="77777777" w:rsidTr="00F524A5">
        <w:tc>
          <w:tcPr>
            <w:tcW w:w="2425" w:type="dxa"/>
          </w:tcPr>
          <w:p w14:paraId="39B6CED1" w14:textId="77777777" w:rsidR="00512AF1" w:rsidRDefault="00512AF1" w:rsidP="00FA27A6">
            <w:pPr>
              <w:spacing w:line="480" w:lineRule="auto"/>
              <w:jc w:val="right"/>
            </w:pPr>
            <w:r>
              <w:t xml:space="preserve">White </w:t>
            </w:r>
          </w:p>
        </w:tc>
        <w:tc>
          <w:tcPr>
            <w:tcW w:w="3330" w:type="dxa"/>
          </w:tcPr>
          <w:p w14:paraId="3528EFC8" w14:textId="648D9FFC" w:rsidR="00512AF1" w:rsidRDefault="00512AF1" w:rsidP="00FA27A6">
            <w:pPr>
              <w:spacing w:line="480" w:lineRule="auto"/>
              <w:jc w:val="right"/>
            </w:pPr>
            <w:r>
              <w:t>1</w:t>
            </w:r>
            <w:r w:rsidR="006020FC">
              <w:t>5.8</w:t>
            </w:r>
            <w:r>
              <w:t>% (1</w:t>
            </w:r>
            <w:r w:rsidR="006020FC">
              <w:t>4.8%</w:t>
            </w:r>
            <w:r>
              <w:t>-1</w:t>
            </w:r>
            <w:r w:rsidR="006020FC">
              <w:t>6.9%</w:t>
            </w:r>
            <w:r>
              <w:t>)</w:t>
            </w:r>
          </w:p>
        </w:tc>
        <w:tc>
          <w:tcPr>
            <w:tcW w:w="3420" w:type="dxa"/>
          </w:tcPr>
          <w:p w14:paraId="7E83ACE9" w14:textId="77777777" w:rsidR="00512AF1" w:rsidRDefault="00512AF1" w:rsidP="00FA27A6">
            <w:pPr>
              <w:spacing w:line="480" w:lineRule="auto"/>
              <w:jc w:val="right"/>
            </w:pPr>
            <w:r>
              <w:t>1</w:t>
            </w:r>
          </w:p>
        </w:tc>
      </w:tr>
      <w:tr w:rsidR="00512AF1" w14:paraId="68EF9F84" w14:textId="77777777" w:rsidTr="00F524A5">
        <w:tc>
          <w:tcPr>
            <w:tcW w:w="2425" w:type="dxa"/>
          </w:tcPr>
          <w:p w14:paraId="765C33D6" w14:textId="77777777" w:rsidR="00512AF1" w:rsidRDefault="00512AF1" w:rsidP="00FA27A6">
            <w:pPr>
              <w:spacing w:line="480" w:lineRule="auto"/>
              <w:jc w:val="right"/>
            </w:pPr>
            <w:r>
              <w:t>Other</w:t>
            </w:r>
          </w:p>
        </w:tc>
        <w:tc>
          <w:tcPr>
            <w:tcW w:w="3330" w:type="dxa"/>
          </w:tcPr>
          <w:p w14:paraId="4A3D9306" w14:textId="58DBD127" w:rsidR="00512AF1" w:rsidRDefault="00512AF1" w:rsidP="00FA27A6">
            <w:pPr>
              <w:spacing w:line="480" w:lineRule="auto"/>
              <w:jc w:val="right"/>
            </w:pPr>
            <w:r>
              <w:t>1</w:t>
            </w:r>
            <w:r w:rsidR="006020FC">
              <w:t>1.0%</w:t>
            </w:r>
            <w:r>
              <w:t xml:space="preserve"> (</w:t>
            </w:r>
            <w:r w:rsidR="006020FC">
              <w:t>9.2%</w:t>
            </w:r>
            <w:r>
              <w:t>-1</w:t>
            </w:r>
            <w:r w:rsidR="006020FC">
              <w:t>3.1%</w:t>
            </w:r>
            <w:r>
              <w:t>)</w:t>
            </w:r>
          </w:p>
        </w:tc>
        <w:tc>
          <w:tcPr>
            <w:tcW w:w="3420" w:type="dxa"/>
          </w:tcPr>
          <w:p w14:paraId="373E37CE" w14:textId="2670F469" w:rsidR="00512AF1" w:rsidRDefault="00512AF1" w:rsidP="00FA27A6">
            <w:pPr>
              <w:spacing w:line="480" w:lineRule="auto"/>
              <w:jc w:val="right"/>
            </w:pPr>
            <w:r>
              <w:t>0.6</w:t>
            </w:r>
            <w:r w:rsidR="006A79CE">
              <w:t>9</w:t>
            </w:r>
            <w:r>
              <w:t xml:space="preserve"> (0.5</w:t>
            </w:r>
            <w:r w:rsidR="006A79CE">
              <w:t>7</w:t>
            </w:r>
            <w:r>
              <w:t>-0.</w:t>
            </w:r>
            <w:r w:rsidR="006A79CE">
              <w:t>84</w:t>
            </w:r>
            <w:r>
              <w:t>)</w:t>
            </w:r>
            <w:r w:rsidR="006A79CE">
              <w:t>***</w:t>
            </w:r>
          </w:p>
        </w:tc>
      </w:tr>
      <w:tr w:rsidR="00512AF1" w14:paraId="4A6E4BAD" w14:textId="77777777" w:rsidTr="00F524A5">
        <w:tc>
          <w:tcPr>
            <w:tcW w:w="2425" w:type="dxa"/>
          </w:tcPr>
          <w:p w14:paraId="4BC7884F" w14:textId="77777777" w:rsidR="00512AF1" w:rsidRDefault="00512AF1" w:rsidP="00FA27A6">
            <w:pPr>
              <w:spacing w:line="480" w:lineRule="auto"/>
            </w:pPr>
            <w:r>
              <w:t>Household composition</w:t>
            </w:r>
          </w:p>
        </w:tc>
        <w:tc>
          <w:tcPr>
            <w:tcW w:w="3330" w:type="dxa"/>
          </w:tcPr>
          <w:p w14:paraId="40C5141E" w14:textId="77777777" w:rsidR="00512AF1" w:rsidRDefault="00512AF1" w:rsidP="00FA27A6">
            <w:pPr>
              <w:spacing w:line="480" w:lineRule="auto"/>
              <w:jc w:val="right"/>
            </w:pPr>
          </w:p>
        </w:tc>
        <w:tc>
          <w:tcPr>
            <w:tcW w:w="3420" w:type="dxa"/>
          </w:tcPr>
          <w:p w14:paraId="63A19F6F" w14:textId="77777777" w:rsidR="00512AF1" w:rsidRDefault="00512AF1" w:rsidP="00FA27A6">
            <w:pPr>
              <w:spacing w:line="480" w:lineRule="auto"/>
              <w:jc w:val="right"/>
            </w:pPr>
          </w:p>
        </w:tc>
      </w:tr>
      <w:tr w:rsidR="00512AF1" w14:paraId="7CEC449B" w14:textId="77777777" w:rsidTr="00F524A5">
        <w:tc>
          <w:tcPr>
            <w:tcW w:w="2425" w:type="dxa"/>
          </w:tcPr>
          <w:p w14:paraId="045A0A56" w14:textId="77777777" w:rsidR="00512AF1" w:rsidRDefault="00512AF1" w:rsidP="00FA27A6">
            <w:pPr>
              <w:spacing w:line="480" w:lineRule="auto"/>
              <w:jc w:val="right"/>
            </w:pPr>
            <w:r>
              <w:t>Single parent</w:t>
            </w:r>
          </w:p>
        </w:tc>
        <w:tc>
          <w:tcPr>
            <w:tcW w:w="3330" w:type="dxa"/>
          </w:tcPr>
          <w:p w14:paraId="0D4B3A98" w14:textId="305BD943" w:rsidR="00512AF1" w:rsidRDefault="00512AF1" w:rsidP="00FA27A6">
            <w:pPr>
              <w:spacing w:line="480" w:lineRule="auto"/>
              <w:jc w:val="right"/>
            </w:pPr>
            <w:r>
              <w:t>1</w:t>
            </w:r>
            <w:r w:rsidR="006020FC">
              <w:t>6.9</w:t>
            </w:r>
            <w:r>
              <w:t>% (1</w:t>
            </w:r>
            <w:r w:rsidR="006020FC">
              <w:t>4.9%</w:t>
            </w:r>
            <w:r>
              <w:t>-</w:t>
            </w:r>
            <w:r w:rsidR="006020FC">
              <w:t>19</w:t>
            </w:r>
            <w:r>
              <w:t>.0</w:t>
            </w:r>
            <w:r w:rsidR="006020FC">
              <w:t>%</w:t>
            </w:r>
            <w:r>
              <w:t>)</w:t>
            </w:r>
          </w:p>
        </w:tc>
        <w:tc>
          <w:tcPr>
            <w:tcW w:w="3420" w:type="dxa"/>
          </w:tcPr>
          <w:p w14:paraId="1A139949" w14:textId="08F948A1" w:rsidR="00512AF1" w:rsidRDefault="00512AF1" w:rsidP="00FA27A6">
            <w:pPr>
              <w:spacing w:line="480" w:lineRule="auto"/>
              <w:jc w:val="right"/>
            </w:pPr>
            <w:r>
              <w:t>1.2</w:t>
            </w:r>
            <w:r w:rsidR="006A79CE">
              <w:t>0</w:t>
            </w:r>
            <w:r>
              <w:t xml:space="preserve"> (1.0</w:t>
            </w:r>
            <w:r w:rsidR="006A79CE">
              <w:t>5</w:t>
            </w:r>
            <w:r>
              <w:t>-1.</w:t>
            </w:r>
            <w:r w:rsidR="006A79CE">
              <w:t>38</w:t>
            </w:r>
            <w:r>
              <w:t>)</w:t>
            </w:r>
            <w:r w:rsidR="006A79CE">
              <w:t>**</w:t>
            </w:r>
          </w:p>
        </w:tc>
      </w:tr>
      <w:tr w:rsidR="00512AF1" w14:paraId="21263FF8" w14:textId="77777777" w:rsidTr="00F524A5">
        <w:tc>
          <w:tcPr>
            <w:tcW w:w="2425" w:type="dxa"/>
          </w:tcPr>
          <w:p w14:paraId="0F10EC44" w14:textId="77777777" w:rsidR="00512AF1" w:rsidRDefault="00512AF1" w:rsidP="00FA27A6">
            <w:pPr>
              <w:spacing w:line="480" w:lineRule="auto"/>
              <w:jc w:val="right"/>
            </w:pPr>
            <w:r>
              <w:t>Two parents</w:t>
            </w:r>
          </w:p>
        </w:tc>
        <w:tc>
          <w:tcPr>
            <w:tcW w:w="3330" w:type="dxa"/>
          </w:tcPr>
          <w:p w14:paraId="1744AD38" w14:textId="4733A2C6" w:rsidR="00512AF1" w:rsidRDefault="00512AF1" w:rsidP="00FA27A6">
            <w:pPr>
              <w:spacing w:line="480" w:lineRule="auto"/>
              <w:jc w:val="right"/>
            </w:pPr>
            <w:r>
              <w:t>14.</w:t>
            </w:r>
            <w:r w:rsidR="006020FC">
              <w:t>0</w:t>
            </w:r>
            <w:r>
              <w:t>% (13.</w:t>
            </w:r>
            <w:r w:rsidR="006020FC">
              <w:t>0%</w:t>
            </w:r>
            <w:r>
              <w:t>-15.</w:t>
            </w:r>
            <w:r w:rsidR="006020FC">
              <w:t>1%</w:t>
            </w:r>
            <w:r>
              <w:t>)</w:t>
            </w:r>
          </w:p>
        </w:tc>
        <w:tc>
          <w:tcPr>
            <w:tcW w:w="3420" w:type="dxa"/>
          </w:tcPr>
          <w:p w14:paraId="40B5FFE1" w14:textId="77777777" w:rsidR="00512AF1" w:rsidRDefault="00512AF1" w:rsidP="00FA27A6">
            <w:pPr>
              <w:spacing w:line="480" w:lineRule="auto"/>
              <w:jc w:val="right"/>
            </w:pPr>
            <w:r>
              <w:t>1</w:t>
            </w:r>
          </w:p>
        </w:tc>
      </w:tr>
      <w:tr w:rsidR="00512AF1" w14:paraId="3BACA79D" w14:textId="77777777" w:rsidTr="00F524A5">
        <w:tc>
          <w:tcPr>
            <w:tcW w:w="2425" w:type="dxa"/>
          </w:tcPr>
          <w:p w14:paraId="5370CFC7" w14:textId="77777777" w:rsidR="00512AF1" w:rsidRDefault="00512AF1" w:rsidP="00FA27A6">
            <w:pPr>
              <w:spacing w:line="480" w:lineRule="auto"/>
            </w:pPr>
            <w:r>
              <w:t xml:space="preserve">Income poverty </w:t>
            </w:r>
          </w:p>
        </w:tc>
        <w:tc>
          <w:tcPr>
            <w:tcW w:w="3330" w:type="dxa"/>
          </w:tcPr>
          <w:p w14:paraId="29DFF876" w14:textId="77777777" w:rsidR="00512AF1" w:rsidRDefault="00512AF1" w:rsidP="00FA27A6">
            <w:pPr>
              <w:spacing w:line="480" w:lineRule="auto"/>
              <w:jc w:val="right"/>
            </w:pPr>
          </w:p>
        </w:tc>
        <w:tc>
          <w:tcPr>
            <w:tcW w:w="3420" w:type="dxa"/>
          </w:tcPr>
          <w:p w14:paraId="104B8151" w14:textId="77777777" w:rsidR="00512AF1" w:rsidRDefault="00512AF1" w:rsidP="00FA27A6">
            <w:pPr>
              <w:spacing w:line="480" w:lineRule="auto"/>
              <w:jc w:val="right"/>
            </w:pPr>
          </w:p>
        </w:tc>
      </w:tr>
      <w:tr w:rsidR="00512AF1" w14:paraId="2E0B26C6" w14:textId="77777777" w:rsidTr="00F524A5">
        <w:tc>
          <w:tcPr>
            <w:tcW w:w="2425" w:type="dxa"/>
          </w:tcPr>
          <w:p w14:paraId="69A70BCC" w14:textId="77777777" w:rsidR="00512AF1" w:rsidRDefault="00512AF1" w:rsidP="00FA27A6">
            <w:pPr>
              <w:spacing w:line="480" w:lineRule="auto"/>
              <w:jc w:val="right"/>
            </w:pPr>
            <w:r>
              <w:t>Yes</w:t>
            </w:r>
          </w:p>
        </w:tc>
        <w:tc>
          <w:tcPr>
            <w:tcW w:w="3330" w:type="dxa"/>
          </w:tcPr>
          <w:p w14:paraId="487C822D" w14:textId="44D62B1A" w:rsidR="00512AF1" w:rsidRDefault="00512AF1" w:rsidP="00FA27A6">
            <w:pPr>
              <w:spacing w:line="480" w:lineRule="auto"/>
              <w:jc w:val="right"/>
            </w:pPr>
            <w:r>
              <w:t>1</w:t>
            </w:r>
            <w:r w:rsidR="006020FC">
              <w:t>6.1</w:t>
            </w:r>
            <w:r>
              <w:t>% (14.</w:t>
            </w:r>
            <w:r w:rsidR="006020FC">
              <w:t>1%</w:t>
            </w:r>
            <w:r>
              <w:t>-</w:t>
            </w:r>
            <w:r w:rsidR="006020FC">
              <w:t>18</w:t>
            </w:r>
            <w:r>
              <w:t>.4</w:t>
            </w:r>
            <w:r w:rsidR="006020FC">
              <w:t>%</w:t>
            </w:r>
            <w:r>
              <w:t>)</w:t>
            </w:r>
          </w:p>
        </w:tc>
        <w:tc>
          <w:tcPr>
            <w:tcW w:w="3420" w:type="dxa"/>
          </w:tcPr>
          <w:p w14:paraId="6B9AD5DB" w14:textId="79199769" w:rsidR="00512AF1" w:rsidRDefault="00512AF1" w:rsidP="00FA27A6">
            <w:pPr>
              <w:spacing w:line="480" w:lineRule="auto"/>
              <w:jc w:val="right"/>
            </w:pPr>
            <w:r>
              <w:t>1.1</w:t>
            </w:r>
            <w:r w:rsidR="006A79CE">
              <w:t>3</w:t>
            </w:r>
            <w:r>
              <w:t xml:space="preserve"> (</w:t>
            </w:r>
            <w:r w:rsidR="006A79CE">
              <w:t>0.97</w:t>
            </w:r>
            <w:r>
              <w:t>-1.3</w:t>
            </w:r>
            <w:r w:rsidR="006A79CE">
              <w:t>1</w:t>
            </w:r>
            <w:r>
              <w:t>)</w:t>
            </w:r>
          </w:p>
        </w:tc>
      </w:tr>
      <w:tr w:rsidR="00512AF1" w14:paraId="1990A9CE" w14:textId="77777777" w:rsidTr="00F524A5">
        <w:tc>
          <w:tcPr>
            <w:tcW w:w="2425" w:type="dxa"/>
          </w:tcPr>
          <w:p w14:paraId="7CDB4946" w14:textId="77777777" w:rsidR="00512AF1" w:rsidRDefault="00512AF1" w:rsidP="00FA27A6">
            <w:pPr>
              <w:spacing w:line="480" w:lineRule="auto"/>
              <w:jc w:val="right"/>
            </w:pPr>
            <w:r>
              <w:t>No</w:t>
            </w:r>
          </w:p>
        </w:tc>
        <w:tc>
          <w:tcPr>
            <w:tcW w:w="3330" w:type="dxa"/>
          </w:tcPr>
          <w:p w14:paraId="03971059" w14:textId="11FB12F6" w:rsidR="00512AF1" w:rsidRDefault="00512AF1" w:rsidP="00FA27A6">
            <w:pPr>
              <w:spacing w:line="480" w:lineRule="auto"/>
              <w:jc w:val="right"/>
            </w:pPr>
            <w:r>
              <w:t>14.</w:t>
            </w:r>
            <w:r w:rsidR="006020FC">
              <w:t>3</w:t>
            </w:r>
            <w:r>
              <w:t>% (13.</w:t>
            </w:r>
            <w:r w:rsidR="006020FC">
              <w:t>2%</w:t>
            </w:r>
            <w:r>
              <w:t>-15.</w:t>
            </w:r>
            <w:r w:rsidR="006020FC">
              <w:t>4%</w:t>
            </w:r>
            <w:r>
              <w:t>)</w:t>
            </w:r>
          </w:p>
        </w:tc>
        <w:tc>
          <w:tcPr>
            <w:tcW w:w="3420" w:type="dxa"/>
          </w:tcPr>
          <w:p w14:paraId="555ADB01" w14:textId="77777777" w:rsidR="00512AF1" w:rsidRDefault="00512AF1" w:rsidP="00FA27A6">
            <w:pPr>
              <w:spacing w:line="480" w:lineRule="auto"/>
              <w:jc w:val="right"/>
            </w:pPr>
            <w:r>
              <w:t>1</w:t>
            </w:r>
          </w:p>
        </w:tc>
      </w:tr>
      <w:tr w:rsidR="00512AF1" w14:paraId="3A81CC25" w14:textId="77777777" w:rsidTr="00F524A5">
        <w:tc>
          <w:tcPr>
            <w:tcW w:w="2425" w:type="dxa"/>
          </w:tcPr>
          <w:p w14:paraId="5DCF01A6" w14:textId="77777777" w:rsidR="00512AF1" w:rsidRDefault="00512AF1" w:rsidP="00FA27A6">
            <w:pPr>
              <w:spacing w:line="480" w:lineRule="auto"/>
            </w:pPr>
            <w:r>
              <w:t>Material deprivation</w:t>
            </w:r>
          </w:p>
        </w:tc>
        <w:tc>
          <w:tcPr>
            <w:tcW w:w="3330" w:type="dxa"/>
          </w:tcPr>
          <w:p w14:paraId="697F37E3" w14:textId="77777777" w:rsidR="00512AF1" w:rsidRDefault="00512AF1" w:rsidP="00FA27A6">
            <w:pPr>
              <w:spacing w:line="480" w:lineRule="auto"/>
              <w:jc w:val="right"/>
            </w:pPr>
          </w:p>
        </w:tc>
        <w:tc>
          <w:tcPr>
            <w:tcW w:w="3420" w:type="dxa"/>
          </w:tcPr>
          <w:p w14:paraId="508FDF99" w14:textId="77777777" w:rsidR="00512AF1" w:rsidRDefault="00512AF1" w:rsidP="00FA27A6">
            <w:pPr>
              <w:spacing w:line="480" w:lineRule="auto"/>
              <w:jc w:val="right"/>
            </w:pPr>
          </w:p>
        </w:tc>
      </w:tr>
      <w:tr w:rsidR="00512AF1" w14:paraId="58AF5E5B" w14:textId="77777777" w:rsidTr="00F524A5">
        <w:tc>
          <w:tcPr>
            <w:tcW w:w="2425" w:type="dxa"/>
          </w:tcPr>
          <w:p w14:paraId="20817FEF" w14:textId="77777777" w:rsidR="00512AF1" w:rsidRDefault="00512AF1" w:rsidP="00FA27A6">
            <w:pPr>
              <w:spacing w:line="480" w:lineRule="auto"/>
              <w:jc w:val="right"/>
            </w:pPr>
            <w:r>
              <w:t>Yes</w:t>
            </w:r>
          </w:p>
        </w:tc>
        <w:tc>
          <w:tcPr>
            <w:tcW w:w="3330" w:type="dxa"/>
          </w:tcPr>
          <w:p w14:paraId="2315BB28" w14:textId="5FEA4A88" w:rsidR="00512AF1" w:rsidRDefault="006020FC" w:rsidP="00FA27A6">
            <w:pPr>
              <w:spacing w:line="480" w:lineRule="auto"/>
              <w:jc w:val="right"/>
            </w:pPr>
            <w:r>
              <w:t>19.4</w:t>
            </w:r>
            <w:r w:rsidR="00512AF1">
              <w:t>% (1</w:t>
            </w:r>
            <w:r>
              <w:t>6.9%</w:t>
            </w:r>
            <w:r w:rsidR="00512AF1">
              <w:t>-2</w:t>
            </w:r>
            <w:r>
              <w:t>2.1%</w:t>
            </w:r>
            <w:r w:rsidR="00512AF1">
              <w:t>)</w:t>
            </w:r>
          </w:p>
        </w:tc>
        <w:tc>
          <w:tcPr>
            <w:tcW w:w="3420" w:type="dxa"/>
          </w:tcPr>
          <w:p w14:paraId="13B9C460" w14:textId="3A3A1F32" w:rsidR="00512AF1" w:rsidRDefault="00512AF1" w:rsidP="00FA27A6">
            <w:pPr>
              <w:spacing w:line="480" w:lineRule="auto"/>
              <w:jc w:val="right"/>
            </w:pPr>
            <w:r>
              <w:t>1.43 (1.2</w:t>
            </w:r>
            <w:r w:rsidR="006A79CE">
              <w:t>3</w:t>
            </w:r>
            <w:r>
              <w:t>-1.65)</w:t>
            </w:r>
            <w:r w:rsidR="00130748">
              <w:t>***</w:t>
            </w:r>
          </w:p>
        </w:tc>
      </w:tr>
      <w:tr w:rsidR="00512AF1" w14:paraId="605AD7B2" w14:textId="77777777" w:rsidTr="00F524A5">
        <w:tc>
          <w:tcPr>
            <w:tcW w:w="2425" w:type="dxa"/>
          </w:tcPr>
          <w:p w14:paraId="5AC3ADD6" w14:textId="77777777" w:rsidR="00512AF1" w:rsidRDefault="00512AF1" w:rsidP="00FA27A6">
            <w:pPr>
              <w:spacing w:line="480" w:lineRule="auto"/>
              <w:jc w:val="right"/>
            </w:pPr>
            <w:r>
              <w:t>No</w:t>
            </w:r>
          </w:p>
        </w:tc>
        <w:tc>
          <w:tcPr>
            <w:tcW w:w="3330" w:type="dxa"/>
          </w:tcPr>
          <w:p w14:paraId="1FF0D059" w14:textId="33883A34" w:rsidR="00512AF1" w:rsidRDefault="00512AF1" w:rsidP="00FA27A6">
            <w:pPr>
              <w:spacing w:line="480" w:lineRule="auto"/>
              <w:jc w:val="right"/>
            </w:pPr>
            <w:r>
              <w:t>1</w:t>
            </w:r>
            <w:r w:rsidR="006020FC">
              <w:t>3.6</w:t>
            </w:r>
            <w:r>
              <w:t>% (1</w:t>
            </w:r>
            <w:r w:rsidR="006020FC">
              <w:t>2.6%</w:t>
            </w:r>
            <w:r>
              <w:t>-1</w:t>
            </w:r>
            <w:r w:rsidR="006020FC">
              <w:t>4.6%</w:t>
            </w:r>
            <w:r>
              <w:t>)</w:t>
            </w:r>
          </w:p>
        </w:tc>
        <w:tc>
          <w:tcPr>
            <w:tcW w:w="3420" w:type="dxa"/>
          </w:tcPr>
          <w:p w14:paraId="7475A57E" w14:textId="77777777" w:rsidR="00512AF1" w:rsidRDefault="00512AF1" w:rsidP="00FA27A6">
            <w:pPr>
              <w:spacing w:line="480" w:lineRule="auto"/>
              <w:jc w:val="right"/>
            </w:pPr>
            <w:r>
              <w:t>1</w:t>
            </w:r>
          </w:p>
        </w:tc>
      </w:tr>
      <w:tr w:rsidR="00512AF1" w14:paraId="49CAC387" w14:textId="77777777" w:rsidTr="00F524A5">
        <w:tc>
          <w:tcPr>
            <w:tcW w:w="2425" w:type="dxa"/>
          </w:tcPr>
          <w:p w14:paraId="1811AA7F" w14:textId="77777777" w:rsidR="00512AF1" w:rsidRDefault="00512AF1" w:rsidP="00FA27A6">
            <w:pPr>
              <w:spacing w:line="480" w:lineRule="auto"/>
            </w:pPr>
            <w:r>
              <w:t>Maternal education</w:t>
            </w:r>
          </w:p>
        </w:tc>
        <w:tc>
          <w:tcPr>
            <w:tcW w:w="3330" w:type="dxa"/>
          </w:tcPr>
          <w:p w14:paraId="78C69403" w14:textId="77777777" w:rsidR="00512AF1" w:rsidRDefault="00512AF1" w:rsidP="00FA27A6">
            <w:pPr>
              <w:spacing w:line="480" w:lineRule="auto"/>
              <w:jc w:val="right"/>
            </w:pPr>
          </w:p>
        </w:tc>
        <w:tc>
          <w:tcPr>
            <w:tcW w:w="3420" w:type="dxa"/>
          </w:tcPr>
          <w:p w14:paraId="75293B09" w14:textId="77777777" w:rsidR="00512AF1" w:rsidRDefault="00512AF1" w:rsidP="00FA27A6">
            <w:pPr>
              <w:spacing w:line="480" w:lineRule="auto"/>
              <w:jc w:val="right"/>
            </w:pPr>
          </w:p>
        </w:tc>
      </w:tr>
      <w:tr w:rsidR="00512AF1" w14:paraId="66FF8955" w14:textId="77777777" w:rsidTr="00F524A5">
        <w:tc>
          <w:tcPr>
            <w:tcW w:w="2425" w:type="dxa"/>
          </w:tcPr>
          <w:p w14:paraId="02BBE43E" w14:textId="77777777" w:rsidR="00512AF1" w:rsidRDefault="00512AF1" w:rsidP="00FA27A6">
            <w:pPr>
              <w:spacing w:line="480" w:lineRule="auto"/>
              <w:jc w:val="right"/>
            </w:pPr>
            <w:r>
              <w:t>Low</w:t>
            </w:r>
          </w:p>
        </w:tc>
        <w:tc>
          <w:tcPr>
            <w:tcW w:w="3330" w:type="dxa"/>
          </w:tcPr>
          <w:p w14:paraId="7D2FDBF6" w14:textId="33F3E862" w:rsidR="00512AF1" w:rsidRDefault="00512AF1" w:rsidP="00FA27A6">
            <w:pPr>
              <w:spacing w:line="480" w:lineRule="auto"/>
              <w:jc w:val="right"/>
            </w:pPr>
            <w:r>
              <w:t>14.</w:t>
            </w:r>
            <w:r w:rsidR="00130748">
              <w:t>2</w:t>
            </w:r>
            <w:r>
              <w:t>% (1</w:t>
            </w:r>
            <w:r w:rsidR="00130748">
              <w:t>1.7%</w:t>
            </w:r>
            <w:r>
              <w:t>-17.</w:t>
            </w:r>
            <w:r w:rsidR="00130748">
              <w:t>1%</w:t>
            </w:r>
            <w:r>
              <w:t>)</w:t>
            </w:r>
          </w:p>
        </w:tc>
        <w:tc>
          <w:tcPr>
            <w:tcW w:w="3420" w:type="dxa"/>
          </w:tcPr>
          <w:p w14:paraId="30166A7A" w14:textId="237F5FF2" w:rsidR="00512AF1" w:rsidRDefault="00512AF1" w:rsidP="00FA27A6">
            <w:pPr>
              <w:spacing w:line="480" w:lineRule="auto"/>
              <w:jc w:val="right"/>
            </w:pPr>
            <w:r>
              <w:t>0.9</w:t>
            </w:r>
            <w:r w:rsidR="006A79CE">
              <w:t>5</w:t>
            </w:r>
            <w:r>
              <w:t xml:space="preserve"> (0.7</w:t>
            </w:r>
            <w:r w:rsidR="006A79CE">
              <w:t>7</w:t>
            </w:r>
            <w:r>
              <w:t>-1.1</w:t>
            </w:r>
            <w:r w:rsidR="006A79CE">
              <w:t>5</w:t>
            </w:r>
            <w:r>
              <w:t>)</w:t>
            </w:r>
          </w:p>
        </w:tc>
      </w:tr>
      <w:tr w:rsidR="00512AF1" w14:paraId="3ECB84F2" w14:textId="77777777" w:rsidTr="00F524A5">
        <w:tc>
          <w:tcPr>
            <w:tcW w:w="2425" w:type="dxa"/>
          </w:tcPr>
          <w:p w14:paraId="744478DD" w14:textId="77777777" w:rsidR="00512AF1" w:rsidRDefault="00512AF1" w:rsidP="00FA27A6">
            <w:pPr>
              <w:spacing w:line="480" w:lineRule="auto"/>
              <w:jc w:val="right"/>
            </w:pPr>
            <w:r>
              <w:t>High</w:t>
            </w:r>
          </w:p>
        </w:tc>
        <w:tc>
          <w:tcPr>
            <w:tcW w:w="3330" w:type="dxa"/>
          </w:tcPr>
          <w:p w14:paraId="01DDA136" w14:textId="5D26A053" w:rsidR="00512AF1" w:rsidRDefault="00512AF1" w:rsidP="00FA27A6">
            <w:pPr>
              <w:spacing w:line="480" w:lineRule="auto"/>
              <w:jc w:val="right"/>
            </w:pPr>
            <w:r>
              <w:t>15.</w:t>
            </w:r>
            <w:r w:rsidR="00130748">
              <w:t>0</w:t>
            </w:r>
            <w:r>
              <w:t>% (14.</w:t>
            </w:r>
            <w:r w:rsidR="00130748">
              <w:t>0%</w:t>
            </w:r>
            <w:r>
              <w:t>-16.</w:t>
            </w:r>
            <w:r w:rsidR="00130748">
              <w:t>1%</w:t>
            </w:r>
            <w:r>
              <w:t>)</w:t>
            </w:r>
          </w:p>
        </w:tc>
        <w:tc>
          <w:tcPr>
            <w:tcW w:w="3420" w:type="dxa"/>
          </w:tcPr>
          <w:p w14:paraId="2E7E4FE3" w14:textId="77777777" w:rsidR="00512AF1" w:rsidRDefault="00512AF1" w:rsidP="00FA27A6">
            <w:pPr>
              <w:spacing w:line="480" w:lineRule="auto"/>
              <w:jc w:val="right"/>
            </w:pPr>
            <w:r>
              <w:t>1</w:t>
            </w:r>
          </w:p>
        </w:tc>
      </w:tr>
      <w:tr w:rsidR="006875A8" w14:paraId="19BD032E" w14:textId="77777777" w:rsidTr="00521C31">
        <w:tc>
          <w:tcPr>
            <w:tcW w:w="9175" w:type="dxa"/>
            <w:gridSpan w:val="3"/>
          </w:tcPr>
          <w:p w14:paraId="58C5077C" w14:textId="0916E0DB" w:rsidR="006875A8" w:rsidRDefault="006875A8" w:rsidP="006875A8">
            <w:pPr>
              <w:spacing w:line="480" w:lineRule="auto"/>
            </w:pPr>
            <w:r>
              <w:t>* p&lt;0.05, ** p&lt;0.01, *** p&lt;0.001</w:t>
            </w:r>
          </w:p>
        </w:tc>
      </w:tr>
    </w:tbl>
    <w:p w14:paraId="7C4E1153" w14:textId="77777777" w:rsidR="00512AF1" w:rsidRDefault="00512AF1" w:rsidP="00FA27A6">
      <w:pPr>
        <w:pStyle w:val="NoSpacing"/>
        <w:spacing w:line="480" w:lineRule="auto"/>
      </w:pPr>
    </w:p>
    <w:p w14:paraId="59FBA692" w14:textId="2616E3A3" w:rsidR="00512AF1" w:rsidRPr="00512AF1" w:rsidRDefault="00512AF1" w:rsidP="00FA27A6">
      <w:pPr>
        <w:pStyle w:val="NoSpacing"/>
        <w:spacing w:line="480" w:lineRule="auto"/>
      </w:pPr>
    </w:p>
    <w:sectPr w:rsidR="00512AF1" w:rsidRPr="00512AF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07D7F" w14:textId="77777777" w:rsidR="007C6F5F" w:rsidRDefault="007C6F5F" w:rsidP="002C145E">
      <w:pPr>
        <w:spacing w:after="0" w:line="240" w:lineRule="auto"/>
      </w:pPr>
      <w:r>
        <w:separator/>
      </w:r>
    </w:p>
  </w:endnote>
  <w:endnote w:type="continuationSeparator" w:id="0">
    <w:p w14:paraId="6F0215A1" w14:textId="77777777" w:rsidR="007C6F5F" w:rsidRDefault="007C6F5F" w:rsidP="002C1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altName w:val="Calibri"/>
    <w:panose1 w:val="020B0502040204020203"/>
    <w:charset w:val="00"/>
    <w:family w:val="swiss"/>
    <w:pitch w:val="variable"/>
    <w:sig w:usb0="E10022FF" w:usb1="C000E47F" w:usb2="00000029" w:usb3="00000000" w:csb0="000001DF" w:csb1="00000000"/>
  </w:font>
  <w:font w:name="AdvOT863180fb">
    <w:panose1 w:val="00000000000000000000"/>
    <w:charset w:val="00"/>
    <w:family w:val="roman"/>
    <w:notTrueType/>
    <w:pitch w:val="default"/>
    <w:sig w:usb0="00000003" w:usb1="00000000" w:usb2="00000000" w:usb3="00000000" w:csb0="00000001" w:csb1="00000000"/>
  </w:font>
  <w:font w:name="AdvTT378de93d">
    <w:altName w:val="Calibri"/>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8944417"/>
      <w:docPartObj>
        <w:docPartGallery w:val="Page Numbers (Bottom of Page)"/>
        <w:docPartUnique/>
      </w:docPartObj>
    </w:sdtPr>
    <w:sdtEndPr/>
    <w:sdtContent>
      <w:sdt>
        <w:sdtPr>
          <w:id w:val="-1769616900"/>
          <w:docPartObj>
            <w:docPartGallery w:val="Page Numbers (Top of Page)"/>
            <w:docPartUnique/>
          </w:docPartObj>
        </w:sdtPr>
        <w:sdtEndPr/>
        <w:sdtContent>
          <w:p w14:paraId="54E0BC3F" w14:textId="77777777" w:rsidR="00AB2D68" w:rsidRDefault="00AB2D6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24</w:t>
            </w:r>
            <w:r>
              <w:rPr>
                <w:b/>
                <w:bCs/>
                <w:sz w:val="24"/>
                <w:szCs w:val="24"/>
              </w:rPr>
              <w:fldChar w:fldCharType="end"/>
            </w:r>
          </w:p>
        </w:sdtContent>
      </w:sdt>
    </w:sdtContent>
  </w:sdt>
  <w:p w14:paraId="4CA2A99B" w14:textId="77777777" w:rsidR="00AB2D68" w:rsidRDefault="00AB2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D80BE" w14:textId="77777777" w:rsidR="007C6F5F" w:rsidRDefault="007C6F5F" w:rsidP="002C145E">
      <w:pPr>
        <w:spacing w:after="0" w:line="240" w:lineRule="auto"/>
      </w:pPr>
      <w:r>
        <w:separator/>
      </w:r>
    </w:p>
  </w:footnote>
  <w:footnote w:type="continuationSeparator" w:id="0">
    <w:p w14:paraId="6E77F9CF" w14:textId="77777777" w:rsidR="007C6F5F" w:rsidRDefault="007C6F5F" w:rsidP="002C14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B464D"/>
    <w:multiLevelType w:val="multilevel"/>
    <w:tmpl w:val="665A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E1734"/>
    <w:multiLevelType w:val="hybridMultilevel"/>
    <w:tmpl w:val="A88A32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6D0873"/>
    <w:multiLevelType w:val="hybridMultilevel"/>
    <w:tmpl w:val="BAB68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DE39D4"/>
    <w:multiLevelType w:val="hybridMultilevel"/>
    <w:tmpl w:val="A9DA9BEE"/>
    <w:lvl w:ilvl="0" w:tplc="4B5A1936">
      <w:start w:val="1"/>
      <w:numFmt w:val="decimal"/>
      <w:lvlText w:val="%1)"/>
      <w:lvlJc w:val="left"/>
      <w:pPr>
        <w:ind w:left="720" w:hanging="360"/>
      </w:pPr>
      <w:rPr>
        <w:rFonts w:cs="Times New Roman"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371ECF"/>
    <w:multiLevelType w:val="hybridMultilevel"/>
    <w:tmpl w:val="751C0E94"/>
    <w:lvl w:ilvl="0" w:tplc="9036FB62">
      <w:start w:val="1"/>
      <w:numFmt w:val="decimal"/>
      <w:lvlText w:val="%1."/>
      <w:lvlJc w:val="left"/>
      <w:pPr>
        <w:ind w:left="795" w:hanging="43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C6418D"/>
    <w:multiLevelType w:val="hybridMultilevel"/>
    <w:tmpl w:val="20908A26"/>
    <w:lvl w:ilvl="0" w:tplc="C968570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5578F9"/>
    <w:multiLevelType w:val="hybridMultilevel"/>
    <w:tmpl w:val="6FB25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EA0E09"/>
    <w:multiLevelType w:val="hybridMultilevel"/>
    <w:tmpl w:val="85220898"/>
    <w:lvl w:ilvl="0" w:tplc="0C09000F">
      <w:start w:val="1"/>
      <w:numFmt w:val="decimal"/>
      <w:lvlText w:val="%1."/>
      <w:lvlJc w:val="left"/>
      <w:pPr>
        <w:ind w:left="795" w:hanging="43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00E4A4E"/>
    <w:multiLevelType w:val="multilevel"/>
    <w:tmpl w:val="969A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166BC6"/>
    <w:multiLevelType w:val="hybridMultilevel"/>
    <w:tmpl w:val="5CC8E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EB422E"/>
    <w:multiLevelType w:val="hybridMultilevel"/>
    <w:tmpl w:val="80DAB4B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4C2619FA"/>
    <w:multiLevelType w:val="hybridMultilevel"/>
    <w:tmpl w:val="6AF0E4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F90A84"/>
    <w:multiLevelType w:val="hybridMultilevel"/>
    <w:tmpl w:val="2E0E2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4818F0"/>
    <w:multiLevelType w:val="hybridMultilevel"/>
    <w:tmpl w:val="5D0E7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092236"/>
    <w:multiLevelType w:val="hybridMultilevel"/>
    <w:tmpl w:val="5106E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9075E9"/>
    <w:multiLevelType w:val="hybridMultilevel"/>
    <w:tmpl w:val="37FE867A"/>
    <w:lvl w:ilvl="0" w:tplc="1332B8E8">
      <w:numFmt w:val="decimal"/>
      <w:lvlText w:val="%1."/>
      <w:lvlJc w:val="left"/>
      <w:pPr>
        <w:ind w:left="795" w:hanging="43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503491D"/>
    <w:multiLevelType w:val="hybridMultilevel"/>
    <w:tmpl w:val="6824A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2119D0"/>
    <w:multiLevelType w:val="hybridMultilevel"/>
    <w:tmpl w:val="02749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AE3849"/>
    <w:multiLevelType w:val="hybridMultilevel"/>
    <w:tmpl w:val="ED9C1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0B1F41"/>
    <w:multiLevelType w:val="multilevel"/>
    <w:tmpl w:val="8DFE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CB7929"/>
    <w:multiLevelType w:val="hybridMultilevel"/>
    <w:tmpl w:val="B600C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
  </w:num>
  <w:num w:numId="3">
    <w:abstractNumId w:val="5"/>
  </w:num>
  <w:num w:numId="4">
    <w:abstractNumId w:val="14"/>
  </w:num>
  <w:num w:numId="5">
    <w:abstractNumId w:val="4"/>
  </w:num>
  <w:num w:numId="6">
    <w:abstractNumId w:val="2"/>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2"/>
  </w:num>
  <w:num w:numId="10">
    <w:abstractNumId w:val="18"/>
  </w:num>
  <w:num w:numId="11">
    <w:abstractNumId w:val="6"/>
  </w:num>
  <w:num w:numId="12">
    <w:abstractNumId w:val="7"/>
  </w:num>
  <w:num w:numId="13">
    <w:abstractNumId w:val="9"/>
  </w:num>
  <w:num w:numId="14">
    <w:abstractNumId w:val="11"/>
  </w:num>
  <w:num w:numId="15">
    <w:abstractNumId w:val="17"/>
  </w:num>
  <w:num w:numId="16">
    <w:abstractNumId w:val="13"/>
  </w:num>
  <w:num w:numId="17">
    <w:abstractNumId w:val="20"/>
  </w:num>
  <w:num w:numId="18">
    <w:abstractNumId w:val="8"/>
  </w:num>
  <w:num w:numId="19">
    <w:abstractNumId w:val="0"/>
  </w:num>
  <w:num w:numId="20">
    <w:abstractNumId w:val="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Disability Health 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tzwrr05aez223ea2r9xt9tgddvasf55dw2p&quot;&gt;EE reference libray&lt;record-ids&gt;&lt;item&gt;103&lt;/item&gt;&lt;item&gt;316&lt;/item&gt;&lt;item&gt;364&lt;/item&gt;&lt;item&gt;721&lt;/item&gt;&lt;item&gt;947&lt;/item&gt;&lt;item&gt;1235&lt;/item&gt;&lt;item&gt;1238&lt;/item&gt;&lt;item&gt;1524&lt;/item&gt;&lt;item&gt;3412&lt;/item&gt;&lt;item&gt;4063&lt;/item&gt;&lt;item&gt;4912&lt;/item&gt;&lt;item&gt;5072&lt;/item&gt;&lt;item&gt;5303&lt;/item&gt;&lt;item&gt;5314&lt;/item&gt;&lt;item&gt;5401&lt;/item&gt;&lt;item&gt;5500&lt;/item&gt;&lt;item&gt;5501&lt;/item&gt;&lt;item&gt;5503&lt;/item&gt;&lt;item&gt;5630&lt;/item&gt;&lt;item&gt;5633&lt;/item&gt;&lt;item&gt;5636&lt;/item&gt;&lt;item&gt;5639&lt;/item&gt;&lt;item&gt;5644&lt;/item&gt;&lt;item&gt;5648&lt;/item&gt;&lt;item&gt;5658&lt;/item&gt;&lt;item&gt;5659&lt;/item&gt;&lt;item&gt;5661&lt;/item&gt;&lt;item&gt;5662&lt;/item&gt;&lt;item&gt;5664&lt;/item&gt;&lt;item&gt;5670&lt;/item&gt;&lt;item&gt;5671&lt;/item&gt;&lt;item&gt;5672&lt;/item&gt;&lt;item&gt;5673&lt;/item&gt;&lt;item&gt;5674&lt;/item&gt;&lt;item&gt;5675&lt;/item&gt;&lt;item&gt;5676&lt;/item&gt;&lt;item&gt;5677&lt;/item&gt;&lt;item&gt;5678&lt;/item&gt;&lt;item&gt;5679&lt;/item&gt;&lt;item&gt;5698&lt;/item&gt;&lt;item&gt;5973&lt;/item&gt;&lt;/record-ids&gt;&lt;/item&gt;&lt;/Libraries&gt;"/>
  </w:docVars>
  <w:rsids>
    <w:rsidRoot w:val="00C34C26"/>
    <w:rsid w:val="00001EAE"/>
    <w:rsid w:val="00007148"/>
    <w:rsid w:val="00013601"/>
    <w:rsid w:val="00017465"/>
    <w:rsid w:val="0001749C"/>
    <w:rsid w:val="00023694"/>
    <w:rsid w:val="00024DDA"/>
    <w:rsid w:val="00026C99"/>
    <w:rsid w:val="0003158A"/>
    <w:rsid w:val="00033C06"/>
    <w:rsid w:val="00034D46"/>
    <w:rsid w:val="000367AA"/>
    <w:rsid w:val="0004359D"/>
    <w:rsid w:val="00050A50"/>
    <w:rsid w:val="0006042F"/>
    <w:rsid w:val="00062997"/>
    <w:rsid w:val="00070E29"/>
    <w:rsid w:val="000710B2"/>
    <w:rsid w:val="00071736"/>
    <w:rsid w:val="00075B48"/>
    <w:rsid w:val="000777A4"/>
    <w:rsid w:val="00085D4F"/>
    <w:rsid w:val="000870F7"/>
    <w:rsid w:val="000A0C97"/>
    <w:rsid w:val="000A3671"/>
    <w:rsid w:val="000A4578"/>
    <w:rsid w:val="000A62F8"/>
    <w:rsid w:val="000B138A"/>
    <w:rsid w:val="000B4A52"/>
    <w:rsid w:val="000B61EB"/>
    <w:rsid w:val="000B764C"/>
    <w:rsid w:val="000C660B"/>
    <w:rsid w:val="000C6B5D"/>
    <w:rsid w:val="000C7477"/>
    <w:rsid w:val="000D31CB"/>
    <w:rsid w:val="000D48FE"/>
    <w:rsid w:val="000E3152"/>
    <w:rsid w:val="000E35EB"/>
    <w:rsid w:val="000E62BF"/>
    <w:rsid w:val="000F7E49"/>
    <w:rsid w:val="00100259"/>
    <w:rsid w:val="00101517"/>
    <w:rsid w:val="00110BFD"/>
    <w:rsid w:val="001116CF"/>
    <w:rsid w:val="00112D2F"/>
    <w:rsid w:val="001178E4"/>
    <w:rsid w:val="001203A2"/>
    <w:rsid w:val="00122A0A"/>
    <w:rsid w:val="00122D65"/>
    <w:rsid w:val="00124A1D"/>
    <w:rsid w:val="00125DF3"/>
    <w:rsid w:val="00126D9D"/>
    <w:rsid w:val="00130748"/>
    <w:rsid w:val="001318E5"/>
    <w:rsid w:val="00135B61"/>
    <w:rsid w:val="00136C5B"/>
    <w:rsid w:val="00141388"/>
    <w:rsid w:val="00143A78"/>
    <w:rsid w:val="001458E8"/>
    <w:rsid w:val="00146DB2"/>
    <w:rsid w:val="00150CC6"/>
    <w:rsid w:val="00155E92"/>
    <w:rsid w:val="0015697B"/>
    <w:rsid w:val="00157C38"/>
    <w:rsid w:val="00165EC8"/>
    <w:rsid w:val="0017175A"/>
    <w:rsid w:val="001835DF"/>
    <w:rsid w:val="001847E2"/>
    <w:rsid w:val="00195E01"/>
    <w:rsid w:val="00196557"/>
    <w:rsid w:val="001A186A"/>
    <w:rsid w:val="001A23DC"/>
    <w:rsid w:val="001A6A83"/>
    <w:rsid w:val="001B3F2C"/>
    <w:rsid w:val="001C04C7"/>
    <w:rsid w:val="001D07CD"/>
    <w:rsid w:val="001D1DF0"/>
    <w:rsid w:val="001D33EC"/>
    <w:rsid w:val="001D77F4"/>
    <w:rsid w:val="001E3E22"/>
    <w:rsid w:val="001E4BA0"/>
    <w:rsid w:val="001E4BE9"/>
    <w:rsid w:val="001E5229"/>
    <w:rsid w:val="001F3FF0"/>
    <w:rsid w:val="001F6AE0"/>
    <w:rsid w:val="001F6E1C"/>
    <w:rsid w:val="00200F22"/>
    <w:rsid w:val="00200F74"/>
    <w:rsid w:val="00203223"/>
    <w:rsid w:val="002044D9"/>
    <w:rsid w:val="0020757D"/>
    <w:rsid w:val="00207758"/>
    <w:rsid w:val="0021186A"/>
    <w:rsid w:val="00212FB7"/>
    <w:rsid w:val="00214BCF"/>
    <w:rsid w:val="0022260F"/>
    <w:rsid w:val="00237670"/>
    <w:rsid w:val="0024115B"/>
    <w:rsid w:val="00243941"/>
    <w:rsid w:val="00246042"/>
    <w:rsid w:val="00250CE9"/>
    <w:rsid w:val="0025518A"/>
    <w:rsid w:val="0026069C"/>
    <w:rsid w:val="00260CD9"/>
    <w:rsid w:val="00261114"/>
    <w:rsid w:val="00261CFD"/>
    <w:rsid w:val="00270487"/>
    <w:rsid w:val="002763E1"/>
    <w:rsid w:val="00277AA9"/>
    <w:rsid w:val="002839F6"/>
    <w:rsid w:val="002925A1"/>
    <w:rsid w:val="00294961"/>
    <w:rsid w:val="002969D9"/>
    <w:rsid w:val="00297ADF"/>
    <w:rsid w:val="002A535B"/>
    <w:rsid w:val="002A5CF4"/>
    <w:rsid w:val="002B2610"/>
    <w:rsid w:val="002B2C9F"/>
    <w:rsid w:val="002B4AA6"/>
    <w:rsid w:val="002C145E"/>
    <w:rsid w:val="002C6D54"/>
    <w:rsid w:val="002D33D0"/>
    <w:rsid w:val="002D7E88"/>
    <w:rsid w:val="002E1B90"/>
    <w:rsid w:val="002E22E1"/>
    <w:rsid w:val="002E24E8"/>
    <w:rsid w:val="002E4E08"/>
    <w:rsid w:val="002F1C04"/>
    <w:rsid w:val="002F2DBA"/>
    <w:rsid w:val="00302767"/>
    <w:rsid w:val="00304A5B"/>
    <w:rsid w:val="00305E82"/>
    <w:rsid w:val="00306CCE"/>
    <w:rsid w:val="00313754"/>
    <w:rsid w:val="003172B9"/>
    <w:rsid w:val="003258C7"/>
    <w:rsid w:val="00325BE3"/>
    <w:rsid w:val="00335616"/>
    <w:rsid w:val="00336880"/>
    <w:rsid w:val="00336DD0"/>
    <w:rsid w:val="00341519"/>
    <w:rsid w:val="00341F38"/>
    <w:rsid w:val="003426AC"/>
    <w:rsid w:val="00346BB9"/>
    <w:rsid w:val="00352128"/>
    <w:rsid w:val="0035411E"/>
    <w:rsid w:val="003545CB"/>
    <w:rsid w:val="00357AD7"/>
    <w:rsid w:val="003646E9"/>
    <w:rsid w:val="0036521B"/>
    <w:rsid w:val="003803A5"/>
    <w:rsid w:val="0038624C"/>
    <w:rsid w:val="00387554"/>
    <w:rsid w:val="0039679C"/>
    <w:rsid w:val="003A1FB0"/>
    <w:rsid w:val="003A56FF"/>
    <w:rsid w:val="003B3913"/>
    <w:rsid w:val="003B5C4B"/>
    <w:rsid w:val="003B5E86"/>
    <w:rsid w:val="003B5EEC"/>
    <w:rsid w:val="003C2F8F"/>
    <w:rsid w:val="003C30A1"/>
    <w:rsid w:val="003C36BB"/>
    <w:rsid w:val="003C520C"/>
    <w:rsid w:val="003C7F79"/>
    <w:rsid w:val="003E4F4F"/>
    <w:rsid w:val="003E74E2"/>
    <w:rsid w:val="003F7738"/>
    <w:rsid w:val="00400517"/>
    <w:rsid w:val="004014B1"/>
    <w:rsid w:val="004120F7"/>
    <w:rsid w:val="00417038"/>
    <w:rsid w:val="00420703"/>
    <w:rsid w:val="00420A06"/>
    <w:rsid w:val="00420F36"/>
    <w:rsid w:val="004246D6"/>
    <w:rsid w:val="00427DE7"/>
    <w:rsid w:val="00441C35"/>
    <w:rsid w:val="00445AF0"/>
    <w:rsid w:val="00453E51"/>
    <w:rsid w:val="004619B4"/>
    <w:rsid w:val="00462694"/>
    <w:rsid w:val="004633F6"/>
    <w:rsid w:val="00467FCC"/>
    <w:rsid w:val="004709AA"/>
    <w:rsid w:val="00470FEE"/>
    <w:rsid w:val="00474ECD"/>
    <w:rsid w:val="00477654"/>
    <w:rsid w:val="00480522"/>
    <w:rsid w:val="00480DA3"/>
    <w:rsid w:val="00480FB6"/>
    <w:rsid w:val="004829E5"/>
    <w:rsid w:val="004833D1"/>
    <w:rsid w:val="00491DE4"/>
    <w:rsid w:val="00494D34"/>
    <w:rsid w:val="004A062D"/>
    <w:rsid w:val="004A26D0"/>
    <w:rsid w:val="004A5BD9"/>
    <w:rsid w:val="004B5045"/>
    <w:rsid w:val="004B5AE3"/>
    <w:rsid w:val="004C02CA"/>
    <w:rsid w:val="004C03AE"/>
    <w:rsid w:val="004C2E6D"/>
    <w:rsid w:val="004C3646"/>
    <w:rsid w:val="004C3798"/>
    <w:rsid w:val="004C5DE2"/>
    <w:rsid w:val="004C66C7"/>
    <w:rsid w:val="004D3282"/>
    <w:rsid w:val="004D7BFC"/>
    <w:rsid w:val="004E0981"/>
    <w:rsid w:val="004E63A2"/>
    <w:rsid w:val="004E6C59"/>
    <w:rsid w:val="004E7BFD"/>
    <w:rsid w:val="004F7651"/>
    <w:rsid w:val="00501570"/>
    <w:rsid w:val="00503110"/>
    <w:rsid w:val="00505C79"/>
    <w:rsid w:val="00507D2C"/>
    <w:rsid w:val="00512142"/>
    <w:rsid w:val="00512AF1"/>
    <w:rsid w:val="0051768C"/>
    <w:rsid w:val="00521497"/>
    <w:rsid w:val="00521C31"/>
    <w:rsid w:val="005321FF"/>
    <w:rsid w:val="00534499"/>
    <w:rsid w:val="00540108"/>
    <w:rsid w:val="0054115D"/>
    <w:rsid w:val="005423A6"/>
    <w:rsid w:val="005602E9"/>
    <w:rsid w:val="00566B2A"/>
    <w:rsid w:val="00566DEC"/>
    <w:rsid w:val="005719C7"/>
    <w:rsid w:val="00571CC5"/>
    <w:rsid w:val="00572E6A"/>
    <w:rsid w:val="005757A0"/>
    <w:rsid w:val="00576B54"/>
    <w:rsid w:val="005828E8"/>
    <w:rsid w:val="00582E9D"/>
    <w:rsid w:val="00585A0E"/>
    <w:rsid w:val="00585CC6"/>
    <w:rsid w:val="00590003"/>
    <w:rsid w:val="005A51E4"/>
    <w:rsid w:val="005B0652"/>
    <w:rsid w:val="005B06E8"/>
    <w:rsid w:val="005B47EF"/>
    <w:rsid w:val="005B643D"/>
    <w:rsid w:val="005C0A03"/>
    <w:rsid w:val="005C1BB7"/>
    <w:rsid w:val="005C3912"/>
    <w:rsid w:val="005C5436"/>
    <w:rsid w:val="005C58DA"/>
    <w:rsid w:val="005D36AB"/>
    <w:rsid w:val="005D44F2"/>
    <w:rsid w:val="005D5CC1"/>
    <w:rsid w:val="005E20A0"/>
    <w:rsid w:val="005E4992"/>
    <w:rsid w:val="005E4AE2"/>
    <w:rsid w:val="005E646E"/>
    <w:rsid w:val="005E7404"/>
    <w:rsid w:val="005F529C"/>
    <w:rsid w:val="006020FC"/>
    <w:rsid w:val="0060315C"/>
    <w:rsid w:val="00607032"/>
    <w:rsid w:val="0060735D"/>
    <w:rsid w:val="00613BBE"/>
    <w:rsid w:val="0061727E"/>
    <w:rsid w:val="00620CE0"/>
    <w:rsid w:val="006210F3"/>
    <w:rsid w:val="00632159"/>
    <w:rsid w:val="006329F7"/>
    <w:rsid w:val="0064093C"/>
    <w:rsid w:val="00641B26"/>
    <w:rsid w:val="00641DB2"/>
    <w:rsid w:val="00647614"/>
    <w:rsid w:val="006534FA"/>
    <w:rsid w:val="00662430"/>
    <w:rsid w:val="00670721"/>
    <w:rsid w:val="006765CA"/>
    <w:rsid w:val="0067705E"/>
    <w:rsid w:val="006851E3"/>
    <w:rsid w:val="00685C37"/>
    <w:rsid w:val="00686F1D"/>
    <w:rsid w:val="006875A8"/>
    <w:rsid w:val="0069304C"/>
    <w:rsid w:val="006931F9"/>
    <w:rsid w:val="00694965"/>
    <w:rsid w:val="00694A73"/>
    <w:rsid w:val="006963D6"/>
    <w:rsid w:val="006A60DC"/>
    <w:rsid w:val="006A79CE"/>
    <w:rsid w:val="006B044C"/>
    <w:rsid w:val="006B65B2"/>
    <w:rsid w:val="006C03EA"/>
    <w:rsid w:val="006C3273"/>
    <w:rsid w:val="006D00B8"/>
    <w:rsid w:val="006D5039"/>
    <w:rsid w:val="006F4FC4"/>
    <w:rsid w:val="00700547"/>
    <w:rsid w:val="00701B42"/>
    <w:rsid w:val="007029BC"/>
    <w:rsid w:val="0070321E"/>
    <w:rsid w:val="00703AE1"/>
    <w:rsid w:val="00705710"/>
    <w:rsid w:val="00713718"/>
    <w:rsid w:val="00717D88"/>
    <w:rsid w:val="007200ED"/>
    <w:rsid w:val="00721811"/>
    <w:rsid w:val="00722A60"/>
    <w:rsid w:val="00722B09"/>
    <w:rsid w:val="00737A76"/>
    <w:rsid w:val="00740C08"/>
    <w:rsid w:val="00744141"/>
    <w:rsid w:val="007445CB"/>
    <w:rsid w:val="00746DF6"/>
    <w:rsid w:val="00754682"/>
    <w:rsid w:val="00755C22"/>
    <w:rsid w:val="0075723C"/>
    <w:rsid w:val="00774B5C"/>
    <w:rsid w:val="007758AC"/>
    <w:rsid w:val="00780FBB"/>
    <w:rsid w:val="00784FD3"/>
    <w:rsid w:val="00791ABC"/>
    <w:rsid w:val="0079334E"/>
    <w:rsid w:val="007935CE"/>
    <w:rsid w:val="00795E6B"/>
    <w:rsid w:val="007A038E"/>
    <w:rsid w:val="007A4D33"/>
    <w:rsid w:val="007A7BA9"/>
    <w:rsid w:val="007B4658"/>
    <w:rsid w:val="007B5D12"/>
    <w:rsid w:val="007B6384"/>
    <w:rsid w:val="007C1366"/>
    <w:rsid w:val="007C24E6"/>
    <w:rsid w:val="007C6F5F"/>
    <w:rsid w:val="007D02D3"/>
    <w:rsid w:val="007D4818"/>
    <w:rsid w:val="007F0924"/>
    <w:rsid w:val="007F1C43"/>
    <w:rsid w:val="007F2845"/>
    <w:rsid w:val="007F529B"/>
    <w:rsid w:val="007F5666"/>
    <w:rsid w:val="007F5E44"/>
    <w:rsid w:val="0080229E"/>
    <w:rsid w:val="00803F67"/>
    <w:rsid w:val="00805848"/>
    <w:rsid w:val="0080742C"/>
    <w:rsid w:val="008144E2"/>
    <w:rsid w:val="0082134E"/>
    <w:rsid w:val="008244E9"/>
    <w:rsid w:val="00825790"/>
    <w:rsid w:val="00825DD1"/>
    <w:rsid w:val="008268C2"/>
    <w:rsid w:val="00830841"/>
    <w:rsid w:val="00837063"/>
    <w:rsid w:val="0084127B"/>
    <w:rsid w:val="008460EF"/>
    <w:rsid w:val="00850192"/>
    <w:rsid w:val="00854440"/>
    <w:rsid w:val="008609C0"/>
    <w:rsid w:val="00861F98"/>
    <w:rsid w:val="00864467"/>
    <w:rsid w:val="00864ABF"/>
    <w:rsid w:val="00865B57"/>
    <w:rsid w:val="00871850"/>
    <w:rsid w:val="008852B4"/>
    <w:rsid w:val="008855B2"/>
    <w:rsid w:val="00887F63"/>
    <w:rsid w:val="008A1F8B"/>
    <w:rsid w:val="008A294E"/>
    <w:rsid w:val="008A6552"/>
    <w:rsid w:val="008A6D7B"/>
    <w:rsid w:val="008D7A9F"/>
    <w:rsid w:val="008E26DA"/>
    <w:rsid w:val="008E5590"/>
    <w:rsid w:val="008E5BE6"/>
    <w:rsid w:val="008E73F3"/>
    <w:rsid w:val="008E743B"/>
    <w:rsid w:val="0090198C"/>
    <w:rsid w:val="00901D44"/>
    <w:rsid w:val="00902B4F"/>
    <w:rsid w:val="00904273"/>
    <w:rsid w:val="00913C2E"/>
    <w:rsid w:val="00915A34"/>
    <w:rsid w:val="00917CC6"/>
    <w:rsid w:val="009238AB"/>
    <w:rsid w:val="009251F2"/>
    <w:rsid w:val="0092542B"/>
    <w:rsid w:val="0093063B"/>
    <w:rsid w:val="00933262"/>
    <w:rsid w:val="00935AC9"/>
    <w:rsid w:val="00936D18"/>
    <w:rsid w:val="00951582"/>
    <w:rsid w:val="009658B1"/>
    <w:rsid w:val="00985AE9"/>
    <w:rsid w:val="00987702"/>
    <w:rsid w:val="00990DC1"/>
    <w:rsid w:val="00991D8B"/>
    <w:rsid w:val="009A1CEC"/>
    <w:rsid w:val="009B5A5E"/>
    <w:rsid w:val="009C1EB3"/>
    <w:rsid w:val="009C419A"/>
    <w:rsid w:val="009C4F9E"/>
    <w:rsid w:val="009D03F9"/>
    <w:rsid w:val="009D7FE1"/>
    <w:rsid w:val="009E2ECD"/>
    <w:rsid w:val="009E3052"/>
    <w:rsid w:val="009F5AF1"/>
    <w:rsid w:val="00A12A85"/>
    <w:rsid w:val="00A13BE4"/>
    <w:rsid w:val="00A13DCF"/>
    <w:rsid w:val="00A333DD"/>
    <w:rsid w:val="00A3594B"/>
    <w:rsid w:val="00A3668C"/>
    <w:rsid w:val="00A372B8"/>
    <w:rsid w:val="00A411DA"/>
    <w:rsid w:val="00A41248"/>
    <w:rsid w:val="00A41827"/>
    <w:rsid w:val="00A477F4"/>
    <w:rsid w:val="00A51F33"/>
    <w:rsid w:val="00A5423F"/>
    <w:rsid w:val="00A553E6"/>
    <w:rsid w:val="00A867BE"/>
    <w:rsid w:val="00A96A77"/>
    <w:rsid w:val="00AA06FD"/>
    <w:rsid w:val="00AA3AAE"/>
    <w:rsid w:val="00AA698C"/>
    <w:rsid w:val="00AA6D25"/>
    <w:rsid w:val="00AA7A22"/>
    <w:rsid w:val="00AB2D68"/>
    <w:rsid w:val="00AB698C"/>
    <w:rsid w:val="00AD47B6"/>
    <w:rsid w:val="00AD6622"/>
    <w:rsid w:val="00AD67A9"/>
    <w:rsid w:val="00AF458B"/>
    <w:rsid w:val="00B004F2"/>
    <w:rsid w:val="00B028C0"/>
    <w:rsid w:val="00B06389"/>
    <w:rsid w:val="00B06C8A"/>
    <w:rsid w:val="00B0722A"/>
    <w:rsid w:val="00B14063"/>
    <w:rsid w:val="00B15ADD"/>
    <w:rsid w:val="00B17DBA"/>
    <w:rsid w:val="00B20D54"/>
    <w:rsid w:val="00B2419C"/>
    <w:rsid w:val="00B276CE"/>
    <w:rsid w:val="00B311DC"/>
    <w:rsid w:val="00B32CD6"/>
    <w:rsid w:val="00B33D16"/>
    <w:rsid w:val="00B3618E"/>
    <w:rsid w:val="00B47294"/>
    <w:rsid w:val="00B51921"/>
    <w:rsid w:val="00B526D2"/>
    <w:rsid w:val="00B5289F"/>
    <w:rsid w:val="00B530D4"/>
    <w:rsid w:val="00B65949"/>
    <w:rsid w:val="00B70954"/>
    <w:rsid w:val="00B759B5"/>
    <w:rsid w:val="00B80C82"/>
    <w:rsid w:val="00B97809"/>
    <w:rsid w:val="00BA42DD"/>
    <w:rsid w:val="00BC7581"/>
    <w:rsid w:val="00BD2D31"/>
    <w:rsid w:val="00BD54D1"/>
    <w:rsid w:val="00BD5A7B"/>
    <w:rsid w:val="00BE0300"/>
    <w:rsid w:val="00BE3CA2"/>
    <w:rsid w:val="00C00F83"/>
    <w:rsid w:val="00C0424A"/>
    <w:rsid w:val="00C10087"/>
    <w:rsid w:val="00C13C2A"/>
    <w:rsid w:val="00C14D1D"/>
    <w:rsid w:val="00C23255"/>
    <w:rsid w:val="00C34C26"/>
    <w:rsid w:val="00C35CE4"/>
    <w:rsid w:val="00C37EC5"/>
    <w:rsid w:val="00C42CBF"/>
    <w:rsid w:val="00C4305C"/>
    <w:rsid w:val="00C4393C"/>
    <w:rsid w:val="00C47B51"/>
    <w:rsid w:val="00C47CDB"/>
    <w:rsid w:val="00C531EE"/>
    <w:rsid w:val="00C5325C"/>
    <w:rsid w:val="00C54480"/>
    <w:rsid w:val="00C668B9"/>
    <w:rsid w:val="00C717C7"/>
    <w:rsid w:val="00C71DC8"/>
    <w:rsid w:val="00C7336D"/>
    <w:rsid w:val="00C738F1"/>
    <w:rsid w:val="00C73E04"/>
    <w:rsid w:val="00C74655"/>
    <w:rsid w:val="00C75D01"/>
    <w:rsid w:val="00C804FD"/>
    <w:rsid w:val="00C84648"/>
    <w:rsid w:val="00C85D8A"/>
    <w:rsid w:val="00C8759F"/>
    <w:rsid w:val="00C879B3"/>
    <w:rsid w:val="00C90852"/>
    <w:rsid w:val="00C90E6A"/>
    <w:rsid w:val="00C9539E"/>
    <w:rsid w:val="00CA5C77"/>
    <w:rsid w:val="00CA6F9D"/>
    <w:rsid w:val="00CA7D08"/>
    <w:rsid w:val="00CB097A"/>
    <w:rsid w:val="00CB16A4"/>
    <w:rsid w:val="00CB2541"/>
    <w:rsid w:val="00CB3956"/>
    <w:rsid w:val="00CB66A2"/>
    <w:rsid w:val="00CC230A"/>
    <w:rsid w:val="00CC2BF2"/>
    <w:rsid w:val="00CC559F"/>
    <w:rsid w:val="00CD0223"/>
    <w:rsid w:val="00CD70CF"/>
    <w:rsid w:val="00CE32BE"/>
    <w:rsid w:val="00CF4720"/>
    <w:rsid w:val="00CF681E"/>
    <w:rsid w:val="00CF79EF"/>
    <w:rsid w:val="00D03562"/>
    <w:rsid w:val="00D1116A"/>
    <w:rsid w:val="00D11E69"/>
    <w:rsid w:val="00D15678"/>
    <w:rsid w:val="00D15EC4"/>
    <w:rsid w:val="00D20EF9"/>
    <w:rsid w:val="00D27D5D"/>
    <w:rsid w:val="00D3116F"/>
    <w:rsid w:val="00D33144"/>
    <w:rsid w:val="00D351AE"/>
    <w:rsid w:val="00D42981"/>
    <w:rsid w:val="00D47061"/>
    <w:rsid w:val="00D53581"/>
    <w:rsid w:val="00D601DE"/>
    <w:rsid w:val="00D6401C"/>
    <w:rsid w:val="00D73400"/>
    <w:rsid w:val="00D7525D"/>
    <w:rsid w:val="00D77937"/>
    <w:rsid w:val="00D80143"/>
    <w:rsid w:val="00D80721"/>
    <w:rsid w:val="00D82528"/>
    <w:rsid w:val="00D84811"/>
    <w:rsid w:val="00D84E70"/>
    <w:rsid w:val="00D87647"/>
    <w:rsid w:val="00D92BF7"/>
    <w:rsid w:val="00D936C8"/>
    <w:rsid w:val="00D93722"/>
    <w:rsid w:val="00D94319"/>
    <w:rsid w:val="00D94B8A"/>
    <w:rsid w:val="00D97BCC"/>
    <w:rsid w:val="00DA6218"/>
    <w:rsid w:val="00DA6C89"/>
    <w:rsid w:val="00DA7D07"/>
    <w:rsid w:val="00DB04D9"/>
    <w:rsid w:val="00DB71DC"/>
    <w:rsid w:val="00DC1B86"/>
    <w:rsid w:val="00DE0A76"/>
    <w:rsid w:val="00DE176A"/>
    <w:rsid w:val="00DE2C28"/>
    <w:rsid w:val="00DF2B54"/>
    <w:rsid w:val="00DF4BDD"/>
    <w:rsid w:val="00DF6E7D"/>
    <w:rsid w:val="00DF7853"/>
    <w:rsid w:val="00E0018B"/>
    <w:rsid w:val="00E00B7E"/>
    <w:rsid w:val="00E040D5"/>
    <w:rsid w:val="00E108EC"/>
    <w:rsid w:val="00E13E5C"/>
    <w:rsid w:val="00E1764F"/>
    <w:rsid w:val="00E17A82"/>
    <w:rsid w:val="00E25CE5"/>
    <w:rsid w:val="00E26939"/>
    <w:rsid w:val="00E27B8B"/>
    <w:rsid w:val="00E324B3"/>
    <w:rsid w:val="00E3313C"/>
    <w:rsid w:val="00E33944"/>
    <w:rsid w:val="00E34E5B"/>
    <w:rsid w:val="00E35038"/>
    <w:rsid w:val="00E45542"/>
    <w:rsid w:val="00E45EC6"/>
    <w:rsid w:val="00E46818"/>
    <w:rsid w:val="00E55E05"/>
    <w:rsid w:val="00E55EE7"/>
    <w:rsid w:val="00E624A8"/>
    <w:rsid w:val="00E65446"/>
    <w:rsid w:val="00E74FD1"/>
    <w:rsid w:val="00E805FB"/>
    <w:rsid w:val="00E8488B"/>
    <w:rsid w:val="00E90DB1"/>
    <w:rsid w:val="00E92EAD"/>
    <w:rsid w:val="00E96F68"/>
    <w:rsid w:val="00EA015C"/>
    <w:rsid w:val="00EA4063"/>
    <w:rsid w:val="00EA488A"/>
    <w:rsid w:val="00EA5F05"/>
    <w:rsid w:val="00EB1B37"/>
    <w:rsid w:val="00EB4149"/>
    <w:rsid w:val="00EB5E7D"/>
    <w:rsid w:val="00EC3F24"/>
    <w:rsid w:val="00EC53F7"/>
    <w:rsid w:val="00EC5976"/>
    <w:rsid w:val="00EC7426"/>
    <w:rsid w:val="00ED23E7"/>
    <w:rsid w:val="00ED4F4F"/>
    <w:rsid w:val="00ED74E1"/>
    <w:rsid w:val="00EF28CC"/>
    <w:rsid w:val="00EF6826"/>
    <w:rsid w:val="00F02C0D"/>
    <w:rsid w:val="00F03AA2"/>
    <w:rsid w:val="00F0656D"/>
    <w:rsid w:val="00F11C6D"/>
    <w:rsid w:val="00F14DAE"/>
    <w:rsid w:val="00F16BE7"/>
    <w:rsid w:val="00F202E1"/>
    <w:rsid w:val="00F2053B"/>
    <w:rsid w:val="00F24621"/>
    <w:rsid w:val="00F27BD5"/>
    <w:rsid w:val="00F33FC1"/>
    <w:rsid w:val="00F40B7F"/>
    <w:rsid w:val="00F427C8"/>
    <w:rsid w:val="00F42EAC"/>
    <w:rsid w:val="00F45864"/>
    <w:rsid w:val="00F46541"/>
    <w:rsid w:val="00F46EF8"/>
    <w:rsid w:val="00F50593"/>
    <w:rsid w:val="00F524A5"/>
    <w:rsid w:val="00F54106"/>
    <w:rsid w:val="00F57063"/>
    <w:rsid w:val="00F57560"/>
    <w:rsid w:val="00F675E1"/>
    <w:rsid w:val="00F70326"/>
    <w:rsid w:val="00F7333B"/>
    <w:rsid w:val="00F9608E"/>
    <w:rsid w:val="00F96BB9"/>
    <w:rsid w:val="00FA0403"/>
    <w:rsid w:val="00FA27A6"/>
    <w:rsid w:val="00FA7077"/>
    <w:rsid w:val="00FB5211"/>
    <w:rsid w:val="00FB5C79"/>
    <w:rsid w:val="00FB6D3E"/>
    <w:rsid w:val="00FC7838"/>
    <w:rsid w:val="00FD2AAF"/>
    <w:rsid w:val="00FD4053"/>
    <w:rsid w:val="00FD54FF"/>
    <w:rsid w:val="00FD7B46"/>
    <w:rsid w:val="00FE2CC9"/>
    <w:rsid w:val="00FE3B0F"/>
    <w:rsid w:val="00FF23EC"/>
    <w:rsid w:val="00FF2E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A3389"/>
  <w15:chartTrackingRefBased/>
  <w15:docId w15:val="{FCCF622B-3796-4DC8-8D02-34CCDE701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1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35038"/>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A40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5212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4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541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10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410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35038"/>
    <w:rPr>
      <w:rFonts w:asciiTheme="majorHAnsi" w:eastAsiaTheme="majorEastAsia" w:hAnsiTheme="majorHAnsi" w:cstheme="majorBidi"/>
      <w:color w:val="2E74B5" w:themeColor="accent1" w:themeShade="BF"/>
      <w:sz w:val="26"/>
      <w:szCs w:val="26"/>
    </w:rPr>
  </w:style>
  <w:style w:type="character" w:styleId="Hyperlink">
    <w:name w:val="Hyperlink"/>
    <w:uiPriority w:val="99"/>
    <w:unhideWhenUsed/>
    <w:rsid w:val="00F54106"/>
    <w:rPr>
      <w:color w:val="0000FF"/>
      <w:u w:val="single"/>
    </w:rPr>
  </w:style>
  <w:style w:type="paragraph" w:customStyle="1" w:styleId="EndNoteBibliographyTitle">
    <w:name w:val="EndNote Bibliography Title"/>
    <w:basedOn w:val="Normal"/>
    <w:link w:val="EndNoteBibliographyTitleChar"/>
    <w:rsid w:val="00F54106"/>
    <w:pPr>
      <w:spacing w:after="0"/>
      <w:jc w:val="center"/>
    </w:pPr>
    <w:rPr>
      <w:rFonts w:ascii="Calibri" w:hAnsi="Calibri"/>
      <w:noProof/>
      <w:lang w:val="en-US"/>
    </w:rPr>
  </w:style>
  <w:style w:type="character" w:customStyle="1" w:styleId="EndNoteBibliographyTitleChar">
    <w:name w:val="EndNote Bibliography Title Char"/>
    <w:basedOn w:val="Heading1Char"/>
    <w:link w:val="EndNoteBibliographyTitle"/>
    <w:rsid w:val="00F54106"/>
    <w:rPr>
      <w:rFonts w:ascii="Calibri" w:eastAsiaTheme="majorEastAsia" w:hAnsi="Calibri" w:cstheme="majorBidi"/>
      <w:noProof/>
      <w:color w:val="2E74B5" w:themeColor="accent1" w:themeShade="BF"/>
      <w:sz w:val="32"/>
      <w:szCs w:val="32"/>
      <w:lang w:val="en-US"/>
    </w:rPr>
  </w:style>
  <w:style w:type="paragraph" w:customStyle="1" w:styleId="EndNoteBibliography">
    <w:name w:val="EndNote Bibliography"/>
    <w:basedOn w:val="Normal"/>
    <w:link w:val="EndNoteBibliographyChar"/>
    <w:rsid w:val="00F54106"/>
    <w:pPr>
      <w:spacing w:line="240" w:lineRule="auto"/>
    </w:pPr>
    <w:rPr>
      <w:rFonts w:ascii="Calibri" w:hAnsi="Calibri"/>
      <w:noProof/>
      <w:lang w:val="en-US"/>
    </w:rPr>
  </w:style>
  <w:style w:type="character" w:customStyle="1" w:styleId="EndNoteBibliographyChar">
    <w:name w:val="EndNote Bibliography Char"/>
    <w:basedOn w:val="Heading1Char"/>
    <w:link w:val="EndNoteBibliography"/>
    <w:rsid w:val="00F54106"/>
    <w:rPr>
      <w:rFonts w:ascii="Calibri" w:eastAsiaTheme="majorEastAsia" w:hAnsi="Calibri" w:cstheme="majorBidi"/>
      <w:noProof/>
      <w:color w:val="2E74B5" w:themeColor="accent1" w:themeShade="BF"/>
      <w:sz w:val="32"/>
      <w:szCs w:val="32"/>
      <w:lang w:val="en-US"/>
    </w:rPr>
  </w:style>
  <w:style w:type="character" w:customStyle="1" w:styleId="Heading3Char">
    <w:name w:val="Heading 3 Char"/>
    <w:basedOn w:val="DefaultParagraphFont"/>
    <w:link w:val="Heading3"/>
    <w:uiPriority w:val="9"/>
    <w:rsid w:val="00EA406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67705E"/>
    <w:pPr>
      <w:ind w:left="720"/>
      <w:contextualSpacing/>
    </w:pPr>
  </w:style>
  <w:style w:type="paragraph" w:styleId="NoSpacing">
    <w:name w:val="No Spacing"/>
    <w:uiPriority w:val="1"/>
    <w:qFormat/>
    <w:rsid w:val="00E3313C"/>
    <w:pPr>
      <w:spacing w:after="0" w:line="240" w:lineRule="auto"/>
    </w:pPr>
  </w:style>
  <w:style w:type="paragraph" w:styleId="Header">
    <w:name w:val="header"/>
    <w:basedOn w:val="Normal"/>
    <w:link w:val="HeaderChar"/>
    <w:uiPriority w:val="99"/>
    <w:unhideWhenUsed/>
    <w:rsid w:val="002C14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45E"/>
  </w:style>
  <w:style w:type="paragraph" w:styleId="Footer">
    <w:name w:val="footer"/>
    <w:basedOn w:val="Normal"/>
    <w:link w:val="FooterChar"/>
    <w:uiPriority w:val="99"/>
    <w:unhideWhenUsed/>
    <w:rsid w:val="002C14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45E"/>
  </w:style>
  <w:style w:type="character" w:styleId="CommentReference">
    <w:name w:val="annotation reference"/>
    <w:basedOn w:val="DefaultParagraphFont"/>
    <w:uiPriority w:val="99"/>
    <w:semiHidden/>
    <w:unhideWhenUsed/>
    <w:rsid w:val="00641DB2"/>
    <w:rPr>
      <w:sz w:val="16"/>
      <w:szCs w:val="16"/>
    </w:rPr>
  </w:style>
  <w:style w:type="character" w:customStyle="1" w:styleId="Heading4Char">
    <w:name w:val="Heading 4 Char"/>
    <w:basedOn w:val="DefaultParagraphFont"/>
    <w:link w:val="Heading4"/>
    <w:uiPriority w:val="9"/>
    <w:rsid w:val="00352128"/>
    <w:rPr>
      <w:rFonts w:asciiTheme="majorHAnsi" w:eastAsiaTheme="majorEastAsia" w:hAnsiTheme="majorHAnsi" w:cstheme="majorBidi"/>
      <w:i/>
      <w:iCs/>
      <w:color w:val="2E74B5" w:themeColor="accent1" w:themeShade="BF"/>
    </w:rPr>
  </w:style>
  <w:style w:type="paragraph" w:customStyle="1" w:styleId="Default">
    <w:name w:val="Default"/>
    <w:rsid w:val="003646E9"/>
    <w:pPr>
      <w:autoSpaceDE w:val="0"/>
      <w:autoSpaceDN w:val="0"/>
      <w:adjustRightInd w:val="0"/>
      <w:spacing w:after="0" w:line="240" w:lineRule="auto"/>
    </w:pPr>
    <w:rPr>
      <w:rFonts w:ascii="Century Gothic" w:hAnsi="Century Gothic" w:cs="Century Gothic"/>
      <w:color w:val="000000"/>
      <w:sz w:val="24"/>
      <w:szCs w:val="24"/>
    </w:rPr>
  </w:style>
  <w:style w:type="character" w:styleId="FollowedHyperlink">
    <w:name w:val="FollowedHyperlink"/>
    <w:basedOn w:val="DefaultParagraphFont"/>
    <w:uiPriority w:val="99"/>
    <w:semiHidden/>
    <w:unhideWhenUsed/>
    <w:rsid w:val="00243941"/>
    <w:rPr>
      <w:color w:val="954F72" w:themeColor="followedHyperlink"/>
      <w:u w:val="single"/>
    </w:rPr>
  </w:style>
  <w:style w:type="character" w:customStyle="1" w:styleId="UnresolvedMention1">
    <w:name w:val="Unresolved Mention1"/>
    <w:basedOn w:val="DefaultParagraphFont"/>
    <w:uiPriority w:val="99"/>
    <w:semiHidden/>
    <w:unhideWhenUsed/>
    <w:rsid w:val="00F40B7F"/>
    <w:rPr>
      <w:color w:val="808080"/>
      <w:shd w:val="clear" w:color="auto" w:fill="E6E6E6"/>
    </w:rPr>
  </w:style>
  <w:style w:type="paragraph" w:styleId="BalloonText">
    <w:name w:val="Balloon Text"/>
    <w:basedOn w:val="Normal"/>
    <w:link w:val="BalloonTextChar"/>
    <w:uiPriority w:val="99"/>
    <w:semiHidden/>
    <w:unhideWhenUsed/>
    <w:rsid w:val="00031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58A"/>
    <w:rPr>
      <w:rFonts w:ascii="Segoe UI" w:hAnsi="Segoe UI" w:cs="Segoe UI"/>
      <w:sz w:val="18"/>
      <w:szCs w:val="18"/>
    </w:rPr>
  </w:style>
  <w:style w:type="paragraph" w:styleId="CommentText">
    <w:name w:val="annotation text"/>
    <w:basedOn w:val="Normal"/>
    <w:link w:val="CommentTextChar"/>
    <w:uiPriority w:val="99"/>
    <w:unhideWhenUsed/>
    <w:rsid w:val="00026C99"/>
    <w:pPr>
      <w:spacing w:line="240" w:lineRule="auto"/>
    </w:pPr>
    <w:rPr>
      <w:sz w:val="20"/>
      <w:szCs w:val="20"/>
    </w:rPr>
  </w:style>
  <w:style w:type="character" w:customStyle="1" w:styleId="CommentTextChar">
    <w:name w:val="Comment Text Char"/>
    <w:basedOn w:val="DefaultParagraphFont"/>
    <w:link w:val="CommentText"/>
    <w:uiPriority w:val="99"/>
    <w:rsid w:val="00026C99"/>
    <w:rPr>
      <w:sz w:val="20"/>
      <w:szCs w:val="20"/>
    </w:rPr>
  </w:style>
  <w:style w:type="paragraph" w:styleId="CommentSubject">
    <w:name w:val="annotation subject"/>
    <w:basedOn w:val="CommentText"/>
    <w:next w:val="CommentText"/>
    <w:link w:val="CommentSubjectChar"/>
    <w:uiPriority w:val="99"/>
    <w:semiHidden/>
    <w:unhideWhenUsed/>
    <w:rsid w:val="00026C99"/>
    <w:rPr>
      <w:b/>
      <w:bCs/>
    </w:rPr>
  </w:style>
  <w:style w:type="character" w:customStyle="1" w:styleId="CommentSubjectChar">
    <w:name w:val="Comment Subject Char"/>
    <w:basedOn w:val="CommentTextChar"/>
    <w:link w:val="CommentSubject"/>
    <w:uiPriority w:val="99"/>
    <w:semiHidden/>
    <w:rsid w:val="00026C99"/>
    <w:rPr>
      <w:b/>
      <w:bCs/>
      <w:sz w:val="20"/>
      <w:szCs w:val="20"/>
    </w:rPr>
  </w:style>
  <w:style w:type="character" w:customStyle="1" w:styleId="UnresolvedMention2">
    <w:name w:val="Unresolved Mention2"/>
    <w:basedOn w:val="DefaultParagraphFont"/>
    <w:uiPriority w:val="99"/>
    <w:rsid w:val="000870F7"/>
    <w:rPr>
      <w:color w:val="808080"/>
      <w:shd w:val="clear" w:color="auto" w:fill="E6E6E6"/>
    </w:rPr>
  </w:style>
  <w:style w:type="paragraph" w:styleId="Revision">
    <w:name w:val="Revision"/>
    <w:hidden/>
    <w:uiPriority w:val="99"/>
    <w:semiHidden/>
    <w:rsid w:val="005D36AB"/>
    <w:pPr>
      <w:spacing w:after="0" w:line="240" w:lineRule="auto"/>
    </w:pPr>
  </w:style>
  <w:style w:type="character" w:styleId="UnresolvedMention">
    <w:name w:val="Unresolved Mention"/>
    <w:basedOn w:val="DefaultParagraphFont"/>
    <w:uiPriority w:val="99"/>
    <w:semiHidden/>
    <w:unhideWhenUsed/>
    <w:rsid w:val="00E4681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94845">
      <w:bodyDiv w:val="1"/>
      <w:marLeft w:val="0"/>
      <w:marRight w:val="0"/>
      <w:marTop w:val="0"/>
      <w:marBottom w:val="0"/>
      <w:divBdr>
        <w:top w:val="none" w:sz="0" w:space="0" w:color="auto"/>
        <w:left w:val="none" w:sz="0" w:space="0" w:color="auto"/>
        <w:bottom w:val="none" w:sz="0" w:space="0" w:color="auto"/>
        <w:right w:val="none" w:sz="0" w:space="0" w:color="auto"/>
      </w:divBdr>
    </w:div>
    <w:div w:id="36246024">
      <w:bodyDiv w:val="1"/>
      <w:marLeft w:val="0"/>
      <w:marRight w:val="0"/>
      <w:marTop w:val="0"/>
      <w:marBottom w:val="0"/>
      <w:divBdr>
        <w:top w:val="none" w:sz="0" w:space="0" w:color="auto"/>
        <w:left w:val="none" w:sz="0" w:space="0" w:color="auto"/>
        <w:bottom w:val="none" w:sz="0" w:space="0" w:color="auto"/>
        <w:right w:val="none" w:sz="0" w:space="0" w:color="auto"/>
      </w:divBdr>
    </w:div>
    <w:div w:id="234583657">
      <w:bodyDiv w:val="1"/>
      <w:marLeft w:val="0"/>
      <w:marRight w:val="0"/>
      <w:marTop w:val="0"/>
      <w:marBottom w:val="0"/>
      <w:divBdr>
        <w:top w:val="none" w:sz="0" w:space="0" w:color="auto"/>
        <w:left w:val="none" w:sz="0" w:space="0" w:color="auto"/>
        <w:bottom w:val="none" w:sz="0" w:space="0" w:color="auto"/>
        <w:right w:val="none" w:sz="0" w:space="0" w:color="auto"/>
      </w:divBdr>
    </w:div>
    <w:div w:id="717628450">
      <w:bodyDiv w:val="1"/>
      <w:marLeft w:val="0"/>
      <w:marRight w:val="0"/>
      <w:marTop w:val="0"/>
      <w:marBottom w:val="0"/>
      <w:divBdr>
        <w:top w:val="none" w:sz="0" w:space="0" w:color="auto"/>
        <w:left w:val="none" w:sz="0" w:space="0" w:color="auto"/>
        <w:bottom w:val="none" w:sz="0" w:space="0" w:color="auto"/>
        <w:right w:val="none" w:sz="0" w:space="0" w:color="auto"/>
      </w:divBdr>
    </w:div>
    <w:div w:id="994338806">
      <w:bodyDiv w:val="1"/>
      <w:marLeft w:val="0"/>
      <w:marRight w:val="0"/>
      <w:marTop w:val="0"/>
      <w:marBottom w:val="0"/>
      <w:divBdr>
        <w:top w:val="none" w:sz="0" w:space="0" w:color="auto"/>
        <w:left w:val="none" w:sz="0" w:space="0" w:color="auto"/>
        <w:bottom w:val="none" w:sz="0" w:space="0" w:color="auto"/>
        <w:right w:val="none" w:sz="0" w:space="0" w:color="auto"/>
      </w:divBdr>
    </w:div>
    <w:div w:id="1278759516">
      <w:bodyDiv w:val="1"/>
      <w:marLeft w:val="0"/>
      <w:marRight w:val="0"/>
      <w:marTop w:val="0"/>
      <w:marBottom w:val="0"/>
      <w:divBdr>
        <w:top w:val="none" w:sz="0" w:space="0" w:color="auto"/>
        <w:left w:val="none" w:sz="0" w:space="0" w:color="auto"/>
        <w:bottom w:val="none" w:sz="0" w:space="0" w:color="auto"/>
        <w:right w:val="none" w:sz="0" w:space="0" w:color="auto"/>
      </w:divBdr>
      <w:divsChild>
        <w:div w:id="1526942148">
          <w:marLeft w:val="0"/>
          <w:marRight w:val="0"/>
          <w:marTop w:val="0"/>
          <w:marBottom w:val="120"/>
          <w:divBdr>
            <w:top w:val="none" w:sz="0" w:space="0" w:color="auto"/>
            <w:left w:val="none" w:sz="0" w:space="0" w:color="auto"/>
            <w:bottom w:val="none" w:sz="0" w:space="0" w:color="auto"/>
            <w:right w:val="none" w:sz="0" w:space="0" w:color="auto"/>
          </w:divBdr>
        </w:div>
        <w:div w:id="282008472">
          <w:marLeft w:val="0"/>
          <w:marRight w:val="0"/>
          <w:marTop w:val="0"/>
          <w:marBottom w:val="120"/>
          <w:divBdr>
            <w:top w:val="none" w:sz="0" w:space="0" w:color="auto"/>
            <w:left w:val="none" w:sz="0" w:space="0" w:color="auto"/>
            <w:bottom w:val="none" w:sz="0" w:space="0" w:color="auto"/>
            <w:right w:val="none" w:sz="0" w:space="0" w:color="auto"/>
          </w:divBdr>
        </w:div>
        <w:div w:id="855073134">
          <w:marLeft w:val="0"/>
          <w:marRight w:val="0"/>
          <w:marTop w:val="0"/>
          <w:marBottom w:val="120"/>
          <w:divBdr>
            <w:top w:val="none" w:sz="0" w:space="0" w:color="auto"/>
            <w:left w:val="none" w:sz="0" w:space="0" w:color="auto"/>
            <w:bottom w:val="none" w:sz="0" w:space="0" w:color="auto"/>
            <w:right w:val="none" w:sz="0" w:space="0" w:color="auto"/>
          </w:divBdr>
        </w:div>
      </w:divsChild>
    </w:div>
    <w:div w:id="1455101755">
      <w:bodyDiv w:val="1"/>
      <w:marLeft w:val="0"/>
      <w:marRight w:val="0"/>
      <w:marTop w:val="0"/>
      <w:marBottom w:val="0"/>
      <w:divBdr>
        <w:top w:val="none" w:sz="0" w:space="0" w:color="auto"/>
        <w:left w:val="none" w:sz="0" w:space="0" w:color="auto"/>
        <w:bottom w:val="none" w:sz="0" w:space="0" w:color="auto"/>
        <w:right w:val="none" w:sz="0" w:space="0" w:color="auto"/>
      </w:divBdr>
    </w:div>
    <w:div w:id="184604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kdataservice.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x.doi.org/10.1037/spq00002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A1F23-8389-4BB4-ACF2-8A0C19082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32</Pages>
  <Words>11906</Words>
  <Characters>67870</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University of Sydney</Company>
  <LinksUpToDate>false</LinksUpToDate>
  <CharactersWithSpaces>79617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Emerson</dc:creator>
  <cp:keywords/>
  <dc:description/>
  <cp:lastModifiedBy>Emerson, Eric</cp:lastModifiedBy>
  <cp:revision>12</cp:revision>
  <cp:lastPrinted>2019-02-25T20:15:00Z</cp:lastPrinted>
  <dcterms:created xsi:type="dcterms:W3CDTF">2019-02-28T09:45:00Z</dcterms:created>
  <dcterms:modified xsi:type="dcterms:W3CDTF">2019-04-18T06:43:00Z</dcterms:modified>
</cp:coreProperties>
</file>