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12D" w:rsidRDefault="00D7112D">
      <w:r>
        <w:t>Final accepted version</w:t>
      </w:r>
      <w:bookmarkStart w:id="0" w:name="_GoBack"/>
      <w:bookmarkEnd w:id="0"/>
    </w:p>
    <w:p w:rsidR="00D7112D" w:rsidRDefault="00D7112D"/>
    <w:p w:rsidR="00F15FA4" w:rsidRDefault="00AB7569">
      <w:r>
        <w:t xml:space="preserve">TLDR – </w:t>
      </w:r>
      <w:r w:rsidR="00097235">
        <w:t xml:space="preserve">Day services and </w:t>
      </w:r>
      <w:r w:rsidR="00FB1765">
        <w:t>home care</w:t>
      </w:r>
      <w:r w:rsidR="002A05F6">
        <w:t xml:space="preserve"> </w:t>
      </w:r>
      <w:r w:rsidR="0013747E">
        <w:t xml:space="preserve">for </w:t>
      </w:r>
      <w:r w:rsidR="002A05F6">
        <w:t>adults</w:t>
      </w:r>
      <w:r w:rsidR="00E83DF1">
        <w:t xml:space="preserve"> with </w:t>
      </w:r>
      <w:r w:rsidR="002A05F6">
        <w:t xml:space="preserve">learning disabilities across </w:t>
      </w:r>
      <w:r w:rsidR="00E83DF1">
        <w:t>the UK</w:t>
      </w:r>
    </w:p>
    <w:p w:rsidR="00DD3825" w:rsidRDefault="00DD3825"/>
    <w:p w:rsidR="00DD3825" w:rsidRDefault="009327B9">
      <w:r>
        <w:t xml:space="preserve">Author: </w:t>
      </w:r>
      <w:r w:rsidR="00DD3825">
        <w:t>Chris Hatton</w:t>
      </w:r>
    </w:p>
    <w:p w:rsidR="009327B9" w:rsidRDefault="009327B9">
      <w:r>
        <w:t>Public Health England Learning Disabilities Observatory</w:t>
      </w:r>
    </w:p>
    <w:p w:rsidR="009327B9" w:rsidRDefault="009327B9">
      <w:r>
        <w:t>Centre for Disability Research, Lancaster University, Lancaster, LA1 4YG, UK</w:t>
      </w:r>
    </w:p>
    <w:p w:rsidR="009327B9" w:rsidRDefault="009327B9">
      <w:r>
        <w:t>Email: chris.hatton@lancaster.ac.uk</w:t>
      </w:r>
    </w:p>
    <w:p w:rsidR="00DD3825" w:rsidRDefault="00DD3825"/>
    <w:p w:rsidR="009327B9" w:rsidRDefault="009327B9">
      <w:r>
        <w:br w:type="page"/>
      </w:r>
    </w:p>
    <w:p w:rsidR="00E83DF1" w:rsidRDefault="00DD3825">
      <w:r>
        <w:lastRenderedPageBreak/>
        <w:t>Abstract</w:t>
      </w:r>
    </w:p>
    <w:p w:rsidR="00DD3825" w:rsidRDefault="006F6ECF">
      <w:r>
        <w:t>Purpose</w:t>
      </w:r>
    </w:p>
    <w:p w:rsidR="009327B9" w:rsidRDefault="009327B9">
      <w:r>
        <w:t xml:space="preserve">This paper compares data from national </w:t>
      </w:r>
      <w:r w:rsidR="004F5E89">
        <w:t xml:space="preserve">social care statistics on </w:t>
      </w:r>
      <w:r w:rsidR="00064438">
        <w:t>day services and home care for</w:t>
      </w:r>
      <w:r w:rsidR="004F5E89">
        <w:t xml:space="preserve"> people </w:t>
      </w:r>
      <w:r>
        <w:t>with learning disabilities across England, Scotland, Wales and Northern Ireland.</w:t>
      </w:r>
    </w:p>
    <w:p w:rsidR="009327B9" w:rsidRDefault="009327B9">
      <w:r>
        <w:t>Method</w:t>
      </w:r>
      <w:r w:rsidR="006F6ECF">
        <w:t>ology</w:t>
      </w:r>
    </w:p>
    <w:p w:rsidR="009327B9" w:rsidRDefault="009327B9">
      <w:r>
        <w:t xml:space="preserve">National </w:t>
      </w:r>
      <w:r w:rsidR="004F5E89">
        <w:t xml:space="preserve">social care </w:t>
      </w:r>
      <w:r>
        <w:t>statist</w:t>
      </w:r>
      <w:r w:rsidR="00715B6A">
        <w:t>ic</w:t>
      </w:r>
      <w:r>
        <w:t xml:space="preserve">s (England, Scotland, Wales, </w:t>
      </w:r>
      <w:proofErr w:type="gramStart"/>
      <w:r>
        <w:t>Northern</w:t>
      </w:r>
      <w:proofErr w:type="gramEnd"/>
      <w:r>
        <w:t xml:space="preserve"> Ireland) reporting </w:t>
      </w:r>
      <w:r w:rsidR="004F5E89">
        <w:t xml:space="preserve">the </w:t>
      </w:r>
      <w:r w:rsidR="00064438">
        <w:t>number of adults with learning disabilities accessing day services and home care</w:t>
      </w:r>
      <w:r>
        <w:t>, with data extracted on trends over time</w:t>
      </w:r>
      <w:r w:rsidR="004F5E89">
        <w:t xml:space="preserve"> and</w:t>
      </w:r>
      <w:r>
        <w:t xml:space="preserve"> rate of service use.</w:t>
      </w:r>
    </w:p>
    <w:p w:rsidR="009327B9" w:rsidRDefault="006F6ECF">
      <w:r>
        <w:t>Findings</w:t>
      </w:r>
    </w:p>
    <w:p w:rsidR="009327B9" w:rsidRDefault="00064438">
      <w:r>
        <w:t>Regarding day services, despite some variations in definitions, the number of adults with learning disabilities in England, Scotland and Wales (but not Northern Ireland) using building-based day services decreased over time. Data from Scotland also indicate that adults with l</w:t>
      </w:r>
      <w:r w:rsidR="00B35870">
        <w:t xml:space="preserve">earning disabilities are </w:t>
      </w:r>
      <w:r>
        <w:t>spending less time in building-based day services, with alternative day opportunities not wholly compensating for the reduction in building-based day services. Regarding home care</w:t>
      </w:r>
      <w:r w:rsidR="00D616AB">
        <w:t>, there are broadly similar rates of usage across the four parts of the UK, with the number of adults with learning disabilities using home care now staying static or decreasing.</w:t>
      </w:r>
    </w:p>
    <w:p w:rsidR="009327B9" w:rsidRDefault="00715B6A">
      <w:r>
        <w:t>Implications</w:t>
      </w:r>
    </w:p>
    <w:p w:rsidR="006F6ECF" w:rsidRDefault="00D616AB">
      <w:r>
        <w:t>S</w:t>
      </w:r>
      <w:r w:rsidR="00707C00">
        <w:t xml:space="preserve">imilar policy ambitions </w:t>
      </w:r>
      <w:r>
        <w:t>across the four parts of the UK have resulted (with the exception of Northern Ireland) in similar trends in access to day services and home care</w:t>
      </w:r>
      <w:r w:rsidR="00064438">
        <w:t>.</w:t>
      </w:r>
    </w:p>
    <w:p w:rsidR="00AB7569" w:rsidRDefault="00AB7569">
      <w:r>
        <w:t>Originality</w:t>
      </w:r>
    </w:p>
    <w:p w:rsidR="006F6ECF" w:rsidRDefault="00AB7569">
      <w:r>
        <w:t xml:space="preserve">This paper is a first attempt to compare national </w:t>
      </w:r>
      <w:r w:rsidR="004F5E89">
        <w:t xml:space="preserve">social care statistics </w:t>
      </w:r>
      <w:r>
        <w:t xml:space="preserve">concerning </w:t>
      </w:r>
      <w:r w:rsidR="00D616AB">
        <w:t>day services and home care for</w:t>
      </w:r>
      <w:r w:rsidR="004F5E89">
        <w:t xml:space="preserve"> adults with learning disabilities</w:t>
      </w:r>
      <w:r>
        <w:t xml:space="preserve"> across the UK. With increasing divergence of health and social service systems, further comparative analyses of services for people with learning disabilities are needed.</w:t>
      </w:r>
      <w:r w:rsidR="006F6ECF">
        <w:br w:type="page"/>
      </w:r>
    </w:p>
    <w:p w:rsidR="00DD3825" w:rsidRDefault="00DD3825">
      <w:r>
        <w:lastRenderedPageBreak/>
        <w:t>Introduction</w:t>
      </w:r>
    </w:p>
    <w:p w:rsidR="00707C00" w:rsidRDefault="00606C33" w:rsidP="00707C00">
      <w:r>
        <w:t xml:space="preserve">Over the past 20 years, devolution across the four main constituent parts of the United Kingdom (England, Scotland, Wales and Northern Ireland) has resulted in </w:t>
      </w:r>
      <w:r w:rsidR="00C43007">
        <w:t>increasing</w:t>
      </w:r>
      <w:r>
        <w:t xml:space="preserve"> diversity in how health </w:t>
      </w:r>
      <w:r w:rsidR="00390100">
        <w:t xml:space="preserve">and social </w:t>
      </w:r>
      <w:r>
        <w:t>services are organised</w:t>
      </w:r>
      <w:r w:rsidR="00BF74F6">
        <w:t xml:space="preserve"> (Bevan et al. 2014)</w:t>
      </w:r>
      <w:r>
        <w:t xml:space="preserve">. </w:t>
      </w:r>
      <w:r w:rsidR="00707C00">
        <w:t>Although the different parts of the UK tackled large-scale deinstitutionalisation for people with learning disabilities in different ways and at different times (Emerson &amp; Hatton 1994</w:t>
      </w:r>
      <w:r w:rsidR="009C7E49">
        <w:t>; Hatton 2016</w:t>
      </w:r>
      <w:r w:rsidR="00707C00">
        <w:t>), the vast majority of adults with learning disabilities in the UK are now living outside institutions run by health services. Adults with learning disabilities are in a wide range of living situations, from residential and nursing care through supported living to tenancies and home ownership, with a large proportion of adults with learning disabilities st</w:t>
      </w:r>
      <w:r w:rsidR="00FB1765">
        <w:t>ill living with their families</w:t>
      </w:r>
      <w:r w:rsidR="009C7E49">
        <w:t xml:space="preserve"> (Hatton 2017)</w:t>
      </w:r>
      <w:r w:rsidR="00FB1765">
        <w:t>. Alongside these living arrangements, substantial numbers of adults with learning disabilities are getting some form of separate support during the day and may be getting home care support</w:t>
      </w:r>
      <w:r w:rsidR="009C7E49">
        <w:t xml:space="preserve">, which is the focus of this </w:t>
      </w:r>
      <w:proofErr w:type="gramStart"/>
      <w:r w:rsidR="009C7E49">
        <w:t>paper,</w:t>
      </w:r>
      <w:proofErr w:type="gramEnd"/>
      <w:r w:rsidR="009C7E49">
        <w:t xml:space="preserve"> the third in a series comparing services for adults with learning disabilities across the UK (see Hatton 2016, 2017)</w:t>
      </w:r>
      <w:r w:rsidR="00FB1765">
        <w:t>.</w:t>
      </w:r>
    </w:p>
    <w:p w:rsidR="00887D7F" w:rsidRDefault="003D46B8" w:rsidP="00887D7F">
      <w:r>
        <w:t>There are both similarities and differences in how social care is delivered across England, Scotland, Wales and Northern Ireland. Social care is commissioned (and provided to varying degrees) by 152 local authorities in England, 32 local authorities in Scotland, 22 local authorities in Wales, and 5 integrated Health and Social Care Trusts in Northern Ireland. There are also national and local variations in eligibility for social care support and funding.</w:t>
      </w:r>
      <w:r w:rsidR="00887D7F" w:rsidRPr="00887D7F">
        <w:t xml:space="preserve"> </w:t>
      </w:r>
      <w:r w:rsidR="00887D7F">
        <w:t xml:space="preserve">In all parts of the UK there have been substantial reductions in state funding for social care, although there have been substantial national and local variations in the extent and distribution of these reductions (see e.g. Hastings et al 2015). </w:t>
      </w:r>
    </w:p>
    <w:p w:rsidR="009C7E49" w:rsidRDefault="00887D7F" w:rsidP="00707C00">
      <w:r>
        <w:t>Within t</w:t>
      </w:r>
      <w:r w:rsidR="000F46EB">
        <w:t>he past 20</w:t>
      </w:r>
      <w:r>
        <w:t xml:space="preserve"> years, there have been major statements of policy concerning people with learning disabilities in England, Scotland, Wales and Northern Ireland. </w:t>
      </w:r>
      <w:r w:rsidR="009C7E49">
        <w:t xml:space="preserve">A consistent theme in all these policy documents is day service ‘modernisation’, with the intention of </w:t>
      </w:r>
      <w:r w:rsidR="008432C6">
        <w:t xml:space="preserve">reducing or </w:t>
      </w:r>
      <w:r w:rsidR="009C7E49">
        <w:t xml:space="preserve">replacing building-based day centres with more flexible, fulfilling and inclusive supported daytime activities, including </w:t>
      </w:r>
      <w:r w:rsidR="008432C6">
        <w:t xml:space="preserve">access to further education and </w:t>
      </w:r>
      <w:r w:rsidR="009C7E49">
        <w:t>support to gain paid employment (Department of Health 2001</w:t>
      </w:r>
      <w:r w:rsidR="00072FD1">
        <w:t xml:space="preserve">; HM Government 2009; Northern Ireland Executive 2012; </w:t>
      </w:r>
      <w:r w:rsidR="008432C6">
        <w:t xml:space="preserve">Review of Mental Health and Learning Disability 2005; </w:t>
      </w:r>
      <w:r w:rsidR="00072FD1">
        <w:t>Scottish Government 2013; Welsh Government 2007</w:t>
      </w:r>
      <w:r w:rsidR="009C7E49">
        <w:t>)</w:t>
      </w:r>
      <w:r w:rsidR="008432C6">
        <w:t>. In contrast, none of these policy statements set clear objectives for home or domiciliary care</w:t>
      </w:r>
      <w:r w:rsidR="00B743C6">
        <w:t>, although supported living and independent living situations, where people are most likely to be accessing home care</w:t>
      </w:r>
      <w:r w:rsidR="007505B2">
        <w:t>, have been encouraged in policies across the UK, have until recently been increasing (Hatton, 2017)</w:t>
      </w:r>
      <w:r w:rsidR="008432C6">
        <w:t>.</w:t>
      </w:r>
      <w:r w:rsidR="007505B2">
        <w:t xml:space="preserve"> As well as policy, broader financial issues, particularly the impact of general reductions in social care expenditure (although services for people with learning disabilities may until recently have been relatively protected from these reductions; see e.g. Hatton et al., 2016)</w:t>
      </w:r>
      <w:r w:rsidR="00E633FC">
        <w:t>, are likely to be a major influence on the provision of social care for adults with learning disabilities</w:t>
      </w:r>
      <w:r w:rsidR="007505B2">
        <w:t>.</w:t>
      </w:r>
    </w:p>
    <w:p w:rsidR="009C7E49" w:rsidRDefault="005E048E" w:rsidP="00707C00">
      <w:r>
        <w:t>In practice, people with learning disabil</w:t>
      </w:r>
      <w:r w:rsidR="00B35870">
        <w:t>ities and their families (with</w:t>
      </w:r>
      <w:r>
        <w:t xml:space="preserve"> whom many adults with learning disabilities are living, Hatton 2017) have experienced day service ‘modernisation’ as having both positive and negative impacts. Day centres could be sites of inflexible, unfulfilling time being served with little support for individuals to develop fulfilling lives in terms of being citizens of their local communities, but they could also be sites of predictable time spent in activities out of the house, with peers and friends. Reductions in time spent in building-based day services could result in daytime being spent more flexibly and productively within local communities, but at the same time could also result in less time being spent less predictably outside the person’s home, engaged in </w:t>
      </w:r>
      <w:r>
        <w:lastRenderedPageBreak/>
        <w:t>atomised activities in a restricted number of ‘safe havens</w:t>
      </w:r>
      <w:r w:rsidR="00B35870">
        <w:t>’</w:t>
      </w:r>
      <w:r>
        <w:t xml:space="preserve"> within generally less than welcoming local communities (Power &amp; Bartlett 2015)</w:t>
      </w:r>
      <w:r w:rsidR="00307C7D">
        <w:t>. There is little research on how people with learning disabilities or family members experience home care.</w:t>
      </w:r>
      <w:r w:rsidR="00B743C6">
        <w:t xml:space="preserve"> </w:t>
      </w:r>
    </w:p>
    <w:p w:rsidR="00EA2E7A" w:rsidRDefault="00FB1765" w:rsidP="00EA2E7A">
      <w:r>
        <w:t>P</w:t>
      </w:r>
      <w:r w:rsidR="00EA2E7A">
        <w:t>revious paper</w:t>
      </w:r>
      <w:r>
        <w:t xml:space="preserve">s have </w:t>
      </w:r>
      <w:r w:rsidR="00EA2E7A">
        <w:t xml:space="preserve">compared statistics concerning people with learning disabilities </w:t>
      </w:r>
      <w:r>
        <w:t xml:space="preserve">across England, Scotland, Wales and Northern Ireland with respect to </w:t>
      </w:r>
      <w:r w:rsidR="00EA2E7A">
        <w:t>specialist inpatient services</w:t>
      </w:r>
      <w:r>
        <w:t xml:space="preserve"> (Hatton 2016) and a wide range of living situations (Hatton, 2017). </w:t>
      </w:r>
      <w:r w:rsidR="00EA2E7A">
        <w:t xml:space="preserve">This paper compares statistics concerning </w:t>
      </w:r>
      <w:r>
        <w:t>day services and home care used by adults with learning disabilities across England, Scotland, Wales and Northern Ireland.</w:t>
      </w:r>
    </w:p>
    <w:p w:rsidR="00307C7D" w:rsidRDefault="00307C7D"/>
    <w:p w:rsidR="00DD3825" w:rsidRDefault="00DD3825">
      <w:r>
        <w:t>Datasets</w:t>
      </w:r>
    </w:p>
    <w:p w:rsidR="00985076" w:rsidRDefault="00171587">
      <w:r>
        <w:t>England:</w:t>
      </w:r>
      <w:r w:rsidR="008F1506">
        <w:t xml:space="preserve"> NHS Digital publishes annual returns from 152 councils with adult social services responsibilities concerning social care for adults with learning disabilities</w:t>
      </w:r>
      <w:r w:rsidR="00983F52">
        <w:t xml:space="preserve"> (NHS Digital 2016)</w:t>
      </w:r>
      <w:r w:rsidR="008F1506">
        <w:t>. Adults are defined as aged 18 years or over</w:t>
      </w:r>
      <w:r w:rsidR="00983F52">
        <w:t>. There</w:t>
      </w:r>
      <w:r w:rsidR="008F1506">
        <w:t xml:space="preserve"> was a major change in social care data collection for 2014/15 onwards</w:t>
      </w:r>
      <w:r w:rsidR="00985076">
        <w:t>, when information on the number of adults with learning disabilities getting day services and home care was discontinued. Up to this point data were available in the RAP dataset, Table P2F (see Hatton et al., 2016, for a detailed discussion of these data).</w:t>
      </w:r>
    </w:p>
    <w:p w:rsidR="006E2097" w:rsidRDefault="00AD14CB">
      <w:r>
        <w:t xml:space="preserve">Scotland: </w:t>
      </w:r>
      <w:r w:rsidR="00983F52">
        <w:t>The Scottish Commission for Learning Disability publishes annual returns from 32 local authorities concerning adults with learning disabilities known to local authorities (Scottish Commission for Learning Disability 2016). Adults are defined as aged 16 years or over.</w:t>
      </w:r>
      <w:r w:rsidR="00664423">
        <w:t xml:space="preserve"> </w:t>
      </w:r>
      <w:r w:rsidR="006E2097">
        <w:t>Specifically, this paper uses data on the number of ad</w:t>
      </w:r>
      <w:r w:rsidR="00985076">
        <w:t>ults with learning disabilities using day centres and the number of adults with learning disabilities using alternative day opportunities (these two categories are not mutually exclusive)</w:t>
      </w:r>
      <w:r w:rsidR="006E2097">
        <w:t>.</w:t>
      </w:r>
      <w:r w:rsidR="00985076">
        <w:t xml:space="preserve"> Data on home care are published </w:t>
      </w:r>
      <w:r w:rsidR="0013747E">
        <w:t xml:space="preserve">separately </w:t>
      </w:r>
      <w:r w:rsidR="00985076">
        <w:t>by the Scottish Government (Scottish Government, 2016) for adults with learning disabilities aged 18 years or over.</w:t>
      </w:r>
    </w:p>
    <w:p w:rsidR="006E2097" w:rsidRDefault="00581C20">
      <w:r>
        <w:t>Wales:</w:t>
      </w:r>
      <w:r w:rsidR="00E97676">
        <w:t xml:space="preserve"> </w:t>
      </w:r>
      <w:proofErr w:type="spellStart"/>
      <w:r w:rsidR="00E97676">
        <w:t>StatsWales</w:t>
      </w:r>
      <w:proofErr w:type="spellEnd"/>
      <w:r w:rsidR="00E97676">
        <w:t xml:space="preserve"> publish</w:t>
      </w:r>
      <w:r w:rsidR="00F736D4">
        <w:t>es</w:t>
      </w:r>
      <w:r w:rsidR="00E97676">
        <w:t xml:space="preserve"> annual returns from 22 local authorities concerning adults with learning disabilities on local authority registers (</w:t>
      </w:r>
      <w:proofErr w:type="spellStart"/>
      <w:r w:rsidR="00E97676">
        <w:t>StatsWales</w:t>
      </w:r>
      <w:proofErr w:type="spellEnd"/>
      <w:r w:rsidR="00E97676">
        <w:t xml:space="preserve"> 2016). Adults are defined as aged 16 or over.</w:t>
      </w:r>
      <w:r w:rsidR="00664423">
        <w:t xml:space="preserve"> </w:t>
      </w:r>
      <w:r w:rsidR="006E2097">
        <w:t>Specifically, this paper uses data on the number of adults with learning disabilities:</w:t>
      </w:r>
      <w:r w:rsidR="00B30DA4">
        <w:t xml:space="preserve"> getting day care, getting community support day care, and getting home care</w:t>
      </w:r>
      <w:r w:rsidR="006E2097">
        <w:t>.</w:t>
      </w:r>
    </w:p>
    <w:p w:rsidR="002F3411" w:rsidRDefault="00581C20">
      <w:r>
        <w:t xml:space="preserve">Northern Ireland: </w:t>
      </w:r>
      <w:r w:rsidR="00E97676">
        <w:t>The Northern Ireland Department of Health publish</w:t>
      </w:r>
      <w:r w:rsidR="0013747E">
        <w:t>es</w:t>
      </w:r>
      <w:r w:rsidR="00E97676">
        <w:t xml:space="preserve"> annual returns from 5 Health and Social Care Trusts (health and social care provision is integrated in Northern Ireland) concerning adults with learning disabilities in contact with Trusts</w:t>
      </w:r>
      <w:r w:rsidR="006E2097">
        <w:t xml:space="preserve"> (Northern Ireland Department of Health 2016</w:t>
      </w:r>
      <w:r w:rsidR="00B30DA4">
        <w:t>a</w:t>
      </w:r>
      <w:r w:rsidR="006E2097">
        <w:t>)</w:t>
      </w:r>
      <w:r w:rsidR="00E97676">
        <w:t>. Adults are defined as aged 16 years or over.</w:t>
      </w:r>
      <w:r w:rsidR="00664423">
        <w:t xml:space="preserve"> </w:t>
      </w:r>
      <w:r w:rsidR="006E2097">
        <w:t xml:space="preserve">Specifically, this paper uses data on the number of adults with learning disabilities </w:t>
      </w:r>
      <w:r w:rsidR="00B30DA4">
        <w:t xml:space="preserve">using: adult training centres/social education centres/workshops; day centres. </w:t>
      </w:r>
      <w:r w:rsidR="002F3411">
        <w:t>Whilst in other parts of the UK these would all be subsumed into one category of building-based day centre, the distinction made in Northern Ireland statistics is respected in this paper.</w:t>
      </w:r>
    </w:p>
    <w:p w:rsidR="00B30DA4" w:rsidRDefault="00B30DA4">
      <w:r>
        <w:t xml:space="preserve">From 2013/14, the Northern Ireland Department of Health has also published data on the number of adults with learning disabilities aged 16 or over </w:t>
      </w:r>
      <w:proofErr w:type="gramStart"/>
      <w:r>
        <w:t>who</w:t>
      </w:r>
      <w:proofErr w:type="gramEnd"/>
      <w:r>
        <w:t xml:space="preserve"> are getting domiciliary care (Northern Ireland Department of Health 2016b).</w:t>
      </w:r>
    </w:p>
    <w:p w:rsidR="006E2097" w:rsidRDefault="006E2097"/>
    <w:p w:rsidR="00DD3825" w:rsidRDefault="00DD3825">
      <w:r>
        <w:lastRenderedPageBreak/>
        <w:t>Results</w:t>
      </w:r>
    </w:p>
    <w:p w:rsidR="0013747E" w:rsidRDefault="00590E93" w:rsidP="00590E93">
      <w:r>
        <w:t xml:space="preserve">Table 1 reports the number of </w:t>
      </w:r>
      <w:r w:rsidR="00BA0FF8">
        <w:t>adults</w:t>
      </w:r>
      <w:r>
        <w:t xml:space="preserve"> with learning disabilities </w:t>
      </w:r>
      <w:r w:rsidR="00743004">
        <w:t>using day services</w:t>
      </w:r>
      <w:r w:rsidR="00BA0FF8">
        <w:t xml:space="preserve"> </w:t>
      </w:r>
      <w:r>
        <w:t xml:space="preserve">across the four parts of the UK from </w:t>
      </w:r>
      <w:r w:rsidR="00BA0FF8">
        <w:t>2010/11 to 2015/16</w:t>
      </w:r>
      <w:r>
        <w:t>, where data are available.</w:t>
      </w:r>
      <w:r w:rsidR="00AC0BAA">
        <w:t xml:space="preserve"> </w:t>
      </w:r>
    </w:p>
    <w:p w:rsidR="00085846" w:rsidRDefault="00AC0BAA" w:rsidP="00590E93">
      <w:r>
        <w:t xml:space="preserve">In England the number of adults using day services dropped by 5.0% from 2010/11 to 2013/14, the last year for which data are available. </w:t>
      </w:r>
    </w:p>
    <w:p w:rsidR="00085846" w:rsidRDefault="00AC0BAA" w:rsidP="00590E93">
      <w:r>
        <w:t xml:space="preserve">There was a similar trend for the number of adults using day centres in Scotland, with a drop of 4.7% from 2011/12 to 2014/15. The number of </w:t>
      </w:r>
      <w:r w:rsidR="004E126F">
        <w:t>adults</w:t>
      </w:r>
      <w:r>
        <w:t xml:space="preserve"> in Scotland getting alternative day opportunities rose sharply from 2011/12 to 2012/13, but has since dropped back in 2014/15 to 2011/12 levels. </w:t>
      </w:r>
      <w:r w:rsidR="00085846">
        <w:t>It is important to note that in Scotland these categories are not mutually exclusive; in 2014/15 2,422 adults with learning disabilities were both using a day centre and getting alternative day opportunities.</w:t>
      </w:r>
    </w:p>
    <w:p w:rsidR="00085846" w:rsidRDefault="00AC0BAA" w:rsidP="00590E93">
      <w:r>
        <w:t xml:space="preserve">In Wales, </w:t>
      </w:r>
      <w:r w:rsidR="004E126F">
        <w:t xml:space="preserve">the number of adults using day care also consistently dropped, by 5.5% from 2010/11 to 2014/15. In contrast, the number of adults in Wales using community support day care increased by 30.9% from 2010/11 to 2014/15. </w:t>
      </w:r>
    </w:p>
    <w:p w:rsidR="00743004" w:rsidRDefault="004E126F" w:rsidP="00590E93">
      <w:r>
        <w:t xml:space="preserve">In Northern Ireland, again the number of adults using Adult Training Centres/Social Education Centres/(sheltered) workshops almost halved (a decrease of 48.3%) from 2010/11 to 2015/16, although the number of adults using other forms of day centre </w:t>
      </w:r>
      <w:r w:rsidR="00085846">
        <w:t xml:space="preserve">sharply increased from 2010/11 to 2015/16 (an increase of 415.8%). </w:t>
      </w:r>
    </w:p>
    <w:p w:rsidR="00F44B7E" w:rsidRDefault="00F44B7E" w:rsidP="00590E93">
      <w:r>
        <w:t>Overall, there seems to be a consistent drop in the number of adults with learning disabilities accessing building-based day centres across most parts of the UK</w:t>
      </w:r>
      <w:r w:rsidR="00F736D4">
        <w:t>, with the exception of Northern Ireland</w:t>
      </w:r>
      <w:r w:rsidR="001D6D4C">
        <w:t>. In contrast, there are less consistent increases in the number of adults with learning disabilities accessing alternative daytime support options.</w:t>
      </w:r>
    </w:p>
    <w:p w:rsidR="001D6D4C" w:rsidRDefault="001D6D4C" w:rsidP="001D6D4C">
      <w:r>
        <w:t>TABLE 1 ABOUT HERE</w:t>
      </w:r>
    </w:p>
    <w:p w:rsidR="00F334FE" w:rsidRDefault="00F334FE" w:rsidP="00F334FE">
      <w:r>
        <w:t xml:space="preserve">To take into account differences in population size across the four parts of the UK, the number of people with learning disabilities </w:t>
      </w:r>
      <w:r w:rsidR="00085846">
        <w:t>using day services</w:t>
      </w:r>
      <w:r>
        <w:t xml:space="preserve"> as a rate per 100,000 of the total population aged 15 years or more using mid-year 2015 population estimates for England, Scotland, Wales and Northern Ireland (Office for National Statistics 2016) was calculated. These comparisons must be treate</w:t>
      </w:r>
      <w:r w:rsidR="0013747E">
        <w:t xml:space="preserve">d with caution; for example </w:t>
      </w:r>
      <w:r>
        <w:t>minimum age threshold</w:t>
      </w:r>
      <w:r w:rsidR="0013747E">
        <w:t>s vary</w:t>
      </w:r>
      <w:r>
        <w:t xml:space="preserve">, and definitions of </w:t>
      </w:r>
      <w:r w:rsidR="00085846">
        <w:t>types of day service/day time support</w:t>
      </w:r>
      <w:r>
        <w:t xml:space="preserve"> are also different across the UK.</w:t>
      </w:r>
    </w:p>
    <w:p w:rsidR="00F334FE" w:rsidRDefault="00F334FE" w:rsidP="00F334FE">
      <w:r>
        <w:t>In England</w:t>
      </w:r>
      <w:r w:rsidR="00422BDA">
        <w:t xml:space="preserve"> in </w:t>
      </w:r>
      <w:r w:rsidR="00085846">
        <w:t xml:space="preserve">2013/14, 102.5 adults with learning disabilities per 100,000 adult </w:t>
      </w:r>
      <w:proofErr w:type="gramStart"/>
      <w:r w:rsidR="00085846">
        <w:t>population</w:t>
      </w:r>
      <w:proofErr w:type="gramEnd"/>
      <w:r w:rsidR="00085846">
        <w:t xml:space="preserve"> were using a day service</w:t>
      </w:r>
      <w:r>
        <w:t>.</w:t>
      </w:r>
    </w:p>
    <w:p w:rsidR="00F334FE" w:rsidRDefault="00F334FE" w:rsidP="00F334FE">
      <w:r>
        <w:t>In Scotland</w:t>
      </w:r>
      <w:r w:rsidR="00422BDA">
        <w:t xml:space="preserve"> in 2014/15</w:t>
      </w:r>
      <w:r>
        <w:t xml:space="preserve">, </w:t>
      </w:r>
      <w:r w:rsidR="00085846">
        <w:t>108.6</w:t>
      </w:r>
      <w:r>
        <w:t xml:space="preserve"> adults with learning disabilities per 100,000 adult </w:t>
      </w:r>
      <w:proofErr w:type="gramStart"/>
      <w:r>
        <w:t>population</w:t>
      </w:r>
      <w:proofErr w:type="gramEnd"/>
      <w:r>
        <w:t xml:space="preserve"> were </w:t>
      </w:r>
      <w:r w:rsidR="00085846">
        <w:t xml:space="preserve">accessing a day centre, and 184.5 people were getting </w:t>
      </w:r>
      <w:r w:rsidR="00C877C9">
        <w:t>alternative opportunities during the day</w:t>
      </w:r>
      <w:r w:rsidR="00422BDA">
        <w:t>.</w:t>
      </w:r>
      <w:r w:rsidR="00085846">
        <w:t xml:space="preserve"> </w:t>
      </w:r>
      <w:r w:rsidR="00C877C9">
        <w:t xml:space="preserve">Because these two categories are not mutually exclusive, overall in 2014/15 242.7 people per 100,000 </w:t>
      </w:r>
      <w:proofErr w:type="gramStart"/>
      <w:r w:rsidR="00C877C9">
        <w:t>population</w:t>
      </w:r>
      <w:proofErr w:type="gramEnd"/>
      <w:r w:rsidR="00C877C9">
        <w:t xml:space="preserve"> were accessing some form of support during the day.</w:t>
      </w:r>
    </w:p>
    <w:p w:rsidR="00F334FE" w:rsidRDefault="00C877C9" w:rsidP="00F334FE">
      <w:r>
        <w:t>In Wales in 2014/15</w:t>
      </w:r>
      <w:r w:rsidR="00422BDA">
        <w:t xml:space="preserve">, </w:t>
      </w:r>
      <w:r>
        <w:t>88.7</w:t>
      </w:r>
      <w:r w:rsidR="00422BDA">
        <w:t xml:space="preserve"> adults with learning disabilities per 100,000 adult population were </w:t>
      </w:r>
      <w:r>
        <w:t>getting day care, and a further 83.4 adults per 100,000 population were getting community support day care</w:t>
      </w:r>
      <w:r w:rsidR="00422BDA">
        <w:t>.</w:t>
      </w:r>
    </w:p>
    <w:p w:rsidR="00422BDA" w:rsidRDefault="00422BDA" w:rsidP="00F334FE">
      <w:r w:rsidRPr="0013747E">
        <w:lastRenderedPageBreak/>
        <w:t xml:space="preserve">In Northern Ireland in 2015/16, </w:t>
      </w:r>
      <w:r w:rsidR="0013747E">
        <w:t>98.7</w:t>
      </w:r>
      <w:r w:rsidRPr="0013747E">
        <w:t xml:space="preserve"> adults with learning disabilities per 100,000 adult </w:t>
      </w:r>
      <w:proofErr w:type="gramStart"/>
      <w:r w:rsidRPr="0013747E">
        <w:t>population</w:t>
      </w:r>
      <w:proofErr w:type="gramEnd"/>
      <w:r w:rsidRPr="0013747E">
        <w:t xml:space="preserve"> were </w:t>
      </w:r>
      <w:r w:rsidR="0013747E">
        <w:t>accessing an adult training centre/social education centre/workshop</w:t>
      </w:r>
      <w:r w:rsidRPr="0013747E">
        <w:t xml:space="preserve">, and a further </w:t>
      </w:r>
      <w:r w:rsidR="0013747E">
        <w:t>114.1</w:t>
      </w:r>
      <w:r w:rsidRPr="0013747E">
        <w:t xml:space="preserve"> adults per 100,000 were </w:t>
      </w:r>
      <w:r w:rsidR="0013747E">
        <w:t>accessing day centres</w:t>
      </w:r>
      <w:r w:rsidRPr="0013747E">
        <w:t>.</w:t>
      </w:r>
    </w:p>
    <w:p w:rsidR="001D6D4C" w:rsidRDefault="001D6D4C" w:rsidP="00F334FE">
      <w:r>
        <w:t>Although definitions of day services vary across the four parts of the UK, Northern Ireland appears to have the highest rate of adults with learning disabilities using building-based day centres, with Scotland, England then Wales having lower rates. Scotland and Wales also report substantial rates of adults with learning disabilities accessing alternative daytime support, with these statistics not collected in England and Northern Ireland.</w:t>
      </w:r>
    </w:p>
    <w:p w:rsidR="0013747E" w:rsidRDefault="001D6D4C">
      <w:r>
        <w:t xml:space="preserve">The </w:t>
      </w:r>
      <w:r w:rsidR="00F44B7E">
        <w:t xml:space="preserve">data </w:t>
      </w:r>
      <w:r>
        <w:t xml:space="preserve">above </w:t>
      </w:r>
      <w:r w:rsidR="00F44B7E">
        <w:t>relate to the number of people using various forms of day service support, but do not provide any information on the extent of day service support accessed by adults with learning disabilities. For example, it would be possible for the number of people accessing day services to stay the same while the quantity of that support was cut from 5 days per week to 1 day per week. One part of the UK, Scotland, publishes statistics on the amount of time adults with learning disabilities spend in day centres and accessing alternative day opportunities. Table 2 presents this information for 2011/12 and 2014/15.</w:t>
      </w:r>
    </w:p>
    <w:p w:rsidR="00F7638A" w:rsidRDefault="001D6D4C">
      <w:r>
        <w:t xml:space="preserve">With respect to day centres in Scotland, Table 2 shows that overall the number of adults with learning disabilities </w:t>
      </w:r>
      <w:r w:rsidR="00F736D4">
        <w:t xml:space="preserve">using them </w:t>
      </w:r>
      <w:r>
        <w:t xml:space="preserve">reduced </w:t>
      </w:r>
      <w:r w:rsidR="00F7638A">
        <w:t xml:space="preserve">slightly </w:t>
      </w:r>
      <w:r>
        <w:t xml:space="preserve">from 2011/12 </w:t>
      </w:r>
      <w:r w:rsidR="00F7638A">
        <w:t xml:space="preserve">(5,481 people) </w:t>
      </w:r>
      <w:r>
        <w:t>to 2014/15 (</w:t>
      </w:r>
      <w:r w:rsidR="00F736D4">
        <w:t>5,222 people). T</w:t>
      </w:r>
      <w:r w:rsidR="00F7638A">
        <w:t>he proportion of people accessing a day centre for less th</w:t>
      </w:r>
      <w:r w:rsidR="00F736D4">
        <w:t>an 10 hours a week increased fro</w:t>
      </w:r>
      <w:r w:rsidR="00F7638A">
        <w:t xml:space="preserve">m 14.0% in 2011/12 to 24.8% in 2014/15. </w:t>
      </w:r>
    </w:p>
    <w:p w:rsidR="001D6D4C" w:rsidRDefault="00F7638A">
      <w:r>
        <w:t>With respect to alternative day opportunities in Scotland, Table 2 shows that overall the number of adults with learning disabilities was very similar in 2011/12 (8,867 people) and 2014/15 (8,875 people). At both time points, almost half of people did not have a specified amount of time spent in alternative day opportunities (49.8% of people in 2011/12; 46.6% of people in 2014/15); a further fifth of people were accessing these opportunities for less than 10 hours per week (19.3% of people in 2011/12; 21.5% in 2014/15).</w:t>
      </w:r>
    </w:p>
    <w:p w:rsidR="0013747E" w:rsidRDefault="00F736D4">
      <w:r>
        <w:t>Taken together</w:t>
      </w:r>
      <w:r w:rsidR="00F7638A">
        <w:t xml:space="preserve">, these data for Scotland </w:t>
      </w:r>
      <w:proofErr w:type="gramStart"/>
      <w:r w:rsidR="00F7638A">
        <w:t>suggest</w:t>
      </w:r>
      <w:proofErr w:type="gramEnd"/>
      <w:r w:rsidR="00F7638A">
        <w:t xml:space="preserve"> that building-based day </w:t>
      </w:r>
      <w:r w:rsidR="00EC0563">
        <w:t xml:space="preserve">centres </w:t>
      </w:r>
      <w:r w:rsidR="00F7638A">
        <w:t>are decreasing, both in the number of people accessing them at all but a</w:t>
      </w:r>
      <w:r w:rsidR="00EC0563">
        <w:t>lso in the amount of time each person spends at the building-based day centre. Alternative day opportunities, both in terms of number of people accessing them or the amount of time they spend, are remaining static over this time period. It is unknown whether similar trends are evident in other parts of the UK.</w:t>
      </w:r>
    </w:p>
    <w:p w:rsidR="009B66D2" w:rsidRDefault="009B66D2">
      <w:r>
        <w:t>TABLE 2 ABOUT HERE</w:t>
      </w:r>
    </w:p>
    <w:p w:rsidR="001857DB" w:rsidRPr="001857DB" w:rsidRDefault="001857DB" w:rsidP="00412A04">
      <w:r w:rsidRPr="001857DB">
        <w:t xml:space="preserve">Table 3 reports the number of adults with learning disabilities getting home/domiciliary care support </w:t>
      </w:r>
      <w:r>
        <w:t xml:space="preserve">across England, Scotland, Wales and Northern Ireland </w:t>
      </w:r>
      <w:r w:rsidRPr="001857DB">
        <w:t>from 2010/11 to 2015/16, where data are available.</w:t>
      </w:r>
    </w:p>
    <w:p w:rsidR="001857DB" w:rsidRDefault="001857DB" w:rsidP="00412A04">
      <w:r>
        <w:t>In England there was an increase (6.7%) in the number of adults getting home care from 2010/11 to 2013/14 (no data are available after this date), a rate of 89.0 adults with learning disabilities per 100,000 population getting home care in 2013/14.</w:t>
      </w:r>
    </w:p>
    <w:p w:rsidR="001857DB" w:rsidRDefault="001857DB" w:rsidP="00412A04">
      <w:r>
        <w:lastRenderedPageBreak/>
        <w:t xml:space="preserve">In Scotland, the number of adults with learning disabilities getting home care increased from 2010/11 to 2013/14, but has decreased from 2013/14 to 2015/16. In 2015/16, this was a rate of 93.1 adults with learning disabilities per 100,000 </w:t>
      </w:r>
      <w:proofErr w:type="gramStart"/>
      <w:r>
        <w:t>population</w:t>
      </w:r>
      <w:proofErr w:type="gramEnd"/>
      <w:r>
        <w:t xml:space="preserve"> getting home care.</w:t>
      </w:r>
    </w:p>
    <w:p w:rsidR="001857DB" w:rsidRDefault="001857DB" w:rsidP="00412A04">
      <w:r>
        <w:t xml:space="preserve">In Wales, the number of adults with learning disabilities getting home care decreased from 2010/11 to 2014/15 (-5.5%), the last year for which data are available at the time of writing. In 2014/15, this was a rate of 88.7 adults with learning disabilities per 100,000 </w:t>
      </w:r>
      <w:proofErr w:type="gramStart"/>
      <w:r>
        <w:t>population</w:t>
      </w:r>
      <w:proofErr w:type="gramEnd"/>
      <w:r>
        <w:t xml:space="preserve"> getting home care.</w:t>
      </w:r>
    </w:p>
    <w:p w:rsidR="001857DB" w:rsidRPr="001857DB" w:rsidRDefault="001857DB" w:rsidP="00412A04">
      <w:r>
        <w:t xml:space="preserve">Statistics concerning domiciliary care for adults with learning disabilities in Northern Ireland have been published since 2013/14 – numbers have stayed fairly stable between 2013/14 and 2015/16. In 2015/16, this was a rate of 77.9 adults with learning disabilities </w:t>
      </w:r>
      <w:r w:rsidR="00064438">
        <w:t xml:space="preserve">per 100,000 </w:t>
      </w:r>
      <w:proofErr w:type="gramStart"/>
      <w:r w:rsidR="00064438">
        <w:t>population</w:t>
      </w:r>
      <w:proofErr w:type="gramEnd"/>
      <w:r w:rsidR="00064438">
        <w:t xml:space="preserve"> getting domiciliary care.</w:t>
      </w:r>
    </w:p>
    <w:p w:rsidR="008C5932" w:rsidRDefault="00412A04">
      <w:r>
        <w:t>TABLE 3 ABOUT HERE</w:t>
      </w:r>
    </w:p>
    <w:p w:rsidR="00412A04" w:rsidRDefault="00412A04"/>
    <w:p w:rsidR="00412A04" w:rsidRDefault="00412A04"/>
    <w:p w:rsidR="00DD3825" w:rsidRDefault="00DD3825">
      <w:r>
        <w:t>Discussion</w:t>
      </w:r>
    </w:p>
    <w:p w:rsidR="00712ABF" w:rsidRDefault="00B54E63">
      <w:r>
        <w:t xml:space="preserve">This paper attempts to provide some basis for comparing the number of </w:t>
      </w:r>
      <w:r w:rsidR="00712ABF">
        <w:t>adults with learning disabilities</w:t>
      </w:r>
      <w:r w:rsidR="00F736D4">
        <w:t xml:space="preserve"> using day services and/or using home care</w:t>
      </w:r>
      <w:r>
        <w:t xml:space="preserve"> across the four constituent parts of the UK. </w:t>
      </w:r>
    </w:p>
    <w:p w:rsidR="00F736D4" w:rsidRDefault="00E154EA">
      <w:r>
        <w:t xml:space="preserve">Comparisons across the four parts of the UK are </w:t>
      </w:r>
      <w:r w:rsidR="00F736D4">
        <w:t>not straightforward</w:t>
      </w:r>
      <w:r>
        <w:t xml:space="preserve"> due to differences in the data collected and reported across England, Scotland, Wa</w:t>
      </w:r>
      <w:r w:rsidR="00F736D4">
        <w:t>les and Northern Ireland, and recent changes to statistics in England mean that these comparisons will not be possible in the future.</w:t>
      </w:r>
    </w:p>
    <w:p w:rsidR="006271B3" w:rsidRDefault="00F736D4">
      <w:r>
        <w:t>With respect to day services, England, Scotland and Wales seem to be following similar paths, with building-based day services steadily decreasing</w:t>
      </w:r>
      <w:r w:rsidR="00A676E7">
        <w:t xml:space="preserve">. </w:t>
      </w:r>
      <w:r w:rsidR="006271B3">
        <w:t xml:space="preserve">These seem to be the continuation of longer term trends, pre-dating recent restrictions on health and social care spending. For example, the number of adults with learning disabilities in Scotland </w:t>
      </w:r>
      <w:r w:rsidR="00E33332">
        <w:t>accessing day centres increased</w:t>
      </w:r>
      <w:r w:rsidR="006271B3">
        <w:t xml:space="preserve"> from 6,353 people in 1985 to a peak of 8,934 people in 1997</w:t>
      </w:r>
      <w:r w:rsidR="00E33332">
        <w:t>, then</w:t>
      </w:r>
      <w:r w:rsidR="002002C6">
        <w:t xml:space="preserve"> </w:t>
      </w:r>
      <w:r w:rsidR="00FC7089">
        <w:t>declined to 7,693 people in 2001 (Scottish Executive, 2002) and 5,481 people in 2011/12.</w:t>
      </w:r>
      <w:r w:rsidR="002002C6">
        <w:t xml:space="preserve"> In England, the number of adults with learning disabilities using community-based day care increased from 23,200 people in 1969 to 56,720 people in 1994 (Mansell, 1997) and 58,020 people in 2005/06 (Hatton et al., 2016), declining </w:t>
      </w:r>
      <w:r w:rsidR="00E33332">
        <w:t>to 52,150 people in 2010/11</w:t>
      </w:r>
      <w:r w:rsidR="002002C6">
        <w:t>.</w:t>
      </w:r>
      <w:r w:rsidR="00E33332">
        <w:t xml:space="preserve"> In Wales, the number of adults with learning disabilities also dropped from 3,199 people in 2001/02 (</w:t>
      </w:r>
      <w:proofErr w:type="spellStart"/>
      <w:r w:rsidR="00E33332">
        <w:t>StatsWales</w:t>
      </w:r>
      <w:proofErr w:type="spellEnd"/>
      <w:r w:rsidR="00E33332">
        <w:t>, 2016) to 2,589 people in 2010/11.</w:t>
      </w:r>
    </w:p>
    <w:p w:rsidR="00A676E7" w:rsidRDefault="00BA7EDA">
      <w:r>
        <w:t xml:space="preserve">Data on alternative daytime support is limited to Scotland and Wales, and show fluctuating numbers of people accessing this type of support. The most complete </w:t>
      </w:r>
      <w:r w:rsidR="00A676E7">
        <w:t xml:space="preserve">data </w:t>
      </w:r>
      <w:r>
        <w:t xml:space="preserve">are available </w:t>
      </w:r>
      <w:r w:rsidR="00A676E7">
        <w:t>from Scotland</w:t>
      </w:r>
      <w:r>
        <w:t>, which</w:t>
      </w:r>
      <w:r w:rsidR="00A676E7">
        <w:t xml:space="preserve"> suggest</w:t>
      </w:r>
      <w:r>
        <w:t>s</w:t>
      </w:r>
      <w:r w:rsidR="00A676E7">
        <w:t xml:space="preserve"> that, both in terms of the number of people accessing any form of day time support and the amount of time that people gain support during the day, alternatives to building-based day services are not replacing the shrinking building-based day service sector. Given extremely low and dropping employment rates for working age adults with learning disabilities in England (currently around 6% in England; Hatton et al., 2016), paid employment is unlikely to be replacing building-based day services either.</w:t>
      </w:r>
    </w:p>
    <w:p w:rsidR="00F736D4" w:rsidRDefault="00A676E7">
      <w:r>
        <w:lastRenderedPageBreak/>
        <w:t>As with living situations for adults with learning disabilities (Hatton, 2017), day services for adults with learning disabilities in Northern Ireland are more likely to be ‘traditional’ in form, although policy directions are similar across the four constituent parts of the UK.</w:t>
      </w:r>
    </w:p>
    <w:p w:rsidR="00E633FC" w:rsidRDefault="00A676E7">
      <w:r>
        <w:t>The number of adults with learning disabilities using home/domiciliary care</w:t>
      </w:r>
      <w:r w:rsidR="0004182A">
        <w:t xml:space="preserve"> is broadly similar across the four parts of the UK, with fluctuating levels but some signs of the number of people getting home care remaining static from 2013/14 onwards. </w:t>
      </w:r>
      <w:r w:rsidR="00E633FC">
        <w:t>In England and Wales, the number of adults with learning disabilities receiving home care is similar to the numbers of adults with learning disabilities in supported living/supported tenancy/home ownership living situations; in Scotland the number of people getting home care is substantially lower than the number of people in supported living/mainstream housing with support (cf. Hatton, 2017).</w:t>
      </w:r>
    </w:p>
    <w:p w:rsidR="00A676E7" w:rsidRDefault="0004182A">
      <w:r>
        <w:t>It is also unknown how much home care people are getting, and whether the quantity of home care people are getting is changing over time.</w:t>
      </w:r>
      <w:r w:rsidR="00E633FC">
        <w:t xml:space="preserve"> </w:t>
      </w:r>
    </w:p>
    <w:p w:rsidR="00842ED9" w:rsidRDefault="00846BE5">
      <w:r>
        <w:t xml:space="preserve">It is hoped that this </w:t>
      </w:r>
      <w:r w:rsidR="0004182A">
        <w:t xml:space="preserve">series of three </w:t>
      </w:r>
      <w:r>
        <w:t>paper</w:t>
      </w:r>
      <w:r w:rsidR="0004182A">
        <w:t>s (Hatton 2016, 2017)</w:t>
      </w:r>
      <w:r>
        <w:t xml:space="preserve"> demonstrates both the limitations and the potent</w:t>
      </w:r>
      <w:r w:rsidR="004F5E89">
        <w:t>ial value of comparative analyse</w:t>
      </w:r>
      <w:r>
        <w:t>s of services for people with learning disabilities across the four areas of the UK.</w:t>
      </w:r>
      <w:r w:rsidR="0004182A">
        <w:t xml:space="preserve"> The different histories of the four parts of the UK seem important determinants both of the patterns of services used by adu</w:t>
      </w:r>
      <w:r w:rsidR="00A828BE">
        <w:t xml:space="preserve">lts with learning disabilities </w:t>
      </w:r>
      <w:r w:rsidR="0004182A">
        <w:t xml:space="preserve">and how these services are framed in official statistics. Similar financial pressures on social and </w:t>
      </w:r>
      <w:r w:rsidR="00A828BE">
        <w:t>healthcare budgets and similar broad policy intentions across the four parts of the UK may be resulting in broadly similar directions of travel in the patterns of service provided, but there are substantial differences in how widely the net is cast in terms of eligibility for social care support</w:t>
      </w:r>
      <w:r w:rsidR="00842ED9">
        <w:t xml:space="preserve">. It is also unclear whether integrated health and social services (as in Northern Ireland) are making a radical difference in terms of access to services by adults with learning disabilities. Further, more detailed comparative analyses are needed to understand how finances, policy, and service organisation come together to influence what supports are available (or not) to adults with learning disabilities. Comparative work on how adults with learning disabilities and their families experience services within the context of their lives across the </w:t>
      </w:r>
      <w:proofErr w:type="gramStart"/>
      <w:r w:rsidR="00842ED9">
        <w:t>UK,</w:t>
      </w:r>
      <w:proofErr w:type="gramEnd"/>
      <w:r w:rsidR="00842ED9">
        <w:t xml:space="preserve"> is also urgently needed.</w:t>
      </w:r>
    </w:p>
    <w:p w:rsidR="00BC078D" w:rsidRDefault="00985076">
      <w:r>
        <w:t>References</w:t>
      </w:r>
    </w:p>
    <w:p w:rsidR="009C7E49" w:rsidRDefault="009C7E49" w:rsidP="009C7E49">
      <w:r>
        <w:t xml:space="preserve">Bevan G, </w:t>
      </w:r>
      <w:proofErr w:type="spellStart"/>
      <w:r>
        <w:t>Karanikolos</w:t>
      </w:r>
      <w:proofErr w:type="spellEnd"/>
      <w:r>
        <w:t xml:space="preserve"> M, Exley J, Nolte E, Connolly S &amp; Mays N (2014). </w:t>
      </w:r>
      <w:r w:rsidRPr="00BF74F6">
        <w:rPr>
          <w:i/>
        </w:rPr>
        <w:t xml:space="preserve">The four health systems of the United Kingdom: How do they compare? </w:t>
      </w:r>
      <w:r>
        <w:t>London: The Health Foundation and Nuffield Trust.</w:t>
      </w:r>
    </w:p>
    <w:p w:rsidR="009C7E49" w:rsidRDefault="009C7E49" w:rsidP="009C7E49">
      <w:proofErr w:type="gramStart"/>
      <w:r>
        <w:t>Department of Health (2001).</w:t>
      </w:r>
      <w:proofErr w:type="gramEnd"/>
      <w:r>
        <w:t xml:space="preserve"> </w:t>
      </w:r>
      <w:proofErr w:type="gramStart"/>
      <w:r w:rsidRPr="00501D38">
        <w:rPr>
          <w:i/>
        </w:rPr>
        <w:t>Valuing People: A new strategy for learning disability for the 21</w:t>
      </w:r>
      <w:r w:rsidRPr="00501D38">
        <w:rPr>
          <w:i/>
          <w:vertAlign w:val="superscript"/>
        </w:rPr>
        <w:t>st</w:t>
      </w:r>
      <w:r w:rsidRPr="00501D38">
        <w:rPr>
          <w:i/>
        </w:rPr>
        <w:t xml:space="preserve"> century</w:t>
      </w:r>
      <w:r>
        <w:t>.</w:t>
      </w:r>
      <w:proofErr w:type="gramEnd"/>
      <w:r>
        <w:t xml:space="preserve"> London: Department of Health.</w:t>
      </w:r>
    </w:p>
    <w:p w:rsidR="009C7E49" w:rsidRDefault="009C7E49" w:rsidP="009C7E49">
      <w:proofErr w:type="gramStart"/>
      <w:r>
        <w:t>Emerson E &amp; Hatton C (1994).</w:t>
      </w:r>
      <w:proofErr w:type="gramEnd"/>
      <w:r>
        <w:t xml:space="preserve"> </w:t>
      </w:r>
      <w:proofErr w:type="gramStart"/>
      <w:r w:rsidRPr="006A3F02">
        <w:rPr>
          <w:i/>
        </w:rPr>
        <w:t>Moving out: Relocation from hospital to community</w:t>
      </w:r>
      <w:r>
        <w:t>.</w:t>
      </w:r>
      <w:proofErr w:type="gramEnd"/>
      <w:r>
        <w:t xml:space="preserve"> London: HMSO.</w:t>
      </w:r>
    </w:p>
    <w:p w:rsidR="009C7E49" w:rsidRDefault="009C7E49" w:rsidP="009C7E49">
      <w:proofErr w:type="gramStart"/>
      <w:r>
        <w:t>Hastings A, Bailey N, Bramley G, Gannon M, Watkins D (2015).</w:t>
      </w:r>
      <w:proofErr w:type="gramEnd"/>
      <w:r>
        <w:t xml:space="preserve"> </w:t>
      </w:r>
      <w:r w:rsidRPr="00EA2E7A">
        <w:rPr>
          <w:i/>
        </w:rPr>
        <w:t>The cost of the cuts: The impact on local government and poorer communities</w:t>
      </w:r>
      <w:r>
        <w:t>. York: JRF.</w:t>
      </w:r>
    </w:p>
    <w:p w:rsidR="00FB1765" w:rsidRDefault="00FB1765" w:rsidP="00FB1765">
      <w:r>
        <w:t xml:space="preserve">Hatton C (2016). Specialist inpatient services across the four countries of the UK. </w:t>
      </w:r>
      <w:r w:rsidRPr="00406984">
        <w:rPr>
          <w:i/>
        </w:rPr>
        <w:t>Tizard Learning Disability Review</w:t>
      </w:r>
      <w:r>
        <w:t xml:space="preserve"> 21, 220-225.</w:t>
      </w:r>
    </w:p>
    <w:p w:rsidR="00FB1765" w:rsidRDefault="00FB1765" w:rsidP="00FB1765">
      <w:r>
        <w:t xml:space="preserve">Hatton, C. (2017). </w:t>
      </w:r>
      <w:proofErr w:type="gramStart"/>
      <w:r>
        <w:t>Living arrangements of adults with learning disabilities across the UK.</w:t>
      </w:r>
      <w:proofErr w:type="gramEnd"/>
      <w:r>
        <w:t xml:space="preserve"> </w:t>
      </w:r>
      <w:r w:rsidRPr="00FB1765">
        <w:rPr>
          <w:i/>
        </w:rPr>
        <w:t>Tizard Learning Disability Review</w:t>
      </w:r>
      <w:r>
        <w:t xml:space="preserve"> 22, 43-50.</w:t>
      </w:r>
    </w:p>
    <w:p w:rsidR="00FB1765" w:rsidRDefault="00985076">
      <w:proofErr w:type="gramStart"/>
      <w:r>
        <w:lastRenderedPageBreak/>
        <w:t>Hatton, C., Glover, G., Emerson, E. &amp; Brown, I. (2016).</w:t>
      </w:r>
      <w:proofErr w:type="gramEnd"/>
      <w:r>
        <w:t xml:space="preserve"> </w:t>
      </w:r>
      <w:r w:rsidRPr="00985076">
        <w:rPr>
          <w:i/>
        </w:rPr>
        <w:t>People with learning disabilities in England 2015: Main report</w:t>
      </w:r>
      <w:r>
        <w:t xml:space="preserve">. London: Public Health England </w:t>
      </w:r>
      <w:hyperlink r:id="rId5" w:history="1">
        <w:r w:rsidRPr="00E222B2">
          <w:rPr>
            <w:rStyle w:val="Hyperlink"/>
          </w:rPr>
          <w:t>http://www.improvinghealthandlives.org.uk/publications/313925/People_with_Learning_Disabilities_in_England_2015</w:t>
        </w:r>
      </w:hyperlink>
      <w:r>
        <w:t xml:space="preserve"> [accessed 10 Jan 2017].</w:t>
      </w:r>
    </w:p>
    <w:p w:rsidR="009C7E49" w:rsidRDefault="009C7E49" w:rsidP="009C7E49">
      <w:proofErr w:type="gramStart"/>
      <w:r>
        <w:t>HM Government (2009).</w:t>
      </w:r>
      <w:proofErr w:type="gramEnd"/>
      <w:r>
        <w:t xml:space="preserve"> </w:t>
      </w:r>
      <w:proofErr w:type="gramStart"/>
      <w:r w:rsidRPr="00501D38">
        <w:rPr>
          <w:i/>
        </w:rPr>
        <w:t>Valuing People Now: a new three-year strategy for people with learning disabilities</w:t>
      </w:r>
      <w:r>
        <w:t>.</w:t>
      </w:r>
      <w:proofErr w:type="gramEnd"/>
      <w:r>
        <w:t xml:space="preserve"> London: HM Government.</w:t>
      </w:r>
    </w:p>
    <w:p w:rsidR="00F74F88" w:rsidRDefault="002002C6">
      <w:r>
        <w:t xml:space="preserve">Mansell J. (1997). ‘Better Services’ 25 years on. </w:t>
      </w:r>
      <w:r w:rsidRPr="002002C6">
        <w:rPr>
          <w:i/>
        </w:rPr>
        <w:t>Tizard Learning Disability Review</w:t>
      </w:r>
      <w:r>
        <w:t xml:space="preserve">, </w:t>
      </w:r>
      <w:r w:rsidRPr="002002C6">
        <w:rPr>
          <w:b/>
        </w:rPr>
        <w:t>2</w:t>
      </w:r>
      <w:r>
        <w:t>, 45-46.</w:t>
      </w:r>
    </w:p>
    <w:p w:rsidR="00F74F88" w:rsidRDefault="00F74F88" w:rsidP="00F74F88">
      <w:r>
        <w:t xml:space="preserve">NHS Digital (2016). </w:t>
      </w:r>
      <w:proofErr w:type="gramStart"/>
      <w:r>
        <w:t>Community Care Statistics.</w:t>
      </w:r>
      <w:proofErr w:type="gramEnd"/>
      <w:r>
        <w:t xml:space="preserve"> </w:t>
      </w:r>
      <w:proofErr w:type="gramStart"/>
      <w:r>
        <w:t>Social Services Activity England 2015-16.</w:t>
      </w:r>
      <w:proofErr w:type="gramEnd"/>
      <w:r>
        <w:t xml:space="preserve"> Leeds: NHS Digital </w:t>
      </w:r>
      <w:hyperlink r:id="rId6" w:history="1">
        <w:r w:rsidRPr="00CF1C0B">
          <w:rPr>
            <w:rStyle w:val="Hyperlink"/>
          </w:rPr>
          <w:t>www.gov.uk/government/statistics/community-care-statistics-social-services-activity-england-2015-to-2016-report</w:t>
        </w:r>
      </w:hyperlink>
      <w:r>
        <w:t xml:space="preserve"> [accessed 10 Jan 2017].</w:t>
      </w:r>
    </w:p>
    <w:p w:rsidR="00BC078D" w:rsidRDefault="00BC078D">
      <w:proofErr w:type="gramStart"/>
      <w:r>
        <w:t>Northern Ireland Department of Health (2016</w:t>
      </w:r>
      <w:r w:rsidR="00B30DA4">
        <w:t>a</w:t>
      </w:r>
      <w:r>
        <w:t>).</w:t>
      </w:r>
      <w:proofErr w:type="gramEnd"/>
      <w:r>
        <w:t xml:space="preserve"> Statistics on community care for adults in Northern Ireland 2015/16. Belfast: Northern Ireland Department of Health </w:t>
      </w:r>
      <w:hyperlink r:id="rId7" w:history="1">
        <w:r w:rsidRPr="00E222B2">
          <w:rPr>
            <w:rStyle w:val="Hyperlink"/>
          </w:rPr>
          <w:t>https://www.health-ni.gov.uk/publications/statistics-community-care-adults-northern-ireland-201516</w:t>
        </w:r>
      </w:hyperlink>
      <w:r>
        <w:t xml:space="preserve"> [accessed 10 Jan 2017].</w:t>
      </w:r>
    </w:p>
    <w:p w:rsidR="00477BC9" w:rsidRDefault="00477BC9">
      <w:proofErr w:type="gramStart"/>
      <w:r>
        <w:t>Northern Ireland Department of Health (2016</w:t>
      </w:r>
      <w:r w:rsidR="00B30DA4">
        <w:t>b</w:t>
      </w:r>
      <w:r>
        <w:t>).</w:t>
      </w:r>
      <w:proofErr w:type="gramEnd"/>
      <w:r>
        <w:t xml:space="preserve"> Domiciliary care services for adults in Northern Ireland 2016. Belfast: Northern Ireland Department of Health </w:t>
      </w:r>
      <w:hyperlink r:id="rId8" w:history="1">
        <w:r w:rsidRPr="00E222B2">
          <w:rPr>
            <w:rStyle w:val="Hyperlink"/>
          </w:rPr>
          <w:t>https://www.health-ni.gov.uk/publications/domiciliary-care-services-adults-northern-ireland-2016</w:t>
        </w:r>
      </w:hyperlink>
      <w:r>
        <w:t xml:space="preserve"> [accessed 10 Jan 2017]</w:t>
      </w:r>
    </w:p>
    <w:p w:rsidR="009C7E49" w:rsidRDefault="009C7E49" w:rsidP="009C7E49">
      <w:proofErr w:type="gramStart"/>
      <w:r>
        <w:t>Northern Ireland Executive (2012).</w:t>
      </w:r>
      <w:proofErr w:type="gramEnd"/>
      <w:r>
        <w:t xml:space="preserve"> </w:t>
      </w:r>
      <w:proofErr w:type="gramStart"/>
      <w:r w:rsidRPr="007A7F99">
        <w:rPr>
          <w:i/>
        </w:rPr>
        <w:t>Delivering the Bamford vision: The response of the Northern Ireland Executive to the Bamford review of mental health and learning disability.</w:t>
      </w:r>
      <w:proofErr w:type="gramEnd"/>
      <w:r w:rsidRPr="007A7F99">
        <w:rPr>
          <w:i/>
        </w:rPr>
        <w:t xml:space="preserve"> </w:t>
      </w:r>
      <w:proofErr w:type="gramStart"/>
      <w:r w:rsidRPr="007A7F99">
        <w:rPr>
          <w:i/>
        </w:rPr>
        <w:t>Action plan 2012-2015</w:t>
      </w:r>
      <w:r>
        <w:t>.</w:t>
      </w:r>
      <w:proofErr w:type="gramEnd"/>
      <w:r>
        <w:t xml:space="preserve"> Belfast: Department of Health, Social Services and Public Safety.</w:t>
      </w:r>
    </w:p>
    <w:p w:rsidR="009C7E49" w:rsidRDefault="009C7E49" w:rsidP="009C7E49">
      <w:proofErr w:type="gramStart"/>
      <w:r>
        <w:t>Office for National Statistics (2016).</w:t>
      </w:r>
      <w:proofErr w:type="gramEnd"/>
      <w:r>
        <w:t xml:space="preserve"> Population Estimates Analysis Tool </w:t>
      </w:r>
      <w:hyperlink r:id="rId9" w:history="1">
        <w:r w:rsidRPr="00CF1C0B">
          <w:rPr>
            <w:rStyle w:val="Hyperlink"/>
          </w:rPr>
          <w:t>www.ons.gov.uk/peoplepopulationandcommunity/populationandmigration/populationestimates/datasets/populationestimatesanalysistool</w:t>
        </w:r>
      </w:hyperlink>
      <w:r>
        <w:t xml:space="preserve"> [accessed 3 Nov 2016].</w:t>
      </w:r>
    </w:p>
    <w:p w:rsidR="005E048E" w:rsidRDefault="005E048E" w:rsidP="009C7E49">
      <w:r>
        <w:t xml:space="preserve">Power A &amp; Bartlett R (2015). Self-building safe havens in a post-service landscape: how adults with learning disabilities are reclaiming the welcoming communities agenda. </w:t>
      </w:r>
      <w:r w:rsidR="00307C7D" w:rsidRPr="00307C7D">
        <w:rPr>
          <w:i/>
        </w:rPr>
        <w:t>Social &amp; Cultural Geography</w:t>
      </w:r>
      <w:r w:rsidR="00307C7D">
        <w:t>, published online 18 May 2015.</w:t>
      </w:r>
    </w:p>
    <w:p w:rsidR="009C7E49" w:rsidRDefault="009C7E49" w:rsidP="009C7E49">
      <w:proofErr w:type="gramStart"/>
      <w:r>
        <w:t>Review of Mental Health and Learning Disability (2005).</w:t>
      </w:r>
      <w:proofErr w:type="gramEnd"/>
      <w:r>
        <w:t xml:space="preserve"> </w:t>
      </w:r>
      <w:r w:rsidRPr="00B83798">
        <w:rPr>
          <w:i/>
        </w:rPr>
        <w:t>Equal lives: Review of policy and services for people with a learning disability in Northern Ireland</w:t>
      </w:r>
      <w:r>
        <w:t>. Stormont: Review of Mental Health and Learning Disability.</w:t>
      </w:r>
    </w:p>
    <w:p w:rsidR="002463BA" w:rsidRDefault="002463BA" w:rsidP="002463BA">
      <w:proofErr w:type="gramStart"/>
      <w:r>
        <w:t>Scottish Commissi</w:t>
      </w:r>
      <w:r w:rsidR="00516380">
        <w:t>on for Learning Disability (2013</w:t>
      </w:r>
      <w:r>
        <w:t>).</w:t>
      </w:r>
      <w:proofErr w:type="gramEnd"/>
      <w:r>
        <w:t xml:space="preserve"> </w:t>
      </w:r>
      <w:proofErr w:type="gramStart"/>
      <w:r>
        <w:t>Learning Disa</w:t>
      </w:r>
      <w:r w:rsidR="00516380">
        <w:t>bility Statistics Scotland, 2012</w:t>
      </w:r>
      <w:r>
        <w:t>.</w:t>
      </w:r>
      <w:proofErr w:type="gramEnd"/>
      <w:r>
        <w:t xml:space="preserve"> Glasgow: SCLD </w:t>
      </w:r>
      <w:hyperlink r:id="rId10" w:history="1">
        <w:r w:rsidR="00516380" w:rsidRPr="00E222B2">
          <w:rPr>
            <w:rStyle w:val="Hyperlink"/>
          </w:rPr>
          <w:t>https://www.scld.org.uk/evidence-and-research/statistics/2012-report/</w:t>
        </w:r>
      </w:hyperlink>
      <w:r w:rsidR="00516380">
        <w:t xml:space="preserve"> </w:t>
      </w:r>
      <w:r>
        <w:t>[accessed 10 Jan 2017].</w:t>
      </w:r>
    </w:p>
    <w:p w:rsidR="002463BA" w:rsidRDefault="002463BA" w:rsidP="002463BA">
      <w:proofErr w:type="gramStart"/>
      <w:r>
        <w:t>Scottish Commission for Learning Disability (2016).</w:t>
      </w:r>
      <w:proofErr w:type="gramEnd"/>
      <w:r>
        <w:t xml:space="preserve"> </w:t>
      </w:r>
      <w:proofErr w:type="gramStart"/>
      <w:r>
        <w:t>Learning Disability Statistics Scotland, 2015.</w:t>
      </w:r>
      <w:proofErr w:type="gramEnd"/>
      <w:r>
        <w:t xml:space="preserve"> Glasgow: SCLD </w:t>
      </w:r>
      <w:hyperlink r:id="rId11" w:history="1">
        <w:r w:rsidRPr="00CF1C0B">
          <w:rPr>
            <w:rStyle w:val="Hyperlink"/>
          </w:rPr>
          <w:t>www.scld.org.uk/evidence-and-research/2015-report/</w:t>
        </w:r>
      </w:hyperlink>
      <w:r>
        <w:t xml:space="preserve"> [accessed 10 Jan 2017].</w:t>
      </w:r>
    </w:p>
    <w:p w:rsidR="009C7E49" w:rsidRDefault="00FC7089">
      <w:proofErr w:type="gramStart"/>
      <w:r>
        <w:t>Scottish Executive (2002).</w:t>
      </w:r>
      <w:proofErr w:type="gramEnd"/>
      <w:r>
        <w:t xml:space="preserve"> </w:t>
      </w:r>
      <w:proofErr w:type="gramStart"/>
      <w:r>
        <w:rPr>
          <w:i/>
        </w:rPr>
        <w:t>Scottish Community Care S</w:t>
      </w:r>
      <w:r w:rsidRPr="00FC7089">
        <w:rPr>
          <w:i/>
        </w:rPr>
        <w:t>ervices 2001</w:t>
      </w:r>
      <w:r>
        <w:t>.</w:t>
      </w:r>
      <w:proofErr w:type="gramEnd"/>
      <w:r>
        <w:t xml:space="preserve"> Edinburgh: The Stationery Office.</w:t>
      </w:r>
    </w:p>
    <w:p w:rsidR="009C7E49" w:rsidRDefault="009C7E49" w:rsidP="009C7E49">
      <w:proofErr w:type="gramStart"/>
      <w:r>
        <w:lastRenderedPageBreak/>
        <w:t>Scottish Government (2013).</w:t>
      </w:r>
      <w:proofErr w:type="gramEnd"/>
      <w:r>
        <w:t xml:space="preserve"> </w:t>
      </w:r>
      <w:r w:rsidRPr="003D46B8">
        <w:rPr>
          <w:i/>
        </w:rPr>
        <w:t>The keys to life: Improving quality of life for people with learning disabilities</w:t>
      </w:r>
      <w:r>
        <w:t xml:space="preserve">. Edinburgh: Scottish Government. </w:t>
      </w:r>
    </w:p>
    <w:p w:rsidR="002463BA" w:rsidRDefault="00411756">
      <w:proofErr w:type="gramStart"/>
      <w:r>
        <w:t>Scottish Government (2016).</w:t>
      </w:r>
      <w:proofErr w:type="gramEnd"/>
      <w:r>
        <w:t xml:space="preserve"> Social care services, Scotland, 2016. Edinburgh: Scottish Government </w:t>
      </w:r>
      <w:hyperlink r:id="rId12" w:history="1">
        <w:r w:rsidRPr="00E222B2">
          <w:rPr>
            <w:rStyle w:val="Hyperlink"/>
          </w:rPr>
          <w:t>http://www.gov.scot/Publications/2016/11/8311</w:t>
        </w:r>
      </w:hyperlink>
      <w:r>
        <w:t xml:space="preserve"> [accessed 10 Jan 2017].</w:t>
      </w:r>
    </w:p>
    <w:p w:rsidR="009C7E49" w:rsidRDefault="009C7E49" w:rsidP="009C7E49">
      <w:proofErr w:type="gramStart"/>
      <w:r>
        <w:t>SSIA (2014).</w:t>
      </w:r>
      <w:proofErr w:type="gramEnd"/>
      <w:r>
        <w:t xml:space="preserve"> </w:t>
      </w:r>
      <w:proofErr w:type="gramStart"/>
      <w:r w:rsidRPr="00B83798">
        <w:rPr>
          <w:i/>
        </w:rPr>
        <w:t>Transforming learning disability services in Wales</w:t>
      </w:r>
      <w:r>
        <w:t>.</w:t>
      </w:r>
      <w:proofErr w:type="gramEnd"/>
      <w:r>
        <w:t xml:space="preserve"> Cardiff: SSIA.</w:t>
      </w:r>
    </w:p>
    <w:p w:rsidR="00F005C7" w:rsidRDefault="00F005C7" w:rsidP="00F005C7">
      <w:pPr>
        <w:jc w:val="both"/>
      </w:pPr>
      <w:proofErr w:type="spellStart"/>
      <w:proofErr w:type="gramStart"/>
      <w:r>
        <w:t>StatsWales</w:t>
      </w:r>
      <w:proofErr w:type="spellEnd"/>
      <w:r>
        <w:t xml:space="preserve"> (2016).</w:t>
      </w:r>
      <w:proofErr w:type="gramEnd"/>
      <w:r>
        <w:t xml:space="preserve"> Persons with learning disabilities by local authority, service and age range </w:t>
      </w:r>
      <w:hyperlink r:id="rId13" w:history="1">
        <w:r w:rsidR="006846E0" w:rsidRPr="00E30294">
          <w:rPr>
            <w:rStyle w:val="Hyperlink"/>
          </w:rPr>
          <w:t>https://statswales.gov.wales/Catalogue/Health-and-Social-Care/Social-Services/Adult-Services/Service-Provision/adultsreceivingservices-by-localauthority-clientcategory-age</w:t>
        </w:r>
      </w:hyperlink>
      <w:r w:rsidR="006846E0">
        <w:t xml:space="preserve"> </w:t>
      </w:r>
      <w:r>
        <w:t>[accessed 10 Jan 2017].</w:t>
      </w:r>
    </w:p>
    <w:p w:rsidR="009C7E49" w:rsidRDefault="009C7E49" w:rsidP="009C7E49">
      <w:proofErr w:type="gramStart"/>
      <w:r>
        <w:t>Welsh Government (2007).</w:t>
      </w:r>
      <w:proofErr w:type="gramEnd"/>
      <w:r>
        <w:t xml:space="preserve"> </w:t>
      </w:r>
      <w:proofErr w:type="gramStart"/>
      <w:r w:rsidRPr="00B83798">
        <w:rPr>
          <w:i/>
        </w:rPr>
        <w:t>Statement on policy and practice for adults with a learning disability</w:t>
      </w:r>
      <w:r>
        <w:t>.</w:t>
      </w:r>
      <w:proofErr w:type="gramEnd"/>
      <w:r>
        <w:t xml:space="preserve"> Cardiff: Welsh Government.</w:t>
      </w:r>
    </w:p>
    <w:p w:rsidR="00BA7EDA" w:rsidRDefault="00BA7EDA">
      <w:r>
        <w:br w:type="page"/>
      </w:r>
    </w:p>
    <w:p w:rsidR="004B2ED9" w:rsidRDefault="004B2ED9" w:rsidP="004B2ED9">
      <w:r>
        <w:lastRenderedPageBreak/>
        <w:t xml:space="preserve">Table 1: Number of people with learning disabilities in </w:t>
      </w:r>
      <w:r w:rsidR="006C5EF0">
        <w:t>day services</w:t>
      </w:r>
      <w:r>
        <w:t xml:space="preserve"> acros</w:t>
      </w:r>
      <w:r w:rsidR="002A05F6">
        <w:t>s the four parts of the UK: 2010/11 to 2015/16</w:t>
      </w:r>
      <w:r>
        <w:t xml:space="preserve"> (where data available)</w:t>
      </w:r>
    </w:p>
    <w:tbl>
      <w:tblPr>
        <w:tblStyle w:val="TableGrid"/>
        <w:tblW w:w="0" w:type="auto"/>
        <w:tblLayout w:type="fixed"/>
        <w:tblLook w:val="04A0" w:firstRow="1" w:lastRow="0" w:firstColumn="1" w:lastColumn="0" w:noHBand="0" w:noVBand="1"/>
      </w:tblPr>
      <w:tblGrid>
        <w:gridCol w:w="1101"/>
        <w:gridCol w:w="1842"/>
        <w:gridCol w:w="851"/>
        <w:gridCol w:w="850"/>
        <w:gridCol w:w="851"/>
        <w:gridCol w:w="850"/>
        <w:gridCol w:w="851"/>
        <w:gridCol w:w="850"/>
      </w:tblGrid>
      <w:tr w:rsidR="00E7526A" w:rsidTr="00E7526A">
        <w:tc>
          <w:tcPr>
            <w:tcW w:w="2943" w:type="dxa"/>
            <w:gridSpan w:val="2"/>
          </w:tcPr>
          <w:p w:rsidR="002A05F6" w:rsidRPr="00E7526A" w:rsidRDefault="002A05F6" w:rsidP="00664423">
            <w:pPr>
              <w:jc w:val="center"/>
              <w:rPr>
                <w:sz w:val="20"/>
                <w:szCs w:val="20"/>
              </w:rPr>
            </w:pPr>
            <w:r w:rsidRPr="00E7526A">
              <w:rPr>
                <w:sz w:val="20"/>
                <w:szCs w:val="20"/>
              </w:rPr>
              <w:t>Part of UK</w:t>
            </w:r>
          </w:p>
        </w:tc>
        <w:tc>
          <w:tcPr>
            <w:tcW w:w="851" w:type="dxa"/>
          </w:tcPr>
          <w:p w:rsidR="002A05F6" w:rsidRPr="00E7526A" w:rsidRDefault="002A05F6" w:rsidP="00664423">
            <w:pPr>
              <w:jc w:val="center"/>
              <w:rPr>
                <w:sz w:val="20"/>
                <w:szCs w:val="20"/>
              </w:rPr>
            </w:pPr>
            <w:r w:rsidRPr="00E7526A">
              <w:rPr>
                <w:sz w:val="20"/>
                <w:szCs w:val="20"/>
              </w:rPr>
              <w:t>2010/ 11</w:t>
            </w:r>
          </w:p>
        </w:tc>
        <w:tc>
          <w:tcPr>
            <w:tcW w:w="850" w:type="dxa"/>
          </w:tcPr>
          <w:p w:rsidR="002A05F6" w:rsidRPr="00E7526A" w:rsidRDefault="002A05F6" w:rsidP="00664423">
            <w:pPr>
              <w:jc w:val="center"/>
              <w:rPr>
                <w:sz w:val="20"/>
                <w:szCs w:val="20"/>
              </w:rPr>
            </w:pPr>
            <w:r w:rsidRPr="00E7526A">
              <w:rPr>
                <w:sz w:val="20"/>
                <w:szCs w:val="20"/>
              </w:rPr>
              <w:t>2011/ 12</w:t>
            </w:r>
          </w:p>
        </w:tc>
        <w:tc>
          <w:tcPr>
            <w:tcW w:w="851" w:type="dxa"/>
          </w:tcPr>
          <w:p w:rsidR="002A05F6" w:rsidRPr="00E7526A" w:rsidRDefault="002A05F6" w:rsidP="00664423">
            <w:pPr>
              <w:jc w:val="center"/>
              <w:rPr>
                <w:sz w:val="20"/>
                <w:szCs w:val="20"/>
              </w:rPr>
            </w:pPr>
            <w:r w:rsidRPr="00E7526A">
              <w:rPr>
                <w:sz w:val="20"/>
                <w:szCs w:val="20"/>
              </w:rPr>
              <w:t>2012/ 13</w:t>
            </w:r>
          </w:p>
        </w:tc>
        <w:tc>
          <w:tcPr>
            <w:tcW w:w="850" w:type="dxa"/>
          </w:tcPr>
          <w:p w:rsidR="002A05F6" w:rsidRPr="00E7526A" w:rsidRDefault="00E7526A" w:rsidP="00664423">
            <w:pPr>
              <w:jc w:val="center"/>
              <w:rPr>
                <w:sz w:val="20"/>
                <w:szCs w:val="20"/>
              </w:rPr>
            </w:pPr>
            <w:r w:rsidRPr="00E7526A">
              <w:rPr>
                <w:sz w:val="20"/>
                <w:szCs w:val="20"/>
              </w:rPr>
              <w:t>2013</w:t>
            </w:r>
            <w:r w:rsidR="002A05F6" w:rsidRPr="00E7526A">
              <w:rPr>
                <w:sz w:val="20"/>
                <w:szCs w:val="20"/>
              </w:rPr>
              <w:t>/</w:t>
            </w:r>
            <w:r w:rsidRPr="00E7526A">
              <w:rPr>
                <w:sz w:val="20"/>
                <w:szCs w:val="20"/>
              </w:rPr>
              <w:t xml:space="preserve"> </w:t>
            </w:r>
            <w:r w:rsidR="002A05F6" w:rsidRPr="00E7526A">
              <w:rPr>
                <w:sz w:val="20"/>
                <w:szCs w:val="20"/>
              </w:rPr>
              <w:t>14</w:t>
            </w:r>
          </w:p>
        </w:tc>
        <w:tc>
          <w:tcPr>
            <w:tcW w:w="851" w:type="dxa"/>
          </w:tcPr>
          <w:p w:rsidR="002A05F6" w:rsidRPr="00E7526A" w:rsidRDefault="002A05F6" w:rsidP="00664423">
            <w:pPr>
              <w:jc w:val="center"/>
              <w:rPr>
                <w:sz w:val="20"/>
                <w:szCs w:val="20"/>
              </w:rPr>
            </w:pPr>
            <w:r w:rsidRPr="00E7526A">
              <w:rPr>
                <w:sz w:val="20"/>
                <w:szCs w:val="20"/>
              </w:rPr>
              <w:t>2014/</w:t>
            </w:r>
            <w:r w:rsidR="00E7526A" w:rsidRPr="00E7526A">
              <w:rPr>
                <w:sz w:val="20"/>
                <w:szCs w:val="20"/>
              </w:rPr>
              <w:t xml:space="preserve"> </w:t>
            </w:r>
            <w:r w:rsidRPr="00E7526A">
              <w:rPr>
                <w:sz w:val="20"/>
                <w:szCs w:val="20"/>
              </w:rPr>
              <w:t>15</w:t>
            </w:r>
          </w:p>
        </w:tc>
        <w:tc>
          <w:tcPr>
            <w:tcW w:w="850" w:type="dxa"/>
          </w:tcPr>
          <w:p w:rsidR="002A05F6" w:rsidRPr="00E7526A" w:rsidRDefault="00E7526A" w:rsidP="00664423">
            <w:pPr>
              <w:jc w:val="center"/>
              <w:rPr>
                <w:sz w:val="20"/>
                <w:szCs w:val="20"/>
              </w:rPr>
            </w:pPr>
            <w:r w:rsidRPr="00E7526A">
              <w:rPr>
                <w:sz w:val="20"/>
                <w:szCs w:val="20"/>
              </w:rPr>
              <w:t>2015</w:t>
            </w:r>
            <w:r w:rsidR="002A05F6" w:rsidRPr="00E7526A">
              <w:rPr>
                <w:sz w:val="20"/>
                <w:szCs w:val="20"/>
              </w:rPr>
              <w:t>/</w:t>
            </w:r>
            <w:r w:rsidRPr="00E7526A">
              <w:rPr>
                <w:sz w:val="20"/>
                <w:szCs w:val="20"/>
              </w:rPr>
              <w:t xml:space="preserve"> </w:t>
            </w:r>
            <w:r w:rsidR="002A05F6" w:rsidRPr="00E7526A">
              <w:rPr>
                <w:sz w:val="20"/>
                <w:szCs w:val="20"/>
              </w:rPr>
              <w:t>16</w:t>
            </w:r>
          </w:p>
        </w:tc>
      </w:tr>
      <w:tr w:rsidR="00270DFB" w:rsidTr="00D81E4D">
        <w:tc>
          <w:tcPr>
            <w:tcW w:w="1101" w:type="dxa"/>
          </w:tcPr>
          <w:p w:rsidR="00270DFB" w:rsidRPr="00E7526A" w:rsidRDefault="00270DFB" w:rsidP="00664423">
            <w:pPr>
              <w:rPr>
                <w:sz w:val="20"/>
                <w:szCs w:val="20"/>
              </w:rPr>
            </w:pPr>
            <w:r>
              <w:rPr>
                <w:sz w:val="20"/>
                <w:szCs w:val="20"/>
              </w:rPr>
              <w:t>England (age 18+)</w:t>
            </w:r>
          </w:p>
        </w:tc>
        <w:tc>
          <w:tcPr>
            <w:tcW w:w="1842" w:type="dxa"/>
            <w:vAlign w:val="center"/>
          </w:tcPr>
          <w:p w:rsidR="00270DFB" w:rsidRPr="00D81E4D" w:rsidRDefault="00D81E4D" w:rsidP="00D81E4D">
            <w:pPr>
              <w:rPr>
                <w:sz w:val="20"/>
                <w:szCs w:val="20"/>
              </w:rPr>
            </w:pPr>
            <w:r>
              <w:rPr>
                <w:sz w:val="20"/>
                <w:szCs w:val="20"/>
              </w:rPr>
              <w:t>Day services</w:t>
            </w:r>
          </w:p>
        </w:tc>
        <w:tc>
          <w:tcPr>
            <w:tcW w:w="851" w:type="dxa"/>
            <w:vAlign w:val="center"/>
          </w:tcPr>
          <w:p w:rsidR="00270DFB" w:rsidRPr="00D81E4D" w:rsidRDefault="00270DFB" w:rsidP="00D81E4D">
            <w:pPr>
              <w:jc w:val="right"/>
              <w:rPr>
                <w:rFonts w:ascii="Calibri" w:hAnsi="Calibri"/>
                <w:color w:val="000000"/>
                <w:sz w:val="20"/>
                <w:szCs w:val="20"/>
              </w:rPr>
            </w:pPr>
            <w:r w:rsidRPr="00D81E4D">
              <w:rPr>
                <w:rFonts w:ascii="Calibri" w:hAnsi="Calibri"/>
                <w:color w:val="000000"/>
                <w:sz w:val="20"/>
                <w:szCs w:val="20"/>
              </w:rPr>
              <w:t>52,150</w:t>
            </w:r>
          </w:p>
        </w:tc>
        <w:tc>
          <w:tcPr>
            <w:tcW w:w="850" w:type="dxa"/>
            <w:vAlign w:val="center"/>
          </w:tcPr>
          <w:p w:rsidR="00270DFB" w:rsidRPr="00D81E4D" w:rsidRDefault="00270DFB" w:rsidP="00D81E4D">
            <w:pPr>
              <w:jc w:val="right"/>
              <w:rPr>
                <w:rFonts w:ascii="Calibri" w:hAnsi="Calibri"/>
                <w:color w:val="000000"/>
                <w:sz w:val="20"/>
                <w:szCs w:val="20"/>
              </w:rPr>
            </w:pPr>
            <w:r w:rsidRPr="00D81E4D">
              <w:rPr>
                <w:rFonts w:ascii="Calibri" w:hAnsi="Calibri"/>
                <w:color w:val="000000"/>
                <w:sz w:val="20"/>
                <w:szCs w:val="20"/>
              </w:rPr>
              <w:t>51,710</w:t>
            </w:r>
          </w:p>
        </w:tc>
        <w:tc>
          <w:tcPr>
            <w:tcW w:w="851" w:type="dxa"/>
            <w:vAlign w:val="center"/>
          </w:tcPr>
          <w:p w:rsidR="00270DFB" w:rsidRPr="00D81E4D" w:rsidRDefault="00270DFB" w:rsidP="00D81E4D">
            <w:pPr>
              <w:jc w:val="right"/>
              <w:rPr>
                <w:rFonts w:ascii="Calibri" w:hAnsi="Calibri"/>
                <w:color w:val="000000"/>
                <w:sz w:val="20"/>
                <w:szCs w:val="20"/>
              </w:rPr>
            </w:pPr>
            <w:r w:rsidRPr="00D81E4D">
              <w:rPr>
                <w:rFonts w:ascii="Calibri" w:hAnsi="Calibri"/>
                <w:color w:val="000000"/>
                <w:sz w:val="20"/>
                <w:szCs w:val="20"/>
              </w:rPr>
              <w:t>51,300</w:t>
            </w:r>
          </w:p>
        </w:tc>
        <w:tc>
          <w:tcPr>
            <w:tcW w:w="850" w:type="dxa"/>
            <w:vAlign w:val="center"/>
          </w:tcPr>
          <w:p w:rsidR="00270DFB" w:rsidRPr="00D81E4D" w:rsidRDefault="00270DFB" w:rsidP="00D81E4D">
            <w:pPr>
              <w:jc w:val="right"/>
              <w:rPr>
                <w:rFonts w:ascii="Calibri" w:hAnsi="Calibri"/>
                <w:color w:val="000000"/>
                <w:sz w:val="20"/>
                <w:szCs w:val="20"/>
              </w:rPr>
            </w:pPr>
            <w:r w:rsidRPr="00D81E4D">
              <w:rPr>
                <w:rFonts w:ascii="Calibri" w:hAnsi="Calibri"/>
                <w:color w:val="000000"/>
                <w:sz w:val="20"/>
                <w:szCs w:val="20"/>
              </w:rPr>
              <w:t>49,555</w:t>
            </w:r>
          </w:p>
        </w:tc>
        <w:tc>
          <w:tcPr>
            <w:tcW w:w="851" w:type="dxa"/>
            <w:vAlign w:val="center"/>
          </w:tcPr>
          <w:p w:rsidR="00270DFB" w:rsidRPr="00D81E4D" w:rsidRDefault="00270DFB" w:rsidP="00D81E4D">
            <w:pPr>
              <w:jc w:val="right"/>
              <w:rPr>
                <w:rFonts w:ascii="Calibri" w:hAnsi="Calibri"/>
                <w:color w:val="000000"/>
                <w:sz w:val="20"/>
                <w:szCs w:val="20"/>
              </w:rPr>
            </w:pPr>
            <w:r w:rsidRPr="00D81E4D">
              <w:rPr>
                <w:rFonts w:ascii="Calibri" w:hAnsi="Calibri"/>
                <w:color w:val="000000"/>
                <w:sz w:val="20"/>
                <w:szCs w:val="20"/>
              </w:rPr>
              <w:t>n/a</w:t>
            </w:r>
          </w:p>
        </w:tc>
        <w:tc>
          <w:tcPr>
            <w:tcW w:w="850" w:type="dxa"/>
            <w:vAlign w:val="center"/>
          </w:tcPr>
          <w:p w:rsidR="00270DFB" w:rsidRPr="00D81E4D" w:rsidRDefault="00270DFB" w:rsidP="00D81E4D">
            <w:pPr>
              <w:jc w:val="right"/>
              <w:rPr>
                <w:rFonts w:ascii="Calibri" w:hAnsi="Calibri"/>
                <w:color w:val="000000"/>
                <w:sz w:val="20"/>
                <w:szCs w:val="20"/>
              </w:rPr>
            </w:pPr>
            <w:r w:rsidRPr="00D81E4D">
              <w:rPr>
                <w:rFonts w:ascii="Calibri" w:hAnsi="Calibri"/>
                <w:color w:val="000000"/>
                <w:sz w:val="20"/>
                <w:szCs w:val="20"/>
              </w:rPr>
              <w:t>n/a</w:t>
            </w:r>
          </w:p>
        </w:tc>
      </w:tr>
      <w:tr w:rsidR="00270DFB" w:rsidTr="00E7526A">
        <w:tc>
          <w:tcPr>
            <w:tcW w:w="1101" w:type="dxa"/>
            <w:vMerge w:val="restart"/>
          </w:tcPr>
          <w:p w:rsidR="00270DFB" w:rsidRPr="00E7526A" w:rsidRDefault="00270DFB" w:rsidP="00664423">
            <w:pPr>
              <w:rPr>
                <w:sz w:val="20"/>
                <w:szCs w:val="20"/>
              </w:rPr>
            </w:pPr>
            <w:r w:rsidRPr="00E7526A">
              <w:rPr>
                <w:sz w:val="20"/>
                <w:szCs w:val="20"/>
              </w:rPr>
              <w:t>Scotland</w:t>
            </w:r>
            <w:r>
              <w:rPr>
                <w:sz w:val="20"/>
                <w:szCs w:val="20"/>
              </w:rPr>
              <w:t xml:space="preserve"> (age 16+)</w:t>
            </w:r>
          </w:p>
        </w:tc>
        <w:tc>
          <w:tcPr>
            <w:tcW w:w="1842" w:type="dxa"/>
          </w:tcPr>
          <w:p w:rsidR="00270DFB" w:rsidRPr="00E7526A" w:rsidRDefault="00270DFB" w:rsidP="00664423">
            <w:pPr>
              <w:rPr>
                <w:sz w:val="20"/>
                <w:szCs w:val="20"/>
              </w:rPr>
            </w:pPr>
            <w:r>
              <w:rPr>
                <w:sz w:val="20"/>
                <w:szCs w:val="20"/>
              </w:rPr>
              <w:t>Day centre</w:t>
            </w:r>
          </w:p>
        </w:tc>
        <w:tc>
          <w:tcPr>
            <w:tcW w:w="851" w:type="dxa"/>
            <w:vAlign w:val="center"/>
          </w:tcPr>
          <w:p w:rsidR="00270DFB" w:rsidRPr="00E7526A" w:rsidRDefault="00270DFB" w:rsidP="00E7526A">
            <w:pPr>
              <w:jc w:val="right"/>
              <w:rPr>
                <w:sz w:val="20"/>
                <w:szCs w:val="20"/>
              </w:rPr>
            </w:pPr>
            <w:r>
              <w:rPr>
                <w:sz w:val="20"/>
                <w:szCs w:val="20"/>
              </w:rPr>
              <w:t>n/a</w:t>
            </w:r>
          </w:p>
        </w:tc>
        <w:tc>
          <w:tcPr>
            <w:tcW w:w="850" w:type="dxa"/>
            <w:vAlign w:val="center"/>
          </w:tcPr>
          <w:p w:rsidR="00270DFB" w:rsidRPr="00E7526A" w:rsidRDefault="00270DFB" w:rsidP="00E7526A">
            <w:pPr>
              <w:jc w:val="right"/>
              <w:rPr>
                <w:rFonts w:ascii="Calibri" w:hAnsi="Calibri"/>
                <w:color w:val="000000"/>
                <w:sz w:val="20"/>
                <w:szCs w:val="20"/>
              </w:rPr>
            </w:pPr>
            <w:r>
              <w:rPr>
                <w:rFonts w:ascii="Calibri" w:hAnsi="Calibri"/>
                <w:color w:val="000000"/>
                <w:sz w:val="20"/>
                <w:szCs w:val="20"/>
              </w:rPr>
              <w:t>5,481</w:t>
            </w:r>
          </w:p>
        </w:tc>
        <w:tc>
          <w:tcPr>
            <w:tcW w:w="851" w:type="dxa"/>
            <w:vAlign w:val="center"/>
          </w:tcPr>
          <w:p w:rsidR="00270DFB" w:rsidRPr="00E7526A" w:rsidRDefault="00270DFB" w:rsidP="00E7526A">
            <w:pPr>
              <w:jc w:val="right"/>
              <w:rPr>
                <w:rFonts w:ascii="Calibri" w:hAnsi="Calibri"/>
                <w:color w:val="000000"/>
                <w:sz w:val="20"/>
                <w:szCs w:val="20"/>
              </w:rPr>
            </w:pPr>
            <w:r>
              <w:rPr>
                <w:rFonts w:ascii="Calibri" w:hAnsi="Calibri"/>
                <w:color w:val="000000"/>
                <w:sz w:val="20"/>
                <w:szCs w:val="20"/>
              </w:rPr>
              <w:t>5,287</w:t>
            </w:r>
          </w:p>
        </w:tc>
        <w:tc>
          <w:tcPr>
            <w:tcW w:w="850" w:type="dxa"/>
            <w:vAlign w:val="center"/>
          </w:tcPr>
          <w:p w:rsidR="00270DFB" w:rsidRPr="00E7526A" w:rsidRDefault="00270DFB" w:rsidP="00E7526A">
            <w:pPr>
              <w:jc w:val="right"/>
              <w:rPr>
                <w:rFonts w:ascii="Calibri" w:hAnsi="Calibri"/>
                <w:color w:val="000000"/>
                <w:sz w:val="20"/>
                <w:szCs w:val="20"/>
              </w:rPr>
            </w:pPr>
            <w:r>
              <w:rPr>
                <w:rFonts w:ascii="Calibri" w:hAnsi="Calibri"/>
                <w:color w:val="000000"/>
                <w:sz w:val="20"/>
                <w:szCs w:val="20"/>
              </w:rPr>
              <w:t>5,368</w:t>
            </w:r>
          </w:p>
        </w:tc>
        <w:tc>
          <w:tcPr>
            <w:tcW w:w="851" w:type="dxa"/>
            <w:vAlign w:val="center"/>
          </w:tcPr>
          <w:p w:rsidR="00270DFB" w:rsidRPr="00E7526A" w:rsidRDefault="00270DFB" w:rsidP="00E7526A">
            <w:pPr>
              <w:jc w:val="right"/>
              <w:rPr>
                <w:rFonts w:ascii="Calibri" w:hAnsi="Calibri"/>
                <w:color w:val="000000"/>
                <w:sz w:val="20"/>
                <w:szCs w:val="20"/>
              </w:rPr>
            </w:pPr>
            <w:r>
              <w:rPr>
                <w:rFonts w:ascii="Calibri" w:hAnsi="Calibri"/>
                <w:color w:val="000000"/>
                <w:sz w:val="20"/>
                <w:szCs w:val="20"/>
              </w:rPr>
              <w:t>5,222</w:t>
            </w:r>
          </w:p>
        </w:tc>
        <w:tc>
          <w:tcPr>
            <w:tcW w:w="850" w:type="dxa"/>
            <w:vAlign w:val="center"/>
          </w:tcPr>
          <w:p w:rsidR="00270DFB" w:rsidRPr="00E7526A" w:rsidRDefault="00270DFB" w:rsidP="00E7526A">
            <w:pPr>
              <w:jc w:val="right"/>
              <w:rPr>
                <w:sz w:val="20"/>
                <w:szCs w:val="20"/>
              </w:rPr>
            </w:pPr>
            <w:r>
              <w:rPr>
                <w:sz w:val="20"/>
                <w:szCs w:val="20"/>
              </w:rPr>
              <w:t>n/a</w:t>
            </w:r>
          </w:p>
        </w:tc>
      </w:tr>
      <w:tr w:rsidR="00270DFB" w:rsidTr="00E7526A">
        <w:tc>
          <w:tcPr>
            <w:tcW w:w="1101" w:type="dxa"/>
            <w:vMerge/>
          </w:tcPr>
          <w:p w:rsidR="00270DFB" w:rsidRPr="00E7526A" w:rsidRDefault="00270DFB" w:rsidP="00664423">
            <w:pPr>
              <w:rPr>
                <w:sz w:val="20"/>
                <w:szCs w:val="20"/>
              </w:rPr>
            </w:pPr>
          </w:p>
        </w:tc>
        <w:tc>
          <w:tcPr>
            <w:tcW w:w="1842" w:type="dxa"/>
          </w:tcPr>
          <w:p w:rsidR="00270DFB" w:rsidRPr="00E7526A" w:rsidRDefault="00270DFB" w:rsidP="00664423">
            <w:pPr>
              <w:rPr>
                <w:sz w:val="20"/>
                <w:szCs w:val="20"/>
              </w:rPr>
            </w:pPr>
            <w:r>
              <w:rPr>
                <w:sz w:val="20"/>
                <w:szCs w:val="20"/>
              </w:rPr>
              <w:t>Alternative opportunities</w:t>
            </w:r>
          </w:p>
        </w:tc>
        <w:tc>
          <w:tcPr>
            <w:tcW w:w="851" w:type="dxa"/>
            <w:vAlign w:val="center"/>
          </w:tcPr>
          <w:p w:rsidR="00270DFB" w:rsidRPr="00E7526A" w:rsidRDefault="00270DFB" w:rsidP="00E7526A">
            <w:pPr>
              <w:jc w:val="right"/>
              <w:rPr>
                <w:sz w:val="20"/>
                <w:szCs w:val="20"/>
              </w:rPr>
            </w:pPr>
            <w:r>
              <w:rPr>
                <w:sz w:val="20"/>
                <w:szCs w:val="20"/>
              </w:rPr>
              <w:t>n/a</w:t>
            </w:r>
          </w:p>
        </w:tc>
        <w:tc>
          <w:tcPr>
            <w:tcW w:w="850" w:type="dxa"/>
            <w:vAlign w:val="center"/>
          </w:tcPr>
          <w:p w:rsidR="00270DFB" w:rsidRPr="00E7526A" w:rsidRDefault="00270DFB" w:rsidP="00E7526A">
            <w:pPr>
              <w:jc w:val="right"/>
              <w:rPr>
                <w:rFonts w:ascii="Calibri" w:hAnsi="Calibri"/>
                <w:color w:val="000000"/>
                <w:sz w:val="20"/>
                <w:szCs w:val="20"/>
              </w:rPr>
            </w:pPr>
            <w:r>
              <w:rPr>
                <w:rFonts w:ascii="Calibri" w:hAnsi="Calibri"/>
                <w:color w:val="000000"/>
                <w:sz w:val="20"/>
                <w:szCs w:val="20"/>
              </w:rPr>
              <w:t>8,867</w:t>
            </w:r>
          </w:p>
        </w:tc>
        <w:tc>
          <w:tcPr>
            <w:tcW w:w="851" w:type="dxa"/>
            <w:vAlign w:val="center"/>
          </w:tcPr>
          <w:p w:rsidR="00270DFB" w:rsidRPr="00E7526A" w:rsidRDefault="00270DFB" w:rsidP="00E7526A">
            <w:pPr>
              <w:jc w:val="right"/>
              <w:rPr>
                <w:rFonts w:ascii="Calibri" w:hAnsi="Calibri"/>
                <w:color w:val="000000"/>
                <w:sz w:val="20"/>
                <w:szCs w:val="20"/>
              </w:rPr>
            </w:pPr>
            <w:r>
              <w:rPr>
                <w:rFonts w:ascii="Calibri" w:hAnsi="Calibri"/>
                <w:color w:val="000000"/>
                <w:sz w:val="20"/>
                <w:szCs w:val="20"/>
              </w:rPr>
              <w:t>9,250</w:t>
            </w:r>
          </w:p>
        </w:tc>
        <w:tc>
          <w:tcPr>
            <w:tcW w:w="850" w:type="dxa"/>
            <w:vAlign w:val="center"/>
          </w:tcPr>
          <w:p w:rsidR="00270DFB" w:rsidRPr="00E7526A" w:rsidRDefault="00270DFB" w:rsidP="00E7526A">
            <w:pPr>
              <w:jc w:val="right"/>
              <w:rPr>
                <w:rFonts w:ascii="Calibri" w:hAnsi="Calibri"/>
                <w:color w:val="000000"/>
                <w:sz w:val="20"/>
                <w:szCs w:val="20"/>
              </w:rPr>
            </w:pPr>
            <w:r>
              <w:rPr>
                <w:rFonts w:ascii="Calibri" w:hAnsi="Calibri"/>
                <w:color w:val="000000"/>
                <w:sz w:val="20"/>
                <w:szCs w:val="20"/>
              </w:rPr>
              <w:t>9,025</w:t>
            </w:r>
          </w:p>
        </w:tc>
        <w:tc>
          <w:tcPr>
            <w:tcW w:w="851" w:type="dxa"/>
            <w:vAlign w:val="center"/>
          </w:tcPr>
          <w:p w:rsidR="00270DFB" w:rsidRPr="00E7526A" w:rsidRDefault="00270DFB" w:rsidP="00E7526A">
            <w:pPr>
              <w:jc w:val="right"/>
              <w:rPr>
                <w:rFonts w:ascii="Calibri" w:hAnsi="Calibri"/>
                <w:color w:val="000000"/>
                <w:sz w:val="20"/>
                <w:szCs w:val="20"/>
              </w:rPr>
            </w:pPr>
            <w:r>
              <w:rPr>
                <w:rFonts w:ascii="Calibri" w:hAnsi="Calibri"/>
                <w:color w:val="000000"/>
                <w:sz w:val="20"/>
                <w:szCs w:val="20"/>
              </w:rPr>
              <w:t>8,875</w:t>
            </w:r>
          </w:p>
        </w:tc>
        <w:tc>
          <w:tcPr>
            <w:tcW w:w="850" w:type="dxa"/>
            <w:vAlign w:val="center"/>
          </w:tcPr>
          <w:p w:rsidR="00270DFB" w:rsidRPr="00E7526A" w:rsidRDefault="00270DFB" w:rsidP="00E7526A">
            <w:pPr>
              <w:jc w:val="right"/>
              <w:rPr>
                <w:sz w:val="20"/>
                <w:szCs w:val="20"/>
              </w:rPr>
            </w:pPr>
            <w:r>
              <w:rPr>
                <w:sz w:val="20"/>
                <w:szCs w:val="20"/>
              </w:rPr>
              <w:t>n/a</w:t>
            </w:r>
          </w:p>
        </w:tc>
      </w:tr>
      <w:tr w:rsidR="00270DFB" w:rsidTr="0070736E">
        <w:tc>
          <w:tcPr>
            <w:tcW w:w="1101" w:type="dxa"/>
            <w:vMerge w:val="restart"/>
          </w:tcPr>
          <w:p w:rsidR="00270DFB" w:rsidRPr="00E7526A" w:rsidRDefault="00270DFB" w:rsidP="00664423">
            <w:pPr>
              <w:rPr>
                <w:sz w:val="20"/>
                <w:szCs w:val="20"/>
              </w:rPr>
            </w:pPr>
            <w:r w:rsidRPr="00E7526A">
              <w:rPr>
                <w:sz w:val="20"/>
                <w:szCs w:val="20"/>
              </w:rPr>
              <w:t>Wales</w:t>
            </w:r>
            <w:r>
              <w:rPr>
                <w:sz w:val="20"/>
                <w:szCs w:val="20"/>
              </w:rPr>
              <w:t xml:space="preserve"> (age 18+)</w:t>
            </w:r>
          </w:p>
        </w:tc>
        <w:tc>
          <w:tcPr>
            <w:tcW w:w="1842" w:type="dxa"/>
          </w:tcPr>
          <w:p w:rsidR="00270DFB" w:rsidRPr="00E7526A" w:rsidRDefault="00270DFB" w:rsidP="00664423">
            <w:pPr>
              <w:rPr>
                <w:sz w:val="20"/>
                <w:szCs w:val="20"/>
              </w:rPr>
            </w:pPr>
            <w:r>
              <w:rPr>
                <w:sz w:val="20"/>
                <w:szCs w:val="20"/>
              </w:rPr>
              <w:t>Day Care</w:t>
            </w:r>
          </w:p>
        </w:tc>
        <w:tc>
          <w:tcPr>
            <w:tcW w:w="851"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2,589</w:t>
            </w:r>
          </w:p>
        </w:tc>
        <w:tc>
          <w:tcPr>
            <w:tcW w:w="850"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2,471</w:t>
            </w:r>
          </w:p>
        </w:tc>
        <w:tc>
          <w:tcPr>
            <w:tcW w:w="851"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2,548</w:t>
            </w:r>
          </w:p>
        </w:tc>
        <w:tc>
          <w:tcPr>
            <w:tcW w:w="850"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2,493</w:t>
            </w:r>
          </w:p>
        </w:tc>
        <w:tc>
          <w:tcPr>
            <w:tcW w:w="851"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2,446</w:t>
            </w:r>
          </w:p>
        </w:tc>
        <w:tc>
          <w:tcPr>
            <w:tcW w:w="850"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n/a</w:t>
            </w:r>
          </w:p>
        </w:tc>
      </w:tr>
      <w:tr w:rsidR="00270DFB" w:rsidTr="0070736E">
        <w:tc>
          <w:tcPr>
            <w:tcW w:w="1101" w:type="dxa"/>
            <w:vMerge/>
          </w:tcPr>
          <w:p w:rsidR="00270DFB" w:rsidRPr="00E7526A" w:rsidRDefault="00270DFB" w:rsidP="00664423">
            <w:pPr>
              <w:rPr>
                <w:sz w:val="20"/>
                <w:szCs w:val="20"/>
              </w:rPr>
            </w:pPr>
          </w:p>
        </w:tc>
        <w:tc>
          <w:tcPr>
            <w:tcW w:w="1842" w:type="dxa"/>
          </w:tcPr>
          <w:p w:rsidR="00270DFB" w:rsidRPr="00E7526A" w:rsidRDefault="00270DFB" w:rsidP="00664423">
            <w:pPr>
              <w:rPr>
                <w:sz w:val="20"/>
                <w:szCs w:val="20"/>
              </w:rPr>
            </w:pPr>
            <w:r>
              <w:rPr>
                <w:sz w:val="20"/>
                <w:szCs w:val="20"/>
              </w:rPr>
              <w:t>Community Support Day Care</w:t>
            </w:r>
          </w:p>
        </w:tc>
        <w:tc>
          <w:tcPr>
            <w:tcW w:w="851"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1,756</w:t>
            </w:r>
          </w:p>
        </w:tc>
        <w:tc>
          <w:tcPr>
            <w:tcW w:w="850"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2,073</w:t>
            </w:r>
          </w:p>
        </w:tc>
        <w:tc>
          <w:tcPr>
            <w:tcW w:w="851"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2,147</w:t>
            </w:r>
          </w:p>
        </w:tc>
        <w:tc>
          <w:tcPr>
            <w:tcW w:w="850"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2,083</w:t>
            </w:r>
          </w:p>
        </w:tc>
        <w:tc>
          <w:tcPr>
            <w:tcW w:w="851"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2,299</w:t>
            </w:r>
          </w:p>
        </w:tc>
        <w:tc>
          <w:tcPr>
            <w:tcW w:w="850"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n/a</w:t>
            </w:r>
          </w:p>
        </w:tc>
      </w:tr>
      <w:tr w:rsidR="00270DFB" w:rsidTr="0070736E">
        <w:tc>
          <w:tcPr>
            <w:tcW w:w="1101" w:type="dxa"/>
            <w:vMerge w:val="restart"/>
          </w:tcPr>
          <w:p w:rsidR="00270DFB" w:rsidRPr="00E7526A" w:rsidRDefault="00270DFB" w:rsidP="00664423">
            <w:pPr>
              <w:rPr>
                <w:sz w:val="20"/>
                <w:szCs w:val="20"/>
              </w:rPr>
            </w:pPr>
            <w:r w:rsidRPr="00E7526A">
              <w:rPr>
                <w:sz w:val="20"/>
                <w:szCs w:val="20"/>
              </w:rPr>
              <w:t>Northern Ireland</w:t>
            </w:r>
            <w:r>
              <w:rPr>
                <w:sz w:val="20"/>
                <w:szCs w:val="20"/>
              </w:rPr>
              <w:t xml:space="preserve"> (age 16+)</w:t>
            </w:r>
          </w:p>
        </w:tc>
        <w:tc>
          <w:tcPr>
            <w:tcW w:w="1842" w:type="dxa"/>
          </w:tcPr>
          <w:p w:rsidR="00270DFB" w:rsidRPr="00E7526A" w:rsidRDefault="00270DFB" w:rsidP="00226493">
            <w:pPr>
              <w:rPr>
                <w:sz w:val="20"/>
                <w:szCs w:val="20"/>
              </w:rPr>
            </w:pPr>
            <w:r>
              <w:rPr>
                <w:sz w:val="20"/>
                <w:szCs w:val="20"/>
              </w:rPr>
              <w:t>Adult Training Centres, Social Education Centres, workshops</w:t>
            </w:r>
          </w:p>
        </w:tc>
        <w:tc>
          <w:tcPr>
            <w:tcW w:w="851"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2,842</w:t>
            </w:r>
          </w:p>
        </w:tc>
        <w:tc>
          <w:tcPr>
            <w:tcW w:w="850"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1,710</w:t>
            </w:r>
          </w:p>
        </w:tc>
        <w:tc>
          <w:tcPr>
            <w:tcW w:w="851"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1,736</w:t>
            </w:r>
          </w:p>
        </w:tc>
        <w:tc>
          <w:tcPr>
            <w:tcW w:w="850"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1,549</w:t>
            </w:r>
          </w:p>
        </w:tc>
        <w:tc>
          <w:tcPr>
            <w:tcW w:w="851"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1,594</w:t>
            </w:r>
          </w:p>
        </w:tc>
        <w:tc>
          <w:tcPr>
            <w:tcW w:w="850"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1,468</w:t>
            </w:r>
          </w:p>
        </w:tc>
      </w:tr>
      <w:tr w:rsidR="00270DFB" w:rsidTr="0070736E">
        <w:tc>
          <w:tcPr>
            <w:tcW w:w="1101" w:type="dxa"/>
            <w:vMerge/>
          </w:tcPr>
          <w:p w:rsidR="00270DFB" w:rsidRPr="00E7526A" w:rsidRDefault="00270DFB" w:rsidP="00664423">
            <w:pPr>
              <w:rPr>
                <w:sz w:val="20"/>
                <w:szCs w:val="20"/>
              </w:rPr>
            </w:pPr>
          </w:p>
        </w:tc>
        <w:tc>
          <w:tcPr>
            <w:tcW w:w="1842" w:type="dxa"/>
          </w:tcPr>
          <w:p w:rsidR="00270DFB" w:rsidRPr="00E7526A" w:rsidRDefault="00270DFB" w:rsidP="00226493">
            <w:pPr>
              <w:rPr>
                <w:sz w:val="20"/>
                <w:szCs w:val="20"/>
              </w:rPr>
            </w:pPr>
            <w:r>
              <w:rPr>
                <w:sz w:val="20"/>
                <w:szCs w:val="20"/>
              </w:rPr>
              <w:t>Day centres</w:t>
            </w:r>
          </w:p>
        </w:tc>
        <w:tc>
          <w:tcPr>
            <w:tcW w:w="851"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354</w:t>
            </w:r>
          </w:p>
        </w:tc>
        <w:tc>
          <w:tcPr>
            <w:tcW w:w="850"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1,484</w:t>
            </w:r>
          </w:p>
        </w:tc>
        <w:tc>
          <w:tcPr>
            <w:tcW w:w="851"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1,507</w:t>
            </w:r>
          </w:p>
        </w:tc>
        <w:tc>
          <w:tcPr>
            <w:tcW w:w="850"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2,018</w:t>
            </w:r>
          </w:p>
        </w:tc>
        <w:tc>
          <w:tcPr>
            <w:tcW w:w="851"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1,842</w:t>
            </w:r>
          </w:p>
        </w:tc>
        <w:tc>
          <w:tcPr>
            <w:tcW w:w="850" w:type="dxa"/>
            <w:vAlign w:val="center"/>
          </w:tcPr>
          <w:p w:rsidR="00270DFB" w:rsidRPr="0070736E" w:rsidRDefault="00270DFB" w:rsidP="0070736E">
            <w:pPr>
              <w:jc w:val="right"/>
              <w:rPr>
                <w:rFonts w:ascii="Calibri" w:hAnsi="Calibri"/>
                <w:color w:val="000000"/>
                <w:sz w:val="20"/>
                <w:szCs w:val="20"/>
              </w:rPr>
            </w:pPr>
            <w:r>
              <w:rPr>
                <w:rFonts w:ascii="Calibri" w:hAnsi="Calibri"/>
                <w:color w:val="000000"/>
                <w:sz w:val="20"/>
                <w:szCs w:val="20"/>
              </w:rPr>
              <w:t>1,826</w:t>
            </w:r>
          </w:p>
        </w:tc>
      </w:tr>
    </w:tbl>
    <w:p w:rsidR="004B2ED9" w:rsidRDefault="004B2ED9" w:rsidP="004B2ED9"/>
    <w:p w:rsidR="0004182A" w:rsidRDefault="0004182A">
      <w:r>
        <w:br w:type="page"/>
      </w:r>
    </w:p>
    <w:p w:rsidR="003C72B8" w:rsidRDefault="003C72B8" w:rsidP="00FC67BE">
      <w:r>
        <w:lastRenderedPageBreak/>
        <w:t>Table 2: Time spent at day centres and alt</w:t>
      </w:r>
      <w:r w:rsidR="0034500C">
        <w:t>ernative day opportunities: 2011/12</w:t>
      </w:r>
      <w:r>
        <w:t xml:space="preserve"> vs 2014/15 (Scotland only)</w:t>
      </w:r>
    </w:p>
    <w:tbl>
      <w:tblPr>
        <w:tblStyle w:val="TableGrid"/>
        <w:tblW w:w="0" w:type="auto"/>
        <w:tblLook w:val="04A0" w:firstRow="1" w:lastRow="0" w:firstColumn="1" w:lastColumn="0" w:noHBand="0" w:noVBand="1"/>
      </w:tblPr>
      <w:tblGrid>
        <w:gridCol w:w="1848"/>
        <w:gridCol w:w="1848"/>
        <w:gridCol w:w="1848"/>
        <w:gridCol w:w="1849"/>
        <w:gridCol w:w="1849"/>
      </w:tblGrid>
      <w:tr w:rsidR="0034500C" w:rsidTr="004B273E">
        <w:tc>
          <w:tcPr>
            <w:tcW w:w="1848" w:type="dxa"/>
            <w:vMerge w:val="restart"/>
          </w:tcPr>
          <w:p w:rsidR="0034500C" w:rsidRPr="003C72B8" w:rsidRDefault="0034500C" w:rsidP="0034500C">
            <w:pPr>
              <w:jc w:val="center"/>
              <w:rPr>
                <w:sz w:val="20"/>
                <w:szCs w:val="20"/>
              </w:rPr>
            </w:pPr>
            <w:r w:rsidRPr="003C72B8">
              <w:rPr>
                <w:sz w:val="20"/>
                <w:szCs w:val="20"/>
              </w:rPr>
              <w:t>Time spent</w:t>
            </w:r>
          </w:p>
        </w:tc>
        <w:tc>
          <w:tcPr>
            <w:tcW w:w="3696" w:type="dxa"/>
            <w:gridSpan w:val="2"/>
          </w:tcPr>
          <w:p w:rsidR="0034500C" w:rsidRPr="003C72B8" w:rsidRDefault="0034500C" w:rsidP="0034500C">
            <w:pPr>
              <w:jc w:val="center"/>
              <w:rPr>
                <w:sz w:val="20"/>
                <w:szCs w:val="20"/>
              </w:rPr>
            </w:pPr>
            <w:r>
              <w:rPr>
                <w:sz w:val="20"/>
                <w:szCs w:val="20"/>
              </w:rPr>
              <w:t>Day centres</w:t>
            </w:r>
          </w:p>
        </w:tc>
        <w:tc>
          <w:tcPr>
            <w:tcW w:w="3698" w:type="dxa"/>
            <w:gridSpan w:val="2"/>
          </w:tcPr>
          <w:p w:rsidR="0034500C" w:rsidRPr="003C72B8" w:rsidRDefault="0034500C" w:rsidP="0034500C">
            <w:pPr>
              <w:jc w:val="center"/>
              <w:rPr>
                <w:sz w:val="20"/>
                <w:szCs w:val="20"/>
              </w:rPr>
            </w:pPr>
            <w:r>
              <w:rPr>
                <w:sz w:val="20"/>
                <w:szCs w:val="20"/>
              </w:rPr>
              <w:t>Alternative day opportunities</w:t>
            </w:r>
          </w:p>
        </w:tc>
      </w:tr>
      <w:tr w:rsidR="0034500C" w:rsidTr="003C72B8">
        <w:tc>
          <w:tcPr>
            <w:tcW w:w="1848" w:type="dxa"/>
            <w:vMerge/>
          </w:tcPr>
          <w:p w:rsidR="0034500C" w:rsidRPr="003C72B8" w:rsidRDefault="0034500C" w:rsidP="0034500C">
            <w:pPr>
              <w:jc w:val="center"/>
              <w:rPr>
                <w:sz w:val="20"/>
                <w:szCs w:val="20"/>
              </w:rPr>
            </w:pPr>
          </w:p>
        </w:tc>
        <w:tc>
          <w:tcPr>
            <w:tcW w:w="1848" w:type="dxa"/>
          </w:tcPr>
          <w:p w:rsidR="0034500C" w:rsidRPr="003C72B8" w:rsidRDefault="0034500C" w:rsidP="0034500C">
            <w:pPr>
              <w:jc w:val="center"/>
              <w:rPr>
                <w:sz w:val="20"/>
                <w:szCs w:val="20"/>
              </w:rPr>
            </w:pPr>
            <w:r>
              <w:rPr>
                <w:sz w:val="20"/>
                <w:szCs w:val="20"/>
              </w:rPr>
              <w:t>2011/12</w:t>
            </w:r>
          </w:p>
        </w:tc>
        <w:tc>
          <w:tcPr>
            <w:tcW w:w="1848" w:type="dxa"/>
          </w:tcPr>
          <w:p w:rsidR="0034500C" w:rsidRPr="003C72B8" w:rsidRDefault="0034500C" w:rsidP="0034500C">
            <w:pPr>
              <w:jc w:val="center"/>
              <w:rPr>
                <w:sz w:val="20"/>
                <w:szCs w:val="20"/>
              </w:rPr>
            </w:pPr>
            <w:r>
              <w:rPr>
                <w:sz w:val="20"/>
                <w:szCs w:val="20"/>
              </w:rPr>
              <w:t>2014/15</w:t>
            </w:r>
          </w:p>
        </w:tc>
        <w:tc>
          <w:tcPr>
            <w:tcW w:w="1849" w:type="dxa"/>
          </w:tcPr>
          <w:p w:rsidR="0034500C" w:rsidRPr="003C72B8" w:rsidRDefault="0034500C" w:rsidP="0034500C">
            <w:pPr>
              <w:jc w:val="center"/>
              <w:rPr>
                <w:sz w:val="20"/>
                <w:szCs w:val="20"/>
              </w:rPr>
            </w:pPr>
            <w:r>
              <w:rPr>
                <w:sz w:val="20"/>
                <w:szCs w:val="20"/>
              </w:rPr>
              <w:t>2012/13</w:t>
            </w:r>
          </w:p>
        </w:tc>
        <w:tc>
          <w:tcPr>
            <w:tcW w:w="1849" w:type="dxa"/>
          </w:tcPr>
          <w:p w:rsidR="0034500C" w:rsidRPr="003C72B8" w:rsidRDefault="0034500C" w:rsidP="0034500C">
            <w:pPr>
              <w:jc w:val="center"/>
              <w:rPr>
                <w:sz w:val="20"/>
                <w:szCs w:val="20"/>
              </w:rPr>
            </w:pPr>
            <w:r>
              <w:rPr>
                <w:sz w:val="20"/>
                <w:szCs w:val="20"/>
              </w:rPr>
              <w:t>2014/15</w:t>
            </w:r>
          </w:p>
        </w:tc>
      </w:tr>
      <w:tr w:rsidR="003C72B8" w:rsidTr="003C72B8">
        <w:tc>
          <w:tcPr>
            <w:tcW w:w="1848" w:type="dxa"/>
          </w:tcPr>
          <w:p w:rsidR="003C72B8" w:rsidRPr="003C72B8" w:rsidRDefault="0034500C" w:rsidP="00FC67BE">
            <w:pPr>
              <w:rPr>
                <w:sz w:val="20"/>
                <w:szCs w:val="20"/>
              </w:rPr>
            </w:pPr>
            <w:r>
              <w:rPr>
                <w:sz w:val="20"/>
                <w:szCs w:val="20"/>
              </w:rPr>
              <w:t>&lt;10 hours</w:t>
            </w:r>
          </w:p>
        </w:tc>
        <w:tc>
          <w:tcPr>
            <w:tcW w:w="1848" w:type="dxa"/>
          </w:tcPr>
          <w:p w:rsidR="003C72B8" w:rsidRPr="003C72B8" w:rsidRDefault="0034500C" w:rsidP="0034500C">
            <w:pPr>
              <w:jc w:val="right"/>
              <w:rPr>
                <w:sz w:val="20"/>
                <w:szCs w:val="20"/>
              </w:rPr>
            </w:pPr>
            <w:r>
              <w:rPr>
                <w:sz w:val="20"/>
                <w:szCs w:val="20"/>
              </w:rPr>
              <w:t>768 (14.0%)</w:t>
            </w:r>
          </w:p>
        </w:tc>
        <w:tc>
          <w:tcPr>
            <w:tcW w:w="1848" w:type="dxa"/>
          </w:tcPr>
          <w:p w:rsidR="003C72B8" w:rsidRPr="003C72B8" w:rsidRDefault="0034500C" w:rsidP="0034500C">
            <w:pPr>
              <w:jc w:val="right"/>
              <w:rPr>
                <w:sz w:val="20"/>
                <w:szCs w:val="20"/>
              </w:rPr>
            </w:pPr>
            <w:r>
              <w:rPr>
                <w:sz w:val="20"/>
                <w:szCs w:val="20"/>
              </w:rPr>
              <w:t>1,296 (24.8%)</w:t>
            </w:r>
          </w:p>
        </w:tc>
        <w:tc>
          <w:tcPr>
            <w:tcW w:w="1849" w:type="dxa"/>
          </w:tcPr>
          <w:p w:rsidR="003C72B8" w:rsidRPr="003C72B8" w:rsidRDefault="0034500C" w:rsidP="0034500C">
            <w:pPr>
              <w:jc w:val="right"/>
              <w:rPr>
                <w:sz w:val="20"/>
                <w:szCs w:val="20"/>
              </w:rPr>
            </w:pPr>
            <w:r>
              <w:rPr>
                <w:sz w:val="20"/>
                <w:szCs w:val="20"/>
              </w:rPr>
              <w:t>1,712 (19.3%)</w:t>
            </w:r>
          </w:p>
        </w:tc>
        <w:tc>
          <w:tcPr>
            <w:tcW w:w="1849" w:type="dxa"/>
          </w:tcPr>
          <w:p w:rsidR="003C72B8" w:rsidRPr="003C72B8" w:rsidRDefault="0034500C" w:rsidP="0034500C">
            <w:pPr>
              <w:jc w:val="right"/>
              <w:rPr>
                <w:sz w:val="20"/>
                <w:szCs w:val="20"/>
              </w:rPr>
            </w:pPr>
            <w:r>
              <w:rPr>
                <w:sz w:val="20"/>
                <w:szCs w:val="20"/>
              </w:rPr>
              <w:t>1,912 (21.5%)</w:t>
            </w:r>
          </w:p>
        </w:tc>
      </w:tr>
      <w:tr w:rsidR="003C72B8" w:rsidTr="003C72B8">
        <w:tc>
          <w:tcPr>
            <w:tcW w:w="1848" w:type="dxa"/>
          </w:tcPr>
          <w:p w:rsidR="003C72B8" w:rsidRPr="003C72B8" w:rsidRDefault="0034500C" w:rsidP="00FC67BE">
            <w:pPr>
              <w:rPr>
                <w:sz w:val="20"/>
                <w:szCs w:val="20"/>
              </w:rPr>
            </w:pPr>
            <w:r>
              <w:rPr>
                <w:sz w:val="20"/>
                <w:szCs w:val="20"/>
              </w:rPr>
              <w:t>10 – 19.75 hours</w:t>
            </w:r>
          </w:p>
        </w:tc>
        <w:tc>
          <w:tcPr>
            <w:tcW w:w="1848" w:type="dxa"/>
          </w:tcPr>
          <w:p w:rsidR="003C72B8" w:rsidRPr="003C72B8" w:rsidRDefault="0034500C" w:rsidP="0034500C">
            <w:pPr>
              <w:jc w:val="right"/>
              <w:rPr>
                <w:sz w:val="20"/>
                <w:szCs w:val="20"/>
              </w:rPr>
            </w:pPr>
            <w:r>
              <w:rPr>
                <w:sz w:val="20"/>
                <w:szCs w:val="20"/>
              </w:rPr>
              <w:t>1,377 (25.1%)</w:t>
            </w:r>
          </w:p>
        </w:tc>
        <w:tc>
          <w:tcPr>
            <w:tcW w:w="1848" w:type="dxa"/>
          </w:tcPr>
          <w:p w:rsidR="003C72B8" w:rsidRPr="003C72B8" w:rsidRDefault="0034500C" w:rsidP="0034500C">
            <w:pPr>
              <w:jc w:val="right"/>
              <w:rPr>
                <w:sz w:val="20"/>
                <w:szCs w:val="20"/>
              </w:rPr>
            </w:pPr>
            <w:r>
              <w:rPr>
                <w:sz w:val="20"/>
                <w:szCs w:val="20"/>
              </w:rPr>
              <w:t>1,275 (24.4%)</w:t>
            </w:r>
          </w:p>
        </w:tc>
        <w:tc>
          <w:tcPr>
            <w:tcW w:w="1849" w:type="dxa"/>
          </w:tcPr>
          <w:p w:rsidR="003C72B8" w:rsidRPr="003C72B8" w:rsidRDefault="0034500C" w:rsidP="0034500C">
            <w:pPr>
              <w:jc w:val="right"/>
              <w:rPr>
                <w:sz w:val="20"/>
                <w:szCs w:val="20"/>
              </w:rPr>
            </w:pPr>
            <w:r>
              <w:rPr>
                <w:sz w:val="20"/>
                <w:szCs w:val="20"/>
              </w:rPr>
              <w:t>1,453 (16.4%)</w:t>
            </w:r>
          </w:p>
        </w:tc>
        <w:tc>
          <w:tcPr>
            <w:tcW w:w="1849" w:type="dxa"/>
          </w:tcPr>
          <w:p w:rsidR="003C72B8" w:rsidRPr="003C72B8" w:rsidRDefault="0034500C" w:rsidP="0034500C">
            <w:pPr>
              <w:jc w:val="right"/>
              <w:rPr>
                <w:sz w:val="20"/>
                <w:szCs w:val="20"/>
              </w:rPr>
            </w:pPr>
            <w:r>
              <w:rPr>
                <w:sz w:val="20"/>
                <w:szCs w:val="20"/>
              </w:rPr>
              <w:t>1,538 (17.3%)</w:t>
            </w:r>
          </w:p>
        </w:tc>
      </w:tr>
      <w:tr w:rsidR="003C72B8" w:rsidTr="003C72B8">
        <w:tc>
          <w:tcPr>
            <w:tcW w:w="1848" w:type="dxa"/>
          </w:tcPr>
          <w:p w:rsidR="003C72B8" w:rsidRPr="003C72B8" w:rsidRDefault="0034500C" w:rsidP="00FC67BE">
            <w:pPr>
              <w:rPr>
                <w:sz w:val="20"/>
                <w:szCs w:val="20"/>
              </w:rPr>
            </w:pPr>
            <w:r>
              <w:rPr>
                <w:sz w:val="20"/>
                <w:szCs w:val="20"/>
              </w:rPr>
              <w:t>20 – 29.75 hours</w:t>
            </w:r>
          </w:p>
        </w:tc>
        <w:tc>
          <w:tcPr>
            <w:tcW w:w="1848" w:type="dxa"/>
          </w:tcPr>
          <w:p w:rsidR="003C72B8" w:rsidRPr="003C72B8" w:rsidRDefault="0034500C" w:rsidP="0034500C">
            <w:pPr>
              <w:jc w:val="right"/>
              <w:rPr>
                <w:sz w:val="20"/>
                <w:szCs w:val="20"/>
              </w:rPr>
            </w:pPr>
            <w:r>
              <w:rPr>
                <w:sz w:val="20"/>
                <w:szCs w:val="20"/>
              </w:rPr>
              <w:t>1,257 (22.9%)</w:t>
            </w:r>
          </w:p>
        </w:tc>
        <w:tc>
          <w:tcPr>
            <w:tcW w:w="1848" w:type="dxa"/>
          </w:tcPr>
          <w:p w:rsidR="003C72B8" w:rsidRPr="003C72B8" w:rsidRDefault="0034500C" w:rsidP="0034500C">
            <w:pPr>
              <w:jc w:val="right"/>
              <w:rPr>
                <w:sz w:val="20"/>
                <w:szCs w:val="20"/>
              </w:rPr>
            </w:pPr>
            <w:r>
              <w:rPr>
                <w:sz w:val="20"/>
                <w:szCs w:val="20"/>
              </w:rPr>
              <w:t>875 (16.8%)</w:t>
            </w:r>
          </w:p>
        </w:tc>
        <w:tc>
          <w:tcPr>
            <w:tcW w:w="1849" w:type="dxa"/>
          </w:tcPr>
          <w:p w:rsidR="003C72B8" w:rsidRPr="003C72B8" w:rsidRDefault="0034500C" w:rsidP="0034500C">
            <w:pPr>
              <w:jc w:val="right"/>
              <w:rPr>
                <w:sz w:val="20"/>
                <w:szCs w:val="20"/>
              </w:rPr>
            </w:pPr>
            <w:r>
              <w:rPr>
                <w:sz w:val="20"/>
                <w:szCs w:val="20"/>
              </w:rPr>
              <w:t>810 (9.1%)</w:t>
            </w:r>
          </w:p>
        </w:tc>
        <w:tc>
          <w:tcPr>
            <w:tcW w:w="1849" w:type="dxa"/>
          </w:tcPr>
          <w:p w:rsidR="003C72B8" w:rsidRPr="003C72B8" w:rsidRDefault="0034500C" w:rsidP="0034500C">
            <w:pPr>
              <w:jc w:val="right"/>
              <w:rPr>
                <w:sz w:val="20"/>
                <w:szCs w:val="20"/>
              </w:rPr>
            </w:pPr>
            <w:r>
              <w:rPr>
                <w:sz w:val="20"/>
                <w:szCs w:val="20"/>
              </w:rPr>
              <w:t>642 (7.2%)</w:t>
            </w:r>
          </w:p>
        </w:tc>
      </w:tr>
      <w:tr w:rsidR="003C72B8" w:rsidTr="003C72B8">
        <w:tc>
          <w:tcPr>
            <w:tcW w:w="1848" w:type="dxa"/>
          </w:tcPr>
          <w:p w:rsidR="003C72B8" w:rsidRPr="003C72B8" w:rsidRDefault="0034500C" w:rsidP="00FC67BE">
            <w:pPr>
              <w:rPr>
                <w:sz w:val="20"/>
                <w:szCs w:val="20"/>
              </w:rPr>
            </w:pPr>
            <w:r>
              <w:rPr>
                <w:sz w:val="20"/>
                <w:szCs w:val="20"/>
              </w:rPr>
              <w:t>30+ hours</w:t>
            </w:r>
          </w:p>
        </w:tc>
        <w:tc>
          <w:tcPr>
            <w:tcW w:w="1848" w:type="dxa"/>
          </w:tcPr>
          <w:p w:rsidR="003C72B8" w:rsidRPr="003C72B8" w:rsidRDefault="0034500C" w:rsidP="0034500C">
            <w:pPr>
              <w:jc w:val="right"/>
              <w:rPr>
                <w:sz w:val="20"/>
                <w:szCs w:val="20"/>
              </w:rPr>
            </w:pPr>
            <w:r>
              <w:rPr>
                <w:sz w:val="20"/>
                <w:szCs w:val="20"/>
              </w:rPr>
              <w:t>982 (17.9%)</w:t>
            </w:r>
          </w:p>
        </w:tc>
        <w:tc>
          <w:tcPr>
            <w:tcW w:w="1848" w:type="dxa"/>
          </w:tcPr>
          <w:p w:rsidR="003C72B8" w:rsidRPr="003C72B8" w:rsidRDefault="0034500C" w:rsidP="0034500C">
            <w:pPr>
              <w:jc w:val="right"/>
              <w:rPr>
                <w:sz w:val="20"/>
                <w:szCs w:val="20"/>
              </w:rPr>
            </w:pPr>
            <w:r>
              <w:rPr>
                <w:sz w:val="20"/>
                <w:szCs w:val="20"/>
              </w:rPr>
              <w:t>871 (16.7%)</w:t>
            </w:r>
          </w:p>
        </w:tc>
        <w:tc>
          <w:tcPr>
            <w:tcW w:w="1849" w:type="dxa"/>
          </w:tcPr>
          <w:p w:rsidR="003C72B8" w:rsidRPr="003C72B8" w:rsidRDefault="0034500C" w:rsidP="0034500C">
            <w:pPr>
              <w:jc w:val="right"/>
              <w:rPr>
                <w:sz w:val="20"/>
                <w:szCs w:val="20"/>
              </w:rPr>
            </w:pPr>
            <w:r>
              <w:rPr>
                <w:sz w:val="20"/>
                <w:szCs w:val="20"/>
              </w:rPr>
              <w:t>478 (5.4%)</w:t>
            </w:r>
          </w:p>
        </w:tc>
        <w:tc>
          <w:tcPr>
            <w:tcW w:w="1849" w:type="dxa"/>
          </w:tcPr>
          <w:p w:rsidR="003C72B8" w:rsidRPr="003C72B8" w:rsidRDefault="0034500C" w:rsidP="0034500C">
            <w:pPr>
              <w:jc w:val="right"/>
              <w:rPr>
                <w:sz w:val="20"/>
                <w:szCs w:val="20"/>
              </w:rPr>
            </w:pPr>
            <w:r>
              <w:rPr>
                <w:sz w:val="20"/>
                <w:szCs w:val="20"/>
              </w:rPr>
              <w:t>645 (7.3%)</w:t>
            </w:r>
          </w:p>
        </w:tc>
      </w:tr>
      <w:tr w:rsidR="003C72B8" w:rsidTr="003C72B8">
        <w:tc>
          <w:tcPr>
            <w:tcW w:w="1848" w:type="dxa"/>
          </w:tcPr>
          <w:p w:rsidR="003C72B8" w:rsidRPr="003C72B8" w:rsidRDefault="0034500C" w:rsidP="00FC67BE">
            <w:pPr>
              <w:rPr>
                <w:sz w:val="20"/>
                <w:szCs w:val="20"/>
              </w:rPr>
            </w:pPr>
            <w:r>
              <w:rPr>
                <w:sz w:val="20"/>
                <w:szCs w:val="20"/>
              </w:rPr>
              <w:t>Time not specified</w:t>
            </w:r>
          </w:p>
        </w:tc>
        <w:tc>
          <w:tcPr>
            <w:tcW w:w="1848" w:type="dxa"/>
          </w:tcPr>
          <w:p w:rsidR="003C72B8" w:rsidRPr="003C72B8" w:rsidRDefault="0034500C" w:rsidP="0034500C">
            <w:pPr>
              <w:jc w:val="right"/>
              <w:rPr>
                <w:sz w:val="20"/>
                <w:szCs w:val="20"/>
              </w:rPr>
            </w:pPr>
            <w:r>
              <w:rPr>
                <w:sz w:val="20"/>
                <w:szCs w:val="20"/>
              </w:rPr>
              <w:t>1,097 (20.0%)</w:t>
            </w:r>
          </w:p>
        </w:tc>
        <w:tc>
          <w:tcPr>
            <w:tcW w:w="1848" w:type="dxa"/>
          </w:tcPr>
          <w:p w:rsidR="003C72B8" w:rsidRPr="003C72B8" w:rsidRDefault="0034500C" w:rsidP="0034500C">
            <w:pPr>
              <w:jc w:val="right"/>
              <w:rPr>
                <w:sz w:val="20"/>
                <w:szCs w:val="20"/>
              </w:rPr>
            </w:pPr>
            <w:r>
              <w:rPr>
                <w:sz w:val="20"/>
                <w:szCs w:val="20"/>
              </w:rPr>
              <w:t>905 (17.3%)</w:t>
            </w:r>
          </w:p>
        </w:tc>
        <w:tc>
          <w:tcPr>
            <w:tcW w:w="1849" w:type="dxa"/>
          </w:tcPr>
          <w:p w:rsidR="003C72B8" w:rsidRPr="003C72B8" w:rsidRDefault="0034500C" w:rsidP="0034500C">
            <w:pPr>
              <w:jc w:val="right"/>
              <w:rPr>
                <w:sz w:val="20"/>
                <w:szCs w:val="20"/>
              </w:rPr>
            </w:pPr>
            <w:r>
              <w:rPr>
                <w:sz w:val="20"/>
                <w:szCs w:val="20"/>
              </w:rPr>
              <w:t>4,415 (49.8%)</w:t>
            </w:r>
          </w:p>
        </w:tc>
        <w:tc>
          <w:tcPr>
            <w:tcW w:w="1849" w:type="dxa"/>
          </w:tcPr>
          <w:p w:rsidR="003C72B8" w:rsidRPr="003C72B8" w:rsidRDefault="0034500C" w:rsidP="0034500C">
            <w:pPr>
              <w:jc w:val="right"/>
              <w:rPr>
                <w:sz w:val="20"/>
                <w:szCs w:val="20"/>
              </w:rPr>
            </w:pPr>
            <w:r>
              <w:rPr>
                <w:sz w:val="20"/>
                <w:szCs w:val="20"/>
              </w:rPr>
              <w:t>4,138 (46.6%)</w:t>
            </w:r>
          </w:p>
        </w:tc>
      </w:tr>
      <w:tr w:rsidR="003C72B8" w:rsidTr="003C72B8">
        <w:tc>
          <w:tcPr>
            <w:tcW w:w="1848" w:type="dxa"/>
          </w:tcPr>
          <w:p w:rsidR="003C72B8" w:rsidRPr="003C72B8" w:rsidRDefault="0034500C" w:rsidP="00FC67BE">
            <w:pPr>
              <w:rPr>
                <w:sz w:val="20"/>
                <w:szCs w:val="20"/>
              </w:rPr>
            </w:pPr>
            <w:r>
              <w:rPr>
                <w:sz w:val="20"/>
                <w:szCs w:val="20"/>
              </w:rPr>
              <w:t>Total</w:t>
            </w:r>
          </w:p>
        </w:tc>
        <w:tc>
          <w:tcPr>
            <w:tcW w:w="1848" w:type="dxa"/>
          </w:tcPr>
          <w:p w:rsidR="003C72B8" w:rsidRPr="003C72B8" w:rsidRDefault="0034500C" w:rsidP="0034500C">
            <w:pPr>
              <w:jc w:val="right"/>
              <w:rPr>
                <w:sz w:val="20"/>
                <w:szCs w:val="20"/>
              </w:rPr>
            </w:pPr>
            <w:r>
              <w:rPr>
                <w:sz w:val="20"/>
                <w:szCs w:val="20"/>
              </w:rPr>
              <w:t>5,481</w:t>
            </w:r>
          </w:p>
        </w:tc>
        <w:tc>
          <w:tcPr>
            <w:tcW w:w="1848" w:type="dxa"/>
          </w:tcPr>
          <w:p w:rsidR="003C72B8" w:rsidRPr="003C72B8" w:rsidRDefault="0034500C" w:rsidP="0034500C">
            <w:pPr>
              <w:jc w:val="right"/>
              <w:rPr>
                <w:sz w:val="20"/>
                <w:szCs w:val="20"/>
              </w:rPr>
            </w:pPr>
            <w:r>
              <w:rPr>
                <w:sz w:val="20"/>
                <w:szCs w:val="20"/>
              </w:rPr>
              <w:t>5,222</w:t>
            </w:r>
          </w:p>
        </w:tc>
        <w:tc>
          <w:tcPr>
            <w:tcW w:w="1849" w:type="dxa"/>
          </w:tcPr>
          <w:p w:rsidR="003C72B8" w:rsidRPr="003C72B8" w:rsidRDefault="0034500C" w:rsidP="0034500C">
            <w:pPr>
              <w:jc w:val="right"/>
              <w:rPr>
                <w:sz w:val="20"/>
                <w:szCs w:val="20"/>
              </w:rPr>
            </w:pPr>
            <w:r>
              <w:rPr>
                <w:sz w:val="20"/>
                <w:szCs w:val="20"/>
              </w:rPr>
              <w:t>8,867</w:t>
            </w:r>
          </w:p>
        </w:tc>
        <w:tc>
          <w:tcPr>
            <w:tcW w:w="1849" w:type="dxa"/>
          </w:tcPr>
          <w:p w:rsidR="003C72B8" w:rsidRPr="003C72B8" w:rsidRDefault="0034500C" w:rsidP="0034500C">
            <w:pPr>
              <w:jc w:val="right"/>
              <w:rPr>
                <w:sz w:val="20"/>
                <w:szCs w:val="20"/>
              </w:rPr>
            </w:pPr>
            <w:r>
              <w:rPr>
                <w:sz w:val="20"/>
                <w:szCs w:val="20"/>
              </w:rPr>
              <w:t>8,875</w:t>
            </w:r>
          </w:p>
        </w:tc>
      </w:tr>
    </w:tbl>
    <w:p w:rsidR="003C72B8" w:rsidRDefault="003C72B8" w:rsidP="00FC67BE"/>
    <w:p w:rsidR="003C72B8" w:rsidRDefault="003C72B8" w:rsidP="00FC67BE"/>
    <w:p w:rsidR="003C72B8" w:rsidRDefault="003C72B8" w:rsidP="00FC67BE"/>
    <w:p w:rsidR="0004182A" w:rsidRDefault="0004182A">
      <w:r>
        <w:br w:type="page"/>
      </w:r>
    </w:p>
    <w:p w:rsidR="00FC67BE" w:rsidRDefault="0004182A" w:rsidP="00FC67BE">
      <w:r>
        <w:lastRenderedPageBreak/>
        <w:t>Table 3</w:t>
      </w:r>
      <w:r w:rsidR="00FC67BE">
        <w:t xml:space="preserve">: Number of people with learning disabilities </w:t>
      </w:r>
      <w:r w:rsidR="00D81E4D">
        <w:t>receiving home/domiciliary care</w:t>
      </w:r>
      <w:r w:rsidR="00FC67BE">
        <w:t xml:space="preserve">: 2010/11 to </w:t>
      </w:r>
      <w:r w:rsidR="00D81E4D">
        <w:t>2015/16</w:t>
      </w:r>
    </w:p>
    <w:tbl>
      <w:tblPr>
        <w:tblStyle w:val="TableGrid"/>
        <w:tblW w:w="0" w:type="auto"/>
        <w:tblLayout w:type="fixed"/>
        <w:tblLook w:val="04A0" w:firstRow="1" w:lastRow="0" w:firstColumn="1" w:lastColumn="0" w:noHBand="0" w:noVBand="1"/>
      </w:tblPr>
      <w:tblGrid>
        <w:gridCol w:w="1101"/>
        <w:gridCol w:w="1842"/>
        <w:gridCol w:w="851"/>
        <w:gridCol w:w="850"/>
        <w:gridCol w:w="851"/>
        <w:gridCol w:w="850"/>
        <w:gridCol w:w="851"/>
        <w:gridCol w:w="850"/>
      </w:tblGrid>
      <w:tr w:rsidR="00FC67BE" w:rsidTr="00664423">
        <w:tc>
          <w:tcPr>
            <w:tcW w:w="2943" w:type="dxa"/>
            <w:gridSpan w:val="2"/>
          </w:tcPr>
          <w:p w:rsidR="00FC67BE" w:rsidRPr="001E149E" w:rsidRDefault="00FC67BE" w:rsidP="00664423">
            <w:pPr>
              <w:jc w:val="center"/>
              <w:rPr>
                <w:sz w:val="20"/>
                <w:szCs w:val="20"/>
              </w:rPr>
            </w:pPr>
            <w:r w:rsidRPr="001E149E">
              <w:rPr>
                <w:sz w:val="20"/>
                <w:szCs w:val="20"/>
              </w:rPr>
              <w:t>Part of UK</w:t>
            </w:r>
          </w:p>
        </w:tc>
        <w:tc>
          <w:tcPr>
            <w:tcW w:w="851" w:type="dxa"/>
          </w:tcPr>
          <w:p w:rsidR="00FC67BE" w:rsidRPr="001E149E" w:rsidRDefault="00FC67BE" w:rsidP="00664423">
            <w:pPr>
              <w:jc w:val="center"/>
              <w:rPr>
                <w:sz w:val="20"/>
                <w:szCs w:val="20"/>
              </w:rPr>
            </w:pPr>
            <w:r w:rsidRPr="001E149E">
              <w:rPr>
                <w:sz w:val="20"/>
                <w:szCs w:val="20"/>
              </w:rPr>
              <w:t>2010/ 11</w:t>
            </w:r>
          </w:p>
        </w:tc>
        <w:tc>
          <w:tcPr>
            <w:tcW w:w="850" w:type="dxa"/>
          </w:tcPr>
          <w:p w:rsidR="00FC67BE" w:rsidRPr="001E149E" w:rsidRDefault="00FC67BE" w:rsidP="00664423">
            <w:pPr>
              <w:jc w:val="center"/>
              <w:rPr>
                <w:sz w:val="20"/>
                <w:szCs w:val="20"/>
              </w:rPr>
            </w:pPr>
            <w:r w:rsidRPr="001E149E">
              <w:rPr>
                <w:sz w:val="20"/>
                <w:szCs w:val="20"/>
              </w:rPr>
              <w:t>2011/ 12</w:t>
            </w:r>
          </w:p>
        </w:tc>
        <w:tc>
          <w:tcPr>
            <w:tcW w:w="851" w:type="dxa"/>
          </w:tcPr>
          <w:p w:rsidR="00FC67BE" w:rsidRPr="001E149E" w:rsidRDefault="00FC67BE" w:rsidP="00664423">
            <w:pPr>
              <w:jc w:val="center"/>
              <w:rPr>
                <w:sz w:val="20"/>
                <w:szCs w:val="20"/>
              </w:rPr>
            </w:pPr>
            <w:r w:rsidRPr="001E149E">
              <w:rPr>
                <w:sz w:val="20"/>
                <w:szCs w:val="20"/>
              </w:rPr>
              <w:t>2012/ 13</w:t>
            </w:r>
          </w:p>
        </w:tc>
        <w:tc>
          <w:tcPr>
            <w:tcW w:w="850" w:type="dxa"/>
          </w:tcPr>
          <w:p w:rsidR="00FC67BE" w:rsidRPr="001E149E" w:rsidRDefault="00FC67BE" w:rsidP="00664423">
            <w:pPr>
              <w:jc w:val="center"/>
              <w:rPr>
                <w:sz w:val="20"/>
                <w:szCs w:val="20"/>
              </w:rPr>
            </w:pPr>
            <w:r w:rsidRPr="001E149E">
              <w:rPr>
                <w:sz w:val="20"/>
                <w:szCs w:val="20"/>
              </w:rPr>
              <w:t>2013/ 14</w:t>
            </w:r>
          </w:p>
        </w:tc>
        <w:tc>
          <w:tcPr>
            <w:tcW w:w="851" w:type="dxa"/>
          </w:tcPr>
          <w:p w:rsidR="00FC67BE" w:rsidRPr="001E149E" w:rsidRDefault="00FC67BE" w:rsidP="00664423">
            <w:pPr>
              <w:jc w:val="center"/>
              <w:rPr>
                <w:sz w:val="20"/>
                <w:szCs w:val="20"/>
              </w:rPr>
            </w:pPr>
            <w:r w:rsidRPr="001E149E">
              <w:rPr>
                <w:sz w:val="20"/>
                <w:szCs w:val="20"/>
              </w:rPr>
              <w:t>2014/ 15</w:t>
            </w:r>
          </w:p>
        </w:tc>
        <w:tc>
          <w:tcPr>
            <w:tcW w:w="850" w:type="dxa"/>
          </w:tcPr>
          <w:p w:rsidR="00FC67BE" w:rsidRPr="001E149E" w:rsidRDefault="00FC67BE" w:rsidP="00664423">
            <w:pPr>
              <w:jc w:val="center"/>
              <w:rPr>
                <w:sz w:val="20"/>
                <w:szCs w:val="20"/>
              </w:rPr>
            </w:pPr>
            <w:r w:rsidRPr="001E149E">
              <w:rPr>
                <w:sz w:val="20"/>
                <w:szCs w:val="20"/>
              </w:rPr>
              <w:t>2015/ 16</w:t>
            </w:r>
          </w:p>
        </w:tc>
      </w:tr>
      <w:tr w:rsidR="00D81E4D" w:rsidTr="00097D95">
        <w:tc>
          <w:tcPr>
            <w:tcW w:w="1101" w:type="dxa"/>
          </w:tcPr>
          <w:p w:rsidR="00D81E4D" w:rsidRPr="001E149E" w:rsidRDefault="00D81E4D" w:rsidP="00664423">
            <w:pPr>
              <w:rPr>
                <w:sz w:val="20"/>
                <w:szCs w:val="20"/>
              </w:rPr>
            </w:pPr>
            <w:r w:rsidRPr="001E149E">
              <w:rPr>
                <w:sz w:val="20"/>
                <w:szCs w:val="20"/>
              </w:rPr>
              <w:t>England</w:t>
            </w:r>
          </w:p>
        </w:tc>
        <w:tc>
          <w:tcPr>
            <w:tcW w:w="1842" w:type="dxa"/>
          </w:tcPr>
          <w:p w:rsidR="00D81E4D" w:rsidRPr="001E149E" w:rsidRDefault="00D81E4D" w:rsidP="00664423">
            <w:pPr>
              <w:rPr>
                <w:sz w:val="20"/>
                <w:szCs w:val="20"/>
              </w:rPr>
            </w:pPr>
            <w:r>
              <w:rPr>
                <w:sz w:val="20"/>
                <w:szCs w:val="20"/>
              </w:rPr>
              <w:t>Home care (age 18+)</w:t>
            </w:r>
          </w:p>
        </w:tc>
        <w:tc>
          <w:tcPr>
            <w:tcW w:w="851" w:type="dxa"/>
            <w:vAlign w:val="center"/>
          </w:tcPr>
          <w:p w:rsidR="00D81E4D" w:rsidRPr="00097D95" w:rsidRDefault="00D81E4D" w:rsidP="00097D95">
            <w:pPr>
              <w:jc w:val="right"/>
              <w:rPr>
                <w:rFonts w:ascii="Calibri" w:hAnsi="Calibri"/>
                <w:color w:val="000000"/>
                <w:sz w:val="20"/>
                <w:szCs w:val="20"/>
              </w:rPr>
            </w:pPr>
            <w:r w:rsidRPr="00097D95">
              <w:rPr>
                <w:rFonts w:ascii="Calibri" w:hAnsi="Calibri"/>
                <w:color w:val="000000"/>
                <w:sz w:val="20"/>
                <w:szCs w:val="20"/>
              </w:rPr>
              <w:t>40</w:t>
            </w:r>
            <w:r w:rsidR="00097D95">
              <w:rPr>
                <w:rFonts w:ascii="Calibri" w:hAnsi="Calibri"/>
                <w:color w:val="000000"/>
                <w:sz w:val="20"/>
                <w:szCs w:val="20"/>
              </w:rPr>
              <w:t>,</w:t>
            </w:r>
            <w:r w:rsidRPr="00097D95">
              <w:rPr>
                <w:rFonts w:ascii="Calibri" w:hAnsi="Calibri"/>
                <w:color w:val="000000"/>
                <w:sz w:val="20"/>
                <w:szCs w:val="20"/>
              </w:rPr>
              <w:t>320</w:t>
            </w:r>
          </w:p>
        </w:tc>
        <w:tc>
          <w:tcPr>
            <w:tcW w:w="850" w:type="dxa"/>
            <w:vAlign w:val="center"/>
          </w:tcPr>
          <w:p w:rsidR="00D81E4D" w:rsidRPr="00097D95" w:rsidRDefault="00D81E4D" w:rsidP="00097D95">
            <w:pPr>
              <w:jc w:val="right"/>
              <w:rPr>
                <w:rFonts w:ascii="Calibri" w:hAnsi="Calibri"/>
                <w:color w:val="000000"/>
                <w:sz w:val="20"/>
                <w:szCs w:val="20"/>
              </w:rPr>
            </w:pPr>
            <w:r w:rsidRPr="00097D95">
              <w:rPr>
                <w:rFonts w:ascii="Calibri" w:hAnsi="Calibri"/>
                <w:color w:val="000000"/>
                <w:sz w:val="20"/>
                <w:szCs w:val="20"/>
              </w:rPr>
              <w:t>40</w:t>
            </w:r>
            <w:r w:rsidR="00097D95">
              <w:rPr>
                <w:rFonts w:ascii="Calibri" w:hAnsi="Calibri"/>
                <w:color w:val="000000"/>
                <w:sz w:val="20"/>
                <w:szCs w:val="20"/>
              </w:rPr>
              <w:t>,</w:t>
            </w:r>
            <w:r w:rsidRPr="00097D95">
              <w:rPr>
                <w:rFonts w:ascii="Calibri" w:hAnsi="Calibri"/>
                <w:color w:val="000000"/>
                <w:sz w:val="20"/>
                <w:szCs w:val="20"/>
              </w:rPr>
              <w:t>205</w:t>
            </w:r>
          </w:p>
        </w:tc>
        <w:tc>
          <w:tcPr>
            <w:tcW w:w="851" w:type="dxa"/>
            <w:vAlign w:val="center"/>
          </w:tcPr>
          <w:p w:rsidR="00D81E4D" w:rsidRPr="00097D95" w:rsidRDefault="00D81E4D" w:rsidP="00097D95">
            <w:pPr>
              <w:jc w:val="right"/>
              <w:rPr>
                <w:rFonts w:ascii="Calibri" w:hAnsi="Calibri"/>
                <w:color w:val="000000"/>
                <w:sz w:val="20"/>
                <w:szCs w:val="20"/>
              </w:rPr>
            </w:pPr>
            <w:r w:rsidRPr="00097D95">
              <w:rPr>
                <w:rFonts w:ascii="Calibri" w:hAnsi="Calibri"/>
                <w:color w:val="000000"/>
                <w:sz w:val="20"/>
                <w:szCs w:val="20"/>
              </w:rPr>
              <w:t>42</w:t>
            </w:r>
            <w:r w:rsidR="00097D95">
              <w:rPr>
                <w:rFonts w:ascii="Calibri" w:hAnsi="Calibri"/>
                <w:color w:val="000000"/>
                <w:sz w:val="20"/>
                <w:szCs w:val="20"/>
              </w:rPr>
              <w:t>,</w:t>
            </w:r>
            <w:r w:rsidRPr="00097D95">
              <w:rPr>
                <w:rFonts w:ascii="Calibri" w:hAnsi="Calibri"/>
                <w:color w:val="000000"/>
                <w:sz w:val="20"/>
                <w:szCs w:val="20"/>
              </w:rPr>
              <w:t>200</w:t>
            </w:r>
          </w:p>
        </w:tc>
        <w:tc>
          <w:tcPr>
            <w:tcW w:w="850" w:type="dxa"/>
            <w:vAlign w:val="center"/>
          </w:tcPr>
          <w:p w:rsidR="00D81E4D" w:rsidRPr="00097D95" w:rsidRDefault="00D81E4D" w:rsidP="00097D95">
            <w:pPr>
              <w:jc w:val="right"/>
              <w:rPr>
                <w:rFonts w:ascii="Calibri" w:hAnsi="Calibri"/>
                <w:color w:val="000000"/>
                <w:sz w:val="20"/>
                <w:szCs w:val="20"/>
              </w:rPr>
            </w:pPr>
            <w:r w:rsidRPr="00097D95">
              <w:rPr>
                <w:rFonts w:ascii="Calibri" w:hAnsi="Calibri"/>
                <w:color w:val="000000"/>
                <w:sz w:val="20"/>
                <w:szCs w:val="20"/>
              </w:rPr>
              <w:t>43</w:t>
            </w:r>
            <w:r w:rsidR="00097D95">
              <w:rPr>
                <w:rFonts w:ascii="Calibri" w:hAnsi="Calibri"/>
                <w:color w:val="000000"/>
                <w:sz w:val="20"/>
                <w:szCs w:val="20"/>
              </w:rPr>
              <w:t>,</w:t>
            </w:r>
            <w:r w:rsidRPr="00097D95">
              <w:rPr>
                <w:rFonts w:ascii="Calibri" w:hAnsi="Calibri"/>
                <w:color w:val="000000"/>
                <w:sz w:val="20"/>
                <w:szCs w:val="20"/>
              </w:rPr>
              <w:t>025</w:t>
            </w:r>
          </w:p>
        </w:tc>
        <w:tc>
          <w:tcPr>
            <w:tcW w:w="851" w:type="dxa"/>
            <w:vAlign w:val="center"/>
          </w:tcPr>
          <w:p w:rsidR="00D81E4D" w:rsidRPr="00097D95" w:rsidRDefault="00D81E4D" w:rsidP="00097D95">
            <w:pPr>
              <w:jc w:val="right"/>
              <w:rPr>
                <w:color w:val="000000"/>
                <w:sz w:val="20"/>
                <w:szCs w:val="20"/>
              </w:rPr>
            </w:pPr>
            <w:r w:rsidRPr="00097D95">
              <w:rPr>
                <w:color w:val="000000"/>
                <w:sz w:val="20"/>
                <w:szCs w:val="20"/>
              </w:rPr>
              <w:t>n/a</w:t>
            </w:r>
          </w:p>
        </w:tc>
        <w:tc>
          <w:tcPr>
            <w:tcW w:w="850" w:type="dxa"/>
            <w:vAlign w:val="center"/>
          </w:tcPr>
          <w:p w:rsidR="00D81E4D" w:rsidRPr="00097D95" w:rsidRDefault="00D81E4D" w:rsidP="00097D95">
            <w:pPr>
              <w:jc w:val="right"/>
              <w:rPr>
                <w:color w:val="000000"/>
                <w:sz w:val="20"/>
                <w:szCs w:val="20"/>
              </w:rPr>
            </w:pPr>
            <w:r w:rsidRPr="00097D95">
              <w:rPr>
                <w:color w:val="000000"/>
                <w:sz w:val="20"/>
                <w:szCs w:val="20"/>
              </w:rPr>
              <w:t>n/a</w:t>
            </w:r>
          </w:p>
        </w:tc>
      </w:tr>
      <w:tr w:rsidR="00D81E4D" w:rsidTr="001E149E">
        <w:tc>
          <w:tcPr>
            <w:tcW w:w="1101" w:type="dxa"/>
          </w:tcPr>
          <w:p w:rsidR="00D81E4D" w:rsidRPr="001E149E" w:rsidRDefault="00411756" w:rsidP="00664423">
            <w:pPr>
              <w:rPr>
                <w:sz w:val="20"/>
                <w:szCs w:val="20"/>
              </w:rPr>
            </w:pPr>
            <w:r>
              <w:rPr>
                <w:sz w:val="20"/>
                <w:szCs w:val="20"/>
              </w:rPr>
              <w:t>Scotland</w:t>
            </w:r>
          </w:p>
        </w:tc>
        <w:tc>
          <w:tcPr>
            <w:tcW w:w="1842" w:type="dxa"/>
          </w:tcPr>
          <w:p w:rsidR="00D81E4D" w:rsidRPr="001E149E" w:rsidRDefault="00411756" w:rsidP="00664423">
            <w:pPr>
              <w:rPr>
                <w:sz w:val="20"/>
                <w:szCs w:val="20"/>
              </w:rPr>
            </w:pPr>
            <w:r>
              <w:rPr>
                <w:sz w:val="20"/>
                <w:szCs w:val="20"/>
              </w:rPr>
              <w:t xml:space="preserve">Home care </w:t>
            </w:r>
            <w:r w:rsidR="003E53FD">
              <w:rPr>
                <w:sz w:val="20"/>
                <w:szCs w:val="20"/>
              </w:rPr>
              <w:t>(age 18</w:t>
            </w:r>
            <w:r w:rsidR="00D81E4D" w:rsidRPr="001E149E">
              <w:rPr>
                <w:sz w:val="20"/>
                <w:szCs w:val="20"/>
              </w:rPr>
              <w:t>+)</w:t>
            </w:r>
          </w:p>
        </w:tc>
        <w:tc>
          <w:tcPr>
            <w:tcW w:w="851" w:type="dxa"/>
            <w:vAlign w:val="center"/>
          </w:tcPr>
          <w:p w:rsidR="00D81E4D" w:rsidRPr="001E149E" w:rsidRDefault="00411756" w:rsidP="001E149E">
            <w:pPr>
              <w:jc w:val="right"/>
              <w:rPr>
                <w:sz w:val="20"/>
                <w:szCs w:val="20"/>
              </w:rPr>
            </w:pPr>
            <w:r>
              <w:rPr>
                <w:sz w:val="20"/>
                <w:szCs w:val="20"/>
              </w:rPr>
              <w:t>4,270</w:t>
            </w:r>
          </w:p>
        </w:tc>
        <w:tc>
          <w:tcPr>
            <w:tcW w:w="850" w:type="dxa"/>
            <w:vAlign w:val="center"/>
          </w:tcPr>
          <w:p w:rsidR="00D81E4D" w:rsidRPr="001E149E" w:rsidRDefault="00411756" w:rsidP="001E149E">
            <w:pPr>
              <w:jc w:val="right"/>
              <w:rPr>
                <w:color w:val="000000"/>
                <w:sz w:val="20"/>
                <w:szCs w:val="20"/>
              </w:rPr>
            </w:pPr>
            <w:r>
              <w:rPr>
                <w:color w:val="000000"/>
                <w:sz w:val="20"/>
                <w:szCs w:val="20"/>
              </w:rPr>
              <w:t>4,590</w:t>
            </w:r>
          </w:p>
        </w:tc>
        <w:tc>
          <w:tcPr>
            <w:tcW w:w="851" w:type="dxa"/>
            <w:vAlign w:val="center"/>
          </w:tcPr>
          <w:p w:rsidR="00D81E4D" w:rsidRPr="001E149E" w:rsidRDefault="00411756" w:rsidP="001E149E">
            <w:pPr>
              <w:jc w:val="right"/>
              <w:rPr>
                <w:color w:val="000000"/>
                <w:sz w:val="20"/>
                <w:szCs w:val="20"/>
              </w:rPr>
            </w:pPr>
            <w:r>
              <w:rPr>
                <w:color w:val="000000"/>
                <w:sz w:val="20"/>
                <w:szCs w:val="20"/>
              </w:rPr>
              <w:t>4,330</w:t>
            </w:r>
          </w:p>
        </w:tc>
        <w:tc>
          <w:tcPr>
            <w:tcW w:w="850" w:type="dxa"/>
            <w:vAlign w:val="center"/>
          </w:tcPr>
          <w:p w:rsidR="00D81E4D" w:rsidRPr="001E149E" w:rsidRDefault="00411756" w:rsidP="001E149E">
            <w:pPr>
              <w:jc w:val="right"/>
              <w:rPr>
                <w:color w:val="000000"/>
                <w:sz w:val="20"/>
                <w:szCs w:val="20"/>
              </w:rPr>
            </w:pPr>
            <w:r>
              <w:rPr>
                <w:color w:val="000000"/>
                <w:sz w:val="20"/>
                <w:szCs w:val="20"/>
              </w:rPr>
              <w:t>4,950</w:t>
            </w:r>
          </w:p>
        </w:tc>
        <w:tc>
          <w:tcPr>
            <w:tcW w:w="851" w:type="dxa"/>
            <w:vAlign w:val="center"/>
          </w:tcPr>
          <w:p w:rsidR="00D81E4D" w:rsidRPr="001E149E" w:rsidRDefault="00411756" w:rsidP="001E149E">
            <w:pPr>
              <w:jc w:val="right"/>
              <w:rPr>
                <w:color w:val="000000"/>
                <w:sz w:val="20"/>
                <w:szCs w:val="20"/>
              </w:rPr>
            </w:pPr>
            <w:r>
              <w:rPr>
                <w:color w:val="000000"/>
                <w:sz w:val="20"/>
                <w:szCs w:val="20"/>
              </w:rPr>
              <w:t>4,860</w:t>
            </w:r>
          </w:p>
        </w:tc>
        <w:tc>
          <w:tcPr>
            <w:tcW w:w="850" w:type="dxa"/>
            <w:vAlign w:val="center"/>
          </w:tcPr>
          <w:p w:rsidR="00D81E4D" w:rsidRPr="001E149E" w:rsidRDefault="00411756" w:rsidP="001E149E">
            <w:pPr>
              <w:jc w:val="right"/>
              <w:rPr>
                <w:sz w:val="20"/>
                <w:szCs w:val="20"/>
              </w:rPr>
            </w:pPr>
            <w:r>
              <w:rPr>
                <w:sz w:val="20"/>
                <w:szCs w:val="20"/>
              </w:rPr>
              <w:t>4,480</w:t>
            </w:r>
          </w:p>
        </w:tc>
      </w:tr>
      <w:tr w:rsidR="00D81E4D" w:rsidTr="001E149E">
        <w:tc>
          <w:tcPr>
            <w:tcW w:w="1101" w:type="dxa"/>
          </w:tcPr>
          <w:p w:rsidR="00D81E4D" w:rsidRPr="001E149E" w:rsidRDefault="00D81E4D" w:rsidP="00664423">
            <w:pPr>
              <w:rPr>
                <w:sz w:val="20"/>
                <w:szCs w:val="20"/>
              </w:rPr>
            </w:pPr>
            <w:r w:rsidRPr="001E149E">
              <w:rPr>
                <w:sz w:val="20"/>
                <w:szCs w:val="20"/>
              </w:rPr>
              <w:t>Wales</w:t>
            </w:r>
          </w:p>
        </w:tc>
        <w:tc>
          <w:tcPr>
            <w:tcW w:w="1842" w:type="dxa"/>
          </w:tcPr>
          <w:p w:rsidR="00D81E4D" w:rsidRPr="001E149E" w:rsidRDefault="00B30DA4" w:rsidP="00664423">
            <w:pPr>
              <w:rPr>
                <w:sz w:val="20"/>
                <w:szCs w:val="20"/>
              </w:rPr>
            </w:pPr>
            <w:r>
              <w:rPr>
                <w:sz w:val="20"/>
                <w:szCs w:val="20"/>
              </w:rPr>
              <w:t>Home care (age 18</w:t>
            </w:r>
            <w:r w:rsidR="00D81E4D">
              <w:rPr>
                <w:sz w:val="20"/>
                <w:szCs w:val="20"/>
              </w:rPr>
              <w:t>+)</w:t>
            </w:r>
          </w:p>
        </w:tc>
        <w:tc>
          <w:tcPr>
            <w:tcW w:w="851" w:type="dxa"/>
            <w:vAlign w:val="center"/>
          </w:tcPr>
          <w:p w:rsidR="00D81E4D" w:rsidRPr="001E149E" w:rsidRDefault="00D81E4D" w:rsidP="001E149E">
            <w:pPr>
              <w:jc w:val="right"/>
              <w:rPr>
                <w:color w:val="000000"/>
                <w:sz w:val="20"/>
                <w:szCs w:val="20"/>
              </w:rPr>
            </w:pPr>
            <w:r>
              <w:rPr>
                <w:color w:val="000000"/>
                <w:sz w:val="20"/>
                <w:szCs w:val="20"/>
              </w:rPr>
              <w:t>2,589</w:t>
            </w:r>
          </w:p>
        </w:tc>
        <w:tc>
          <w:tcPr>
            <w:tcW w:w="850" w:type="dxa"/>
            <w:vAlign w:val="center"/>
          </w:tcPr>
          <w:p w:rsidR="00D81E4D" w:rsidRPr="001E149E" w:rsidRDefault="00D81E4D" w:rsidP="001E149E">
            <w:pPr>
              <w:jc w:val="right"/>
              <w:rPr>
                <w:color w:val="000000"/>
                <w:sz w:val="20"/>
                <w:szCs w:val="20"/>
              </w:rPr>
            </w:pPr>
            <w:r>
              <w:rPr>
                <w:color w:val="000000"/>
                <w:sz w:val="20"/>
                <w:szCs w:val="20"/>
              </w:rPr>
              <w:t>2,471</w:t>
            </w:r>
          </w:p>
        </w:tc>
        <w:tc>
          <w:tcPr>
            <w:tcW w:w="851" w:type="dxa"/>
            <w:vAlign w:val="center"/>
          </w:tcPr>
          <w:p w:rsidR="00D81E4D" w:rsidRPr="001E149E" w:rsidRDefault="00D81E4D" w:rsidP="001E149E">
            <w:pPr>
              <w:jc w:val="right"/>
              <w:rPr>
                <w:color w:val="000000"/>
                <w:sz w:val="20"/>
                <w:szCs w:val="20"/>
              </w:rPr>
            </w:pPr>
            <w:r>
              <w:rPr>
                <w:color w:val="000000"/>
                <w:sz w:val="20"/>
                <w:szCs w:val="20"/>
              </w:rPr>
              <w:t>2,548</w:t>
            </w:r>
          </w:p>
        </w:tc>
        <w:tc>
          <w:tcPr>
            <w:tcW w:w="850" w:type="dxa"/>
            <w:vAlign w:val="center"/>
          </w:tcPr>
          <w:p w:rsidR="00D81E4D" w:rsidRPr="001E149E" w:rsidRDefault="00D81E4D" w:rsidP="001E149E">
            <w:pPr>
              <w:jc w:val="right"/>
              <w:rPr>
                <w:color w:val="000000"/>
                <w:sz w:val="20"/>
                <w:szCs w:val="20"/>
              </w:rPr>
            </w:pPr>
            <w:r>
              <w:rPr>
                <w:color w:val="000000"/>
                <w:sz w:val="20"/>
                <w:szCs w:val="20"/>
              </w:rPr>
              <w:t>2,493</w:t>
            </w:r>
          </w:p>
        </w:tc>
        <w:tc>
          <w:tcPr>
            <w:tcW w:w="851" w:type="dxa"/>
            <w:vAlign w:val="center"/>
          </w:tcPr>
          <w:p w:rsidR="00D81E4D" w:rsidRPr="001E149E" w:rsidRDefault="00D81E4D" w:rsidP="001E149E">
            <w:pPr>
              <w:jc w:val="right"/>
              <w:rPr>
                <w:color w:val="000000"/>
                <w:sz w:val="20"/>
                <w:szCs w:val="20"/>
              </w:rPr>
            </w:pPr>
            <w:r>
              <w:rPr>
                <w:color w:val="000000"/>
                <w:sz w:val="20"/>
                <w:szCs w:val="20"/>
              </w:rPr>
              <w:t>2,446</w:t>
            </w:r>
          </w:p>
        </w:tc>
        <w:tc>
          <w:tcPr>
            <w:tcW w:w="850" w:type="dxa"/>
            <w:vAlign w:val="center"/>
          </w:tcPr>
          <w:p w:rsidR="00D81E4D" w:rsidRPr="001E149E" w:rsidRDefault="00D81E4D" w:rsidP="001E149E">
            <w:pPr>
              <w:jc w:val="right"/>
              <w:rPr>
                <w:color w:val="000000"/>
                <w:sz w:val="20"/>
                <w:szCs w:val="20"/>
              </w:rPr>
            </w:pPr>
            <w:r>
              <w:rPr>
                <w:color w:val="000000"/>
                <w:sz w:val="20"/>
                <w:szCs w:val="20"/>
              </w:rPr>
              <w:t>n/a</w:t>
            </w:r>
          </w:p>
        </w:tc>
      </w:tr>
      <w:tr w:rsidR="00D81E4D" w:rsidTr="001E149E">
        <w:tc>
          <w:tcPr>
            <w:tcW w:w="1101" w:type="dxa"/>
          </w:tcPr>
          <w:p w:rsidR="00D81E4D" w:rsidRPr="001E149E" w:rsidRDefault="00477BC9" w:rsidP="00664423">
            <w:pPr>
              <w:rPr>
                <w:sz w:val="20"/>
                <w:szCs w:val="20"/>
              </w:rPr>
            </w:pPr>
            <w:r>
              <w:rPr>
                <w:sz w:val="20"/>
                <w:szCs w:val="20"/>
              </w:rPr>
              <w:t>Northern Ireland</w:t>
            </w:r>
          </w:p>
        </w:tc>
        <w:tc>
          <w:tcPr>
            <w:tcW w:w="1842" w:type="dxa"/>
          </w:tcPr>
          <w:p w:rsidR="00D81E4D" w:rsidRPr="001E149E" w:rsidRDefault="00477BC9" w:rsidP="00664423">
            <w:pPr>
              <w:rPr>
                <w:sz w:val="20"/>
                <w:szCs w:val="20"/>
              </w:rPr>
            </w:pPr>
            <w:r>
              <w:rPr>
                <w:sz w:val="20"/>
                <w:szCs w:val="20"/>
              </w:rPr>
              <w:t>Domiciliary care (age 16+)</w:t>
            </w:r>
          </w:p>
        </w:tc>
        <w:tc>
          <w:tcPr>
            <w:tcW w:w="851" w:type="dxa"/>
            <w:vAlign w:val="center"/>
          </w:tcPr>
          <w:p w:rsidR="00D81E4D" w:rsidRPr="001E149E" w:rsidRDefault="00411756" w:rsidP="001E149E">
            <w:pPr>
              <w:jc w:val="right"/>
              <w:rPr>
                <w:color w:val="000000"/>
                <w:sz w:val="20"/>
                <w:szCs w:val="20"/>
              </w:rPr>
            </w:pPr>
            <w:r>
              <w:rPr>
                <w:color w:val="000000"/>
                <w:sz w:val="20"/>
                <w:szCs w:val="20"/>
              </w:rPr>
              <w:t>n/a</w:t>
            </w:r>
          </w:p>
        </w:tc>
        <w:tc>
          <w:tcPr>
            <w:tcW w:w="850" w:type="dxa"/>
            <w:vAlign w:val="center"/>
          </w:tcPr>
          <w:p w:rsidR="00D81E4D" w:rsidRPr="001E149E" w:rsidRDefault="00411756" w:rsidP="001E149E">
            <w:pPr>
              <w:jc w:val="right"/>
              <w:rPr>
                <w:color w:val="000000"/>
                <w:sz w:val="20"/>
                <w:szCs w:val="20"/>
              </w:rPr>
            </w:pPr>
            <w:r>
              <w:rPr>
                <w:color w:val="000000"/>
                <w:sz w:val="20"/>
                <w:szCs w:val="20"/>
              </w:rPr>
              <w:t>n/a</w:t>
            </w:r>
          </w:p>
        </w:tc>
        <w:tc>
          <w:tcPr>
            <w:tcW w:w="851" w:type="dxa"/>
            <w:vAlign w:val="center"/>
          </w:tcPr>
          <w:p w:rsidR="00D81E4D" w:rsidRPr="001E149E" w:rsidRDefault="00411756" w:rsidP="001E149E">
            <w:pPr>
              <w:jc w:val="right"/>
              <w:rPr>
                <w:color w:val="000000"/>
                <w:sz w:val="20"/>
                <w:szCs w:val="20"/>
              </w:rPr>
            </w:pPr>
            <w:r>
              <w:rPr>
                <w:color w:val="000000"/>
                <w:sz w:val="20"/>
                <w:szCs w:val="20"/>
              </w:rPr>
              <w:t>n/a</w:t>
            </w:r>
          </w:p>
        </w:tc>
        <w:tc>
          <w:tcPr>
            <w:tcW w:w="850" w:type="dxa"/>
            <w:vAlign w:val="center"/>
          </w:tcPr>
          <w:p w:rsidR="00D81E4D" w:rsidRPr="001E149E" w:rsidRDefault="00477BC9" w:rsidP="001E149E">
            <w:pPr>
              <w:jc w:val="right"/>
              <w:rPr>
                <w:color w:val="000000"/>
                <w:sz w:val="20"/>
                <w:szCs w:val="20"/>
              </w:rPr>
            </w:pPr>
            <w:r>
              <w:rPr>
                <w:color w:val="000000"/>
                <w:sz w:val="20"/>
                <w:szCs w:val="20"/>
              </w:rPr>
              <w:t>1,232</w:t>
            </w:r>
          </w:p>
        </w:tc>
        <w:tc>
          <w:tcPr>
            <w:tcW w:w="851" w:type="dxa"/>
            <w:vAlign w:val="center"/>
          </w:tcPr>
          <w:p w:rsidR="00D81E4D" w:rsidRPr="001E149E" w:rsidRDefault="00477BC9" w:rsidP="001E149E">
            <w:pPr>
              <w:jc w:val="right"/>
              <w:rPr>
                <w:color w:val="000000"/>
                <w:sz w:val="20"/>
                <w:szCs w:val="20"/>
              </w:rPr>
            </w:pPr>
            <w:r>
              <w:rPr>
                <w:color w:val="000000"/>
                <w:sz w:val="20"/>
                <w:szCs w:val="20"/>
              </w:rPr>
              <w:t>1,236</w:t>
            </w:r>
          </w:p>
        </w:tc>
        <w:tc>
          <w:tcPr>
            <w:tcW w:w="850" w:type="dxa"/>
            <w:vAlign w:val="center"/>
          </w:tcPr>
          <w:p w:rsidR="00D81E4D" w:rsidRPr="001E149E" w:rsidRDefault="00477BC9" w:rsidP="001E149E">
            <w:pPr>
              <w:jc w:val="right"/>
              <w:rPr>
                <w:color w:val="000000"/>
                <w:sz w:val="20"/>
                <w:szCs w:val="20"/>
              </w:rPr>
            </w:pPr>
            <w:r>
              <w:rPr>
                <w:color w:val="000000"/>
                <w:sz w:val="20"/>
                <w:szCs w:val="20"/>
              </w:rPr>
              <w:t>1,258</w:t>
            </w:r>
          </w:p>
        </w:tc>
      </w:tr>
    </w:tbl>
    <w:p w:rsidR="00FC67BE" w:rsidRDefault="00FC67BE" w:rsidP="00FC67BE"/>
    <w:p w:rsidR="00FC67BE" w:rsidRDefault="00FC67BE" w:rsidP="00FC67BE"/>
    <w:p w:rsidR="00DB0E69" w:rsidRDefault="00DB0E69" w:rsidP="004B2ED9"/>
    <w:p w:rsidR="004B2ED9" w:rsidRDefault="004B2ED9">
      <w:r>
        <w:br w:type="page"/>
      </w:r>
    </w:p>
    <w:p w:rsidR="004B2ED9" w:rsidRDefault="00D84E82">
      <w:r>
        <w:lastRenderedPageBreak/>
        <w:t>Acknowledgements</w:t>
      </w:r>
    </w:p>
    <w:p w:rsidR="00D84E82" w:rsidRDefault="00D84E82">
      <w:r>
        <w:t>The writing of this paper has been supported by Public Health England, as part of the work of the Public Health England Learning Disabilities Observatory. Views expressed in this paper are those of the author, and not necessarily those of Public Health England.</w:t>
      </w:r>
    </w:p>
    <w:sectPr w:rsidR="00D84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DF1"/>
    <w:rsid w:val="00031915"/>
    <w:rsid w:val="0004182A"/>
    <w:rsid w:val="000476A8"/>
    <w:rsid w:val="00064438"/>
    <w:rsid w:val="00072BE3"/>
    <w:rsid w:val="00072FD1"/>
    <w:rsid w:val="00085846"/>
    <w:rsid w:val="000873A7"/>
    <w:rsid w:val="00097235"/>
    <w:rsid w:val="00097D95"/>
    <w:rsid w:val="000F46EB"/>
    <w:rsid w:val="0013747E"/>
    <w:rsid w:val="00160596"/>
    <w:rsid w:val="00171587"/>
    <w:rsid w:val="00180F97"/>
    <w:rsid w:val="001857DB"/>
    <w:rsid w:val="001A7CD2"/>
    <w:rsid w:val="001D6D4C"/>
    <w:rsid w:val="001E149E"/>
    <w:rsid w:val="002002C6"/>
    <w:rsid w:val="00202390"/>
    <w:rsid w:val="00206BC1"/>
    <w:rsid w:val="002261BB"/>
    <w:rsid w:val="002463BA"/>
    <w:rsid w:val="0027066B"/>
    <w:rsid w:val="00270DFB"/>
    <w:rsid w:val="00282D09"/>
    <w:rsid w:val="002A05F6"/>
    <w:rsid w:val="002C4F7A"/>
    <w:rsid w:val="002C5FB7"/>
    <w:rsid w:val="002F3411"/>
    <w:rsid w:val="00307C7D"/>
    <w:rsid w:val="0034500C"/>
    <w:rsid w:val="003749C5"/>
    <w:rsid w:val="0037709B"/>
    <w:rsid w:val="00390100"/>
    <w:rsid w:val="003C72B8"/>
    <w:rsid w:val="003D2287"/>
    <w:rsid w:val="003D46B8"/>
    <w:rsid w:val="003E53FD"/>
    <w:rsid w:val="0040090F"/>
    <w:rsid w:val="00406984"/>
    <w:rsid w:val="00411756"/>
    <w:rsid w:val="00412A04"/>
    <w:rsid w:val="00422BDA"/>
    <w:rsid w:val="00477BC9"/>
    <w:rsid w:val="00497C3A"/>
    <w:rsid w:val="004B2ED9"/>
    <w:rsid w:val="004E126F"/>
    <w:rsid w:val="004F264F"/>
    <w:rsid w:val="004F5E89"/>
    <w:rsid w:val="00501D38"/>
    <w:rsid w:val="00506786"/>
    <w:rsid w:val="00516380"/>
    <w:rsid w:val="005200A3"/>
    <w:rsid w:val="00580CBA"/>
    <w:rsid w:val="00581C20"/>
    <w:rsid w:val="00590E93"/>
    <w:rsid w:val="005A5649"/>
    <w:rsid w:val="005E048E"/>
    <w:rsid w:val="00604C9A"/>
    <w:rsid w:val="00606C33"/>
    <w:rsid w:val="00613EC7"/>
    <w:rsid w:val="00617A48"/>
    <w:rsid w:val="0062711C"/>
    <w:rsid w:val="006271B3"/>
    <w:rsid w:val="00657AE7"/>
    <w:rsid w:val="00664423"/>
    <w:rsid w:val="006846E0"/>
    <w:rsid w:val="006A3F02"/>
    <w:rsid w:val="006B360D"/>
    <w:rsid w:val="006C2154"/>
    <w:rsid w:val="006C5EF0"/>
    <w:rsid w:val="006D7AC4"/>
    <w:rsid w:val="006E2097"/>
    <w:rsid w:val="006F208A"/>
    <w:rsid w:val="006F6ECF"/>
    <w:rsid w:val="00705C54"/>
    <w:rsid w:val="0070736E"/>
    <w:rsid w:val="00707C00"/>
    <w:rsid w:val="00712ABF"/>
    <w:rsid w:val="00715B6A"/>
    <w:rsid w:val="00722C3D"/>
    <w:rsid w:val="00743004"/>
    <w:rsid w:val="007505B2"/>
    <w:rsid w:val="007576A1"/>
    <w:rsid w:val="007936AB"/>
    <w:rsid w:val="007A7F99"/>
    <w:rsid w:val="007D4C39"/>
    <w:rsid w:val="007E736B"/>
    <w:rsid w:val="007F4F69"/>
    <w:rsid w:val="00813F3F"/>
    <w:rsid w:val="0082419C"/>
    <w:rsid w:val="00842ED9"/>
    <w:rsid w:val="008432C6"/>
    <w:rsid w:val="00846BE5"/>
    <w:rsid w:val="00866DA2"/>
    <w:rsid w:val="0088098D"/>
    <w:rsid w:val="00887D7F"/>
    <w:rsid w:val="008C5932"/>
    <w:rsid w:val="008F1506"/>
    <w:rsid w:val="008F2C30"/>
    <w:rsid w:val="009327B9"/>
    <w:rsid w:val="00983F52"/>
    <w:rsid w:val="00985076"/>
    <w:rsid w:val="009949B0"/>
    <w:rsid w:val="009B66D2"/>
    <w:rsid w:val="009B729D"/>
    <w:rsid w:val="009B7E15"/>
    <w:rsid w:val="009C7E49"/>
    <w:rsid w:val="009E2082"/>
    <w:rsid w:val="00A01A07"/>
    <w:rsid w:val="00A676E7"/>
    <w:rsid w:val="00A828BE"/>
    <w:rsid w:val="00AB1856"/>
    <w:rsid w:val="00AB32E1"/>
    <w:rsid w:val="00AB7569"/>
    <w:rsid w:val="00AC0BAA"/>
    <w:rsid w:val="00AD14CB"/>
    <w:rsid w:val="00B13983"/>
    <w:rsid w:val="00B30DA4"/>
    <w:rsid w:val="00B35870"/>
    <w:rsid w:val="00B50E99"/>
    <w:rsid w:val="00B54E63"/>
    <w:rsid w:val="00B659BB"/>
    <w:rsid w:val="00B743C6"/>
    <w:rsid w:val="00B81CC2"/>
    <w:rsid w:val="00B83798"/>
    <w:rsid w:val="00BA0FF8"/>
    <w:rsid w:val="00BA7EDA"/>
    <w:rsid w:val="00BC078D"/>
    <w:rsid w:val="00BE4614"/>
    <w:rsid w:val="00BF4F4F"/>
    <w:rsid w:val="00BF74F6"/>
    <w:rsid w:val="00C30998"/>
    <w:rsid w:val="00C43007"/>
    <w:rsid w:val="00C877C9"/>
    <w:rsid w:val="00C90B4F"/>
    <w:rsid w:val="00D57B9F"/>
    <w:rsid w:val="00D616AB"/>
    <w:rsid w:val="00D7112D"/>
    <w:rsid w:val="00D81E4D"/>
    <w:rsid w:val="00D822E8"/>
    <w:rsid w:val="00D83FB7"/>
    <w:rsid w:val="00D84E82"/>
    <w:rsid w:val="00DB0E69"/>
    <w:rsid w:val="00DC5DE9"/>
    <w:rsid w:val="00DD3825"/>
    <w:rsid w:val="00DE1337"/>
    <w:rsid w:val="00E154EA"/>
    <w:rsid w:val="00E33332"/>
    <w:rsid w:val="00E633FC"/>
    <w:rsid w:val="00E73A58"/>
    <w:rsid w:val="00E7526A"/>
    <w:rsid w:val="00E8266A"/>
    <w:rsid w:val="00E83D19"/>
    <w:rsid w:val="00E83DF1"/>
    <w:rsid w:val="00E85863"/>
    <w:rsid w:val="00E97676"/>
    <w:rsid w:val="00EA2E7A"/>
    <w:rsid w:val="00EA4085"/>
    <w:rsid w:val="00EC0563"/>
    <w:rsid w:val="00ED26E9"/>
    <w:rsid w:val="00F005C7"/>
    <w:rsid w:val="00F00FC5"/>
    <w:rsid w:val="00F15FA4"/>
    <w:rsid w:val="00F31539"/>
    <w:rsid w:val="00F334FE"/>
    <w:rsid w:val="00F35135"/>
    <w:rsid w:val="00F35BC4"/>
    <w:rsid w:val="00F44B7E"/>
    <w:rsid w:val="00F736D4"/>
    <w:rsid w:val="00F74F88"/>
    <w:rsid w:val="00F7638A"/>
    <w:rsid w:val="00F77D41"/>
    <w:rsid w:val="00FB01D8"/>
    <w:rsid w:val="00FB1765"/>
    <w:rsid w:val="00FB52D9"/>
    <w:rsid w:val="00FC5426"/>
    <w:rsid w:val="00FC67BE"/>
    <w:rsid w:val="00FC7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DF1"/>
    <w:rPr>
      <w:color w:val="0000FF" w:themeColor="hyperlink"/>
      <w:u w:val="single"/>
    </w:rPr>
  </w:style>
  <w:style w:type="table" w:styleId="TableGrid">
    <w:name w:val="Table Grid"/>
    <w:basedOn w:val="TableNormal"/>
    <w:uiPriority w:val="59"/>
    <w:rsid w:val="00160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7D41"/>
    <w:rPr>
      <w:color w:val="800080" w:themeColor="followedHyperlink"/>
      <w:u w:val="single"/>
    </w:rPr>
  </w:style>
  <w:style w:type="paragraph" w:styleId="BalloonText">
    <w:name w:val="Balloon Text"/>
    <w:basedOn w:val="Normal"/>
    <w:link w:val="BalloonTextChar"/>
    <w:uiPriority w:val="99"/>
    <w:semiHidden/>
    <w:unhideWhenUsed/>
    <w:rsid w:val="00BA0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F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DF1"/>
    <w:rPr>
      <w:color w:val="0000FF" w:themeColor="hyperlink"/>
      <w:u w:val="single"/>
    </w:rPr>
  </w:style>
  <w:style w:type="table" w:styleId="TableGrid">
    <w:name w:val="Table Grid"/>
    <w:basedOn w:val="TableNormal"/>
    <w:uiPriority w:val="59"/>
    <w:rsid w:val="00160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7D41"/>
    <w:rPr>
      <w:color w:val="800080" w:themeColor="followedHyperlink"/>
      <w:u w:val="single"/>
    </w:rPr>
  </w:style>
  <w:style w:type="paragraph" w:styleId="BalloonText">
    <w:name w:val="Balloon Text"/>
    <w:basedOn w:val="Normal"/>
    <w:link w:val="BalloonTextChar"/>
    <w:uiPriority w:val="99"/>
    <w:semiHidden/>
    <w:unhideWhenUsed/>
    <w:rsid w:val="00BA0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840498">
      <w:bodyDiv w:val="1"/>
      <w:marLeft w:val="0"/>
      <w:marRight w:val="0"/>
      <w:marTop w:val="0"/>
      <w:marBottom w:val="0"/>
      <w:divBdr>
        <w:top w:val="none" w:sz="0" w:space="0" w:color="auto"/>
        <w:left w:val="none" w:sz="0" w:space="0" w:color="auto"/>
        <w:bottom w:val="none" w:sz="0" w:space="0" w:color="auto"/>
        <w:right w:val="none" w:sz="0" w:space="0" w:color="auto"/>
      </w:divBdr>
    </w:div>
    <w:div w:id="1580677337">
      <w:bodyDiv w:val="1"/>
      <w:marLeft w:val="0"/>
      <w:marRight w:val="0"/>
      <w:marTop w:val="0"/>
      <w:marBottom w:val="0"/>
      <w:divBdr>
        <w:top w:val="none" w:sz="0" w:space="0" w:color="auto"/>
        <w:left w:val="none" w:sz="0" w:space="0" w:color="auto"/>
        <w:bottom w:val="none" w:sz="0" w:space="0" w:color="auto"/>
        <w:right w:val="none" w:sz="0" w:space="0" w:color="auto"/>
      </w:divBdr>
    </w:div>
    <w:div w:id="1678969734">
      <w:bodyDiv w:val="1"/>
      <w:marLeft w:val="0"/>
      <w:marRight w:val="0"/>
      <w:marTop w:val="0"/>
      <w:marBottom w:val="0"/>
      <w:divBdr>
        <w:top w:val="none" w:sz="0" w:space="0" w:color="auto"/>
        <w:left w:val="none" w:sz="0" w:space="0" w:color="auto"/>
        <w:bottom w:val="none" w:sz="0" w:space="0" w:color="auto"/>
        <w:right w:val="none" w:sz="0" w:space="0" w:color="auto"/>
      </w:divBdr>
    </w:div>
    <w:div w:id="1823497142">
      <w:bodyDiv w:val="1"/>
      <w:marLeft w:val="0"/>
      <w:marRight w:val="0"/>
      <w:marTop w:val="0"/>
      <w:marBottom w:val="0"/>
      <w:divBdr>
        <w:top w:val="none" w:sz="0" w:space="0" w:color="auto"/>
        <w:left w:val="none" w:sz="0" w:space="0" w:color="auto"/>
        <w:bottom w:val="none" w:sz="0" w:space="0" w:color="auto"/>
        <w:right w:val="none" w:sz="0" w:space="0" w:color="auto"/>
      </w:divBdr>
    </w:div>
    <w:div w:id="20543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i.gov.uk/publications/domiciliary-care-services-adults-northern-ireland-2016" TargetMode="External"/><Relationship Id="rId13" Type="http://schemas.openxmlformats.org/officeDocument/2006/relationships/hyperlink" Target="https://statswales.gov.wales/Catalogue/Health-and-Social-Care/Social-Services/Adult-Services/Service-Provision/adultsreceivingservices-by-localauthority-clientcategory-age" TargetMode="External"/><Relationship Id="rId3" Type="http://schemas.openxmlformats.org/officeDocument/2006/relationships/settings" Target="settings.xml"/><Relationship Id="rId7" Type="http://schemas.openxmlformats.org/officeDocument/2006/relationships/hyperlink" Target="https://www.health-ni.gov.uk/publications/statistics-community-care-adults-northern-ireland-201516" TargetMode="External"/><Relationship Id="rId12" Type="http://schemas.openxmlformats.org/officeDocument/2006/relationships/hyperlink" Target="http://www.gov.scot/Publications/2016/11/831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v.uk/government/statistics/community-care-statistics-social-services-activity-england-2015-to-2016-report" TargetMode="External"/><Relationship Id="rId11" Type="http://schemas.openxmlformats.org/officeDocument/2006/relationships/hyperlink" Target="http://www.scld.org.uk/evidence-and-research/2015-report/" TargetMode="External"/><Relationship Id="rId5" Type="http://schemas.openxmlformats.org/officeDocument/2006/relationships/hyperlink" Target="http://www.improvinghealthandlives.org.uk/publications/313925/People_with_Learning_Disabilities_in_England_2015" TargetMode="External"/><Relationship Id="rId15" Type="http://schemas.openxmlformats.org/officeDocument/2006/relationships/theme" Target="theme/theme1.xml"/><Relationship Id="rId10" Type="http://schemas.openxmlformats.org/officeDocument/2006/relationships/hyperlink" Target="https://www.scld.org.uk/evidence-and-research/statistics/2012-report/" TargetMode="External"/><Relationship Id="rId4" Type="http://schemas.openxmlformats.org/officeDocument/2006/relationships/webSettings" Target="webSettings.xml"/><Relationship Id="rId9" Type="http://schemas.openxmlformats.org/officeDocument/2006/relationships/hyperlink" Target="http://www.ons.gov.uk/peoplepopulationandcommunity/populationandmigration/populationestimates/datasets/populationestimatesanalysisto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14</Pages>
  <Words>4206</Words>
  <Characters>23976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Hatton, Christopher</dc:creator>
  <cp:lastModifiedBy>Hatton, Christopher</cp:lastModifiedBy>
  <cp:revision>12</cp:revision>
  <cp:lastPrinted>2017-01-10T17:48:00Z</cp:lastPrinted>
  <dcterms:created xsi:type="dcterms:W3CDTF">2017-01-11T16:31:00Z</dcterms:created>
  <dcterms:modified xsi:type="dcterms:W3CDTF">2019-05-07T09:23:00Z</dcterms:modified>
</cp:coreProperties>
</file>