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6A9640" w14:textId="77777777" w:rsidR="00506AD6" w:rsidRPr="00171378" w:rsidRDefault="00506AD6" w:rsidP="00775118">
      <w:pPr>
        <w:pStyle w:val="Heading1"/>
        <w:rPr>
          <w:rFonts w:asciiTheme="minorHAnsi" w:eastAsia="Times New Roman" w:hAnsiTheme="minorHAnsi"/>
          <w:lang w:eastAsia="en-GB"/>
        </w:rPr>
      </w:pPr>
      <w:r w:rsidRPr="00171378">
        <w:rPr>
          <w:rFonts w:asciiTheme="minorHAnsi" w:eastAsia="Times New Roman" w:hAnsiTheme="minorHAnsi"/>
          <w:lang w:eastAsia="en-GB"/>
        </w:rPr>
        <w:t>Was it autoethnography? The classificatory, confessional and mad politics of lived experience in sociological research</w:t>
      </w:r>
    </w:p>
    <w:p w14:paraId="6249C7D1" w14:textId="77777777" w:rsidR="00CC0FE4" w:rsidRDefault="00CC0FE4" w:rsidP="00CC0FE4">
      <w:pPr>
        <w:spacing w:after="0" w:line="240" w:lineRule="auto"/>
        <w:rPr>
          <w:rStyle w:val="Heading1Char"/>
        </w:rPr>
      </w:pPr>
    </w:p>
    <w:p w14:paraId="54CE0BC8" w14:textId="77777777" w:rsidR="00D17862" w:rsidRDefault="00D17862" w:rsidP="00CC0FE4">
      <w:pPr>
        <w:spacing w:after="0" w:line="240" w:lineRule="auto"/>
        <w:rPr>
          <w:rStyle w:val="Heading1Char"/>
        </w:rPr>
      </w:pPr>
      <w:r>
        <w:rPr>
          <w:rStyle w:val="Heading1Char"/>
        </w:rPr>
        <w:t>Biography</w:t>
      </w:r>
    </w:p>
    <w:p w14:paraId="4E3728E2" w14:textId="7FA6CA4C" w:rsidR="00CC0FE4" w:rsidRPr="00CC0FE4" w:rsidRDefault="00CC0FE4" w:rsidP="00CC0FE4">
      <w:pPr>
        <w:spacing w:after="0" w:line="240" w:lineRule="auto"/>
        <w:rPr>
          <w:rFonts w:eastAsia="Times New Roman" w:cs="Tahoma"/>
          <w:color w:val="000000"/>
          <w:lang w:eastAsia="en-GB"/>
        </w:rPr>
      </w:pPr>
      <w:bookmarkStart w:id="0" w:name="_GoBack"/>
      <w:bookmarkEnd w:id="0"/>
      <w:r w:rsidRPr="00CC0FE4">
        <w:rPr>
          <w:rFonts w:eastAsia="Times New Roman" w:cs="Tahoma"/>
          <w:color w:val="000000"/>
          <w:lang w:eastAsia="en-GB"/>
        </w:rPr>
        <w:t>Brigit McWade is a sociologist whose work to date has explored 'recovery' in mental health policy and practice, mental health stigma in the context of neoliberal capitalism and austerity measures, and the politics of representation of madness and distress in popular culture and academic discourse.</w:t>
      </w:r>
    </w:p>
    <w:p w14:paraId="6B12FB13" w14:textId="77777777" w:rsidR="00AA14BC" w:rsidRPr="00171378" w:rsidRDefault="00AA14BC" w:rsidP="00AA14BC">
      <w:pPr>
        <w:rPr>
          <w:lang w:eastAsia="en-GB"/>
        </w:rPr>
      </w:pPr>
    </w:p>
    <w:p w14:paraId="406F304C" w14:textId="77777777" w:rsidR="00603EAD" w:rsidRPr="00171378" w:rsidRDefault="00506AD6" w:rsidP="00775118">
      <w:pPr>
        <w:pStyle w:val="Heading2"/>
        <w:rPr>
          <w:rFonts w:asciiTheme="minorHAnsi" w:hAnsiTheme="minorHAnsi"/>
        </w:rPr>
      </w:pPr>
      <w:r w:rsidRPr="00171378">
        <w:rPr>
          <w:rFonts w:asciiTheme="minorHAnsi" w:hAnsiTheme="minorHAnsi"/>
        </w:rPr>
        <w:t>Abstract</w:t>
      </w:r>
    </w:p>
    <w:p w14:paraId="081EB8D1" w14:textId="0C11BA24" w:rsidR="00B84770" w:rsidRPr="001B0862" w:rsidRDefault="00B84770" w:rsidP="008E6253">
      <w:pPr>
        <w:spacing w:line="480" w:lineRule="auto"/>
      </w:pPr>
      <w:r w:rsidRPr="00171378">
        <w:rPr>
          <w:rFonts w:eastAsia="Times New Roman" w:cs="Tahoma"/>
          <w:color w:val="000000"/>
          <w:lang w:eastAsia="en-GB"/>
        </w:rPr>
        <w:t xml:space="preserve">This paper will consider </w:t>
      </w:r>
      <w:r w:rsidR="002B3AF5">
        <w:rPr>
          <w:rFonts w:eastAsia="Times New Roman" w:cs="Tahoma"/>
          <w:color w:val="000000"/>
          <w:lang w:eastAsia="en-GB"/>
        </w:rPr>
        <w:t>the history and politics of autoethno</w:t>
      </w:r>
      <w:r w:rsidRPr="00171378">
        <w:rPr>
          <w:rFonts w:eastAsia="Times New Roman" w:cs="Tahoma"/>
          <w:color w:val="000000"/>
          <w:lang w:eastAsia="en-GB"/>
        </w:rPr>
        <w:t>graphy</w:t>
      </w:r>
      <w:r w:rsidR="00D328D6">
        <w:rPr>
          <w:rFonts w:eastAsia="Times New Roman" w:cs="Tahoma"/>
          <w:color w:val="000000"/>
          <w:lang w:eastAsia="en-GB"/>
        </w:rPr>
        <w:t xml:space="preserve"> in relation</w:t>
      </w:r>
      <w:r w:rsidR="002B3AF5">
        <w:rPr>
          <w:rFonts w:eastAsia="Times New Roman" w:cs="Tahoma"/>
          <w:color w:val="000000"/>
          <w:lang w:eastAsia="en-GB"/>
        </w:rPr>
        <w:t xml:space="preserve"> to </w:t>
      </w:r>
      <w:r w:rsidR="00526B7F">
        <w:rPr>
          <w:rFonts w:eastAsia="Times New Roman" w:cs="Tahoma"/>
          <w:color w:val="000000"/>
          <w:lang w:eastAsia="en-GB"/>
        </w:rPr>
        <w:t>the activist scholarship of Mad Studies</w:t>
      </w:r>
      <w:r w:rsidRPr="00171378">
        <w:rPr>
          <w:rFonts w:eastAsia="Times New Roman" w:cs="Tahoma"/>
          <w:color w:val="000000"/>
          <w:lang w:eastAsia="en-GB"/>
        </w:rPr>
        <w:t xml:space="preserve">. </w:t>
      </w:r>
      <w:r w:rsidR="00526B7F">
        <w:t>As part of ethnographic</w:t>
      </w:r>
      <w:r w:rsidR="002647DE">
        <w:t xml:space="preserve"> research</w:t>
      </w:r>
      <w:r w:rsidR="00526B7F">
        <w:t xml:space="preserve"> about </w:t>
      </w:r>
      <w:r w:rsidR="00526B7F" w:rsidRPr="00171378">
        <w:t>‘recovery in/from serious mental health problems’</w:t>
      </w:r>
      <w:r w:rsidR="00526B7F">
        <w:t xml:space="preserve"> in the UK,</w:t>
      </w:r>
      <w:r w:rsidR="00156C52">
        <w:rPr>
          <w:rFonts w:eastAsia="Times New Roman" w:cs="Tahoma"/>
          <w:color w:val="000000"/>
          <w:lang w:eastAsia="en-GB"/>
        </w:rPr>
        <w:t xml:space="preserve"> </w:t>
      </w:r>
      <w:r w:rsidR="002647DE">
        <w:rPr>
          <w:rFonts w:eastAsia="Times New Roman" w:cs="Tahoma"/>
          <w:color w:val="000000"/>
          <w:lang w:eastAsia="en-GB"/>
        </w:rPr>
        <w:t xml:space="preserve">I accessed an NHS community “arts for mental health” </w:t>
      </w:r>
      <w:r w:rsidRPr="00171378">
        <w:rPr>
          <w:rFonts w:eastAsia="Times New Roman" w:cs="Tahoma"/>
          <w:color w:val="000000"/>
          <w:lang w:eastAsia="en-GB"/>
        </w:rPr>
        <w:t xml:space="preserve">service as a service-user would do, situating this data in broader socio-political debates concerning the meaning, management and lived experience of madness and distress. </w:t>
      </w:r>
      <w:r w:rsidR="00A94EAE">
        <w:rPr>
          <w:rFonts w:eastAsia="Times New Roman" w:cs="Tahoma"/>
          <w:color w:val="000000"/>
          <w:lang w:eastAsia="en-GB"/>
        </w:rPr>
        <w:t>This paper examines the</w:t>
      </w:r>
      <w:r w:rsidR="002647DE">
        <w:rPr>
          <w:rFonts w:eastAsia="Times New Roman" w:cs="Tahoma"/>
          <w:color w:val="000000"/>
          <w:lang w:eastAsia="en-GB"/>
        </w:rPr>
        <w:t xml:space="preserve"> </w:t>
      </w:r>
      <w:r w:rsidR="00A94EAE">
        <w:rPr>
          <w:rFonts w:eastAsia="Times New Roman" w:cs="Tahoma"/>
          <w:color w:val="000000"/>
          <w:lang w:eastAsia="en-GB"/>
        </w:rPr>
        <w:t>framing of this research as</w:t>
      </w:r>
      <w:r w:rsidRPr="00171378">
        <w:rPr>
          <w:rFonts w:eastAsia="Times New Roman" w:cs="Tahoma"/>
          <w:color w:val="000000"/>
          <w:lang w:eastAsia="en-GB"/>
        </w:rPr>
        <w:t xml:space="preserve"> autoethnographic</w:t>
      </w:r>
      <w:r w:rsidR="00A94EAE">
        <w:rPr>
          <w:rFonts w:eastAsia="Times New Roman" w:cs="Tahoma"/>
          <w:color w:val="000000"/>
          <w:lang w:eastAsia="en-GB"/>
        </w:rPr>
        <w:t xml:space="preserve"> and the relationship of personal and/or lived experi</w:t>
      </w:r>
      <w:r w:rsidR="00526B7F">
        <w:rPr>
          <w:rFonts w:eastAsia="Times New Roman" w:cs="Tahoma"/>
          <w:color w:val="000000"/>
          <w:lang w:eastAsia="en-GB"/>
        </w:rPr>
        <w:t>ence to the knowledge produced. I explore</w:t>
      </w:r>
      <w:r w:rsidR="002647DE">
        <w:rPr>
          <w:rFonts w:eastAsia="Times New Roman" w:cs="Tahoma"/>
          <w:color w:val="000000"/>
          <w:lang w:eastAsia="en-GB"/>
        </w:rPr>
        <w:t xml:space="preserve"> the classificatory, </w:t>
      </w:r>
      <w:r w:rsidRPr="00171378">
        <w:rPr>
          <w:rFonts w:eastAsia="Times New Roman" w:cs="Tahoma"/>
          <w:color w:val="000000"/>
          <w:lang w:eastAsia="en-GB"/>
        </w:rPr>
        <w:t xml:space="preserve">confessional </w:t>
      </w:r>
      <w:r w:rsidR="002647DE">
        <w:rPr>
          <w:rFonts w:eastAsia="Times New Roman" w:cs="Tahoma"/>
          <w:color w:val="000000"/>
          <w:lang w:eastAsia="en-GB"/>
        </w:rPr>
        <w:t xml:space="preserve">and Mad </w:t>
      </w:r>
      <w:r w:rsidRPr="00171378">
        <w:rPr>
          <w:rFonts w:eastAsia="Times New Roman" w:cs="Tahoma"/>
          <w:color w:val="000000"/>
          <w:lang w:eastAsia="en-GB"/>
        </w:rPr>
        <w:t xml:space="preserve">politics of </w:t>
      </w:r>
      <w:r w:rsidR="00526B7F">
        <w:rPr>
          <w:rFonts w:eastAsia="Times New Roman" w:cs="Tahoma"/>
          <w:color w:val="000000"/>
          <w:lang w:eastAsia="en-GB"/>
        </w:rPr>
        <w:t>experience,</w:t>
      </w:r>
      <w:r w:rsidRPr="00171378">
        <w:rPr>
          <w:rFonts w:eastAsia="Times New Roman" w:cs="Tahoma"/>
          <w:color w:val="000000"/>
          <w:lang w:eastAsia="en-GB"/>
        </w:rPr>
        <w:t xml:space="preserve"> identity and identification</w:t>
      </w:r>
      <w:r w:rsidR="00526B7F">
        <w:rPr>
          <w:rFonts w:eastAsia="Times New Roman" w:cs="Tahoma"/>
          <w:color w:val="000000"/>
          <w:lang w:eastAsia="en-GB"/>
        </w:rPr>
        <w:t>, and embodiment for</w:t>
      </w:r>
      <w:r w:rsidRPr="00171378">
        <w:rPr>
          <w:rFonts w:eastAsia="Times New Roman" w:cs="Tahoma"/>
          <w:color w:val="000000"/>
          <w:lang w:eastAsia="en-GB"/>
        </w:rPr>
        <w:t xml:space="preserve"> research subjectivities. </w:t>
      </w:r>
      <w:r w:rsidR="00156C52">
        <w:rPr>
          <w:rFonts w:eastAsia="Times New Roman" w:cs="Tahoma"/>
          <w:color w:val="000000"/>
          <w:lang w:eastAsia="en-GB"/>
        </w:rPr>
        <w:t xml:space="preserve">Employing autoethnographic means, </w:t>
      </w:r>
      <w:r w:rsidR="002647DE">
        <w:rPr>
          <w:rFonts w:eastAsia="Times New Roman" w:cs="Tahoma"/>
          <w:color w:val="000000"/>
          <w:lang w:eastAsia="en-GB"/>
        </w:rPr>
        <w:t>I consider the ways in which I situate myself, and am situated by oth</w:t>
      </w:r>
      <w:r w:rsidR="00526B7F">
        <w:rPr>
          <w:rFonts w:eastAsia="Times New Roman" w:cs="Tahoma"/>
          <w:color w:val="000000"/>
          <w:lang w:eastAsia="en-GB"/>
        </w:rPr>
        <w:t>ers, in relation to my research; evaluating</w:t>
      </w:r>
      <w:r w:rsidR="002647DE">
        <w:rPr>
          <w:rFonts w:eastAsia="Times New Roman" w:cs="Tahoma"/>
          <w:color w:val="000000"/>
          <w:lang w:eastAsia="en-GB"/>
        </w:rPr>
        <w:t xml:space="preserve"> the methodological implications of the crisis of representation in anthropology, and the </w:t>
      </w:r>
      <w:r w:rsidR="00156C52">
        <w:rPr>
          <w:rFonts w:eastAsia="Times New Roman" w:cs="Tahoma"/>
          <w:color w:val="000000"/>
          <w:lang w:eastAsia="en-GB"/>
        </w:rPr>
        <w:t>post-structuralist criticism of identity politics</w:t>
      </w:r>
      <w:r w:rsidR="002647DE">
        <w:rPr>
          <w:rFonts w:eastAsia="Times New Roman" w:cs="Tahoma"/>
          <w:color w:val="000000"/>
          <w:lang w:eastAsia="en-GB"/>
        </w:rPr>
        <w:t>. Through an engagement Mad Studies, I seek</w:t>
      </w:r>
      <w:r w:rsidR="002B3AF5">
        <w:rPr>
          <w:rFonts w:eastAsia="Times New Roman" w:cs="Tahoma"/>
          <w:color w:val="000000"/>
          <w:lang w:eastAsia="en-GB"/>
        </w:rPr>
        <w:t xml:space="preserve"> to </w:t>
      </w:r>
      <w:r w:rsidR="002647DE">
        <w:rPr>
          <w:rFonts w:eastAsia="Times New Roman" w:cs="Tahoma"/>
          <w:color w:val="000000"/>
          <w:lang w:eastAsia="en-GB"/>
        </w:rPr>
        <w:t xml:space="preserve">move beyond these two established responses to the use of personal experience </w:t>
      </w:r>
      <w:r w:rsidR="008029EF">
        <w:rPr>
          <w:rFonts w:eastAsia="Times New Roman" w:cs="Tahoma"/>
          <w:color w:val="000000"/>
          <w:lang w:eastAsia="en-GB"/>
        </w:rPr>
        <w:t>and autobiography in research.</w:t>
      </w:r>
    </w:p>
    <w:p w14:paraId="1DA4E6B2" w14:textId="19677484" w:rsidR="00B84770" w:rsidRPr="00171378" w:rsidRDefault="00B84770" w:rsidP="00B84770">
      <w:pPr>
        <w:spacing w:line="240" w:lineRule="auto"/>
        <w:rPr>
          <w:rFonts w:eastAsia="Times New Roman" w:cs="Tahoma"/>
          <w:color w:val="000000"/>
          <w:lang w:eastAsia="en-GB"/>
        </w:rPr>
      </w:pPr>
      <w:r w:rsidRPr="008E6253">
        <w:rPr>
          <w:rFonts w:eastAsia="Times New Roman" w:cs="Tahoma"/>
          <w:b/>
          <w:color w:val="000000"/>
          <w:lang w:eastAsia="en-GB"/>
        </w:rPr>
        <w:t>Keywords:</w:t>
      </w:r>
      <w:r w:rsidRPr="00171378">
        <w:rPr>
          <w:rFonts w:eastAsia="Times New Roman" w:cs="Tahoma"/>
          <w:color w:val="000000"/>
          <w:lang w:eastAsia="en-GB"/>
        </w:rPr>
        <w:t xml:space="preserve"> </w:t>
      </w:r>
      <w:r w:rsidR="004F1F2E" w:rsidRPr="00171378">
        <w:rPr>
          <w:rFonts w:eastAsia="Times New Roman" w:cs="Tahoma"/>
          <w:color w:val="000000"/>
          <w:lang w:eastAsia="en-GB"/>
        </w:rPr>
        <w:t>autoethnography</w:t>
      </w:r>
      <w:r w:rsidRPr="00171378">
        <w:rPr>
          <w:rFonts w:eastAsia="Times New Roman" w:cs="Tahoma"/>
          <w:color w:val="000000"/>
          <w:lang w:eastAsia="en-GB"/>
        </w:rPr>
        <w:t xml:space="preserve">; </w:t>
      </w:r>
      <w:r w:rsidR="008A2637">
        <w:rPr>
          <w:rFonts w:eastAsia="Times New Roman" w:cs="Tahoma"/>
          <w:color w:val="000000"/>
          <w:lang w:eastAsia="en-GB"/>
        </w:rPr>
        <w:t xml:space="preserve">experience; </w:t>
      </w:r>
      <w:r w:rsidRPr="00171378">
        <w:rPr>
          <w:rFonts w:eastAsia="Times New Roman" w:cs="Tahoma"/>
          <w:color w:val="000000"/>
          <w:lang w:eastAsia="en-GB"/>
        </w:rPr>
        <w:t xml:space="preserve">Mad Studies; </w:t>
      </w:r>
      <w:r w:rsidR="008A2637">
        <w:rPr>
          <w:rFonts w:eastAsia="Times New Roman" w:cs="Tahoma"/>
          <w:color w:val="000000"/>
          <w:lang w:eastAsia="en-GB"/>
        </w:rPr>
        <w:t>ethics</w:t>
      </w:r>
      <w:r w:rsidR="00E42D0B" w:rsidRPr="00171378">
        <w:rPr>
          <w:rFonts w:eastAsia="Times New Roman" w:cs="Tahoma"/>
          <w:color w:val="000000"/>
          <w:lang w:eastAsia="en-GB"/>
        </w:rPr>
        <w:t xml:space="preserve">; knowledge </w:t>
      </w:r>
      <w:r w:rsidR="008A2637">
        <w:rPr>
          <w:rFonts w:eastAsia="Times New Roman" w:cs="Tahoma"/>
          <w:color w:val="000000"/>
          <w:lang w:eastAsia="en-GB"/>
        </w:rPr>
        <w:t xml:space="preserve">production; </w:t>
      </w:r>
      <w:r w:rsidR="00E42D0B" w:rsidRPr="00171378">
        <w:rPr>
          <w:rFonts w:eastAsia="Times New Roman" w:cs="Tahoma"/>
          <w:color w:val="000000"/>
          <w:lang w:eastAsia="en-GB"/>
        </w:rPr>
        <w:t>social justice.</w:t>
      </w:r>
    </w:p>
    <w:p w14:paraId="5A32FA0D" w14:textId="77777777" w:rsidR="00506AD6" w:rsidRPr="00171378" w:rsidRDefault="00506AD6" w:rsidP="00775118">
      <w:pPr>
        <w:pStyle w:val="Heading2"/>
        <w:rPr>
          <w:rFonts w:asciiTheme="minorHAnsi" w:hAnsiTheme="minorHAnsi"/>
        </w:rPr>
      </w:pPr>
      <w:r w:rsidRPr="00171378">
        <w:rPr>
          <w:rFonts w:asciiTheme="minorHAnsi" w:hAnsiTheme="minorHAnsi"/>
        </w:rPr>
        <w:t>Introduction</w:t>
      </w:r>
    </w:p>
    <w:p w14:paraId="6749D28B" w14:textId="4FCD6134" w:rsidR="00C55301" w:rsidRPr="00171378" w:rsidRDefault="002F17B5" w:rsidP="008E6253">
      <w:pPr>
        <w:spacing w:line="480" w:lineRule="auto"/>
      </w:pPr>
      <w:r w:rsidRPr="00171378">
        <w:t>I</w:t>
      </w:r>
      <w:r w:rsidR="00B84671" w:rsidRPr="00171378">
        <w:t>n 2014, I</w:t>
      </w:r>
      <w:r w:rsidR="006E57E7" w:rsidRPr="00171378">
        <w:t xml:space="preserve"> was awarded </w:t>
      </w:r>
      <w:r w:rsidRPr="00171378">
        <w:t xml:space="preserve">a PhD in Sociology from </w:t>
      </w:r>
      <w:r w:rsidR="00775721">
        <w:t>Lancaster University</w:t>
      </w:r>
      <w:r w:rsidR="006E57E7" w:rsidRPr="00171378">
        <w:t>. The</w:t>
      </w:r>
      <w:r w:rsidRPr="00171378">
        <w:t xml:space="preserve"> thesis </w:t>
      </w:r>
      <w:r w:rsidR="006E57E7" w:rsidRPr="00171378">
        <w:t xml:space="preserve">I submitted for examination </w:t>
      </w:r>
      <w:r w:rsidRPr="00171378">
        <w:rPr>
          <w:rFonts w:cs="Tahoma"/>
          <w:color w:val="000000"/>
        </w:rPr>
        <w:t xml:space="preserve">explored the emergence of “recovery in/from serious mental health problems” as a conceptual frame, and as a set of practices and policy orientations. It </w:t>
      </w:r>
      <w:r w:rsidRPr="00171378">
        <w:t>provided an empirical account</w:t>
      </w:r>
      <w:r w:rsidRPr="00171378">
        <w:rPr>
          <w:rFonts w:cs="Tahoma"/>
          <w:color w:val="000000"/>
        </w:rPr>
        <w:t xml:space="preserve"> of </w:t>
      </w:r>
      <w:r w:rsidRPr="00171378">
        <w:rPr>
          <w:rFonts w:cs="Tahoma"/>
          <w:i/>
          <w:iCs/>
          <w:color w:val="000000"/>
        </w:rPr>
        <w:t>recovery in practice</w:t>
      </w:r>
      <w:r w:rsidRPr="00171378">
        <w:rPr>
          <w:rFonts w:cs="Tahoma"/>
          <w:color w:val="000000"/>
        </w:rPr>
        <w:t xml:space="preserve"> in an English NHS community mental health service that</w:t>
      </w:r>
      <w:r w:rsidR="00B70D50" w:rsidRPr="00171378">
        <w:rPr>
          <w:rFonts w:cs="Tahoma"/>
          <w:color w:val="000000"/>
        </w:rPr>
        <w:t xml:space="preserve"> </w:t>
      </w:r>
      <w:r w:rsidR="00AF4FAD">
        <w:rPr>
          <w:rFonts w:cs="Tahoma"/>
          <w:color w:val="000000"/>
        </w:rPr>
        <w:t xml:space="preserve">I have called </w:t>
      </w:r>
      <w:r w:rsidR="00AF4FAD" w:rsidRPr="00AF4FAD">
        <w:rPr>
          <w:rFonts w:cs="Tahoma"/>
          <w:i/>
          <w:color w:val="000000"/>
        </w:rPr>
        <w:t>Create</w:t>
      </w:r>
      <w:r w:rsidR="00D273DB">
        <w:rPr>
          <w:rFonts w:cs="Tahoma"/>
          <w:i/>
          <w:color w:val="000000"/>
        </w:rPr>
        <w:t xml:space="preserve"> </w:t>
      </w:r>
      <w:r w:rsidR="00AF4FAD">
        <w:rPr>
          <w:rFonts w:cs="Tahoma"/>
          <w:color w:val="000000"/>
        </w:rPr>
        <w:lastRenderedPageBreak/>
        <w:t>(see McWade, 2015; McWade</w:t>
      </w:r>
      <w:r w:rsidRPr="00171378">
        <w:rPr>
          <w:rFonts w:cs="Tahoma"/>
          <w:color w:val="000000"/>
        </w:rPr>
        <w:t>, 2016</w:t>
      </w:r>
      <w:r w:rsidR="008B0206">
        <w:rPr>
          <w:rFonts w:cs="Tahoma"/>
          <w:color w:val="000000"/>
        </w:rPr>
        <w:t>a</w:t>
      </w:r>
      <w:r w:rsidRPr="00171378">
        <w:rPr>
          <w:rFonts w:cs="Tahoma"/>
          <w:color w:val="000000"/>
        </w:rPr>
        <w:t>).</w:t>
      </w:r>
      <w:r w:rsidR="00B84671" w:rsidRPr="00171378">
        <w:rPr>
          <w:rFonts w:cs="Tahoma"/>
          <w:color w:val="000000"/>
        </w:rPr>
        <w:t xml:space="preserve"> </w:t>
      </w:r>
      <w:r w:rsidR="002647DE">
        <w:t xml:space="preserve">I used </w:t>
      </w:r>
      <w:r w:rsidR="00CC7C25">
        <w:t>three interconnected methods: 1)</w:t>
      </w:r>
      <w:r w:rsidR="00C55301" w:rsidRPr="00171378">
        <w:t xml:space="preserve"> I accessed the service as a service-user would do</w:t>
      </w:r>
      <w:r w:rsidR="00CC7C25">
        <w:t xml:space="preserve">; 2) I conducted </w:t>
      </w:r>
      <w:r w:rsidR="00C55301" w:rsidRPr="00171378">
        <w:t xml:space="preserve">semi-structured </w:t>
      </w:r>
      <w:r w:rsidR="00CC7C25">
        <w:t xml:space="preserve">qualitative </w:t>
      </w:r>
      <w:r w:rsidR="00C55301" w:rsidRPr="00171378">
        <w:t>interviews with</w:t>
      </w:r>
      <w:r w:rsidR="00CC7C25">
        <w:t xml:space="preserve"> service-users, </w:t>
      </w:r>
      <w:r w:rsidR="00C55301" w:rsidRPr="00171378">
        <w:t>staff members and</w:t>
      </w:r>
      <w:r w:rsidR="00CC7C25">
        <w:t xml:space="preserve"> some key stakeholders; 3) I carried out a discourse</w:t>
      </w:r>
      <w:r w:rsidR="00CF47EF" w:rsidRPr="00171378">
        <w:t xml:space="preserve"> analysis of </w:t>
      </w:r>
      <w:r w:rsidR="00CC7C25">
        <w:t>the concept of “</w:t>
      </w:r>
      <w:r w:rsidR="00C55301" w:rsidRPr="00171378">
        <w:t>recovery</w:t>
      </w:r>
      <w:r w:rsidR="00CC7C25">
        <w:t xml:space="preserve"> in/from serious mental health problems” in policy, research, and media cultures</w:t>
      </w:r>
      <w:r w:rsidR="00C55301" w:rsidRPr="00171378">
        <w:t>.</w:t>
      </w:r>
    </w:p>
    <w:p w14:paraId="67DF21F6" w14:textId="1516DDC4" w:rsidR="000F5FF4" w:rsidRDefault="002647DE" w:rsidP="008E6253">
      <w:pPr>
        <w:spacing w:line="480" w:lineRule="auto"/>
        <w:rPr>
          <w:rFonts w:cs="Tahoma"/>
          <w:color w:val="000000"/>
        </w:rPr>
      </w:pPr>
      <w:r>
        <w:rPr>
          <w:rFonts w:cs="Tahoma"/>
          <w:color w:val="000000"/>
        </w:rPr>
        <w:t xml:space="preserve">Focussing </w:t>
      </w:r>
      <w:r w:rsidR="00B70D50" w:rsidRPr="00171378">
        <w:rPr>
          <w:rFonts w:cs="Tahoma"/>
          <w:color w:val="000000"/>
        </w:rPr>
        <w:t xml:space="preserve">on the method of </w:t>
      </w:r>
      <w:r w:rsidR="00BD749F">
        <w:rPr>
          <w:rFonts w:cs="Tahoma"/>
          <w:color w:val="000000"/>
        </w:rPr>
        <w:t>accessing a mental health service</w:t>
      </w:r>
      <w:r w:rsidR="00B70D50" w:rsidRPr="00171378">
        <w:rPr>
          <w:rFonts w:cs="Tahoma"/>
          <w:color w:val="000000"/>
        </w:rPr>
        <w:t xml:space="preserve"> </w:t>
      </w:r>
      <w:r w:rsidR="00B70D50" w:rsidRPr="00171378">
        <w:rPr>
          <w:rFonts w:cs="Tahoma"/>
          <w:i/>
          <w:color w:val="000000"/>
        </w:rPr>
        <w:t>as a service-user would do</w:t>
      </w:r>
      <w:r>
        <w:rPr>
          <w:rFonts w:cs="Tahoma"/>
          <w:color w:val="000000"/>
        </w:rPr>
        <w:t xml:space="preserve">, </w:t>
      </w:r>
      <w:r w:rsidR="00E42D0B" w:rsidRPr="00171378">
        <w:rPr>
          <w:rFonts w:cs="Tahoma"/>
          <w:color w:val="000000"/>
        </w:rPr>
        <w:t>I explore the different ways I have been question</w:t>
      </w:r>
      <w:r w:rsidR="00E47FF7">
        <w:rPr>
          <w:rFonts w:cs="Tahoma"/>
          <w:color w:val="000000"/>
        </w:rPr>
        <w:t xml:space="preserve">ed and challenged on my </w:t>
      </w:r>
      <w:r w:rsidR="00274C29">
        <w:rPr>
          <w:rFonts w:cs="Tahoma"/>
          <w:color w:val="000000"/>
        </w:rPr>
        <w:t>description</w:t>
      </w:r>
      <w:r w:rsidR="00AF4FAD">
        <w:rPr>
          <w:rFonts w:cs="Tahoma"/>
          <w:color w:val="000000"/>
        </w:rPr>
        <w:t xml:space="preserve"> of the research </w:t>
      </w:r>
      <w:r w:rsidR="00E42D0B" w:rsidRPr="00171378">
        <w:rPr>
          <w:rFonts w:cs="Tahoma"/>
          <w:color w:val="000000"/>
        </w:rPr>
        <w:t>as</w:t>
      </w:r>
      <w:r w:rsidR="00E47FF7">
        <w:rPr>
          <w:rFonts w:cs="Tahoma"/>
          <w:color w:val="000000"/>
        </w:rPr>
        <w:t xml:space="preserve"> </w:t>
      </w:r>
      <w:r w:rsidR="00E42D0B" w:rsidRPr="00171378">
        <w:rPr>
          <w:rFonts w:cs="Tahoma"/>
          <w:color w:val="000000"/>
        </w:rPr>
        <w:t xml:space="preserve">autoethnographic. </w:t>
      </w:r>
      <w:r w:rsidR="00CC7C25">
        <w:rPr>
          <w:rFonts w:cs="Tahoma"/>
          <w:color w:val="000000"/>
        </w:rPr>
        <w:t>I select</w:t>
      </w:r>
      <w:r w:rsidR="00E42D0B" w:rsidRPr="00171378">
        <w:rPr>
          <w:rFonts w:cs="Tahoma"/>
          <w:color w:val="000000"/>
        </w:rPr>
        <w:t xml:space="preserve"> three scenes </w:t>
      </w:r>
      <w:r w:rsidR="00C559F1" w:rsidRPr="00171378">
        <w:rPr>
          <w:rFonts w:cs="Tahoma"/>
          <w:color w:val="000000"/>
        </w:rPr>
        <w:t>in which this</w:t>
      </w:r>
      <w:r w:rsidR="00E42D0B" w:rsidRPr="00171378">
        <w:rPr>
          <w:rFonts w:cs="Tahoma"/>
          <w:color w:val="000000"/>
        </w:rPr>
        <w:t xml:space="preserve"> questioning</w:t>
      </w:r>
      <w:r w:rsidR="00C559F1" w:rsidRPr="00171378">
        <w:rPr>
          <w:rFonts w:cs="Tahoma"/>
          <w:color w:val="000000"/>
        </w:rPr>
        <w:t xml:space="preserve"> takes place</w:t>
      </w:r>
      <w:r w:rsidR="00E42D0B" w:rsidRPr="00171378">
        <w:rPr>
          <w:rFonts w:cs="Tahoma"/>
          <w:color w:val="000000"/>
        </w:rPr>
        <w:t xml:space="preserve"> – the NHS Research Ethics Committee (REC) hearing, my doctoral viva, and my engagement</w:t>
      </w:r>
      <w:r>
        <w:rPr>
          <w:rFonts w:cs="Tahoma"/>
          <w:color w:val="000000"/>
        </w:rPr>
        <w:t xml:space="preserve"> with Mad S</w:t>
      </w:r>
      <w:r w:rsidR="00E42D0B" w:rsidRPr="00171378">
        <w:rPr>
          <w:rFonts w:cs="Tahoma"/>
          <w:color w:val="000000"/>
        </w:rPr>
        <w:t xml:space="preserve">tudies </w:t>
      </w:r>
      <w:r w:rsidR="00AF4FAD">
        <w:rPr>
          <w:rFonts w:cs="Tahoma"/>
          <w:color w:val="000000"/>
        </w:rPr>
        <w:t>organising in the UK (see McWade</w:t>
      </w:r>
      <w:r w:rsidR="00E42D0B" w:rsidRPr="00854312">
        <w:rPr>
          <w:rFonts w:cs="Tahoma"/>
          <w:color w:val="000000"/>
        </w:rPr>
        <w:t xml:space="preserve">, </w:t>
      </w:r>
      <w:r w:rsidR="00854312" w:rsidRPr="00854312">
        <w:rPr>
          <w:rFonts w:cs="Tahoma"/>
          <w:color w:val="000000"/>
        </w:rPr>
        <w:t>2016</w:t>
      </w:r>
      <w:r w:rsidR="008B0206">
        <w:rPr>
          <w:rFonts w:cs="Tahoma"/>
          <w:color w:val="000000"/>
        </w:rPr>
        <w:t>b</w:t>
      </w:r>
      <w:r w:rsidR="00E42D0B" w:rsidRPr="00171378">
        <w:rPr>
          <w:rFonts w:cs="Tahoma"/>
          <w:color w:val="000000"/>
        </w:rPr>
        <w:t xml:space="preserve">). </w:t>
      </w:r>
      <w:r w:rsidR="0070520F" w:rsidRPr="00171378">
        <w:rPr>
          <w:rFonts w:cs="Tahoma"/>
          <w:color w:val="000000"/>
        </w:rPr>
        <w:t>In each scene, I am asked to situate myself as either an insider or an outsi</w:t>
      </w:r>
      <w:r w:rsidR="00DC28D8" w:rsidRPr="00171378">
        <w:rPr>
          <w:rFonts w:cs="Tahoma"/>
          <w:color w:val="000000"/>
        </w:rPr>
        <w:t xml:space="preserve">der. I </w:t>
      </w:r>
      <w:r w:rsidR="00C559F1" w:rsidRPr="00171378">
        <w:rPr>
          <w:rFonts w:cs="Tahoma"/>
          <w:color w:val="000000"/>
        </w:rPr>
        <w:t>am also</w:t>
      </w:r>
      <w:r w:rsidR="0070520F" w:rsidRPr="00171378">
        <w:rPr>
          <w:rFonts w:cs="Tahoma"/>
          <w:color w:val="000000"/>
        </w:rPr>
        <w:t xml:space="preserve"> situated in th</w:t>
      </w:r>
      <w:r w:rsidR="00DC28D8" w:rsidRPr="00171378">
        <w:rPr>
          <w:rFonts w:cs="Tahoma"/>
          <w:color w:val="000000"/>
        </w:rPr>
        <w:t>e implicit assumptions of that invitation to explain</w:t>
      </w:r>
      <w:r w:rsidR="003B2138">
        <w:rPr>
          <w:rFonts w:cs="Tahoma"/>
          <w:color w:val="000000"/>
        </w:rPr>
        <w:t xml:space="preserve"> who I am and how that matters</w:t>
      </w:r>
      <w:r w:rsidR="00274C29">
        <w:rPr>
          <w:rFonts w:cs="Tahoma"/>
          <w:color w:val="000000"/>
        </w:rPr>
        <w:t xml:space="preserve"> (</w:t>
      </w:r>
      <w:r w:rsidR="00A94EAE">
        <w:rPr>
          <w:rFonts w:cs="Tahoma"/>
          <w:color w:val="000000"/>
        </w:rPr>
        <w:t>in that it</w:t>
      </w:r>
      <w:r w:rsidR="00BD749F">
        <w:rPr>
          <w:rFonts w:cs="Tahoma"/>
          <w:color w:val="000000"/>
        </w:rPr>
        <w:t xml:space="preserve"> is both important and material</w:t>
      </w:r>
      <w:r w:rsidR="00274C29">
        <w:rPr>
          <w:rFonts w:cs="Tahoma"/>
          <w:color w:val="000000"/>
        </w:rPr>
        <w:t>)</w:t>
      </w:r>
      <w:r w:rsidR="00A94EAE">
        <w:rPr>
          <w:rFonts w:cs="Tahoma"/>
          <w:color w:val="000000"/>
        </w:rPr>
        <w:t xml:space="preserve"> </w:t>
      </w:r>
      <w:r w:rsidR="0070520F" w:rsidRPr="00171378">
        <w:rPr>
          <w:rFonts w:cs="Tahoma"/>
          <w:color w:val="000000"/>
        </w:rPr>
        <w:t>in the work I am trying to do</w:t>
      </w:r>
      <w:r w:rsidR="00DC28D8" w:rsidRPr="00171378">
        <w:rPr>
          <w:rFonts w:cs="Tahoma"/>
          <w:color w:val="000000"/>
        </w:rPr>
        <w:t>.</w:t>
      </w:r>
      <w:r w:rsidR="00854312">
        <w:rPr>
          <w:rFonts w:cs="Tahoma"/>
          <w:color w:val="000000"/>
        </w:rPr>
        <w:t xml:space="preserve"> </w:t>
      </w:r>
      <w:r w:rsidR="000F5FF4">
        <w:rPr>
          <w:rFonts w:cs="Tahoma"/>
          <w:color w:val="000000"/>
        </w:rPr>
        <w:t>These</w:t>
      </w:r>
      <w:r w:rsidR="000F5FF4" w:rsidRPr="00171378">
        <w:rPr>
          <w:rFonts w:cs="Tahoma"/>
          <w:color w:val="000000"/>
        </w:rPr>
        <w:t xml:space="preserve"> questions have </w:t>
      </w:r>
      <w:r w:rsidR="000F5FF4">
        <w:rPr>
          <w:rFonts w:cs="Tahoma"/>
          <w:color w:val="000000"/>
        </w:rPr>
        <w:t>been deeply troubling for me</w:t>
      </w:r>
      <w:r w:rsidR="000F5FF4" w:rsidRPr="00171378">
        <w:rPr>
          <w:rFonts w:cs="Tahoma"/>
          <w:color w:val="000000"/>
        </w:rPr>
        <w:t xml:space="preserve">, </w:t>
      </w:r>
      <w:r w:rsidR="000F5FF4">
        <w:rPr>
          <w:rFonts w:cs="Tahoma"/>
          <w:color w:val="000000"/>
        </w:rPr>
        <w:t xml:space="preserve">but </w:t>
      </w:r>
      <w:r w:rsidR="000F5FF4" w:rsidRPr="00171378">
        <w:rPr>
          <w:rFonts w:cs="Tahoma"/>
          <w:color w:val="000000"/>
        </w:rPr>
        <w:t>they have also been gifts</w:t>
      </w:r>
      <w:r w:rsidR="00DF3EF0">
        <w:rPr>
          <w:rFonts w:cs="Tahoma"/>
          <w:color w:val="000000"/>
        </w:rPr>
        <w:t>. T</w:t>
      </w:r>
      <w:r w:rsidR="00721BA7" w:rsidRPr="00171378">
        <w:rPr>
          <w:rFonts w:cs="Tahoma"/>
          <w:color w:val="000000"/>
        </w:rPr>
        <w:t xml:space="preserve">his paper marks a </w:t>
      </w:r>
      <w:r w:rsidR="00DF3EF0">
        <w:rPr>
          <w:rFonts w:cs="Tahoma"/>
          <w:color w:val="000000"/>
        </w:rPr>
        <w:t>point in a</w:t>
      </w:r>
      <w:r w:rsidR="00DC28D8" w:rsidRPr="00171378">
        <w:rPr>
          <w:rFonts w:cs="Tahoma"/>
          <w:color w:val="000000"/>
        </w:rPr>
        <w:t xml:space="preserve"> journey </w:t>
      </w:r>
      <w:r w:rsidR="00DF3EF0">
        <w:rPr>
          <w:rFonts w:cs="Tahoma"/>
          <w:color w:val="000000"/>
        </w:rPr>
        <w:t xml:space="preserve">in which </w:t>
      </w:r>
      <w:r w:rsidR="00DC28D8" w:rsidRPr="00171378">
        <w:rPr>
          <w:rFonts w:cs="Tahoma"/>
          <w:color w:val="000000"/>
        </w:rPr>
        <w:t xml:space="preserve">I grapple to </w:t>
      </w:r>
      <w:r w:rsidR="00721BA7" w:rsidRPr="00171378">
        <w:rPr>
          <w:rFonts w:cs="Tahoma"/>
          <w:color w:val="000000"/>
        </w:rPr>
        <w:t xml:space="preserve">better </w:t>
      </w:r>
      <w:r w:rsidR="00DC28D8" w:rsidRPr="00171378">
        <w:rPr>
          <w:rFonts w:cs="Tahoma"/>
          <w:color w:val="000000"/>
        </w:rPr>
        <w:t xml:space="preserve">articulate what I have so far attempted to do both in research and in work that creates spaces for mad knowledge and practice within academia. </w:t>
      </w:r>
      <w:r w:rsidR="002344E8" w:rsidRPr="00171378">
        <w:rPr>
          <w:rFonts w:cs="Tahoma"/>
          <w:color w:val="000000"/>
        </w:rPr>
        <w:t>I return</w:t>
      </w:r>
      <w:r w:rsidR="00DC28D8" w:rsidRPr="00171378">
        <w:rPr>
          <w:rFonts w:cs="Tahoma"/>
          <w:color w:val="000000"/>
        </w:rPr>
        <w:t xml:space="preserve"> to the</w:t>
      </w:r>
      <w:r w:rsidR="002344E8" w:rsidRPr="00171378">
        <w:rPr>
          <w:rFonts w:cs="Tahoma"/>
          <w:color w:val="000000"/>
        </w:rPr>
        <w:t xml:space="preserve"> method of autoethnography </w:t>
      </w:r>
      <w:r w:rsidR="00DC28D8" w:rsidRPr="00171378">
        <w:rPr>
          <w:rFonts w:cs="Tahoma"/>
          <w:color w:val="000000"/>
        </w:rPr>
        <w:t xml:space="preserve">to show my </w:t>
      </w:r>
      <w:r w:rsidR="002344E8" w:rsidRPr="00171378">
        <w:rPr>
          <w:rFonts w:cs="Tahoma"/>
          <w:color w:val="000000"/>
        </w:rPr>
        <w:t>“workings out”</w:t>
      </w:r>
      <w:r w:rsidR="00DC28D8" w:rsidRPr="00171378">
        <w:rPr>
          <w:rFonts w:cs="Tahoma"/>
          <w:color w:val="000000"/>
        </w:rPr>
        <w:t>, tracing how doing this research has developed, and continues to develop, my understanding of the use of ‘experience of mental health problems’ in social research</w:t>
      </w:r>
      <w:r w:rsidR="00C92E58" w:rsidRPr="00171378">
        <w:rPr>
          <w:rFonts w:cs="Tahoma"/>
          <w:color w:val="000000"/>
        </w:rPr>
        <w:t>.</w:t>
      </w:r>
      <w:r w:rsidR="002344E8" w:rsidRPr="00171378">
        <w:rPr>
          <w:rFonts w:cs="Tahoma"/>
          <w:color w:val="000000"/>
        </w:rPr>
        <w:t xml:space="preserve"> </w:t>
      </w:r>
    </w:p>
    <w:p w14:paraId="1CCC6819" w14:textId="7B1417F7" w:rsidR="00BD749F" w:rsidRDefault="00E47FF7" w:rsidP="00BD749F">
      <w:pPr>
        <w:spacing w:line="480" w:lineRule="auto"/>
        <w:rPr>
          <w:rFonts w:cs="Tahoma"/>
          <w:color w:val="000000"/>
        </w:rPr>
      </w:pPr>
      <w:r>
        <w:rPr>
          <w:rFonts w:cs="Tahoma"/>
          <w:color w:val="000000"/>
        </w:rPr>
        <w:t>I draw upon several</w:t>
      </w:r>
      <w:r w:rsidRPr="00171378">
        <w:rPr>
          <w:rFonts w:cs="Tahoma"/>
          <w:color w:val="000000"/>
        </w:rPr>
        <w:t xml:space="preserve"> fields of scholarship – service-user/survivor research, anthropology</w:t>
      </w:r>
      <w:r w:rsidR="00DF3EF0">
        <w:rPr>
          <w:rFonts w:cs="Tahoma"/>
          <w:color w:val="000000"/>
        </w:rPr>
        <w:t>, mad studies,</w:t>
      </w:r>
      <w:r w:rsidR="00BF54C6">
        <w:rPr>
          <w:rFonts w:cs="Tahoma"/>
          <w:color w:val="000000"/>
        </w:rPr>
        <w:t xml:space="preserve"> black sociology</w:t>
      </w:r>
      <w:r w:rsidRPr="00171378">
        <w:rPr>
          <w:rFonts w:cs="Tahoma"/>
          <w:color w:val="000000"/>
        </w:rPr>
        <w:t xml:space="preserve"> and feminist technoscience studies – all of which are concerned about the politics of knowledge production</w:t>
      </w:r>
      <w:r w:rsidR="00DF3EF0">
        <w:rPr>
          <w:rFonts w:cs="Tahoma"/>
          <w:color w:val="000000"/>
        </w:rPr>
        <w:t>, asking</w:t>
      </w:r>
      <w:r w:rsidRPr="00171378">
        <w:rPr>
          <w:rFonts w:cs="Tahoma"/>
          <w:color w:val="000000"/>
        </w:rPr>
        <w:t>: Who gets to research and who is researched? What methods produce strong research findings that contribute to social justice? What kind of research garners the m</w:t>
      </w:r>
      <w:r w:rsidR="00AF4FAD">
        <w:rPr>
          <w:rFonts w:cs="Tahoma"/>
          <w:color w:val="000000"/>
        </w:rPr>
        <w:t>ost resources? In what ways might</w:t>
      </w:r>
      <w:r w:rsidRPr="00171378">
        <w:rPr>
          <w:rFonts w:cs="Tahoma"/>
          <w:color w:val="000000"/>
        </w:rPr>
        <w:t xml:space="preserve"> research reproduce social inequalities? </w:t>
      </w:r>
      <w:r w:rsidR="00BF54C6">
        <w:rPr>
          <w:rFonts w:cs="Tahoma"/>
          <w:color w:val="000000"/>
        </w:rPr>
        <w:t>I am inspired by scholars who trouble the notion that objective research methods are somehow more ethically suspect than</w:t>
      </w:r>
      <w:r w:rsidR="00DF3EF0">
        <w:rPr>
          <w:rFonts w:cs="Tahoma"/>
          <w:color w:val="000000"/>
        </w:rPr>
        <w:t xml:space="preserve"> subjective </w:t>
      </w:r>
      <w:r w:rsidR="00AF4FAD">
        <w:rPr>
          <w:rFonts w:cs="Tahoma"/>
          <w:color w:val="000000"/>
        </w:rPr>
        <w:t>ones</w:t>
      </w:r>
      <w:r w:rsidR="00BF54C6">
        <w:rPr>
          <w:rFonts w:cs="Tahoma"/>
          <w:color w:val="000000"/>
        </w:rPr>
        <w:t xml:space="preserve">, </w:t>
      </w:r>
      <w:r w:rsidR="00DF3EF0">
        <w:rPr>
          <w:rFonts w:cs="Tahoma"/>
          <w:color w:val="000000"/>
        </w:rPr>
        <w:t xml:space="preserve">refusing to accept that reflexivity is a panacea (for example, </w:t>
      </w:r>
      <w:r w:rsidR="00DF3EF0">
        <w:rPr>
          <w:rFonts w:cs="Tahoma"/>
          <w:color w:val="000000"/>
        </w:rPr>
        <w:lastRenderedPageBreak/>
        <w:t>Haraway 1991),</w:t>
      </w:r>
      <w:r w:rsidR="00AF4FAD">
        <w:rPr>
          <w:rFonts w:cs="Tahoma"/>
          <w:color w:val="000000"/>
        </w:rPr>
        <w:t xml:space="preserve"> and</w:t>
      </w:r>
      <w:r w:rsidR="00DF3EF0">
        <w:rPr>
          <w:rFonts w:cs="Tahoma"/>
          <w:color w:val="000000"/>
        </w:rPr>
        <w:t xml:space="preserve"> examining</w:t>
      </w:r>
      <w:r w:rsidR="00BF54C6">
        <w:rPr>
          <w:rFonts w:cs="Tahoma"/>
          <w:color w:val="000000"/>
        </w:rPr>
        <w:t xml:space="preserve"> how the subjectivity of the researcher materialises in practice </w:t>
      </w:r>
      <w:r w:rsidR="00BF54C6" w:rsidRPr="00BD2000">
        <w:rPr>
          <w:rFonts w:ascii="Calibri" w:hAnsi="Calibri"/>
        </w:rPr>
        <w:t>(Blackman et al. 2008)</w:t>
      </w:r>
      <w:r w:rsidR="00BF54C6">
        <w:rPr>
          <w:rFonts w:cs="Tahoma"/>
          <w:color w:val="000000"/>
        </w:rPr>
        <w:t xml:space="preserve">. I bring these </w:t>
      </w:r>
      <w:r w:rsidR="00DF3EF0">
        <w:rPr>
          <w:rFonts w:cs="Tahoma"/>
          <w:color w:val="000000"/>
        </w:rPr>
        <w:t>contentions</w:t>
      </w:r>
      <w:r w:rsidR="00BF54C6">
        <w:rPr>
          <w:rFonts w:cs="Tahoma"/>
          <w:color w:val="000000"/>
        </w:rPr>
        <w:t xml:space="preserve"> into conversation with the contemporary efforts to decolonize sociology</w:t>
      </w:r>
      <w:r w:rsidR="00063F6C">
        <w:rPr>
          <w:rFonts w:cs="Tahoma"/>
          <w:color w:val="000000"/>
        </w:rPr>
        <w:t xml:space="preserve"> </w:t>
      </w:r>
      <w:r w:rsidR="00DF3EF0" w:rsidRPr="00DF3EF0">
        <w:rPr>
          <w:rFonts w:ascii="Calibri" w:hAnsi="Calibri"/>
        </w:rPr>
        <w:t xml:space="preserve">(see for example, </w:t>
      </w:r>
      <w:proofErr w:type="spellStart"/>
      <w:r w:rsidR="00DF3EF0" w:rsidRPr="00DF3EF0">
        <w:rPr>
          <w:rFonts w:ascii="Calibri" w:hAnsi="Calibri"/>
        </w:rPr>
        <w:t>Bhambra</w:t>
      </w:r>
      <w:proofErr w:type="spellEnd"/>
      <w:r w:rsidR="00DF3EF0" w:rsidRPr="00DF3EF0">
        <w:rPr>
          <w:rFonts w:ascii="Calibri" w:hAnsi="Calibri"/>
        </w:rPr>
        <w:t xml:space="preserve"> 2015; Tyler 2017)</w:t>
      </w:r>
      <w:r w:rsidR="00DF3EF0">
        <w:rPr>
          <w:rFonts w:cs="Tahoma"/>
          <w:color w:val="000000"/>
        </w:rPr>
        <w:t xml:space="preserve">, </w:t>
      </w:r>
      <w:r w:rsidR="00063F6C">
        <w:rPr>
          <w:rFonts w:cs="Tahoma"/>
          <w:color w:val="000000"/>
        </w:rPr>
        <w:t>which</w:t>
      </w:r>
      <w:r w:rsidR="00BF54C6">
        <w:rPr>
          <w:rFonts w:cs="Tahoma"/>
          <w:color w:val="000000"/>
        </w:rPr>
        <w:t xml:space="preserve"> historically situate and confront the field’s canon and foundations</w:t>
      </w:r>
      <w:r w:rsidR="00063F6C">
        <w:rPr>
          <w:rFonts w:cs="Tahoma"/>
          <w:color w:val="000000"/>
        </w:rPr>
        <w:t xml:space="preserve"> as actively crafting the ‘techniques of racial domination’ (Ferguson cited in Tyler 2017). I extend this </w:t>
      </w:r>
      <w:r w:rsidR="00BD749F">
        <w:rPr>
          <w:rFonts w:cs="Tahoma"/>
          <w:color w:val="000000"/>
        </w:rPr>
        <w:t xml:space="preserve">move into the sociology/anthropology of mental health, in an attempt to </w:t>
      </w:r>
      <w:proofErr w:type="spellStart"/>
      <w:r w:rsidR="00BD749F">
        <w:rPr>
          <w:rFonts w:cs="Tahoma"/>
          <w:color w:val="000000"/>
        </w:rPr>
        <w:t>desanitize</w:t>
      </w:r>
      <w:proofErr w:type="spellEnd"/>
      <w:r w:rsidR="00BD749F">
        <w:rPr>
          <w:rFonts w:cs="Tahoma"/>
          <w:color w:val="000000"/>
        </w:rPr>
        <w:t xml:space="preserve"> the tradition. I seek out ways of unlearning what we know and how we know mental health, refusing the con</w:t>
      </w:r>
      <w:r w:rsidR="00AF4FAD">
        <w:rPr>
          <w:rFonts w:cs="Tahoma"/>
          <w:color w:val="000000"/>
        </w:rPr>
        <w:t xml:space="preserve">cepts already available to us, </w:t>
      </w:r>
      <w:r w:rsidR="00BD749F">
        <w:rPr>
          <w:rFonts w:cs="Tahoma"/>
          <w:color w:val="000000"/>
        </w:rPr>
        <w:t xml:space="preserve">asking how we might know madness differently and what methods and theories we might use in this task. The field of Mad Studies, like Black Sociology, offers us new </w:t>
      </w:r>
      <w:r w:rsidR="00274C29">
        <w:rPr>
          <w:rFonts w:cs="Tahoma"/>
          <w:color w:val="000000"/>
        </w:rPr>
        <w:t xml:space="preserve">routes </w:t>
      </w:r>
      <w:r w:rsidR="00BD749F">
        <w:rPr>
          <w:rFonts w:cs="Tahoma"/>
          <w:color w:val="000000"/>
        </w:rPr>
        <w:t>that go beyond</w:t>
      </w:r>
      <w:r w:rsidR="00274C29">
        <w:rPr>
          <w:rFonts w:cs="Tahoma"/>
          <w:color w:val="000000"/>
        </w:rPr>
        <w:t xml:space="preserve"> formalised academic scholarship that are rooted in a long history of mad people’s dissent, writing, political action and research.</w:t>
      </w:r>
    </w:p>
    <w:p w14:paraId="385386D8" w14:textId="2F9719BD" w:rsidR="008942D1" w:rsidRPr="00171378" w:rsidRDefault="008942D1" w:rsidP="008942D1">
      <w:pPr>
        <w:spacing w:line="480" w:lineRule="auto"/>
      </w:pPr>
      <w:r w:rsidRPr="00171378">
        <w:t xml:space="preserve">I </w:t>
      </w:r>
      <w:r>
        <w:t xml:space="preserve">follow </w:t>
      </w:r>
      <w:r w:rsidRPr="00171378">
        <w:t>lines of connection between</w:t>
      </w:r>
      <w:r w:rsidR="00D65F4E">
        <w:t xml:space="preserve"> debates in anthropology and </w:t>
      </w:r>
      <w:r w:rsidRPr="00171378">
        <w:t xml:space="preserve">mental health that examine how experience and identity are deployed in research. Rather </w:t>
      </w:r>
      <w:r>
        <w:t>than</w:t>
      </w:r>
      <w:r w:rsidRPr="00171378">
        <w:t xml:space="preserve"> review the li</w:t>
      </w:r>
      <w:r w:rsidR="00D65F4E">
        <w:t xml:space="preserve">terature extensively, I </w:t>
      </w:r>
      <w:r>
        <w:t xml:space="preserve">trace these shared histories as precepts </w:t>
      </w:r>
      <w:r w:rsidRPr="00171378">
        <w:t xml:space="preserve">that determine the shape and findings of my research. </w:t>
      </w:r>
      <w:r>
        <w:t>What follows moves between disciplines, ethnographic accounts, and points in history, highlighting moments of resonance, but not asserting commensurability. Instead, I use these moments to think with the ways in which the use of experiential knowledge has been discussed and developed across time and disciplinary boundaries. I aim to counter the popular anti-identity politics argument in European theory, asserting that there are politically valid reasons for deploying the expertise of experience in social research.</w:t>
      </w:r>
    </w:p>
    <w:p w14:paraId="1E04405E" w14:textId="239AA9D3" w:rsidR="00BD749F" w:rsidRDefault="00BD749F" w:rsidP="008E6253">
      <w:pPr>
        <w:spacing w:line="480" w:lineRule="auto"/>
        <w:rPr>
          <w:rFonts w:cs="Tahoma"/>
          <w:color w:val="000000"/>
        </w:rPr>
      </w:pPr>
    </w:p>
    <w:p w14:paraId="36E0E252" w14:textId="30E4AF90" w:rsidR="00506AD6" w:rsidRPr="00171378" w:rsidRDefault="00171378" w:rsidP="00775118">
      <w:pPr>
        <w:pStyle w:val="Heading2"/>
        <w:rPr>
          <w:rFonts w:asciiTheme="minorHAnsi" w:hAnsiTheme="minorHAnsi"/>
        </w:rPr>
      </w:pPr>
      <w:r>
        <w:rPr>
          <w:rFonts w:asciiTheme="minorHAnsi" w:hAnsiTheme="minorHAnsi"/>
        </w:rPr>
        <w:t>Scene One: designing the research and gaining ethical approval</w:t>
      </w:r>
    </w:p>
    <w:p w14:paraId="6937A2EB" w14:textId="2721431F" w:rsidR="00AE37D6" w:rsidRPr="00171378" w:rsidRDefault="00DA17B7" w:rsidP="008E6253">
      <w:pPr>
        <w:spacing w:line="480" w:lineRule="auto"/>
      </w:pPr>
      <w:r w:rsidRPr="00171378">
        <w:t xml:space="preserve">I designed the research </w:t>
      </w:r>
      <w:proofErr w:type="spellStart"/>
      <w:r w:rsidR="00AF4FAD" w:rsidRPr="00AF4FAD">
        <w:rPr>
          <w:i/>
        </w:rPr>
        <w:t>Create</w:t>
      </w:r>
      <w:r w:rsidR="005C01C4" w:rsidRPr="00AF4FAD">
        <w:rPr>
          <w:i/>
        </w:rPr>
        <w:t>’s</w:t>
      </w:r>
      <w:proofErr w:type="spellEnd"/>
      <w:r w:rsidR="005C01C4">
        <w:t xml:space="preserve"> </w:t>
      </w:r>
      <w:r w:rsidR="00386194" w:rsidRPr="00171378">
        <w:t>manager</w:t>
      </w:r>
      <w:r w:rsidRPr="00171378">
        <w:t xml:space="preserve"> and </w:t>
      </w:r>
      <w:r w:rsidR="00386194" w:rsidRPr="00171378">
        <w:t>the O</w:t>
      </w:r>
      <w:r w:rsidR="00814930" w:rsidRPr="00171378">
        <w:t xml:space="preserve">ccupational </w:t>
      </w:r>
      <w:r w:rsidR="00386194" w:rsidRPr="00171378">
        <w:t>T</w:t>
      </w:r>
      <w:r w:rsidR="00814930" w:rsidRPr="00171378">
        <w:t>herap</w:t>
      </w:r>
      <w:r w:rsidR="00274C29">
        <w:t xml:space="preserve">ist, who </w:t>
      </w:r>
      <w:r w:rsidR="004F1F2E" w:rsidRPr="00171378">
        <w:t>were both</w:t>
      </w:r>
      <w:r w:rsidR="00416DC2" w:rsidRPr="00171378">
        <w:t xml:space="preserve"> </w:t>
      </w:r>
      <w:r w:rsidR="004F1F2E" w:rsidRPr="00171378">
        <w:t>keen for me to get the experience of what</w:t>
      </w:r>
      <w:r w:rsidR="00AC65B3">
        <w:t xml:space="preserve"> it’s like to be a service-user,</w:t>
      </w:r>
      <w:r w:rsidR="00283C14">
        <w:t xml:space="preserve"> believing </w:t>
      </w:r>
      <w:r w:rsidR="00AC65B3">
        <w:t xml:space="preserve">that this was </w:t>
      </w:r>
      <w:r w:rsidR="00CF47EF" w:rsidRPr="00171378">
        <w:t xml:space="preserve">the </w:t>
      </w:r>
      <w:r w:rsidR="00CF47EF" w:rsidRPr="00171378">
        <w:rPr>
          <w:i/>
        </w:rPr>
        <w:t>only</w:t>
      </w:r>
      <w:r w:rsidR="00CF47EF" w:rsidRPr="00171378">
        <w:t xml:space="preserve"> way to understand </w:t>
      </w:r>
      <w:r w:rsidR="00814930" w:rsidRPr="00171378">
        <w:t xml:space="preserve">in detail </w:t>
      </w:r>
      <w:r w:rsidR="00CF47EF" w:rsidRPr="00171378">
        <w:t xml:space="preserve">what they had designed. </w:t>
      </w:r>
      <w:r w:rsidR="004F1F2E" w:rsidRPr="00171378">
        <w:t xml:space="preserve">Thus, it was proposed that I would conduct ethnographic research by accessing the service </w:t>
      </w:r>
      <w:r w:rsidR="00416DC2" w:rsidRPr="00171378">
        <w:rPr>
          <w:i/>
        </w:rPr>
        <w:t>as a service-user</w:t>
      </w:r>
      <w:r w:rsidR="004F1F2E" w:rsidRPr="00171378">
        <w:rPr>
          <w:i/>
        </w:rPr>
        <w:t xml:space="preserve"> </w:t>
      </w:r>
      <w:r w:rsidR="004F1F2E" w:rsidRPr="00171378">
        <w:t xml:space="preserve">for six months.  </w:t>
      </w:r>
      <w:r w:rsidR="00283C14">
        <w:t>However, t</w:t>
      </w:r>
      <w:r w:rsidR="00814930" w:rsidRPr="00171378">
        <w:t>wo</w:t>
      </w:r>
      <w:r w:rsidR="00444E8E" w:rsidRPr="00171378">
        <w:t xml:space="preserve"> </w:t>
      </w:r>
      <w:r w:rsidR="00444E8E" w:rsidRPr="00171378">
        <w:lastRenderedPageBreak/>
        <w:t>points of contention in my proposed meth</w:t>
      </w:r>
      <w:r w:rsidR="00814930" w:rsidRPr="00171378">
        <w:t>od of participatory observation</w:t>
      </w:r>
      <w:r w:rsidR="00444E8E" w:rsidRPr="00171378">
        <w:t xml:space="preserve"> arose during </w:t>
      </w:r>
      <w:r w:rsidR="006E57E7" w:rsidRPr="00171378">
        <w:t>my questioning at the NHS Re</w:t>
      </w:r>
      <w:r w:rsidR="00444E8E" w:rsidRPr="00171378">
        <w:t xml:space="preserve">search Ethics Committee </w:t>
      </w:r>
      <w:r w:rsidR="00814930" w:rsidRPr="00171378">
        <w:t xml:space="preserve">(REC) </w:t>
      </w:r>
      <w:r w:rsidR="00444E8E" w:rsidRPr="00171378">
        <w:t xml:space="preserve">review. Here, </w:t>
      </w:r>
      <w:r w:rsidR="006E57E7" w:rsidRPr="00171378">
        <w:t xml:space="preserve">I was asked specifically about how my presence might change the experience for the “real” service-users: how would I reduce the risk that my participation might have a negative effect </w:t>
      </w:r>
      <w:r w:rsidR="0033372D" w:rsidRPr="00171378">
        <w:t xml:space="preserve">on the </w:t>
      </w:r>
      <w:r w:rsidR="00283C14">
        <w:t xml:space="preserve">service’s </w:t>
      </w:r>
      <w:r w:rsidR="0033372D" w:rsidRPr="00171378">
        <w:t xml:space="preserve">therapeutic outcomes for them? </w:t>
      </w:r>
      <w:r w:rsidR="00444E8E" w:rsidRPr="00171378">
        <w:t xml:space="preserve">Secondly, </w:t>
      </w:r>
      <w:r w:rsidR="003F2976" w:rsidRPr="00171378">
        <w:t xml:space="preserve">I was asked what </w:t>
      </w:r>
      <w:r w:rsidR="007A5DD1" w:rsidRPr="00171378">
        <w:t>use</w:t>
      </w:r>
      <w:r w:rsidR="003F2976" w:rsidRPr="00171378">
        <w:t xml:space="preserve"> my accessing the service </w:t>
      </w:r>
      <w:r w:rsidR="007A5DD1" w:rsidRPr="00171378">
        <w:t>“</w:t>
      </w:r>
      <w:r w:rsidR="003F2976" w:rsidRPr="00171378">
        <w:t>as a service-user</w:t>
      </w:r>
      <w:r w:rsidR="007A5DD1" w:rsidRPr="00171378">
        <w:t>” was</w:t>
      </w:r>
      <w:r w:rsidR="007736A2" w:rsidRPr="00171378">
        <w:t>,</w:t>
      </w:r>
      <w:r w:rsidR="003F2976" w:rsidRPr="00171378">
        <w:t xml:space="preserve"> considering I wasn’t a “real” service-user and I didn’t have mental health p</w:t>
      </w:r>
      <w:r w:rsidR="007A5DD1" w:rsidRPr="00171378">
        <w:t>roblems. The committee member</w:t>
      </w:r>
      <w:r w:rsidR="003F2976" w:rsidRPr="00171378">
        <w:t>s</w:t>
      </w:r>
      <w:r w:rsidR="007A5DD1" w:rsidRPr="00171378">
        <w:t>’</w:t>
      </w:r>
      <w:r w:rsidR="003F2976" w:rsidRPr="00171378">
        <w:t xml:space="preserve"> question</w:t>
      </w:r>
      <w:r w:rsidR="00AF4FAD">
        <w:t>s delineate</w:t>
      </w:r>
      <w:r w:rsidR="003F2976" w:rsidRPr="00171378">
        <w:t xml:space="preserve"> the category “service-user” as comprising </w:t>
      </w:r>
      <w:r w:rsidR="00555AE3" w:rsidRPr="00171378">
        <w:t>people</w:t>
      </w:r>
      <w:r w:rsidR="003F2976" w:rsidRPr="00171378">
        <w:t xml:space="preserve"> with a </w:t>
      </w:r>
      <w:r w:rsidR="00814930" w:rsidRPr="00171378">
        <w:t>specific</w:t>
      </w:r>
      <w:r w:rsidR="003F2976" w:rsidRPr="00171378">
        <w:t xml:space="preserve"> set of experiences that makes them amenable to </w:t>
      </w:r>
      <w:proofErr w:type="spellStart"/>
      <w:r w:rsidR="00AF4FAD">
        <w:rPr>
          <w:i/>
        </w:rPr>
        <w:t>Create’s</w:t>
      </w:r>
      <w:proofErr w:type="spellEnd"/>
      <w:r w:rsidR="005C01C4">
        <w:rPr>
          <w:i/>
        </w:rPr>
        <w:t xml:space="preserve"> </w:t>
      </w:r>
      <w:r w:rsidR="003F2976" w:rsidRPr="00171378">
        <w:t xml:space="preserve">treatment. </w:t>
      </w:r>
      <w:r w:rsidR="007A5DD1" w:rsidRPr="00171378">
        <w:t>They also assume</w:t>
      </w:r>
      <w:r w:rsidR="003F2976" w:rsidRPr="00171378">
        <w:t xml:space="preserve"> that service-users are not PhD students or researchers</w:t>
      </w:r>
      <w:r w:rsidR="00555AE3" w:rsidRPr="00171378">
        <w:t>, that there is no overlap between these two categori</w:t>
      </w:r>
      <w:r w:rsidR="00283C14">
        <w:t>es – service-user and researche</w:t>
      </w:r>
      <w:r w:rsidR="00274C29">
        <w:t xml:space="preserve">r – which is incorrect </w:t>
      </w:r>
      <w:r w:rsidR="00274C29" w:rsidRPr="00274C29">
        <w:rPr>
          <w:rFonts w:ascii="Calibri" w:hAnsi="Calibri"/>
        </w:rPr>
        <w:t>(see for example, Sweeney et al. 2009)</w:t>
      </w:r>
      <w:r w:rsidR="00283C14">
        <w:t>.</w:t>
      </w:r>
      <w:r w:rsidR="00AE37D6" w:rsidRPr="00171378">
        <w:t xml:space="preserve"> </w:t>
      </w:r>
      <w:r w:rsidR="004715DE">
        <w:t>Regretfully, due to my limited experience</w:t>
      </w:r>
      <w:r w:rsidR="00AE37D6" w:rsidRPr="00171378">
        <w:t xml:space="preserve">, </w:t>
      </w:r>
      <w:r w:rsidR="004715DE">
        <w:t>I d</w:t>
      </w:r>
      <w:r w:rsidR="004715DE" w:rsidRPr="00171378">
        <w:t>utifully answered their questions as if they were unproblematic</w:t>
      </w:r>
      <w:r w:rsidR="004715DE">
        <w:t>, reassuring the committee</w:t>
      </w:r>
      <w:r w:rsidR="00AE37D6" w:rsidRPr="00171378">
        <w:t xml:space="preserve"> that there were good reasons for gathering </w:t>
      </w:r>
      <w:r w:rsidR="00AE37D6" w:rsidRPr="00950348">
        <w:t>a ‘patient’s eye view’</w:t>
      </w:r>
      <w:r w:rsidR="00010ECA">
        <w:t xml:space="preserve"> </w:t>
      </w:r>
      <w:r w:rsidR="00010ECA" w:rsidRPr="00010ECA">
        <w:rPr>
          <w:rFonts w:ascii="Calibri" w:hAnsi="Calibri"/>
        </w:rPr>
        <w:t>(Sedgwick 1982, 137)</w:t>
      </w:r>
      <w:r w:rsidR="00AE37D6" w:rsidRPr="00950348">
        <w:t>.</w:t>
      </w:r>
      <w:r w:rsidR="00AE37D6" w:rsidRPr="00171378">
        <w:t xml:space="preserve"> </w:t>
      </w:r>
    </w:p>
    <w:p w14:paraId="2DDD2B52" w14:textId="352A9AA9" w:rsidR="00AE37D6" w:rsidRDefault="00AE37D6" w:rsidP="008E6253">
      <w:pPr>
        <w:spacing w:line="480" w:lineRule="auto"/>
      </w:pPr>
      <w:r w:rsidRPr="00171378">
        <w:t xml:space="preserve">To the first question, I asserted that although I may be sharing </w:t>
      </w:r>
      <w:r w:rsidR="004715DE">
        <w:t>a treatment session</w:t>
      </w:r>
      <w:r w:rsidRPr="00171378">
        <w:t xml:space="preserve"> with up to four or five other people, I would be working on my own programme of activity, so it wasn’t group work per se. This </w:t>
      </w:r>
      <w:r w:rsidR="00283C14">
        <w:t>is how it was described by</w:t>
      </w:r>
      <w:r w:rsidRPr="00171378">
        <w:t xml:space="preserve"> the manager and OT of </w:t>
      </w:r>
      <w:r w:rsidR="00AF4FAD">
        <w:rPr>
          <w:i/>
        </w:rPr>
        <w:t>Create</w:t>
      </w:r>
      <w:r w:rsidR="00117A2D">
        <w:rPr>
          <w:i/>
        </w:rPr>
        <w:t>,</w:t>
      </w:r>
      <w:r w:rsidRPr="00171378">
        <w:t xml:space="preserve"> each service-user undertaking their work tailored to them, in different studio settings</w:t>
      </w:r>
      <w:r w:rsidR="007A5DD1" w:rsidRPr="00171378">
        <w:t xml:space="preserve"> with different people</w:t>
      </w:r>
      <w:r w:rsidRPr="00171378">
        <w:t xml:space="preserve">. There are groups, but these are less important than the individual exercises and journey through the service that each person takes. In addition, the </w:t>
      </w:r>
      <w:r w:rsidR="00AF4FAD">
        <w:rPr>
          <w:i/>
        </w:rPr>
        <w:t>Create</w:t>
      </w:r>
      <w:r w:rsidRPr="00171378">
        <w:t xml:space="preserve"> staff members assisting the project would ensure that I was placed in a studio with other service-users that would be able to cope with my presence (for example, I wouldn’</w:t>
      </w:r>
      <w:r w:rsidR="007A5DD1" w:rsidRPr="00171378">
        <w:t xml:space="preserve">t be placed with people who fear </w:t>
      </w:r>
      <w:r w:rsidRPr="00171378">
        <w:t xml:space="preserve">being watched), and everyone would know of my status as a researcher. </w:t>
      </w:r>
    </w:p>
    <w:p w14:paraId="7039C76F" w14:textId="5886D1DD" w:rsidR="00283C14" w:rsidRPr="00171378" w:rsidRDefault="00283C14" w:rsidP="00283C14">
      <w:pPr>
        <w:spacing w:line="480" w:lineRule="auto"/>
      </w:pPr>
      <w:r w:rsidRPr="00171378">
        <w:t xml:space="preserve">As to the question about my status as a “real” service-user, I explained that there was precedence for such work. </w:t>
      </w:r>
      <w:r w:rsidR="00AF4FAD">
        <w:rPr>
          <w:i/>
        </w:rPr>
        <w:t>Create</w:t>
      </w:r>
      <w:r w:rsidR="005C01C4">
        <w:rPr>
          <w:i/>
        </w:rPr>
        <w:t xml:space="preserve"> </w:t>
      </w:r>
      <w:r>
        <w:t>often work</w:t>
      </w:r>
      <w:r w:rsidRPr="00171378">
        <w:t xml:space="preserve"> with members of the publi</w:t>
      </w:r>
      <w:r>
        <w:t>c in gallery-based courses that</w:t>
      </w:r>
      <w:r w:rsidRPr="00171378">
        <w:t xml:space="preserve"> tie in </w:t>
      </w:r>
      <w:r w:rsidR="00AF4FAD">
        <w:t>national health strategy</w:t>
      </w:r>
      <w:r w:rsidR="00AC65B3">
        <w:t xml:space="preserve"> around mental health promotion and education</w:t>
      </w:r>
      <w:r w:rsidRPr="00171378">
        <w:t xml:space="preserve">. I cited examples of </w:t>
      </w:r>
      <w:r w:rsidR="00AF4FAD">
        <w:rPr>
          <w:i/>
        </w:rPr>
        <w:t>Create</w:t>
      </w:r>
      <w:r w:rsidR="005C01C4">
        <w:rPr>
          <w:i/>
        </w:rPr>
        <w:t xml:space="preserve"> </w:t>
      </w:r>
      <w:r w:rsidRPr="00171378">
        <w:lastRenderedPageBreak/>
        <w:t xml:space="preserve">leaflets designed for the public advising them on creative things they could do to improve their mental wellbeing. The </w:t>
      </w:r>
      <w:r>
        <w:t>dominant</w:t>
      </w:r>
      <w:r w:rsidRPr="00171378">
        <w:t xml:space="preserve"> anti-stigma discourse – that we all have mental health, and are all at risk of experiencing mental ill-health – opened a door for me to pass through.  </w:t>
      </w:r>
    </w:p>
    <w:p w14:paraId="18D3BFC9" w14:textId="3D33B21A" w:rsidR="001247EA" w:rsidRPr="00171378" w:rsidRDefault="006E57E7" w:rsidP="008E6253">
      <w:pPr>
        <w:spacing w:line="480" w:lineRule="auto"/>
      </w:pPr>
      <w:r w:rsidRPr="00171378">
        <w:t xml:space="preserve">The committee’s concerns were allayed by this response, but </w:t>
      </w:r>
      <w:r w:rsidR="0033372D" w:rsidRPr="00171378">
        <w:t xml:space="preserve">I </w:t>
      </w:r>
      <w:bookmarkStart w:id="1" w:name="_Hlk512607665"/>
      <w:r w:rsidR="003656AD" w:rsidRPr="00171378">
        <w:t>was</w:t>
      </w:r>
      <w:r w:rsidR="004715DE">
        <w:t xml:space="preserve"> discomf</w:t>
      </w:r>
      <w:r w:rsidR="001D53E6">
        <w:t>orted.</w:t>
      </w:r>
      <w:r w:rsidR="0033372D" w:rsidRPr="00171378">
        <w:t xml:space="preserve"> </w:t>
      </w:r>
      <w:r w:rsidR="007A5DD1" w:rsidRPr="00171378">
        <w:t>Mostly</w:t>
      </w:r>
      <w:bookmarkEnd w:id="1"/>
      <w:r w:rsidR="007A5DD1" w:rsidRPr="00171378">
        <w:t xml:space="preserve">, I got hung up on their assumptions that I wasn’t a real service-user, because I do </w:t>
      </w:r>
      <w:r w:rsidR="001D53E6">
        <w:t>live with distress but have</w:t>
      </w:r>
      <w:r w:rsidR="00283C14">
        <w:t xml:space="preserve"> </w:t>
      </w:r>
      <w:r w:rsidR="00AF182D">
        <w:t xml:space="preserve">not </w:t>
      </w:r>
      <w:r w:rsidR="001D53E6">
        <w:t>been psychiatrised</w:t>
      </w:r>
      <w:r w:rsidR="007A5DD1" w:rsidRPr="00171378">
        <w:t>. This was a massive distraction in my writing as I tried endlessly to place myself in a complicated Venn diagram of mad, not mad, service-user, not service-user, pretending to be</w:t>
      </w:r>
      <w:r w:rsidR="003656AD" w:rsidRPr="00171378">
        <w:t xml:space="preserve"> a service-user, researcher, and so on</w:t>
      </w:r>
      <w:r w:rsidR="007A5DD1" w:rsidRPr="00171378">
        <w:t xml:space="preserve">. </w:t>
      </w:r>
      <w:r w:rsidR="00F11E76" w:rsidRPr="00171378">
        <w:t>As the days passed, I also felt more infuriated with the committee members</w:t>
      </w:r>
      <w:r w:rsidR="004B01F1">
        <w:t>’</w:t>
      </w:r>
      <w:r w:rsidR="00F11E76" w:rsidRPr="00171378">
        <w:t xml:space="preserve"> acceptance of the research </w:t>
      </w:r>
      <w:r w:rsidR="003656AD" w:rsidRPr="00171378">
        <w:t>if</w:t>
      </w:r>
      <w:r w:rsidR="00F11E76" w:rsidRPr="00171378">
        <w:t xml:space="preserve"> I only observed myself. </w:t>
      </w:r>
      <w:r w:rsidR="001D53E6">
        <w:t>I</w:t>
      </w:r>
      <w:r w:rsidRPr="00171378">
        <w:t>t is impractical to commit only to observing one</w:t>
      </w:r>
      <w:r w:rsidR="001D53E6">
        <w:t xml:space="preserve">self when </w:t>
      </w:r>
      <w:r w:rsidRPr="00171378">
        <w:t xml:space="preserve">experience </w:t>
      </w:r>
      <w:r w:rsidR="001D53E6">
        <w:t>cannot be cleaved from its</w:t>
      </w:r>
      <w:r w:rsidRPr="00171378">
        <w:t xml:space="preserve"> context, </w:t>
      </w:r>
      <w:r w:rsidR="00AF182D">
        <w:t>and</w:t>
      </w:r>
      <w:r w:rsidR="001D53E6">
        <w:t xml:space="preserve"> at </w:t>
      </w:r>
      <w:r w:rsidR="00AF4FAD">
        <w:rPr>
          <w:i/>
        </w:rPr>
        <w:t>Create</w:t>
      </w:r>
      <w:r w:rsidR="005C01C4">
        <w:rPr>
          <w:i/>
        </w:rPr>
        <w:t xml:space="preserve"> </w:t>
      </w:r>
      <w:r w:rsidR="00AF182D">
        <w:t>that context included other people</w:t>
      </w:r>
      <w:r w:rsidRPr="00171378">
        <w:t xml:space="preserve">. </w:t>
      </w:r>
      <w:r w:rsidR="0033372D" w:rsidRPr="00171378">
        <w:t xml:space="preserve">The ethical judgement made about my research aimed to protect </w:t>
      </w:r>
      <w:r w:rsidR="004B01F1">
        <w:t>what the committee termed “vulnerable</w:t>
      </w:r>
      <w:r w:rsidR="0033372D" w:rsidRPr="00171378">
        <w:t xml:space="preserve"> service-users</w:t>
      </w:r>
      <w:r w:rsidR="004B01F1">
        <w:t xml:space="preserve">” </w:t>
      </w:r>
      <w:r w:rsidR="001247EA" w:rsidRPr="00171378">
        <w:t xml:space="preserve">from being observed, </w:t>
      </w:r>
      <w:r w:rsidR="004B01F1">
        <w:t>preserving the purity</w:t>
      </w:r>
      <w:r w:rsidR="00EC023F">
        <w:t xml:space="preserve"> of their </w:t>
      </w:r>
      <w:r w:rsidR="001247EA" w:rsidRPr="00171378">
        <w:t xml:space="preserve">experiences from my non-service-user presence. </w:t>
      </w:r>
      <w:r w:rsidR="00155E1A">
        <w:t>This implies that the experts on the committee cannot grasp the idea of parti</w:t>
      </w:r>
      <w:r w:rsidR="004B01F1">
        <w:t xml:space="preserve">cipation and observation as </w:t>
      </w:r>
      <w:r w:rsidR="00155E1A">
        <w:t>entangled practices.</w:t>
      </w:r>
      <w:r w:rsidR="001247EA" w:rsidRPr="00171378">
        <w:t xml:space="preserve"> </w:t>
      </w:r>
      <w:r w:rsidR="00FB0DC1" w:rsidRPr="00171378">
        <w:t>In</w:t>
      </w:r>
      <w:r w:rsidR="0033372D" w:rsidRPr="00171378">
        <w:t xml:space="preserve"> holding subject and objects </w:t>
      </w:r>
      <w:r w:rsidR="001247EA" w:rsidRPr="00171378">
        <w:t xml:space="preserve">in </w:t>
      </w:r>
      <w:r w:rsidRPr="00171378">
        <w:t>firmly distinct epistemological categories</w:t>
      </w:r>
      <w:r w:rsidR="001247EA" w:rsidRPr="00171378">
        <w:t>, the result is</w:t>
      </w:r>
      <w:r w:rsidR="0033372D" w:rsidRPr="00171378">
        <w:t xml:space="preserve"> no more ethically sound</w:t>
      </w:r>
      <w:r w:rsidR="001247EA" w:rsidRPr="00171378">
        <w:t>, a</w:t>
      </w:r>
      <w:r w:rsidR="00275F9F" w:rsidRPr="00171378">
        <w:t>nd it is certainly not an accurate reflection of the worlds we research.</w:t>
      </w:r>
      <w:r w:rsidR="001D3AFD" w:rsidRPr="00171378">
        <w:t xml:space="preserve"> </w:t>
      </w:r>
      <w:r w:rsidR="004B01F1">
        <w:t>Nevertheless, w</w:t>
      </w:r>
      <w:r w:rsidR="003656AD" w:rsidRPr="00171378">
        <w:t xml:space="preserve">ith these </w:t>
      </w:r>
      <w:r w:rsidR="003513D1">
        <w:t>capitulations I gained access to research as</w:t>
      </w:r>
      <w:r w:rsidR="003656AD" w:rsidRPr="00171378">
        <w:t xml:space="preserve"> a service-user </w:t>
      </w:r>
      <w:r w:rsidR="003656AD" w:rsidRPr="00171378">
        <w:rPr>
          <w:i/>
        </w:rPr>
        <w:t>would do</w:t>
      </w:r>
      <w:r w:rsidR="003656AD" w:rsidRPr="00171378">
        <w:t xml:space="preserve">, not </w:t>
      </w:r>
      <w:r w:rsidR="003656AD" w:rsidRPr="00171378">
        <w:rPr>
          <w:i/>
        </w:rPr>
        <w:t>as a service-user</w:t>
      </w:r>
      <w:r w:rsidR="003656AD" w:rsidRPr="00171378">
        <w:t xml:space="preserve">. This key distinction, </w:t>
      </w:r>
      <w:r w:rsidR="00155E1A">
        <w:t>recommended</w:t>
      </w:r>
      <w:r w:rsidR="00AC65B3">
        <w:t xml:space="preserve"> by the committee, tells you</w:t>
      </w:r>
      <w:r w:rsidR="003656AD" w:rsidRPr="00171378">
        <w:t xml:space="preserve"> that I am not a “real” service-user, and that I am only </w:t>
      </w:r>
      <w:r w:rsidR="00FB0DC1" w:rsidRPr="00171378">
        <w:t>allowed to consider</w:t>
      </w:r>
      <w:r w:rsidR="003656AD" w:rsidRPr="00171378">
        <w:t xml:space="preserve"> my experience as an individual without context. </w:t>
      </w:r>
      <w:r w:rsidR="00FB0DC1" w:rsidRPr="00171378">
        <w:t>To make sense of this change in methodological terms, I reached for the language of autoethnography</w:t>
      </w:r>
      <w:r w:rsidR="00155E1A">
        <w:t>.</w:t>
      </w:r>
    </w:p>
    <w:p w14:paraId="5A870036" w14:textId="1C9B7733" w:rsidR="00A12385" w:rsidRPr="00171378" w:rsidRDefault="000A6D6A" w:rsidP="003513D1">
      <w:pPr>
        <w:pStyle w:val="Heading2"/>
        <w:rPr>
          <w:rFonts w:asciiTheme="minorHAnsi" w:hAnsiTheme="minorHAnsi"/>
        </w:rPr>
      </w:pPr>
      <w:r w:rsidRPr="00171378">
        <w:rPr>
          <w:rFonts w:asciiTheme="minorHAnsi" w:hAnsiTheme="minorHAnsi"/>
        </w:rPr>
        <w:t>(Auto)</w:t>
      </w:r>
      <w:r w:rsidR="008D6536">
        <w:rPr>
          <w:rFonts w:asciiTheme="minorHAnsi" w:hAnsiTheme="minorHAnsi"/>
        </w:rPr>
        <w:t>Ethnography</w:t>
      </w:r>
    </w:p>
    <w:p w14:paraId="54CF00FE" w14:textId="35BD84C2" w:rsidR="00BD50FE" w:rsidRPr="00171378" w:rsidRDefault="00F002FF" w:rsidP="00754021">
      <w:pPr>
        <w:autoSpaceDE w:val="0"/>
        <w:autoSpaceDN w:val="0"/>
        <w:adjustRightInd w:val="0"/>
        <w:spacing w:line="480" w:lineRule="auto"/>
      </w:pPr>
      <w:r>
        <w:t xml:space="preserve">Autoethnography is a slippery term; in </w:t>
      </w:r>
      <w:proofErr w:type="gramStart"/>
      <w:r>
        <w:t>general</w:t>
      </w:r>
      <w:proofErr w:type="gramEnd"/>
      <w:r>
        <w:t xml:space="preserve"> it refers to ‘the use of personal experience to examine and/or critique cultural experience’ </w:t>
      </w:r>
      <w:r w:rsidRPr="00F002FF">
        <w:rPr>
          <w:rFonts w:ascii="Calibri" w:hAnsi="Calibri"/>
        </w:rPr>
        <w:t>(Holman Jones, Adams, and Ellis 2015, 22)</w:t>
      </w:r>
      <w:r>
        <w:t xml:space="preserve">. </w:t>
      </w:r>
      <w:r w:rsidR="00A12385" w:rsidRPr="00125DDF">
        <w:t>Although recently amassing enough publications and authors to qualify as a recognisable fi</w:t>
      </w:r>
      <w:r>
        <w:t xml:space="preserve">eld, autoethnography has a longer </w:t>
      </w:r>
      <w:r w:rsidR="00A12385" w:rsidRPr="00125DDF">
        <w:t>history stretching back into the early days of Western Anthropology</w:t>
      </w:r>
      <w:r w:rsidR="00A12385" w:rsidRPr="00171378">
        <w:t xml:space="preserve">. </w:t>
      </w:r>
      <w:r w:rsidR="00EC023F">
        <w:t>Traditionally, w</w:t>
      </w:r>
      <w:r w:rsidR="00A12385" w:rsidRPr="00171378">
        <w:t xml:space="preserve">hite Western anthropologists undertook </w:t>
      </w:r>
      <w:r w:rsidR="006C43CF" w:rsidRPr="00171378">
        <w:t xml:space="preserve">ethnographic </w:t>
      </w:r>
      <w:r w:rsidR="00A12385" w:rsidRPr="00171378">
        <w:t xml:space="preserve">fieldwork with </w:t>
      </w:r>
      <w:r w:rsidR="006C43CF" w:rsidRPr="00171378">
        <w:t xml:space="preserve">remote tribes </w:t>
      </w:r>
      <w:r w:rsidR="006C43CF" w:rsidRPr="00171378">
        <w:lastRenderedPageBreak/>
        <w:t>and cultures; their work was</w:t>
      </w:r>
      <w:r w:rsidR="00A12385" w:rsidRPr="00171378">
        <w:t xml:space="preserve"> part of a wider colonial and imperial imperative to produce “objective” knowledge about the “other” in ways </w:t>
      </w:r>
      <w:r w:rsidR="005E56E3">
        <w:t xml:space="preserve">that reproduced white supremacy </w:t>
      </w:r>
      <w:r w:rsidR="005E56E3" w:rsidRPr="005E56E3">
        <w:rPr>
          <w:rFonts w:ascii="Calibri" w:hAnsi="Calibri"/>
        </w:rPr>
        <w:t>(Ahmed 2002)</w:t>
      </w:r>
      <w:r w:rsidR="00A12385" w:rsidRPr="00171378">
        <w:t xml:space="preserve">. </w:t>
      </w:r>
      <w:r w:rsidR="00B36521">
        <w:t>At the turn of the twentieth century</w:t>
      </w:r>
      <w:r w:rsidR="00DE2655" w:rsidRPr="00171378">
        <w:t xml:space="preserve">, there is evidence of “native” anthropologists - so-called “natives” recruited and trained by white male anthropologists </w:t>
      </w:r>
      <w:r w:rsidR="00B36521">
        <w:t xml:space="preserve">(such as Franz Boas) </w:t>
      </w:r>
      <w:r w:rsidR="00DE2655" w:rsidRPr="00171378">
        <w:t xml:space="preserve">to collect more “authentic” and “representative” data about the tribes or culture they belonged to (Jones, 1970).  As </w:t>
      </w:r>
      <w:r w:rsidR="00754021">
        <w:t xml:space="preserve">anthropologist </w:t>
      </w:r>
      <w:proofErr w:type="spellStart"/>
      <w:r w:rsidR="00DE2655" w:rsidRPr="00171378">
        <w:t>Delmos</w:t>
      </w:r>
      <w:proofErr w:type="spellEnd"/>
      <w:r w:rsidR="00DE2655" w:rsidRPr="00171378">
        <w:t xml:space="preserve"> Jones</w:t>
      </w:r>
      <w:r w:rsidR="00754021">
        <w:t xml:space="preserve"> (1970) observed</w:t>
      </w:r>
      <w:r w:rsidR="00DE2655" w:rsidRPr="00171378">
        <w:t xml:space="preserve">, this involved </w:t>
      </w:r>
      <w:r w:rsidR="00754021">
        <w:t>exploiting</w:t>
      </w:r>
      <w:r w:rsidR="00DE2655" w:rsidRPr="00171378">
        <w:t xml:space="preserve"> “natives” as ‘potential “tools” to be used to provide important information to the “real,” white male anthropologists’ </w:t>
      </w:r>
      <w:r w:rsidR="00CD0A33" w:rsidRPr="00171378">
        <w:t>(</w:t>
      </w:r>
      <w:r w:rsidR="00DE2655" w:rsidRPr="00171378">
        <w:t>p. 252)</w:t>
      </w:r>
      <w:r w:rsidR="00BD50FE" w:rsidRPr="00171378">
        <w:t xml:space="preserve">; the native anthropologists may </w:t>
      </w:r>
      <w:r w:rsidR="00125DDF">
        <w:t xml:space="preserve">study </w:t>
      </w:r>
      <w:r w:rsidR="00BD50FE" w:rsidRPr="00171378">
        <w:t xml:space="preserve">their own culture, </w:t>
      </w:r>
      <w:r w:rsidR="005E56E3">
        <w:t xml:space="preserve">but the </w:t>
      </w:r>
      <w:r w:rsidR="00BD50FE" w:rsidRPr="00171378">
        <w:t>study of the “other” was preserved for outsiders (read white, Western, male, c</w:t>
      </w:r>
      <w:r w:rsidR="0034258B">
        <w:t>olonial). T</w:t>
      </w:r>
      <w:r w:rsidR="00BD50FE" w:rsidRPr="00171378">
        <w:t>he native insider becomes an access point for a supposedly more penetrating</w:t>
      </w:r>
      <w:r w:rsidR="0034258B">
        <w:t xml:space="preserve"> outsider</w:t>
      </w:r>
      <w:r w:rsidR="00BD50FE" w:rsidRPr="00171378">
        <w:t xml:space="preserve"> </w:t>
      </w:r>
      <w:r w:rsidR="006C43CF" w:rsidRPr="00171378">
        <w:t xml:space="preserve">(white, western, male, colonial) </w:t>
      </w:r>
      <w:r w:rsidR="00BD50FE" w:rsidRPr="00171378">
        <w:t>ethnograp</w:t>
      </w:r>
      <w:r w:rsidR="00754021">
        <w:t>hic gaze.</w:t>
      </w:r>
    </w:p>
    <w:p w14:paraId="1C6A283D" w14:textId="06768EDB" w:rsidR="00DE2655" w:rsidRPr="00171378" w:rsidRDefault="00AD5AC4" w:rsidP="008E6253">
      <w:pPr>
        <w:autoSpaceDE w:val="0"/>
        <w:autoSpaceDN w:val="0"/>
        <w:adjustRightInd w:val="0"/>
        <w:spacing w:after="0" w:line="480" w:lineRule="auto"/>
        <w:rPr>
          <w:rFonts w:cs="Times New Roman"/>
        </w:rPr>
      </w:pPr>
      <w:r>
        <w:t>During</w:t>
      </w:r>
      <w:r w:rsidR="00904E2D">
        <w:t xml:space="preserve"> the</w:t>
      </w:r>
      <w:r>
        <w:t xml:space="preserve"> </w:t>
      </w:r>
      <w:r w:rsidR="00BD50FE" w:rsidRPr="00171378">
        <w:t>1960s</w:t>
      </w:r>
      <w:r>
        <w:t>, i</w:t>
      </w:r>
      <w:r w:rsidR="00BD50FE" w:rsidRPr="00171378">
        <w:t>ndustrialisation, globalisation</w:t>
      </w:r>
      <w:r>
        <w:t>, decolonization</w:t>
      </w:r>
      <w:r w:rsidR="00BD50FE" w:rsidRPr="00171378">
        <w:t xml:space="preserve"> and other geo-political and local forces displaced, absorbed or destroyed</w:t>
      </w:r>
      <w:r w:rsidR="006C43CF" w:rsidRPr="00171378">
        <w:t xml:space="preserve"> many of</w:t>
      </w:r>
      <w:r w:rsidR="00BD50FE" w:rsidRPr="00171378">
        <w:t xml:space="preserve"> the tribes that most anthropologists sought t</w:t>
      </w:r>
      <w:r>
        <w:t xml:space="preserve">o study, whilst </w:t>
      </w:r>
      <w:r w:rsidRPr="00171378">
        <w:t>access to the field and funding to carry out research abroad became limited</w:t>
      </w:r>
      <w:r>
        <w:t xml:space="preserve"> </w:t>
      </w:r>
      <w:r w:rsidRPr="00AD5AC4">
        <w:rPr>
          <w:rFonts w:ascii="Calibri" w:hAnsi="Calibri"/>
        </w:rPr>
        <w:t>(</w:t>
      </w:r>
      <w:proofErr w:type="spellStart"/>
      <w:r w:rsidRPr="00AD5AC4">
        <w:rPr>
          <w:rFonts w:ascii="Calibri" w:hAnsi="Calibri"/>
        </w:rPr>
        <w:t>Hayano</w:t>
      </w:r>
      <w:proofErr w:type="spellEnd"/>
      <w:r w:rsidRPr="00AD5AC4">
        <w:rPr>
          <w:rFonts w:ascii="Calibri" w:hAnsi="Calibri"/>
        </w:rPr>
        <w:t xml:space="preserve"> 1979, 99)</w:t>
      </w:r>
      <w:r w:rsidR="0089137E">
        <w:t xml:space="preserve">. This </w:t>
      </w:r>
      <w:r w:rsidR="00BD50FE" w:rsidRPr="00171378">
        <w:t>led to many a</w:t>
      </w:r>
      <w:r w:rsidR="00AC65B3">
        <w:t xml:space="preserve">nthropologists </w:t>
      </w:r>
      <w:r w:rsidR="00BD50FE" w:rsidRPr="00171378">
        <w:t>carrying out fieldwork at home. Concurrently, there was a rise in ‘minority and for</w:t>
      </w:r>
      <w:r w:rsidR="00AC65B3">
        <w:t xml:space="preserve">eign anthropologists ... </w:t>
      </w:r>
      <w:r w:rsidR="00BD50FE" w:rsidRPr="00171378">
        <w:t xml:space="preserve">doing ethnography in their home territories’ (ibid). </w:t>
      </w:r>
      <w:r w:rsidR="00AC65B3">
        <w:t>Ideas about</w:t>
      </w:r>
      <w:r w:rsidR="00BD50FE" w:rsidRPr="00171378">
        <w:t xml:space="preserve"> who an anthropologist could be</w:t>
      </w:r>
      <w:r w:rsidR="0089137E">
        <w:t>,</w:t>
      </w:r>
      <w:r w:rsidR="00BD50FE" w:rsidRPr="00171378">
        <w:t xml:space="preserve"> and who they could study</w:t>
      </w:r>
      <w:r w:rsidR="0089137E">
        <w:t>,</w:t>
      </w:r>
      <w:r w:rsidR="00BD50FE" w:rsidRPr="00171378">
        <w:t xml:space="preserve"> were only really shifting for white anthropologists, as non-Western researchers from outside of the US were ‘expected to study their own peoples</w:t>
      </w:r>
      <w:r w:rsidR="0089137E">
        <w:t>’</w:t>
      </w:r>
      <w:r w:rsidR="00BD50FE" w:rsidRPr="00171378">
        <w:t xml:space="preserve"> (</w:t>
      </w:r>
      <w:proofErr w:type="spellStart"/>
      <w:r w:rsidR="00BD50FE" w:rsidRPr="00171378">
        <w:t>Hayano</w:t>
      </w:r>
      <w:proofErr w:type="spellEnd"/>
      <w:r w:rsidR="00BD50FE" w:rsidRPr="00171378">
        <w:t>, 1979, p. 101)</w:t>
      </w:r>
      <w:r w:rsidR="0089137E">
        <w:t>, and s</w:t>
      </w:r>
      <w:r w:rsidR="00BD50FE" w:rsidRPr="00171378">
        <w:t>ome were even told that they could not become an anthropologist because</w:t>
      </w:r>
      <w:r w:rsidR="00BD50FE" w:rsidRPr="00171378">
        <w:rPr>
          <w:rFonts w:cs="Times New Roman"/>
        </w:rPr>
        <w:t xml:space="preserve"> ‘</w:t>
      </w:r>
      <w:r w:rsidR="00AF0858">
        <w:t>anthropology was for outsiders</w:t>
      </w:r>
      <w:r w:rsidR="00BD50FE" w:rsidRPr="00171378">
        <w:t>’ (ibid.</w:t>
      </w:r>
      <w:r w:rsidR="00BD50FE" w:rsidRPr="00171378">
        <w:rPr>
          <w:rFonts w:cs="Times New Roman"/>
        </w:rPr>
        <w:t>)</w:t>
      </w:r>
      <w:r w:rsidR="00F218AA" w:rsidRPr="00171378">
        <w:rPr>
          <w:rFonts w:cs="Times New Roman"/>
        </w:rPr>
        <w:t xml:space="preserve"> From the start, then, the opportunity to study the self was racialised and continued to reproduce an oppositional hierarchical relationship between insider/outsider and researcher/researched. Insiders may well have</w:t>
      </w:r>
      <w:r w:rsidR="006C43CF" w:rsidRPr="00171378">
        <w:rPr>
          <w:rFonts w:cs="Times New Roman"/>
        </w:rPr>
        <w:t xml:space="preserve"> been though</w:t>
      </w:r>
      <w:r w:rsidR="005E56E3">
        <w:rPr>
          <w:rFonts w:cs="Times New Roman"/>
        </w:rPr>
        <w:t>t</w:t>
      </w:r>
      <w:r w:rsidR="006C43CF" w:rsidRPr="00171378">
        <w:rPr>
          <w:rFonts w:cs="Times New Roman"/>
        </w:rPr>
        <w:t xml:space="preserve"> to have</w:t>
      </w:r>
      <w:r w:rsidR="0089137E">
        <w:rPr>
          <w:rFonts w:cs="Times New Roman"/>
        </w:rPr>
        <w:t xml:space="preserve"> ‘</w:t>
      </w:r>
      <w:r w:rsidR="00F218AA" w:rsidRPr="00171378">
        <w:rPr>
          <w:rFonts w:cs="Times New Roman"/>
        </w:rPr>
        <w:t xml:space="preserve">the </w:t>
      </w:r>
      <w:r w:rsidR="00CD0A33" w:rsidRPr="00171378">
        <w:rPr>
          <w:rFonts w:cs="Times New Roman"/>
        </w:rPr>
        <w:t xml:space="preserve">ability to intuit culturally significant questions and answers’ </w:t>
      </w:r>
      <w:r w:rsidR="00F218AA" w:rsidRPr="00171378">
        <w:t>(ibid</w:t>
      </w:r>
      <w:r w:rsidR="00CD0A33" w:rsidRPr="00171378">
        <w:t>)</w:t>
      </w:r>
      <w:r w:rsidR="00F218AA" w:rsidRPr="00171378">
        <w:rPr>
          <w:rFonts w:cs="Times New Roman"/>
        </w:rPr>
        <w:t xml:space="preserve">, but the real work of anthropology is preserved for the outsider researcher. If the researcher is white and Western then they are also afforded special privileges to research themselves, as an innovative and creative method borne of funding and access limitations rather than recognising the political consequences of their </w:t>
      </w:r>
      <w:r w:rsidR="006C43CF" w:rsidRPr="00171378">
        <w:rPr>
          <w:rFonts w:cs="Times New Roman"/>
        </w:rPr>
        <w:t>discipline to date</w:t>
      </w:r>
      <w:r w:rsidR="00F218AA" w:rsidRPr="00171378">
        <w:rPr>
          <w:rFonts w:cs="Times New Roman"/>
        </w:rPr>
        <w:t>.</w:t>
      </w:r>
    </w:p>
    <w:p w14:paraId="4B016027" w14:textId="77777777" w:rsidR="00F218AA" w:rsidRPr="00171378" w:rsidRDefault="00F218AA" w:rsidP="008E6253">
      <w:pPr>
        <w:autoSpaceDE w:val="0"/>
        <w:autoSpaceDN w:val="0"/>
        <w:adjustRightInd w:val="0"/>
        <w:spacing w:after="0" w:line="480" w:lineRule="auto"/>
      </w:pPr>
    </w:p>
    <w:p w14:paraId="4C53C91D" w14:textId="563AEC8A" w:rsidR="00A12385" w:rsidRPr="00171378" w:rsidRDefault="005E56E3" w:rsidP="008E6253">
      <w:pPr>
        <w:spacing w:line="480" w:lineRule="auto"/>
      </w:pPr>
      <w:r>
        <w:t xml:space="preserve">Anthropology </w:t>
      </w:r>
      <w:r w:rsidR="00AC65B3">
        <w:t>continued to turn</w:t>
      </w:r>
      <w:r w:rsidR="00A12385" w:rsidRPr="00171378">
        <w:t xml:space="preserve"> in on itself, questioning its methodological roots and the p</w:t>
      </w:r>
      <w:r w:rsidR="00B36521">
        <w:t>olitics of studying the “other”</w:t>
      </w:r>
      <w:r w:rsidR="00A12385" w:rsidRPr="00171378">
        <w:t xml:space="preserve">. By the 1980s and 1990s, the critique of the politics of “writing culture” is most famously exemplified in James Clifford and George E. Marcus’s (1986) edited collection </w:t>
      </w:r>
      <w:r w:rsidR="00A12385" w:rsidRPr="00171378">
        <w:rPr>
          <w:i/>
        </w:rPr>
        <w:t>Writing Culture: The Poetics and Politics of Ethnography.</w:t>
      </w:r>
      <w:r w:rsidR="00A12385" w:rsidRPr="00171378">
        <w:t xml:space="preserve"> At this moment, the relationships of power between researcher and researched were examined in detail, and ethnography is re-inscribed as ‘always caught up in the invention, not the representation, of cultures’ (Clifford and Marcus 1986, 2). </w:t>
      </w:r>
      <w:r w:rsidR="005B1943">
        <w:t xml:space="preserve">As part of this crisis of representation, </w:t>
      </w:r>
      <w:r w:rsidR="005B1943" w:rsidRPr="00171378">
        <w:t xml:space="preserve">autoethnography replaced native anthropology as the mode du jour, </w:t>
      </w:r>
      <w:r w:rsidR="006F33FC" w:rsidRPr="00171378">
        <w:t>new literature was published on how to do it, and the work began to delineate this newly-termed, but no</w:t>
      </w:r>
      <w:r w:rsidR="006F33FC">
        <w:t>t</w:t>
      </w:r>
      <w:r w:rsidR="006F33FC" w:rsidRPr="00171378">
        <w:t xml:space="preserve"> so new, method.</w:t>
      </w:r>
    </w:p>
    <w:p w14:paraId="1F125507" w14:textId="6429F85B" w:rsidR="006F33FC" w:rsidRPr="00171378" w:rsidRDefault="006F33FC" w:rsidP="006F33FC">
      <w:pPr>
        <w:pStyle w:val="Heading2"/>
      </w:pPr>
      <w:r>
        <w:t>Experience</w:t>
      </w:r>
      <w:r w:rsidR="00AF076A">
        <w:t xml:space="preserve">, </w:t>
      </w:r>
      <w:r>
        <w:t>Enactment</w:t>
      </w:r>
      <w:r w:rsidR="00AF076A">
        <w:t>, Embodiment</w:t>
      </w:r>
    </w:p>
    <w:p w14:paraId="3852816A" w14:textId="7B162EFB" w:rsidR="008A768B" w:rsidRDefault="006F33FC" w:rsidP="003F55B2">
      <w:pPr>
        <w:spacing w:after="0" w:line="480" w:lineRule="auto"/>
      </w:pPr>
      <w:r>
        <w:t xml:space="preserve">Autoethnography </w:t>
      </w:r>
      <w:r w:rsidR="008951AA" w:rsidRPr="00171378">
        <w:t>raises</w:t>
      </w:r>
      <w:r w:rsidR="008A768B" w:rsidRPr="00171378">
        <w:t xml:space="preserve"> </w:t>
      </w:r>
      <w:r w:rsidR="0037504D" w:rsidRPr="00171378">
        <w:t xml:space="preserve">questions about how experience is conceived of as data. According to the </w:t>
      </w:r>
      <w:r w:rsidR="008D6536">
        <w:t xml:space="preserve">NHS </w:t>
      </w:r>
      <w:r w:rsidR="0037504D" w:rsidRPr="00171378">
        <w:t xml:space="preserve">REC, collecting experiential data is deemed only to be relevant if it is in some way authentic; my experience was not deemed as authentic as </w:t>
      </w:r>
      <w:r w:rsidR="00171378" w:rsidRPr="00171378">
        <w:t>I was not a “real” service-user.</w:t>
      </w:r>
      <w:r w:rsidR="0037504D" w:rsidRPr="00171378">
        <w:t xml:space="preserve"> </w:t>
      </w:r>
      <w:r w:rsidR="009A5525" w:rsidRPr="00171378">
        <w:t xml:space="preserve">Unlike the REC’s questions about my status, </w:t>
      </w:r>
      <w:r w:rsidR="0037504D" w:rsidRPr="00171378">
        <w:t xml:space="preserve">I recognise the critical weight of these </w:t>
      </w:r>
      <w:r w:rsidR="009A5525" w:rsidRPr="00171378">
        <w:t>issues when they are brought into the context of service-user/survivor research.</w:t>
      </w:r>
      <w:r w:rsidR="00AD2959">
        <w:t xml:space="preserve"> </w:t>
      </w:r>
      <w:r w:rsidR="009A5525" w:rsidRPr="00171378">
        <w:t xml:space="preserve">In a similar shift </w:t>
      </w:r>
      <w:r w:rsidR="00AC65B3" w:rsidRPr="00171378">
        <w:t>in mental health research</w:t>
      </w:r>
      <w:r w:rsidR="00AC65B3">
        <w:t xml:space="preserve"> </w:t>
      </w:r>
      <w:r w:rsidR="00FB67DA">
        <w:t xml:space="preserve">to that of anthropology, </w:t>
      </w:r>
      <w:r w:rsidR="0037504D" w:rsidRPr="00171378">
        <w:t xml:space="preserve">a </w:t>
      </w:r>
      <w:r w:rsidR="009A5525" w:rsidRPr="00171378">
        <w:t>central facet of service-user/survivor activism</w:t>
      </w:r>
      <w:r w:rsidR="0037504D" w:rsidRPr="00171378">
        <w:t xml:space="preserve"> was to become researcher</w:t>
      </w:r>
      <w:r w:rsidR="009A5525" w:rsidRPr="00171378">
        <w:t>s rather than research subjects, asserting expertise through lived experience (see for example, Beresford 2004; Sweeney 2009; Faulkner 2017; Landry 2017)</w:t>
      </w:r>
      <w:r w:rsidR="003F55B2">
        <w:t>.</w:t>
      </w:r>
      <w:r w:rsidR="0037504D" w:rsidRPr="00171378">
        <w:t xml:space="preserve"> </w:t>
      </w:r>
      <w:r w:rsidR="003F55B2">
        <w:t>This too, was predated by psychiatric patients being recruited by psychiatrists to conduct research</w:t>
      </w:r>
      <w:r w:rsidR="00AC65B3">
        <w:t xml:space="preserve"> in Victorian asylums</w:t>
      </w:r>
      <w:r w:rsidR="003F55B2">
        <w:t xml:space="preserve"> </w:t>
      </w:r>
      <w:r w:rsidR="003F55B2" w:rsidRPr="00ED134F">
        <w:rPr>
          <w:rFonts w:ascii="Calibri" w:hAnsi="Calibri"/>
        </w:rPr>
        <w:t>(Chaney 2016)</w:t>
      </w:r>
      <w:r w:rsidR="003F55B2">
        <w:t xml:space="preserve">. </w:t>
      </w:r>
      <w:r w:rsidR="00C95E54">
        <w:t xml:space="preserve">Whilst significant gains have been made to address the inequalities inherent in mental health research across all disciplines, </w:t>
      </w:r>
      <w:proofErr w:type="gramStart"/>
      <w:r w:rsidR="00C95E54">
        <w:t>the majority of</w:t>
      </w:r>
      <w:proofErr w:type="gramEnd"/>
      <w:r w:rsidR="00C95E54">
        <w:t xml:space="preserve"> studies continue to fail in this endeavour </w:t>
      </w:r>
      <w:r w:rsidR="00C95E54" w:rsidRPr="00C95E54">
        <w:rPr>
          <w:rFonts w:ascii="Calibri" w:hAnsi="Calibri"/>
        </w:rPr>
        <w:t>(see for e</w:t>
      </w:r>
      <w:r w:rsidR="006E7DBB">
        <w:rPr>
          <w:rFonts w:ascii="Calibri" w:hAnsi="Calibri"/>
        </w:rPr>
        <w:t>xample, Russo and Beresford 2015</w:t>
      </w:r>
      <w:r w:rsidR="005E56E3">
        <w:rPr>
          <w:rFonts w:ascii="Calibri" w:hAnsi="Calibri"/>
        </w:rPr>
        <w:t>; author et al, 2015</w:t>
      </w:r>
      <w:r w:rsidR="00C95E54" w:rsidRPr="00C95E54">
        <w:rPr>
          <w:rFonts w:ascii="Calibri" w:hAnsi="Calibri"/>
        </w:rPr>
        <w:t>)</w:t>
      </w:r>
      <w:r w:rsidR="00C95E54">
        <w:rPr>
          <w:rFonts w:cs="Tahoma"/>
          <w:color w:val="000000"/>
        </w:rPr>
        <w:t>.</w:t>
      </w:r>
      <w:r w:rsidR="00B85AFF">
        <w:rPr>
          <w:rFonts w:cs="Tahoma"/>
          <w:color w:val="000000"/>
        </w:rPr>
        <w:t xml:space="preserve"> </w:t>
      </w:r>
      <w:r w:rsidR="00171378" w:rsidRPr="00171378">
        <w:t xml:space="preserve">As such, whilst less concerned with how the ethics committee were formulating the implications of the research, I was anxious that the project might result in further silencing of people who were tired of being spoken for and about. The question stands: </w:t>
      </w:r>
      <w:r w:rsidR="008A768B" w:rsidRPr="00171378">
        <w:t xml:space="preserve">How autoethnographic is my research if </w:t>
      </w:r>
      <w:r w:rsidR="00D3741B">
        <w:t xml:space="preserve">I am not a “real” service-user? </w:t>
      </w:r>
      <w:r w:rsidR="008A768B" w:rsidRPr="00171378">
        <w:t xml:space="preserve">What is the </w:t>
      </w:r>
      <w:r w:rsidR="008A768B" w:rsidRPr="00171378">
        <w:lastRenderedPageBreak/>
        <w:t xml:space="preserve">significance or use of my own experience of accessing a mental health service, if I am not an “insider”? </w:t>
      </w:r>
    </w:p>
    <w:p w14:paraId="009AF4B7" w14:textId="77777777" w:rsidR="00FB67DA" w:rsidRPr="00171378" w:rsidRDefault="00FB67DA" w:rsidP="003F55B2">
      <w:pPr>
        <w:spacing w:after="0" w:line="480" w:lineRule="auto"/>
      </w:pPr>
    </w:p>
    <w:p w14:paraId="31B1ED59" w14:textId="717EAB37" w:rsidR="00807E84" w:rsidRDefault="008942D1" w:rsidP="00E27C40">
      <w:pPr>
        <w:spacing w:after="0" w:line="480" w:lineRule="auto"/>
      </w:pPr>
      <w:r w:rsidRPr="00171378">
        <w:t>What do we mean when we refer to someone as a “service-user”?</w:t>
      </w:r>
      <w:r>
        <w:t xml:space="preserve"> </w:t>
      </w:r>
      <w:r w:rsidR="004F7010">
        <w:t xml:space="preserve">Feminist scholar Joan Scott </w:t>
      </w:r>
      <w:r w:rsidR="004F7010" w:rsidRPr="004F7010">
        <w:rPr>
          <w:rFonts w:ascii="Calibri" w:hAnsi="Calibri"/>
        </w:rPr>
        <w:t>(1991)</w:t>
      </w:r>
      <w:r w:rsidR="004F7010">
        <w:rPr>
          <w:rFonts w:ascii="Calibri" w:hAnsi="Calibri"/>
        </w:rPr>
        <w:t xml:space="preserve"> </w:t>
      </w:r>
      <w:r w:rsidR="0037504D" w:rsidRPr="00171378">
        <w:t xml:space="preserve">argues that we should avoid accepting experiential accounts as true, authentic or factual, and rather analyse experience </w:t>
      </w:r>
      <w:r w:rsidR="00E27C40">
        <w:t xml:space="preserve">as constructed, relational and historically situated </w:t>
      </w:r>
      <w:r w:rsidR="00E27C40" w:rsidRPr="00E27C40">
        <w:rPr>
          <w:rFonts w:ascii="Calibri" w:hAnsi="Calibri" w:cs="Times New Roman"/>
          <w:szCs w:val="24"/>
        </w:rPr>
        <w:t>(see Voronka 2016 for a discussion of Scott’s work in relation to survivor research)</w:t>
      </w:r>
      <w:r w:rsidR="00E27C40">
        <w:t xml:space="preserve">. </w:t>
      </w:r>
      <w:r w:rsidR="00F10EB5">
        <w:t>Taking up Scott’s provocation concerning the context of experience, I adopted</w:t>
      </w:r>
      <w:r w:rsidR="00E27C40" w:rsidRPr="00E27C40">
        <w:t xml:space="preserve"> </w:t>
      </w:r>
      <w:r w:rsidR="00E27C40" w:rsidRPr="00171378">
        <w:t xml:space="preserve">Annemarie </w:t>
      </w:r>
      <w:proofErr w:type="spellStart"/>
      <w:r w:rsidR="00E27C40">
        <w:t>Mol’s</w:t>
      </w:r>
      <w:proofErr w:type="spellEnd"/>
      <w:r w:rsidR="00E27C40">
        <w:t xml:space="preserve"> </w:t>
      </w:r>
      <w:r w:rsidR="00E27C40" w:rsidRPr="00E27C40">
        <w:rPr>
          <w:rFonts w:ascii="Calibri" w:hAnsi="Calibri"/>
        </w:rPr>
        <w:t>(2002)</w:t>
      </w:r>
      <w:r w:rsidR="00F10EB5">
        <w:t xml:space="preserve"> concept of </w:t>
      </w:r>
      <w:r w:rsidR="00171378" w:rsidRPr="00171378">
        <w:rPr>
          <w:i/>
        </w:rPr>
        <w:t>enactment</w:t>
      </w:r>
      <w:r w:rsidR="00F10EB5">
        <w:t xml:space="preserve"> to trouble the singularity of the category of “service-user”</w:t>
      </w:r>
      <w:r w:rsidR="00171378" w:rsidRPr="00171378">
        <w:t xml:space="preserve">. For </w:t>
      </w:r>
      <w:proofErr w:type="spellStart"/>
      <w:r w:rsidR="00171378" w:rsidRPr="00171378">
        <w:t>Mol</w:t>
      </w:r>
      <w:proofErr w:type="spellEnd"/>
      <w:r w:rsidR="00171378" w:rsidRPr="00171378">
        <w:t>, realities are brought into being through practices</w:t>
      </w:r>
      <w:r w:rsidR="00F10EB5">
        <w:t xml:space="preserve">. Thus, I argue </w:t>
      </w:r>
      <w:r w:rsidR="00171378" w:rsidRPr="00171378">
        <w:t xml:space="preserve">that people who go to </w:t>
      </w:r>
      <w:r w:rsidR="00675559">
        <w:rPr>
          <w:i/>
        </w:rPr>
        <w:t>Create</w:t>
      </w:r>
      <w:r w:rsidR="00171378" w:rsidRPr="00171378">
        <w:t xml:space="preserve"> and participate in the treatment there are </w:t>
      </w:r>
      <w:r w:rsidR="00171378" w:rsidRPr="00F10EB5">
        <w:rPr>
          <w:i/>
        </w:rPr>
        <w:t>enacted</w:t>
      </w:r>
      <w:r w:rsidR="00171378" w:rsidRPr="00171378">
        <w:t xml:space="preserve"> as service-users, and during my research </w:t>
      </w:r>
      <w:r w:rsidR="00171378" w:rsidRPr="00171378">
        <w:rPr>
          <w:i/>
        </w:rPr>
        <w:t>this included me</w:t>
      </w:r>
      <w:r w:rsidR="00171378" w:rsidRPr="00171378">
        <w:t xml:space="preserve">. During the ethics committee discussion service-users were enacted as different from the public because of their “mental health needs,” whilst mental health strategy enacts the public as also having these needs, </w:t>
      </w:r>
      <w:r w:rsidR="004F7010">
        <w:t>ultimately securing my access to the field</w:t>
      </w:r>
      <w:r w:rsidR="009A318C">
        <w:t xml:space="preserve">. </w:t>
      </w:r>
      <w:r w:rsidR="002E6DBE">
        <w:t>Importantly, this does not mean that all enactments are equal</w:t>
      </w:r>
      <w:r w:rsidR="001874AB">
        <w:t>, but</w:t>
      </w:r>
      <w:r w:rsidR="002E6DBE">
        <w:t xml:space="preserve"> </w:t>
      </w:r>
      <w:r w:rsidR="001874AB">
        <w:t xml:space="preserve">that different </w:t>
      </w:r>
      <w:r w:rsidR="002E6DBE">
        <w:t xml:space="preserve">enactments </w:t>
      </w:r>
      <w:r w:rsidR="001874AB">
        <w:t xml:space="preserve">can </w:t>
      </w:r>
      <w:r w:rsidR="002E6DBE">
        <w:t xml:space="preserve">marginalise others, revealing relations of power </w:t>
      </w:r>
      <w:r w:rsidR="002E6DBE" w:rsidRPr="002E6DBE">
        <w:rPr>
          <w:rFonts w:ascii="Calibri" w:hAnsi="Calibri"/>
        </w:rPr>
        <w:t>(Moser 2008)</w:t>
      </w:r>
      <w:r w:rsidR="002E6DBE">
        <w:t>.</w:t>
      </w:r>
    </w:p>
    <w:p w14:paraId="508EE364" w14:textId="77777777" w:rsidR="001874AB" w:rsidRPr="00171378" w:rsidRDefault="001874AB" w:rsidP="00E27C40">
      <w:pPr>
        <w:spacing w:after="0" w:line="480" w:lineRule="auto"/>
      </w:pPr>
    </w:p>
    <w:p w14:paraId="431E988C" w14:textId="42B85913" w:rsidR="009A318C" w:rsidRDefault="004F7010" w:rsidP="008E6253">
      <w:pPr>
        <w:spacing w:after="0" w:line="480" w:lineRule="auto"/>
      </w:pPr>
      <w:r>
        <w:t>Accessing the service as a service-user would do allowed me to explore the practices that</w:t>
      </w:r>
      <w:r w:rsidRPr="00171378">
        <w:t xml:space="preserve"> enact service-users by being immersed in </w:t>
      </w:r>
      <w:r>
        <w:t>them</w:t>
      </w:r>
      <w:r w:rsidRPr="00171378">
        <w:t xml:space="preserve"> myself. </w:t>
      </w:r>
      <w:r w:rsidR="008942D1">
        <w:t>There is precedence for my approach</w:t>
      </w:r>
      <w:r w:rsidR="00A22E92">
        <w:t>, such as</w:t>
      </w:r>
      <w:r w:rsidR="00171378" w:rsidRPr="00171378">
        <w:t xml:space="preserve"> Gladys </w:t>
      </w:r>
      <w:proofErr w:type="spellStart"/>
      <w:r w:rsidR="00171378" w:rsidRPr="00171378">
        <w:t>Reichard</w:t>
      </w:r>
      <w:r w:rsidR="00A22E92">
        <w:t>’s</w:t>
      </w:r>
      <w:proofErr w:type="spellEnd"/>
      <w:r w:rsidR="00171378" w:rsidRPr="00171378">
        <w:t xml:space="preserve"> </w:t>
      </w:r>
      <w:r w:rsidR="00171378" w:rsidRPr="00171378">
        <w:rPr>
          <w:noProof/>
        </w:rPr>
        <w:t>(1934)</w:t>
      </w:r>
      <w:r w:rsidR="00171378" w:rsidRPr="00171378">
        <w:t xml:space="preserve"> </w:t>
      </w:r>
      <w:r w:rsidR="00A22E92">
        <w:t>attempt to understand the Navajo’s culture through learning to</w:t>
      </w:r>
      <w:r w:rsidR="00171378" w:rsidRPr="00171378">
        <w:t xml:space="preserve"> weave the Navajo way</w:t>
      </w:r>
      <w:r>
        <w:t>, proposing that</w:t>
      </w:r>
      <w:r w:rsidR="00171378" w:rsidRPr="00171378">
        <w:t xml:space="preserve"> </w:t>
      </w:r>
      <w:r w:rsidR="00171378" w:rsidRPr="00B436F8">
        <w:t>participating in certain practices will reveal more than just talking about them</w:t>
      </w:r>
      <w:r w:rsidR="00171378" w:rsidRPr="00171378">
        <w:t>; that our knowledge about the world is embodied and we are transformed through learning, acquiring and making new knowledge. As Geertz argues, ethnography is not about mimicry or becoming “natives,” but trying to foster conversation with those we are researching with</w:t>
      </w:r>
      <w:r w:rsidR="00A22E92">
        <w:t>.</w:t>
      </w:r>
      <w:r w:rsidR="00171378" w:rsidRPr="00171378">
        <w:t xml:space="preserve"> </w:t>
      </w:r>
      <w:r w:rsidR="00AF076A">
        <w:t>He</w:t>
      </w:r>
      <w:r w:rsidR="00171378" w:rsidRPr="00171378">
        <w:t xml:space="preserve"> elaborates: ‘You don’t exactly penetrate another culture, as the masculinist image would have it. You put yourself in its way and it bodies forth and enmeshes you’ </w:t>
      </w:r>
      <w:r w:rsidR="00AF076A" w:rsidRPr="00AF076A">
        <w:rPr>
          <w:rFonts w:ascii="Calibri" w:hAnsi="Calibri"/>
        </w:rPr>
        <w:t>(Geertz 1996, 44)</w:t>
      </w:r>
      <w:r w:rsidR="00171378" w:rsidRPr="00171378">
        <w:t xml:space="preserve">. </w:t>
      </w:r>
      <w:r w:rsidR="00A22E92">
        <w:t xml:space="preserve">As </w:t>
      </w:r>
      <w:proofErr w:type="spellStart"/>
      <w:r w:rsidR="00A22E92">
        <w:t>Luvaas</w:t>
      </w:r>
      <w:proofErr w:type="spellEnd"/>
      <w:r w:rsidR="00A22E92">
        <w:t xml:space="preserve"> (2017) has explained, this method is a process of considerable bodily change for the </w:t>
      </w:r>
      <w:r w:rsidR="00A22E92">
        <w:lastRenderedPageBreak/>
        <w:t>autoethnographer who seeks to learn a culture by becoming a member of it, and one that is difficult to return from.</w:t>
      </w:r>
    </w:p>
    <w:p w14:paraId="7FD41311" w14:textId="29465277" w:rsidR="00B436F8" w:rsidRDefault="00B436F8" w:rsidP="008E6253">
      <w:pPr>
        <w:spacing w:before="240" w:line="480" w:lineRule="auto"/>
        <w:rPr>
          <w:rFonts w:cs="Tahoma"/>
          <w:color w:val="000000"/>
        </w:rPr>
      </w:pPr>
      <w:r>
        <w:t xml:space="preserve">In sum, </w:t>
      </w:r>
      <w:r>
        <w:rPr>
          <w:rFonts w:cs="Tahoma"/>
          <w:color w:val="000000"/>
        </w:rPr>
        <w:t>I brought together two different ideas: one that</w:t>
      </w:r>
      <w:r w:rsidRPr="00171378">
        <w:rPr>
          <w:rFonts w:cs="Tahoma"/>
          <w:color w:val="000000"/>
        </w:rPr>
        <w:t xml:space="preserve"> says we can methodologically centre and draw upon lived experience</w:t>
      </w:r>
      <w:r>
        <w:rPr>
          <w:rFonts w:cs="Tahoma"/>
          <w:color w:val="000000"/>
        </w:rPr>
        <w:t>, the</w:t>
      </w:r>
      <w:r w:rsidRPr="00171378">
        <w:rPr>
          <w:rFonts w:cs="Tahoma"/>
          <w:color w:val="000000"/>
        </w:rPr>
        <w:t xml:space="preserve"> other says all experience is produced, there is no essential identity or fixed self that we can reliably draw upon to produce knowledge.</w:t>
      </w:r>
      <w:r>
        <w:rPr>
          <w:rFonts w:cs="Tahoma"/>
          <w:color w:val="000000"/>
        </w:rPr>
        <w:t xml:space="preserve"> </w:t>
      </w:r>
      <w:r w:rsidRPr="00171378">
        <w:rPr>
          <w:rFonts w:cs="Tahoma"/>
          <w:color w:val="000000"/>
        </w:rPr>
        <w:t>I proceed</w:t>
      </w:r>
      <w:r w:rsidR="00AF076A">
        <w:rPr>
          <w:rFonts w:cs="Tahoma"/>
          <w:color w:val="000000"/>
        </w:rPr>
        <w:t>ed</w:t>
      </w:r>
      <w:r w:rsidRPr="00171378">
        <w:rPr>
          <w:rFonts w:cs="Tahoma"/>
          <w:color w:val="000000"/>
        </w:rPr>
        <w:t xml:space="preserve"> with the research holding this contradiction open and unresolved. </w:t>
      </w:r>
      <w:r>
        <w:rPr>
          <w:rFonts w:cs="Tahoma"/>
          <w:color w:val="000000"/>
        </w:rPr>
        <w:t>However, after completing the fieldwork and beginning to write up my findings, I make</w:t>
      </w:r>
      <w:r w:rsidRPr="00171378">
        <w:rPr>
          <w:rFonts w:cs="Tahoma"/>
          <w:color w:val="000000"/>
        </w:rPr>
        <w:t xml:space="preserve"> less and less space for my own experiences</w:t>
      </w:r>
      <w:r w:rsidR="00675559">
        <w:rPr>
          <w:rFonts w:cs="Tahoma"/>
          <w:color w:val="000000"/>
        </w:rPr>
        <w:t>. I stop</w:t>
      </w:r>
      <w:r w:rsidR="00F37457">
        <w:rPr>
          <w:rFonts w:cs="Tahoma"/>
          <w:color w:val="000000"/>
        </w:rPr>
        <w:t xml:space="preserve"> writing </w:t>
      </w:r>
      <w:proofErr w:type="gramStart"/>
      <w:r w:rsidR="00F37457">
        <w:rPr>
          <w:rFonts w:cs="Tahoma"/>
          <w:color w:val="000000"/>
        </w:rPr>
        <w:t>autobiographically, and</w:t>
      </w:r>
      <w:proofErr w:type="gramEnd"/>
      <w:r w:rsidR="00F37457">
        <w:rPr>
          <w:rFonts w:cs="Tahoma"/>
          <w:color w:val="000000"/>
        </w:rPr>
        <w:t xml:space="preserve"> </w:t>
      </w:r>
      <w:r w:rsidR="00675559">
        <w:rPr>
          <w:rFonts w:cs="Tahoma"/>
          <w:color w:val="000000"/>
        </w:rPr>
        <w:t>become motivated</w:t>
      </w:r>
      <w:r w:rsidR="00F37457">
        <w:rPr>
          <w:rFonts w:cs="Tahoma"/>
          <w:color w:val="000000"/>
        </w:rPr>
        <w:t xml:space="preserve"> </w:t>
      </w:r>
      <w:r w:rsidR="00675559">
        <w:rPr>
          <w:rFonts w:cs="Tahoma"/>
          <w:color w:val="000000"/>
        </w:rPr>
        <w:t>to analyse</w:t>
      </w:r>
      <w:r w:rsidR="00F37457">
        <w:rPr>
          <w:rFonts w:cs="Tahoma"/>
          <w:color w:val="000000"/>
        </w:rPr>
        <w:t xml:space="preserve"> the </w:t>
      </w:r>
      <w:r w:rsidR="008942D1">
        <w:rPr>
          <w:rFonts w:cs="Tahoma"/>
          <w:color w:val="000000"/>
        </w:rPr>
        <w:t>broader political contex</w:t>
      </w:r>
      <w:r w:rsidR="004F7010">
        <w:rPr>
          <w:rFonts w:cs="Tahoma"/>
          <w:color w:val="000000"/>
        </w:rPr>
        <w:t xml:space="preserve">t of the service and </w:t>
      </w:r>
      <w:r w:rsidR="008942D1">
        <w:rPr>
          <w:rFonts w:cs="Tahoma"/>
          <w:color w:val="000000"/>
        </w:rPr>
        <w:t>the ways in which recovery-as-policy was deployed as part of the marketization of healthcare, the reduction of services, austerity economics and so on</w:t>
      </w:r>
      <w:r w:rsidR="00675559">
        <w:rPr>
          <w:rFonts w:cs="Tahoma"/>
          <w:color w:val="000000"/>
        </w:rPr>
        <w:t xml:space="preserve"> (see McWade 2015, McWade 2016</w:t>
      </w:r>
      <w:r w:rsidR="008B0206">
        <w:rPr>
          <w:rFonts w:cs="Tahoma"/>
          <w:color w:val="000000"/>
        </w:rPr>
        <w:t>a</w:t>
      </w:r>
      <w:r w:rsidR="00675559">
        <w:rPr>
          <w:rFonts w:cs="Tahoma"/>
          <w:color w:val="000000"/>
        </w:rPr>
        <w:t>)</w:t>
      </w:r>
      <w:r w:rsidR="008942D1">
        <w:rPr>
          <w:rFonts w:cs="Tahoma"/>
          <w:color w:val="000000"/>
        </w:rPr>
        <w:t>.</w:t>
      </w:r>
      <w:r w:rsidR="00500031">
        <w:rPr>
          <w:rFonts w:cs="Tahoma"/>
          <w:color w:val="000000"/>
        </w:rPr>
        <w:t xml:space="preserve"> In this light, choosing to write about how attending the service had begun to open up a space for me to confront my own history of distress seemed highly indulgent.</w:t>
      </w:r>
      <w:r w:rsidR="00F37457">
        <w:rPr>
          <w:rFonts w:cs="Tahoma"/>
          <w:color w:val="000000"/>
        </w:rPr>
        <w:t xml:space="preserve"> </w:t>
      </w:r>
    </w:p>
    <w:p w14:paraId="759FDAB4" w14:textId="2D1974CE" w:rsidR="001D3AFD" w:rsidRPr="00171378" w:rsidRDefault="00171378" w:rsidP="001D3AFD">
      <w:pPr>
        <w:pStyle w:val="Heading2"/>
        <w:rPr>
          <w:rFonts w:asciiTheme="minorHAnsi" w:hAnsiTheme="minorHAnsi"/>
        </w:rPr>
      </w:pPr>
      <w:r>
        <w:rPr>
          <w:rFonts w:asciiTheme="minorHAnsi" w:hAnsiTheme="minorHAnsi"/>
        </w:rPr>
        <w:t>Scene Two: the viva voce examination</w:t>
      </w:r>
    </w:p>
    <w:p w14:paraId="5B1D6378" w14:textId="1ADEFB61" w:rsidR="00C05397" w:rsidRDefault="004F7010" w:rsidP="008E6253">
      <w:pPr>
        <w:spacing w:line="480" w:lineRule="auto"/>
        <w:rPr>
          <w:rFonts w:cs="Tahoma"/>
          <w:color w:val="000000"/>
        </w:rPr>
      </w:pPr>
      <w:r>
        <w:rPr>
          <w:rFonts w:cs="Tahoma"/>
          <w:color w:val="000000"/>
        </w:rPr>
        <w:t>On the day of the viva</w:t>
      </w:r>
      <w:r w:rsidR="00644F46">
        <w:rPr>
          <w:rFonts w:cs="Tahoma"/>
          <w:color w:val="000000"/>
        </w:rPr>
        <w:t xml:space="preserve"> I am confident that I have written something that I can defend. However, the examiners hit me with a </w:t>
      </w:r>
      <w:r w:rsidR="005E56E3">
        <w:rPr>
          <w:rFonts w:cs="Tahoma"/>
          <w:color w:val="000000"/>
        </w:rPr>
        <w:t xml:space="preserve">proverbial </w:t>
      </w:r>
      <w:r w:rsidR="00AF076A">
        <w:rPr>
          <w:rFonts w:cs="Tahoma"/>
          <w:color w:val="000000"/>
        </w:rPr>
        <w:t>curve ball; t</w:t>
      </w:r>
      <w:r w:rsidR="00644F46">
        <w:rPr>
          <w:rFonts w:cs="Tahoma"/>
          <w:color w:val="000000"/>
        </w:rPr>
        <w:t>hey challenge my assertion that this is an autoethnography. The</w:t>
      </w:r>
      <w:r w:rsidR="00F37457">
        <w:rPr>
          <w:rFonts w:cs="Tahoma"/>
          <w:color w:val="000000"/>
        </w:rPr>
        <w:t xml:space="preserve">y argue </w:t>
      </w:r>
      <w:r w:rsidR="00644F46">
        <w:rPr>
          <w:rFonts w:cs="Tahoma"/>
          <w:color w:val="000000"/>
        </w:rPr>
        <w:t>t</w:t>
      </w:r>
      <w:r w:rsidR="00F37457">
        <w:rPr>
          <w:rFonts w:cs="Tahoma"/>
          <w:color w:val="000000"/>
        </w:rPr>
        <w:t>hat as the work presented relies</w:t>
      </w:r>
      <w:r w:rsidR="00644F46">
        <w:rPr>
          <w:rFonts w:cs="Tahoma"/>
          <w:color w:val="000000"/>
        </w:rPr>
        <w:t xml:space="preserve"> upon interview data and fieldnotes, </w:t>
      </w:r>
      <w:r w:rsidR="00F37457">
        <w:rPr>
          <w:rFonts w:cs="Tahoma"/>
          <w:color w:val="000000"/>
        </w:rPr>
        <w:t>with</w:t>
      </w:r>
      <w:r w:rsidR="00644F46">
        <w:rPr>
          <w:rFonts w:cs="Tahoma"/>
          <w:color w:val="000000"/>
        </w:rPr>
        <w:t xml:space="preserve"> little of my own experiences evident, this was a straightforward ethnography.</w:t>
      </w:r>
      <w:r w:rsidR="00AF076A">
        <w:rPr>
          <w:rStyle w:val="EndnoteReference"/>
          <w:rFonts w:cs="Tahoma"/>
          <w:color w:val="000000"/>
        </w:rPr>
        <w:endnoteReference w:id="1"/>
      </w:r>
      <w:r w:rsidR="00644F46">
        <w:rPr>
          <w:rFonts w:cs="Tahoma"/>
          <w:color w:val="000000"/>
        </w:rPr>
        <w:t xml:space="preserve"> </w:t>
      </w:r>
      <w:r w:rsidR="00413DF4">
        <w:rPr>
          <w:rFonts w:cs="Tahoma"/>
          <w:color w:val="000000"/>
        </w:rPr>
        <w:t>For at least one of the exami</w:t>
      </w:r>
      <w:r>
        <w:rPr>
          <w:rFonts w:cs="Tahoma"/>
          <w:color w:val="000000"/>
        </w:rPr>
        <w:t>ners, the issue of whether</w:t>
      </w:r>
      <w:r w:rsidR="00413DF4">
        <w:rPr>
          <w:rFonts w:cs="Tahoma"/>
          <w:color w:val="000000"/>
        </w:rPr>
        <w:t xml:space="preserve"> I was a real service-user was still important, because of the politics of representation outlined above. </w:t>
      </w:r>
      <w:r>
        <w:rPr>
          <w:rFonts w:cs="Tahoma"/>
          <w:color w:val="000000"/>
        </w:rPr>
        <w:t>I feel</w:t>
      </w:r>
      <w:r w:rsidR="00644F46">
        <w:rPr>
          <w:rFonts w:cs="Tahoma"/>
          <w:color w:val="000000"/>
        </w:rPr>
        <w:t xml:space="preserve"> the world slip out from under me. Not because the question was hard, </w:t>
      </w:r>
      <w:r w:rsidR="00F37457">
        <w:rPr>
          <w:rFonts w:cs="Tahoma"/>
          <w:color w:val="000000"/>
        </w:rPr>
        <w:t xml:space="preserve">or that I disagreed with their evaluations, </w:t>
      </w:r>
      <w:r w:rsidR="00644F46">
        <w:rPr>
          <w:rFonts w:cs="Tahoma"/>
          <w:color w:val="000000"/>
        </w:rPr>
        <w:t xml:space="preserve">but because I </w:t>
      </w:r>
      <w:r w:rsidR="00413DF4">
        <w:rPr>
          <w:rFonts w:cs="Tahoma"/>
          <w:color w:val="000000"/>
        </w:rPr>
        <w:t xml:space="preserve">still </w:t>
      </w:r>
      <w:r w:rsidR="00644F46">
        <w:rPr>
          <w:rFonts w:cs="Tahoma"/>
          <w:color w:val="000000"/>
        </w:rPr>
        <w:t xml:space="preserve">had not attended the work of situating myself, still hung up on the </w:t>
      </w:r>
      <w:r w:rsidR="00413DF4">
        <w:rPr>
          <w:rFonts w:cs="Tahoma"/>
          <w:color w:val="000000"/>
        </w:rPr>
        <w:t>(</w:t>
      </w:r>
      <w:proofErr w:type="spellStart"/>
      <w:r w:rsidR="00413DF4">
        <w:rPr>
          <w:rFonts w:cs="Tahoma"/>
          <w:color w:val="000000"/>
        </w:rPr>
        <w:t>ir</w:t>
      </w:r>
      <w:proofErr w:type="spellEnd"/>
      <w:r w:rsidR="00413DF4">
        <w:rPr>
          <w:rFonts w:cs="Tahoma"/>
          <w:color w:val="000000"/>
        </w:rPr>
        <w:t>)</w:t>
      </w:r>
      <w:r w:rsidR="00644F46">
        <w:rPr>
          <w:rFonts w:cs="Tahoma"/>
          <w:color w:val="000000"/>
        </w:rPr>
        <w:t xml:space="preserve">relevance of my own </w:t>
      </w:r>
      <w:r w:rsidR="00F37457">
        <w:rPr>
          <w:rFonts w:cs="Tahoma"/>
          <w:color w:val="000000"/>
        </w:rPr>
        <w:t>ongoing experiences of madness and</w:t>
      </w:r>
      <w:r w:rsidR="00644F46">
        <w:rPr>
          <w:rFonts w:cs="Tahoma"/>
          <w:color w:val="000000"/>
        </w:rPr>
        <w:t xml:space="preserve"> distress. </w:t>
      </w:r>
      <w:r w:rsidR="00644F46" w:rsidRPr="00171378">
        <w:rPr>
          <w:rFonts w:cs="Tahoma"/>
          <w:color w:val="000000"/>
        </w:rPr>
        <w:t>What has been written out makes my body ache</w:t>
      </w:r>
      <w:r w:rsidR="00F37457">
        <w:rPr>
          <w:rFonts w:cs="Tahoma"/>
          <w:color w:val="000000"/>
        </w:rPr>
        <w:t xml:space="preserve">; </w:t>
      </w:r>
      <w:r w:rsidR="00C02393">
        <w:rPr>
          <w:rFonts w:cs="Tahoma"/>
          <w:color w:val="000000"/>
        </w:rPr>
        <w:t>as Dorothy Allison has so eloquently put</w:t>
      </w:r>
      <w:r w:rsidR="00675559">
        <w:rPr>
          <w:rFonts w:cs="Tahoma"/>
          <w:color w:val="000000"/>
        </w:rPr>
        <w:t>s</w:t>
      </w:r>
      <w:r w:rsidR="00C02393">
        <w:rPr>
          <w:rFonts w:cs="Tahoma"/>
          <w:color w:val="000000"/>
        </w:rPr>
        <w:t xml:space="preserve"> it: ‘</w:t>
      </w:r>
      <w:r w:rsidR="00C02393" w:rsidRPr="00171378">
        <w:rPr>
          <w:rFonts w:cs="Tahoma"/>
          <w:color w:val="000000"/>
        </w:rPr>
        <w:t>Behind the st</w:t>
      </w:r>
      <w:r w:rsidR="00C02393">
        <w:rPr>
          <w:rFonts w:cs="Tahoma"/>
          <w:color w:val="000000"/>
        </w:rPr>
        <w:t xml:space="preserve">ory I tell is the one I don’t. </w:t>
      </w:r>
      <w:r w:rsidR="00C02393" w:rsidRPr="00171378">
        <w:rPr>
          <w:rFonts w:cs="Tahoma"/>
          <w:color w:val="000000"/>
        </w:rPr>
        <w:t>Behind the story you heard is the one I wish I could make you hear.</w:t>
      </w:r>
      <w:r w:rsidR="00C02393">
        <w:rPr>
          <w:rFonts w:cs="Tahoma"/>
          <w:color w:val="000000"/>
        </w:rPr>
        <w:t xml:space="preserve"> …</w:t>
      </w:r>
      <w:r w:rsidR="00C02393" w:rsidRPr="00171378">
        <w:rPr>
          <w:rFonts w:cs="Tahoma"/>
          <w:color w:val="000000"/>
        </w:rPr>
        <w:t>behind this moment is silence, years of si</w:t>
      </w:r>
      <w:r w:rsidR="00C02393">
        <w:rPr>
          <w:rFonts w:cs="Tahoma"/>
          <w:color w:val="000000"/>
        </w:rPr>
        <w:t>lence’</w:t>
      </w:r>
      <w:r w:rsidR="00C02393" w:rsidRPr="00171378">
        <w:rPr>
          <w:rFonts w:cs="Tahoma"/>
          <w:color w:val="000000"/>
        </w:rPr>
        <w:t xml:space="preserve"> </w:t>
      </w:r>
      <w:r w:rsidR="00181AFC">
        <w:t>(</w:t>
      </w:r>
      <w:r w:rsidR="001824FA">
        <w:t>1996, 39</w:t>
      </w:r>
      <w:r w:rsidR="00C02393" w:rsidRPr="00171378">
        <w:t>)</w:t>
      </w:r>
      <w:r w:rsidR="00C02393">
        <w:rPr>
          <w:rFonts w:cs="Tahoma"/>
          <w:color w:val="000000"/>
        </w:rPr>
        <w:t xml:space="preserve">. </w:t>
      </w:r>
      <w:r w:rsidR="00413DF4" w:rsidRPr="00171378">
        <w:rPr>
          <w:rFonts w:cs="Tahoma"/>
          <w:color w:val="000000"/>
        </w:rPr>
        <w:t>During the viva I stil</w:t>
      </w:r>
      <w:r w:rsidR="00413DF4">
        <w:rPr>
          <w:rFonts w:cs="Tahoma"/>
          <w:color w:val="000000"/>
        </w:rPr>
        <w:t>l cannot speak to this issue;</w:t>
      </w:r>
      <w:r w:rsidR="00413DF4" w:rsidRPr="00171378">
        <w:rPr>
          <w:rFonts w:cs="Tahoma"/>
          <w:color w:val="000000"/>
        </w:rPr>
        <w:t xml:space="preserve"> I can only express what I have to say with tears.</w:t>
      </w:r>
    </w:p>
    <w:p w14:paraId="70FD1626" w14:textId="4B9E9173" w:rsidR="00ED134F" w:rsidRDefault="00013929" w:rsidP="008E6253">
      <w:pPr>
        <w:spacing w:line="480" w:lineRule="auto"/>
        <w:rPr>
          <w:rFonts w:cs="Tahoma"/>
          <w:color w:val="000000"/>
        </w:rPr>
      </w:pPr>
      <w:r w:rsidRPr="00171378">
        <w:rPr>
          <w:rFonts w:cs="Tahoma"/>
          <w:color w:val="000000"/>
        </w:rPr>
        <w:lastRenderedPageBreak/>
        <w:t>The line of questioning has implicit expectations or assumptions about experience and identity that I do not have the language to address.</w:t>
      </w:r>
      <w:r w:rsidR="00F37457">
        <w:rPr>
          <w:rFonts w:cs="Tahoma"/>
          <w:color w:val="000000"/>
        </w:rPr>
        <w:t xml:space="preserve"> The theoretical contention that experience cannot be</w:t>
      </w:r>
      <w:r w:rsidR="004F7010">
        <w:rPr>
          <w:rFonts w:cs="Tahoma"/>
          <w:color w:val="000000"/>
        </w:rPr>
        <w:t xml:space="preserve"> understood without its context</w:t>
      </w:r>
      <w:r w:rsidR="00F37457">
        <w:rPr>
          <w:rFonts w:cs="Tahoma"/>
          <w:color w:val="000000"/>
        </w:rPr>
        <w:t xml:space="preserve"> can also be applied here. </w:t>
      </w:r>
      <w:r w:rsidR="00C02393">
        <w:rPr>
          <w:rFonts w:cs="Tahoma"/>
          <w:color w:val="000000"/>
        </w:rPr>
        <w:t xml:space="preserve"> </w:t>
      </w:r>
      <w:r w:rsidR="00F37457">
        <w:rPr>
          <w:rFonts w:cs="Tahoma"/>
          <w:color w:val="000000"/>
        </w:rPr>
        <w:t>M</w:t>
      </w:r>
      <w:r w:rsidR="005E56E3">
        <w:rPr>
          <w:rFonts w:cs="Tahoma"/>
          <w:color w:val="000000"/>
        </w:rPr>
        <w:t xml:space="preserve">y story is not mine alone, </w:t>
      </w:r>
      <w:r w:rsidR="00F37457">
        <w:rPr>
          <w:rFonts w:cs="Tahoma"/>
          <w:color w:val="000000"/>
        </w:rPr>
        <w:t xml:space="preserve">and because of this, </w:t>
      </w:r>
      <w:r w:rsidR="005E56E3">
        <w:rPr>
          <w:rFonts w:cs="Tahoma"/>
          <w:color w:val="000000"/>
        </w:rPr>
        <w:t>I edit it</w:t>
      </w:r>
      <w:r w:rsidR="00F37457">
        <w:rPr>
          <w:rFonts w:cs="Tahoma"/>
          <w:color w:val="000000"/>
        </w:rPr>
        <w:t xml:space="preserve"> </w:t>
      </w:r>
      <w:r w:rsidR="004F7010">
        <w:rPr>
          <w:rFonts w:ascii="Calibri" w:hAnsi="Calibri"/>
        </w:rPr>
        <w:t xml:space="preserve">(for an </w:t>
      </w:r>
      <w:r w:rsidR="00F37457" w:rsidRPr="00F37457">
        <w:rPr>
          <w:rFonts w:ascii="Calibri" w:hAnsi="Calibri"/>
        </w:rPr>
        <w:t>in-depth discussion of relational ethics see, Ellis 2007; Ryan-Flood and Gill 2009)</w:t>
      </w:r>
      <w:r w:rsidR="005E56E3">
        <w:rPr>
          <w:rFonts w:cs="Tahoma"/>
          <w:color w:val="000000"/>
        </w:rPr>
        <w:t xml:space="preserve">. </w:t>
      </w:r>
      <w:r w:rsidR="00C05397">
        <w:rPr>
          <w:rFonts w:cs="Tahoma"/>
          <w:color w:val="000000"/>
        </w:rPr>
        <w:t xml:space="preserve">I try </w:t>
      </w:r>
      <w:r w:rsidR="00413DF4">
        <w:rPr>
          <w:rFonts w:cs="Tahoma"/>
          <w:color w:val="000000"/>
        </w:rPr>
        <w:t xml:space="preserve">and fail </w:t>
      </w:r>
      <w:r w:rsidR="00C05397">
        <w:rPr>
          <w:rFonts w:cs="Tahoma"/>
          <w:color w:val="000000"/>
        </w:rPr>
        <w:t>to explain the personal experien</w:t>
      </w:r>
      <w:r w:rsidR="00413DF4">
        <w:rPr>
          <w:rFonts w:cs="Tahoma"/>
          <w:color w:val="000000"/>
        </w:rPr>
        <w:t xml:space="preserve">ces that led me to the research. As </w:t>
      </w:r>
      <w:proofErr w:type="spellStart"/>
      <w:r w:rsidR="009715F3">
        <w:rPr>
          <w:rFonts w:cs="Tahoma"/>
          <w:color w:val="000000"/>
        </w:rPr>
        <w:t>Jijian</w:t>
      </w:r>
      <w:proofErr w:type="spellEnd"/>
      <w:r w:rsidR="009715F3">
        <w:rPr>
          <w:rFonts w:cs="Tahoma"/>
          <w:color w:val="000000"/>
        </w:rPr>
        <w:t xml:space="preserve"> </w:t>
      </w:r>
      <w:r w:rsidR="00413DF4">
        <w:rPr>
          <w:rFonts w:cs="Tahoma"/>
          <w:color w:val="000000"/>
        </w:rPr>
        <w:t>Voronka notes, ‘the stories we tell are always mediated by the epistemes that proceed us’ (</w:t>
      </w:r>
      <w:r w:rsidR="00675559">
        <w:rPr>
          <w:rFonts w:cs="Tahoma"/>
          <w:color w:val="000000"/>
        </w:rPr>
        <w:t>In Press</w:t>
      </w:r>
      <w:r w:rsidR="00413DF4">
        <w:rPr>
          <w:rFonts w:cs="Tahoma"/>
          <w:color w:val="000000"/>
        </w:rPr>
        <w:t xml:space="preserve">), and I </w:t>
      </w:r>
      <w:r w:rsidR="00C05397">
        <w:rPr>
          <w:rFonts w:cs="Tahoma"/>
          <w:color w:val="000000"/>
        </w:rPr>
        <w:t xml:space="preserve">find </w:t>
      </w:r>
      <w:r w:rsidR="00C05397" w:rsidRPr="00AF076A">
        <w:rPr>
          <w:rFonts w:cs="Tahoma"/>
          <w:color w:val="000000"/>
        </w:rPr>
        <w:t xml:space="preserve">that I can only use </w:t>
      </w:r>
      <w:r w:rsidR="005E56E3" w:rsidRPr="00AF076A">
        <w:rPr>
          <w:rFonts w:cs="Tahoma"/>
          <w:color w:val="000000"/>
        </w:rPr>
        <w:t xml:space="preserve">the language of </w:t>
      </w:r>
      <w:r w:rsidR="00C05397" w:rsidRPr="00AF076A">
        <w:rPr>
          <w:rFonts w:cs="Tahoma"/>
          <w:color w:val="000000"/>
        </w:rPr>
        <w:t xml:space="preserve">psychiatric diagnoses to make myself and what I have been through legible. </w:t>
      </w:r>
      <w:r w:rsidR="005E56E3" w:rsidRPr="00AF076A">
        <w:rPr>
          <w:rFonts w:cs="Tahoma"/>
          <w:color w:val="000000"/>
        </w:rPr>
        <w:t>This situates me for the examiners, but I find myself displaced.</w:t>
      </w:r>
      <w:r w:rsidR="005E56E3">
        <w:rPr>
          <w:rFonts w:cs="Tahoma"/>
          <w:color w:val="000000"/>
        </w:rPr>
        <w:t xml:space="preserve"> </w:t>
      </w:r>
    </w:p>
    <w:p w14:paraId="755C4E86" w14:textId="52B77D73" w:rsidR="00F10EB5" w:rsidRDefault="00F10EB5" w:rsidP="00775118">
      <w:pPr>
        <w:pStyle w:val="Heading2"/>
        <w:rPr>
          <w:rFonts w:asciiTheme="minorHAnsi" w:hAnsiTheme="minorHAnsi"/>
        </w:rPr>
      </w:pPr>
      <w:r>
        <w:rPr>
          <w:rFonts w:asciiTheme="minorHAnsi" w:hAnsiTheme="minorHAnsi"/>
        </w:rPr>
        <w:t>Scene Three: Mad Studies</w:t>
      </w:r>
    </w:p>
    <w:p w14:paraId="0AA2877E" w14:textId="5FC2348B" w:rsidR="0087037D" w:rsidRDefault="00C05397" w:rsidP="009715F3">
      <w:pPr>
        <w:spacing w:line="480" w:lineRule="auto"/>
        <w:rPr>
          <w:rFonts w:cs="Tahoma"/>
          <w:color w:val="000000"/>
        </w:rPr>
      </w:pPr>
      <w:r>
        <w:t>Post-doctorate</w:t>
      </w:r>
      <w:r w:rsidR="00AD2959">
        <w:t xml:space="preserve">, I am drawn into the field of mad studies through organising </w:t>
      </w:r>
      <w:r w:rsidR="00A071E7">
        <w:t>a</w:t>
      </w:r>
      <w:r w:rsidR="00675559">
        <w:t xml:space="preserve"> </w:t>
      </w:r>
      <w:r w:rsidR="00A071E7" w:rsidRPr="00A071E7">
        <w:t>‘Mad Studies’ stream, Lancaster Disability Studies Conference, Lancaster University</w:t>
      </w:r>
      <w:r w:rsidR="00A071E7">
        <w:t>, with Peter Beresford</w:t>
      </w:r>
      <w:r w:rsidR="008B0206">
        <w:t xml:space="preserve"> (McWade, 2016b)</w:t>
      </w:r>
      <w:r w:rsidR="00AD2959" w:rsidRPr="005C01C4">
        <w:t>.</w:t>
      </w:r>
      <w:r w:rsidR="00AD2959">
        <w:t xml:space="preserve"> </w:t>
      </w:r>
      <w:r w:rsidR="00754021">
        <w:t xml:space="preserve">I go on to collaborate with </w:t>
      </w:r>
      <w:proofErr w:type="spellStart"/>
      <w:r w:rsidR="00754021">
        <w:t>neurodivergent</w:t>
      </w:r>
      <w:proofErr w:type="spellEnd"/>
      <w:r w:rsidR="00754021">
        <w:t xml:space="preserve"> and mad activist scholars to hold events </w:t>
      </w:r>
      <w:r w:rsidR="00213299">
        <w:t>fore-fronting</w:t>
      </w:r>
      <w:r w:rsidR="00754021">
        <w:t xml:space="preserve"> the voices of those with lived experience. </w:t>
      </w:r>
      <w:r w:rsidR="0087037D">
        <w:t xml:space="preserve">Mad Studies is a small but diverse collection of activist scholarship emerging out of consumer/survivor/ex-service user (C/S/X) movement in Canada. </w:t>
      </w:r>
      <w:r w:rsidR="00754021">
        <w:t xml:space="preserve">As part of a wider research programme, I undertake a visit to Toronto to spend time with members of this community and learn about their praxis. Mad Studies </w:t>
      </w:r>
      <w:r w:rsidR="0087037D">
        <w:t xml:space="preserve">has been described as </w:t>
      </w:r>
      <w:r w:rsidR="0087037D" w:rsidRPr="00B72E9D">
        <w:rPr>
          <w:rFonts w:cs="Tahoma"/>
          <w:color w:val="000000"/>
        </w:rPr>
        <w:t xml:space="preserve">‘a project of inquiry, knowledge production, and political action devoted to the critique and transcendence of </w:t>
      </w:r>
      <w:proofErr w:type="spellStart"/>
      <w:r w:rsidR="0087037D" w:rsidRPr="00B72E9D">
        <w:rPr>
          <w:rFonts w:cs="Tahoma"/>
          <w:color w:val="000000"/>
        </w:rPr>
        <w:t>psy</w:t>
      </w:r>
      <w:proofErr w:type="spellEnd"/>
      <w:r w:rsidR="0087037D" w:rsidRPr="00B72E9D">
        <w:rPr>
          <w:rFonts w:cs="Tahoma"/>
          <w:color w:val="000000"/>
        </w:rPr>
        <w:t>-centred ways of thinking</w:t>
      </w:r>
      <w:r w:rsidR="0087037D">
        <w:rPr>
          <w:rFonts w:cs="Tahoma"/>
          <w:color w:val="000000"/>
        </w:rPr>
        <w:t>, behaving, relating, and being</w:t>
      </w:r>
      <w:r w:rsidR="0087037D" w:rsidRPr="00B72E9D">
        <w:rPr>
          <w:rFonts w:cs="Tahoma"/>
          <w:color w:val="000000"/>
        </w:rPr>
        <w:t xml:space="preserve">’ </w:t>
      </w:r>
      <w:r w:rsidR="0087037D" w:rsidRPr="0087037D">
        <w:rPr>
          <w:rFonts w:ascii="Calibri" w:hAnsi="Calibri"/>
        </w:rPr>
        <w:t>(</w:t>
      </w:r>
      <w:proofErr w:type="spellStart"/>
      <w:r w:rsidR="0087037D" w:rsidRPr="0087037D">
        <w:rPr>
          <w:rFonts w:ascii="Calibri" w:hAnsi="Calibri"/>
        </w:rPr>
        <w:t>LeFrancois</w:t>
      </w:r>
      <w:proofErr w:type="spellEnd"/>
      <w:r w:rsidR="0087037D" w:rsidRPr="0087037D">
        <w:rPr>
          <w:rFonts w:ascii="Calibri" w:hAnsi="Calibri"/>
        </w:rPr>
        <w:t>, Menzies, and Reaume 2013, 13)</w:t>
      </w:r>
      <w:r w:rsidR="00A071E7">
        <w:rPr>
          <w:rFonts w:cs="Tahoma"/>
          <w:color w:val="000000"/>
        </w:rPr>
        <w:t>. M</w:t>
      </w:r>
      <w:r w:rsidR="0087037D">
        <w:rPr>
          <w:rFonts w:cs="Tahoma"/>
          <w:color w:val="000000"/>
        </w:rPr>
        <w:t xml:space="preserve">ad is reclaimed as </w:t>
      </w:r>
      <w:r w:rsidR="00213299">
        <w:rPr>
          <w:rFonts w:cs="Tahoma"/>
          <w:color w:val="000000"/>
        </w:rPr>
        <w:t xml:space="preserve">a politicized </w:t>
      </w:r>
      <w:r w:rsidR="008B0206">
        <w:rPr>
          <w:rFonts w:cs="Tahoma"/>
          <w:color w:val="000000"/>
        </w:rPr>
        <w:t>identity</w:t>
      </w:r>
      <w:r w:rsidR="0087037D">
        <w:rPr>
          <w:rFonts w:cs="Tahoma"/>
          <w:color w:val="000000"/>
        </w:rPr>
        <w:t xml:space="preserve"> and reflects ‘</w:t>
      </w:r>
      <w:r w:rsidR="0087037D" w:rsidRPr="00B72E9D">
        <w:rPr>
          <w:rFonts w:cs="Tahoma"/>
          <w:color w:val="000000"/>
        </w:rPr>
        <w:t xml:space="preserve">a </w:t>
      </w:r>
      <w:r w:rsidR="0087037D" w:rsidRPr="00B72E9D">
        <w:rPr>
          <w:rFonts w:cs="Tahoma"/>
          <w:i/>
          <w:iCs/>
          <w:color w:val="000000"/>
        </w:rPr>
        <w:t>plurality of resistances</w:t>
      </w:r>
      <w:r w:rsidR="0087037D" w:rsidRPr="00B72E9D">
        <w:rPr>
          <w:rFonts w:cs="Tahoma"/>
          <w:color w:val="000000"/>
        </w:rPr>
        <w:t xml:space="preserve"> and subversive acts against </w:t>
      </w:r>
      <w:proofErr w:type="spellStart"/>
      <w:r w:rsidR="0087037D" w:rsidRPr="00B72E9D">
        <w:rPr>
          <w:rFonts w:cs="Tahoma"/>
          <w:color w:val="000000"/>
        </w:rPr>
        <w:t>sanism</w:t>
      </w:r>
      <w:proofErr w:type="spellEnd"/>
      <w:r w:rsidR="0087037D" w:rsidRPr="00B72E9D">
        <w:rPr>
          <w:rFonts w:cs="Tahoma"/>
          <w:color w:val="000000"/>
        </w:rPr>
        <w:t>”</w:t>
      </w:r>
      <w:r w:rsidR="009715F3">
        <w:rPr>
          <w:rFonts w:cs="Tahoma"/>
          <w:color w:val="000000"/>
        </w:rPr>
        <w:t xml:space="preserve"> (Diamond, </w:t>
      </w:r>
      <w:r w:rsidR="004F7010">
        <w:rPr>
          <w:rFonts w:cs="Tahoma"/>
          <w:color w:val="000000"/>
        </w:rPr>
        <w:t>2013).</w:t>
      </w:r>
    </w:p>
    <w:p w14:paraId="0166806B" w14:textId="18DE18FE" w:rsidR="00675028" w:rsidRDefault="009715F3" w:rsidP="00413DF4">
      <w:pPr>
        <w:spacing w:line="480" w:lineRule="auto"/>
        <w:rPr>
          <w:rFonts w:cs="Tahoma"/>
          <w:color w:val="000000"/>
        </w:rPr>
      </w:pPr>
      <w:r>
        <w:t>Finding and becoming involved in Mad Studies</w:t>
      </w:r>
      <w:r w:rsidR="006F6729">
        <w:t xml:space="preserve"> is my</w:t>
      </w:r>
      <w:r w:rsidR="00AD2959">
        <w:t xml:space="preserve"> epiphany moment </w:t>
      </w:r>
      <w:r w:rsidR="00AD2959" w:rsidRPr="00AD2959">
        <w:rPr>
          <w:rFonts w:ascii="Calibri" w:hAnsi="Calibri"/>
        </w:rPr>
        <w:t>(Denzin 2014)</w:t>
      </w:r>
      <w:r w:rsidR="00AD2959">
        <w:t xml:space="preserve">. </w:t>
      </w:r>
      <w:r w:rsidR="00754021">
        <w:rPr>
          <w:rFonts w:cs="Tahoma"/>
          <w:color w:val="000000"/>
        </w:rPr>
        <w:t>However,</w:t>
      </w:r>
      <w:r w:rsidR="00B85AFF" w:rsidRPr="00B72E9D">
        <w:rPr>
          <w:rFonts w:cs="Tahoma"/>
          <w:color w:val="000000"/>
        </w:rPr>
        <w:t xml:space="preserve"> those questions raised in the</w:t>
      </w:r>
      <w:r w:rsidR="00754021">
        <w:rPr>
          <w:rFonts w:cs="Tahoma"/>
          <w:color w:val="000000"/>
        </w:rPr>
        <w:t xml:space="preserve"> research ethics committee and</w:t>
      </w:r>
      <w:r w:rsidR="00C05397">
        <w:rPr>
          <w:rFonts w:cs="Tahoma"/>
          <w:color w:val="000000"/>
        </w:rPr>
        <w:t xml:space="preserve"> the</w:t>
      </w:r>
      <w:r w:rsidR="00B85AFF" w:rsidRPr="00B72E9D">
        <w:rPr>
          <w:rFonts w:cs="Tahoma"/>
          <w:color w:val="000000"/>
        </w:rPr>
        <w:t xml:space="preserve"> viva about my identity and experiences </w:t>
      </w:r>
      <w:r w:rsidR="00ED134F">
        <w:rPr>
          <w:rFonts w:cs="Tahoma"/>
          <w:color w:val="000000"/>
        </w:rPr>
        <w:t>continue to raise their (now familiar) heads</w:t>
      </w:r>
      <w:r w:rsidR="00B85AFF" w:rsidRPr="00B72E9D">
        <w:rPr>
          <w:rFonts w:cs="Tahoma"/>
          <w:color w:val="000000"/>
        </w:rPr>
        <w:t xml:space="preserve">. </w:t>
      </w:r>
      <w:r w:rsidR="00675028">
        <w:rPr>
          <w:rFonts w:cs="Tahoma"/>
          <w:color w:val="000000"/>
        </w:rPr>
        <w:t xml:space="preserve">I find myself confessing, explaining and excusing who I am to my new survivor/service-user research collaborators. As I try to situate myself I find that there </w:t>
      </w:r>
      <w:r w:rsidR="00675028" w:rsidRPr="00B72E9D">
        <w:rPr>
          <w:rFonts w:cs="Tahoma"/>
          <w:color w:val="000000"/>
        </w:rPr>
        <w:t>are multiple identities to pick from</w:t>
      </w:r>
      <w:r w:rsidR="00DA3D2B">
        <w:rPr>
          <w:rFonts w:cs="Tahoma"/>
          <w:color w:val="000000"/>
        </w:rPr>
        <w:t>, including but not limited to</w:t>
      </w:r>
      <w:r w:rsidR="00565589">
        <w:rPr>
          <w:rFonts w:cs="Tahoma"/>
          <w:color w:val="000000"/>
        </w:rPr>
        <w:t>: p</w:t>
      </w:r>
      <w:r w:rsidR="00675028">
        <w:rPr>
          <w:rFonts w:cs="Tahoma"/>
          <w:color w:val="000000"/>
        </w:rPr>
        <w:t xml:space="preserve">sychiatric survivor, person with lived experience, mad-identified, mad positive </w:t>
      </w:r>
      <w:r w:rsidR="00DA3D2B" w:rsidRPr="00DA3D2B">
        <w:rPr>
          <w:rFonts w:ascii="Calibri" w:hAnsi="Calibri"/>
        </w:rPr>
        <w:t xml:space="preserve">(for a discussion of these different terms </w:t>
      </w:r>
      <w:r w:rsidR="00DA3D2B" w:rsidRPr="00DA3D2B">
        <w:rPr>
          <w:rFonts w:ascii="Calibri" w:hAnsi="Calibri"/>
        </w:rPr>
        <w:lastRenderedPageBreak/>
        <w:t>see: Church and Landry 2013; N. Jones and Kelly 2015)</w:t>
      </w:r>
      <w:r w:rsidR="00675028">
        <w:rPr>
          <w:rFonts w:cs="Tahoma"/>
          <w:color w:val="000000"/>
        </w:rPr>
        <w:t xml:space="preserve">. </w:t>
      </w:r>
      <w:r w:rsidR="00ED134F">
        <w:rPr>
          <w:rFonts w:cs="Tahoma"/>
          <w:color w:val="000000"/>
        </w:rPr>
        <w:t>As I proceed, I encounter several more assumptions about who I am</w:t>
      </w:r>
      <w:r w:rsidR="00675028">
        <w:rPr>
          <w:rFonts w:cs="Tahoma"/>
          <w:color w:val="000000"/>
        </w:rPr>
        <w:t>,</w:t>
      </w:r>
      <w:r w:rsidR="00ED134F">
        <w:rPr>
          <w:rFonts w:cs="Tahoma"/>
          <w:color w:val="000000"/>
        </w:rPr>
        <w:t xml:space="preserve"> </w:t>
      </w:r>
      <w:r w:rsidR="00675028">
        <w:rPr>
          <w:rFonts w:cs="Tahoma"/>
          <w:color w:val="000000"/>
        </w:rPr>
        <w:t>some</w:t>
      </w:r>
      <w:r w:rsidR="00ED134F">
        <w:rPr>
          <w:rFonts w:cs="Tahoma"/>
          <w:color w:val="000000"/>
        </w:rPr>
        <w:t xml:space="preserve"> attempts to claim me as a survivor because of the work I am doing</w:t>
      </w:r>
      <w:r w:rsidR="00675028">
        <w:rPr>
          <w:rFonts w:cs="Tahoma"/>
          <w:color w:val="000000"/>
        </w:rPr>
        <w:t xml:space="preserve">, and some that reject my involvement </w:t>
      </w:r>
      <w:r>
        <w:rPr>
          <w:rFonts w:cs="Tahoma"/>
          <w:color w:val="000000"/>
        </w:rPr>
        <w:t>in Mad Studies and survivor research because</w:t>
      </w:r>
      <w:r w:rsidR="00675028">
        <w:rPr>
          <w:rFonts w:cs="Tahoma"/>
          <w:color w:val="000000"/>
        </w:rPr>
        <w:t xml:space="preserve"> I do not identify as such</w:t>
      </w:r>
      <w:r w:rsidR="00ED134F">
        <w:rPr>
          <w:rFonts w:cs="Tahoma"/>
          <w:color w:val="000000"/>
        </w:rPr>
        <w:t>. The demand for</w:t>
      </w:r>
      <w:r w:rsidR="00B85AFF" w:rsidRPr="00B72E9D">
        <w:rPr>
          <w:rFonts w:cs="Tahoma"/>
          <w:color w:val="000000"/>
        </w:rPr>
        <w:t xml:space="preserve"> authenticity </w:t>
      </w:r>
      <w:r w:rsidR="00ED134F">
        <w:rPr>
          <w:rFonts w:cs="Tahoma"/>
          <w:color w:val="000000"/>
        </w:rPr>
        <w:t>continues</w:t>
      </w:r>
      <w:r w:rsidR="00B85AFF" w:rsidRPr="00B72E9D">
        <w:rPr>
          <w:rFonts w:cs="Tahoma"/>
          <w:color w:val="000000"/>
        </w:rPr>
        <w:t xml:space="preserve">. </w:t>
      </w:r>
    </w:p>
    <w:p w14:paraId="7E070315" w14:textId="7EA6BDAF" w:rsidR="00B85AFF" w:rsidRPr="00125F37" w:rsidRDefault="00675028" w:rsidP="00413DF4">
      <w:pPr>
        <w:spacing w:line="480" w:lineRule="auto"/>
        <w:rPr>
          <w:rFonts w:cs="Tahoma"/>
          <w:color w:val="000000"/>
        </w:rPr>
      </w:pPr>
      <w:r>
        <w:rPr>
          <w:rFonts w:cs="Tahoma"/>
          <w:color w:val="000000"/>
        </w:rPr>
        <w:t>In this context</w:t>
      </w:r>
      <w:r w:rsidR="00565589">
        <w:rPr>
          <w:rFonts w:cs="Tahoma"/>
          <w:color w:val="000000"/>
        </w:rPr>
        <w:t>,</w:t>
      </w:r>
      <w:r>
        <w:rPr>
          <w:rFonts w:cs="Tahoma"/>
          <w:color w:val="000000"/>
        </w:rPr>
        <w:t xml:space="preserve"> these questions are spoken from fear of infiltration and co-option of a hard-won space </w:t>
      </w:r>
      <w:r w:rsidR="006E7DBB">
        <w:rPr>
          <w:rFonts w:ascii="Calibri" w:hAnsi="Calibri" w:cs="Times New Roman"/>
          <w:szCs w:val="24"/>
        </w:rPr>
        <w:t>(Russo and Beresford 2015</w:t>
      </w:r>
      <w:r w:rsidR="00176123" w:rsidRPr="00176123">
        <w:rPr>
          <w:rFonts w:ascii="Calibri" w:hAnsi="Calibri" w:cs="Times New Roman"/>
          <w:szCs w:val="24"/>
        </w:rPr>
        <w:t xml:space="preserve">; </w:t>
      </w:r>
      <w:proofErr w:type="spellStart"/>
      <w:r w:rsidR="00176123" w:rsidRPr="00176123">
        <w:rPr>
          <w:rFonts w:ascii="Calibri" w:hAnsi="Calibri" w:cs="Times New Roman"/>
          <w:szCs w:val="24"/>
        </w:rPr>
        <w:t>LeFrançois</w:t>
      </w:r>
      <w:proofErr w:type="spellEnd"/>
      <w:r w:rsidR="00176123" w:rsidRPr="00176123">
        <w:rPr>
          <w:rFonts w:ascii="Calibri" w:hAnsi="Calibri" w:cs="Times New Roman"/>
          <w:szCs w:val="24"/>
        </w:rPr>
        <w:t>, Beresford, and Russo 2016; Beresford and Russo 2016)</w:t>
      </w:r>
      <w:r>
        <w:rPr>
          <w:rFonts w:cs="Tahoma"/>
          <w:color w:val="000000"/>
        </w:rPr>
        <w:t xml:space="preserve">. I take seriously the importance of creating ‘mad-owned spaces,’ as the members of the </w:t>
      </w:r>
      <w:proofErr w:type="spellStart"/>
      <w:r w:rsidRPr="00675028">
        <w:rPr>
          <w:rFonts w:cs="Tahoma"/>
          <w:i/>
          <w:color w:val="000000"/>
        </w:rPr>
        <w:t>Oor</w:t>
      </w:r>
      <w:proofErr w:type="spellEnd"/>
      <w:r w:rsidRPr="00675028">
        <w:rPr>
          <w:rFonts w:cs="Tahoma"/>
          <w:i/>
          <w:color w:val="000000"/>
        </w:rPr>
        <w:t xml:space="preserve"> Mad History</w:t>
      </w:r>
      <w:r>
        <w:rPr>
          <w:rFonts w:cs="Tahoma"/>
          <w:color w:val="000000"/>
        </w:rPr>
        <w:t xml:space="preserve"> group described </w:t>
      </w:r>
      <w:r w:rsidRPr="005E3A0C">
        <w:rPr>
          <w:rFonts w:cs="Tahoma"/>
          <w:color w:val="000000"/>
        </w:rPr>
        <w:t xml:space="preserve">it at </w:t>
      </w:r>
      <w:r w:rsidR="00A071E7">
        <w:rPr>
          <w:rFonts w:cs="Tahoma"/>
          <w:color w:val="000000"/>
        </w:rPr>
        <w:t xml:space="preserve">the </w:t>
      </w:r>
      <w:r w:rsidR="00A071E7" w:rsidRPr="00E022E5">
        <w:rPr>
          <w:rFonts w:asciiTheme="majorHAnsi" w:hAnsiTheme="majorHAnsi"/>
          <w:b/>
          <w:bCs/>
          <w:iCs/>
        </w:rPr>
        <w:t>‘</w:t>
      </w:r>
      <w:r w:rsidR="00A071E7" w:rsidRPr="00A071E7">
        <w:rPr>
          <w:rFonts w:cs="Tahoma"/>
          <w:color w:val="000000"/>
        </w:rPr>
        <w:t xml:space="preserve">Mad Studies and Neurodiversity’ symposium, Lancaster University </w:t>
      </w:r>
      <w:r w:rsidR="00A071E7">
        <w:rPr>
          <w:rFonts w:cs="Tahoma"/>
          <w:color w:val="000000"/>
        </w:rPr>
        <w:t>in 2015</w:t>
      </w:r>
      <w:r>
        <w:rPr>
          <w:rFonts w:cs="Tahoma"/>
          <w:color w:val="000000"/>
        </w:rPr>
        <w:t xml:space="preserve">. </w:t>
      </w:r>
      <w:r w:rsidR="00B85AFF" w:rsidRPr="00B72E9D">
        <w:rPr>
          <w:rFonts w:cs="Tahoma"/>
          <w:color w:val="000000"/>
        </w:rPr>
        <w:t>This strategic essentialism, using identity as ba</w:t>
      </w:r>
      <w:r>
        <w:rPr>
          <w:rFonts w:cs="Tahoma"/>
          <w:color w:val="000000"/>
        </w:rPr>
        <w:t xml:space="preserve">sis for political participation, to take up space, and </w:t>
      </w:r>
      <w:r w:rsidR="00B85AFF" w:rsidRPr="00B72E9D">
        <w:rPr>
          <w:rFonts w:cs="Tahoma"/>
          <w:color w:val="000000"/>
        </w:rPr>
        <w:t xml:space="preserve">form a movement involves the radical acceptance of oneself. </w:t>
      </w:r>
      <w:r>
        <w:rPr>
          <w:rFonts w:cs="Tahoma"/>
          <w:color w:val="000000"/>
        </w:rPr>
        <w:t xml:space="preserve"> </w:t>
      </w:r>
      <w:r w:rsidR="00235EB5">
        <w:rPr>
          <w:rFonts w:cs="Tahoma"/>
          <w:color w:val="000000"/>
        </w:rPr>
        <w:t>I do</w:t>
      </w:r>
      <w:r w:rsidR="00D328CE">
        <w:rPr>
          <w:rFonts w:cs="Tahoma"/>
          <w:color w:val="000000"/>
        </w:rPr>
        <w:t xml:space="preserve"> not wish to detract from that</w:t>
      </w:r>
      <w:r w:rsidR="00A071E7">
        <w:rPr>
          <w:rFonts w:cs="Tahoma"/>
          <w:color w:val="000000"/>
        </w:rPr>
        <w:t>, and yet I still cannot place myself anywhere</w:t>
      </w:r>
      <w:r w:rsidR="00D328CE">
        <w:rPr>
          <w:rFonts w:cs="Tahoma"/>
          <w:color w:val="000000"/>
        </w:rPr>
        <w:t xml:space="preserve">. </w:t>
      </w:r>
    </w:p>
    <w:p w14:paraId="4E3F78A8" w14:textId="58F8CD93" w:rsidR="00506AD6" w:rsidRPr="00171378" w:rsidRDefault="00AD2959" w:rsidP="0018559B">
      <w:pPr>
        <w:pStyle w:val="Heading2"/>
      </w:pPr>
      <w:r>
        <w:t>The classificatory politics of lived experience</w:t>
      </w:r>
    </w:p>
    <w:p w14:paraId="2A8650BD" w14:textId="0EC68723" w:rsidR="00991D6B" w:rsidRPr="00991D6B" w:rsidRDefault="008465EF" w:rsidP="00696628">
      <w:pPr>
        <w:spacing w:line="480" w:lineRule="auto"/>
        <w:rPr>
          <w:rFonts w:cs="Tahoma"/>
          <w:color w:val="000000"/>
        </w:rPr>
      </w:pPr>
      <w:r>
        <w:rPr>
          <w:rFonts w:cs="Tahoma"/>
          <w:color w:val="000000"/>
        </w:rPr>
        <w:t>A central critique</w:t>
      </w:r>
      <w:r w:rsidR="00D328CE">
        <w:rPr>
          <w:rFonts w:cs="Tahoma"/>
          <w:color w:val="000000"/>
        </w:rPr>
        <w:t xml:space="preserve"> of identity politics is that </w:t>
      </w:r>
      <w:r w:rsidRPr="00125F37">
        <w:rPr>
          <w:rFonts w:cs="Tahoma"/>
          <w:color w:val="000000"/>
          <w:lang w:val="en-US"/>
        </w:rPr>
        <w:t xml:space="preserve">in </w:t>
      </w:r>
      <w:r w:rsidR="00991D6B">
        <w:rPr>
          <w:rFonts w:cs="Tahoma"/>
          <w:color w:val="000000"/>
          <w:lang w:val="en-US"/>
        </w:rPr>
        <w:t>participating in such</w:t>
      </w:r>
      <w:r>
        <w:rPr>
          <w:rFonts w:cs="Tahoma"/>
          <w:color w:val="000000"/>
          <w:lang w:val="en-US"/>
        </w:rPr>
        <w:t xml:space="preserve"> processes of identification</w:t>
      </w:r>
      <w:r w:rsidR="00991D6B">
        <w:rPr>
          <w:rFonts w:cs="Tahoma"/>
          <w:color w:val="000000"/>
          <w:lang w:val="en-US"/>
        </w:rPr>
        <w:t xml:space="preserve">, </w:t>
      </w:r>
      <w:r>
        <w:rPr>
          <w:rFonts w:cs="Tahoma"/>
          <w:color w:val="000000"/>
          <w:lang w:val="en-US"/>
        </w:rPr>
        <w:t>and therefore classification</w:t>
      </w:r>
      <w:r w:rsidR="00970243">
        <w:rPr>
          <w:rFonts w:cs="Tahoma"/>
          <w:color w:val="000000"/>
          <w:lang w:val="en-US"/>
        </w:rPr>
        <w:t>,</w:t>
      </w:r>
      <w:r w:rsidR="00991D6B">
        <w:rPr>
          <w:rFonts w:cs="Tahoma"/>
          <w:bCs/>
          <w:color w:val="000000"/>
          <w:lang w:val="en-US"/>
        </w:rPr>
        <w:t xml:space="preserve"> </w:t>
      </w:r>
      <w:r w:rsidRPr="00125F37">
        <w:rPr>
          <w:rFonts w:cs="Tahoma"/>
          <w:color w:val="000000"/>
          <w:lang w:val="en-US"/>
        </w:rPr>
        <w:t xml:space="preserve">we become complicit in </w:t>
      </w:r>
      <w:r w:rsidR="00991D6B">
        <w:rPr>
          <w:rFonts w:cs="Tahoma"/>
          <w:color w:val="000000"/>
          <w:lang w:val="en-US"/>
        </w:rPr>
        <w:t>practices</w:t>
      </w:r>
      <w:r w:rsidRPr="00125F37">
        <w:rPr>
          <w:rFonts w:cs="Tahoma"/>
          <w:color w:val="000000"/>
          <w:lang w:val="en-US"/>
        </w:rPr>
        <w:t xml:space="preserve"> </w:t>
      </w:r>
      <w:r>
        <w:rPr>
          <w:rFonts w:cs="Tahoma"/>
          <w:color w:val="000000"/>
          <w:lang w:val="en-US"/>
        </w:rPr>
        <w:t xml:space="preserve">that actively </w:t>
      </w:r>
      <w:r w:rsidR="00991D6B">
        <w:rPr>
          <w:rFonts w:cs="Tahoma"/>
          <w:color w:val="000000"/>
          <w:lang w:val="en-US"/>
        </w:rPr>
        <w:t>(re)</w:t>
      </w:r>
      <w:r>
        <w:rPr>
          <w:rFonts w:cs="Tahoma"/>
          <w:color w:val="000000"/>
          <w:lang w:val="en-US"/>
        </w:rPr>
        <w:t>pr</w:t>
      </w:r>
      <w:r w:rsidR="00991D6B">
        <w:rPr>
          <w:rFonts w:cs="Tahoma"/>
          <w:color w:val="000000"/>
          <w:lang w:val="en-US"/>
        </w:rPr>
        <w:t xml:space="preserve">oduce hierarchies of difference, and therefore inequalities </w:t>
      </w:r>
      <w:r w:rsidR="00991D6B" w:rsidRPr="00991D6B">
        <w:rPr>
          <w:rFonts w:ascii="Calibri" w:hAnsi="Calibri"/>
        </w:rPr>
        <w:t>(Brown 1993; Tyler 2015; Voronka 2016)</w:t>
      </w:r>
      <w:r>
        <w:rPr>
          <w:rFonts w:cs="Tahoma"/>
          <w:color w:val="000000"/>
          <w:lang w:val="en-US"/>
        </w:rPr>
        <w:t>.</w:t>
      </w:r>
      <w:r w:rsidR="00D328CE">
        <w:rPr>
          <w:rFonts w:cs="Tahoma"/>
          <w:color w:val="000000"/>
        </w:rPr>
        <w:t xml:space="preserve"> </w:t>
      </w:r>
      <w:r w:rsidR="00500031">
        <w:rPr>
          <w:rFonts w:cs="Tahoma"/>
          <w:color w:val="000000"/>
        </w:rPr>
        <w:t xml:space="preserve">Of </w:t>
      </w:r>
      <w:proofErr w:type="gramStart"/>
      <w:r w:rsidR="00500031">
        <w:rPr>
          <w:rFonts w:cs="Tahoma"/>
          <w:color w:val="000000"/>
        </w:rPr>
        <w:t>particular relevance</w:t>
      </w:r>
      <w:proofErr w:type="gramEnd"/>
      <w:r w:rsidR="00500031">
        <w:rPr>
          <w:rFonts w:cs="Tahoma"/>
          <w:color w:val="000000"/>
        </w:rPr>
        <w:t xml:space="preserve">, </w:t>
      </w:r>
      <w:r w:rsidR="00BF05D9">
        <w:rPr>
          <w:rFonts w:cs="Tahoma"/>
          <w:color w:val="000000"/>
        </w:rPr>
        <w:t xml:space="preserve">Voronka </w:t>
      </w:r>
      <w:r w:rsidR="00991D6B">
        <w:rPr>
          <w:rFonts w:cs="Tahoma"/>
          <w:color w:val="000000"/>
        </w:rPr>
        <w:t>provides a perspicacious examination of</w:t>
      </w:r>
      <w:r w:rsidR="00BF05D9">
        <w:rPr>
          <w:rFonts w:cs="Tahoma"/>
          <w:color w:val="000000"/>
        </w:rPr>
        <w:t xml:space="preserve"> ‘</w:t>
      </w:r>
      <w:r w:rsidR="00BF05D9" w:rsidRPr="00EB2803">
        <w:rPr>
          <w:rFonts w:cs="Tahoma"/>
          <w:color w:val="000000"/>
        </w:rPr>
        <w:t>how</w:t>
      </w:r>
      <w:r w:rsidR="00BF05D9">
        <w:rPr>
          <w:rFonts w:cs="Tahoma"/>
          <w:color w:val="000000"/>
        </w:rPr>
        <w:t xml:space="preserve"> essentialized notions of lived </w:t>
      </w:r>
      <w:r w:rsidR="00BF05D9" w:rsidRPr="00EB2803">
        <w:rPr>
          <w:rFonts w:cs="Tahoma"/>
          <w:color w:val="000000"/>
        </w:rPr>
        <w:t>experience</w:t>
      </w:r>
      <w:r w:rsidR="00991D6B">
        <w:rPr>
          <w:rFonts w:cs="Tahoma"/>
          <w:color w:val="000000"/>
        </w:rPr>
        <w:t xml:space="preserve"> [in mental health]</w:t>
      </w:r>
      <w:r w:rsidR="00BF05D9" w:rsidRPr="00EB2803">
        <w:rPr>
          <w:rFonts w:cs="Tahoma"/>
          <w:color w:val="000000"/>
        </w:rPr>
        <w:t xml:space="preserve"> risk effacin</w:t>
      </w:r>
      <w:r w:rsidR="00BF05D9">
        <w:rPr>
          <w:rFonts w:cs="Tahoma"/>
          <w:color w:val="000000"/>
        </w:rPr>
        <w:t xml:space="preserve">g the material, ontological and </w:t>
      </w:r>
      <w:r w:rsidR="00BF05D9" w:rsidRPr="00EB2803">
        <w:rPr>
          <w:rFonts w:cs="Tahoma"/>
          <w:color w:val="000000"/>
        </w:rPr>
        <w:t>epistemological differences among us that matter</w:t>
      </w:r>
      <w:r w:rsidR="00BF05D9">
        <w:rPr>
          <w:rFonts w:cs="Tahoma"/>
          <w:color w:val="000000"/>
        </w:rPr>
        <w:t xml:space="preserve">’ </w:t>
      </w:r>
      <w:r w:rsidR="00CD21B4" w:rsidRPr="00CD21B4">
        <w:rPr>
          <w:rFonts w:ascii="Calibri" w:hAnsi="Calibri"/>
        </w:rPr>
        <w:t>(2016, 189)</w:t>
      </w:r>
      <w:r w:rsidR="00BF05D9">
        <w:rPr>
          <w:rFonts w:cs="Tahoma"/>
          <w:color w:val="000000"/>
        </w:rPr>
        <w:t xml:space="preserve">. For Voronka, </w:t>
      </w:r>
      <w:r w:rsidR="00991D6B">
        <w:rPr>
          <w:rFonts w:cs="Tahoma"/>
          <w:color w:val="000000"/>
        </w:rPr>
        <w:t xml:space="preserve">the identity of “person with lived experience,” as a new classification in mental health research and governance, </w:t>
      </w:r>
      <w:r>
        <w:rPr>
          <w:rFonts w:cs="Tahoma"/>
          <w:color w:val="000000"/>
        </w:rPr>
        <w:t>not only reproduce</w:t>
      </w:r>
      <w:r w:rsidR="00991D6B">
        <w:rPr>
          <w:rFonts w:cs="Tahoma"/>
          <w:color w:val="000000"/>
        </w:rPr>
        <w:t>s</w:t>
      </w:r>
      <w:r>
        <w:rPr>
          <w:rFonts w:cs="Tahoma"/>
          <w:color w:val="000000"/>
        </w:rPr>
        <w:t xml:space="preserve"> dominant discourse</w:t>
      </w:r>
      <w:r w:rsidR="00991D6B">
        <w:rPr>
          <w:rFonts w:cs="Tahoma"/>
          <w:color w:val="000000"/>
        </w:rPr>
        <w:t>, it</w:t>
      </w:r>
      <w:r>
        <w:rPr>
          <w:rFonts w:cs="Tahoma"/>
          <w:color w:val="000000"/>
        </w:rPr>
        <w:t xml:space="preserve"> also universalise</w:t>
      </w:r>
      <w:r w:rsidR="00991D6B">
        <w:rPr>
          <w:rFonts w:cs="Tahoma"/>
          <w:color w:val="000000"/>
        </w:rPr>
        <w:t>s</w:t>
      </w:r>
      <w:r w:rsidR="009E031A" w:rsidRPr="00125F37">
        <w:rPr>
          <w:rFonts w:cs="Tahoma"/>
          <w:color w:val="000000"/>
        </w:rPr>
        <w:t xml:space="preserve"> </w:t>
      </w:r>
      <w:r w:rsidR="00D328CE">
        <w:rPr>
          <w:rFonts w:cs="Tahoma"/>
          <w:color w:val="000000"/>
        </w:rPr>
        <w:t xml:space="preserve">‘widely heterogeneous </w:t>
      </w:r>
      <w:r w:rsidR="00D328CE" w:rsidRPr="00EB2803">
        <w:rPr>
          <w:rFonts w:cs="Tahoma"/>
          <w:color w:val="000000"/>
        </w:rPr>
        <w:t>bodies of experience together</w:t>
      </w:r>
      <w:r w:rsidR="00D328CE">
        <w:rPr>
          <w:rFonts w:cs="Tahoma"/>
          <w:color w:val="000000"/>
        </w:rPr>
        <w:t xml:space="preserve">’ </w:t>
      </w:r>
      <w:r w:rsidR="00BF05D9" w:rsidRPr="00BF05D9">
        <w:rPr>
          <w:rFonts w:ascii="Calibri" w:hAnsi="Calibri"/>
        </w:rPr>
        <w:t>(2016, 190)</w:t>
      </w:r>
      <w:r w:rsidR="00D328CE">
        <w:rPr>
          <w:rFonts w:cs="Tahoma"/>
          <w:color w:val="000000"/>
        </w:rPr>
        <w:t xml:space="preserve">. </w:t>
      </w:r>
      <w:r w:rsidR="00902BE2">
        <w:rPr>
          <w:rFonts w:cs="Tahoma"/>
          <w:color w:val="000000"/>
        </w:rPr>
        <w:t>Moreover,</w:t>
      </w:r>
      <w:r w:rsidR="00696628">
        <w:rPr>
          <w:rFonts w:cs="Tahoma"/>
          <w:color w:val="000000"/>
        </w:rPr>
        <w:t xml:space="preserve"> </w:t>
      </w:r>
      <w:r w:rsidR="00DA3D2B">
        <w:rPr>
          <w:rFonts w:cs="Tahoma"/>
          <w:color w:val="000000"/>
        </w:rPr>
        <w:t>identifying oneself as a person with “lived experience” in the context of mental health research relies upon</w:t>
      </w:r>
      <w:r w:rsidR="00A63001">
        <w:rPr>
          <w:rFonts w:cs="Tahoma"/>
          <w:color w:val="000000"/>
        </w:rPr>
        <w:t xml:space="preserve"> other</w:t>
      </w:r>
      <w:r w:rsidR="00902BE2" w:rsidRPr="00125F37">
        <w:rPr>
          <w:rFonts w:cs="Tahoma"/>
          <w:color w:val="000000"/>
        </w:rPr>
        <w:t xml:space="preserve"> </w:t>
      </w:r>
      <w:r w:rsidR="00902BE2">
        <w:rPr>
          <w:rFonts w:cs="Tahoma"/>
          <w:color w:val="000000"/>
        </w:rPr>
        <w:t>‘</w:t>
      </w:r>
      <w:r w:rsidR="00902BE2" w:rsidRPr="00125F37">
        <w:rPr>
          <w:rFonts w:cs="Tahoma"/>
          <w:color w:val="000000"/>
        </w:rPr>
        <w:t>sites of privilege</w:t>
      </w:r>
      <w:r w:rsidR="00902BE2">
        <w:rPr>
          <w:rFonts w:cs="Tahoma"/>
          <w:color w:val="000000"/>
        </w:rPr>
        <w:t xml:space="preserve">’ </w:t>
      </w:r>
      <w:r w:rsidR="00DA3D2B" w:rsidRPr="00DA3D2B">
        <w:rPr>
          <w:rFonts w:ascii="Calibri" w:hAnsi="Calibri"/>
        </w:rPr>
        <w:t>(Voronka 2016, 197)</w:t>
      </w:r>
      <w:r w:rsidR="00902BE2">
        <w:rPr>
          <w:rFonts w:cs="Tahoma"/>
          <w:color w:val="000000"/>
        </w:rPr>
        <w:t xml:space="preserve"> </w:t>
      </w:r>
      <w:r w:rsidR="00DA3D2B">
        <w:rPr>
          <w:rFonts w:cs="Tahoma"/>
          <w:color w:val="000000"/>
        </w:rPr>
        <w:t>such as whiteness, heterosexu</w:t>
      </w:r>
      <w:r w:rsidR="00970243">
        <w:rPr>
          <w:rFonts w:cs="Tahoma"/>
          <w:color w:val="000000"/>
        </w:rPr>
        <w:t>ality, and class</w:t>
      </w:r>
      <w:r w:rsidR="00696628">
        <w:rPr>
          <w:rFonts w:cs="Tahoma"/>
          <w:color w:val="000000"/>
        </w:rPr>
        <w:t>.</w:t>
      </w:r>
      <w:r w:rsidR="00A63001">
        <w:rPr>
          <w:rFonts w:cs="Tahoma"/>
          <w:color w:val="000000"/>
        </w:rPr>
        <w:t xml:space="preserve"> </w:t>
      </w:r>
      <w:r w:rsidR="00A63001" w:rsidRPr="00125F37">
        <w:rPr>
          <w:rFonts w:cs="Tahoma"/>
          <w:color w:val="000000"/>
        </w:rPr>
        <w:t>Rachel Gorman and her co-authors</w:t>
      </w:r>
      <w:r w:rsidR="00A63001">
        <w:rPr>
          <w:rFonts w:cs="Tahoma"/>
          <w:color w:val="000000"/>
        </w:rPr>
        <w:t xml:space="preserve"> of the</w:t>
      </w:r>
      <w:r w:rsidR="00A63001" w:rsidRPr="00125F37">
        <w:rPr>
          <w:rFonts w:cs="Tahoma"/>
          <w:color w:val="000000"/>
        </w:rPr>
        <w:t xml:space="preserve"> </w:t>
      </w:r>
      <w:r w:rsidR="00A63001">
        <w:rPr>
          <w:rFonts w:cs="Tahoma"/>
          <w:i/>
          <w:color w:val="000000"/>
        </w:rPr>
        <w:t>Mad People of Colour’s Manifesto</w:t>
      </w:r>
      <w:r w:rsidR="00A63001">
        <w:rPr>
          <w:rFonts w:cs="Tahoma"/>
          <w:color w:val="000000"/>
        </w:rPr>
        <w:t xml:space="preserve"> </w:t>
      </w:r>
      <w:r w:rsidR="00E9555B">
        <w:rPr>
          <w:rFonts w:cs="Tahoma"/>
          <w:color w:val="000000"/>
        </w:rPr>
        <w:t>have argued</w:t>
      </w:r>
      <w:r w:rsidR="00A63001">
        <w:rPr>
          <w:rFonts w:cs="Tahoma"/>
          <w:color w:val="000000"/>
        </w:rPr>
        <w:t xml:space="preserve"> that</w:t>
      </w:r>
      <w:r w:rsidR="00991D6B">
        <w:rPr>
          <w:rFonts w:cs="Tahoma"/>
          <w:color w:val="000000"/>
        </w:rPr>
        <w:t xml:space="preserve"> the M</w:t>
      </w:r>
      <w:r w:rsidR="00A63001">
        <w:rPr>
          <w:rFonts w:cs="Tahoma"/>
          <w:color w:val="000000"/>
        </w:rPr>
        <w:t xml:space="preserve">ad identity is racialised: </w:t>
      </w:r>
      <w:r w:rsidR="00A63001" w:rsidRPr="008E5DA8">
        <w:rPr>
          <w:rFonts w:cs="Tahoma"/>
          <w:color w:val="000000"/>
        </w:rPr>
        <w:t>‘</w:t>
      </w:r>
      <w:r w:rsidR="00A63001">
        <w:rPr>
          <w:rFonts w:cs="Tahoma"/>
          <w:color w:val="000000"/>
        </w:rPr>
        <w:t xml:space="preserve">the </w:t>
      </w:r>
      <w:r w:rsidR="00A63001" w:rsidRPr="008E5DA8">
        <w:rPr>
          <w:rFonts w:cs="Tahoma"/>
          <w:bCs/>
          <w:color w:val="000000"/>
        </w:rPr>
        <w:t>mad movement presents a mad identity based on white people’s experien</w:t>
      </w:r>
      <w:r w:rsidR="00A63001">
        <w:rPr>
          <w:rFonts w:cs="Tahoma"/>
          <w:bCs/>
          <w:color w:val="000000"/>
        </w:rPr>
        <w:t xml:space="preserve">ces and white people’s theories’ </w:t>
      </w:r>
      <w:r w:rsidR="00A63001" w:rsidRPr="008E5DA8">
        <w:rPr>
          <w:rFonts w:ascii="Calibri" w:hAnsi="Calibri"/>
        </w:rPr>
        <w:t>(2013, 27)</w:t>
      </w:r>
      <w:r w:rsidR="00FC39AC">
        <w:rPr>
          <w:rFonts w:cs="Tahoma"/>
          <w:bCs/>
          <w:color w:val="000000"/>
        </w:rPr>
        <w:t>.  A</w:t>
      </w:r>
      <w:r w:rsidR="00500031">
        <w:rPr>
          <w:rFonts w:cs="Tahoma"/>
          <w:bCs/>
          <w:color w:val="000000"/>
        </w:rPr>
        <w:t xml:space="preserve"> recent </w:t>
      </w:r>
      <w:r w:rsidR="00FC39AC">
        <w:rPr>
          <w:rFonts w:cs="Tahoma"/>
          <w:bCs/>
          <w:color w:val="000000"/>
        </w:rPr>
        <w:t xml:space="preserve">UK </w:t>
      </w:r>
      <w:r w:rsidR="00500031">
        <w:rPr>
          <w:rFonts w:cs="Tahoma"/>
          <w:bCs/>
          <w:color w:val="000000"/>
        </w:rPr>
        <w:t xml:space="preserve">symposium </w:t>
      </w:r>
      <w:r w:rsidR="00FC39AC">
        <w:rPr>
          <w:rFonts w:cs="Tahoma"/>
          <w:bCs/>
          <w:color w:val="000000"/>
        </w:rPr>
        <w:t xml:space="preserve">organised by the National Survivor User Network </w:t>
      </w:r>
      <w:proofErr w:type="gramStart"/>
      <w:r w:rsidR="00500031">
        <w:rPr>
          <w:rFonts w:cs="Tahoma"/>
          <w:bCs/>
          <w:color w:val="000000"/>
        </w:rPr>
        <w:t>asked</w:t>
      </w:r>
      <w:proofErr w:type="gramEnd"/>
      <w:r w:rsidR="00500031">
        <w:rPr>
          <w:rFonts w:cs="Tahoma"/>
          <w:bCs/>
          <w:color w:val="000000"/>
        </w:rPr>
        <w:t xml:space="preserve"> ‘Why is survivor research </w:t>
      </w:r>
      <w:r w:rsidR="00500031">
        <w:rPr>
          <w:rFonts w:cs="Tahoma"/>
          <w:bCs/>
          <w:color w:val="000000"/>
        </w:rPr>
        <w:lastRenderedPageBreak/>
        <w:t>heteronormative and white?’</w:t>
      </w:r>
      <w:r w:rsidR="00500031" w:rsidRPr="00500031">
        <w:rPr>
          <w:rFonts w:ascii="Calibri" w:hAnsi="Calibri"/>
        </w:rPr>
        <w:t xml:space="preserve"> </w:t>
      </w:r>
      <w:r w:rsidR="00500031">
        <w:rPr>
          <w:rFonts w:ascii="Calibri" w:hAnsi="Calibri"/>
        </w:rPr>
        <w:t>(</w:t>
      </w:r>
      <w:r w:rsidR="00500031" w:rsidRPr="005C5FBE">
        <w:rPr>
          <w:rFonts w:ascii="Calibri" w:hAnsi="Calibri"/>
        </w:rPr>
        <w:t>Perry 2016)</w:t>
      </w:r>
      <w:r w:rsidR="00FC39AC">
        <w:rPr>
          <w:rFonts w:cs="Tahoma"/>
          <w:color w:val="000000"/>
        </w:rPr>
        <w:t>, and</w:t>
      </w:r>
      <w:r w:rsidR="003E095A">
        <w:rPr>
          <w:rFonts w:cs="Tahoma"/>
          <w:color w:val="000000"/>
        </w:rPr>
        <w:t xml:space="preserve"> </w:t>
      </w:r>
      <w:proofErr w:type="spellStart"/>
      <w:r w:rsidR="003E095A">
        <w:rPr>
          <w:rFonts w:cs="Tahoma"/>
          <w:color w:val="000000"/>
        </w:rPr>
        <w:t>Jayasree</w:t>
      </w:r>
      <w:proofErr w:type="spellEnd"/>
      <w:r w:rsidR="003E095A">
        <w:rPr>
          <w:rFonts w:cs="Tahoma"/>
          <w:color w:val="000000"/>
        </w:rPr>
        <w:t xml:space="preserve"> </w:t>
      </w:r>
      <w:proofErr w:type="spellStart"/>
      <w:r w:rsidR="003E095A">
        <w:rPr>
          <w:rFonts w:cs="Tahoma"/>
          <w:color w:val="000000"/>
        </w:rPr>
        <w:t>Kalathil</w:t>
      </w:r>
      <w:proofErr w:type="spellEnd"/>
      <w:r w:rsidR="003E095A">
        <w:rPr>
          <w:rFonts w:cs="Tahoma"/>
          <w:color w:val="000000"/>
        </w:rPr>
        <w:t xml:space="preserve"> and </w:t>
      </w:r>
      <w:proofErr w:type="spellStart"/>
      <w:r w:rsidR="003E095A">
        <w:rPr>
          <w:rFonts w:cs="Tahoma"/>
          <w:color w:val="000000"/>
        </w:rPr>
        <w:t>Nev</w:t>
      </w:r>
      <w:proofErr w:type="spellEnd"/>
      <w:r w:rsidR="003E095A">
        <w:rPr>
          <w:rFonts w:cs="Tahoma"/>
          <w:color w:val="000000"/>
        </w:rPr>
        <w:t xml:space="preserve"> Jones highlight how </w:t>
      </w:r>
      <w:r w:rsidR="00FC39AC">
        <w:rPr>
          <w:rFonts w:cs="Tahoma"/>
          <w:color w:val="000000"/>
        </w:rPr>
        <w:t>‘</w:t>
      </w:r>
      <w:r w:rsidR="00FC39AC" w:rsidRPr="00FC39AC">
        <w:rPr>
          <w:rFonts w:cs="Tahoma"/>
          <w:color w:val="000000"/>
        </w:rPr>
        <w:t>both user/survivor research and ‘mad theory’ remain Euro-American phenomena</w:t>
      </w:r>
      <w:r w:rsidR="00FC39AC">
        <w:rPr>
          <w:rFonts w:cs="Tahoma"/>
          <w:color w:val="000000"/>
        </w:rPr>
        <w:t>’</w:t>
      </w:r>
      <w:r w:rsidR="00306E8B">
        <w:rPr>
          <w:rFonts w:cs="Tahoma"/>
          <w:color w:val="000000"/>
        </w:rPr>
        <w:t xml:space="preserve"> (2016, 183</w:t>
      </w:r>
      <w:r w:rsidR="00FC39AC">
        <w:rPr>
          <w:rFonts w:cs="Tahoma"/>
          <w:color w:val="000000"/>
        </w:rPr>
        <w:t>).</w:t>
      </w:r>
      <w:r w:rsidR="003E095A">
        <w:rPr>
          <w:rFonts w:cs="Tahoma"/>
          <w:color w:val="000000"/>
        </w:rPr>
        <w:t xml:space="preserve"> </w:t>
      </w:r>
      <w:r w:rsidR="00A63001">
        <w:rPr>
          <w:rFonts w:cs="Tahoma"/>
          <w:color w:val="000000"/>
        </w:rPr>
        <w:t>Meanwhile,</w:t>
      </w:r>
      <w:r w:rsidR="00696628">
        <w:rPr>
          <w:rFonts w:cs="Tahoma"/>
          <w:color w:val="000000"/>
        </w:rPr>
        <w:t xml:space="preserve"> </w:t>
      </w:r>
      <w:proofErr w:type="spellStart"/>
      <w:r w:rsidR="00696628" w:rsidRPr="00125F37">
        <w:rPr>
          <w:rFonts w:cs="Tahoma"/>
          <w:color w:val="000000"/>
        </w:rPr>
        <w:t>Nev</w:t>
      </w:r>
      <w:proofErr w:type="spellEnd"/>
      <w:r w:rsidR="00696628" w:rsidRPr="00125F37">
        <w:rPr>
          <w:rFonts w:cs="Tahoma"/>
          <w:color w:val="000000"/>
        </w:rPr>
        <w:t xml:space="preserve"> Jones and Timothy Kelly high</w:t>
      </w:r>
      <w:r w:rsidR="00696628">
        <w:rPr>
          <w:rFonts w:cs="Tahoma"/>
          <w:color w:val="000000"/>
        </w:rPr>
        <w:t xml:space="preserve">light how </w:t>
      </w:r>
      <w:r w:rsidR="00996DE0">
        <w:rPr>
          <w:rFonts w:cs="Tahoma"/>
          <w:color w:val="000000"/>
        </w:rPr>
        <w:t>‘</w:t>
      </w:r>
      <w:r w:rsidR="00996DE0" w:rsidRPr="00996DE0">
        <w:rPr>
          <w:rFonts w:cs="Tahoma"/>
          <w:bCs/>
          <w:color w:val="000000"/>
          <w:lang w:val="en-US"/>
        </w:rPr>
        <w:t>intra-psychiatric differences</w:t>
      </w:r>
      <w:r w:rsidR="00996DE0">
        <w:rPr>
          <w:rFonts w:cs="Tahoma"/>
          <w:bCs/>
          <w:color w:val="000000"/>
          <w:lang w:val="en-US"/>
        </w:rPr>
        <w:t xml:space="preserve">’ </w:t>
      </w:r>
      <w:r w:rsidR="00996DE0" w:rsidRPr="00996DE0">
        <w:rPr>
          <w:rFonts w:ascii="Calibri" w:hAnsi="Calibri"/>
        </w:rPr>
        <w:t>(2015, 55)</w:t>
      </w:r>
      <w:r w:rsidR="00996DE0">
        <w:rPr>
          <w:rFonts w:cs="Tahoma"/>
          <w:bCs/>
          <w:color w:val="000000"/>
          <w:lang w:val="en-US"/>
        </w:rPr>
        <w:t xml:space="preserve"> are</w:t>
      </w:r>
      <w:r w:rsidR="00A63001">
        <w:rPr>
          <w:rFonts w:cs="Tahoma"/>
          <w:bCs/>
          <w:color w:val="000000"/>
          <w:lang w:val="en-US"/>
        </w:rPr>
        <w:t xml:space="preserve"> </w:t>
      </w:r>
      <w:r w:rsidR="00996DE0">
        <w:rPr>
          <w:rFonts w:cs="Tahoma"/>
          <w:bCs/>
          <w:color w:val="000000"/>
          <w:lang w:val="en-US"/>
        </w:rPr>
        <w:t>not sufficiently attended to in the mad movement, marginalizing the voices of those who are significan</w:t>
      </w:r>
      <w:r w:rsidR="00A63001">
        <w:rPr>
          <w:rFonts w:cs="Tahoma"/>
          <w:bCs/>
          <w:color w:val="000000"/>
          <w:lang w:val="en-US"/>
        </w:rPr>
        <w:t>tly impaired by their madness and distress</w:t>
      </w:r>
      <w:r w:rsidR="002F2EC7">
        <w:rPr>
          <w:rFonts w:cs="Tahoma"/>
          <w:bCs/>
          <w:color w:val="000000"/>
          <w:lang w:val="en-US"/>
        </w:rPr>
        <w:t xml:space="preserve">. </w:t>
      </w:r>
    </w:p>
    <w:p w14:paraId="79DEFFAA" w14:textId="5C5C41DF" w:rsidR="00696628" w:rsidRDefault="00696628" w:rsidP="00696628">
      <w:pPr>
        <w:spacing w:line="480" w:lineRule="auto"/>
        <w:rPr>
          <w:rFonts w:cs="Tahoma"/>
          <w:color w:val="000000"/>
        </w:rPr>
      </w:pPr>
      <w:r>
        <w:rPr>
          <w:rFonts w:cs="Tahoma"/>
          <w:color w:val="000000"/>
        </w:rPr>
        <w:t xml:space="preserve">Given these important contentions, </w:t>
      </w:r>
      <w:r w:rsidRPr="00125F37">
        <w:rPr>
          <w:rFonts w:cs="Tahoma"/>
          <w:color w:val="000000"/>
        </w:rPr>
        <w:t>Russo</w:t>
      </w:r>
      <w:r>
        <w:rPr>
          <w:rFonts w:cs="Tahoma"/>
          <w:color w:val="000000"/>
        </w:rPr>
        <w:t xml:space="preserve"> asks: ‘</w:t>
      </w:r>
      <w:r w:rsidRPr="008E5DA8">
        <w:rPr>
          <w:rFonts w:cs="Tahoma"/>
          <w:bCs/>
          <w:color w:val="000000"/>
        </w:rPr>
        <w:t xml:space="preserve">Do our experiences on their own guarantee that we will disrupt dominant approaches? … The task ahead of us might </w:t>
      </w:r>
      <w:proofErr w:type="gramStart"/>
      <w:r w:rsidRPr="008E5DA8">
        <w:rPr>
          <w:rFonts w:cs="Tahoma"/>
          <w:bCs/>
          <w:color w:val="000000"/>
        </w:rPr>
        <w:t>actually be</w:t>
      </w:r>
      <w:proofErr w:type="gramEnd"/>
      <w:r w:rsidRPr="008E5DA8">
        <w:rPr>
          <w:rFonts w:cs="Tahoma"/>
          <w:bCs/>
          <w:color w:val="000000"/>
        </w:rPr>
        <w:t xml:space="preserve"> about unlearning what we know and are used to … For me, it is becoming increasingly clear that new pa</w:t>
      </w:r>
      <w:r>
        <w:rPr>
          <w:rFonts w:cs="Tahoma"/>
          <w:bCs/>
          <w:color w:val="000000"/>
        </w:rPr>
        <w:t>radigm cannot be identity based</w:t>
      </w:r>
      <w:r w:rsidRPr="008E5DA8">
        <w:rPr>
          <w:rFonts w:cs="Tahoma"/>
          <w:bCs/>
          <w:color w:val="000000"/>
        </w:rPr>
        <w:t xml:space="preserve">’ </w:t>
      </w:r>
      <w:r w:rsidRPr="007E0A1C">
        <w:rPr>
          <w:rFonts w:ascii="Calibri" w:hAnsi="Calibri"/>
        </w:rPr>
        <w:t>(Russo 2016b)</w:t>
      </w:r>
      <w:r>
        <w:rPr>
          <w:rFonts w:cs="Tahoma"/>
          <w:bCs/>
          <w:color w:val="000000"/>
        </w:rPr>
        <w:t>.</w:t>
      </w:r>
      <w:r w:rsidR="00991D6B">
        <w:rPr>
          <w:rFonts w:cs="Tahoma"/>
          <w:bCs/>
          <w:color w:val="000000"/>
        </w:rPr>
        <w:t xml:space="preserve"> </w:t>
      </w:r>
      <w:r w:rsidR="005F110B">
        <w:rPr>
          <w:rFonts w:cs="Times New Roman"/>
        </w:rPr>
        <w:t>E</w:t>
      </w:r>
      <w:r w:rsidR="00991D6B" w:rsidRPr="005F1BD9">
        <w:rPr>
          <w:rFonts w:cs="Times New Roman"/>
        </w:rPr>
        <w:t xml:space="preserve">ven if we </w:t>
      </w:r>
      <w:r w:rsidR="00991D6B">
        <w:rPr>
          <w:rFonts w:cs="Times New Roman"/>
        </w:rPr>
        <w:t>acknowledge the multiple differences incorporated within any given identity, attention</w:t>
      </w:r>
      <w:r w:rsidR="00991D6B" w:rsidRPr="005F1BD9">
        <w:rPr>
          <w:rFonts w:cs="Times New Roman"/>
        </w:rPr>
        <w:t xml:space="preserve"> must be </w:t>
      </w:r>
      <w:r w:rsidR="00991D6B">
        <w:rPr>
          <w:rFonts w:cs="Times New Roman"/>
        </w:rPr>
        <w:t>paid to who can assume such identities</w:t>
      </w:r>
      <w:r w:rsidR="00991D6B" w:rsidRPr="005F1BD9">
        <w:rPr>
          <w:rFonts w:cs="Times New Roman"/>
        </w:rPr>
        <w:t xml:space="preserve">, </w:t>
      </w:r>
      <w:r w:rsidR="00991D6B">
        <w:rPr>
          <w:rFonts w:cs="Times New Roman"/>
        </w:rPr>
        <w:t xml:space="preserve">what kinds of mad knowledge that might disseminate, and </w:t>
      </w:r>
      <w:r w:rsidR="00991D6B" w:rsidRPr="005F1BD9">
        <w:rPr>
          <w:rFonts w:cs="Times New Roman"/>
        </w:rPr>
        <w:t>what kind of work they might be expected to do given their identification.</w:t>
      </w:r>
      <w:r w:rsidR="00991D6B">
        <w:rPr>
          <w:rFonts w:cs="Times New Roman"/>
        </w:rPr>
        <w:t xml:space="preserve"> </w:t>
      </w:r>
      <w:r>
        <w:rPr>
          <w:rFonts w:cs="Tahoma"/>
          <w:bCs/>
          <w:color w:val="000000"/>
        </w:rPr>
        <w:t xml:space="preserve"> I</w:t>
      </w:r>
      <w:r w:rsidRPr="00125F37">
        <w:rPr>
          <w:rFonts w:cs="Tahoma"/>
          <w:color w:val="000000"/>
        </w:rPr>
        <w:t xml:space="preserve">f the aim is </w:t>
      </w:r>
      <w:r>
        <w:rPr>
          <w:rFonts w:cs="Tahoma"/>
          <w:color w:val="000000"/>
        </w:rPr>
        <w:t xml:space="preserve">to </w:t>
      </w:r>
      <w:r w:rsidRPr="00125F37">
        <w:rPr>
          <w:rFonts w:cs="Tahoma"/>
          <w:color w:val="000000"/>
        </w:rPr>
        <w:t xml:space="preserve">create </w:t>
      </w:r>
      <w:r>
        <w:rPr>
          <w:rFonts w:cs="Tahoma"/>
          <w:color w:val="000000"/>
        </w:rPr>
        <w:t>new</w:t>
      </w:r>
      <w:r w:rsidRPr="00125F37">
        <w:rPr>
          <w:rFonts w:cs="Tahoma"/>
          <w:color w:val="000000"/>
        </w:rPr>
        <w:t xml:space="preserve"> theories of madness and distress how can we know these objects differently, </w:t>
      </w:r>
      <w:r>
        <w:rPr>
          <w:rFonts w:cs="Tahoma"/>
          <w:color w:val="000000"/>
        </w:rPr>
        <w:t>without</w:t>
      </w:r>
      <w:r w:rsidRPr="00125F37">
        <w:rPr>
          <w:rFonts w:cs="Tahoma"/>
          <w:color w:val="000000"/>
        </w:rPr>
        <w:t xml:space="preserve"> </w:t>
      </w:r>
      <w:r w:rsidR="00991D6B">
        <w:rPr>
          <w:rFonts w:cs="Tahoma"/>
          <w:color w:val="000000"/>
        </w:rPr>
        <w:t xml:space="preserve">the </w:t>
      </w:r>
      <w:r w:rsidRPr="00125F37">
        <w:rPr>
          <w:rFonts w:cs="Tahoma"/>
          <w:color w:val="000000"/>
        </w:rPr>
        <w:t>long</w:t>
      </w:r>
      <w:r w:rsidR="00991D6B">
        <w:rPr>
          <w:rFonts w:cs="Tahoma"/>
          <w:color w:val="000000"/>
        </w:rPr>
        <w:t>-</w:t>
      </w:r>
      <w:r>
        <w:rPr>
          <w:rFonts w:cs="Tahoma"/>
          <w:color w:val="000000"/>
        </w:rPr>
        <w:t xml:space="preserve">established </w:t>
      </w:r>
      <w:proofErr w:type="spellStart"/>
      <w:r>
        <w:rPr>
          <w:rFonts w:cs="Tahoma"/>
          <w:color w:val="000000"/>
        </w:rPr>
        <w:t>psy</w:t>
      </w:r>
      <w:proofErr w:type="spellEnd"/>
      <w:r>
        <w:rPr>
          <w:rFonts w:cs="Tahoma"/>
          <w:color w:val="000000"/>
        </w:rPr>
        <w:t xml:space="preserve"> epistemologies?</w:t>
      </w:r>
      <w:r w:rsidRPr="00125F37">
        <w:rPr>
          <w:rFonts w:cs="Tahoma"/>
          <w:color w:val="000000"/>
        </w:rPr>
        <w:t xml:space="preserve"> And</w:t>
      </w:r>
      <w:r>
        <w:rPr>
          <w:rFonts w:cs="Tahoma"/>
          <w:color w:val="000000"/>
        </w:rPr>
        <w:t>,</w:t>
      </w:r>
      <w:r w:rsidRPr="00125F37">
        <w:rPr>
          <w:rFonts w:cs="Tahoma"/>
          <w:color w:val="000000"/>
        </w:rPr>
        <w:t xml:space="preserve"> if our identities are produced within </w:t>
      </w:r>
      <w:proofErr w:type="spellStart"/>
      <w:r w:rsidRPr="00125F37">
        <w:rPr>
          <w:rFonts w:cs="Tahoma"/>
          <w:color w:val="000000"/>
        </w:rPr>
        <w:t>psy</w:t>
      </w:r>
      <w:proofErr w:type="spellEnd"/>
      <w:r w:rsidRPr="00125F37">
        <w:rPr>
          <w:rFonts w:cs="Tahoma"/>
          <w:color w:val="000000"/>
        </w:rPr>
        <w:t xml:space="preserve"> discourse and power, how can a movement formed around that identity dismantle those power relationships?</w:t>
      </w:r>
      <w:r>
        <w:rPr>
          <w:rFonts w:cs="Tahoma"/>
          <w:color w:val="000000"/>
        </w:rPr>
        <w:t xml:space="preserve"> </w:t>
      </w:r>
    </w:p>
    <w:p w14:paraId="4986ADC8" w14:textId="17E48ECD" w:rsidR="002F2EC7" w:rsidRDefault="005F110B" w:rsidP="00413DF4">
      <w:pPr>
        <w:spacing w:line="480" w:lineRule="auto"/>
      </w:pPr>
      <w:r>
        <w:rPr>
          <w:rFonts w:cs="Tahoma"/>
          <w:color w:val="000000"/>
        </w:rPr>
        <w:t xml:space="preserve">To </w:t>
      </w:r>
      <w:r w:rsidR="00A071E7">
        <w:rPr>
          <w:rFonts w:cs="Tahoma"/>
          <w:color w:val="000000"/>
        </w:rPr>
        <w:t>address these questions</w:t>
      </w:r>
      <w:r w:rsidR="00993552">
        <w:rPr>
          <w:rFonts w:cs="Tahoma"/>
          <w:color w:val="000000"/>
        </w:rPr>
        <w:t>,</w:t>
      </w:r>
      <w:r>
        <w:rPr>
          <w:rFonts w:cs="Tahoma"/>
          <w:color w:val="000000"/>
        </w:rPr>
        <w:t xml:space="preserve"> I </w:t>
      </w:r>
      <w:r w:rsidR="007515E5">
        <w:rPr>
          <w:rFonts w:cs="Tahoma"/>
          <w:color w:val="000000"/>
        </w:rPr>
        <w:t>return to the history of autoethnography and native anthropology</w:t>
      </w:r>
      <w:r w:rsidR="004E0EF7">
        <w:rPr>
          <w:rFonts w:cs="Tahoma"/>
          <w:color w:val="000000"/>
        </w:rPr>
        <w:t xml:space="preserve"> and put this in conversation with the development of survivor research and mad studies</w:t>
      </w:r>
      <w:r w:rsidR="007515E5">
        <w:rPr>
          <w:rFonts w:cs="Tahoma"/>
          <w:color w:val="000000"/>
        </w:rPr>
        <w:t xml:space="preserve">. </w:t>
      </w:r>
      <w:r w:rsidR="00274A72" w:rsidRPr="00171378">
        <w:t xml:space="preserve">In the first published paper specifically discussing and outlining the concept of autoethnography, David </w:t>
      </w:r>
      <w:proofErr w:type="spellStart"/>
      <w:r w:rsidR="00274A72" w:rsidRPr="00171378">
        <w:t>Hayano</w:t>
      </w:r>
      <w:proofErr w:type="spellEnd"/>
      <w:r w:rsidR="00274A72" w:rsidRPr="00171378">
        <w:t xml:space="preserve"> asserts that the autoethnographer must have, ‘some prior knowledge of the people, their culture and language, as well as the ability to be accepted to some degree, or to “pass” as a native member’ (</w:t>
      </w:r>
      <w:proofErr w:type="spellStart"/>
      <w:r w:rsidR="00274A72" w:rsidRPr="00171378">
        <w:t>Hayano</w:t>
      </w:r>
      <w:proofErr w:type="spellEnd"/>
      <w:r w:rsidR="00274A72" w:rsidRPr="00171378">
        <w:t xml:space="preserve"> 1979, 99)</w:t>
      </w:r>
      <w:r w:rsidR="00565589">
        <w:t xml:space="preserve">; </w:t>
      </w:r>
      <w:r w:rsidR="00274A72" w:rsidRPr="00171378">
        <w:rPr>
          <w:rFonts w:cs="Times New Roman"/>
        </w:rPr>
        <w:t>you can either belong to the group</w:t>
      </w:r>
      <w:r w:rsidR="00274A72">
        <w:rPr>
          <w:rFonts w:cs="Times New Roman"/>
        </w:rPr>
        <w:t xml:space="preserve"> you’re researching</w:t>
      </w:r>
      <w:r w:rsidR="004E0EF7">
        <w:rPr>
          <w:rFonts w:cs="Times New Roman"/>
        </w:rPr>
        <w:t>,</w:t>
      </w:r>
      <w:r w:rsidR="00274A72">
        <w:rPr>
          <w:rFonts w:cs="Times New Roman"/>
        </w:rPr>
        <w:t xml:space="preserve"> or you can</w:t>
      </w:r>
      <w:r w:rsidR="00274A72" w:rsidRPr="00171378">
        <w:rPr>
          <w:rFonts w:cs="Times New Roman"/>
        </w:rPr>
        <w:t xml:space="preserve"> be immersed in that group </w:t>
      </w:r>
      <w:r w:rsidR="00274A72">
        <w:rPr>
          <w:rFonts w:cs="Times New Roman"/>
        </w:rPr>
        <w:t>through</w:t>
      </w:r>
      <w:r w:rsidR="00274A72" w:rsidRPr="00171378">
        <w:rPr>
          <w:rFonts w:cs="Times New Roman"/>
        </w:rPr>
        <w:t xml:space="preserve"> ‘personal interests’ or ‘family connections’ (ibid.). Perhaps most importantly</w:t>
      </w:r>
      <w:r w:rsidR="00274A72" w:rsidRPr="00171378">
        <w:t>, autoethnographers ‘possess the qualities of often permanent self-identification with a group and full internal membership, as recognized both by themselves and the people of whom they are a part’ (</w:t>
      </w:r>
      <w:proofErr w:type="spellStart"/>
      <w:r w:rsidR="00274A72" w:rsidRPr="00171378">
        <w:t>Hayano</w:t>
      </w:r>
      <w:proofErr w:type="spellEnd"/>
      <w:r w:rsidR="00274A72" w:rsidRPr="00171378">
        <w:t xml:space="preserve"> 1979, 99); insider status may be by birth, or by interest and acquisition over time, but it </w:t>
      </w:r>
      <w:r w:rsidR="00274A72" w:rsidRPr="00171378">
        <w:lastRenderedPageBreak/>
        <w:t xml:space="preserve">must be recognised by others in that group. </w:t>
      </w:r>
      <w:r w:rsidR="00274A72">
        <w:t xml:space="preserve">Here, it </w:t>
      </w:r>
      <w:r w:rsidR="00274A72" w:rsidRPr="00171378">
        <w:t xml:space="preserve">is </w:t>
      </w:r>
      <w:r w:rsidR="00274A72" w:rsidRPr="00AD2959">
        <w:rPr>
          <w:i/>
        </w:rPr>
        <w:t>who</w:t>
      </w:r>
      <w:r w:rsidR="00274A72" w:rsidRPr="00171378">
        <w:t xml:space="preserve"> the researcher </w:t>
      </w:r>
      <w:r w:rsidR="00274A72" w:rsidRPr="00171378">
        <w:rPr>
          <w:i/>
        </w:rPr>
        <w:t>is</w:t>
      </w:r>
      <w:r w:rsidR="00274A72" w:rsidRPr="00171378">
        <w:t xml:space="preserve"> – their group identity and identification - that determines whether </w:t>
      </w:r>
      <w:r w:rsidR="00274A72">
        <w:t>the project</w:t>
      </w:r>
      <w:r w:rsidR="00274A72" w:rsidRPr="00171378">
        <w:t xml:space="preserve"> is ethnography or autoethnography. </w:t>
      </w:r>
    </w:p>
    <w:p w14:paraId="156E25FE" w14:textId="0A69EE2F" w:rsidR="002F2EC7" w:rsidRPr="00D328CE" w:rsidRDefault="002F2EC7" w:rsidP="002F2EC7">
      <w:pPr>
        <w:spacing w:line="480" w:lineRule="auto"/>
        <w:rPr>
          <w:rFonts w:cs="Tahoma"/>
          <w:color w:val="000000"/>
        </w:rPr>
      </w:pPr>
      <w:proofErr w:type="spellStart"/>
      <w:r w:rsidRPr="00171378">
        <w:t>Hayano</w:t>
      </w:r>
      <w:proofErr w:type="spellEnd"/>
      <w:r w:rsidRPr="00171378">
        <w:t xml:space="preserve"> also emphasises that the ‘insider/outsider (or auto-ethnography/ethnography) dimension is best seen as a continuum rather than a rigid dichotomy’ (</w:t>
      </w:r>
      <w:proofErr w:type="spellStart"/>
      <w:r w:rsidRPr="00171378">
        <w:t>Hayano</w:t>
      </w:r>
      <w:proofErr w:type="spellEnd"/>
      <w:r w:rsidRPr="00171378">
        <w:t xml:space="preserve"> 1979, 99). This </w:t>
      </w:r>
      <w:r w:rsidR="00927D5F">
        <w:t>is</w:t>
      </w:r>
      <w:r w:rsidRPr="00171378">
        <w:t xml:space="preserve"> less clear; it both matters who are you are and what you know and to which group you </w:t>
      </w:r>
      <w:r>
        <w:t>belong</w:t>
      </w:r>
      <w:r w:rsidRPr="00171378">
        <w:t xml:space="preserve">, but there is no clear distinction between those on the inside and those who are not. </w:t>
      </w:r>
      <w:r>
        <w:t xml:space="preserve">Nevertheless, the loosened category of autoethnography that </w:t>
      </w:r>
      <w:proofErr w:type="spellStart"/>
      <w:r>
        <w:t>Hayano</w:t>
      </w:r>
      <w:proofErr w:type="spellEnd"/>
      <w:r>
        <w:t xml:space="preserve"> describes</w:t>
      </w:r>
      <w:r w:rsidRPr="00171378">
        <w:t xml:space="preserve"> continues </w:t>
      </w:r>
      <w:r>
        <w:t xml:space="preserve">to be inflected with racialized and </w:t>
      </w:r>
      <w:r w:rsidR="00A46705">
        <w:t xml:space="preserve">colonial </w:t>
      </w:r>
      <w:r w:rsidR="00A46705" w:rsidRPr="00171378">
        <w:t>discourse</w:t>
      </w:r>
      <w:r w:rsidRPr="00171378">
        <w:t xml:space="preserve"> of anthropology in which </w:t>
      </w:r>
      <w:r>
        <w:t xml:space="preserve">the division of labour remains untroubled between </w:t>
      </w:r>
      <w:r w:rsidRPr="00171378">
        <w:t>“natives”</w:t>
      </w:r>
      <w:r>
        <w:t xml:space="preserve"> who</w:t>
      </w:r>
      <w:r w:rsidRPr="00171378">
        <w:t xml:space="preserve"> research themselves, and </w:t>
      </w:r>
      <w:r>
        <w:t xml:space="preserve">outsider </w:t>
      </w:r>
      <w:r w:rsidRPr="00171378">
        <w:t xml:space="preserve">ethnographers </w:t>
      </w:r>
      <w:r>
        <w:t xml:space="preserve">who can research whatever they want. The same issue can be seen in user/survivor research, and particularly its translation in mental health services as “peer” work </w:t>
      </w:r>
      <w:r w:rsidRPr="00991D6B">
        <w:rPr>
          <w:rFonts w:ascii="Calibri" w:hAnsi="Calibri"/>
        </w:rPr>
        <w:t>(Voronka 2017)</w:t>
      </w:r>
      <w:r w:rsidR="00323761">
        <w:t>,</w:t>
      </w:r>
      <w:r>
        <w:t xml:space="preserve"> or public-patient involvement (PPI)</w:t>
      </w:r>
      <w:r w:rsidR="00323761">
        <w:t xml:space="preserve"> </w:t>
      </w:r>
      <w:r w:rsidR="00323761" w:rsidRPr="00323761">
        <w:rPr>
          <w:rFonts w:ascii="Calibri" w:hAnsi="Calibri"/>
        </w:rPr>
        <w:t xml:space="preserve">(Rose, </w:t>
      </w:r>
      <w:proofErr w:type="spellStart"/>
      <w:r w:rsidR="00323761" w:rsidRPr="00323761">
        <w:rPr>
          <w:rFonts w:ascii="Calibri" w:hAnsi="Calibri"/>
        </w:rPr>
        <w:t>Carr</w:t>
      </w:r>
      <w:proofErr w:type="spellEnd"/>
      <w:r w:rsidR="00323761" w:rsidRPr="00323761">
        <w:rPr>
          <w:rFonts w:ascii="Calibri" w:hAnsi="Calibri"/>
        </w:rPr>
        <w:t>, and Beresford 2018)</w:t>
      </w:r>
      <w:r>
        <w:t xml:space="preserve">.  Such work continues to produce ‘ethnographically detained’ </w:t>
      </w:r>
      <w:r w:rsidRPr="00810453">
        <w:rPr>
          <w:rFonts w:ascii="Calibri" w:hAnsi="Calibri"/>
        </w:rPr>
        <w:t>(</w:t>
      </w:r>
      <w:proofErr w:type="spellStart"/>
      <w:r w:rsidRPr="00810453">
        <w:rPr>
          <w:rFonts w:ascii="Calibri" w:hAnsi="Calibri"/>
        </w:rPr>
        <w:t>Weheliye</w:t>
      </w:r>
      <w:proofErr w:type="spellEnd"/>
      <w:r w:rsidRPr="00810453">
        <w:rPr>
          <w:rFonts w:ascii="Calibri" w:hAnsi="Calibri"/>
        </w:rPr>
        <w:t xml:space="preserve"> 2014, 24)</w:t>
      </w:r>
      <w:r w:rsidR="00993552">
        <w:t xml:space="preserve"> knowledge-</w:t>
      </w:r>
      <w:r w:rsidR="00CB7282">
        <w:t>producers, both absorbing and segregating mad knowledge and discourse within the academy</w:t>
      </w:r>
      <w:r w:rsidRPr="00171378">
        <w:t xml:space="preserve">. </w:t>
      </w:r>
    </w:p>
    <w:p w14:paraId="7122B1E0" w14:textId="6E21134E" w:rsidR="002F2EC7" w:rsidRDefault="002F2EC7" w:rsidP="002F2EC7">
      <w:pPr>
        <w:spacing w:line="480" w:lineRule="auto"/>
        <w:rPr>
          <w:rFonts w:cs="Times New Roman"/>
        </w:rPr>
      </w:pPr>
      <w:proofErr w:type="spellStart"/>
      <w:r w:rsidRPr="00171378">
        <w:t>Hayano’s</w:t>
      </w:r>
      <w:proofErr w:type="spellEnd"/>
      <w:r w:rsidRPr="00171378">
        <w:t xml:space="preserve"> use of ‘continuum’ interests me because this is the precise reasoning I employed to gain research ethics approval for my accessing the service as a service-user would. Whilst agreeing that I wasn’t a “real” service-user, I argued that I was nonetheless able to experience what it might be like for a service-user because, as anti-stigma and government policy discourse repeatedly claim, we all exist on a continuum of mental (ill) health</w:t>
      </w:r>
      <w:r>
        <w:t xml:space="preserve">. The tenet of inclusion discourse is that everyone is equal but different. However, the significant ethical and political limitations </w:t>
      </w:r>
      <w:r w:rsidR="00927D5F">
        <w:t>are</w:t>
      </w:r>
      <w:r>
        <w:t xml:space="preserve"> that to be included we must first identify ourselves, and the process of identification naturalises those classifications, and obscures the multiple ways in which differences materialise in practice (</w:t>
      </w:r>
      <w:r w:rsidR="005F110B">
        <w:t>e.g.</w:t>
      </w:r>
      <w:r>
        <w:t xml:space="preserve"> in the practices of (auto)ethnographic research). </w:t>
      </w:r>
      <w:r>
        <w:rPr>
          <w:rFonts w:cs="Tahoma"/>
          <w:color w:val="000000"/>
        </w:rPr>
        <w:t xml:space="preserve">Indeed, there exist numerous accounts of why and how </w:t>
      </w:r>
      <w:r>
        <w:rPr>
          <w:rFonts w:cs="Times New Roman"/>
        </w:rPr>
        <w:t>it</w:t>
      </w:r>
      <w:r w:rsidRPr="00171378">
        <w:rPr>
          <w:rFonts w:cs="Times New Roman"/>
        </w:rPr>
        <w:t xml:space="preserve"> matters a great deal </w:t>
      </w:r>
      <w:r>
        <w:rPr>
          <w:rFonts w:cs="Times New Roman"/>
          <w:i/>
        </w:rPr>
        <w:t>how you are marked</w:t>
      </w:r>
      <w:r>
        <w:rPr>
          <w:rFonts w:cs="Times New Roman"/>
        </w:rPr>
        <w:t xml:space="preserve"> -</w:t>
      </w:r>
      <w:r w:rsidRPr="00171378">
        <w:rPr>
          <w:rFonts w:cs="Times New Roman"/>
        </w:rPr>
        <w:t xml:space="preserve"> gendered, racialised, cl</w:t>
      </w:r>
      <w:r>
        <w:rPr>
          <w:rFonts w:cs="Times New Roman"/>
        </w:rPr>
        <w:t>assed, disabled, and so forth -</w:t>
      </w:r>
      <w:r w:rsidRPr="00171378">
        <w:rPr>
          <w:rFonts w:cs="Times New Roman"/>
        </w:rPr>
        <w:t xml:space="preserve"> as to what </w:t>
      </w:r>
      <w:r w:rsidRPr="00171378">
        <w:rPr>
          <w:rFonts w:cs="Times New Roman"/>
        </w:rPr>
        <w:lastRenderedPageBreak/>
        <w:t xml:space="preserve">happens to you if you experience </w:t>
      </w:r>
      <w:r>
        <w:rPr>
          <w:rFonts w:cs="Times New Roman"/>
        </w:rPr>
        <w:t xml:space="preserve">madness and distress </w:t>
      </w:r>
      <w:r>
        <w:rPr>
          <w:rFonts w:ascii="Calibri" w:hAnsi="Calibri"/>
        </w:rPr>
        <w:t>(</w:t>
      </w:r>
      <w:r w:rsidRPr="00991D6B">
        <w:rPr>
          <w:rFonts w:ascii="Calibri" w:hAnsi="Calibri"/>
        </w:rPr>
        <w:t xml:space="preserve">see for example: </w:t>
      </w:r>
      <w:proofErr w:type="spellStart"/>
      <w:r w:rsidRPr="00991D6B">
        <w:rPr>
          <w:rFonts w:ascii="Calibri" w:hAnsi="Calibri"/>
        </w:rPr>
        <w:t>Metzl</w:t>
      </w:r>
      <w:proofErr w:type="spellEnd"/>
      <w:r w:rsidRPr="00991D6B">
        <w:rPr>
          <w:rFonts w:ascii="Calibri" w:hAnsi="Calibri"/>
        </w:rPr>
        <w:t xml:space="preserve"> 2009; Daley, Costa, and Ross 2012)</w:t>
      </w:r>
      <w:r>
        <w:rPr>
          <w:rFonts w:cs="Times New Roman"/>
        </w:rPr>
        <w:t xml:space="preserve">. </w:t>
      </w:r>
    </w:p>
    <w:p w14:paraId="31C1E9F8" w14:textId="320D5208" w:rsidR="00696628" w:rsidRDefault="00E9555B" w:rsidP="0018559B">
      <w:pPr>
        <w:pStyle w:val="Heading2"/>
      </w:pPr>
      <w:r>
        <w:t>Escaping ethnographic detainment</w:t>
      </w:r>
    </w:p>
    <w:p w14:paraId="0E4FBA02" w14:textId="7CC78421" w:rsidR="004846F9" w:rsidRDefault="00E8066A" w:rsidP="00413DF4">
      <w:pPr>
        <w:spacing w:line="480" w:lineRule="auto"/>
      </w:pPr>
      <w:r>
        <w:t>T</w:t>
      </w:r>
      <w:r w:rsidR="008B1D95">
        <w:t>he injection of stories of the self into research writing is part of a history of epistemic challenges to the assumption that some people study and others are studied. However, in the context of mental health, we might question whether</w:t>
      </w:r>
      <w:r w:rsidR="008B1D95" w:rsidRPr="00171378">
        <w:t xml:space="preserve"> using stories </w:t>
      </w:r>
      <w:r>
        <w:t>can successfully redress inequalities in knowledge production when the</w:t>
      </w:r>
      <w:r w:rsidR="008B1D95" w:rsidRPr="00171378">
        <w:t xml:space="preserve"> story of the self</w:t>
      </w:r>
      <w:r w:rsidR="00C91BCF">
        <w:t xml:space="preserve"> is</w:t>
      </w:r>
      <w:r w:rsidR="008B1D95" w:rsidRPr="00171378">
        <w:t xml:space="preserve"> the prima</w:t>
      </w:r>
      <w:r w:rsidR="008B1D95">
        <w:t xml:space="preserve">ry diagnostic tool of the </w:t>
      </w:r>
      <w:proofErr w:type="spellStart"/>
      <w:r w:rsidR="008B1D95">
        <w:t>psy</w:t>
      </w:r>
      <w:proofErr w:type="spellEnd"/>
      <w:r w:rsidR="008B1D95">
        <w:t xml:space="preserve"> d</w:t>
      </w:r>
      <w:r w:rsidR="00526169">
        <w:t>isciplines. Voronka (In Press</w:t>
      </w:r>
      <w:r w:rsidR="008B1D95">
        <w:t xml:space="preserve">) elucidates this issue sharply </w:t>
      </w:r>
      <w:r w:rsidR="00235EB5">
        <w:t xml:space="preserve">by </w:t>
      </w:r>
      <w:r w:rsidR="008B1D95">
        <w:t xml:space="preserve">detailing how her personal story is heard by </w:t>
      </w:r>
      <w:r w:rsidR="003E6F47">
        <w:t xml:space="preserve">health </w:t>
      </w:r>
      <w:r w:rsidR="008B1D95">
        <w:t xml:space="preserve">professionals, academics, researchers and social workers as a case history that tells </w:t>
      </w:r>
      <w:proofErr w:type="gramStart"/>
      <w:r w:rsidR="008B1D95">
        <w:t>some kind of truth</w:t>
      </w:r>
      <w:proofErr w:type="gramEnd"/>
      <w:r w:rsidR="008B1D95">
        <w:t xml:space="preserve"> of her internal</w:t>
      </w:r>
      <w:r w:rsidR="003E6F47">
        <w:t>, which they have the expertise to</w:t>
      </w:r>
      <w:r w:rsidR="0028559B">
        <w:t xml:space="preserve"> diagnose</w:t>
      </w:r>
      <w:r w:rsidR="008B1D95">
        <w:t xml:space="preserve">. </w:t>
      </w:r>
      <w:r w:rsidR="00235EB5">
        <w:t>Despite</w:t>
      </w:r>
      <w:r w:rsidR="00D50618">
        <w:t xml:space="preserve"> her invitat</w:t>
      </w:r>
      <w:r w:rsidR="00C91BCF">
        <w:t xml:space="preserve">ion to hear her story otherwise - </w:t>
      </w:r>
      <w:r w:rsidR="00C12F8A">
        <w:t>that those experiences were social</w:t>
      </w:r>
      <w:r w:rsidR="00C91BCF">
        <w:t>ly and politically (re)produced -</w:t>
      </w:r>
      <w:r w:rsidR="00C12F8A">
        <w:t xml:space="preserve"> </w:t>
      </w:r>
      <w:r w:rsidR="00D50618">
        <w:t xml:space="preserve">Voronka was only met with responses that emerge from institutionalised and disciplinary ways of hearing and interpreting a </w:t>
      </w:r>
      <w:r w:rsidR="00D629E6">
        <w:t>mental health service-user</w:t>
      </w:r>
      <w:r w:rsidR="00D50618">
        <w:t xml:space="preserve">. </w:t>
      </w:r>
      <w:r w:rsidR="00235EB5">
        <w:t xml:space="preserve">It is seemingly impossible for these professionals to read Voronka </w:t>
      </w:r>
      <w:r w:rsidR="00927D5F">
        <w:t>in any other way</w:t>
      </w:r>
      <w:r w:rsidR="00235EB5">
        <w:t xml:space="preserve">. </w:t>
      </w:r>
    </w:p>
    <w:p w14:paraId="4B56D3CE" w14:textId="27A78919" w:rsidR="00BB244C" w:rsidRDefault="004846F9" w:rsidP="00413DF4">
      <w:pPr>
        <w:spacing w:line="480" w:lineRule="auto"/>
      </w:pPr>
      <w:r>
        <w:t>I also found similar responses</w:t>
      </w:r>
      <w:r w:rsidR="0028559B" w:rsidRPr="0028559B">
        <w:t xml:space="preserve"> </w:t>
      </w:r>
      <w:r w:rsidR="0028559B">
        <w:t>presenting versions this paper at conferences</w:t>
      </w:r>
      <w:r>
        <w:t xml:space="preserve">, particularly the desire to affirm how “brave” I was for sharing personal experiences (which you will notice I </w:t>
      </w:r>
      <w:r w:rsidR="00C91BCF">
        <w:t>don’t really do</w:t>
      </w:r>
      <w:r>
        <w:t xml:space="preserve">), and also an attempt to resolve the question concerning my identity once and for all. It seems one cannot ask for these phenomena to be thought of </w:t>
      </w:r>
      <w:r w:rsidR="00E31962">
        <w:t>differently</w:t>
      </w:r>
      <w:r>
        <w:t xml:space="preserve">, without someone thinking it is a puzzle </w:t>
      </w:r>
      <w:r w:rsidR="00C91BCF">
        <w:t>that they are able to master</w:t>
      </w:r>
      <w:r>
        <w:t>. Like the stories they respond</w:t>
      </w:r>
      <w:r w:rsidR="00C91BCF">
        <w:t xml:space="preserve"> to</w:t>
      </w:r>
      <w:r w:rsidR="006C3573">
        <w:t xml:space="preserve">, our audiences’ </w:t>
      </w:r>
      <w:r>
        <w:t xml:space="preserve">engagements are also epistemically situated within a host of discursive practices concerning the investigation of human minds. </w:t>
      </w:r>
      <w:r w:rsidR="00D50618">
        <w:t xml:space="preserve">As Russo has argued in relation to </w:t>
      </w:r>
      <w:r w:rsidR="00E31962">
        <w:t xml:space="preserve">both </w:t>
      </w:r>
      <w:proofErr w:type="spellStart"/>
      <w:r w:rsidR="00D50618">
        <w:t>psy</w:t>
      </w:r>
      <w:proofErr w:type="spellEnd"/>
      <w:r w:rsidR="00D50618">
        <w:t xml:space="preserve"> and social science research use of patient stories, </w:t>
      </w:r>
      <w:r w:rsidR="007E0A1C">
        <w:t>‘</w:t>
      </w:r>
      <w:r w:rsidR="00C91BCF">
        <w:t>[p]</w:t>
      </w:r>
      <w:proofErr w:type="spellStart"/>
      <w:r w:rsidR="007E0A1C" w:rsidRPr="007E0A1C">
        <w:t>eople</w:t>
      </w:r>
      <w:proofErr w:type="spellEnd"/>
      <w:r w:rsidR="007E0A1C" w:rsidRPr="007E0A1C">
        <w:t xml:space="preserve"> with psychiatric experience are treated as data sources. By assigning the tasks of understanding and making meaning of madness to ‘experts’ and not to those directly concerned, the great majority of narrative analyses perpetuate the role and power divisions central to psychiatric [sic] </w:t>
      </w:r>
      <w:r w:rsidR="007E0A1C">
        <w:t>treatment</w:t>
      </w:r>
      <w:r w:rsidR="007E0A1C" w:rsidRPr="007E0A1C">
        <w:t>’</w:t>
      </w:r>
      <w:r w:rsidR="00D50618">
        <w:t xml:space="preserve"> </w:t>
      </w:r>
      <w:r w:rsidR="007E0A1C" w:rsidRPr="007E0A1C">
        <w:rPr>
          <w:rFonts w:ascii="Calibri" w:hAnsi="Calibri"/>
        </w:rPr>
        <w:t>(Russo 2016a, 216)</w:t>
      </w:r>
      <w:r w:rsidR="007E0A1C">
        <w:t xml:space="preserve">. </w:t>
      </w:r>
      <w:r w:rsidR="00CB7282">
        <w:t xml:space="preserve">Again, </w:t>
      </w:r>
      <w:proofErr w:type="spellStart"/>
      <w:r w:rsidR="00CB7282">
        <w:t>Voronka’s</w:t>
      </w:r>
      <w:proofErr w:type="spellEnd"/>
      <w:r w:rsidR="00CB7282">
        <w:t xml:space="preserve"> </w:t>
      </w:r>
      <w:r w:rsidR="00CB7282" w:rsidRPr="00BB244C">
        <w:rPr>
          <w:rFonts w:ascii="Calibri" w:hAnsi="Calibri"/>
        </w:rPr>
        <w:t>(2017)</w:t>
      </w:r>
      <w:r w:rsidR="00CB7282">
        <w:t xml:space="preserve"> work demonstrates this clearly, in </w:t>
      </w:r>
      <w:r w:rsidR="00CB7282">
        <w:lastRenderedPageBreak/>
        <w:t>revealing how service-user (peer) researchers are called upon to tell their stories in ways that restrict their access to conduct analysis; t</w:t>
      </w:r>
      <w:r w:rsidR="006C3573">
        <w:t>he storyteller remains the</w:t>
      </w:r>
      <w:r w:rsidR="00CB7282">
        <w:t xml:space="preserve"> analysand</w:t>
      </w:r>
      <w:r w:rsidR="003433F5">
        <w:t>.</w:t>
      </w:r>
    </w:p>
    <w:p w14:paraId="143FD875" w14:textId="1A2411F2" w:rsidR="0028559B" w:rsidRDefault="00BB244C" w:rsidP="00300EE3">
      <w:pPr>
        <w:spacing w:line="480" w:lineRule="auto"/>
      </w:pPr>
      <w:bookmarkStart w:id="2" w:name="_Hlk508178755"/>
      <w:r>
        <w:t>Writing in 1970,</w:t>
      </w:r>
      <w:r w:rsidR="00E07951">
        <w:t xml:space="preserve"> Jones outlined</w:t>
      </w:r>
      <w:r w:rsidR="008B1D95">
        <w:t xml:space="preserve"> a similar problem in </w:t>
      </w:r>
      <w:r>
        <w:t>relation to native anthropology</w:t>
      </w:r>
      <w:r w:rsidR="009B3FCA">
        <w:t>, which he saw as lacking non-Western theoretical foundations</w:t>
      </w:r>
      <w:r w:rsidR="008B1D95">
        <w:t>. The division of labour remained stuck be</w:t>
      </w:r>
      <w:r w:rsidR="005F1BD9">
        <w:t>tween data collectors (natives</w:t>
      </w:r>
      <w:r>
        <w:t>)</w:t>
      </w:r>
      <w:r w:rsidR="00E07951">
        <w:t xml:space="preserve"> and intellectuals/theorists</w:t>
      </w:r>
      <w:r w:rsidR="008B1D95">
        <w:t xml:space="preserve"> (</w:t>
      </w:r>
      <w:r>
        <w:t>white, Western anthropologists</w:t>
      </w:r>
      <w:r w:rsidR="008B1D95">
        <w:t>)</w:t>
      </w:r>
      <w:r w:rsidR="0028559B">
        <w:t xml:space="preserve"> developing their own ways of making sense of that data from an outsider perspective</w:t>
      </w:r>
      <w:r w:rsidR="00E07951">
        <w:t xml:space="preserve">. </w:t>
      </w:r>
      <w:r w:rsidR="00993552">
        <w:t xml:space="preserve">Crucial to </w:t>
      </w:r>
      <w:r w:rsidR="00A632D1">
        <w:t xml:space="preserve">the project of decolonisation and </w:t>
      </w:r>
      <w:proofErr w:type="spellStart"/>
      <w:r w:rsidR="00A632D1">
        <w:t>desanitising</w:t>
      </w:r>
      <w:proofErr w:type="spellEnd"/>
      <w:r w:rsidR="00A632D1">
        <w:t xml:space="preserve"> knowledge production is to</w:t>
      </w:r>
      <w:r w:rsidR="00993552">
        <w:t xml:space="preserve"> move away from considering experience as data to be analysed to understanding it as a </w:t>
      </w:r>
      <w:r w:rsidR="00A632D1">
        <w:t xml:space="preserve">means through which </w:t>
      </w:r>
      <w:r w:rsidR="00F02862">
        <w:t>we collectively</w:t>
      </w:r>
      <w:r w:rsidR="00A632D1">
        <w:t xml:space="preserve"> theorise. Experience is</w:t>
      </w:r>
      <w:r w:rsidR="00993552">
        <w:t xml:space="preserve"> embodied and material</w:t>
      </w:r>
      <w:r w:rsidR="00A632D1">
        <w:t xml:space="preserve">ises in context; access to this theorising is </w:t>
      </w:r>
      <w:r w:rsidR="00993552">
        <w:t>both constrained and enabled through the identities and classifications that produce us as subjects.</w:t>
      </w:r>
      <w:r w:rsidR="00F02862">
        <w:t xml:space="preserve"> </w:t>
      </w:r>
      <w:r w:rsidR="00A03129">
        <w:t xml:space="preserve">Alexander G </w:t>
      </w:r>
      <w:proofErr w:type="spellStart"/>
      <w:r w:rsidR="00A03129">
        <w:t>Wehilye</w:t>
      </w:r>
      <w:proofErr w:type="spellEnd"/>
      <w:r w:rsidR="00A03129">
        <w:t xml:space="preserve"> (2014) </w:t>
      </w:r>
      <w:r w:rsidR="00F02862">
        <w:t xml:space="preserve">has argued that political identity-based resistance does not need to ‘assume full, self-present, and coherent subjects working against something or someone’ </w:t>
      </w:r>
      <w:r w:rsidR="00F02862" w:rsidRPr="00F52744">
        <w:rPr>
          <w:rFonts w:ascii="Calibri" w:hAnsi="Calibri"/>
        </w:rPr>
        <w:t>(</w:t>
      </w:r>
      <w:proofErr w:type="spellStart"/>
      <w:r w:rsidR="00F02862" w:rsidRPr="00F52744">
        <w:rPr>
          <w:rFonts w:ascii="Calibri" w:hAnsi="Calibri"/>
        </w:rPr>
        <w:t>Weheliye</w:t>
      </w:r>
      <w:proofErr w:type="spellEnd"/>
      <w:r w:rsidR="00F02862" w:rsidRPr="00F52744">
        <w:rPr>
          <w:rFonts w:ascii="Calibri" w:hAnsi="Calibri"/>
        </w:rPr>
        <w:t xml:space="preserve"> 2014, 2)</w:t>
      </w:r>
      <w:r w:rsidR="00F02862">
        <w:t xml:space="preserve">, but can operate through a materialist conceptualisation of suffering arising in the context of political violence rather than individual wounds. Crucially, this means that </w:t>
      </w:r>
      <w:r w:rsidR="00A632D1">
        <w:t>to ignore embodied experience is to efface</w:t>
      </w:r>
      <w:r w:rsidR="00F138F9">
        <w:t xml:space="preserve"> ‘alternatives modes of life alongside the violence, subjection, exploitation and racialization that define the modern human’ </w:t>
      </w:r>
      <w:r w:rsidR="00176123" w:rsidRPr="00176123">
        <w:rPr>
          <w:rFonts w:ascii="Calibri" w:hAnsi="Calibri" w:cs="Times New Roman"/>
          <w:szCs w:val="24"/>
        </w:rPr>
        <w:t>(2014, 1–2)</w:t>
      </w:r>
      <w:r w:rsidR="00F138F9">
        <w:t>.</w:t>
      </w:r>
    </w:p>
    <w:p w14:paraId="04627B4E" w14:textId="011D3535" w:rsidR="008E2F3F" w:rsidRDefault="00DC37F1" w:rsidP="00C50089">
      <w:pPr>
        <w:spacing w:line="480" w:lineRule="auto"/>
      </w:pPr>
      <w:proofErr w:type="spellStart"/>
      <w:r>
        <w:t>Wehilye</w:t>
      </w:r>
      <w:proofErr w:type="spellEnd"/>
      <w:r w:rsidR="00660468">
        <w:t xml:space="preserve"> describes how Black Studies entered academia in the 1960s in the USA, but</w:t>
      </w:r>
      <w:r>
        <w:t xml:space="preserve"> that</w:t>
      </w:r>
      <w:r w:rsidR="00660468">
        <w:t xml:space="preserve"> this was pre-date</w:t>
      </w:r>
      <w:r w:rsidR="00C50089">
        <w:t>d</w:t>
      </w:r>
      <w:r w:rsidR="00660468">
        <w:t xml:space="preserve"> by </w:t>
      </w:r>
      <w:r w:rsidR="00C50089">
        <w:t>‘</w:t>
      </w:r>
      <w:r w:rsidR="00660468">
        <w:t xml:space="preserve">a set of intellectual traditions and liberation struggles that have borne witness to the production and maintenance of hierarchical distinctions between groups of humans’ since the eighteenth century, and as such, ‘black studies represents a substantial critique of western modernity and a sizeable archive of social, political, and cultural alternatives’ </w:t>
      </w:r>
      <w:r w:rsidR="00660468" w:rsidRPr="00FE532E">
        <w:rPr>
          <w:rFonts w:ascii="Calibri" w:hAnsi="Calibri"/>
        </w:rPr>
        <w:t>(</w:t>
      </w:r>
      <w:proofErr w:type="spellStart"/>
      <w:r w:rsidR="00660468" w:rsidRPr="00FE532E">
        <w:rPr>
          <w:rFonts w:ascii="Calibri" w:hAnsi="Calibri"/>
        </w:rPr>
        <w:t>Weheliye</w:t>
      </w:r>
      <w:proofErr w:type="spellEnd"/>
      <w:r w:rsidR="00660468" w:rsidRPr="00FE532E">
        <w:rPr>
          <w:rFonts w:ascii="Calibri" w:hAnsi="Calibri"/>
        </w:rPr>
        <w:t xml:space="preserve"> 2014, 3)</w:t>
      </w:r>
      <w:r w:rsidR="00660468">
        <w:t>.</w:t>
      </w:r>
      <w:r w:rsidR="00C50089">
        <w:t xml:space="preserve"> He outlines how despite this, minority discourse ha</w:t>
      </w:r>
      <w:r w:rsidR="008E2F3F">
        <w:t>s been segregated</w:t>
      </w:r>
      <w:r w:rsidR="00C50089">
        <w:t xml:space="preserve"> from white European thought ‘to the jurisdiction of ethnographic locality’ </w:t>
      </w:r>
      <w:r w:rsidR="00C50089" w:rsidRPr="002A00AF">
        <w:rPr>
          <w:rFonts w:ascii="Calibri" w:hAnsi="Calibri"/>
        </w:rPr>
        <w:t>(</w:t>
      </w:r>
      <w:proofErr w:type="spellStart"/>
      <w:r w:rsidR="00C50089" w:rsidRPr="002A00AF">
        <w:rPr>
          <w:rFonts w:ascii="Calibri" w:hAnsi="Calibri"/>
        </w:rPr>
        <w:t>Weheliye</w:t>
      </w:r>
      <w:proofErr w:type="spellEnd"/>
      <w:r w:rsidR="00C50089" w:rsidRPr="002A00AF">
        <w:rPr>
          <w:rFonts w:ascii="Calibri" w:hAnsi="Calibri"/>
        </w:rPr>
        <w:t xml:space="preserve"> 2014, 6)</w:t>
      </w:r>
      <w:r w:rsidR="00C50089">
        <w:t xml:space="preserve">, whilst </w:t>
      </w:r>
      <w:r w:rsidR="00F02862">
        <w:t xml:space="preserve">white European </w:t>
      </w:r>
      <w:r w:rsidR="00C50089">
        <w:t>theorists are deemed translatable almost anywhere.</w:t>
      </w:r>
      <w:r w:rsidR="00D218F5">
        <w:t xml:space="preserve"> Drawing on Sylvia Wynter’s work, he describes how since the </w:t>
      </w:r>
      <w:r w:rsidR="00C50089">
        <w:t>logic of capitalist classification of humans</w:t>
      </w:r>
      <w:r w:rsidR="00D218F5">
        <w:t xml:space="preserve"> has existed</w:t>
      </w:r>
      <w:r w:rsidR="00C50089">
        <w:t xml:space="preserve">, those who are marked as not-quite-human or </w:t>
      </w:r>
      <w:r w:rsidR="00C50089">
        <w:lastRenderedPageBreak/>
        <w:t>nonhuman have produced knowledge and st</w:t>
      </w:r>
      <w:r w:rsidR="00D218F5">
        <w:t>rategies of resistance about it.</w:t>
      </w:r>
      <w:r w:rsidR="00C50089">
        <w:t xml:space="preserve"> Yet when geo-political shifts provide ruptures for this work to enter the ac</w:t>
      </w:r>
      <w:r w:rsidR="0028559B">
        <w:t xml:space="preserve">ademy, such as the recruitment </w:t>
      </w:r>
      <w:r w:rsidR="00C50089">
        <w:t>native anthropologists</w:t>
      </w:r>
      <w:r w:rsidR="0028559B">
        <w:t xml:space="preserve"> and the black and minority ethnic studies that followed</w:t>
      </w:r>
      <w:r w:rsidR="008E2F3F">
        <w:t xml:space="preserve">, or in the case of Anglo-American survivor research when deinstitutionalisation began in earnest </w:t>
      </w:r>
      <w:r w:rsidR="008E2F3F" w:rsidRPr="008E2F3F">
        <w:rPr>
          <w:rFonts w:ascii="Calibri" w:hAnsi="Calibri"/>
        </w:rPr>
        <w:t>(Campbell 1996)</w:t>
      </w:r>
      <w:r w:rsidR="00C50089">
        <w:t xml:space="preserve">, </w:t>
      </w:r>
      <w:r w:rsidR="0028559B">
        <w:t xml:space="preserve">this work is </w:t>
      </w:r>
      <w:r w:rsidR="008E2F3F">
        <w:t>deemed more ethnographic data than theory</w:t>
      </w:r>
      <w:r w:rsidR="0028559B">
        <w:t xml:space="preserve"> precisely because of the identities of the people who produce it. </w:t>
      </w:r>
    </w:p>
    <w:p w14:paraId="049FD5F2" w14:textId="42C170F9" w:rsidR="008E2F3F" w:rsidRDefault="008E2F3F" w:rsidP="00C50089">
      <w:pPr>
        <w:spacing w:line="480" w:lineRule="auto"/>
      </w:pPr>
      <w:r>
        <w:t>There is a further layer to this. First, before “outsider” scholarship is academically sanctioned it has already existed for some time as form of collective witnessing. Once translated into the context of the academic-industrial complex the logic of liberal individualism disconnects this knowledge from it</w:t>
      </w:r>
      <w:r w:rsidR="00E31962">
        <w:t>s</w:t>
      </w:r>
      <w:r>
        <w:t xml:space="preserve"> collective and embodied origins, and reproduces inequalities around knowledge production at the very same time it attempts to theorise its way out of such political violence. O</w:t>
      </w:r>
      <w:r w:rsidR="0028559B">
        <w:t>nce the idea of studying oneself becomes academically sanctioned, its potential for speaking truth to power</w:t>
      </w:r>
      <w:r>
        <w:t xml:space="preserve"> </w:t>
      </w:r>
      <w:r w:rsidR="0028559B">
        <w:t>is politically neutralized as ‘</w:t>
      </w:r>
      <w:r w:rsidR="00C50089">
        <w:t>outsiders imagine it to be “an anybody-can-play pick-up game performed on a</w:t>
      </w:r>
      <w:r w:rsidR="00D218F5">
        <w:t xml:space="preserve"> wide-open, untrammelled field”</w:t>
      </w:r>
      <w:r w:rsidR="00C50089">
        <w:t xml:space="preserve">’ </w:t>
      </w:r>
      <w:r w:rsidR="0028559B" w:rsidRPr="0028559B">
        <w:rPr>
          <w:rFonts w:ascii="Calibri" w:hAnsi="Calibri"/>
        </w:rPr>
        <w:t xml:space="preserve">(Ann </w:t>
      </w:r>
      <w:proofErr w:type="spellStart"/>
      <w:r w:rsidR="0028559B" w:rsidRPr="0028559B">
        <w:rPr>
          <w:rFonts w:ascii="Calibri" w:hAnsi="Calibri"/>
        </w:rPr>
        <w:t>DuCille</w:t>
      </w:r>
      <w:proofErr w:type="spellEnd"/>
      <w:r w:rsidR="0028559B" w:rsidRPr="0028559B">
        <w:rPr>
          <w:rFonts w:ascii="Calibri" w:hAnsi="Calibri"/>
        </w:rPr>
        <w:t xml:space="preserve"> cited in Weheliye 2014, 5)</w:t>
      </w:r>
      <w:r w:rsidR="0028559B">
        <w:t>.</w:t>
      </w:r>
      <w:r>
        <w:t xml:space="preserve"> We see this in the history of autoethnography I present above, </w:t>
      </w:r>
      <w:r w:rsidR="00B67CDD">
        <w:t>in a significant tranche of reflexive research accounts being labelled as autoethnographic without any explicit politicized aims</w:t>
      </w:r>
      <w:r w:rsidR="00D218F5">
        <w:t xml:space="preserve"> </w:t>
      </w:r>
      <w:r w:rsidR="00D218F5" w:rsidRPr="00D218F5">
        <w:rPr>
          <w:rFonts w:ascii="Calibri" w:hAnsi="Calibri"/>
        </w:rPr>
        <w:t>(see for example, Lake 2015; Helps 2017)</w:t>
      </w:r>
      <w:r w:rsidR="00D218F5">
        <w:t>,</w:t>
      </w:r>
      <w:r w:rsidR="00B67CDD">
        <w:t xml:space="preserve"> </w:t>
      </w:r>
      <w:r>
        <w:t>and it is apparent in the multiple ways I have toyed with autoethnography as a method in the study of madness as a socio-political phenomenon.</w:t>
      </w:r>
    </w:p>
    <w:bookmarkEnd w:id="2"/>
    <w:p w14:paraId="467B1AAB" w14:textId="11C245B0" w:rsidR="007A426D" w:rsidRDefault="008E2F3F" w:rsidP="007A426D">
      <w:pPr>
        <w:spacing w:line="480" w:lineRule="auto"/>
        <w:rPr>
          <w:rFonts w:cs="Tahoma"/>
          <w:color w:val="000000"/>
        </w:rPr>
      </w:pPr>
      <w:r>
        <w:t>In my engagements with Mad Studies</w:t>
      </w:r>
      <w:r w:rsidR="0018559B">
        <w:t>,</w:t>
      </w:r>
      <w:r>
        <w:t xml:space="preserve"> I have learned about t</w:t>
      </w:r>
      <w:r w:rsidR="00CB7282">
        <w:t>railblazing work amongst the Canadian survivor community</w:t>
      </w:r>
      <w:r>
        <w:t xml:space="preserve"> which I describe here, without asserting that these are the only example</w:t>
      </w:r>
      <w:r w:rsidR="00DC37F1">
        <w:t>s</w:t>
      </w:r>
      <w:r>
        <w:t xml:space="preserve"> of such work or that this</w:t>
      </w:r>
      <w:r w:rsidR="00DC37F1">
        <w:t xml:space="preserve"> only happens in Canada</w:t>
      </w:r>
      <w:r>
        <w:t>. Firstly, there exists a Psychiatric Survivor Archive in Toronto</w:t>
      </w:r>
      <w:r w:rsidR="0018559B">
        <w:rPr>
          <w:rStyle w:val="EndnoteReference"/>
        </w:rPr>
        <w:endnoteReference w:id="2"/>
      </w:r>
      <w:r>
        <w:t xml:space="preserve"> that </w:t>
      </w:r>
      <w:r w:rsidR="00241D09">
        <w:t>preserves</w:t>
      </w:r>
      <w:r>
        <w:t xml:space="preserve"> the history of survivor</w:t>
      </w:r>
      <w:r w:rsidR="00241D09">
        <w:t xml:space="preserve"> organising and theorising; </w:t>
      </w:r>
      <w:r>
        <w:t xml:space="preserve">Danielle Landry’s work centres the importance of such archive-making </w:t>
      </w:r>
      <w:r w:rsidRPr="008E2F3F">
        <w:rPr>
          <w:rFonts w:ascii="Calibri" w:hAnsi="Calibri"/>
        </w:rPr>
        <w:t>(2017)</w:t>
      </w:r>
      <w:r>
        <w:t>. Survivor and mad studies scholars have also</w:t>
      </w:r>
      <w:r w:rsidR="00CB7282">
        <w:t xml:space="preserve"> </w:t>
      </w:r>
      <w:r>
        <w:t>critically analysed</w:t>
      </w:r>
      <w:r w:rsidR="00CB7282">
        <w:t xml:space="preserve"> the ways in which stories </w:t>
      </w:r>
      <w:r>
        <w:t xml:space="preserve">told by members of the C/S/X community </w:t>
      </w:r>
      <w:r w:rsidR="00CB7282">
        <w:t xml:space="preserve">are co-opted as evidence that treatments and services on offer are effective, again depoliticising the context in </w:t>
      </w:r>
      <w:r w:rsidR="00CB7282">
        <w:lastRenderedPageBreak/>
        <w:t xml:space="preserve">which people become mad in the first place </w:t>
      </w:r>
      <w:r w:rsidR="00CB7282" w:rsidRPr="007C3AE8">
        <w:rPr>
          <w:rFonts w:ascii="Calibri" w:hAnsi="Calibri"/>
        </w:rPr>
        <w:t>(Costa et al. 2012)</w:t>
      </w:r>
      <w:r w:rsidR="00CB7282" w:rsidRPr="005F1BD9">
        <w:rPr>
          <w:rFonts w:cs="Times New Roman"/>
        </w:rPr>
        <w:t>.</w:t>
      </w:r>
      <w:r w:rsidR="00CB7282">
        <w:t xml:space="preserve"> Furthermore, they have directly challenged the way in which research conducted within large organisations</w:t>
      </w:r>
      <w:r w:rsidR="00EA27E4">
        <w:t xml:space="preserve"> (</w:t>
      </w:r>
      <w:r w:rsidR="00CB7282">
        <w:t>such as the mental health service and universities</w:t>
      </w:r>
      <w:r w:rsidR="00EA27E4">
        <w:t>)</w:t>
      </w:r>
      <w:r w:rsidR="00CB7282">
        <w:t xml:space="preserve"> fail to </w:t>
      </w:r>
      <w:proofErr w:type="gramStart"/>
      <w:r w:rsidR="00CB7282">
        <w:t>take into account</w:t>
      </w:r>
      <w:proofErr w:type="gramEnd"/>
      <w:r w:rsidR="00CB7282">
        <w:t xml:space="preserve"> psychiatric survivor research and theory, but repeatedly ask the same (incorrect) questions without effecting change </w:t>
      </w:r>
      <w:r w:rsidR="00CB7282" w:rsidRPr="007C3AE8">
        <w:rPr>
          <w:rFonts w:ascii="Calibri" w:hAnsi="Calibri"/>
        </w:rPr>
        <w:t>(Psychiatric Disabilities Anti-violence Coalition 2015)</w:t>
      </w:r>
      <w:r w:rsidR="00CB7282">
        <w:t>.</w:t>
      </w:r>
      <w:r>
        <w:t xml:space="preserve"> All of these actions directly challenge the discourses of equality that inflect the inclusion politics of knowledge production in late capitalist academia. </w:t>
      </w:r>
      <w:r w:rsidR="00EA27E4">
        <w:t>Holding</w:t>
      </w:r>
      <w:r w:rsidR="007A426D">
        <w:rPr>
          <w:rFonts w:cs="Tahoma"/>
          <w:color w:val="000000"/>
        </w:rPr>
        <w:t xml:space="preserve"> </w:t>
      </w:r>
      <w:r w:rsidR="00DC37F1">
        <w:rPr>
          <w:rFonts w:cs="Tahoma"/>
          <w:color w:val="000000"/>
        </w:rPr>
        <w:t xml:space="preserve">this </w:t>
      </w:r>
      <w:r w:rsidR="007A426D">
        <w:rPr>
          <w:rFonts w:cs="Tahoma"/>
          <w:color w:val="000000"/>
        </w:rPr>
        <w:t>space</w:t>
      </w:r>
      <w:r w:rsidR="00EA27E4">
        <w:rPr>
          <w:rFonts w:cs="Tahoma"/>
          <w:color w:val="000000"/>
        </w:rPr>
        <w:t xml:space="preserve"> open is </w:t>
      </w:r>
      <w:r w:rsidR="00241D09">
        <w:rPr>
          <w:rFonts w:cs="Tahoma"/>
          <w:color w:val="000000"/>
        </w:rPr>
        <w:t>very difficult to do,</w:t>
      </w:r>
      <w:r w:rsidR="00DC37F1">
        <w:rPr>
          <w:rFonts w:cs="Tahoma"/>
          <w:color w:val="000000"/>
        </w:rPr>
        <w:t xml:space="preserve"> is si</w:t>
      </w:r>
      <w:r w:rsidR="00241D09">
        <w:rPr>
          <w:rFonts w:cs="Tahoma"/>
          <w:color w:val="000000"/>
        </w:rPr>
        <w:t xml:space="preserve">gnificantly under-resourced, and </w:t>
      </w:r>
      <w:r w:rsidR="00DC37F1">
        <w:rPr>
          <w:rFonts w:cs="Tahoma"/>
          <w:color w:val="000000"/>
        </w:rPr>
        <w:t>requires a way of doing scholarship not encouraged in academic career development</w:t>
      </w:r>
      <w:r w:rsidR="00241D09">
        <w:rPr>
          <w:rFonts w:cs="Tahoma"/>
          <w:color w:val="000000"/>
        </w:rPr>
        <w:t xml:space="preserve"> </w:t>
      </w:r>
      <w:r w:rsidR="00241D09" w:rsidRPr="00241D09">
        <w:rPr>
          <w:rFonts w:ascii="Calibri" w:hAnsi="Calibri"/>
        </w:rPr>
        <w:t>(see for example, Church 1995)</w:t>
      </w:r>
      <w:r w:rsidR="00DC37F1">
        <w:rPr>
          <w:rFonts w:cs="Tahoma"/>
          <w:color w:val="000000"/>
        </w:rPr>
        <w:t>. Furthermore, when “high-knowledge crazies”</w:t>
      </w:r>
      <w:r w:rsidR="00D05CF9">
        <w:rPr>
          <w:rFonts w:cs="Tahoma"/>
          <w:color w:val="000000"/>
        </w:rPr>
        <w:t xml:space="preserve"> (David </w:t>
      </w:r>
      <w:proofErr w:type="spellStart"/>
      <w:r w:rsidR="00D05CF9">
        <w:rPr>
          <w:rFonts w:cs="Tahoma"/>
          <w:color w:val="000000"/>
        </w:rPr>
        <w:t>Reville’s</w:t>
      </w:r>
      <w:proofErr w:type="spellEnd"/>
      <w:r w:rsidR="00D05CF9">
        <w:rPr>
          <w:rFonts w:cs="Tahoma"/>
          <w:color w:val="000000"/>
        </w:rPr>
        <w:t xml:space="preserve"> wonderful term) </w:t>
      </w:r>
      <w:r w:rsidR="00DC37F1">
        <w:rPr>
          <w:rFonts w:cs="Tahoma"/>
          <w:color w:val="000000"/>
        </w:rPr>
        <w:t>attempt to tell their stories otherwise, they are</w:t>
      </w:r>
      <w:r w:rsidR="007A426D">
        <w:rPr>
          <w:rFonts w:cs="Tahoma"/>
          <w:color w:val="000000"/>
        </w:rPr>
        <w:t xml:space="preserve"> continually drawn back into a space in which </w:t>
      </w:r>
      <w:r w:rsidR="00EA27E4">
        <w:rPr>
          <w:rFonts w:cs="Tahoma"/>
          <w:color w:val="000000"/>
        </w:rPr>
        <w:t xml:space="preserve">already-made </w:t>
      </w:r>
      <w:r w:rsidR="007A426D">
        <w:rPr>
          <w:rFonts w:cs="Tahoma"/>
          <w:color w:val="000000"/>
        </w:rPr>
        <w:t>identity</w:t>
      </w:r>
      <w:r w:rsidR="00EA27E4">
        <w:rPr>
          <w:rFonts w:cs="Tahoma"/>
          <w:color w:val="000000"/>
        </w:rPr>
        <w:t xml:space="preserve"> classifications occlude</w:t>
      </w:r>
      <w:r w:rsidR="007A426D">
        <w:rPr>
          <w:rFonts w:cs="Tahoma"/>
          <w:color w:val="000000"/>
        </w:rPr>
        <w:t xml:space="preserve"> what madness might say if it was allowed to be heard outside of the epistemic categories </w:t>
      </w:r>
      <w:r w:rsidR="00DC37F1">
        <w:rPr>
          <w:rFonts w:cs="Tahoma"/>
          <w:color w:val="000000"/>
        </w:rPr>
        <w:t xml:space="preserve">that </w:t>
      </w:r>
      <w:r w:rsidR="007A426D">
        <w:rPr>
          <w:rFonts w:cs="Tahoma"/>
          <w:color w:val="000000"/>
        </w:rPr>
        <w:t>currently define it.</w:t>
      </w:r>
    </w:p>
    <w:p w14:paraId="77ADDD9D" w14:textId="77777777" w:rsidR="00EA27E4" w:rsidRDefault="00EA27E4" w:rsidP="0018559B">
      <w:pPr>
        <w:pStyle w:val="Heading2"/>
      </w:pPr>
      <w:r>
        <w:t>Conclusion</w:t>
      </w:r>
    </w:p>
    <w:p w14:paraId="0C75365B" w14:textId="4232328A" w:rsidR="00EA27E4" w:rsidRDefault="00EA27E4" w:rsidP="00EA27E4">
      <w:pPr>
        <w:spacing w:line="480" w:lineRule="auto"/>
        <w:rPr>
          <w:rFonts w:cs="Tahoma"/>
          <w:color w:val="000000"/>
        </w:rPr>
      </w:pPr>
      <w:r>
        <w:rPr>
          <w:rFonts w:cs="Tahoma"/>
          <w:color w:val="000000"/>
        </w:rPr>
        <w:t xml:space="preserve">In this article, I have </w:t>
      </w:r>
      <w:r w:rsidR="00AE53A5">
        <w:rPr>
          <w:rFonts w:cs="Tahoma"/>
          <w:color w:val="000000"/>
        </w:rPr>
        <w:t>explored</w:t>
      </w:r>
      <w:r>
        <w:rPr>
          <w:rFonts w:cs="Tahoma"/>
          <w:color w:val="000000"/>
        </w:rPr>
        <w:t xml:space="preserve"> different research contexts to unpick </w:t>
      </w:r>
      <w:r w:rsidR="00A01B5C">
        <w:rPr>
          <w:rFonts w:cs="Tahoma"/>
          <w:color w:val="000000"/>
        </w:rPr>
        <w:t xml:space="preserve">my discomfort </w:t>
      </w:r>
      <w:r>
        <w:rPr>
          <w:rFonts w:cs="Tahoma"/>
          <w:color w:val="000000"/>
        </w:rPr>
        <w:t xml:space="preserve">in </w:t>
      </w:r>
      <w:r w:rsidR="00DC37F1">
        <w:rPr>
          <w:rFonts w:cs="Tahoma"/>
          <w:color w:val="000000"/>
        </w:rPr>
        <w:t xml:space="preserve">both </w:t>
      </w:r>
      <w:r>
        <w:rPr>
          <w:rFonts w:cs="Tahoma"/>
          <w:color w:val="000000"/>
        </w:rPr>
        <w:t xml:space="preserve">being situated and </w:t>
      </w:r>
      <w:r w:rsidR="00DC37F1">
        <w:rPr>
          <w:rFonts w:cs="Tahoma"/>
          <w:color w:val="000000"/>
        </w:rPr>
        <w:t>being required</w:t>
      </w:r>
      <w:r>
        <w:rPr>
          <w:rFonts w:cs="Tahoma"/>
          <w:color w:val="000000"/>
        </w:rPr>
        <w:t xml:space="preserve"> to situate myself within contemporary classifications of madness. In the title, I ask whether my research was autoethnographic, and I have re-visited scenes in which its naming as such was contested for different but seemingly similar reasons.</w:t>
      </w:r>
      <w:r w:rsidRPr="00B51D41">
        <w:rPr>
          <w:rFonts w:cs="Tahoma"/>
          <w:color w:val="000000"/>
        </w:rPr>
        <w:t xml:space="preserve"> </w:t>
      </w:r>
      <w:r w:rsidRPr="00817C68">
        <w:rPr>
          <w:rFonts w:cs="Tahoma"/>
          <w:color w:val="000000"/>
        </w:rPr>
        <w:t xml:space="preserve">My relationship to the research </w:t>
      </w:r>
      <w:r w:rsidR="00DC37F1">
        <w:rPr>
          <w:rFonts w:cs="Tahoma"/>
          <w:color w:val="000000"/>
        </w:rPr>
        <w:t xml:space="preserve">is </w:t>
      </w:r>
      <w:r w:rsidRPr="00817C68">
        <w:rPr>
          <w:rFonts w:cs="Tahoma"/>
          <w:color w:val="000000"/>
        </w:rPr>
        <w:t xml:space="preserve">complicated because it began with me and my own experiences. Why wouldn’t it? We live in a culture of the self, we </w:t>
      </w:r>
      <w:r>
        <w:rPr>
          <w:rFonts w:cs="Tahoma"/>
          <w:color w:val="000000"/>
        </w:rPr>
        <w:t xml:space="preserve">avidly consume personal stories and </w:t>
      </w:r>
      <w:r w:rsidRPr="00817C68">
        <w:rPr>
          <w:rFonts w:cs="Tahoma"/>
          <w:color w:val="000000"/>
        </w:rPr>
        <w:t>confessions</w:t>
      </w:r>
      <w:r>
        <w:rPr>
          <w:rFonts w:cs="Tahoma"/>
          <w:color w:val="000000"/>
        </w:rPr>
        <w:t xml:space="preserve"> for pleasure</w:t>
      </w:r>
      <w:r w:rsidRPr="00817C68">
        <w:rPr>
          <w:rFonts w:cs="Tahoma"/>
          <w:color w:val="000000"/>
        </w:rPr>
        <w:t>. As I have argued recently, media culture</w:t>
      </w:r>
      <w:r>
        <w:rPr>
          <w:rFonts w:cs="Tahoma"/>
          <w:color w:val="000000"/>
        </w:rPr>
        <w:t>s</w:t>
      </w:r>
      <w:r w:rsidRPr="00817C68">
        <w:rPr>
          <w:rFonts w:cs="Tahoma"/>
          <w:color w:val="000000"/>
        </w:rPr>
        <w:t xml:space="preserve"> are infused with </w:t>
      </w:r>
      <w:proofErr w:type="spellStart"/>
      <w:r w:rsidRPr="00817C68">
        <w:rPr>
          <w:rFonts w:cs="Tahoma"/>
          <w:color w:val="000000"/>
        </w:rPr>
        <w:t>psy</w:t>
      </w:r>
      <w:proofErr w:type="spellEnd"/>
      <w:r w:rsidRPr="00817C68">
        <w:rPr>
          <w:rFonts w:cs="Tahoma"/>
          <w:color w:val="000000"/>
        </w:rPr>
        <w:t xml:space="preserve"> discourse</w:t>
      </w:r>
      <w:r w:rsidR="00DC37F1">
        <w:rPr>
          <w:rFonts w:cs="Tahoma"/>
          <w:color w:val="000000"/>
        </w:rPr>
        <w:t>; t</w:t>
      </w:r>
      <w:r w:rsidRPr="00817C68">
        <w:rPr>
          <w:rFonts w:cs="Tahoma"/>
          <w:color w:val="000000"/>
        </w:rPr>
        <w:t>he language of diagnosis, treatment and recovery is everywhere</w:t>
      </w:r>
      <w:r w:rsidR="00D629E6">
        <w:rPr>
          <w:rFonts w:cs="Tahoma"/>
          <w:color w:val="000000"/>
        </w:rPr>
        <w:t xml:space="preserve"> (McWade</w:t>
      </w:r>
      <w:r w:rsidR="00AE53A5">
        <w:rPr>
          <w:rFonts w:cs="Tahoma"/>
          <w:color w:val="000000"/>
        </w:rPr>
        <w:t xml:space="preserve">, </w:t>
      </w:r>
      <w:r w:rsidR="009E1C31">
        <w:rPr>
          <w:rFonts w:cs="Tahoma"/>
          <w:color w:val="000000"/>
        </w:rPr>
        <w:t>forthcoming</w:t>
      </w:r>
      <w:r w:rsidR="00AE53A5">
        <w:rPr>
          <w:rFonts w:cs="Tahoma"/>
          <w:color w:val="000000"/>
        </w:rPr>
        <w:t>)</w:t>
      </w:r>
      <w:r w:rsidRPr="00817C68">
        <w:rPr>
          <w:rFonts w:cs="Tahoma"/>
          <w:color w:val="000000"/>
        </w:rPr>
        <w:t>.</w:t>
      </w:r>
      <w:r w:rsidR="00DC37F1">
        <w:rPr>
          <w:rFonts w:cs="Tahoma"/>
          <w:color w:val="000000"/>
        </w:rPr>
        <w:t xml:space="preserve"> Some of us want different words and worlds.</w:t>
      </w:r>
      <w:r w:rsidRPr="00817C68">
        <w:rPr>
          <w:rFonts w:cs="Tahoma"/>
          <w:color w:val="000000"/>
        </w:rPr>
        <w:t xml:space="preserve"> </w:t>
      </w:r>
    </w:p>
    <w:p w14:paraId="5B168A6E" w14:textId="17238EDF" w:rsidR="00EA27E4" w:rsidRDefault="00EA27E4" w:rsidP="00C50FF9">
      <w:pPr>
        <w:spacing w:line="480" w:lineRule="auto"/>
        <w:rPr>
          <w:rFonts w:cs="Tahoma"/>
          <w:color w:val="000000"/>
        </w:rPr>
      </w:pPr>
      <w:r>
        <w:rPr>
          <w:rFonts w:cs="Tahoma"/>
          <w:color w:val="000000"/>
        </w:rPr>
        <w:t xml:space="preserve">In attempting to </w:t>
      </w:r>
      <w:r w:rsidR="00BB076A">
        <w:rPr>
          <w:rFonts w:cs="Tahoma"/>
          <w:color w:val="000000"/>
        </w:rPr>
        <w:t>make clear that I was not</w:t>
      </w:r>
      <w:r>
        <w:rPr>
          <w:rFonts w:cs="Tahoma"/>
          <w:color w:val="000000"/>
        </w:rPr>
        <w:t xml:space="preserve"> a “real” service-user, the NHS REC allowed me to conduct this research by only observing myself. They deemed this ethically just because it protected “vulnerable</w:t>
      </w:r>
      <w:r w:rsidR="00DC37F1">
        <w:rPr>
          <w:rFonts w:cs="Tahoma"/>
          <w:color w:val="000000"/>
        </w:rPr>
        <w:t>” service-users from my observations</w:t>
      </w:r>
      <w:r>
        <w:rPr>
          <w:rFonts w:cs="Tahoma"/>
          <w:color w:val="000000"/>
        </w:rPr>
        <w:t xml:space="preserve">. However, as I outline, the reasons I initially gave – that we all have something called mental health – are perhaps the </w:t>
      </w:r>
      <w:r w:rsidR="00AE53A5">
        <w:rPr>
          <w:rFonts w:cs="Tahoma"/>
          <w:color w:val="000000"/>
        </w:rPr>
        <w:t>least just of all available eth</w:t>
      </w:r>
      <w:r>
        <w:rPr>
          <w:rFonts w:cs="Tahoma"/>
          <w:color w:val="000000"/>
        </w:rPr>
        <w:t xml:space="preserve">ical </w:t>
      </w:r>
      <w:r>
        <w:rPr>
          <w:rFonts w:cs="Tahoma"/>
          <w:color w:val="000000"/>
        </w:rPr>
        <w:lastRenderedPageBreak/>
        <w:t xml:space="preserve">judgements of my research design. </w:t>
      </w:r>
      <w:r w:rsidR="00C50FF9">
        <w:rPr>
          <w:rFonts w:cs="Tahoma"/>
          <w:color w:val="000000"/>
        </w:rPr>
        <w:t>To forefront my experience of the service alone would be to claim that all service-users are enacted equally. Although the theory of enactment does acknowledge how all enactments are precisely not equal, it still runs the</w:t>
      </w:r>
      <w:r>
        <w:rPr>
          <w:rFonts w:cs="Tahoma"/>
          <w:color w:val="000000"/>
        </w:rPr>
        <w:t xml:space="preserve"> </w:t>
      </w:r>
      <w:r w:rsidR="009E5D54">
        <w:rPr>
          <w:rFonts w:cs="Tahoma"/>
          <w:color w:val="000000"/>
        </w:rPr>
        <w:t>ri</w:t>
      </w:r>
      <w:r w:rsidR="00C50FF9">
        <w:rPr>
          <w:rFonts w:cs="Tahoma"/>
          <w:color w:val="000000"/>
        </w:rPr>
        <w:t>sks</w:t>
      </w:r>
      <w:r w:rsidR="009E5D54">
        <w:rPr>
          <w:rFonts w:cs="Tahoma"/>
          <w:color w:val="000000"/>
        </w:rPr>
        <w:t xml:space="preserve"> obscuring the differences between myself, who chose to conduct the research, and</w:t>
      </w:r>
      <w:r>
        <w:rPr>
          <w:rFonts w:cs="Tahoma"/>
          <w:color w:val="000000"/>
        </w:rPr>
        <w:t xml:space="preserve"> “real” service-users compelled to legislatively as part of their discharge from psychiatric detainment. </w:t>
      </w:r>
      <w:r w:rsidR="00BB076A">
        <w:rPr>
          <w:rFonts w:cs="Tahoma"/>
          <w:color w:val="000000"/>
        </w:rPr>
        <w:t xml:space="preserve">Undertaking a participatory ethos to conducting the fieldwork, I attempted to ameliorate this issue by putting my embodied self into the culture of </w:t>
      </w:r>
      <w:r w:rsidR="00BB076A" w:rsidRPr="00BB076A">
        <w:rPr>
          <w:rFonts w:cs="Tahoma"/>
          <w:i/>
          <w:color w:val="000000"/>
        </w:rPr>
        <w:t>Create</w:t>
      </w:r>
      <w:r w:rsidR="00BB076A">
        <w:rPr>
          <w:rFonts w:cs="Tahoma"/>
          <w:color w:val="000000"/>
        </w:rPr>
        <w:t>, sharing these experiences with the other people in that space and using them as the basis for developing dialogue within interviews.</w:t>
      </w:r>
    </w:p>
    <w:p w14:paraId="641BCC7D" w14:textId="173DCE52" w:rsidR="00EA27E4" w:rsidRDefault="00E11435" w:rsidP="00EA27E4">
      <w:pPr>
        <w:spacing w:line="480" w:lineRule="auto"/>
        <w:rPr>
          <w:rFonts w:cs="Tahoma"/>
          <w:color w:val="000000"/>
        </w:rPr>
      </w:pPr>
      <w:r>
        <w:rPr>
          <w:rFonts w:cs="Tahoma"/>
          <w:color w:val="000000"/>
        </w:rPr>
        <w:t xml:space="preserve">When asked to situate myself in the context of mad studies and survivor research, I found that the term “lived experience” was most frequently given to me by those within that community. However, the limits of this category are also evident in </w:t>
      </w:r>
      <w:proofErr w:type="spellStart"/>
      <w:r>
        <w:rPr>
          <w:rFonts w:cs="Tahoma"/>
          <w:color w:val="000000"/>
        </w:rPr>
        <w:t>Voronka’s</w:t>
      </w:r>
      <w:proofErr w:type="spellEnd"/>
      <w:r>
        <w:rPr>
          <w:rFonts w:cs="Tahoma"/>
          <w:color w:val="000000"/>
        </w:rPr>
        <w:t xml:space="preserve"> critique, in which this identity, like autoethnographer, is problematically infused with racialised and sanitised privilege. </w:t>
      </w:r>
      <w:r w:rsidR="00E32BA2">
        <w:rPr>
          <w:rFonts w:cs="Tahoma"/>
          <w:color w:val="000000"/>
        </w:rPr>
        <w:t xml:space="preserve">At root, my research has always been about how to speak madness against or outside of </w:t>
      </w:r>
      <w:proofErr w:type="spellStart"/>
      <w:r w:rsidR="00E32BA2">
        <w:rPr>
          <w:rFonts w:cs="Tahoma"/>
          <w:color w:val="000000"/>
        </w:rPr>
        <w:t>psy</w:t>
      </w:r>
      <w:proofErr w:type="spellEnd"/>
      <w:r w:rsidR="00E32BA2">
        <w:rPr>
          <w:rFonts w:cs="Tahoma"/>
          <w:color w:val="000000"/>
        </w:rPr>
        <w:t xml:space="preserve"> discourse. Finding and connecting with mad studies and survivor c</w:t>
      </w:r>
      <w:r w:rsidR="00AE53A5">
        <w:rPr>
          <w:rFonts w:cs="Tahoma"/>
          <w:color w:val="000000"/>
        </w:rPr>
        <w:t xml:space="preserve">ollaborators has brought me </w:t>
      </w:r>
      <w:r w:rsidR="00E32BA2">
        <w:rPr>
          <w:rFonts w:cs="Tahoma"/>
          <w:color w:val="000000"/>
        </w:rPr>
        <w:t>closest to this goal. My</w:t>
      </w:r>
      <w:r w:rsidR="00EA27E4" w:rsidRPr="00817C68">
        <w:rPr>
          <w:rFonts w:cs="Tahoma"/>
          <w:color w:val="000000"/>
        </w:rPr>
        <w:t xml:space="preserve"> research was a process of </w:t>
      </w:r>
      <w:r w:rsidR="00E32BA2">
        <w:rPr>
          <w:rFonts w:cs="Tahoma"/>
          <w:color w:val="000000"/>
        </w:rPr>
        <w:t>political consciousness-</w:t>
      </w:r>
      <w:r w:rsidR="00EA27E4">
        <w:rPr>
          <w:rFonts w:cs="Tahoma"/>
          <w:color w:val="000000"/>
        </w:rPr>
        <w:t xml:space="preserve">raising, </w:t>
      </w:r>
      <w:r w:rsidR="00E32BA2">
        <w:rPr>
          <w:rFonts w:cs="Tahoma"/>
          <w:color w:val="000000"/>
        </w:rPr>
        <w:t>in which I have tri</w:t>
      </w:r>
      <w:r w:rsidR="00BA1798">
        <w:rPr>
          <w:rFonts w:cs="Tahoma"/>
          <w:color w:val="000000"/>
        </w:rPr>
        <w:t xml:space="preserve">ed unlearn what I already know. Here, I have tried harder to listen to what my body knew in each one of the three vignettes presented, focussing on moments of when </w:t>
      </w:r>
      <w:r w:rsidR="00230DD9">
        <w:rPr>
          <w:rFonts w:cs="Tahoma"/>
          <w:color w:val="000000"/>
        </w:rPr>
        <w:t>words have</w:t>
      </w:r>
      <w:r w:rsidR="00BA1798">
        <w:rPr>
          <w:rFonts w:cs="Tahoma"/>
          <w:color w:val="000000"/>
        </w:rPr>
        <w:t xml:space="preserve"> failed me, to theorise with experience as contextualised and relational. </w:t>
      </w:r>
      <w:r w:rsidR="00E32BA2">
        <w:t>I</w:t>
      </w:r>
      <w:r w:rsidR="00E32BA2">
        <w:rPr>
          <w:rFonts w:cs="Tahoma"/>
          <w:color w:val="000000"/>
        </w:rPr>
        <w:t xml:space="preserve">n writing this article, </w:t>
      </w:r>
      <w:r w:rsidR="00E32BA2">
        <w:t>I defend my decision to write myself</w:t>
      </w:r>
      <w:r w:rsidR="00EA27E4">
        <w:rPr>
          <w:rFonts w:cs="Tahoma"/>
          <w:color w:val="000000"/>
        </w:rPr>
        <w:t xml:space="preserve"> out of my thesis</w:t>
      </w:r>
      <w:r w:rsidR="00E32BA2">
        <w:rPr>
          <w:rFonts w:cs="Tahoma"/>
          <w:color w:val="000000"/>
        </w:rPr>
        <w:t xml:space="preserve"> because</w:t>
      </w:r>
      <w:r w:rsidR="00EA27E4">
        <w:rPr>
          <w:rFonts w:cs="Tahoma"/>
          <w:color w:val="000000"/>
        </w:rPr>
        <w:t xml:space="preserve"> I </w:t>
      </w:r>
      <w:r w:rsidR="00E32BA2">
        <w:rPr>
          <w:rFonts w:cs="Tahoma"/>
          <w:color w:val="000000"/>
        </w:rPr>
        <w:t>believe it was</w:t>
      </w:r>
      <w:r w:rsidR="00EA27E4">
        <w:rPr>
          <w:rFonts w:cs="Tahoma"/>
          <w:color w:val="000000"/>
        </w:rPr>
        <w:t xml:space="preserve"> ethically just</w:t>
      </w:r>
      <w:r w:rsidR="00733279">
        <w:rPr>
          <w:rFonts w:cs="Tahoma"/>
          <w:color w:val="000000"/>
        </w:rPr>
        <w:t xml:space="preserve"> to do </w:t>
      </w:r>
      <w:r w:rsidR="00733279" w:rsidRPr="00DC37F1">
        <w:rPr>
          <w:rFonts w:cs="Tahoma"/>
          <w:i/>
          <w:color w:val="000000"/>
        </w:rPr>
        <w:t>because of who I am</w:t>
      </w:r>
      <w:r w:rsidR="00DC37F1">
        <w:rPr>
          <w:rFonts w:cs="Tahoma"/>
          <w:color w:val="000000"/>
        </w:rPr>
        <w:t>. My white</w:t>
      </w:r>
      <w:r w:rsidR="00733279">
        <w:rPr>
          <w:rFonts w:cs="Tahoma"/>
          <w:color w:val="000000"/>
        </w:rPr>
        <w:t xml:space="preserve"> and </w:t>
      </w:r>
      <w:r w:rsidR="00DC37F1">
        <w:rPr>
          <w:rFonts w:cs="Tahoma"/>
          <w:color w:val="000000"/>
        </w:rPr>
        <w:t>middle-class</w:t>
      </w:r>
      <w:r w:rsidR="00733279">
        <w:rPr>
          <w:rFonts w:cs="Tahoma"/>
          <w:color w:val="000000"/>
        </w:rPr>
        <w:t xml:space="preserve"> privilege have (in the most part) protected me from the worst state violence and its governance of madness and distress, even when my personal experiences of mental disarray have been </w:t>
      </w:r>
      <w:r w:rsidR="00DC37F1">
        <w:rPr>
          <w:rFonts w:cs="Tahoma"/>
          <w:color w:val="000000"/>
        </w:rPr>
        <w:t>significantly</w:t>
      </w:r>
      <w:r w:rsidR="00733279">
        <w:rPr>
          <w:rFonts w:cs="Tahoma"/>
          <w:color w:val="000000"/>
        </w:rPr>
        <w:t xml:space="preserve"> impairing</w:t>
      </w:r>
      <w:r w:rsidR="00E32BA2">
        <w:rPr>
          <w:rFonts w:cs="Tahoma"/>
          <w:color w:val="000000"/>
        </w:rPr>
        <w:t>.</w:t>
      </w:r>
      <w:r w:rsidR="00BB076A">
        <w:rPr>
          <w:rFonts w:cs="Tahoma"/>
          <w:color w:val="000000"/>
        </w:rPr>
        <w:t xml:space="preserve"> Knowing/living this has enabled me to develop a strong critique of current theories around the cause and treatment of mental health. </w:t>
      </w:r>
      <w:r w:rsidR="00230DD9">
        <w:rPr>
          <w:rFonts w:cs="Tahoma"/>
          <w:color w:val="000000"/>
        </w:rPr>
        <w:t xml:space="preserve">Ironically, </w:t>
      </w:r>
      <w:proofErr w:type="gramStart"/>
      <w:r w:rsidR="00230DD9">
        <w:rPr>
          <w:rFonts w:cs="Tahoma"/>
          <w:color w:val="000000"/>
        </w:rPr>
        <w:t>i</w:t>
      </w:r>
      <w:r w:rsidR="00E32BA2">
        <w:rPr>
          <w:rFonts w:cs="Tahoma"/>
          <w:color w:val="000000"/>
        </w:rPr>
        <w:t>n order to</w:t>
      </w:r>
      <w:proofErr w:type="gramEnd"/>
      <w:r w:rsidR="00E32BA2">
        <w:rPr>
          <w:rFonts w:cs="Tahoma"/>
          <w:color w:val="000000"/>
        </w:rPr>
        <w:t xml:space="preserve"> explain why</w:t>
      </w:r>
      <w:r w:rsidR="00745E11">
        <w:rPr>
          <w:rFonts w:cs="Tahoma"/>
          <w:color w:val="000000"/>
        </w:rPr>
        <w:t xml:space="preserve"> my experiences are (</w:t>
      </w:r>
      <w:proofErr w:type="spellStart"/>
      <w:r w:rsidR="00745E11">
        <w:rPr>
          <w:rFonts w:cs="Tahoma"/>
          <w:color w:val="000000"/>
        </w:rPr>
        <w:t>ir</w:t>
      </w:r>
      <w:proofErr w:type="spellEnd"/>
      <w:r w:rsidR="00745E11">
        <w:rPr>
          <w:rFonts w:cs="Tahoma"/>
          <w:color w:val="000000"/>
        </w:rPr>
        <w:t>)relevant</w:t>
      </w:r>
      <w:r w:rsidR="00E32BA2">
        <w:rPr>
          <w:rFonts w:cs="Tahoma"/>
          <w:color w:val="000000"/>
        </w:rPr>
        <w:t>, I have had to pull myself back into the story</w:t>
      </w:r>
      <w:r w:rsidR="00EA27E4">
        <w:rPr>
          <w:rFonts w:cs="Tahoma"/>
          <w:color w:val="000000"/>
        </w:rPr>
        <w:t>.</w:t>
      </w:r>
      <w:r w:rsidR="00E32BA2">
        <w:rPr>
          <w:rFonts w:cs="Tahoma"/>
          <w:color w:val="000000"/>
        </w:rPr>
        <w:t xml:space="preserve"> Therein lies the paradoxical richness of such knowledge-making</w:t>
      </w:r>
      <w:r w:rsidR="00B81348">
        <w:rPr>
          <w:rFonts w:cs="Tahoma"/>
          <w:color w:val="000000"/>
        </w:rPr>
        <w:t>; let us all avoid the compulsion to resolve it</w:t>
      </w:r>
      <w:r w:rsidR="00E32BA2">
        <w:rPr>
          <w:rFonts w:cs="Tahoma"/>
          <w:color w:val="000000"/>
        </w:rPr>
        <w:t>.</w:t>
      </w:r>
    </w:p>
    <w:p w14:paraId="229D13F3" w14:textId="6886A736" w:rsidR="007D6480" w:rsidRDefault="007D6480" w:rsidP="007D6480">
      <w:pPr>
        <w:pStyle w:val="Heading2"/>
      </w:pPr>
      <w:r>
        <w:lastRenderedPageBreak/>
        <w:t>Bibliography</w:t>
      </w:r>
    </w:p>
    <w:p w14:paraId="05548E81" w14:textId="1A6F56D0" w:rsidR="00457712" w:rsidRDefault="001D42EC" w:rsidP="004C1D21">
      <w:pPr>
        <w:pStyle w:val="Bibliography"/>
        <w:ind w:left="0" w:firstLine="0"/>
        <w:rPr>
          <w:rFonts w:ascii="Calibri" w:hAnsi="Calibri"/>
        </w:rPr>
      </w:pPr>
      <w:r>
        <w:rPr>
          <w:rFonts w:ascii="Calibri" w:hAnsi="Calibri"/>
        </w:rPr>
        <w:t>Ahmed, S. (2002) Racialized Bodies.</w:t>
      </w:r>
      <w:r w:rsidR="00457712" w:rsidRPr="00457712">
        <w:rPr>
          <w:rFonts w:ascii="Calibri" w:hAnsi="Calibri"/>
        </w:rPr>
        <w:t xml:space="preserve"> In</w:t>
      </w:r>
      <w:r>
        <w:rPr>
          <w:rFonts w:ascii="Calibri" w:hAnsi="Calibri"/>
        </w:rPr>
        <w:t>: M. Evans and E. Lee (eds.)</w:t>
      </w:r>
      <w:r w:rsidR="00457712" w:rsidRPr="00457712">
        <w:rPr>
          <w:rFonts w:ascii="Calibri" w:hAnsi="Calibri"/>
        </w:rPr>
        <w:t xml:space="preserve"> </w:t>
      </w:r>
      <w:r w:rsidR="00457712" w:rsidRPr="001D42EC">
        <w:rPr>
          <w:rFonts w:ascii="Calibri" w:hAnsi="Calibri"/>
          <w:iCs/>
        </w:rPr>
        <w:t>Real Bodies</w:t>
      </w:r>
      <w:r w:rsidR="00457712" w:rsidRPr="00457712">
        <w:rPr>
          <w:rFonts w:ascii="Calibri" w:hAnsi="Calibri"/>
        </w:rPr>
        <w:t>, 46–63</w:t>
      </w:r>
      <w:r w:rsidR="0076048A">
        <w:rPr>
          <w:rFonts w:ascii="Calibri" w:hAnsi="Calibri"/>
        </w:rPr>
        <w:t>. London:</w:t>
      </w:r>
      <w:r>
        <w:rPr>
          <w:rFonts w:ascii="Calibri" w:hAnsi="Calibri"/>
        </w:rPr>
        <w:t xml:space="preserve"> Palgrave, pp. 46-63.</w:t>
      </w:r>
    </w:p>
    <w:p w14:paraId="58DD1FDA" w14:textId="77777777" w:rsidR="00136053" w:rsidRPr="00136053" w:rsidRDefault="00136053" w:rsidP="00136053"/>
    <w:p w14:paraId="17EBB113" w14:textId="35DB3E25" w:rsidR="00457712" w:rsidRDefault="001D42EC" w:rsidP="004C1D21">
      <w:pPr>
        <w:pStyle w:val="Bibliography"/>
        <w:ind w:left="0" w:firstLine="0"/>
        <w:rPr>
          <w:rFonts w:ascii="Calibri" w:hAnsi="Calibri"/>
        </w:rPr>
      </w:pPr>
      <w:r>
        <w:rPr>
          <w:rFonts w:ascii="Calibri" w:hAnsi="Calibri"/>
        </w:rPr>
        <w:t>Allison, D</w:t>
      </w:r>
      <w:r w:rsidR="00457712" w:rsidRPr="00457712">
        <w:rPr>
          <w:rFonts w:ascii="Calibri" w:hAnsi="Calibri"/>
        </w:rPr>
        <w:t xml:space="preserve">. </w:t>
      </w:r>
      <w:r>
        <w:rPr>
          <w:rFonts w:ascii="Calibri" w:hAnsi="Calibri"/>
        </w:rPr>
        <w:t xml:space="preserve">(1996) </w:t>
      </w:r>
      <w:r w:rsidR="00457712" w:rsidRPr="00457712">
        <w:rPr>
          <w:rFonts w:ascii="Calibri" w:hAnsi="Calibri"/>
        </w:rPr>
        <w:t>Two o</w:t>
      </w:r>
      <w:r>
        <w:rPr>
          <w:rFonts w:ascii="Calibri" w:hAnsi="Calibri"/>
        </w:rPr>
        <w:t>r Three Things I Know for Sure.</w:t>
      </w:r>
      <w:r w:rsidR="00457712" w:rsidRPr="00457712">
        <w:rPr>
          <w:rFonts w:ascii="Calibri" w:hAnsi="Calibri"/>
        </w:rPr>
        <w:t xml:space="preserve"> </w:t>
      </w:r>
      <w:r w:rsidR="001824FA">
        <w:rPr>
          <w:rFonts w:ascii="Calibri" w:hAnsi="Calibri"/>
        </w:rPr>
        <w:t>New York, Lond</w:t>
      </w:r>
      <w:r w:rsidR="0076048A">
        <w:rPr>
          <w:rFonts w:ascii="Calibri" w:hAnsi="Calibri"/>
        </w:rPr>
        <w:t>on, Victoria, Toronto, Auckland:</w:t>
      </w:r>
      <w:r w:rsidR="001824FA">
        <w:rPr>
          <w:rFonts w:ascii="Calibri" w:hAnsi="Calibri"/>
        </w:rPr>
        <w:t xml:space="preserve"> PLUME</w:t>
      </w:r>
      <w:r>
        <w:rPr>
          <w:rFonts w:ascii="Calibri" w:hAnsi="Calibri"/>
        </w:rPr>
        <w:t>.</w:t>
      </w:r>
    </w:p>
    <w:p w14:paraId="1EF500CE" w14:textId="76D4D72E" w:rsidR="00573C13" w:rsidRPr="00F216A4" w:rsidRDefault="00406208" w:rsidP="00F216A4">
      <w:pPr>
        <w:pStyle w:val="Bibliography"/>
        <w:spacing w:before="240"/>
        <w:ind w:left="0" w:firstLine="0"/>
        <w:rPr>
          <w:rFonts w:ascii="Calibri" w:hAnsi="Calibri"/>
        </w:rPr>
      </w:pPr>
      <w:r>
        <w:rPr>
          <w:rFonts w:ascii="Calibri" w:hAnsi="Calibri"/>
        </w:rPr>
        <w:t>Beresford, P</w:t>
      </w:r>
      <w:r w:rsidR="00457712" w:rsidRPr="00457712">
        <w:rPr>
          <w:rFonts w:ascii="Calibri" w:hAnsi="Calibri"/>
        </w:rPr>
        <w:t xml:space="preserve">. </w:t>
      </w:r>
      <w:r>
        <w:rPr>
          <w:rFonts w:ascii="Calibri" w:hAnsi="Calibri"/>
        </w:rPr>
        <w:t>(</w:t>
      </w:r>
      <w:r w:rsidR="00457712" w:rsidRPr="00457712">
        <w:rPr>
          <w:rFonts w:ascii="Calibri" w:hAnsi="Calibri"/>
        </w:rPr>
        <w:t>2004</w:t>
      </w:r>
      <w:r>
        <w:rPr>
          <w:rFonts w:ascii="Calibri" w:hAnsi="Calibri"/>
        </w:rPr>
        <w:t xml:space="preserve">) </w:t>
      </w:r>
      <w:r w:rsidR="00457712" w:rsidRPr="00457712">
        <w:rPr>
          <w:rFonts w:ascii="Calibri" w:hAnsi="Calibri"/>
        </w:rPr>
        <w:t>Madness, Distress, Res</w:t>
      </w:r>
      <w:r>
        <w:rPr>
          <w:rFonts w:ascii="Calibri" w:hAnsi="Calibri"/>
        </w:rPr>
        <w:t>earch and a Social Model.</w:t>
      </w:r>
      <w:r w:rsidR="00457712" w:rsidRPr="00457712">
        <w:rPr>
          <w:rFonts w:ascii="Calibri" w:hAnsi="Calibri"/>
        </w:rPr>
        <w:t xml:space="preserve"> In</w:t>
      </w:r>
      <w:r>
        <w:rPr>
          <w:rFonts w:ascii="Calibri" w:hAnsi="Calibri"/>
        </w:rPr>
        <w:t>: C. Barnes and G. Mercer (eds.)</w:t>
      </w:r>
      <w:r w:rsidR="00457712" w:rsidRPr="00457712">
        <w:rPr>
          <w:rFonts w:ascii="Calibri" w:hAnsi="Calibri"/>
        </w:rPr>
        <w:t xml:space="preserve"> </w:t>
      </w:r>
      <w:r w:rsidR="00457712" w:rsidRPr="00406208">
        <w:rPr>
          <w:rFonts w:ascii="Calibri" w:hAnsi="Calibri"/>
          <w:iCs/>
        </w:rPr>
        <w:t>Implementing the Social Model of Disability: Theory and Research</w:t>
      </w:r>
      <w:r w:rsidR="00F216A4">
        <w:rPr>
          <w:rFonts w:ascii="Calibri" w:hAnsi="Calibri"/>
          <w:iCs/>
        </w:rPr>
        <w:t xml:space="preserve">. </w:t>
      </w:r>
      <w:r w:rsidR="0076048A">
        <w:rPr>
          <w:rFonts w:ascii="Calibri" w:hAnsi="Calibri"/>
        </w:rPr>
        <w:t xml:space="preserve">Leeds: </w:t>
      </w:r>
      <w:r w:rsidR="00573C13">
        <w:rPr>
          <w:rFonts w:ascii="Calibri" w:hAnsi="Calibri"/>
        </w:rPr>
        <w:t xml:space="preserve">The Disability Press, pp. </w:t>
      </w:r>
      <w:r w:rsidR="00457712" w:rsidRPr="00457712">
        <w:rPr>
          <w:rFonts w:ascii="Calibri" w:hAnsi="Calibri"/>
        </w:rPr>
        <w:t xml:space="preserve">208–22. </w:t>
      </w:r>
    </w:p>
    <w:p w14:paraId="1A1F9103" w14:textId="1BA004F3" w:rsidR="00457712" w:rsidRPr="00457712" w:rsidRDefault="00457712" w:rsidP="00C317F6">
      <w:pPr>
        <w:pStyle w:val="Bibliography"/>
        <w:spacing w:before="240" w:after="240"/>
        <w:ind w:left="0" w:firstLine="0"/>
        <w:rPr>
          <w:rFonts w:ascii="Calibri" w:hAnsi="Calibri"/>
        </w:rPr>
      </w:pPr>
      <w:r w:rsidRPr="00457712">
        <w:rPr>
          <w:rFonts w:ascii="Calibri" w:hAnsi="Calibri"/>
        </w:rPr>
        <w:t>B</w:t>
      </w:r>
      <w:r w:rsidR="00F216A4">
        <w:rPr>
          <w:rFonts w:ascii="Calibri" w:hAnsi="Calibri"/>
        </w:rPr>
        <w:t xml:space="preserve">eresford, P., and </w:t>
      </w:r>
      <w:r w:rsidRPr="00457712">
        <w:rPr>
          <w:rFonts w:ascii="Calibri" w:hAnsi="Calibri"/>
        </w:rPr>
        <w:t>Russo</w:t>
      </w:r>
      <w:r w:rsidR="00F216A4">
        <w:rPr>
          <w:rFonts w:ascii="Calibri" w:hAnsi="Calibri"/>
        </w:rPr>
        <w:t>, J. (</w:t>
      </w:r>
      <w:r w:rsidRPr="00457712">
        <w:rPr>
          <w:rFonts w:ascii="Calibri" w:hAnsi="Calibri"/>
        </w:rPr>
        <w:t>2016</w:t>
      </w:r>
      <w:r w:rsidR="00F216A4">
        <w:rPr>
          <w:rFonts w:ascii="Calibri" w:hAnsi="Calibri"/>
        </w:rPr>
        <w:t xml:space="preserve">) </w:t>
      </w:r>
      <w:r w:rsidRPr="00457712">
        <w:rPr>
          <w:rFonts w:ascii="Calibri" w:hAnsi="Calibri"/>
        </w:rPr>
        <w:t>Supporting the Sustainability of Mad Studie</w:t>
      </w:r>
      <w:r w:rsidR="00F216A4">
        <w:rPr>
          <w:rFonts w:ascii="Calibri" w:hAnsi="Calibri"/>
        </w:rPr>
        <w:t>s and Preventing Its Co-Option.</w:t>
      </w:r>
      <w:r w:rsidRPr="00457712">
        <w:rPr>
          <w:rFonts w:ascii="Calibri" w:hAnsi="Calibri"/>
        </w:rPr>
        <w:t xml:space="preserve"> </w:t>
      </w:r>
      <w:r w:rsidRPr="00F216A4">
        <w:rPr>
          <w:rFonts w:ascii="Calibri" w:hAnsi="Calibri"/>
          <w:iCs/>
        </w:rPr>
        <w:t>Disability &amp; Society</w:t>
      </w:r>
      <w:r w:rsidR="00F216A4">
        <w:rPr>
          <w:rFonts w:ascii="Calibri" w:hAnsi="Calibri"/>
        </w:rPr>
        <w:t xml:space="preserve"> 31(2)</w:t>
      </w:r>
      <w:r w:rsidR="00C317F6">
        <w:rPr>
          <w:rFonts w:ascii="Calibri" w:hAnsi="Calibri"/>
        </w:rPr>
        <w:t xml:space="preserve">: </w:t>
      </w:r>
      <w:r w:rsidR="00F216A4">
        <w:rPr>
          <w:rFonts w:ascii="Calibri" w:hAnsi="Calibri"/>
        </w:rPr>
        <w:t>270-274.</w:t>
      </w:r>
      <w:r w:rsidRPr="00457712">
        <w:rPr>
          <w:rFonts w:ascii="Calibri" w:hAnsi="Calibri"/>
        </w:rPr>
        <w:t xml:space="preserve"> </w:t>
      </w:r>
    </w:p>
    <w:p w14:paraId="480AE39A" w14:textId="0A041649" w:rsidR="00457712" w:rsidRDefault="00C317F6" w:rsidP="004C1D21">
      <w:pPr>
        <w:pStyle w:val="Bibliography"/>
        <w:ind w:left="0" w:firstLine="0"/>
        <w:rPr>
          <w:rFonts w:ascii="Calibri" w:hAnsi="Calibri"/>
        </w:rPr>
      </w:pPr>
      <w:proofErr w:type="spellStart"/>
      <w:r>
        <w:rPr>
          <w:rFonts w:ascii="Calibri" w:hAnsi="Calibri"/>
        </w:rPr>
        <w:t>Bhambra</w:t>
      </w:r>
      <w:proofErr w:type="spellEnd"/>
      <w:r>
        <w:rPr>
          <w:rFonts w:ascii="Calibri" w:hAnsi="Calibri"/>
        </w:rPr>
        <w:t>, G.</w:t>
      </w:r>
      <w:r w:rsidR="00457712" w:rsidRPr="00457712">
        <w:rPr>
          <w:rFonts w:ascii="Calibri" w:hAnsi="Calibri"/>
        </w:rPr>
        <w:t xml:space="preserve">K. </w:t>
      </w:r>
      <w:r>
        <w:rPr>
          <w:rFonts w:ascii="Calibri" w:hAnsi="Calibri"/>
        </w:rPr>
        <w:t>(</w:t>
      </w:r>
      <w:r w:rsidR="00457712" w:rsidRPr="00457712">
        <w:rPr>
          <w:rFonts w:ascii="Calibri" w:hAnsi="Calibri"/>
        </w:rPr>
        <w:t>2015</w:t>
      </w:r>
      <w:r>
        <w:rPr>
          <w:rFonts w:ascii="Calibri" w:hAnsi="Calibri"/>
        </w:rPr>
        <w:t xml:space="preserve">) </w:t>
      </w:r>
      <w:r w:rsidR="00457712" w:rsidRPr="00457712">
        <w:rPr>
          <w:rFonts w:ascii="Calibri" w:hAnsi="Calibri"/>
        </w:rPr>
        <w:t>Black Thought Matters: Patricia Hill Collins and the Long Tradition</w:t>
      </w:r>
      <w:r>
        <w:rPr>
          <w:rFonts w:ascii="Calibri" w:hAnsi="Calibri"/>
        </w:rPr>
        <w:t xml:space="preserve"> of African American Sociology.</w:t>
      </w:r>
      <w:r w:rsidR="00457712" w:rsidRPr="00457712">
        <w:rPr>
          <w:rFonts w:ascii="Calibri" w:hAnsi="Calibri"/>
        </w:rPr>
        <w:t xml:space="preserve"> </w:t>
      </w:r>
      <w:r w:rsidR="00457712" w:rsidRPr="00C317F6">
        <w:rPr>
          <w:rFonts w:ascii="Calibri" w:hAnsi="Calibri"/>
          <w:iCs/>
        </w:rPr>
        <w:t>Ethnic and Racial Studies</w:t>
      </w:r>
      <w:r>
        <w:rPr>
          <w:rFonts w:ascii="Calibri" w:hAnsi="Calibri"/>
        </w:rPr>
        <w:t xml:space="preserve"> 38(13): 2315–2321.</w:t>
      </w:r>
    </w:p>
    <w:p w14:paraId="59D7934F" w14:textId="77777777" w:rsidR="00C317F6" w:rsidRPr="00C317F6" w:rsidRDefault="00C317F6" w:rsidP="00C317F6">
      <w:pPr>
        <w:spacing w:after="0"/>
      </w:pPr>
    </w:p>
    <w:p w14:paraId="64CA57AC" w14:textId="50F11B2E" w:rsidR="00457712" w:rsidRDefault="00C317F6" w:rsidP="004C1D21">
      <w:pPr>
        <w:pStyle w:val="Bibliography"/>
        <w:ind w:left="0" w:firstLine="0"/>
        <w:rPr>
          <w:rFonts w:ascii="Calibri" w:hAnsi="Calibri"/>
        </w:rPr>
      </w:pPr>
      <w:r>
        <w:rPr>
          <w:rFonts w:ascii="Calibri" w:hAnsi="Calibri"/>
        </w:rPr>
        <w:t xml:space="preserve">Blackman, L., </w:t>
      </w:r>
      <w:proofErr w:type="spellStart"/>
      <w:r w:rsidR="00457712" w:rsidRPr="00457712">
        <w:rPr>
          <w:rFonts w:ascii="Calibri" w:hAnsi="Calibri"/>
        </w:rPr>
        <w:t>Cromby</w:t>
      </w:r>
      <w:proofErr w:type="spellEnd"/>
      <w:r w:rsidR="00457712" w:rsidRPr="00457712">
        <w:rPr>
          <w:rFonts w:ascii="Calibri" w:hAnsi="Calibri"/>
        </w:rPr>
        <w:t>,</w:t>
      </w:r>
      <w:r>
        <w:rPr>
          <w:rFonts w:ascii="Calibri" w:hAnsi="Calibri"/>
        </w:rPr>
        <w:t xml:space="preserve"> J., </w:t>
      </w:r>
      <w:r w:rsidR="00457712" w:rsidRPr="00457712">
        <w:rPr>
          <w:rFonts w:ascii="Calibri" w:hAnsi="Calibri"/>
        </w:rPr>
        <w:t xml:space="preserve">Hook, </w:t>
      </w:r>
      <w:r>
        <w:rPr>
          <w:rFonts w:ascii="Calibri" w:hAnsi="Calibri"/>
        </w:rPr>
        <w:t xml:space="preserve">D., </w:t>
      </w:r>
      <w:r w:rsidR="00457712" w:rsidRPr="00457712">
        <w:rPr>
          <w:rFonts w:ascii="Calibri" w:hAnsi="Calibri"/>
        </w:rPr>
        <w:t xml:space="preserve">Papadopoulos, </w:t>
      </w:r>
      <w:r>
        <w:rPr>
          <w:rFonts w:ascii="Calibri" w:hAnsi="Calibri"/>
        </w:rPr>
        <w:t xml:space="preserve">D. and </w:t>
      </w:r>
      <w:proofErr w:type="spellStart"/>
      <w:r w:rsidR="00457712" w:rsidRPr="00457712">
        <w:rPr>
          <w:rFonts w:ascii="Calibri" w:hAnsi="Calibri"/>
        </w:rPr>
        <w:t>Walkerdine</w:t>
      </w:r>
      <w:proofErr w:type="spellEnd"/>
      <w:r>
        <w:rPr>
          <w:rFonts w:ascii="Calibri" w:hAnsi="Calibri"/>
        </w:rPr>
        <w:t>, V</w:t>
      </w:r>
      <w:r w:rsidR="00457712" w:rsidRPr="00457712">
        <w:rPr>
          <w:rFonts w:ascii="Calibri" w:hAnsi="Calibri"/>
        </w:rPr>
        <w:t xml:space="preserve">. </w:t>
      </w:r>
      <w:r>
        <w:rPr>
          <w:rFonts w:ascii="Calibri" w:hAnsi="Calibri"/>
        </w:rPr>
        <w:t>(2008) Creating Subjectivities.</w:t>
      </w:r>
      <w:r w:rsidR="00457712" w:rsidRPr="00457712">
        <w:rPr>
          <w:rFonts w:ascii="Calibri" w:hAnsi="Calibri"/>
        </w:rPr>
        <w:t xml:space="preserve"> </w:t>
      </w:r>
      <w:r w:rsidR="00457712" w:rsidRPr="00C317F6">
        <w:rPr>
          <w:rFonts w:ascii="Calibri" w:hAnsi="Calibri"/>
          <w:iCs/>
        </w:rPr>
        <w:t>Subjectivity: International Journal of Critical Psychology</w:t>
      </w:r>
      <w:r>
        <w:rPr>
          <w:rFonts w:ascii="Calibri" w:hAnsi="Calibri"/>
        </w:rPr>
        <w:t xml:space="preserve"> 22(1): 1–27.</w:t>
      </w:r>
    </w:p>
    <w:p w14:paraId="4CACA647" w14:textId="77777777" w:rsidR="00C317F6" w:rsidRPr="00C317F6" w:rsidRDefault="00C317F6" w:rsidP="006E0858">
      <w:pPr>
        <w:spacing w:after="0"/>
      </w:pPr>
    </w:p>
    <w:p w14:paraId="41923B53" w14:textId="4CC8A4CA" w:rsidR="00457712" w:rsidRPr="00457712" w:rsidRDefault="006E0858" w:rsidP="006E0858">
      <w:pPr>
        <w:pStyle w:val="Bibliography"/>
        <w:spacing w:after="240"/>
        <w:ind w:left="0" w:firstLine="0"/>
        <w:rPr>
          <w:rFonts w:ascii="Calibri" w:hAnsi="Calibri"/>
        </w:rPr>
      </w:pPr>
      <w:r>
        <w:rPr>
          <w:rFonts w:ascii="Calibri" w:hAnsi="Calibri"/>
        </w:rPr>
        <w:t>Brown, W</w:t>
      </w:r>
      <w:r w:rsidR="00457712" w:rsidRPr="00457712">
        <w:rPr>
          <w:rFonts w:ascii="Calibri" w:hAnsi="Calibri"/>
        </w:rPr>
        <w:t xml:space="preserve">. </w:t>
      </w:r>
      <w:r>
        <w:rPr>
          <w:rFonts w:ascii="Calibri" w:hAnsi="Calibri"/>
        </w:rPr>
        <w:t>(1993) Wounded Attachments.</w:t>
      </w:r>
      <w:r w:rsidR="00457712" w:rsidRPr="00457712">
        <w:rPr>
          <w:rFonts w:ascii="Calibri" w:hAnsi="Calibri"/>
        </w:rPr>
        <w:t xml:space="preserve"> </w:t>
      </w:r>
      <w:r w:rsidR="00457712" w:rsidRPr="006E0858">
        <w:rPr>
          <w:rFonts w:ascii="Calibri" w:hAnsi="Calibri"/>
          <w:iCs/>
        </w:rPr>
        <w:t>Political Theory</w:t>
      </w:r>
      <w:r>
        <w:rPr>
          <w:rFonts w:ascii="Calibri" w:hAnsi="Calibri"/>
        </w:rPr>
        <w:t xml:space="preserve"> 21</w:t>
      </w:r>
      <w:r w:rsidR="00457712" w:rsidRPr="00457712">
        <w:rPr>
          <w:rFonts w:ascii="Calibri" w:hAnsi="Calibri"/>
        </w:rPr>
        <w:t>(3): 390–410.</w:t>
      </w:r>
    </w:p>
    <w:p w14:paraId="21FAB0D4" w14:textId="22C7780F" w:rsidR="00457712" w:rsidRDefault="0076048A" w:rsidP="004C1D21">
      <w:pPr>
        <w:pStyle w:val="Bibliography"/>
        <w:ind w:left="0" w:firstLine="0"/>
        <w:rPr>
          <w:rFonts w:ascii="Calibri" w:hAnsi="Calibri"/>
        </w:rPr>
      </w:pPr>
      <w:r>
        <w:rPr>
          <w:rFonts w:ascii="Calibri" w:hAnsi="Calibri"/>
        </w:rPr>
        <w:t>Campbell, P</w:t>
      </w:r>
      <w:r w:rsidR="00457712" w:rsidRPr="00457712">
        <w:rPr>
          <w:rFonts w:ascii="Calibri" w:hAnsi="Calibri"/>
        </w:rPr>
        <w:t xml:space="preserve">. </w:t>
      </w:r>
      <w:r>
        <w:rPr>
          <w:rFonts w:ascii="Calibri" w:hAnsi="Calibri"/>
        </w:rPr>
        <w:t xml:space="preserve">(1996) </w:t>
      </w:r>
      <w:r w:rsidR="00457712" w:rsidRPr="00457712">
        <w:rPr>
          <w:rFonts w:ascii="Calibri" w:hAnsi="Calibri"/>
        </w:rPr>
        <w:t xml:space="preserve">The History of the User </w:t>
      </w:r>
      <w:r>
        <w:rPr>
          <w:rFonts w:ascii="Calibri" w:hAnsi="Calibri"/>
        </w:rPr>
        <w:t>Movement in the United Kingdom.</w:t>
      </w:r>
      <w:r w:rsidR="00457712" w:rsidRPr="00457712">
        <w:rPr>
          <w:rFonts w:ascii="Calibri" w:hAnsi="Calibri"/>
        </w:rPr>
        <w:t xml:space="preserve"> In</w:t>
      </w:r>
      <w:r>
        <w:rPr>
          <w:rFonts w:ascii="Calibri" w:hAnsi="Calibri"/>
        </w:rPr>
        <w:t xml:space="preserve">: </w:t>
      </w:r>
      <w:r w:rsidR="00457712" w:rsidRPr="00457712">
        <w:rPr>
          <w:rFonts w:ascii="Calibri" w:hAnsi="Calibri"/>
        </w:rPr>
        <w:t xml:space="preserve"> </w:t>
      </w:r>
      <w:r w:rsidRPr="00457712">
        <w:rPr>
          <w:rFonts w:ascii="Calibri" w:hAnsi="Calibri"/>
        </w:rPr>
        <w:t>T. Heller, J. Reynolds, R. Gomm, R. Muston, and S. Pattison</w:t>
      </w:r>
      <w:r>
        <w:rPr>
          <w:rFonts w:ascii="Calibri" w:hAnsi="Calibri"/>
        </w:rPr>
        <w:t xml:space="preserve"> (eds.) </w:t>
      </w:r>
      <w:r w:rsidR="00457712" w:rsidRPr="0076048A">
        <w:rPr>
          <w:rFonts w:ascii="Calibri" w:hAnsi="Calibri"/>
          <w:iCs/>
        </w:rPr>
        <w:t>Mental Health Matters: A Reader</w:t>
      </w:r>
      <w:r>
        <w:rPr>
          <w:rFonts w:ascii="Calibri" w:hAnsi="Calibri"/>
        </w:rPr>
        <w:t>.</w:t>
      </w:r>
      <w:r w:rsidR="00457712" w:rsidRPr="00457712">
        <w:rPr>
          <w:rFonts w:ascii="Calibri" w:hAnsi="Calibri"/>
        </w:rPr>
        <w:t xml:space="preserve"> </w:t>
      </w:r>
      <w:proofErr w:type="spellStart"/>
      <w:r w:rsidRPr="00457712">
        <w:rPr>
          <w:rFonts w:ascii="Calibri" w:hAnsi="Calibri"/>
        </w:rPr>
        <w:t>Houndmil</w:t>
      </w:r>
      <w:r>
        <w:rPr>
          <w:rFonts w:ascii="Calibri" w:hAnsi="Calibri"/>
        </w:rPr>
        <w:t>ls</w:t>
      </w:r>
      <w:proofErr w:type="spellEnd"/>
      <w:r>
        <w:rPr>
          <w:rFonts w:ascii="Calibri" w:hAnsi="Calibri"/>
        </w:rPr>
        <w:t>, London:</w:t>
      </w:r>
      <w:r w:rsidRPr="00457712">
        <w:rPr>
          <w:rFonts w:ascii="Calibri" w:hAnsi="Calibri"/>
        </w:rPr>
        <w:t xml:space="preserve"> Macmillan</w:t>
      </w:r>
      <w:r>
        <w:rPr>
          <w:rFonts w:ascii="Calibri" w:hAnsi="Calibri"/>
        </w:rPr>
        <w:t>, pp.</w:t>
      </w:r>
      <w:r w:rsidRPr="00457712">
        <w:rPr>
          <w:rFonts w:ascii="Calibri" w:hAnsi="Calibri"/>
        </w:rPr>
        <w:t xml:space="preserve"> </w:t>
      </w:r>
      <w:r w:rsidR="00457712" w:rsidRPr="00457712">
        <w:rPr>
          <w:rFonts w:ascii="Calibri" w:hAnsi="Calibri"/>
        </w:rPr>
        <w:t>218–25.</w:t>
      </w:r>
    </w:p>
    <w:p w14:paraId="295E680B" w14:textId="5D123E2C" w:rsidR="00457712" w:rsidRDefault="00D77225" w:rsidP="00D77225">
      <w:pPr>
        <w:pStyle w:val="Bibliography"/>
        <w:spacing w:before="240"/>
        <w:ind w:left="0" w:firstLine="0"/>
        <w:rPr>
          <w:rFonts w:ascii="Calibri" w:hAnsi="Calibri"/>
        </w:rPr>
      </w:pPr>
      <w:r>
        <w:rPr>
          <w:rFonts w:ascii="Calibri" w:hAnsi="Calibri"/>
        </w:rPr>
        <w:t>Chaney, S</w:t>
      </w:r>
      <w:r w:rsidR="00457712" w:rsidRPr="00457712">
        <w:rPr>
          <w:rFonts w:ascii="Calibri" w:hAnsi="Calibri"/>
        </w:rPr>
        <w:t xml:space="preserve">. </w:t>
      </w:r>
      <w:r>
        <w:rPr>
          <w:rFonts w:ascii="Calibri" w:hAnsi="Calibri"/>
        </w:rPr>
        <w:t>(</w:t>
      </w:r>
      <w:r w:rsidR="00457712" w:rsidRPr="00457712">
        <w:rPr>
          <w:rFonts w:ascii="Calibri" w:hAnsi="Calibri"/>
        </w:rPr>
        <w:t>2016</w:t>
      </w:r>
      <w:r>
        <w:rPr>
          <w:rFonts w:ascii="Calibri" w:hAnsi="Calibri"/>
        </w:rPr>
        <w:t>) ‘</w:t>
      </w:r>
      <w:r w:rsidR="00457712" w:rsidRPr="00457712">
        <w:rPr>
          <w:rFonts w:ascii="Calibri" w:hAnsi="Calibri"/>
        </w:rPr>
        <w:t xml:space="preserve">No “Sane” Person Would Have Any Idea’: Patients’ Involvement in Late Nineteenth-Century British Asylum Psychiatry.” </w:t>
      </w:r>
      <w:r w:rsidR="00457712" w:rsidRPr="00D77225">
        <w:rPr>
          <w:rFonts w:ascii="Calibri" w:hAnsi="Calibri"/>
          <w:iCs/>
        </w:rPr>
        <w:t>Medical History</w:t>
      </w:r>
      <w:r>
        <w:rPr>
          <w:rFonts w:ascii="Calibri" w:hAnsi="Calibri"/>
        </w:rPr>
        <w:t xml:space="preserve"> 60</w:t>
      </w:r>
      <w:r w:rsidR="00457712" w:rsidRPr="00457712">
        <w:rPr>
          <w:rFonts w:ascii="Calibri" w:hAnsi="Calibri"/>
        </w:rPr>
        <w:t xml:space="preserve">(01): 37–53. </w:t>
      </w:r>
    </w:p>
    <w:p w14:paraId="713D16C2" w14:textId="77777777" w:rsidR="00D77225" w:rsidRPr="00D77225" w:rsidRDefault="00D77225" w:rsidP="00D77225">
      <w:pPr>
        <w:spacing w:after="0"/>
      </w:pPr>
    </w:p>
    <w:p w14:paraId="25CA3C39" w14:textId="6A28455D" w:rsidR="00457712" w:rsidRPr="00457712" w:rsidRDefault="00D77225" w:rsidP="00D77225">
      <w:pPr>
        <w:pStyle w:val="Bibliography"/>
        <w:spacing w:after="240"/>
        <w:ind w:left="0" w:firstLine="0"/>
        <w:rPr>
          <w:rFonts w:ascii="Calibri" w:hAnsi="Calibri"/>
        </w:rPr>
      </w:pPr>
      <w:r>
        <w:rPr>
          <w:rFonts w:ascii="Calibri" w:hAnsi="Calibri"/>
        </w:rPr>
        <w:t>Church, K</w:t>
      </w:r>
      <w:r w:rsidR="00457712" w:rsidRPr="00457712">
        <w:rPr>
          <w:rFonts w:ascii="Calibri" w:hAnsi="Calibri"/>
        </w:rPr>
        <w:t xml:space="preserve">. </w:t>
      </w:r>
      <w:r>
        <w:rPr>
          <w:rFonts w:ascii="Calibri" w:hAnsi="Calibri"/>
        </w:rPr>
        <w:t>(1995)</w:t>
      </w:r>
      <w:r w:rsidR="00457712" w:rsidRPr="00457712">
        <w:rPr>
          <w:rFonts w:ascii="Calibri" w:hAnsi="Calibri"/>
        </w:rPr>
        <w:t xml:space="preserve"> </w:t>
      </w:r>
      <w:r w:rsidR="00457712" w:rsidRPr="00D77225">
        <w:rPr>
          <w:rFonts w:ascii="Calibri" w:hAnsi="Calibri"/>
          <w:iCs/>
        </w:rPr>
        <w:t>Forbidden Narratives: Critical Autobiography as Social Science</w:t>
      </w:r>
      <w:r w:rsidR="00457712" w:rsidRPr="00457712">
        <w:rPr>
          <w:rFonts w:ascii="Calibri" w:hAnsi="Calibri"/>
        </w:rPr>
        <w:t xml:space="preserve">. </w:t>
      </w:r>
      <w:r w:rsidR="00BB04A2">
        <w:rPr>
          <w:rFonts w:ascii="Calibri" w:hAnsi="Calibri"/>
        </w:rPr>
        <w:t>London: Routledge</w:t>
      </w:r>
      <w:r w:rsidR="00457712" w:rsidRPr="00457712">
        <w:rPr>
          <w:rFonts w:ascii="Calibri" w:hAnsi="Calibri"/>
        </w:rPr>
        <w:t>.</w:t>
      </w:r>
    </w:p>
    <w:p w14:paraId="7F0E093B" w14:textId="4AB4EC64" w:rsidR="00BB04A2" w:rsidRPr="00C75126" w:rsidRDefault="00457712" w:rsidP="00C75126">
      <w:pPr>
        <w:pStyle w:val="Bibliography"/>
        <w:spacing w:after="240"/>
        <w:ind w:left="0" w:firstLine="0"/>
        <w:rPr>
          <w:rFonts w:ascii="Calibri" w:hAnsi="Calibri"/>
        </w:rPr>
      </w:pPr>
      <w:r w:rsidRPr="00457712">
        <w:rPr>
          <w:rFonts w:ascii="Calibri" w:hAnsi="Calibri"/>
        </w:rPr>
        <w:t xml:space="preserve">Church, Kathryn, and Danielle Landry. 2013. </w:t>
      </w:r>
      <w:r w:rsidRPr="00457712">
        <w:rPr>
          <w:rFonts w:ascii="Calibri" w:hAnsi="Calibri"/>
          <w:i/>
          <w:iCs/>
        </w:rPr>
        <w:t>Mad Positive in the Academy</w:t>
      </w:r>
      <w:r w:rsidRPr="00457712">
        <w:rPr>
          <w:rFonts w:ascii="Calibri" w:hAnsi="Calibri"/>
        </w:rPr>
        <w:t xml:space="preserve">. </w:t>
      </w:r>
      <w:r w:rsidR="00C75126">
        <w:rPr>
          <w:rFonts w:ascii="Calibri" w:hAnsi="Calibri"/>
        </w:rPr>
        <w:t xml:space="preserve">Online course, </w:t>
      </w:r>
      <w:r w:rsidRPr="00457712">
        <w:rPr>
          <w:rFonts w:ascii="Calibri" w:hAnsi="Calibri"/>
        </w:rPr>
        <w:t xml:space="preserve"> </w:t>
      </w:r>
      <w:hyperlink r:id="rId8" w:history="1">
        <w:r w:rsidR="00BB04A2" w:rsidRPr="008150D2">
          <w:rPr>
            <w:rStyle w:val="Hyperlink"/>
            <w:rFonts w:ascii="Calibri" w:hAnsi="Calibri"/>
          </w:rPr>
          <w:t>htt</w:t>
        </w:r>
        <w:r w:rsidR="00BB04A2" w:rsidRPr="008150D2">
          <w:rPr>
            <w:rStyle w:val="Hyperlink"/>
            <w:rFonts w:ascii="Calibri" w:hAnsi="Calibri"/>
          </w:rPr>
          <w:t>p</w:t>
        </w:r>
        <w:r w:rsidR="00BB04A2" w:rsidRPr="008150D2">
          <w:rPr>
            <w:rStyle w:val="Hyperlink"/>
            <w:rFonts w:ascii="Calibri" w:hAnsi="Calibri"/>
          </w:rPr>
          <w:t>s://www.ryerson.ca/ds/madpositive/</w:t>
        </w:r>
      </w:hyperlink>
      <w:r w:rsidR="00BB04A2">
        <w:rPr>
          <w:rFonts w:ascii="Calibri" w:hAnsi="Calibri"/>
        </w:rPr>
        <w:t>, accessed 6 December 2018.</w:t>
      </w:r>
    </w:p>
    <w:p w14:paraId="5AB7D4D8" w14:textId="2F1B3DFF" w:rsidR="00457712" w:rsidRPr="00457712" w:rsidRDefault="00457712" w:rsidP="00C75126">
      <w:pPr>
        <w:pStyle w:val="Bibliography"/>
        <w:spacing w:after="240"/>
        <w:ind w:left="0" w:firstLine="0"/>
        <w:rPr>
          <w:rFonts w:ascii="Calibri" w:hAnsi="Calibri"/>
        </w:rPr>
      </w:pPr>
      <w:r w:rsidRPr="00457712">
        <w:rPr>
          <w:rFonts w:ascii="Calibri" w:hAnsi="Calibri"/>
        </w:rPr>
        <w:t>C</w:t>
      </w:r>
      <w:r w:rsidR="00C75126">
        <w:rPr>
          <w:rFonts w:ascii="Calibri" w:hAnsi="Calibri"/>
        </w:rPr>
        <w:t xml:space="preserve">osta, L., </w:t>
      </w:r>
      <w:r w:rsidRPr="00457712">
        <w:rPr>
          <w:rFonts w:ascii="Calibri" w:hAnsi="Calibri"/>
        </w:rPr>
        <w:t xml:space="preserve">Voronka, </w:t>
      </w:r>
      <w:r w:rsidR="00C75126">
        <w:rPr>
          <w:rFonts w:ascii="Calibri" w:hAnsi="Calibri"/>
        </w:rPr>
        <w:t xml:space="preserve">J., </w:t>
      </w:r>
      <w:r w:rsidRPr="00457712">
        <w:rPr>
          <w:rFonts w:ascii="Calibri" w:hAnsi="Calibri"/>
        </w:rPr>
        <w:t xml:space="preserve">Landry, </w:t>
      </w:r>
      <w:r w:rsidR="00C75126">
        <w:rPr>
          <w:rFonts w:ascii="Calibri" w:hAnsi="Calibri"/>
        </w:rPr>
        <w:t xml:space="preserve">D., </w:t>
      </w:r>
      <w:r w:rsidRPr="00457712">
        <w:rPr>
          <w:rFonts w:ascii="Calibri" w:hAnsi="Calibri"/>
        </w:rPr>
        <w:t xml:space="preserve">Reid, </w:t>
      </w:r>
      <w:r w:rsidR="00C75126">
        <w:rPr>
          <w:rFonts w:ascii="Calibri" w:hAnsi="Calibri"/>
        </w:rPr>
        <w:t xml:space="preserve">J., </w:t>
      </w:r>
      <w:proofErr w:type="spellStart"/>
      <w:r w:rsidRPr="00457712">
        <w:rPr>
          <w:rFonts w:ascii="Calibri" w:hAnsi="Calibri"/>
        </w:rPr>
        <w:t>Mcfarlane</w:t>
      </w:r>
      <w:proofErr w:type="spellEnd"/>
      <w:r w:rsidRPr="00457712">
        <w:rPr>
          <w:rFonts w:ascii="Calibri" w:hAnsi="Calibri"/>
        </w:rPr>
        <w:t xml:space="preserve">, </w:t>
      </w:r>
      <w:r w:rsidR="00C75126">
        <w:rPr>
          <w:rFonts w:ascii="Calibri" w:hAnsi="Calibri"/>
        </w:rPr>
        <w:t xml:space="preserve">B., </w:t>
      </w:r>
      <w:proofErr w:type="spellStart"/>
      <w:r w:rsidRPr="00457712">
        <w:rPr>
          <w:rFonts w:ascii="Calibri" w:hAnsi="Calibri"/>
        </w:rPr>
        <w:t>Reville</w:t>
      </w:r>
      <w:proofErr w:type="spellEnd"/>
      <w:r w:rsidRPr="00457712">
        <w:rPr>
          <w:rFonts w:ascii="Calibri" w:hAnsi="Calibri"/>
        </w:rPr>
        <w:t xml:space="preserve">, </w:t>
      </w:r>
      <w:r w:rsidR="00C75126">
        <w:rPr>
          <w:rFonts w:ascii="Calibri" w:hAnsi="Calibri"/>
        </w:rPr>
        <w:t xml:space="preserve">D. and </w:t>
      </w:r>
      <w:r w:rsidRPr="00457712">
        <w:rPr>
          <w:rFonts w:ascii="Calibri" w:hAnsi="Calibri"/>
        </w:rPr>
        <w:t>Church</w:t>
      </w:r>
      <w:r w:rsidR="00C75126">
        <w:rPr>
          <w:rFonts w:ascii="Calibri" w:hAnsi="Calibri"/>
        </w:rPr>
        <w:t>, K</w:t>
      </w:r>
      <w:r w:rsidRPr="00457712">
        <w:rPr>
          <w:rFonts w:ascii="Calibri" w:hAnsi="Calibri"/>
        </w:rPr>
        <w:t xml:space="preserve">. </w:t>
      </w:r>
      <w:r w:rsidR="00C75126">
        <w:rPr>
          <w:rFonts w:ascii="Calibri" w:hAnsi="Calibri"/>
        </w:rPr>
        <w:t>(</w:t>
      </w:r>
      <w:r w:rsidRPr="00457712">
        <w:rPr>
          <w:rFonts w:ascii="Calibri" w:hAnsi="Calibri"/>
        </w:rPr>
        <w:t>2012</w:t>
      </w:r>
      <w:r w:rsidR="00C75126">
        <w:rPr>
          <w:rFonts w:ascii="Calibri" w:hAnsi="Calibri"/>
        </w:rPr>
        <w:t xml:space="preserve">) </w:t>
      </w:r>
      <w:r w:rsidRPr="00457712">
        <w:rPr>
          <w:rFonts w:ascii="Calibri" w:hAnsi="Calibri"/>
        </w:rPr>
        <w:t>‘Recovering Our Stori</w:t>
      </w:r>
      <w:r w:rsidR="00C75126">
        <w:rPr>
          <w:rFonts w:ascii="Calibri" w:hAnsi="Calibri"/>
        </w:rPr>
        <w:t>es’: A Small Act of Resistance.</w:t>
      </w:r>
      <w:r w:rsidRPr="00457712">
        <w:rPr>
          <w:rFonts w:ascii="Calibri" w:hAnsi="Calibri"/>
        </w:rPr>
        <w:t xml:space="preserve"> </w:t>
      </w:r>
      <w:r w:rsidRPr="00C75126">
        <w:rPr>
          <w:rFonts w:ascii="Calibri" w:hAnsi="Calibri"/>
          <w:iCs/>
        </w:rPr>
        <w:t>Studies in Social Justice</w:t>
      </w:r>
      <w:r w:rsidR="00C75126">
        <w:rPr>
          <w:rFonts w:ascii="Calibri" w:hAnsi="Calibri"/>
        </w:rPr>
        <w:t xml:space="preserve"> 6</w:t>
      </w:r>
      <w:r w:rsidRPr="00457712">
        <w:rPr>
          <w:rFonts w:ascii="Calibri" w:hAnsi="Calibri"/>
        </w:rPr>
        <w:t>(1): 85–101.</w:t>
      </w:r>
    </w:p>
    <w:p w14:paraId="596D435A" w14:textId="6D97C950" w:rsidR="00457712" w:rsidRDefault="00457712" w:rsidP="004C1D21">
      <w:pPr>
        <w:pStyle w:val="Bibliography"/>
        <w:ind w:left="0" w:firstLine="0"/>
        <w:rPr>
          <w:rFonts w:ascii="Calibri" w:hAnsi="Calibri"/>
        </w:rPr>
      </w:pPr>
      <w:r w:rsidRPr="00457712">
        <w:rPr>
          <w:rFonts w:ascii="Calibri" w:hAnsi="Calibri"/>
        </w:rPr>
        <w:t>Daley, A</w:t>
      </w:r>
      <w:r w:rsidR="001E3B28">
        <w:rPr>
          <w:rFonts w:ascii="Calibri" w:hAnsi="Calibri"/>
        </w:rPr>
        <w:t>.</w:t>
      </w:r>
      <w:r w:rsidR="00F55F33">
        <w:rPr>
          <w:rFonts w:ascii="Calibri" w:hAnsi="Calibri"/>
        </w:rPr>
        <w:t xml:space="preserve">, </w:t>
      </w:r>
      <w:r w:rsidRPr="00457712">
        <w:rPr>
          <w:rFonts w:ascii="Calibri" w:hAnsi="Calibri"/>
        </w:rPr>
        <w:t>Costa,</w:t>
      </w:r>
      <w:r w:rsidR="00F55F33">
        <w:rPr>
          <w:rFonts w:ascii="Calibri" w:hAnsi="Calibri"/>
        </w:rPr>
        <w:t xml:space="preserve"> L.</w:t>
      </w:r>
      <w:r w:rsidRPr="00457712">
        <w:rPr>
          <w:rFonts w:ascii="Calibri" w:hAnsi="Calibri"/>
        </w:rPr>
        <w:t xml:space="preserve"> and Ross</w:t>
      </w:r>
      <w:r w:rsidR="00F55F33">
        <w:rPr>
          <w:rFonts w:ascii="Calibri" w:hAnsi="Calibri"/>
        </w:rPr>
        <w:t>, L</w:t>
      </w:r>
      <w:r w:rsidRPr="00457712">
        <w:rPr>
          <w:rFonts w:ascii="Calibri" w:hAnsi="Calibri"/>
        </w:rPr>
        <w:t xml:space="preserve">. </w:t>
      </w:r>
      <w:r w:rsidR="00F55F33">
        <w:rPr>
          <w:rFonts w:ascii="Calibri" w:hAnsi="Calibri"/>
        </w:rPr>
        <w:t>(</w:t>
      </w:r>
      <w:r w:rsidRPr="00457712">
        <w:rPr>
          <w:rFonts w:ascii="Calibri" w:hAnsi="Calibri"/>
        </w:rPr>
        <w:t>2012</w:t>
      </w:r>
      <w:r w:rsidR="00F55F33">
        <w:rPr>
          <w:rFonts w:ascii="Calibri" w:hAnsi="Calibri"/>
        </w:rPr>
        <w:t xml:space="preserve">) </w:t>
      </w:r>
      <w:r w:rsidRPr="00457712">
        <w:rPr>
          <w:rFonts w:ascii="Calibri" w:hAnsi="Calibri"/>
        </w:rPr>
        <w:t>(W)Righting Women: Constructions of Gender, Sexuality and</w:t>
      </w:r>
      <w:r w:rsidR="00F55F33">
        <w:rPr>
          <w:rFonts w:ascii="Calibri" w:hAnsi="Calibri"/>
        </w:rPr>
        <w:t xml:space="preserve"> Race in the Psychiatric Chart.</w:t>
      </w:r>
      <w:r w:rsidRPr="00457712">
        <w:rPr>
          <w:rFonts w:ascii="Calibri" w:hAnsi="Calibri"/>
        </w:rPr>
        <w:t xml:space="preserve"> </w:t>
      </w:r>
      <w:r w:rsidRPr="00F55F33">
        <w:rPr>
          <w:rFonts w:ascii="Calibri" w:hAnsi="Calibri"/>
          <w:iCs/>
        </w:rPr>
        <w:t>Culture, Health &amp; Sexuality</w:t>
      </w:r>
      <w:r w:rsidR="00F55F33">
        <w:rPr>
          <w:rFonts w:ascii="Calibri" w:hAnsi="Calibri"/>
        </w:rPr>
        <w:t xml:space="preserve"> 14</w:t>
      </w:r>
      <w:r w:rsidR="001E3B28">
        <w:rPr>
          <w:rFonts w:ascii="Calibri" w:hAnsi="Calibri"/>
        </w:rPr>
        <w:t>(8): 955–69.</w:t>
      </w:r>
    </w:p>
    <w:p w14:paraId="7FD36BF5" w14:textId="77777777" w:rsidR="001E3B28" w:rsidRPr="001E3B28" w:rsidRDefault="001E3B28" w:rsidP="001E3B28">
      <w:pPr>
        <w:spacing w:after="0"/>
      </w:pPr>
    </w:p>
    <w:p w14:paraId="4FBDA837" w14:textId="17BC62F7" w:rsidR="00457712" w:rsidRDefault="000623AC" w:rsidP="004C1D21">
      <w:pPr>
        <w:pStyle w:val="Bibliography"/>
        <w:ind w:left="0" w:firstLine="0"/>
        <w:rPr>
          <w:rFonts w:ascii="Calibri" w:hAnsi="Calibri"/>
        </w:rPr>
      </w:pPr>
      <w:r>
        <w:rPr>
          <w:rFonts w:ascii="Calibri" w:hAnsi="Calibri"/>
        </w:rPr>
        <w:t>Denzin, N.</w:t>
      </w:r>
      <w:r w:rsidR="00457712" w:rsidRPr="00457712">
        <w:rPr>
          <w:rFonts w:ascii="Calibri" w:hAnsi="Calibri"/>
        </w:rPr>
        <w:t xml:space="preserve">K. </w:t>
      </w:r>
      <w:r>
        <w:rPr>
          <w:rFonts w:ascii="Calibri" w:hAnsi="Calibri"/>
        </w:rPr>
        <w:t>(2014)</w:t>
      </w:r>
      <w:r w:rsidR="00457712" w:rsidRPr="00457712">
        <w:rPr>
          <w:rFonts w:ascii="Calibri" w:hAnsi="Calibri"/>
        </w:rPr>
        <w:t xml:space="preserve"> </w:t>
      </w:r>
      <w:r w:rsidR="00457712" w:rsidRPr="000623AC">
        <w:rPr>
          <w:rFonts w:ascii="Calibri" w:hAnsi="Calibri"/>
          <w:iCs/>
        </w:rPr>
        <w:t>Interpretive Autoethnography</w:t>
      </w:r>
      <w:r w:rsidR="00457712" w:rsidRPr="00457712">
        <w:rPr>
          <w:rFonts w:ascii="Calibri" w:hAnsi="Calibri"/>
        </w:rPr>
        <w:t>. 2nd ed. Thousand Oaks, California: Sage.</w:t>
      </w:r>
    </w:p>
    <w:p w14:paraId="39EB1BA0" w14:textId="437B7B84" w:rsidR="00457712" w:rsidRDefault="000623AC" w:rsidP="000623AC">
      <w:pPr>
        <w:pStyle w:val="Bibliography"/>
        <w:spacing w:before="240"/>
        <w:ind w:left="0" w:firstLine="0"/>
        <w:rPr>
          <w:rFonts w:ascii="Calibri" w:hAnsi="Calibri"/>
        </w:rPr>
      </w:pPr>
      <w:r>
        <w:rPr>
          <w:rFonts w:ascii="Calibri" w:hAnsi="Calibri"/>
        </w:rPr>
        <w:t>Ellis, C</w:t>
      </w:r>
      <w:r w:rsidR="00457712" w:rsidRPr="00457712">
        <w:rPr>
          <w:rFonts w:ascii="Calibri" w:hAnsi="Calibri"/>
        </w:rPr>
        <w:t xml:space="preserve">. </w:t>
      </w:r>
      <w:r>
        <w:rPr>
          <w:rFonts w:ascii="Calibri" w:hAnsi="Calibri"/>
        </w:rPr>
        <w:t xml:space="preserve">(2007) </w:t>
      </w:r>
      <w:r w:rsidR="00457712" w:rsidRPr="00457712">
        <w:rPr>
          <w:rFonts w:ascii="Calibri" w:hAnsi="Calibri"/>
        </w:rPr>
        <w:t>Telling Secrets, Revealing Lives: Relational Ethics in</w:t>
      </w:r>
      <w:r>
        <w:rPr>
          <w:rFonts w:ascii="Calibri" w:hAnsi="Calibri"/>
        </w:rPr>
        <w:t xml:space="preserve"> Research </w:t>
      </w:r>
      <w:proofErr w:type="gramStart"/>
      <w:r>
        <w:rPr>
          <w:rFonts w:ascii="Calibri" w:hAnsi="Calibri"/>
        </w:rPr>
        <w:t>With</w:t>
      </w:r>
      <w:proofErr w:type="gramEnd"/>
      <w:r>
        <w:rPr>
          <w:rFonts w:ascii="Calibri" w:hAnsi="Calibri"/>
        </w:rPr>
        <w:t xml:space="preserve"> Intimate Others.</w:t>
      </w:r>
      <w:r w:rsidR="00457712" w:rsidRPr="00457712">
        <w:rPr>
          <w:rFonts w:ascii="Calibri" w:hAnsi="Calibri"/>
        </w:rPr>
        <w:t xml:space="preserve"> </w:t>
      </w:r>
      <w:r w:rsidR="00457712" w:rsidRPr="00457712">
        <w:rPr>
          <w:rFonts w:ascii="Calibri" w:hAnsi="Calibri"/>
          <w:i/>
          <w:iCs/>
        </w:rPr>
        <w:t>Qualitative Inquiry</w:t>
      </w:r>
      <w:r>
        <w:rPr>
          <w:rFonts w:ascii="Calibri" w:hAnsi="Calibri"/>
        </w:rPr>
        <w:t xml:space="preserve"> 13</w:t>
      </w:r>
      <w:r w:rsidR="003E095A">
        <w:rPr>
          <w:rFonts w:ascii="Calibri" w:hAnsi="Calibri"/>
        </w:rPr>
        <w:t>(1): 3–29.</w:t>
      </w:r>
    </w:p>
    <w:p w14:paraId="0B8F9435" w14:textId="135F02E4" w:rsidR="00457712" w:rsidRPr="00457712" w:rsidRDefault="00457712" w:rsidP="000623AC">
      <w:pPr>
        <w:pStyle w:val="Bibliography"/>
        <w:spacing w:before="240" w:after="240"/>
        <w:ind w:left="0" w:firstLine="0"/>
        <w:rPr>
          <w:rFonts w:ascii="Calibri" w:hAnsi="Calibri"/>
        </w:rPr>
      </w:pPr>
      <w:r w:rsidRPr="00457712">
        <w:rPr>
          <w:rFonts w:ascii="Calibri" w:hAnsi="Calibri"/>
        </w:rPr>
        <w:t xml:space="preserve">Faulkner, </w:t>
      </w:r>
      <w:r w:rsidR="000623AC">
        <w:rPr>
          <w:rFonts w:ascii="Calibri" w:hAnsi="Calibri"/>
        </w:rPr>
        <w:t>A</w:t>
      </w:r>
      <w:r w:rsidRPr="00457712">
        <w:rPr>
          <w:rFonts w:ascii="Calibri" w:hAnsi="Calibri"/>
        </w:rPr>
        <w:t xml:space="preserve">. </w:t>
      </w:r>
      <w:r w:rsidR="000623AC">
        <w:rPr>
          <w:rFonts w:ascii="Calibri" w:hAnsi="Calibri"/>
        </w:rPr>
        <w:t xml:space="preserve">(2017) </w:t>
      </w:r>
      <w:r w:rsidRPr="00457712">
        <w:rPr>
          <w:rFonts w:ascii="Calibri" w:hAnsi="Calibri"/>
        </w:rPr>
        <w:t>Survivor Research and Mad Studies: The Role and Value of Experiential Knowl</w:t>
      </w:r>
      <w:r w:rsidR="000623AC">
        <w:rPr>
          <w:rFonts w:ascii="Calibri" w:hAnsi="Calibri"/>
        </w:rPr>
        <w:t>edge in Mental Health Research.</w:t>
      </w:r>
      <w:r w:rsidRPr="00457712">
        <w:rPr>
          <w:rFonts w:ascii="Calibri" w:hAnsi="Calibri"/>
        </w:rPr>
        <w:t xml:space="preserve"> </w:t>
      </w:r>
      <w:r w:rsidRPr="000623AC">
        <w:rPr>
          <w:rFonts w:ascii="Calibri" w:hAnsi="Calibri"/>
          <w:iCs/>
        </w:rPr>
        <w:t>Disability &amp; Society</w:t>
      </w:r>
      <w:r w:rsidR="000623AC">
        <w:rPr>
          <w:rFonts w:ascii="Calibri" w:hAnsi="Calibri"/>
        </w:rPr>
        <w:t xml:space="preserve"> 32 </w:t>
      </w:r>
      <w:r w:rsidRPr="00457712">
        <w:rPr>
          <w:rFonts w:ascii="Calibri" w:hAnsi="Calibri"/>
        </w:rPr>
        <w:t xml:space="preserve">4): 500–520. </w:t>
      </w:r>
    </w:p>
    <w:p w14:paraId="1E3568E2" w14:textId="09AE6452" w:rsidR="00457712" w:rsidRDefault="00457712" w:rsidP="004C1D21">
      <w:pPr>
        <w:pStyle w:val="Bibliography"/>
        <w:ind w:left="0" w:firstLine="0"/>
        <w:rPr>
          <w:rFonts w:ascii="Calibri" w:hAnsi="Calibri"/>
        </w:rPr>
      </w:pPr>
      <w:r w:rsidRPr="00457712">
        <w:rPr>
          <w:rFonts w:ascii="Calibri" w:hAnsi="Calibri"/>
        </w:rPr>
        <w:t xml:space="preserve">Geertz, Clifford. 1996. </w:t>
      </w:r>
      <w:r w:rsidRPr="00457712">
        <w:rPr>
          <w:rFonts w:ascii="Calibri" w:hAnsi="Calibri"/>
          <w:i/>
          <w:iCs/>
        </w:rPr>
        <w:t>After the Fact: Two Countries, Four Decades, One Anthropologist</w:t>
      </w:r>
      <w:r w:rsidRPr="00457712">
        <w:rPr>
          <w:rFonts w:ascii="Calibri" w:hAnsi="Calibri"/>
        </w:rPr>
        <w:t>. New Ed edition. Cambridge, Mass.: Harvard University Press.</w:t>
      </w:r>
    </w:p>
    <w:p w14:paraId="02055F5A" w14:textId="05110A38" w:rsidR="00457712" w:rsidRDefault="00E85FFF" w:rsidP="00E85FFF">
      <w:pPr>
        <w:pStyle w:val="Bibliography"/>
        <w:spacing w:before="240"/>
        <w:ind w:left="0" w:firstLine="0"/>
        <w:rPr>
          <w:rFonts w:ascii="Calibri" w:hAnsi="Calibri"/>
        </w:rPr>
      </w:pPr>
      <w:r>
        <w:rPr>
          <w:rFonts w:ascii="Calibri" w:hAnsi="Calibri"/>
        </w:rPr>
        <w:lastRenderedPageBreak/>
        <w:t xml:space="preserve">Gorman, R., </w:t>
      </w:r>
      <w:proofErr w:type="spellStart"/>
      <w:r w:rsidR="00457712" w:rsidRPr="00457712">
        <w:rPr>
          <w:rFonts w:ascii="Calibri" w:hAnsi="Calibri"/>
        </w:rPr>
        <w:t>saini</w:t>
      </w:r>
      <w:proofErr w:type="spellEnd"/>
      <w:r w:rsidR="00457712" w:rsidRPr="00457712">
        <w:rPr>
          <w:rFonts w:ascii="Calibri" w:hAnsi="Calibri"/>
        </w:rPr>
        <w:t xml:space="preserve">, </w:t>
      </w:r>
      <w:r>
        <w:rPr>
          <w:rFonts w:ascii="Calibri" w:hAnsi="Calibri"/>
        </w:rPr>
        <w:t xml:space="preserve">a. </w:t>
      </w:r>
      <w:r w:rsidR="00457712" w:rsidRPr="00457712">
        <w:rPr>
          <w:rFonts w:ascii="Calibri" w:hAnsi="Calibri"/>
        </w:rPr>
        <w:t xml:space="preserve">Tam, </w:t>
      </w:r>
      <w:r>
        <w:rPr>
          <w:rFonts w:ascii="Calibri" w:hAnsi="Calibri"/>
        </w:rPr>
        <w:t xml:space="preserve">L., </w:t>
      </w:r>
      <w:proofErr w:type="spellStart"/>
      <w:r w:rsidR="00457712" w:rsidRPr="00457712">
        <w:rPr>
          <w:rFonts w:ascii="Calibri" w:hAnsi="Calibri"/>
        </w:rPr>
        <w:t>Udegbe</w:t>
      </w:r>
      <w:proofErr w:type="spellEnd"/>
      <w:r w:rsidR="00457712" w:rsidRPr="00457712">
        <w:rPr>
          <w:rFonts w:ascii="Calibri" w:hAnsi="Calibri"/>
        </w:rPr>
        <w:t xml:space="preserve">, </w:t>
      </w:r>
      <w:r>
        <w:rPr>
          <w:rFonts w:ascii="Calibri" w:hAnsi="Calibri"/>
        </w:rPr>
        <w:t xml:space="preserve">O. </w:t>
      </w:r>
      <w:r w:rsidR="00457712" w:rsidRPr="00457712">
        <w:rPr>
          <w:rFonts w:ascii="Calibri" w:hAnsi="Calibri"/>
        </w:rPr>
        <w:t xml:space="preserve">and </w:t>
      </w:r>
      <w:proofErr w:type="spellStart"/>
      <w:r w:rsidR="00457712" w:rsidRPr="00457712">
        <w:rPr>
          <w:rFonts w:ascii="Calibri" w:hAnsi="Calibri"/>
        </w:rPr>
        <w:t>Usar</w:t>
      </w:r>
      <w:proofErr w:type="spellEnd"/>
      <w:r>
        <w:rPr>
          <w:rFonts w:ascii="Calibri" w:hAnsi="Calibri"/>
        </w:rPr>
        <w:t>, O</w:t>
      </w:r>
      <w:r w:rsidR="00457712" w:rsidRPr="00457712">
        <w:rPr>
          <w:rFonts w:ascii="Calibri" w:hAnsi="Calibri"/>
        </w:rPr>
        <w:t xml:space="preserve">. </w:t>
      </w:r>
      <w:r>
        <w:rPr>
          <w:rFonts w:ascii="Calibri" w:hAnsi="Calibri"/>
        </w:rPr>
        <w:t xml:space="preserve">(2013) </w:t>
      </w:r>
      <w:r w:rsidR="00457712" w:rsidRPr="00457712">
        <w:rPr>
          <w:rFonts w:ascii="Calibri" w:hAnsi="Calibri"/>
        </w:rPr>
        <w:t xml:space="preserve">MAD PEOPLE OF COLOR – A MANIFESTO.” </w:t>
      </w:r>
      <w:r w:rsidR="00457712" w:rsidRPr="00E85FFF">
        <w:rPr>
          <w:rFonts w:ascii="Calibri" w:hAnsi="Calibri"/>
          <w:iCs/>
        </w:rPr>
        <w:t>Asylum Magazine</w:t>
      </w:r>
      <w:r w:rsidR="00457712" w:rsidRPr="00457712">
        <w:rPr>
          <w:rFonts w:ascii="Calibri" w:hAnsi="Calibri"/>
        </w:rPr>
        <w:t>, 2013.</w:t>
      </w:r>
    </w:p>
    <w:p w14:paraId="79C1B5C5" w14:textId="77777777" w:rsidR="00E85FFF" w:rsidRPr="00E85FFF" w:rsidRDefault="00E85FFF" w:rsidP="00E85FFF"/>
    <w:p w14:paraId="15C1CD8F" w14:textId="77777777" w:rsidR="00CF392F" w:rsidRDefault="00CF392F" w:rsidP="004C1D21">
      <w:pPr>
        <w:pStyle w:val="Bibliography"/>
        <w:ind w:left="0" w:firstLine="0"/>
        <w:rPr>
          <w:rFonts w:ascii="Calibri" w:hAnsi="Calibri"/>
        </w:rPr>
      </w:pPr>
      <w:r>
        <w:rPr>
          <w:rFonts w:ascii="Calibri" w:hAnsi="Calibri"/>
        </w:rPr>
        <w:t xml:space="preserve">Hayano, D. (1979) </w:t>
      </w:r>
      <w:r w:rsidR="00457712" w:rsidRPr="00457712">
        <w:rPr>
          <w:rFonts w:ascii="Calibri" w:hAnsi="Calibri"/>
        </w:rPr>
        <w:t>Auto-Ethnography: Parad</w:t>
      </w:r>
      <w:r>
        <w:rPr>
          <w:rFonts w:ascii="Calibri" w:hAnsi="Calibri"/>
        </w:rPr>
        <w:t xml:space="preserve">igms, Problems, and Prospects. </w:t>
      </w:r>
      <w:r w:rsidR="00457712" w:rsidRPr="00CF392F">
        <w:rPr>
          <w:rFonts w:ascii="Calibri" w:hAnsi="Calibri"/>
          <w:iCs/>
        </w:rPr>
        <w:t>Human Organization</w:t>
      </w:r>
      <w:r w:rsidRPr="00CF392F">
        <w:rPr>
          <w:rFonts w:ascii="Calibri" w:hAnsi="Calibri"/>
        </w:rPr>
        <w:t xml:space="preserve"> </w:t>
      </w:r>
      <w:r>
        <w:rPr>
          <w:rFonts w:ascii="Calibri" w:hAnsi="Calibri"/>
        </w:rPr>
        <w:t>38</w:t>
      </w:r>
      <w:r w:rsidR="00457712" w:rsidRPr="00457712">
        <w:rPr>
          <w:rFonts w:ascii="Calibri" w:hAnsi="Calibri"/>
        </w:rPr>
        <w:t>(1): 99–104.</w:t>
      </w:r>
    </w:p>
    <w:p w14:paraId="2327AA7B" w14:textId="6F0B0B6A" w:rsidR="00457712" w:rsidRPr="00457712" w:rsidRDefault="00457712" w:rsidP="004C1D21">
      <w:pPr>
        <w:pStyle w:val="Bibliography"/>
        <w:ind w:left="0" w:firstLine="0"/>
        <w:rPr>
          <w:rFonts w:ascii="Calibri" w:hAnsi="Calibri"/>
        </w:rPr>
      </w:pPr>
      <w:r w:rsidRPr="00457712">
        <w:rPr>
          <w:rFonts w:ascii="Calibri" w:hAnsi="Calibri"/>
        </w:rPr>
        <w:t xml:space="preserve"> </w:t>
      </w:r>
    </w:p>
    <w:p w14:paraId="431346CC" w14:textId="77777777" w:rsidR="00C01E39" w:rsidRDefault="00CF392F" w:rsidP="004C1D21">
      <w:pPr>
        <w:pStyle w:val="Bibliography"/>
        <w:ind w:left="0" w:firstLine="0"/>
        <w:rPr>
          <w:rFonts w:ascii="Calibri" w:hAnsi="Calibri"/>
        </w:rPr>
      </w:pPr>
      <w:r>
        <w:rPr>
          <w:rFonts w:ascii="Calibri" w:hAnsi="Calibri"/>
        </w:rPr>
        <w:t>Helps, S</w:t>
      </w:r>
      <w:r w:rsidR="00457712" w:rsidRPr="00457712">
        <w:rPr>
          <w:rFonts w:ascii="Calibri" w:hAnsi="Calibri"/>
        </w:rPr>
        <w:t xml:space="preserve">. </w:t>
      </w:r>
      <w:r>
        <w:rPr>
          <w:rFonts w:ascii="Calibri" w:hAnsi="Calibri"/>
        </w:rPr>
        <w:t>(</w:t>
      </w:r>
      <w:r w:rsidR="00457712" w:rsidRPr="00457712">
        <w:rPr>
          <w:rFonts w:ascii="Calibri" w:hAnsi="Calibri"/>
        </w:rPr>
        <w:t>2017</w:t>
      </w:r>
      <w:r>
        <w:rPr>
          <w:rFonts w:ascii="Calibri" w:hAnsi="Calibri"/>
        </w:rPr>
        <w:t>) R</w:t>
      </w:r>
      <w:r w:rsidR="00457712" w:rsidRPr="00457712">
        <w:rPr>
          <w:rFonts w:ascii="Calibri" w:hAnsi="Calibri"/>
        </w:rPr>
        <w:t>emember Who You Belong to: A Story of Mul</w:t>
      </w:r>
      <w:r>
        <w:rPr>
          <w:rFonts w:ascii="Calibri" w:hAnsi="Calibri"/>
        </w:rPr>
        <w:t>tiple and Temporary Belongings.</w:t>
      </w:r>
      <w:r w:rsidR="00457712" w:rsidRPr="00457712">
        <w:rPr>
          <w:rFonts w:ascii="Calibri" w:hAnsi="Calibri"/>
        </w:rPr>
        <w:t xml:space="preserve"> In</w:t>
      </w:r>
      <w:r>
        <w:rPr>
          <w:rFonts w:ascii="Calibri" w:hAnsi="Calibri"/>
        </w:rPr>
        <w:t>:</w:t>
      </w:r>
      <w:r w:rsidR="00457712" w:rsidRPr="00457712">
        <w:rPr>
          <w:rFonts w:ascii="Calibri" w:hAnsi="Calibri"/>
        </w:rPr>
        <w:t xml:space="preserve"> </w:t>
      </w:r>
      <w:r w:rsidR="00C01E39">
        <w:rPr>
          <w:rFonts w:ascii="Calibri" w:hAnsi="Calibri"/>
        </w:rPr>
        <w:t xml:space="preserve">S.L. </w:t>
      </w:r>
      <w:proofErr w:type="spellStart"/>
      <w:r w:rsidR="00C01E39">
        <w:rPr>
          <w:rFonts w:ascii="Calibri" w:hAnsi="Calibri"/>
        </w:rPr>
        <w:t>Pensoneau</w:t>
      </w:r>
      <w:proofErr w:type="spellEnd"/>
      <w:r w:rsidR="00C01E39">
        <w:rPr>
          <w:rFonts w:ascii="Calibri" w:hAnsi="Calibri"/>
        </w:rPr>
        <w:t>-Conway, T.E. Adams, and D.</w:t>
      </w:r>
      <w:r w:rsidR="00C01E39" w:rsidRPr="00457712">
        <w:rPr>
          <w:rFonts w:ascii="Calibri" w:hAnsi="Calibri"/>
        </w:rPr>
        <w:t>M. Bolen</w:t>
      </w:r>
      <w:r w:rsidR="00C01E39" w:rsidRPr="00C01E39">
        <w:rPr>
          <w:rFonts w:ascii="Calibri" w:hAnsi="Calibri"/>
          <w:iCs/>
        </w:rPr>
        <w:t xml:space="preserve"> </w:t>
      </w:r>
      <w:r w:rsidR="00C01E39">
        <w:rPr>
          <w:rFonts w:ascii="Calibri" w:hAnsi="Calibri"/>
          <w:iCs/>
        </w:rPr>
        <w:t xml:space="preserve">(eds.) </w:t>
      </w:r>
      <w:r w:rsidR="00457712" w:rsidRPr="00C01E39">
        <w:rPr>
          <w:rFonts w:ascii="Calibri" w:hAnsi="Calibri"/>
          <w:iCs/>
        </w:rPr>
        <w:t>Doing Autoethnography</w:t>
      </w:r>
      <w:r w:rsidR="00C01E39">
        <w:rPr>
          <w:rFonts w:ascii="Calibri" w:hAnsi="Calibri"/>
        </w:rPr>
        <w:t xml:space="preserve">. </w:t>
      </w:r>
      <w:r w:rsidR="00C01E39" w:rsidRPr="00457712">
        <w:rPr>
          <w:rFonts w:ascii="Calibri" w:hAnsi="Calibri"/>
        </w:rPr>
        <w:t>Dordrecht, NETHERLANDS: Sense Publishers</w:t>
      </w:r>
      <w:r w:rsidR="00C01E39">
        <w:rPr>
          <w:rFonts w:ascii="Calibri" w:hAnsi="Calibri"/>
        </w:rPr>
        <w:t>, pp</w:t>
      </w:r>
      <w:r w:rsidR="00C01E39" w:rsidRPr="00457712">
        <w:rPr>
          <w:rFonts w:ascii="Calibri" w:hAnsi="Calibri"/>
        </w:rPr>
        <w:t xml:space="preserve">. </w:t>
      </w:r>
      <w:r w:rsidR="00C01E39">
        <w:rPr>
          <w:rFonts w:ascii="Calibri" w:hAnsi="Calibri"/>
        </w:rPr>
        <w:t>139–48.</w:t>
      </w:r>
    </w:p>
    <w:p w14:paraId="0B35EA9E" w14:textId="77777777" w:rsidR="00C01E39" w:rsidRDefault="00C01E39" w:rsidP="004C1D21">
      <w:pPr>
        <w:pStyle w:val="Bibliography"/>
        <w:ind w:left="0" w:firstLine="0"/>
        <w:rPr>
          <w:rFonts w:ascii="Calibri" w:hAnsi="Calibri"/>
        </w:rPr>
      </w:pPr>
    </w:p>
    <w:p w14:paraId="5133D21B" w14:textId="0FB661C5" w:rsidR="00457712" w:rsidRDefault="00DA4E78" w:rsidP="004C1D21">
      <w:pPr>
        <w:pStyle w:val="Bibliography"/>
        <w:ind w:left="0" w:firstLine="0"/>
        <w:rPr>
          <w:rFonts w:ascii="Calibri" w:hAnsi="Calibri"/>
        </w:rPr>
      </w:pPr>
      <w:r>
        <w:rPr>
          <w:rFonts w:ascii="Calibri" w:hAnsi="Calibri"/>
        </w:rPr>
        <w:t xml:space="preserve">Jones, H., </w:t>
      </w:r>
      <w:r w:rsidR="00457712" w:rsidRPr="00457712">
        <w:rPr>
          <w:rFonts w:ascii="Calibri" w:hAnsi="Calibri"/>
        </w:rPr>
        <w:t>L</w:t>
      </w:r>
      <w:r>
        <w:rPr>
          <w:rFonts w:ascii="Calibri" w:hAnsi="Calibri"/>
        </w:rPr>
        <w:t xml:space="preserve">inn, S., Adams, T.E. and </w:t>
      </w:r>
      <w:r w:rsidR="00457712" w:rsidRPr="00457712">
        <w:rPr>
          <w:rFonts w:ascii="Calibri" w:hAnsi="Calibri"/>
        </w:rPr>
        <w:t xml:space="preserve">Ellis, </w:t>
      </w:r>
      <w:r>
        <w:rPr>
          <w:rFonts w:ascii="Calibri" w:hAnsi="Calibri"/>
        </w:rPr>
        <w:t>C. (</w:t>
      </w:r>
      <w:r w:rsidR="00457712" w:rsidRPr="00457712">
        <w:rPr>
          <w:rFonts w:ascii="Calibri" w:hAnsi="Calibri"/>
        </w:rPr>
        <w:t>eds.</w:t>
      </w:r>
      <w:r>
        <w:rPr>
          <w:rFonts w:ascii="Calibri" w:hAnsi="Calibri"/>
        </w:rPr>
        <w:t>)</w:t>
      </w:r>
      <w:r w:rsidR="00457712" w:rsidRPr="00457712">
        <w:rPr>
          <w:rFonts w:ascii="Calibri" w:hAnsi="Calibri"/>
        </w:rPr>
        <w:t xml:space="preserve"> </w:t>
      </w:r>
      <w:r>
        <w:rPr>
          <w:rFonts w:ascii="Calibri" w:hAnsi="Calibri"/>
        </w:rPr>
        <w:t>(</w:t>
      </w:r>
      <w:r w:rsidR="00457712" w:rsidRPr="00457712">
        <w:rPr>
          <w:rFonts w:ascii="Calibri" w:hAnsi="Calibri"/>
        </w:rPr>
        <w:t>2015</w:t>
      </w:r>
      <w:r>
        <w:rPr>
          <w:rFonts w:ascii="Calibri" w:hAnsi="Calibri"/>
        </w:rPr>
        <w:t>)</w:t>
      </w:r>
      <w:r w:rsidR="00457712" w:rsidRPr="00457712">
        <w:rPr>
          <w:rFonts w:ascii="Calibri" w:hAnsi="Calibri"/>
        </w:rPr>
        <w:t xml:space="preserve"> </w:t>
      </w:r>
      <w:r w:rsidR="00457712" w:rsidRPr="00DA4E78">
        <w:rPr>
          <w:rFonts w:ascii="Calibri" w:hAnsi="Calibri"/>
          <w:iCs/>
        </w:rPr>
        <w:t>Handbook of Autoethnography</w:t>
      </w:r>
      <w:r w:rsidR="00457712" w:rsidRPr="00457712">
        <w:rPr>
          <w:rFonts w:ascii="Calibri" w:hAnsi="Calibri"/>
        </w:rPr>
        <w:t>. Walnut Creek, California: Left Coast Press.</w:t>
      </w:r>
    </w:p>
    <w:p w14:paraId="4C103C3C" w14:textId="7FC9CE79" w:rsidR="00457712" w:rsidRPr="00457712" w:rsidRDefault="00457712" w:rsidP="004C1D21">
      <w:pPr>
        <w:pStyle w:val="Bibliography"/>
        <w:ind w:left="0" w:firstLine="0"/>
        <w:rPr>
          <w:rFonts w:ascii="Calibri" w:hAnsi="Calibri"/>
        </w:rPr>
      </w:pPr>
    </w:p>
    <w:p w14:paraId="25E3AF40" w14:textId="3E62A00B" w:rsidR="00457712" w:rsidRDefault="003A46E2" w:rsidP="004C1D21">
      <w:pPr>
        <w:pStyle w:val="Bibliography"/>
        <w:ind w:left="0" w:firstLine="0"/>
        <w:rPr>
          <w:rFonts w:ascii="Calibri" w:hAnsi="Calibri"/>
        </w:rPr>
      </w:pPr>
      <w:r>
        <w:rPr>
          <w:rFonts w:ascii="Calibri" w:hAnsi="Calibri"/>
        </w:rPr>
        <w:t>Jones, D</w:t>
      </w:r>
      <w:r w:rsidR="00457712" w:rsidRPr="00457712">
        <w:rPr>
          <w:rFonts w:ascii="Calibri" w:hAnsi="Calibri"/>
        </w:rPr>
        <w:t xml:space="preserve">. </w:t>
      </w:r>
      <w:r>
        <w:rPr>
          <w:rFonts w:ascii="Calibri" w:hAnsi="Calibri"/>
        </w:rPr>
        <w:t>(1970) Towards a Native Anthropology.</w:t>
      </w:r>
      <w:r w:rsidR="00457712" w:rsidRPr="00457712">
        <w:rPr>
          <w:rFonts w:ascii="Calibri" w:hAnsi="Calibri"/>
        </w:rPr>
        <w:t xml:space="preserve"> </w:t>
      </w:r>
      <w:r w:rsidR="00457712" w:rsidRPr="003A46E2">
        <w:rPr>
          <w:rFonts w:ascii="Calibri" w:hAnsi="Calibri"/>
          <w:iCs/>
        </w:rPr>
        <w:t>Human Organization</w:t>
      </w:r>
      <w:r>
        <w:rPr>
          <w:rFonts w:ascii="Calibri" w:hAnsi="Calibri"/>
        </w:rPr>
        <w:t xml:space="preserve"> 29</w:t>
      </w:r>
      <w:r w:rsidR="00457712" w:rsidRPr="00457712">
        <w:rPr>
          <w:rFonts w:ascii="Calibri" w:hAnsi="Calibri"/>
        </w:rPr>
        <w:t xml:space="preserve">(4): 251–59. </w:t>
      </w:r>
    </w:p>
    <w:p w14:paraId="68A289E1" w14:textId="77777777" w:rsidR="003A46E2" w:rsidRPr="003A46E2" w:rsidRDefault="003A46E2" w:rsidP="003A46E2">
      <w:pPr>
        <w:spacing w:after="0"/>
      </w:pPr>
    </w:p>
    <w:p w14:paraId="2AC701D8" w14:textId="58CA1FCF" w:rsidR="00457712" w:rsidRPr="00457712" w:rsidRDefault="00457712" w:rsidP="004C1D21">
      <w:pPr>
        <w:pStyle w:val="Bibliography"/>
        <w:ind w:left="0" w:firstLine="0"/>
        <w:rPr>
          <w:rFonts w:ascii="Calibri" w:hAnsi="Calibri"/>
        </w:rPr>
      </w:pPr>
      <w:r w:rsidRPr="00457712">
        <w:rPr>
          <w:rFonts w:ascii="Calibri" w:hAnsi="Calibri"/>
        </w:rPr>
        <w:t xml:space="preserve">Jones, </w:t>
      </w:r>
      <w:r w:rsidR="00EA36C9">
        <w:rPr>
          <w:rFonts w:ascii="Calibri" w:hAnsi="Calibri"/>
        </w:rPr>
        <w:t>N.</w:t>
      </w:r>
      <w:r w:rsidRPr="00457712">
        <w:rPr>
          <w:rFonts w:ascii="Calibri" w:hAnsi="Calibri"/>
        </w:rPr>
        <w:t xml:space="preserve"> and Kelly</w:t>
      </w:r>
      <w:r w:rsidR="00EA36C9">
        <w:rPr>
          <w:rFonts w:ascii="Calibri" w:hAnsi="Calibri"/>
        </w:rPr>
        <w:t>, T</w:t>
      </w:r>
      <w:r w:rsidRPr="00457712">
        <w:rPr>
          <w:rFonts w:ascii="Calibri" w:hAnsi="Calibri"/>
        </w:rPr>
        <w:t xml:space="preserve">. </w:t>
      </w:r>
      <w:r w:rsidR="00EA36C9">
        <w:rPr>
          <w:rFonts w:ascii="Calibri" w:hAnsi="Calibri"/>
        </w:rPr>
        <w:t>(</w:t>
      </w:r>
      <w:r w:rsidRPr="00457712">
        <w:rPr>
          <w:rFonts w:ascii="Calibri" w:hAnsi="Calibri"/>
        </w:rPr>
        <w:t>2015</w:t>
      </w:r>
      <w:r w:rsidR="00EA36C9">
        <w:rPr>
          <w:rFonts w:ascii="Calibri" w:hAnsi="Calibri"/>
        </w:rPr>
        <w:t xml:space="preserve">) </w:t>
      </w:r>
      <w:r w:rsidRPr="00457712">
        <w:rPr>
          <w:rFonts w:ascii="Calibri" w:hAnsi="Calibri"/>
        </w:rPr>
        <w:t>Inconvenient Complications: On the Heterogeneities of Madness and Th</w:t>
      </w:r>
      <w:r w:rsidR="00EA36C9">
        <w:rPr>
          <w:rFonts w:ascii="Calibri" w:hAnsi="Calibri"/>
        </w:rPr>
        <w:t>eir Relationship to Disability.</w:t>
      </w:r>
      <w:r w:rsidRPr="00457712">
        <w:rPr>
          <w:rFonts w:ascii="Calibri" w:hAnsi="Calibri"/>
        </w:rPr>
        <w:t xml:space="preserve"> In</w:t>
      </w:r>
      <w:r w:rsidR="00EA36C9">
        <w:rPr>
          <w:rFonts w:ascii="Calibri" w:hAnsi="Calibri"/>
        </w:rPr>
        <w:t>: H.</w:t>
      </w:r>
      <w:r w:rsidRPr="00457712">
        <w:rPr>
          <w:rFonts w:ascii="Calibri" w:hAnsi="Calibri"/>
        </w:rPr>
        <w:t xml:space="preserve"> </w:t>
      </w:r>
      <w:proofErr w:type="spellStart"/>
      <w:r w:rsidR="00EA36C9" w:rsidRPr="00457712">
        <w:rPr>
          <w:rFonts w:ascii="Calibri" w:hAnsi="Calibri"/>
        </w:rPr>
        <w:t>Spandler</w:t>
      </w:r>
      <w:proofErr w:type="spellEnd"/>
      <w:r w:rsidR="00EA36C9" w:rsidRPr="00457712">
        <w:rPr>
          <w:rFonts w:ascii="Calibri" w:hAnsi="Calibri"/>
        </w:rPr>
        <w:t xml:space="preserve">, </w:t>
      </w:r>
      <w:r w:rsidR="00EA36C9">
        <w:rPr>
          <w:rFonts w:ascii="Calibri" w:hAnsi="Calibri"/>
        </w:rPr>
        <w:t>J. Anderson and B.</w:t>
      </w:r>
      <w:r w:rsidR="00EA36C9" w:rsidRPr="00457712">
        <w:rPr>
          <w:rFonts w:ascii="Calibri" w:hAnsi="Calibri"/>
        </w:rPr>
        <w:t xml:space="preserve"> </w:t>
      </w:r>
      <w:proofErr w:type="spellStart"/>
      <w:r w:rsidR="00EA36C9" w:rsidRPr="00457712">
        <w:rPr>
          <w:rFonts w:ascii="Calibri" w:hAnsi="Calibri"/>
        </w:rPr>
        <w:t>Sapey</w:t>
      </w:r>
      <w:proofErr w:type="spellEnd"/>
      <w:r w:rsidR="00EA36C9">
        <w:rPr>
          <w:rFonts w:ascii="Calibri" w:hAnsi="Calibri"/>
        </w:rPr>
        <w:t xml:space="preserve"> (eds</w:t>
      </w:r>
      <w:r w:rsidR="00EA36C9" w:rsidRPr="00EA36C9">
        <w:rPr>
          <w:rFonts w:ascii="Calibri" w:hAnsi="Calibri"/>
        </w:rPr>
        <w:t>.)</w:t>
      </w:r>
      <w:r w:rsidR="00EA36C9" w:rsidRPr="00EA36C9">
        <w:rPr>
          <w:rFonts w:ascii="Calibri" w:hAnsi="Calibri"/>
          <w:iCs/>
        </w:rPr>
        <w:t xml:space="preserve"> </w:t>
      </w:r>
      <w:r w:rsidRPr="00EA36C9">
        <w:rPr>
          <w:rFonts w:ascii="Calibri" w:hAnsi="Calibri"/>
          <w:iCs/>
        </w:rPr>
        <w:t>Madness, Distress and the Politics of Disablement</w:t>
      </w:r>
      <w:r w:rsidR="00EA36C9">
        <w:rPr>
          <w:rFonts w:ascii="Calibri" w:hAnsi="Calibri"/>
        </w:rPr>
        <w:t>/</w:t>
      </w:r>
      <w:r w:rsidRPr="00457712">
        <w:rPr>
          <w:rFonts w:ascii="Calibri" w:hAnsi="Calibri"/>
        </w:rPr>
        <w:t xml:space="preserve"> </w:t>
      </w:r>
      <w:r w:rsidR="00EA36C9">
        <w:rPr>
          <w:rFonts w:ascii="Calibri" w:hAnsi="Calibri"/>
        </w:rPr>
        <w:t>Bristol</w:t>
      </w:r>
      <w:r w:rsidR="00EA36C9" w:rsidRPr="00457712">
        <w:rPr>
          <w:rFonts w:ascii="Calibri" w:hAnsi="Calibri"/>
        </w:rPr>
        <w:t>: Policy Press</w:t>
      </w:r>
      <w:r w:rsidR="00EA36C9">
        <w:rPr>
          <w:rFonts w:ascii="Calibri" w:hAnsi="Calibri"/>
        </w:rPr>
        <w:t>, pp.</w:t>
      </w:r>
      <w:r w:rsidR="00EA36C9" w:rsidRPr="00457712">
        <w:rPr>
          <w:rFonts w:ascii="Calibri" w:hAnsi="Calibri"/>
        </w:rPr>
        <w:t xml:space="preserve"> </w:t>
      </w:r>
      <w:r w:rsidRPr="00457712">
        <w:rPr>
          <w:rFonts w:ascii="Calibri" w:hAnsi="Calibri"/>
        </w:rPr>
        <w:t xml:space="preserve">43–56. </w:t>
      </w:r>
    </w:p>
    <w:p w14:paraId="26B0F34C" w14:textId="77777777" w:rsidR="00306E8B" w:rsidRDefault="00306E8B" w:rsidP="00306E8B">
      <w:pPr>
        <w:pStyle w:val="Bibliography"/>
        <w:ind w:left="0" w:firstLine="0"/>
        <w:rPr>
          <w:rFonts w:ascii="Calibri" w:hAnsi="Calibri"/>
        </w:rPr>
      </w:pPr>
    </w:p>
    <w:p w14:paraId="2B3F94D5" w14:textId="5247C72D" w:rsidR="00306E8B" w:rsidRPr="00306E8B" w:rsidRDefault="00306E8B" w:rsidP="00306E8B">
      <w:pPr>
        <w:pStyle w:val="Bibliography"/>
        <w:ind w:left="0" w:firstLine="0"/>
        <w:rPr>
          <w:rFonts w:ascii="Calibri" w:hAnsi="Calibri"/>
        </w:rPr>
      </w:pPr>
      <w:proofErr w:type="spellStart"/>
      <w:r>
        <w:rPr>
          <w:rFonts w:ascii="Calibri" w:hAnsi="Calibri"/>
        </w:rPr>
        <w:t>Kalathil</w:t>
      </w:r>
      <w:proofErr w:type="spellEnd"/>
      <w:r>
        <w:rPr>
          <w:rFonts w:ascii="Calibri" w:hAnsi="Calibri"/>
        </w:rPr>
        <w:t xml:space="preserve">, J. and Jones, N. (2016) </w:t>
      </w:r>
      <w:r w:rsidRPr="00306E8B">
        <w:rPr>
          <w:rFonts w:ascii="Calibri" w:hAnsi="Calibri"/>
        </w:rPr>
        <w:t xml:space="preserve">Unsettling Disciplines: Madness, Identity, Research, Knowledge. </w:t>
      </w:r>
      <w:hyperlink r:id="rId9" w:history="1">
        <w:r w:rsidRPr="00306E8B">
          <w:t>Philosophy, Psychiatry, &amp; Psychology</w:t>
        </w:r>
      </w:hyperlink>
      <w:r>
        <w:rPr>
          <w:rFonts w:ascii="Calibri" w:hAnsi="Calibri"/>
        </w:rPr>
        <w:t xml:space="preserve"> 23(3/4): 183-188.</w:t>
      </w:r>
    </w:p>
    <w:p w14:paraId="08CD13C3" w14:textId="5D234902" w:rsidR="00306E8B" w:rsidRDefault="00306E8B" w:rsidP="004C1D21">
      <w:pPr>
        <w:pStyle w:val="Bibliography"/>
        <w:ind w:left="0" w:firstLine="0"/>
        <w:rPr>
          <w:rFonts w:ascii="Calibri" w:hAnsi="Calibri"/>
        </w:rPr>
      </w:pPr>
    </w:p>
    <w:p w14:paraId="2F9E7BE9" w14:textId="765B4D23" w:rsidR="00457712" w:rsidRDefault="00105C4E" w:rsidP="004C1D21">
      <w:pPr>
        <w:pStyle w:val="Bibliography"/>
        <w:ind w:left="0" w:firstLine="0"/>
        <w:rPr>
          <w:rFonts w:ascii="Calibri" w:hAnsi="Calibri"/>
        </w:rPr>
      </w:pPr>
      <w:r>
        <w:rPr>
          <w:rFonts w:ascii="Calibri" w:hAnsi="Calibri"/>
        </w:rPr>
        <w:t>Lake, J</w:t>
      </w:r>
      <w:r w:rsidR="00457712" w:rsidRPr="00457712">
        <w:rPr>
          <w:rFonts w:ascii="Calibri" w:hAnsi="Calibri"/>
        </w:rPr>
        <w:t xml:space="preserve">. </w:t>
      </w:r>
      <w:r>
        <w:rPr>
          <w:rFonts w:ascii="Calibri" w:hAnsi="Calibri"/>
        </w:rPr>
        <w:t xml:space="preserve">(2015) </w:t>
      </w:r>
      <w:r w:rsidR="00457712" w:rsidRPr="00457712">
        <w:rPr>
          <w:rFonts w:ascii="Calibri" w:hAnsi="Calibri"/>
        </w:rPr>
        <w:t xml:space="preserve">Autoethnography and Reflective Practice: Reconstructing </w:t>
      </w:r>
      <w:r>
        <w:rPr>
          <w:rFonts w:ascii="Calibri" w:hAnsi="Calibri"/>
        </w:rPr>
        <w:t>the Doctoral Thesis Experience.</w:t>
      </w:r>
      <w:r w:rsidR="00457712" w:rsidRPr="00457712">
        <w:rPr>
          <w:rFonts w:ascii="Calibri" w:hAnsi="Calibri"/>
        </w:rPr>
        <w:t xml:space="preserve"> </w:t>
      </w:r>
      <w:r w:rsidR="00457712" w:rsidRPr="00105C4E">
        <w:rPr>
          <w:rFonts w:ascii="Calibri" w:hAnsi="Calibri"/>
          <w:iCs/>
        </w:rPr>
        <w:t>Reflective Practice</w:t>
      </w:r>
      <w:r>
        <w:rPr>
          <w:rFonts w:ascii="Calibri" w:hAnsi="Calibri"/>
        </w:rPr>
        <w:t xml:space="preserve"> 16</w:t>
      </w:r>
      <w:r w:rsidR="00457712" w:rsidRPr="00457712">
        <w:rPr>
          <w:rFonts w:ascii="Calibri" w:hAnsi="Calibri"/>
        </w:rPr>
        <w:t xml:space="preserve">(5): 677–87. </w:t>
      </w:r>
    </w:p>
    <w:p w14:paraId="6E045536" w14:textId="0EFB4661" w:rsidR="00457712" w:rsidRDefault="001E30E2" w:rsidP="001E30E2">
      <w:pPr>
        <w:pStyle w:val="Bibliography"/>
        <w:spacing w:before="240"/>
        <w:ind w:left="0" w:firstLine="0"/>
        <w:rPr>
          <w:rFonts w:ascii="Calibri" w:hAnsi="Calibri"/>
        </w:rPr>
      </w:pPr>
      <w:r>
        <w:rPr>
          <w:rFonts w:ascii="Calibri" w:hAnsi="Calibri"/>
        </w:rPr>
        <w:t>Landry, D</w:t>
      </w:r>
      <w:r w:rsidR="00457712" w:rsidRPr="00457712">
        <w:rPr>
          <w:rFonts w:ascii="Calibri" w:hAnsi="Calibri"/>
        </w:rPr>
        <w:t xml:space="preserve">. </w:t>
      </w:r>
      <w:r>
        <w:rPr>
          <w:rFonts w:ascii="Calibri" w:hAnsi="Calibri"/>
        </w:rPr>
        <w:t>(</w:t>
      </w:r>
      <w:r w:rsidR="00457712" w:rsidRPr="00457712">
        <w:rPr>
          <w:rFonts w:ascii="Calibri" w:hAnsi="Calibri"/>
        </w:rPr>
        <w:t>2017</w:t>
      </w:r>
      <w:r>
        <w:rPr>
          <w:rFonts w:ascii="Calibri" w:hAnsi="Calibri"/>
        </w:rPr>
        <w:t xml:space="preserve">) </w:t>
      </w:r>
      <w:r w:rsidR="00457712" w:rsidRPr="00457712">
        <w:rPr>
          <w:rFonts w:ascii="Calibri" w:hAnsi="Calibri"/>
        </w:rPr>
        <w:t>Survivor Research in Canada: ‘Talking’ Recovery, Resisting Psychiatry, a</w:t>
      </w:r>
      <w:r>
        <w:rPr>
          <w:rFonts w:ascii="Calibri" w:hAnsi="Calibri"/>
        </w:rPr>
        <w:t>nd Reclaiming Madness.</w:t>
      </w:r>
      <w:r w:rsidR="00457712" w:rsidRPr="00457712">
        <w:rPr>
          <w:rFonts w:ascii="Calibri" w:hAnsi="Calibri"/>
        </w:rPr>
        <w:t xml:space="preserve"> </w:t>
      </w:r>
      <w:r w:rsidR="00457712" w:rsidRPr="001E30E2">
        <w:rPr>
          <w:rFonts w:ascii="Calibri" w:hAnsi="Calibri"/>
          <w:iCs/>
        </w:rPr>
        <w:t>Disability &amp; Society</w:t>
      </w:r>
      <w:r>
        <w:rPr>
          <w:rFonts w:ascii="Calibri" w:hAnsi="Calibri"/>
        </w:rPr>
        <w:t xml:space="preserve"> 32(9): 1437–57.</w:t>
      </w:r>
    </w:p>
    <w:p w14:paraId="58C7AF35" w14:textId="77777777" w:rsidR="001E30E2" w:rsidRPr="001E30E2" w:rsidRDefault="001E30E2" w:rsidP="001E30E2">
      <w:pPr>
        <w:spacing w:after="0"/>
      </w:pPr>
    </w:p>
    <w:p w14:paraId="3745E1F8" w14:textId="0092C4CA" w:rsidR="00457712" w:rsidRDefault="002D5388" w:rsidP="004C1D21">
      <w:pPr>
        <w:pStyle w:val="Bibliography"/>
        <w:ind w:left="0" w:firstLine="0"/>
        <w:rPr>
          <w:rFonts w:ascii="Calibri" w:hAnsi="Calibri"/>
        </w:rPr>
      </w:pPr>
      <w:proofErr w:type="spellStart"/>
      <w:r>
        <w:rPr>
          <w:rFonts w:ascii="Calibri" w:hAnsi="Calibri"/>
        </w:rPr>
        <w:t>LeFrançois</w:t>
      </w:r>
      <w:proofErr w:type="spellEnd"/>
      <w:r>
        <w:rPr>
          <w:rFonts w:ascii="Calibri" w:hAnsi="Calibri"/>
        </w:rPr>
        <w:t xml:space="preserve">, B.A., </w:t>
      </w:r>
      <w:r w:rsidR="00457712" w:rsidRPr="00457712">
        <w:rPr>
          <w:rFonts w:ascii="Calibri" w:hAnsi="Calibri"/>
        </w:rPr>
        <w:t xml:space="preserve">Beresford, </w:t>
      </w:r>
      <w:r>
        <w:rPr>
          <w:rFonts w:ascii="Calibri" w:hAnsi="Calibri"/>
        </w:rPr>
        <w:t xml:space="preserve">P. and </w:t>
      </w:r>
      <w:r w:rsidR="00457712" w:rsidRPr="00457712">
        <w:rPr>
          <w:rFonts w:ascii="Calibri" w:hAnsi="Calibri"/>
        </w:rPr>
        <w:t>Russo</w:t>
      </w:r>
      <w:r>
        <w:rPr>
          <w:rFonts w:ascii="Calibri" w:hAnsi="Calibri"/>
        </w:rPr>
        <w:t>, J</w:t>
      </w:r>
      <w:r w:rsidR="00457712" w:rsidRPr="00457712">
        <w:rPr>
          <w:rFonts w:ascii="Calibri" w:hAnsi="Calibri"/>
        </w:rPr>
        <w:t xml:space="preserve">. </w:t>
      </w:r>
      <w:r>
        <w:rPr>
          <w:rFonts w:ascii="Calibri" w:hAnsi="Calibri"/>
        </w:rPr>
        <w:t xml:space="preserve">(2016) </w:t>
      </w:r>
      <w:r w:rsidR="00457712" w:rsidRPr="00457712">
        <w:rPr>
          <w:rFonts w:ascii="Calibri" w:hAnsi="Calibri"/>
        </w:rPr>
        <w:t>Edito</w:t>
      </w:r>
      <w:r>
        <w:rPr>
          <w:rFonts w:ascii="Calibri" w:hAnsi="Calibri"/>
        </w:rPr>
        <w:t xml:space="preserve">rial: Destination Mad Studies. </w:t>
      </w:r>
      <w:proofErr w:type="spellStart"/>
      <w:r w:rsidR="00457712" w:rsidRPr="002D5388">
        <w:rPr>
          <w:rFonts w:ascii="Calibri" w:hAnsi="Calibri"/>
          <w:iCs/>
        </w:rPr>
        <w:t>Intersectionalities</w:t>
      </w:r>
      <w:proofErr w:type="spellEnd"/>
      <w:r w:rsidR="00457712" w:rsidRPr="002D5388">
        <w:rPr>
          <w:rFonts w:ascii="Calibri" w:hAnsi="Calibri"/>
          <w:iCs/>
        </w:rPr>
        <w:t>: A Global Journal of Social Work Analysis, Research, Polity, and Practice</w:t>
      </w:r>
      <w:r w:rsidR="00457712" w:rsidRPr="002D5388">
        <w:rPr>
          <w:rFonts w:ascii="Calibri" w:hAnsi="Calibri"/>
        </w:rPr>
        <w:t xml:space="preserve"> </w:t>
      </w:r>
      <w:r>
        <w:rPr>
          <w:rFonts w:ascii="Calibri" w:hAnsi="Calibri"/>
        </w:rPr>
        <w:t>5</w:t>
      </w:r>
      <w:r w:rsidR="00457712" w:rsidRPr="00457712">
        <w:rPr>
          <w:rFonts w:ascii="Calibri" w:hAnsi="Calibri"/>
        </w:rPr>
        <w:t>(3): 1–10.</w:t>
      </w:r>
    </w:p>
    <w:p w14:paraId="19942C09" w14:textId="77777777" w:rsidR="002D5388" w:rsidRPr="002D5388" w:rsidRDefault="002D5388" w:rsidP="002D5388">
      <w:pPr>
        <w:spacing w:after="0"/>
      </w:pPr>
    </w:p>
    <w:p w14:paraId="0EFAA98F" w14:textId="05694ED5" w:rsidR="00457712" w:rsidRDefault="006B3D12" w:rsidP="004C1D21">
      <w:pPr>
        <w:pStyle w:val="Bibliography"/>
        <w:ind w:left="0" w:firstLine="0"/>
        <w:rPr>
          <w:rFonts w:ascii="Calibri" w:hAnsi="Calibri"/>
        </w:rPr>
      </w:pPr>
      <w:proofErr w:type="spellStart"/>
      <w:r>
        <w:rPr>
          <w:rFonts w:ascii="Calibri" w:hAnsi="Calibri"/>
        </w:rPr>
        <w:t>LeFrancois</w:t>
      </w:r>
      <w:proofErr w:type="spellEnd"/>
      <w:r>
        <w:rPr>
          <w:rFonts w:ascii="Calibri" w:hAnsi="Calibri"/>
        </w:rPr>
        <w:t xml:space="preserve">, B.A, </w:t>
      </w:r>
      <w:r w:rsidR="00457712" w:rsidRPr="00457712">
        <w:rPr>
          <w:rFonts w:ascii="Calibri" w:hAnsi="Calibri"/>
        </w:rPr>
        <w:t xml:space="preserve">Menzies, </w:t>
      </w:r>
      <w:r>
        <w:rPr>
          <w:rFonts w:ascii="Calibri" w:hAnsi="Calibri"/>
        </w:rPr>
        <w:t xml:space="preserve">R.J. </w:t>
      </w:r>
      <w:r w:rsidR="00457712" w:rsidRPr="00457712">
        <w:rPr>
          <w:rFonts w:ascii="Calibri" w:hAnsi="Calibri"/>
        </w:rPr>
        <w:t>and Reaume</w:t>
      </w:r>
      <w:r>
        <w:rPr>
          <w:rFonts w:ascii="Calibri" w:hAnsi="Calibri"/>
        </w:rPr>
        <w:t>, G</w:t>
      </w:r>
      <w:r w:rsidR="00457712" w:rsidRPr="00457712">
        <w:rPr>
          <w:rFonts w:ascii="Calibri" w:hAnsi="Calibri"/>
        </w:rPr>
        <w:t xml:space="preserve">. </w:t>
      </w:r>
      <w:r>
        <w:rPr>
          <w:rFonts w:ascii="Calibri" w:hAnsi="Calibri"/>
        </w:rPr>
        <w:t>(</w:t>
      </w:r>
      <w:r w:rsidR="00457712" w:rsidRPr="00457712">
        <w:rPr>
          <w:rFonts w:ascii="Calibri" w:hAnsi="Calibri"/>
        </w:rPr>
        <w:t>2013</w:t>
      </w:r>
      <w:r>
        <w:rPr>
          <w:rFonts w:ascii="Calibri" w:hAnsi="Calibri"/>
        </w:rPr>
        <w:t>)</w:t>
      </w:r>
      <w:r w:rsidR="00457712" w:rsidRPr="00457712">
        <w:rPr>
          <w:rFonts w:ascii="Calibri" w:hAnsi="Calibri"/>
        </w:rPr>
        <w:t xml:space="preserve"> </w:t>
      </w:r>
      <w:r w:rsidR="00457712" w:rsidRPr="006B3D12">
        <w:rPr>
          <w:rFonts w:ascii="Calibri" w:hAnsi="Calibri"/>
          <w:iCs/>
        </w:rPr>
        <w:t xml:space="preserve">Mad </w:t>
      </w:r>
      <w:proofErr w:type="gramStart"/>
      <w:r w:rsidR="00457712" w:rsidRPr="006B3D12">
        <w:rPr>
          <w:rFonts w:ascii="Calibri" w:hAnsi="Calibri"/>
          <w:iCs/>
        </w:rPr>
        <w:t>Matters :</w:t>
      </w:r>
      <w:proofErr w:type="gramEnd"/>
      <w:r w:rsidR="00457712" w:rsidRPr="006B3D12">
        <w:rPr>
          <w:rFonts w:ascii="Calibri" w:hAnsi="Calibri"/>
          <w:iCs/>
        </w:rPr>
        <w:t xml:space="preserve"> A Critical Reader in Canadian Mad Studies</w:t>
      </w:r>
      <w:r w:rsidR="00457712" w:rsidRPr="00457712">
        <w:rPr>
          <w:rFonts w:ascii="Calibri" w:hAnsi="Calibri"/>
        </w:rPr>
        <w:t>. Toronto: Canadian Scholars’ Press.</w:t>
      </w:r>
    </w:p>
    <w:p w14:paraId="0D99365E" w14:textId="2CBF074D" w:rsidR="00D629E6" w:rsidRPr="00D629E6" w:rsidRDefault="006B3D12" w:rsidP="00A62FE2">
      <w:pPr>
        <w:pStyle w:val="Bibliography"/>
        <w:spacing w:before="240"/>
        <w:ind w:left="0" w:firstLine="0"/>
        <w:rPr>
          <w:rFonts w:ascii="Calibri" w:hAnsi="Calibri"/>
        </w:rPr>
      </w:pPr>
      <w:r>
        <w:rPr>
          <w:rFonts w:ascii="Calibri" w:hAnsi="Calibri"/>
        </w:rPr>
        <w:t>McWade, B. (forthcoming</w:t>
      </w:r>
      <w:r w:rsidR="00D629E6">
        <w:rPr>
          <w:rFonts w:ascii="Calibri" w:hAnsi="Calibri"/>
        </w:rPr>
        <w:t xml:space="preserve">) </w:t>
      </w:r>
      <w:r w:rsidR="00D629E6" w:rsidRPr="00D629E6">
        <w:rPr>
          <w:rFonts w:ascii="Calibri" w:hAnsi="Calibri"/>
        </w:rPr>
        <w:t>Madness, violence and media</w:t>
      </w:r>
      <w:r>
        <w:rPr>
          <w:rFonts w:ascii="Calibri" w:hAnsi="Calibri"/>
        </w:rPr>
        <w:t>. In: A. Daley, L. Costa and P. Beresford (eds.)</w:t>
      </w:r>
      <w:r w:rsidR="00D629E6" w:rsidRPr="00D629E6">
        <w:rPr>
          <w:rFonts w:ascii="Calibri" w:hAnsi="Calibri"/>
        </w:rPr>
        <w:t xml:space="preserve"> Madness, Violence and power: a radical anthology. </w:t>
      </w:r>
      <w:r>
        <w:rPr>
          <w:rFonts w:ascii="Calibri" w:hAnsi="Calibri"/>
        </w:rPr>
        <w:t xml:space="preserve">Toronto: </w:t>
      </w:r>
      <w:r w:rsidR="00D629E6" w:rsidRPr="00D629E6">
        <w:rPr>
          <w:rFonts w:ascii="Calibri" w:hAnsi="Calibri"/>
        </w:rPr>
        <w:t>University of Toronto Press</w:t>
      </w:r>
      <w:r>
        <w:rPr>
          <w:rFonts w:ascii="Calibri" w:hAnsi="Calibri"/>
        </w:rPr>
        <w:t>, In Press</w:t>
      </w:r>
      <w:r w:rsidR="00D629E6" w:rsidRPr="00D629E6">
        <w:rPr>
          <w:rFonts w:ascii="Calibri" w:hAnsi="Calibri"/>
        </w:rPr>
        <w:t>.</w:t>
      </w:r>
    </w:p>
    <w:p w14:paraId="302DB29A" w14:textId="66120FCB" w:rsidR="00D629E6" w:rsidRDefault="00D629E6" w:rsidP="004C1D21">
      <w:pPr>
        <w:pStyle w:val="Bibliography"/>
        <w:ind w:left="0" w:firstLine="0"/>
        <w:rPr>
          <w:rFonts w:ascii="Calibri" w:hAnsi="Calibri"/>
        </w:rPr>
      </w:pPr>
    </w:p>
    <w:p w14:paraId="252824E2" w14:textId="0A8DD91C" w:rsidR="00BE78C1" w:rsidRPr="0069358C" w:rsidRDefault="00BE78C1" w:rsidP="00BE78C1">
      <w:pPr>
        <w:pStyle w:val="Bibliography"/>
        <w:ind w:left="0" w:firstLine="0"/>
        <w:rPr>
          <w:rFonts w:ascii="Calibri" w:hAnsi="Calibri"/>
        </w:rPr>
      </w:pPr>
      <w:r w:rsidRPr="0069358C">
        <w:rPr>
          <w:rFonts w:ascii="Calibri" w:hAnsi="Calibri"/>
        </w:rPr>
        <w:t>McWade, B. (2016</w:t>
      </w:r>
      <w:r>
        <w:rPr>
          <w:rFonts w:ascii="Calibri" w:hAnsi="Calibri"/>
        </w:rPr>
        <w:t>a</w:t>
      </w:r>
      <w:r w:rsidR="004003C7">
        <w:rPr>
          <w:rFonts w:ascii="Calibri" w:hAnsi="Calibri"/>
        </w:rPr>
        <w:t xml:space="preserve">) </w:t>
      </w:r>
      <w:r w:rsidRPr="0069358C">
        <w:rPr>
          <w:rFonts w:ascii="Calibri" w:hAnsi="Calibri"/>
        </w:rPr>
        <w:t xml:space="preserve">Recovery-as-policy as a </w:t>
      </w:r>
      <w:r w:rsidR="004003C7">
        <w:rPr>
          <w:rFonts w:ascii="Calibri" w:hAnsi="Calibri"/>
        </w:rPr>
        <w:t>form of neoliberal state making.</w:t>
      </w:r>
      <w:r w:rsidRPr="0069358C">
        <w:rPr>
          <w:rFonts w:ascii="Calibri" w:hAnsi="Calibri"/>
        </w:rPr>
        <w:t xml:space="preserve"> </w:t>
      </w:r>
      <w:proofErr w:type="spellStart"/>
      <w:r w:rsidRPr="004003C7">
        <w:rPr>
          <w:rFonts w:ascii="Calibri" w:hAnsi="Calibri"/>
        </w:rPr>
        <w:t>Intersectionalities</w:t>
      </w:r>
      <w:proofErr w:type="spellEnd"/>
      <w:r w:rsidRPr="004003C7">
        <w:rPr>
          <w:rFonts w:ascii="Calibri" w:hAnsi="Calibri"/>
        </w:rPr>
        <w:t>: A Global Journal of Social Work Analysis, Research, Polity, and Practice</w:t>
      </w:r>
      <w:r w:rsidRPr="0069358C">
        <w:rPr>
          <w:rFonts w:ascii="Calibri" w:hAnsi="Calibri"/>
        </w:rPr>
        <w:t xml:space="preserve"> 5(3): 62-81.</w:t>
      </w:r>
    </w:p>
    <w:p w14:paraId="6F94FAC8" w14:textId="77777777" w:rsidR="00BE78C1" w:rsidRDefault="00BE78C1" w:rsidP="004C1D21">
      <w:pPr>
        <w:pStyle w:val="Bibliography"/>
        <w:ind w:left="0" w:firstLine="0"/>
        <w:rPr>
          <w:rFonts w:ascii="Calibri" w:hAnsi="Calibri"/>
        </w:rPr>
      </w:pPr>
    </w:p>
    <w:p w14:paraId="0DFF749C" w14:textId="615AADDB" w:rsidR="00A071E7" w:rsidRPr="00A071E7" w:rsidRDefault="00A071E7" w:rsidP="004C1D21">
      <w:pPr>
        <w:pStyle w:val="Bibliography"/>
        <w:ind w:left="0" w:firstLine="0"/>
        <w:rPr>
          <w:rFonts w:ascii="Calibri" w:hAnsi="Calibri"/>
        </w:rPr>
      </w:pPr>
      <w:r w:rsidRPr="00A071E7">
        <w:rPr>
          <w:rFonts w:ascii="Calibri" w:hAnsi="Calibri"/>
        </w:rPr>
        <w:t>McWade, B. (2016</w:t>
      </w:r>
      <w:r w:rsidR="00BE78C1">
        <w:rPr>
          <w:rFonts w:ascii="Calibri" w:hAnsi="Calibri"/>
        </w:rPr>
        <w:t>b</w:t>
      </w:r>
      <w:r w:rsidR="004003C7">
        <w:rPr>
          <w:rFonts w:ascii="Calibri" w:hAnsi="Calibri"/>
        </w:rPr>
        <w:t xml:space="preserve">) </w:t>
      </w:r>
      <w:r w:rsidRPr="00A071E7">
        <w:rPr>
          <w:rFonts w:ascii="Calibri" w:hAnsi="Calibri"/>
        </w:rPr>
        <w:t>Two years of M</w:t>
      </w:r>
      <w:r w:rsidR="004003C7">
        <w:rPr>
          <w:rFonts w:ascii="Calibri" w:hAnsi="Calibri"/>
        </w:rPr>
        <w:t>ad Studies organising in the UK.</w:t>
      </w:r>
      <w:r w:rsidRPr="00A071E7">
        <w:rPr>
          <w:rFonts w:ascii="Calibri" w:hAnsi="Calibri"/>
        </w:rPr>
        <w:t xml:space="preserve"> </w:t>
      </w:r>
      <w:r w:rsidRPr="004003C7">
        <w:rPr>
          <w:rFonts w:ascii="Calibri" w:hAnsi="Calibri"/>
        </w:rPr>
        <w:t>Asylum Magazine</w:t>
      </w:r>
      <w:r w:rsidRPr="00A071E7">
        <w:rPr>
          <w:rFonts w:ascii="Calibri" w:hAnsi="Calibri"/>
        </w:rPr>
        <w:t xml:space="preserve"> 23.4</w:t>
      </w:r>
      <w:r w:rsidR="004003C7">
        <w:rPr>
          <w:rFonts w:ascii="Calibri" w:hAnsi="Calibri"/>
        </w:rPr>
        <w:t xml:space="preserve">, </w:t>
      </w:r>
      <w:r w:rsidR="004003C7" w:rsidRPr="004003C7">
        <w:rPr>
          <w:rFonts w:ascii="Calibri" w:hAnsi="Calibri"/>
        </w:rPr>
        <w:t>http://asylummagazine.org/2016/12/what-a-difference-a-couple-of-years-makes-by-brigit-mcwade/</w:t>
      </w:r>
      <w:r w:rsidR="004003C7">
        <w:rPr>
          <w:rFonts w:ascii="Calibri" w:hAnsi="Calibri"/>
        </w:rPr>
        <w:t>, accessed 6 December 2018</w:t>
      </w:r>
      <w:r w:rsidRPr="00A071E7">
        <w:rPr>
          <w:rFonts w:ascii="Calibri" w:hAnsi="Calibri"/>
        </w:rPr>
        <w:t>.</w:t>
      </w:r>
    </w:p>
    <w:p w14:paraId="3D1C05F0" w14:textId="77777777" w:rsidR="00BE78C1" w:rsidRDefault="00BE78C1" w:rsidP="004C1D21">
      <w:pPr>
        <w:pStyle w:val="Bibliography"/>
        <w:ind w:left="0" w:firstLine="0"/>
        <w:rPr>
          <w:rFonts w:ascii="Calibri" w:hAnsi="Calibri"/>
        </w:rPr>
      </w:pPr>
    </w:p>
    <w:p w14:paraId="0E674283" w14:textId="263F10B5" w:rsidR="00675559" w:rsidRDefault="009D429F" w:rsidP="004C1D21">
      <w:pPr>
        <w:pStyle w:val="Bibliography"/>
        <w:ind w:left="0" w:firstLine="0"/>
        <w:rPr>
          <w:rFonts w:ascii="Calibri" w:hAnsi="Calibri"/>
        </w:rPr>
      </w:pPr>
      <w:r>
        <w:rPr>
          <w:rFonts w:ascii="Calibri" w:hAnsi="Calibri"/>
        </w:rPr>
        <w:t xml:space="preserve">McWade, B. (2015) </w:t>
      </w:r>
      <w:r w:rsidR="00675559" w:rsidRPr="0069358C">
        <w:rPr>
          <w:rFonts w:ascii="Calibri" w:hAnsi="Calibri"/>
        </w:rPr>
        <w:t>Temporal</w:t>
      </w:r>
      <w:r>
        <w:rPr>
          <w:rFonts w:ascii="Calibri" w:hAnsi="Calibri"/>
        </w:rPr>
        <w:t>ities of Mental Health Recovery.</w:t>
      </w:r>
      <w:r w:rsidR="00675559" w:rsidRPr="0069358C">
        <w:rPr>
          <w:rFonts w:ascii="Calibri" w:hAnsi="Calibri"/>
        </w:rPr>
        <w:t xml:space="preserve"> </w:t>
      </w:r>
      <w:r w:rsidR="00675559" w:rsidRPr="009D429F">
        <w:rPr>
          <w:rFonts w:ascii="Calibri" w:hAnsi="Calibri"/>
        </w:rPr>
        <w:t>Subjectivity</w:t>
      </w:r>
      <w:r w:rsidR="00675559" w:rsidRPr="0069358C">
        <w:rPr>
          <w:rFonts w:ascii="Calibri" w:hAnsi="Calibri"/>
        </w:rPr>
        <w:t xml:space="preserve"> 8 (3): 243-260.</w:t>
      </w:r>
    </w:p>
    <w:p w14:paraId="7D0FEAD5" w14:textId="77777777" w:rsidR="00BE78C1" w:rsidRDefault="00BE78C1" w:rsidP="004C1D21">
      <w:pPr>
        <w:pStyle w:val="Bibliography"/>
        <w:ind w:left="0" w:firstLine="0"/>
        <w:rPr>
          <w:rFonts w:ascii="Calibri" w:hAnsi="Calibri"/>
        </w:rPr>
      </w:pPr>
    </w:p>
    <w:p w14:paraId="41478AD9" w14:textId="11D1C760" w:rsidR="00457712" w:rsidRPr="00457712" w:rsidRDefault="00696326" w:rsidP="004C1D21">
      <w:pPr>
        <w:pStyle w:val="Bibliography"/>
        <w:ind w:left="0" w:firstLine="0"/>
        <w:rPr>
          <w:rFonts w:ascii="Calibri" w:hAnsi="Calibri"/>
        </w:rPr>
      </w:pPr>
      <w:proofErr w:type="spellStart"/>
      <w:r>
        <w:rPr>
          <w:rFonts w:ascii="Calibri" w:hAnsi="Calibri"/>
        </w:rPr>
        <w:t>Metzl</w:t>
      </w:r>
      <w:proofErr w:type="spellEnd"/>
      <w:r>
        <w:rPr>
          <w:rFonts w:ascii="Calibri" w:hAnsi="Calibri"/>
        </w:rPr>
        <w:t>, J. (2009)</w:t>
      </w:r>
      <w:r w:rsidR="00457712" w:rsidRPr="00457712">
        <w:rPr>
          <w:rFonts w:ascii="Calibri" w:hAnsi="Calibri"/>
        </w:rPr>
        <w:t xml:space="preserve"> </w:t>
      </w:r>
      <w:r w:rsidR="00457712" w:rsidRPr="00696326">
        <w:rPr>
          <w:rFonts w:ascii="Calibri" w:hAnsi="Calibri"/>
          <w:iCs/>
        </w:rPr>
        <w:t>The Protest Psychosis: How Schizophrenia Became a Black Disease</w:t>
      </w:r>
      <w:r w:rsidR="00457712" w:rsidRPr="00457712">
        <w:rPr>
          <w:rFonts w:ascii="Calibri" w:hAnsi="Calibri"/>
        </w:rPr>
        <w:t xml:space="preserve">. </w:t>
      </w:r>
      <w:r>
        <w:rPr>
          <w:rFonts w:ascii="Calibri" w:hAnsi="Calibri"/>
        </w:rPr>
        <w:t xml:space="preserve">Boston: </w:t>
      </w:r>
      <w:r w:rsidR="00457712" w:rsidRPr="00457712">
        <w:rPr>
          <w:rFonts w:ascii="Calibri" w:hAnsi="Calibri"/>
        </w:rPr>
        <w:t>Beacon Press.</w:t>
      </w:r>
    </w:p>
    <w:p w14:paraId="52740AA7" w14:textId="77777777" w:rsidR="00696326" w:rsidRDefault="00696326" w:rsidP="004C1D21">
      <w:pPr>
        <w:pStyle w:val="Bibliography"/>
        <w:ind w:left="0" w:firstLine="0"/>
        <w:rPr>
          <w:rFonts w:ascii="Calibri" w:hAnsi="Calibri"/>
        </w:rPr>
      </w:pPr>
    </w:p>
    <w:p w14:paraId="70A66DA3" w14:textId="392201C2" w:rsidR="00457712" w:rsidRPr="00457712" w:rsidRDefault="00696326" w:rsidP="004C1D21">
      <w:pPr>
        <w:pStyle w:val="Bibliography"/>
        <w:ind w:left="0" w:firstLine="0"/>
        <w:rPr>
          <w:rFonts w:ascii="Calibri" w:hAnsi="Calibri"/>
        </w:rPr>
      </w:pPr>
      <w:proofErr w:type="spellStart"/>
      <w:r>
        <w:rPr>
          <w:rFonts w:ascii="Calibri" w:hAnsi="Calibri"/>
        </w:rPr>
        <w:lastRenderedPageBreak/>
        <w:t>Mol</w:t>
      </w:r>
      <w:proofErr w:type="spellEnd"/>
      <w:r>
        <w:rPr>
          <w:rFonts w:ascii="Calibri" w:hAnsi="Calibri"/>
        </w:rPr>
        <w:t>, A</w:t>
      </w:r>
      <w:r w:rsidR="00457712" w:rsidRPr="00457712">
        <w:rPr>
          <w:rFonts w:ascii="Calibri" w:hAnsi="Calibri"/>
        </w:rPr>
        <w:t xml:space="preserve">. </w:t>
      </w:r>
      <w:r>
        <w:rPr>
          <w:rFonts w:ascii="Calibri" w:hAnsi="Calibri"/>
        </w:rPr>
        <w:t>(</w:t>
      </w:r>
      <w:r w:rsidR="00457712" w:rsidRPr="00457712">
        <w:rPr>
          <w:rFonts w:ascii="Calibri" w:hAnsi="Calibri"/>
        </w:rPr>
        <w:t>2002</w:t>
      </w:r>
      <w:r>
        <w:rPr>
          <w:rFonts w:ascii="Calibri" w:hAnsi="Calibri"/>
        </w:rPr>
        <w:t>)</w:t>
      </w:r>
      <w:r w:rsidR="00457712" w:rsidRPr="00457712">
        <w:rPr>
          <w:rFonts w:ascii="Calibri" w:hAnsi="Calibri"/>
        </w:rPr>
        <w:t xml:space="preserve"> </w:t>
      </w:r>
      <w:r>
        <w:rPr>
          <w:rFonts w:ascii="Calibri" w:hAnsi="Calibri"/>
          <w:iCs/>
        </w:rPr>
        <w:t>The Body Multiple</w:t>
      </w:r>
      <w:r w:rsidR="00457712" w:rsidRPr="00696326">
        <w:rPr>
          <w:rFonts w:ascii="Calibri" w:hAnsi="Calibri"/>
          <w:iCs/>
        </w:rPr>
        <w:t>: Ontology in Medical Practice</w:t>
      </w:r>
      <w:r w:rsidR="00457712" w:rsidRPr="00457712">
        <w:rPr>
          <w:rFonts w:ascii="Calibri" w:hAnsi="Calibri"/>
        </w:rPr>
        <w:t>. Durham, NC; London: Duke University Press.</w:t>
      </w:r>
    </w:p>
    <w:p w14:paraId="3BC8F901" w14:textId="04FD101D" w:rsidR="00457712" w:rsidRPr="00457712" w:rsidRDefault="00053DC6" w:rsidP="00F427BD">
      <w:pPr>
        <w:pStyle w:val="Bibliography"/>
        <w:spacing w:before="240"/>
        <w:ind w:left="0" w:firstLine="0"/>
        <w:rPr>
          <w:rFonts w:ascii="Calibri" w:hAnsi="Calibri"/>
        </w:rPr>
      </w:pPr>
      <w:r>
        <w:rPr>
          <w:rFonts w:ascii="Calibri" w:hAnsi="Calibri"/>
        </w:rPr>
        <w:t>Moser, I</w:t>
      </w:r>
      <w:r w:rsidR="00457712" w:rsidRPr="00457712">
        <w:rPr>
          <w:rFonts w:ascii="Calibri" w:hAnsi="Calibri"/>
        </w:rPr>
        <w:t xml:space="preserve">. </w:t>
      </w:r>
      <w:r>
        <w:rPr>
          <w:rFonts w:ascii="Calibri" w:hAnsi="Calibri"/>
        </w:rPr>
        <w:t>(</w:t>
      </w:r>
      <w:r w:rsidR="00457712" w:rsidRPr="00457712">
        <w:rPr>
          <w:rFonts w:ascii="Calibri" w:hAnsi="Calibri"/>
        </w:rPr>
        <w:t>2008</w:t>
      </w:r>
      <w:r>
        <w:rPr>
          <w:rFonts w:ascii="Calibri" w:hAnsi="Calibri"/>
        </w:rPr>
        <w:t xml:space="preserve">) </w:t>
      </w:r>
      <w:r w:rsidR="00457712" w:rsidRPr="00457712">
        <w:rPr>
          <w:rFonts w:ascii="Calibri" w:hAnsi="Calibri"/>
        </w:rPr>
        <w:t>Making Alzheimer’s Disease Matter. Enacting, Interferin</w:t>
      </w:r>
      <w:r>
        <w:rPr>
          <w:rFonts w:ascii="Calibri" w:hAnsi="Calibri"/>
        </w:rPr>
        <w:t>g and Doing Politics of Nature.</w:t>
      </w:r>
      <w:r w:rsidR="00457712" w:rsidRPr="00457712">
        <w:rPr>
          <w:rFonts w:ascii="Calibri" w:hAnsi="Calibri"/>
        </w:rPr>
        <w:t xml:space="preserve"> </w:t>
      </w:r>
      <w:r w:rsidR="00457712" w:rsidRPr="00053DC6">
        <w:rPr>
          <w:rFonts w:ascii="Calibri" w:hAnsi="Calibri"/>
          <w:iCs/>
        </w:rPr>
        <w:t>Geoforum</w:t>
      </w:r>
      <w:r w:rsidR="00457712" w:rsidRPr="00053DC6">
        <w:rPr>
          <w:rFonts w:ascii="Calibri" w:hAnsi="Calibri"/>
        </w:rPr>
        <w:t>, Environmental Economic Geography</w:t>
      </w:r>
      <w:r>
        <w:rPr>
          <w:rFonts w:ascii="Calibri" w:hAnsi="Calibri"/>
        </w:rPr>
        <w:t>, 39</w:t>
      </w:r>
      <w:r w:rsidR="00457712" w:rsidRPr="00457712">
        <w:rPr>
          <w:rFonts w:ascii="Calibri" w:hAnsi="Calibri"/>
        </w:rPr>
        <w:t xml:space="preserve">(1): 98–110. </w:t>
      </w:r>
    </w:p>
    <w:p w14:paraId="28057FB2" w14:textId="7B1CF012" w:rsidR="00457712" w:rsidRPr="00457712" w:rsidRDefault="00457712" w:rsidP="00F427BD">
      <w:pPr>
        <w:pStyle w:val="Bibliography"/>
        <w:spacing w:before="240"/>
        <w:ind w:left="0" w:firstLine="0"/>
        <w:rPr>
          <w:rFonts w:ascii="Calibri" w:hAnsi="Calibri"/>
        </w:rPr>
      </w:pPr>
      <w:r w:rsidRPr="00457712">
        <w:rPr>
          <w:rFonts w:ascii="Calibri" w:hAnsi="Calibri"/>
        </w:rPr>
        <w:t xml:space="preserve">Psychiatric Disabilities Anti-violence Coalition. </w:t>
      </w:r>
      <w:r w:rsidR="00F427BD">
        <w:rPr>
          <w:rFonts w:ascii="Calibri" w:hAnsi="Calibri"/>
        </w:rPr>
        <w:t xml:space="preserve">(2015) </w:t>
      </w:r>
      <w:r w:rsidRPr="00457712">
        <w:rPr>
          <w:rFonts w:ascii="Calibri" w:hAnsi="Calibri"/>
        </w:rPr>
        <w:t>Clearing a Path: A Psychiatric Sur</w:t>
      </w:r>
      <w:r w:rsidR="00F427BD">
        <w:rPr>
          <w:rFonts w:ascii="Calibri" w:hAnsi="Calibri"/>
        </w:rPr>
        <w:t xml:space="preserve">vivor Anti-Violence Framework. </w:t>
      </w:r>
      <w:r w:rsidRPr="00457712">
        <w:rPr>
          <w:rFonts w:ascii="Calibri" w:hAnsi="Calibri"/>
        </w:rPr>
        <w:t xml:space="preserve">Toronto: The Empowerment Council. </w:t>
      </w:r>
      <w:r w:rsidR="00F427BD" w:rsidRPr="00F427BD">
        <w:rPr>
          <w:rFonts w:ascii="Calibri" w:hAnsi="Calibri"/>
        </w:rPr>
        <w:t>http</w:t>
      </w:r>
      <w:r w:rsidR="00F427BD" w:rsidRPr="00F427BD">
        <w:rPr>
          <w:rFonts w:ascii="Calibri" w:hAnsi="Calibri"/>
        </w:rPr>
        <w:t>s</w:t>
      </w:r>
      <w:r w:rsidR="00F427BD" w:rsidRPr="00F427BD">
        <w:rPr>
          <w:rFonts w:ascii="Calibri" w:hAnsi="Calibri"/>
        </w:rPr>
        <w:t>://www.academia.edu/20268560/Clearing_a_Path_A_Psychiatric_Survivor_Anti-Violence_Framework</w:t>
      </w:r>
      <w:r w:rsidR="00F427BD">
        <w:rPr>
          <w:rFonts w:ascii="Calibri" w:hAnsi="Calibri"/>
        </w:rPr>
        <w:t>, accessed 6 December 2018.</w:t>
      </w:r>
    </w:p>
    <w:p w14:paraId="76008B74" w14:textId="43C6D92C" w:rsidR="00457712" w:rsidRPr="00457712" w:rsidRDefault="00016DC9" w:rsidP="00F427BD">
      <w:pPr>
        <w:pStyle w:val="Bibliography"/>
        <w:spacing w:before="240"/>
        <w:ind w:left="0" w:firstLine="0"/>
        <w:rPr>
          <w:rFonts w:ascii="Calibri" w:hAnsi="Calibri"/>
        </w:rPr>
      </w:pPr>
      <w:r>
        <w:rPr>
          <w:rFonts w:ascii="Calibri" w:hAnsi="Calibri"/>
        </w:rPr>
        <w:t xml:space="preserve">Rose, D., </w:t>
      </w:r>
      <w:proofErr w:type="spellStart"/>
      <w:r w:rsidR="00457712" w:rsidRPr="00457712">
        <w:rPr>
          <w:rFonts w:ascii="Calibri" w:hAnsi="Calibri"/>
        </w:rPr>
        <w:t>Ca</w:t>
      </w:r>
      <w:r>
        <w:rPr>
          <w:rFonts w:ascii="Calibri" w:hAnsi="Calibri"/>
        </w:rPr>
        <w:t>rr</w:t>
      </w:r>
      <w:proofErr w:type="spellEnd"/>
      <w:r>
        <w:rPr>
          <w:rFonts w:ascii="Calibri" w:hAnsi="Calibri"/>
        </w:rPr>
        <w:t xml:space="preserve">, S. and Beresford, P. (2018) </w:t>
      </w:r>
      <w:r w:rsidR="00457712" w:rsidRPr="00457712">
        <w:rPr>
          <w:rFonts w:ascii="Calibri" w:hAnsi="Calibri"/>
        </w:rPr>
        <w:t>‘Widening Cross-Disciplinary Research for Mental Health’: What Is Missing from the Research Cou</w:t>
      </w:r>
      <w:r>
        <w:rPr>
          <w:rFonts w:ascii="Calibri" w:hAnsi="Calibri"/>
        </w:rPr>
        <w:t xml:space="preserve">ncils UK Mental Health Agenda? </w:t>
      </w:r>
      <w:r w:rsidR="00457712" w:rsidRPr="00016DC9">
        <w:rPr>
          <w:rFonts w:ascii="Calibri" w:hAnsi="Calibri"/>
          <w:iCs/>
        </w:rPr>
        <w:t>Disability &amp; Society</w:t>
      </w:r>
      <w:r w:rsidR="00457712" w:rsidRPr="00016DC9">
        <w:rPr>
          <w:rFonts w:ascii="Calibri" w:hAnsi="Calibri"/>
        </w:rPr>
        <w:t xml:space="preserve"> 3</w:t>
      </w:r>
      <w:r w:rsidRPr="00016DC9">
        <w:rPr>
          <w:rFonts w:ascii="Calibri" w:hAnsi="Calibri"/>
        </w:rPr>
        <w:t>3</w:t>
      </w:r>
      <w:r>
        <w:rPr>
          <w:rFonts w:ascii="Calibri" w:hAnsi="Calibri"/>
        </w:rPr>
        <w:t>(3): 476–81.</w:t>
      </w:r>
    </w:p>
    <w:p w14:paraId="0DF2DF66" w14:textId="5DDB273F" w:rsidR="00457712" w:rsidRDefault="00433BE7" w:rsidP="00433BE7">
      <w:pPr>
        <w:pStyle w:val="Bibliography"/>
        <w:spacing w:before="240"/>
        <w:ind w:left="0" w:firstLine="0"/>
        <w:rPr>
          <w:rFonts w:ascii="Calibri" w:hAnsi="Calibri"/>
        </w:rPr>
      </w:pPr>
      <w:r>
        <w:rPr>
          <w:rFonts w:ascii="Calibri" w:hAnsi="Calibri"/>
        </w:rPr>
        <w:t>Russo, J</w:t>
      </w:r>
      <w:r w:rsidR="00457712" w:rsidRPr="00457712">
        <w:rPr>
          <w:rFonts w:ascii="Calibri" w:hAnsi="Calibri"/>
        </w:rPr>
        <w:t xml:space="preserve">. </w:t>
      </w:r>
      <w:r>
        <w:rPr>
          <w:rFonts w:ascii="Calibri" w:hAnsi="Calibri"/>
        </w:rPr>
        <w:t>(</w:t>
      </w:r>
      <w:r w:rsidR="00457712" w:rsidRPr="00457712">
        <w:rPr>
          <w:rFonts w:ascii="Calibri" w:hAnsi="Calibri"/>
        </w:rPr>
        <w:t>2016a</w:t>
      </w:r>
      <w:r>
        <w:rPr>
          <w:rFonts w:ascii="Calibri" w:hAnsi="Calibri"/>
        </w:rPr>
        <w:t xml:space="preserve">) </w:t>
      </w:r>
      <w:r w:rsidR="00457712" w:rsidRPr="00457712">
        <w:rPr>
          <w:rFonts w:ascii="Calibri" w:hAnsi="Calibri"/>
        </w:rPr>
        <w:t>In Dialogue with Conventional Narrative Research i</w:t>
      </w:r>
      <w:r>
        <w:rPr>
          <w:rFonts w:ascii="Calibri" w:hAnsi="Calibri"/>
        </w:rPr>
        <w:t>n Psychiatry and Mental Health.</w:t>
      </w:r>
      <w:r w:rsidR="00457712" w:rsidRPr="00457712">
        <w:rPr>
          <w:rFonts w:ascii="Calibri" w:hAnsi="Calibri"/>
        </w:rPr>
        <w:t xml:space="preserve"> </w:t>
      </w:r>
      <w:r w:rsidR="00457712" w:rsidRPr="00433BE7">
        <w:rPr>
          <w:rFonts w:ascii="Calibri" w:hAnsi="Calibri"/>
          <w:iCs/>
        </w:rPr>
        <w:t>Philosophy, Psychiatry, &amp; Psychology</w:t>
      </w:r>
      <w:r>
        <w:rPr>
          <w:rFonts w:ascii="Calibri" w:hAnsi="Calibri"/>
        </w:rPr>
        <w:t xml:space="preserve"> 23(3): 215–28.</w:t>
      </w:r>
    </w:p>
    <w:p w14:paraId="39710214" w14:textId="0613DFF0" w:rsidR="00457712" w:rsidRPr="00457712" w:rsidRDefault="00433BE7" w:rsidP="00433BE7">
      <w:pPr>
        <w:pStyle w:val="Bibliography"/>
        <w:spacing w:before="240"/>
        <w:ind w:left="0" w:firstLine="0"/>
        <w:rPr>
          <w:rFonts w:ascii="Calibri" w:hAnsi="Calibri"/>
        </w:rPr>
      </w:pPr>
      <w:r>
        <w:rPr>
          <w:rFonts w:ascii="Calibri" w:hAnsi="Calibri"/>
        </w:rPr>
        <w:t>Russo, J</w:t>
      </w:r>
      <w:r w:rsidR="00457712" w:rsidRPr="00457712">
        <w:rPr>
          <w:rFonts w:ascii="Calibri" w:hAnsi="Calibri"/>
        </w:rPr>
        <w:t xml:space="preserve">. </w:t>
      </w:r>
      <w:r>
        <w:rPr>
          <w:rFonts w:ascii="Calibri" w:hAnsi="Calibri"/>
        </w:rPr>
        <w:t xml:space="preserve">(2016b) </w:t>
      </w:r>
      <w:r w:rsidR="00457712" w:rsidRPr="00457712">
        <w:rPr>
          <w:rFonts w:ascii="Calibri" w:hAnsi="Calibri"/>
        </w:rPr>
        <w:t xml:space="preserve">Towards Our Own Framework, </w:t>
      </w:r>
      <w:r>
        <w:rPr>
          <w:rFonts w:ascii="Calibri" w:hAnsi="Calibri"/>
        </w:rPr>
        <w:t>or Reclaiming Madness Part Two.</w:t>
      </w:r>
      <w:r w:rsidR="00457712" w:rsidRPr="00457712">
        <w:rPr>
          <w:rFonts w:ascii="Calibri" w:hAnsi="Calibri"/>
        </w:rPr>
        <w:t xml:space="preserve"> In</w:t>
      </w:r>
      <w:r>
        <w:rPr>
          <w:rFonts w:ascii="Calibri" w:hAnsi="Calibri"/>
        </w:rPr>
        <w:t>: J. Russo and A. Sweeney (eds.)</w:t>
      </w:r>
      <w:r w:rsidR="00457712" w:rsidRPr="00457712">
        <w:rPr>
          <w:rFonts w:ascii="Calibri" w:hAnsi="Calibri"/>
        </w:rPr>
        <w:t xml:space="preserve"> </w:t>
      </w:r>
      <w:r w:rsidR="00457712" w:rsidRPr="00433BE7">
        <w:rPr>
          <w:rFonts w:ascii="Calibri" w:hAnsi="Calibri"/>
          <w:iCs/>
        </w:rPr>
        <w:t>Searching for a Rose Garden: Challenging Psychiatry, Fostering Mad Studies</w:t>
      </w:r>
      <w:r>
        <w:rPr>
          <w:rFonts w:ascii="Calibri" w:hAnsi="Calibri"/>
          <w:iCs/>
        </w:rPr>
        <w:t xml:space="preserve">. </w:t>
      </w:r>
      <w:r w:rsidR="009C5117">
        <w:rPr>
          <w:rFonts w:ascii="Calibri" w:hAnsi="Calibri"/>
          <w:iCs/>
        </w:rPr>
        <w:t xml:space="preserve">Ross-on-Wye: </w:t>
      </w:r>
      <w:r>
        <w:rPr>
          <w:rFonts w:ascii="Calibri" w:hAnsi="Calibri"/>
          <w:iCs/>
        </w:rPr>
        <w:t>PCCS Books, pp.</w:t>
      </w:r>
      <w:r>
        <w:rPr>
          <w:rFonts w:ascii="Calibri" w:hAnsi="Calibri"/>
        </w:rPr>
        <w:t>59–68.</w:t>
      </w:r>
    </w:p>
    <w:p w14:paraId="6AEF3E28" w14:textId="77777777" w:rsidR="00433BE7" w:rsidRDefault="00433BE7" w:rsidP="004C1D21">
      <w:pPr>
        <w:pStyle w:val="Bibliography"/>
        <w:ind w:left="0" w:firstLine="0"/>
        <w:rPr>
          <w:rFonts w:ascii="Calibri" w:hAnsi="Calibri"/>
        </w:rPr>
      </w:pPr>
    </w:p>
    <w:p w14:paraId="3F6991AE" w14:textId="792F282B" w:rsidR="00457712" w:rsidRDefault="006E7DBB" w:rsidP="004C1D21">
      <w:pPr>
        <w:pStyle w:val="Bibliography"/>
        <w:ind w:left="0" w:firstLine="0"/>
        <w:rPr>
          <w:rFonts w:ascii="Calibri" w:hAnsi="Calibri"/>
        </w:rPr>
      </w:pPr>
      <w:r>
        <w:rPr>
          <w:rFonts w:ascii="Calibri" w:hAnsi="Calibri"/>
        </w:rPr>
        <w:t xml:space="preserve">Russo, J., and </w:t>
      </w:r>
      <w:r w:rsidR="00457712" w:rsidRPr="00457712">
        <w:rPr>
          <w:rFonts w:ascii="Calibri" w:hAnsi="Calibri"/>
        </w:rPr>
        <w:t>Beresford</w:t>
      </w:r>
      <w:r>
        <w:rPr>
          <w:rFonts w:ascii="Calibri" w:hAnsi="Calibri"/>
        </w:rPr>
        <w:t>, P</w:t>
      </w:r>
      <w:r w:rsidR="00457712" w:rsidRPr="00457712">
        <w:rPr>
          <w:rFonts w:ascii="Calibri" w:hAnsi="Calibri"/>
        </w:rPr>
        <w:t xml:space="preserve">. </w:t>
      </w:r>
      <w:r>
        <w:rPr>
          <w:rFonts w:ascii="Calibri" w:hAnsi="Calibri"/>
        </w:rPr>
        <w:t xml:space="preserve">(2015) </w:t>
      </w:r>
      <w:r w:rsidR="00457712" w:rsidRPr="00457712">
        <w:rPr>
          <w:rFonts w:ascii="Calibri" w:hAnsi="Calibri"/>
        </w:rPr>
        <w:t xml:space="preserve">Between Exclusion and Colonisation: Seeking a Place for Mad </w:t>
      </w:r>
      <w:r>
        <w:rPr>
          <w:rFonts w:ascii="Calibri" w:hAnsi="Calibri"/>
        </w:rPr>
        <w:t>People’s Knowledge in Academia.</w:t>
      </w:r>
      <w:r w:rsidR="00457712" w:rsidRPr="00457712">
        <w:rPr>
          <w:rFonts w:ascii="Calibri" w:hAnsi="Calibri"/>
        </w:rPr>
        <w:t xml:space="preserve"> </w:t>
      </w:r>
      <w:r w:rsidR="00457712" w:rsidRPr="006E7DBB">
        <w:rPr>
          <w:rFonts w:ascii="Calibri" w:hAnsi="Calibri"/>
          <w:iCs/>
        </w:rPr>
        <w:t>Disability &amp; Society</w:t>
      </w:r>
      <w:r w:rsidR="00457712" w:rsidRPr="00457712">
        <w:rPr>
          <w:rFonts w:ascii="Calibri" w:hAnsi="Calibri"/>
        </w:rPr>
        <w:t xml:space="preserve"> </w:t>
      </w:r>
      <w:r>
        <w:rPr>
          <w:rFonts w:ascii="Calibri" w:hAnsi="Calibri"/>
        </w:rPr>
        <w:t>30(1</w:t>
      </w:r>
      <w:r w:rsidR="00457712" w:rsidRPr="00457712">
        <w:rPr>
          <w:rFonts w:ascii="Calibri" w:hAnsi="Calibri"/>
        </w:rPr>
        <w:t xml:space="preserve">): </w:t>
      </w:r>
      <w:r>
        <w:rPr>
          <w:rFonts w:ascii="Calibri" w:hAnsi="Calibri"/>
        </w:rPr>
        <w:t>153-157</w:t>
      </w:r>
      <w:r w:rsidR="00457712" w:rsidRPr="00457712">
        <w:rPr>
          <w:rFonts w:ascii="Calibri" w:hAnsi="Calibri"/>
        </w:rPr>
        <w:t xml:space="preserve">. </w:t>
      </w:r>
    </w:p>
    <w:p w14:paraId="5006A6F0" w14:textId="1FF1E45B" w:rsidR="00457712" w:rsidRPr="00457712" w:rsidRDefault="006E7DBB" w:rsidP="006E7DBB">
      <w:pPr>
        <w:pStyle w:val="Bibliography"/>
        <w:spacing w:before="240"/>
        <w:ind w:left="0" w:firstLine="0"/>
        <w:rPr>
          <w:rFonts w:ascii="Calibri" w:hAnsi="Calibri"/>
        </w:rPr>
      </w:pPr>
      <w:r>
        <w:rPr>
          <w:rFonts w:ascii="Calibri" w:hAnsi="Calibri"/>
        </w:rPr>
        <w:t xml:space="preserve">Ryan-Flood, R. and </w:t>
      </w:r>
      <w:r w:rsidR="00457712" w:rsidRPr="00457712">
        <w:rPr>
          <w:rFonts w:ascii="Calibri" w:hAnsi="Calibri"/>
        </w:rPr>
        <w:t xml:space="preserve">Gill, </w:t>
      </w:r>
      <w:r>
        <w:rPr>
          <w:rFonts w:ascii="Calibri" w:hAnsi="Calibri"/>
        </w:rPr>
        <w:t>R. (</w:t>
      </w:r>
      <w:r w:rsidR="00457712" w:rsidRPr="00457712">
        <w:rPr>
          <w:rFonts w:ascii="Calibri" w:hAnsi="Calibri"/>
        </w:rPr>
        <w:t>eds.</w:t>
      </w:r>
      <w:r>
        <w:rPr>
          <w:rFonts w:ascii="Calibri" w:hAnsi="Calibri"/>
        </w:rPr>
        <w:t>)</w:t>
      </w:r>
      <w:r w:rsidR="00457712" w:rsidRPr="00457712">
        <w:rPr>
          <w:rFonts w:ascii="Calibri" w:hAnsi="Calibri"/>
        </w:rPr>
        <w:t xml:space="preserve"> </w:t>
      </w:r>
      <w:r>
        <w:rPr>
          <w:rFonts w:ascii="Calibri" w:hAnsi="Calibri"/>
        </w:rPr>
        <w:t>(</w:t>
      </w:r>
      <w:r w:rsidR="00457712" w:rsidRPr="00457712">
        <w:rPr>
          <w:rFonts w:ascii="Calibri" w:hAnsi="Calibri"/>
        </w:rPr>
        <w:t>2009</w:t>
      </w:r>
      <w:r>
        <w:rPr>
          <w:rFonts w:ascii="Calibri" w:hAnsi="Calibri"/>
        </w:rPr>
        <w:t>)</w:t>
      </w:r>
      <w:r w:rsidR="00457712" w:rsidRPr="00457712">
        <w:rPr>
          <w:rFonts w:ascii="Calibri" w:hAnsi="Calibri"/>
        </w:rPr>
        <w:t xml:space="preserve"> </w:t>
      </w:r>
      <w:r w:rsidR="00457712" w:rsidRPr="006E7DBB">
        <w:rPr>
          <w:rFonts w:ascii="Calibri" w:hAnsi="Calibri"/>
          <w:iCs/>
        </w:rPr>
        <w:t>Secrecy and Silence in the Research Process: Feminist Reflections</w:t>
      </w:r>
      <w:r>
        <w:rPr>
          <w:rFonts w:ascii="Calibri" w:hAnsi="Calibri"/>
        </w:rPr>
        <w:t>. Abingdon, New York</w:t>
      </w:r>
      <w:r w:rsidR="00457712" w:rsidRPr="00457712">
        <w:rPr>
          <w:rFonts w:ascii="Calibri" w:hAnsi="Calibri"/>
        </w:rPr>
        <w:t>: Routledge.</w:t>
      </w:r>
    </w:p>
    <w:p w14:paraId="2A3F2027" w14:textId="3A1F34F8" w:rsidR="00457712" w:rsidRPr="00457712" w:rsidRDefault="00AB7DED" w:rsidP="006E7DBB">
      <w:pPr>
        <w:pStyle w:val="Bibliography"/>
        <w:spacing w:before="240"/>
        <w:ind w:left="0" w:firstLine="0"/>
        <w:rPr>
          <w:rFonts w:ascii="Calibri" w:hAnsi="Calibri"/>
        </w:rPr>
      </w:pPr>
      <w:r>
        <w:rPr>
          <w:rFonts w:ascii="Calibri" w:hAnsi="Calibri"/>
        </w:rPr>
        <w:t>Sedgwick, P</w:t>
      </w:r>
      <w:r w:rsidR="00457712" w:rsidRPr="00457712">
        <w:rPr>
          <w:rFonts w:ascii="Calibri" w:hAnsi="Calibri"/>
        </w:rPr>
        <w:t xml:space="preserve">. </w:t>
      </w:r>
      <w:r>
        <w:rPr>
          <w:rFonts w:ascii="Calibri" w:hAnsi="Calibri"/>
        </w:rPr>
        <w:t>(1982)</w:t>
      </w:r>
      <w:r w:rsidR="00457712" w:rsidRPr="00457712">
        <w:rPr>
          <w:rFonts w:ascii="Calibri" w:hAnsi="Calibri"/>
        </w:rPr>
        <w:t xml:space="preserve"> </w:t>
      </w:r>
      <w:r w:rsidR="00457712" w:rsidRPr="00AB7DED">
        <w:rPr>
          <w:rFonts w:ascii="Calibri" w:hAnsi="Calibri"/>
          <w:iCs/>
        </w:rPr>
        <w:t>Psycho Politics</w:t>
      </w:r>
      <w:r w:rsidR="00457712" w:rsidRPr="00457712">
        <w:rPr>
          <w:rFonts w:ascii="Calibri" w:hAnsi="Calibri"/>
        </w:rPr>
        <w:t xml:space="preserve">. </w:t>
      </w:r>
      <w:r>
        <w:rPr>
          <w:rFonts w:ascii="Calibri" w:hAnsi="Calibri"/>
        </w:rPr>
        <w:t xml:space="preserve">London: </w:t>
      </w:r>
      <w:r w:rsidR="00457712" w:rsidRPr="00457712">
        <w:rPr>
          <w:rFonts w:ascii="Calibri" w:hAnsi="Calibri"/>
        </w:rPr>
        <w:t>Pluto Press.</w:t>
      </w:r>
    </w:p>
    <w:p w14:paraId="5AA548BB" w14:textId="31C6F840" w:rsidR="00457712" w:rsidRPr="00457712" w:rsidRDefault="009C5117" w:rsidP="009C5117">
      <w:pPr>
        <w:pStyle w:val="Bibliography"/>
        <w:spacing w:before="240"/>
        <w:ind w:left="0" w:firstLine="0"/>
        <w:rPr>
          <w:rFonts w:ascii="Calibri" w:hAnsi="Calibri"/>
        </w:rPr>
      </w:pPr>
      <w:r>
        <w:rPr>
          <w:rFonts w:ascii="Calibri" w:hAnsi="Calibri"/>
        </w:rPr>
        <w:t>Sweeney, A.</w:t>
      </w:r>
      <w:r w:rsidR="00457712" w:rsidRPr="00457712">
        <w:rPr>
          <w:rFonts w:ascii="Calibri" w:hAnsi="Calibri"/>
        </w:rPr>
        <w:t xml:space="preserve">, Beresford, </w:t>
      </w:r>
      <w:r>
        <w:rPr>
          <w:rFonts w:ascii="Calibri" w:hAnsi="Calibri"/>
        </w:rPr>
        <w:t xml:space="preserve">P., </w:t>
      </w:r>
      <w:r w:rsidR="00457712" w:rsidRPr="00457712">
        <w:rPr>
          <w:rFonts w:ascii="Calibri" w:hAnsi="Calibri"/>
        </w:rPr>
        <w:t>Faulkner,</w:t>
      </w:r>
      <w:r>
        <w:rPr>
          <w:rFonts w:ascii="Calibri" w:hAnsi="Calibri"/>
        </w:rPr>
        <w:t xml:space="preserve"> A., </w:t>
      </w:r>
      <w:r w:rsidR="00457712" w:rsidRPr="00457712">
        <w:rPr>
          <w:rFonts w:ascii="Calibri" w:hAnsi="Calibri"/>
        </w:rPr>
        <w:t xml:space="preserve">Nettle, </w:t>
      </w:r>
      <w:r>
        <w:rPr>
          <w:rFonts w:ascii="Calibri" w:hAnsi="Calibri"/>
        </w:rPr>
        <w:t xml:space="preserve">M., and </w:t>
      </w:r>
      <w:r w:rsidR="00457712" w:rsidRPr="00457712">
        <w:rPr>
          <w:rFonts w:ascii="Calibri" w:hAnsi="Calibri"/>
        </w:rPr>
        <w:t xml:space="preserve">Rose, </w:t>
      </w:r>
      <w:r>
        <w:rPr>
          <w:rFonts w:ascii="Calibri" w:hAnsi="Calibri"/>
        </w:rPr>
        <w:t>D. (</w:t>
      </w:r>
      <w:r w:rsidR="00457712" w:rsidRPr="00457712">
        <w:rPr>
          <w:rFonts w:ascii="Calibri" w:hAnsi="Calibri"/>
        </w:rPr>
        <w:t>eds.</w:t>
      </w:r>
      <w:r>
        <w:rPr>
          <w:rFonts w:ascii="Calibri" w:hAnsi="Calibri"/>
        </w:rPr>
        <w:t>)</w:t>
      </w:r>
      <w:r w:rsidR="00457712" w:rsidRPr="00457712">
        <w:rPr>
          <w:rFonts w:ascii="Calibri" w:hAnsi="Calibri"/>
        </w:rPr>
        <w:t xml:space="preserve"> </w:t>
      </w:r>
      <w:r>
        <w:rPr>
          <w:rFonts w:ascii="Calibri" w:hAnsi="Calibri"/>
        </w:rPr>
        <w:t>(</w:t>
      </w:r>
      <w:r w:rsidR="00457712" w:rsidRPr="00457712">
        <w:rPr>
          <w:rFonts w:ascii="Calibri" w:hAnsi="Calibri"/>
        </w:rPr>
        <w:t>2009</w:t>
      </w:r>
      <w:r>
        <w:rPr>
          <w:rFonts w:ascii="Calibri" w:hAnsi="Calibri"/>
        </w:rPr>
        <w:t>)</w:t>
      </w:r>
      <w:r w:rsidR="00457712" w:rsidRPr="00457712">
        <w:rPr>
          <w:rFonts w:ascii="Calibri" w:hAnsi="Calibri"/>
        </w:rPr>
        <w:t xml:space="preserve"> </w:t>
      </w:r>
      <w:r w:rsidR="00457712" w:rsidRPr="009C5117">
        <w:rPr>
          <w:rFonts w:ascii="Calibri" w:hAnsi="Calibri"/>
          <w:iCs/>
        </w:rPr>
        <w:t>This Is Survivor Research</w:t>
      </w:r>
      <w:r w:rsidR="00457712" w:rsidRPr="009C5117">
        <w:rPr>
          <w:rFonts w:ascii="Calibri" w:hAnsi="Calibri"/>
        </w:rPr>
        <w:t>.</w:t>
      </w:r>
      <w:r w:rsidR="00457712" w:rsidRPr="00457712">
        <w:rPr>
          <w:rFonts w:ascii="Calibri" w:hAnsi="Calibri"/>
        </w:rPr>
        <w:t xml:space="preserve"> Ross-on-Wye: PCCS Books.</w:t>
      </w:r>
    </w:p>
    <w:p w14:paraId="4A493C88" w14:textId="3EE0EB24" w:rsidR="009C5117" w:rsidRDefault="009C5117" w:rsidP="009C5117">
      <w:pPr>
        <w:pStyle w:val="Bibliography"/>
        <w:spacing w:before="240"/>
        <w:ind w:left="0" w:firstLine="0"/>
        <w:rPr>
          <w:rFonts w:ascii="Calibri" w:hAnsi="Calibri"/>
        </w:rPr>
      </w:pPr>
      <w:r>
        <w:rPr>
          <w:rFonts w:ascii="Calibri" w:hAnsi="Calibri"/>
        </w:rPr>
        <w:t xml:space="preserve">Tyler, I. (2018) </w:t>
      </w:r>
      <w:r w:rsidRPr="004D2A98">
        <w:rPr>
          <w:rFonts w:ascii="Calibri" w:hAnsi="Calibri"/>
        </w:rPr>
        <w:t>Resituating Goffman: From Stigma Power to Black Power</w:t>
      </w:r>
      <w:r>
        <w:rPr>
          <w:rFonts w:ascii="Calibri" w:hAnsi="Calibri"/>
        </w:rPr>
        <w:t>. The Sociological Review 66(4): 744-765.</w:t>
      </w:r>
    </w:p>
    <w:p w14:paraId="11E401C8" w14:textId="58E7A8F2" w:rsidR="00457712" w:rsidRPr="00457712" w:rsidRDefault="009C5117" w:rsidP="009C5117">
      <w:pPr>
        <w:pStyle w:val="Bibliography"/>
        <w:spacing w:before="240"/>
        <w:ind w:left="0" w:firstLine="0"/>
        <w:rPr>
          <w:rFonts w:ascii="Calibri" w:hAnsi="Calibri"/>
        </w:rPr>
      </w:pPr>
      <w:r>
        <w:rPr>
          <w:rFonts w:ascii="Calibri" w:hAnsi="Calibri"/>
        </w:rPr>
        <w:t>Tyler, I</w:t>
      </w:r>
      <w:r w:rsidR="00457712" w:rsidRPr="00457712">
        <w:rPr>
          <w:rFonts w:ascii="Calibri" w:hAnsi="Calibri"/>
        </w:rPr>
        <w:t xml:space="preserve">. </w:t>
      </w:r>
      <w:r>
        <w:rPr>
          <w:rFonts w:ascii="Calibri" w:hAnsi="Calibri"/>
        </w:rPr>
        <w:t xml:space="preserve">(2015) </w:t>
      </w:r>
      <w:r w:rsidR="00457712" w:rsidRPr="00457712">
        <w:rPr>
          <w:rFonts w:ascii="Calibri" w:hAnsi="Calibri"/>
        </w:rPr>
        <w:t xml:space="preserve">Classificatory Struggles: Class, Culture and </w:t>
      </w:r>
      <w:r>
        <w:rPr>
          <w:rFonts w:ascii="Calibri" w:hAnsi="Calibri"/>
        </w:rPr>
        <w:t>Inequality in Neoliberal Times.</w:t>
      </w:r>
      <w:r w:rsidR="00457712" w:rsidRPr="00457712">
        <w:rPr>
          <w:rFonts w:ascii="Calibri" w:hAnsi="Calibri"/>
        </w:rPr>
        <w:t xml:space="preserve"> </w:t>
      </w:r>
      <w:r w:rsidR="00457712" w:rsidRPr="009C5117">
        <w:rPr>
          <w:rFonts w:ascii="Calibri" w:hAnsi="Calibri"/>
          <w:iCs/>
        </w:rPr>
        <w:t>The Sociological Review</w:t>
      </w:r>
      <w:r>
        <w:rPr>
          <w:rFonts w:ascii="Calibri" w:hAnsi="Calibri"/>
        </w:rPr>
        <w:t xml:space="preserve"> 63</w:t>
      </w:r>
      <w:r w:rsidR="00457712" w:rsidRPr="00457712">
        <w:rPr>
          <w:rFonts w:ascii="Calibri" w:hAnsi="Calibri"/>
        </w:rPr>
        <w:t>(2): 493–511.</w:t>
      </w:r>
    </w:p>
    <w:p w14:paraId="3F2A3115" w14:textId="5F7D0D2F" w:rsidR="008C3F85" w:rsidRDefault="008C3F85" w:rsidP="008C3F85">
      <w:pPr>
        <w:pStyle w:val="Bibliography"/>
        <w:spacing w:before="240"/>
        <w:ind w:left="0" w:firstLine="0"/>
        <w:rPr>
          <w:rFonts w:ascii="Calibri" w:hAnsi="Calibri"/>
        </w:rPr>
      </w:pPr>
      <w:r>
        <w:rPr>
          <w:rFonts w:ascii="Calibri" w:hAnsi="Calibri"/>
        </w:rPr>
        <w:t xml:space="preserve">Voronka, J. (forthcoming) </w:t>
      </w:r>
      <w:r w:rsidRPr="00D72054">
        <w:t>Storytelling</w:t>
      </w:r>
      <w:r>
        <w:t xml:space="preserve"> through the p</w:t>
      </w:r>
      <w:r w:rsidRPr="00D72054">
        <w:t xml:space="preserve">sychiatric </w:t>
      </w:r>
      <w:r>
        <w:t>g</w:t>
      </w:r>
      <w:r w:rsidRPr="00D72054">
        <w:t>aze:</w:t>
      </w:r>
      <w:r>
        <w:t xml:space="preserve"> Resisting re</w:t>
      </w:r>
      <w:r w:rsidRPr="00D72054">
        <w:t>silience and recovery narratives</w:t>
      </w:r>
      <w:r>
        <w:t>. Canadian Journal of Disability Studies: In Press.</w:t>
      </w:r>
    </w:p>
    <w:p w14:paraId="187C45DC" w14:textId="77777777" w:rsidR="008C3F85" w:rsidRDefault="008C3F85" w:rsidP="008C3F85">
      <w:pPr>
        <w:pStyle w:val="Bibliography"/>
        <w:spacing w:before="240"/>
        <w:ind w:left="0" w:firstLine="0"/>
        <w:rPr>
          <w:rFonts w:ascii="Calibri" w:hAnsi="Calibri"/>
        </w:rPr>
      </w:pPr>
      <w:r>
        <w:rPr>
          <w:rFonts w:ascii="Calibri" w:hAnsi="Calibri"/>
        </w:rPr>
        <w:t xml:space="preserve">Voronka, J. (2017) </w:t>
      </w:r>
      <w:r w:rsidRPr="00457712">
        <w:rPr>
          <w:rFonts w:ascii="Calibri" w:hAnsi="Calibri"/>
        </w:rPr>
        <w:t>Turning Mad Knowledge into Affective Labor: The C</w:t>
      </w:r>
      <w:r>
        <w:rPr>
          <w:rFonts w:ascii="Calibri" w:hAnsi="Calibri"/>
        </w:rPr>
        <w:t>ase of the Peer Support Worker.</w:t>
      </w:r>
      <w:r w:rsidRPr="00457712">
        <w:rPr>
          <w:rFonts w:ascii="Calibri" w:hAnsi="Calibri"/>
        </w:rPr>
        <w:t xml:space="preserve"> </w:t>
      </w:r>
      <w:r w:rsidRPr="008C3F85">
        <w:rPr>
          <w:rFonts w:ascii="Calibri" w:hAnsi="Calibri"/>
          <w:iCs/>
        </w:rPr>
        <w:t>American Quarterly</w:t>
      </w:r>
      <w:r>
        <w:rPr>
          <w:rFonts w:ascii="Calibri" w:hAnsi="Calibri"/>
        </w:rPr>
        <w:t xml:space="preserve"> 69</w:t>
      </w:r>
      <w:r w:rsidRPr="00457712">
        <w:rPr>
          <w:rFonts w:ascii="Calibri" w:hAnsi="Calibri"/>
        </w:rPr>
        <w:t xml:space="preserve">(2): 333–38. </w:t>
      </w:r>
    </w:p>
    <w:p w14:paraId="7E0D0251" w14:textId="2AAD5D18" w:rsidR="00457712" w:rsidRPr="00457712" w:rsidRDefault="008C3F85" w:rsidP="008C3F85">
      <w:pPr>
        <w:pStyle w:val="Bibliography"/>
        <w:spacing w:before="240"/>
        <w:ind w:left="0" w:firstLine="0"/>
        <w:rPr>
          <w:rFonts w:ascii="Calibri" w:hAnsi="Calibri"/>
        </w:rPr>
      </w:pPr>
      <w:r>
        <w:rPr>
          <w:rFonts w:ascii="Calibri" w:hAnsi="Calibri"/>
        </w:rPr>
        <w:t>Voronka, J</w:t>
      </w:r>
      <w:r w:rsidR="00457712" w:rsidRPr="00457712">
        <w:rPr>
          <w:rFonts w:ascii="Calibri" w:hAnsi="Calibri"/>
        </w:rPr>
        <w:t xml:space="preserve">. </w:t>
      </w:r>
      <w:r>
        <w:rPr>
          <w:rFonts w:ascii="Calibri" w:hAnsi="Calibri"/>
        </w:rPr>
        <w:t>(</w:t>
      </w:r>
      <w:r w:rsidR="00457712" w:rsidRPr="00457712">
        <w:rPr>
          <w:rFonts w:ascii="Calibri" w:hAnsi="Calibri"/>
        </w:rPr>
        <w:t>2016</w:t>
      </w:r>
      <w:r>
        <w:rPr>
          <w:rFonts w:ascii="Calibri" w:hAnsi="Calibri"/>
        </w:rPr>
        <w:t xml:space="preserve">) </w:t>
      </w:r>
      <w:r w:rsidR="00457712" w:rsidRPr="00457712">
        <w:rPr>
          <w:rFonts w:ascii="Calibri" w:hAnsi="Calibri"/>
        </w:rPr>
        <w:t>The Politics of ‘people with Lived Experience’ Experiential Authority and the R</w:t>
      </w:r>
      <w:r>
        <w:rPr>
          <w:rFonts w:ascii="Calibri" w:hAnsi="Calibri"/>
        </w:rPr>
        <w:t>isks of Strategic Essentialism.</w:t>
      </w:r>
      <w:r w:rsidR="00457712" w:rsidRPr="00457712">
        <w:rPr>
          <w:rFonts w:ascii="Calibri" w:hAnsi="Calibri"/>
        </w:rPr>
        <w:t xml:space="preserve"> </w:t>
      </w:r>
      <w:r w:rsidR="00457712" w:rsidRPr="008C3F85">
        <w:rPr>
          <w:rFonts w:ascii="Calibri" w:hAnsi="Calibri"/>
          <w:iCs/>
        </w:rPr>
        <w:t>Philosophy, Psychiatry, &amp; Psychology</w:t>
      </w:r>
      <w:r>
        <w:rPr>
          <w:rFonts w:ascii="Calibri" w:hAnsi="Calibri"/>
        </w:rPr>
        <w:t xml:space="preserve"> 23</w:t>
      </w:r>
      <w:r w:rsidR="00457712" w:rsidRPr="00457712">
        <w:rPr>
          <w:rFonts w:ascii="Calibri" w:hAnsi="Calibri"/>
        </w:rPr>
        <w:t xml:space="preserve">(3): 189–201. </w:t>
      </w:r>
    </w:p>
    <w:p w14:paraId="418A08BF" w14:textId="77777777" w:rsidR="008C3F85" w:rsidRDefault="008C3F85" w:rsidP="004C1D21">
      <w:pPr>
        <w:pStyle w:val="Bibliography"/>
        <w:ind w:left="0" w:firstLine="0"/>
        <w:rPr>
          <w:rFonts w:ascii="Calibri" w:hAnsi="Calibri"/>
        </w:rPr>
      </w:pPr>
    </w:p>
    <w:p w14:paraId="4014F0A1" w14:textId="1FA7759B" w:rsidR="00457712" w:rsidRPr="00457712" w:rsidRDefault="008C3F85" w:rsidP="004C1D21">
      <w:pPr>
        <w:pStyle w:val="Bibliography"/>
        <w:ind w:left="0" w:firstLine="0"/>
        <w:rPr>
          <w:rFonts w:ascii="Calibri" w:hAnsi="Calibri"/>
        </w:rPr>
      </w:pPr>
      <w:proofErr w:type="spellStart"/>
      <w:r>
        <w:rPr>
          <w:rFonts w:ascii="Calibri" w:hAnsi="Calibri"/>
        </w:rPr>
        <w:t>Weheliye</w:t>
      </w:r>
      <w:proofErr w:type="spellEnd"/>
      <w:r>
        <w:rPr>
          <w:rFonts w:ascii="Calibri" w:hAnsi="Calibri"/>
        </w:rPr>
        <w:t>, A.</w:t>
      </w:r>
      <w:r w:rsidR="00457712" w:rsidRPr="00457712">
        <w:rPr>
          <w:rFonts w:ascii="Calibri" w:hAnsi="Calibri"/>
        </w:rPr>
        <w:t xml:space="preserve">G. </w:t>
      </w:r>
      <w:r>
        <w:rPr>
          <w:rFonts w:ascii="Calibri" w:hAnsi="Calibri"/>
        </w:rPr>
        <w:t>(</w:t>
      </w:r>
      <w:r w:rsidR="00457712" w:rsidRPr="00457712">
        <w:rPr>
          <w:rFonts w:ascii="Calibri" w:hAnsi="Calibri"/>
        </w:rPr>
        <w:t>2014</w:t>
      </w:r>
      <w:r>
        <w:rPr>
          <w:rFonts w:ascii="Calibri" w:hAnsi="Calibri"/>
        </w:rPr>
        <w:t>)</w:t>
      </w:r>
      <w:r w:rsidR="00457712" w:rsidRPr="00457712">
        <w:rPr>
          <w:rFonts w:ascii="Calibri" w:hAnsi="Calibri"/>
        </w:rPr>
        <w:t xml:space="preserve">. </w:t>
      </w:r>
      <w:r w:rsidR="00457712" w:rsidRPr="008C3F85">
        <w:rPr>
          <w:rFonts w:ascii="Calibri" w:hAnsi="Calibri"/>
          <w:iCs/>
        </w:rPr>
        <w:t>Habeas Viscus: Racializing Assemblages, Biopolitics, and Black Feminist Theories of the Human</w:t>
      </w:r>
      <w:r w:rsidR="00457712" w:rsidRPr="00457712">
        <w:rPr>
          <w:rFonts w:ascii="Calibri" w:hAnsi="Calibri"/>
        </w:rPr>
        <w:t xml:space="preserve">. </w:t>
      </w:r>
      <w:r>
        <w:rPr>
          <w:rFonts w:ascii="Calibri" w:hAnsi="Calibri"/>
        </w:rPr>
        <w:t xml:space="preserve">Durham, London: </w:t>
      </w:r>
      <w:r w:rsidR="00457712" w:rsidRPr="00457712">
        <w:rPr>
          <w:rFonts w:ascii="Calibri" w:hAnsi="Calibri"/>
        </w:rPr>
        <w:t>Duke University Press.</w:t>
      </w:r>
    </w:p>
    <w:p w14:paraId="002A6CBF" w14:textId="427689BE" w:rsidR="00457712" w:rsidRDefault="00457712" w:rsidP="00EA27E4">
      <w:pPr>
        <w:spacing w:line="480" w:lineRule="auto"/>
        <w:rPr>
          <w:rFonts w:cs="Tahoma"/>
          <w:color w:val="000000"/>
        </w:rPr>
      </w:pPr>
    </w:p>
    <w:p w14:paraId="78AAFB60" w14:textId="46787151" w:rsidR="00457712" w:rsidRDefault="008C3F85" w:rsidP="00EA27E4">
      <w:pPr>
        <w:spacing w:line="480" w:lineRule="auto"/>
        <w:rPr>
          <w:rFonts w:cs="Tahoma"/>
          <w:color w:val="000000"/>
        </w:rPr>
      </w:pPr>
      <w:r>
        <w:rPr>
          <w:rFonts w:cs="Tahoma"/>
          <w:color w:val="000000"/>
        </w:rPr>
        <w:lastRenderedPageBreak/>
        <w:t>WORD COUNT: 7491</w:t>
      </w:r>
      <w:r w:rsidR="00457712">
        <w:rPr>
          <w:rFonts w:cs="Tahoma"/>
          <w:color w:val="000000"/>
        </w:rPr>
        <w:t xml:space="preserve"> including title and keywords.</w:t>
      </w:r>
    </w:p>
    <w:sectPr w:rsidR="00457712" w:rsidSect="008B02DC">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FAC092" w14:textId="77777777" w:rsidR="00361DC9" w:rsidRDefault="00361DC9" w:rsidP="00DA17B7">
      <w:pPr>
        <w:spacing w:after="0" w:line="240" w:lineRule="auto"/>
      </w:pPr>
      <w:r>
        <w:separator/>
      </w:r>
    </w:p>
  </w:endnote>
  <w:endnote w:type="continuationSeparator" w:id="0">
    <w:p w14:paraId="14B93896" w14:textId="77777777" w:rsidR="00361DC9" w:rsidRDefault="00361DC9" w:rsidP="00DA17B7">
      <w:pPr>
        <w:spacing w:after="0" w:line="240" w:lineRule="auto"/>
      </w:pPr>
      <w:r>
        <w:continuationSeparator/>
      </w:r>
    </w:p>
  </w:endnote>
  <w:endnote w:id="1">
    <w:p w14:paraId="599B7B62" w14:textId="77777777" w:rsidR="00CF392F" w:rsidRDefault="00CF392F" w:rsidP="00AF076A">
      <w:pPr>
        <w:pStyle w:val="FootnoteText"/>
      </w:pPr>
      <w:r>
        <w:rPr>
          <w:rStyle w:val="EndnoteReference"/>
        </w:rPr>
        <w:endnoteRef/>
      </w:r>
      <w:r>
        <w:t xml:space="preserve"> It should be noted that the three examiners I had are not a homogeneous group and there were differences in their assessment of the methodology, however after they had met to discuss their evaluation of the work, this is the line of questioning that was chosen.</w:t>
      </w:r>
    </w:p>
    <w:p w14:paraId="45EFD747" w14:textId="511B897C" w:rsidR="00CF392F" w:rsidRDefault="00CF392F">
      <w:pPr>
        <w:pStyle w:val="EndnoteText"/>
      </w:pPr>
    </w:p>
  </w:endnote>
  <w:endnote w:id="2">
    <w:p w14:paraId="0EBA479B" w14:textId="3D8539E7" w:rsidR="00CF392F" w:rsidRDefault="00CF392F">
      <w:pPr>
        <w:pStyle w:val="EndnoteText"/>
      </w:pPr>
      <w:r>
        <w:rPr>
          <w:rStyle w:val="EndnoteReference"/>
        </w:rPr>
        <w:endnoteRef/>
      </w:r>
      <w:r>
        <w:t xml:space="preserve"> Psychiatric Survivors Archive of Toronto - </w:t>
      </w:r>
      <w:hyperlink r:id="rId1" w:history="1">
        <w:r w:rsidRPr="006279D9">
          <w:rPr>
            <w:rStyle w:val="Hyperlink"/>
          </w:rPr>
          <w:t>http://www.psychiatricsurvivorarchives.com/</w:t>
        </w:r>
      </w:hyperlink>
      <w:r>
        <w:t xml:space="preserve">. See also, in the UK, the Survivor History Group </w:t>
      </w:r>
      <w:hyperlink r:id="rId2" w:history="1">
        <w:r w:rsidRPr="006279D9">
          <w:rPr>
            <w:rStyle w:val="Hyperlink"/>
          </w:rPr>
          <w:t>http://studymore.org.uk/mpu.htm</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7353894"/>
      <w:docPartObj>
        <w:docPartGallery w:val="Page Numbers (Bottom of Page)"/>
        <w:docPartUnique/>
      </w:docPartObj>
    </w:sdtPr>
    <w:sdtEndPr>
      <w:rPr>
        <w:noProof/>
      </w:rPr>
    </w:sdtEndPr>
    <w:sdtContent>
      <w:p w14:paraId="08666EC1" w14:textId="0899E297" w:rsidR="00CF392F" w:rsidRDefault="00CF392F">
        <w:pPr>
          <w:pStyle w:val="Footer"/>
          <w:jc w:val="center"/>
        </w:pPr>
        <w:r>
          <w:fldChar w:fldCharType="begin"/>
        </w:r>
        <w:r>
          <w:instrText xml:space="preserve"> PAGE   \* MERGEFORMAT </w:instrText>
        </w:r>
        <w:r>
          <w:fldChar w:fldCharType="separate"/>
        </w:r>
        <w:r>
          <w:rPr>
            <w:noProof/>
          </w:rPr>
          <w:t>20</w:t>
        </w:r>
        <w:r>
          <w:rPr>
            <w:noProof/>
          </w:rPr>
          <w:fldChar w:fldCharType="end"/>
        </w:r>
      </w:p>
    </w:sdtContent>
  </w:sdt>
  <w:p w14:paraId="21A47B27" w14:textId="77777777" w:rsidR="00CF392F" w:rsidRDefault="00CF39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B13B05" w14:textId="77777777" w:rsidR="00361DC9" w:rsidRDefault="00361DC9" w:rsidP="00DA17B7">
      <w:pPr>
        <w:spacing w:after="0" w:line="240" w:lineRule="auto"/>
      </w:pPr>
      <w:r>
        <w:separator/>
      </w:r>
    </w:p>
  </w:footnote>
  <w:footnote w:type="continuationSeparator" w:id="0">
    <w:p w14:paraId="195DB3E6" w14:textId="77777777" w:rsidR="00361DC9" w:rsidRDefault="00361DC9" w:rsidP="00DA17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E45E9"/>
    <w:multiLevelType w:val="hybridMultilevel"/>
    <w:tmpl w:val="6396CD0A"/>
    <w:lvl w:ilvl="0" w:tplc="B81E0F8C">
      <w:start w:val="1"/>
      <w:numFmt w:val="bullet"/>
      <w:lvlText w:val="•"/>
      <w:lvlJc w:val="left"/>
      <w:pPr>
        <w:tabs>
          <w:tab w:val="num" w:pos="720"/>
        </w:tabs>
        <w:ind w:left="720" w:hanging="360"/>
      </w:pPr>
      <w:rPr>
        <w:rFonts w:ascii="Arial" w:hAnsi="Arial" w:hint="default"/>
      </w:rPr>
    </w:lvl>
    <w:lvl w:ilvl="1" w:tplc="F46426BC" w:tentative="1">
      <w:start w:val="1"/>
      <w:numFmt w:val="bullet"/>
      <w:lvlText w:val="•"/>
      <w:lvlJc w:val="left"/>
      <w:pPr>
        <w:tabs>
          <w:tab w:val="num" w:pos="1440"/>
        </w:tabs>
        <w:ind w:left="1440" w:hanging="360"/>
      </w:pPr>
      <w:rPr>
        <w:rFonts w:ascii="Arial" w:hAnsi="Arial" w:hint="default"/>
      </w:rPr>
    </w:lvl>
    <w:lvl w:ilvl="2" w:tplc="51BC078E" w:tentative="1">
      <w:start w:val="1"/>
      <w:numFmt w:val="bullet"/>
      <w:lvlText w:val="•"/>
      <w:lvlJc w:val="left"/>
      <w:pPr>
        <w:tabs>
          <w:tab w:val="num" w:pos="2160"/>
        </w:tabs>
        <w:ind w:left="2160" w:hanging="360"/>
      </w:pPr>
      <w:rPr>
        <w:rFonts w:ascii="Arial" w:hAnsi="Arial" w:hint="default"/>
      </w:rPr>
    </w:lvl>
    <w:lvl w:ilvl="3" w:tplc="5784C030" w:tentative="1">
      <w:start w:val="1"/>
      <w:numFmt w:val="bullet"/>
      <w:lvlText w:val="•"/>
      <w:lvlJc w:val="left"/>
      <w:pPr>
        <w:tabs>
          <w:tab w:val="num" w:pos="2880"/>
        </w:tabs>
        <w:ind w:left="2880" w:hanging="360"/>
      </w:pPr>
      <w:rPr>
        <w:rFonts w:ascii="Arial" w:hAnsi="Arial" w:hint="default"/>
      </w:rPr>
    </w:lvl>
    <w:lvl w:ilvl="4" w:tplc="A92A37C6" w:tentative="1">
      <w:start w:val="1"/>
      <w:numFmt w:val="bullet"/>
      <w:lvlText w:val="•"/>
      <w:lvlJc w:val="left"/>
      <w:pPr>
        <w:tabs>
          <w:tab w:val="num" w:pos="3600"/>
        </w:tabs>
        <w:ind w:left="3600" w:hanging="360"/>
      </w:pPr>
      <w:rPr>
        <w:rFonts w:ascii="Arial" w:hAnsi="Arial" w:hint="default"/>
      </w:rPr>
    </w:lvl>
    <w:lvl w:ilvl="5" w:tplc="2EE4543C" w:tentative="1">
      <w:start w:val="1"/>
      <w:numFmt w:val="bullet"/>
      <w:lvlText w:val="•"/>
      <w:lvlJc w:val="left"/>
      <w:pPr>
        <w:tabs>
          <w:tab w:val="num" w:pos="4320"/>
        </w:tabs>
        <w:ind w:left="4320" w:hanging="360"/>
      </w:pPr>
      <w:rPr>
        <w:rFonts w:ascii="Arial" w:hAnsi="Arial" w:hint="default"/>
      </w:rPr>
    </w:lvl>
    <w:lvl w:ilvl="6" w:tplc="04FC89EA" w:tentative="1">
      <w:start w:val="1"/>
      <w:numFmt w:val="bullet"/>
      <w:lvlText w:val="•"/>
      <w:lvlJc w:val="left"/>
      <w:pPr>
        <w:tabs>
          <w:tab w:val="num" w:pos="5040"/>
        </w:tabs>
        <w:ind w:left="5040" w:hanging="360"/>
      </w:pPr>
      <w:rPr>
        <w:rFonts w:ascii="Arial" w:hAnsi="Arial" w:hint="default"/>
      </w:rPr>
    </w:lvl>
    <w:lvl w:ilvl="7" w:tplc="5F0CE320" w:tentative="1">
      <w:start w:val="1"/>
      <w:numFmt w:val="bullet"/>
      <w:lvlText w:val="•"/>
      <w:lvlJc w:val="left"/>
      <w:pPr>
        <w:tabs>
          <w:tab w:val="num" w:pos="5760"/>
        </w:tabs>
        <w:ind w:left="5760" w:hanging="360"/>
      </w:pPr>
      <w:rPr>
        <w:rFonts w:ascii="Arial" w:hAnsi="Arial" w:hint="default"/>
      </w:rPr>
    </w:lvl>
    <w:lvl w:ilvl="8" w:tplc="F98E531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1ED6D63"/>
    <w:multiLevelType w:val="hybridMultilevel"/>
    <w:tmpl w:val="9288E664"/>
    <w:lvl w:ilvl="0" w:tplc="334C7B16">
      <w:start w:val="1"/>
      <w:numFmt w:val="bullet"/>
      <w:lvlText w:val="•"/>
      <w:lvlJc w:val="left"/>
      <w:pPr>
        <w:tabs>
          <w:tab w:val="num" w:pos="720"/>
        </w:tabs>
        <w:ind w:left="720" w:hanging="360"/>
      </w:pPr>
      <w:rPr>
        <w:rFonts w:ascii="Arial" w:hAnsi="Arial" w:hint="default"/>
      </w:rPr>
    </w:lvl>
    <w:lvl w:ilvl="1" w:tplc="88FA7A56" w:tentative="1">
      <w:start w:val="1"/>
      <w:numFmt w:val="bullet"/>
      <w:lvlText w:val="•"/>
      <w:lvlJc w:val="left"/>
      <w:pPr>
        <w:tabs>
          <w:tab w:val="num" w:pos="1440"/>
        </w:tabs>
        <w:ind w:left="1440" w:hanging="360"/>
      </w:pPr>
      <w:rPr>
        <w:rFonts w:ascii="Arial" w:hAnsi="Arial" w:hint="default"/>
      </w:rPr>
    </w:lvl>
    <w:lvl w:ilvl="2" w:tplc="CA188424" w:tentative="1">
      <w:start w:val="1"/>
      <w:numFmt w:val="bullet"/>
      <w:lvlText w:val="•"/>
      <w:lvlJc w:val="left"/>
      <w:pPr>
        <w:tabs>
          <w:tab w:val="num" w:pos="2160"/>
        </w:tabs>
        <w:ind w:left="2160" w:hanging="360"/>
      </w:pPr>
      <w:rPr>
        <w:rFonts w:ascii="Arial" w:hAnsi="Arial" w:hint="default"/>
      </w:rPr>
    </w:lvl>
    <w:lvl w:ilvl="3" w:tplc="EE7A52B4" w:tentative="1">
      <w:start w:val="1"/>
      <w:numFmt w:val="bullet"/>
      <w:lvlText w:val="•"/>
      <w:lvlJc w:val="left"/>
      <w:pPr>
        <w:tabs>
          <w:tab w:val="num" w:pos="2880"/>
        </w:tabs>
        <w:ind w:left="2880" w:hanging="360"/>
      </w:pPr>
      <w:rPr>
        <w:rFonts w:ascii="Arial" w:hAnsi="Arial" w:hint="default"/>
      </w:rPr>
    </w:lvl>
    <w:lvl w:ilvl="4" w:tplc="408820AA" w:tentative="1">
      <w:start w:val="1"/>
      <w:numFmt w:val="bullet"/>
      <w:lvlText w:val="•"/>
      <w:lvlJc w:val="left"/>
      <w:pPr>
        <w:tabs>
          <w:tab w:val="num" w:pos="3600"/>
        </w:tabs>
        <w:ind w:left="3600" w:hanging="360"/>
      </w:pPr>
      <w:rPr>
        <w:rFonts w:ascii="Arial" w:hAnsi="Arial" w:hint="default"/>
      </w:rPr>
    </w:lvl>
    <w:lvl w:ilvl="5" w:tplc="626680C4" w:tentative="1">
      <w:start w:val="1"/>
      <w:numFmt w:val="bullet"/>
      <w:lvlText w:val="•"/>
      <w:lvlJc w:val="left"/>
      <w:pPr>
        <w:tabs>
          <w:tab w:val="num" w:pos="4320"/>
        </w:tabs>
        <w:ind w:left="4320" w:hanging="360"/>
      </w:pPr>
      <w:rPr>
        <w:rFonts w:ascii="Arial" w:hAnsi="Arial" w:hint="default"/>
      </w:rPr>
    </w:lvl>
    <w:lvl w:ilvl="6" w:tplc="61A69630" w:tentative="1">
      <w:start w:val="1"/>
      <w:numFmt w:val="bullet"/>
      <w:lvlText w:val="•"/>
      <w:lvlJc w:val="left"/>
      <w:pPr>
        <w:tabs>
          <w:tab w:val="num" w:pos="5040"/>
        </w:tabs>
        <w:ind w:left="5040" w:hanging="360"/>
      </w:pPr>
      <w:rPr>
        <w:rFonts w:ascii="Arial" w:hAnsi="Arial" w:hint="default"/>
      </w:rPr>
    </w:lvl>
    <w:lvl w:ilvl="7" w:tplc="2D36F89C" w:tentative="1">
      <w:start w:val="1"/>
      <w:numFmt w:val="bullet"/>
      <w:lvlText w:val="•"/>
      <w:lvlJc w:val="left"/>
      <w:pPr>
        <w:tabs>
          <w:tab w:val="num" w:pos="5760"/>
        </w:tabs>
        <w:ind w:left="5760" w:hanging="360"/>
      </w:pPr>
      <w:rPr>
        <w:rFonts w:ascii="Arial" w:hAnsi="Arial" w:hint="default"/>
      </w:rPr>
    </w:lvl>
    <w:lvl w:ilvl="8" w:tplc="210C3BA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80761D2"/>
    <w:multiLevelType w:val="hybridMultilevel"/>
    <w:tmpl w:val="5100C83A"/>
    <w:lvl w:ilvl="0" w:tplc="DF0C6EA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E3357D"/>
    <w:multiLevelType w:val="hybridMultilevel"/>
    <w:tmpl w:val="7B68DBBA"/>
    <w:lvl w:ilvl="0" w:tplc="F5708346">
      <w:start w:val="197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5E5604"/>
    <w:multiLevelType w:val="hybridMultilevel"/>
    <w:tmpl w:val="9EE07F64"/>
    <w:lvl w:ilvl="0" w:tplc="08090001">
      <w:start w:val="1"/>
      <w:numFmt w:val="bullet"/>
      <w:lvlText w:val=""/>
      <w:lvlJc w:val="left"/>
      <w:pPr>
        <w:ind w:left="1179" w:hanging="360"/>
      </w:pPr>
      <w:rPr>
        <w:rFonts w:ascii="Symbol" w:hAnsi="Symbol" w:hint="default"/>
      </w:rPr>
    </w:lvl>
    <w:lvl w:ilvl="1" w:tplc="08090003" w:tentative="1">
      <w:start w:val="1"/>
      <w:numFmt w:val="bullet"/>
      <w:lvlText w:val="o"/>
      <w:lvlJc w:val="left"/>
      <w:pPr>
        <w:ind w:left="1899" w:hanging="360"/>
      </w:pPr>
      <w:rPr>
        <w:rFonts w:ascii="Courier New" w:hAnsi="Courier New" w:cs="Courier New" w:hint="default"/>
      </w:rPr>
    </w:lvl>
    <w:lvl w:ilvl="2" w:tplc="08090005" w:tentative="1">
      <w:start w:val="1"/>
      <w:numFmt w:val="bullet"/>
      <w:lvlText w:val=""/>
      <w:lvlJc w:val="left"/>
      <w:pPr>
        <w:ind w:left="2619" w:hanging="360"/>
      </w:pPr>
      <w:rPr>
        <w:rFonts w:ascii="Wingdings" w:hAnsi="Wingdings" w:hint="default"/>
      </w:rPr>
    </w:lvl>
    <w:lvl w:ilvl="3" w:tplc="08090001" w:tentative="1">
      <w:start w:val="1"/>
      <w:numFmt w:val="bullet"/>
      <w:lvlText w:val=""/>
      <w:lvlJc w:val="left"/>
      <w:pPr>
        <w:ind w:left="3339" w:hanging="360"/>
      </w:pPr>
      <w:rPr>
        <w:rFonts w:ascii="Symbol" w:hAnsi="Symbol" w:hint="default"/>
      </w:rPr>
    </w:lvl>
    <w:lvl w:ilvl="4" w:tplc="08090003" w:tentative="1">
      <w:start w:val="1"/>
      <w:numFmt w:val="bullet"/>
      <w:lvlText w:val="o"/>
      <w:lvlJc w:val="left"/>
      <w:pPr>
        <w:ind w:left="4059" w:hanging="360"/>
      </w:pPr>
      <w:rPr>
        <w:rFonts w:ascii="Courier New" w:hAnsi="Courier New" w:cs="Courier New" w:hint="default"/>
      </w:rPr>
    </w:lvl>
    <w:lvl w:ilvl="5" w:tplc="08090005" w:tentative="1">
      <w:start w:val="1"/>
      <w:numFmt w:val="bullet"/>
      <w:lvlText w:val=""/>
      <w:lvlJc w:val="left"/>
      <w:pPr>
        <w:ind w:left="4779" w:hanging="360"/>
      </w:pPr>
      <w:rPr>
        <w:rFonts w:ascii="Wingdings" w:hAnsi="Wingdings" w:hint="default"/>
      </w:rPr>
    </w:lvl>
    <w:lvl w:ilvl="6" w:tplc="08090001" w:tentative="1">
      <w:start w:val="1"/>
      <w:numFmt w:val="bullet"/>
      <w:lvlText w:val=""/>
      <w:lvlJc w:val="left"/>
      <w:pPr>
        <w:ind w:left="5499" w:hanging="360"/>
      </w:pPr>
      <w:rPr>
        <w:rFonts w:ascii="Symbol" w:hAnsi="Symbol" w:hint="default"/>
      </w:rPr>
    </w:lvl>
    <w:lvl w:ilvl="7" w:tplc="08090003" w:tentative="1">
      <w:start w:val="1"/>
      <w:numFmt w:val="bullet"/>
      <w:lvlText w:val="o"/>
      <w:lvlJc w:val="left"/>
      <w:pPr>
        <w:ind w:left="6219" w:hanging="360"/>
      </w:pPr>
      <w:rPr>
        <w:rFonts w:ascii="Courier New" w:hAnsi="Courier New" w:cs="Courier New" w:hint="default"/>
      </w:rPr>
    </w:lvl>
    <w:lvl w:ilvl="8" w:tplc="08090005" w:tentative="1">
      <w:start w:val="1"/>
      <w:numFmt w:val="bullet"/>
      <w:lvlText w:val=""/>
      <w:lvlJc w:val="left"/>
      <w:pPr>
        <w:ind w:left="6939" w:hanging="360"/>
      </w:pPr>
      <w:rPr>
        <w:rFonts w:ascii="Wingdings" w:hAnsi="Wingdings" w:hint="default"/>
      </w:rPr>
    </w:lvl>
  </w:abstractNum>
  <w:abstractNum w:abstractNumId="5" w15:restartNumberingAfterBreak="0">
    <w:nsid w:val="65F2529F"/>
    <w:multiLevelType w:val="hybridMultilevel"/>
    <w:tmpl w:val="A7C4AA9C"/>
    <w:lvl w:ilvl="0" w:tplc="D1820A00">
      <w:start w:val="1"/>
      <w:numFmt w:val="bullet"/>
      <w:lvlText w:val="•"/>
      <w:lvlJc w:val="left"/>
      <w:pPr>
        <w:tabs>
          <w:tab w:val="num" w:pos="720"/>
        </w:tabs>
        <w:ind w:left="720" w:hanging="360"/>
      </w:pPr>
      <w:rPr>
        <w:rFonts w:ascii="Arial" w:hAnsi="Arial" w:hint="default"/>
      </w:rPr>
    </w:lvl>
    <w:lvl w:ilvl="1" w:tplc="1DD830DE" w:tentative="1">
      <w:start w:val="1"/>
      <w:numFmt w:val="bullet"/>
      <w:lvlText w:val="•"/>
      <w:lvlJc w:val="left"/>
      <w:pPr>
        <w:tabs>
          <w:tab w:val="num" w:pos="1440"/>
        </w:tabs>
        <w:ind w:left="1440" w:hanging="360"/>
      </w:pPr>
      <w:rPr>
        <w:rFonts w:ascii="Arial" w:hAnsi="Arial" w:hint="default"/>
      </w:rPr>
    </w:lvl>
    <w:lvl w:ilvl="2" w:tplc="FB825F16" w:tentative="1">
      <w:start w:val="1"/>
      <w:numFmt w:val="bullet"/>
      <w:lvlText w:val="•"/>
      <w:lvlJc w:val="left"/>
      <w:pPr>
        <w:tabs>
          <w:tab w:val="num" w:pos="2160"/>
        </w:tabs>
        <w:ind w:left="2160" w:hanging="360"/>
      </w:pPr>
      <w:rPr>
        <w:rFonts w:ascii="Arial" w:hAnsi="Arial" w:hint="default"/>
      </w:rPr>
    </w:lvl>
    <w:lvl w:ilvl="3" w:tplc="6518AA56" w:tentative="1">
      <w:start w:val="1"/>
      <w:numFmt w:val="bullet"/>
      <w:lvlText w:val="•"/>
      <w:lvlJc w:val="left"/>
      <w:pPr>
        <w:tabs>
          <w:tab w:val="num" w:pos="2880"/>
        </w:tabs>
        <w:ind w:left="2880" w:hanging="360"/>
      </w:pPr>
      <w:rPr>
        <w:rFonts w:ascii="Arial" w:hAnsi="Arial" w:hint="default"/>
      </w:rPr>
    </w:lvl>
    <w:lvl w:ilvl="4" w:tplc="31B8DD26" w:tentative="1">
      <w:start w:val="1"/>
      <w:numFmt w:val="bullet"/>
      <w:lvlText w:val="•"/>
      <w:lvlJc w:val="left"/>
      <w:pPr>
        <w:tabs>
          <w:tab w:val="num" w:pos="3600"/>
        </w:tabs>
        <w:ind w:left="3600" w:hanging="360"/>
      </w:pPr>
      <w:rPr>
        <w:rFonts w:ascii="Arial" w:hAnsi="Arial" w:hint="default"/>
      </w:rPr>
    </w:lvl>
    <w:lvl w:ilvl="5" w:tplc="B002B86E" w:tentative="1">
      <w:start w:val="1"/>
      <w:numFmt w:val="bullet"/>
      <w:lvlText w:val="•"/>
      <w:lvlJc w:val="left"/>
      <w:pPr>
        <w:tabs>
          <w:tab w:val="num" w:pos="4320"/>
        </w:tabs>
        <w:ind w:left="4320" w:hanging="360"/>
      </w:pPr>
      <w:rPr>
        <w:rFonts w:ascii="Arial" w:hAnsi="Arial" w:hint="default"/>
      </w:rPr>
    </w:lvl>
    <w:lvl w:ilvl="6" w:tplc="C9B47102" w:tentative="1">
      <w:start w:val="1"/>
      <w:numFmt w:val="bullet"/>
      <w:lvlText w:val="•"/>
      <w:lvlJc w:val="left"/>
      <w:pPr>
        <w:tabs>
          <w:tab w:val="num" w:pos="5040"/>
        </w:tabs>
        <w:ind w:left="5040" w:hanging="360"/>
      </w:pPr>
      <w:rPr>
        <w:rFonts w:ascii="Arial" w:hAnsi="Arial" w:hint="default"/>
      </w:rPr>
    </w:lvl>
    <w:lvl w:ilvl="7" w:tplc="FCA630B8" w:tentative="1">
      <w:start w:val="1"/>
      <w:numFmt w:val="bullet"/>
      <w:lvlText w:val="•"/>
      <w:lvlJc w:val="left"/>
      <w:pPr>
        <w:tabs>
          <w:tab w:val="num" w:pos="5760"/>
        </w:tabs>
        <w:ind w:left="5760" w:hanging="360"/>
      </w:pPr>
      <w:rPr>
        <w:rFonts w:ascii="Arial" w:hAnsi="Arial" w:hint="default"/>
      </w:rPr>
    </w:lvl>
    <w:lvl w:ilvl="8" w:tplc="7DCEE43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175775F"/>
    <w:multiLevelType w:val="multilevel"/>
    <w:tmpl w:val="8BAE0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542"/>
    <w:rsid w:val="0000048D"/>
    <w:rsid w:val="000069A3"/>
    <w:rsid w:val="000072EE"/>
    <w:rsid w:val="00007614"/>
    <w:rsid w:val="00010ECA"/>
    <w:rsid w:val="00013929"/>
    <w:rsid w:val="00016DC9"/>
    <w:rsid w:val="00017528"/>
    <w:rsid w:val="00040F76"/>
    <w:rsid w:val="00053DC6"/>
    <w:rsid w:val="00055BC2"/>
    <w:rsid w:val="000623AC"/>
    <w:rsid w:val="00063F6C"/>
    <w:rsid w:val="00073068"/>
    <w:rsid w:val="00081F7F"/>
    <w:rsid w:val="0008640E"/>
    <w:rsid w:val="000A5A3F"/>
    <w:rsid w:val="000A6D6A"/>
    <w:rsid w:val="000A6F02"/>
    <w:rsid w:val="000B079E"/>
    <w:rsid w:val="000C5EB4"/>
    <w:rsid w:val="000D6DEC"/>
    <w:rsid w:val="000E5DDA"/>
    <w:rsid w:val="000F5FF4"/>
    <w:rsid w:val="00105C4E"/>
    <w:rsid w:val="00116345"/>
    <w:rsid w:val="00117A2D"/>
    <w:rsid w:val="001247EA"/>
    <w:rsid w:val="00125DDF"/>
    <w:rsid w:val="00133E4C"/>
    <w:rsid w:val="00134454"/>
    <w:rsid w:val="00136053"/>
    <w:rsid w:val="001379F4"/>
    <w:rsid w:val="00155375"/>
    <w:rsid w:val="00155E1A"/>
    <w:rsid w:val="00156C52"/>
    <w:rsid w:val="00171378"/>
    <w:rsid w:val="001739E5"/>
    <w:rsid w:val="00176123"/>
    <w:rsid w:val="00176855"/>
    <w:rsid w:val="00181AFC"/>
    <w:rsid w:val="001824FA"/>
    <w:rsid w:val="0018559B"/>
    <w:rsid w:val="001874AB"/>
    <w:rsid w:val="001A5A1F"/>
    <w:rsid w:val="001B0862"/>
    <w:rsid w:val="001C3B85"/>
    <w:rsid w:val="001C6211"/>
    <w:rsid w:val="001D3AFD"/>
    <w:rsid w:val="001D42EC"/>
    <w:rsid w:val="001D53E6"/>
    <w:rsid w:val="001D715A"/>
    <w:rsid w:val="001E30E2"/>
    <w:rsid w:val="001E3B28"/>
    <w:rsid w:val="001F539B"/>
    <w:rsid w:val="00206429"/>
    <w:rsid w:val="00210113"/>
    <w:rsid w:val="00213299"/>
    <w:rsid w:val="002167C6"/>
    <w:rsid w:val="00223259"/>
    <w:rsid w:val="0022594E"/>
    <w:rsid w:val="00230DD9"/>
    <w:rsid w:val="002344E8"/>
    <w:rsid w:val="00234DE1"/>
    <w:rsid w:val="00235EB5"/>
    <w:rsid w:val="00241D09"/>
    <w:rsid w:val="002514CB"/>
    <w:rsid w:val="00256593"/>
    <w:rsid w:val="00264243"/>
    <w:rsid w:val="002647DE"/>
    <w:rsid w:val="00274A72"/>
    <w:rsid w:val="00274C29"/>
    <w:rsid w:val="00275F9F"/>
    <w:rsid w:val="00283C14"/>
    <w:rsid w:val="00284FD6"/>
    <w:rsid w:val="0028559B"/>
    <w:rsid w:val="00293648"/>
    <w:rsid w:val="002B3AF5"/>
    <w:rsid w:val="002D5388"/>
    <w:rsid w:val="002D5E20"/>
    <w:rsid w:val="002E5EB7"/>
    <w:rsid w:val="002E6DBE"/>
    <w:rsid w:val="002F17B5"/>
    <w:rsid w:val="002F2079"/>
    <w:rsid w:val="002F2EC7"/>
    <w:rsid w:val="00300419"/>
    <w:rsid w:val="00300EE3"/>
    <w:rsid w:val="00306E8B"/>
    <w:rsid w:val="00320B93"/>
    <w:rsid w:val="003220CB"/>
    <w:rsid w:val="00323761"/>
    <w:rsid w:val="00326C49"/>
    <w:rsid w:val="00327B7F"/>
    <w:rsid w:val="0033372D"/>
    <w:rsid w:val="0034258B"/>
    <w:rsid w:val="003433F5"/>
    <w:rsid w:val="003513D1"/>
    <w:rsid w:val="00353715"/>
    <w:rsid w:val="00361DC9"/>
    <w:rsid w:val="003656AD"/>
    <w:rsid w:val="0037504D"/>
    <w:rsid w:val="00376285"/>
    <w:rsid w:val="00383428"/>
    <w:rsid w:val="00385931"/>
    <w:rsid w:val="00386194"/>
    <w:rsid w:val="003A02B1"/>
    <w:rsid w:val="003A0FC6"/>
    <w:rsid w:val="003A46E2"/>
    <w:rsid w:val="003B2138"/>
    <w:rsid w:val="003B3914"/>
    <w:rsid w:val="003D574D"/>
    <w:rsid w:val="003D7242"/>
    <w:rsid w:val="003E095A"/>
    <w:rsid w:val="003E6F47"/>
    <w:rsid w:val="003F0125"/>
    <w:rsid w:val="003F2976"/>
    <w:rsid w:val="003F55B2"/>
    <w:rsid w:val="004003C7"/>
    <w:rsid w:val="00406208"/>
    <w:rsid w:val="00413DF4"/>
    <w:rsid w:val="00416DC2"/>
    <w:rsid w:val="00425115"/>
    <w:rsid w:val="00433BE7"/>
    <w:rsid w:val="00444E8E"/>
    <w:rsid w:val="00452892"/>
    <w:rsid w:val="00457712"/>
    <w:rsid w:val="004656D0"/>
    <w:rsid w:val="004715DE"/>
    <w:rsid w:val="00475179"/>
    <w:rsid w:val="004846F9"/>
    <w:rsid w:val="00487287"/>
    <w:rsid w:val="00492DBC"/>
    <w:rsid w:val="004B01F1"/>
    <w:rsid w:val="004B43FB"/>
    <w:rsid w:val="004C1D21"/>
    <w:rsid w:val="004D1869"/>
    <w:rsid w:val="004D2A98"/>
    <w:rsid w:val="004D4C35"/>
    <w:rsid w:val="004D5601"/>
    <w:rsid w:val="004D5FFC"/>
    <w:rsid w:val="004E0EF7"/>
    <w:rsid w:val="004E394B"/>
    <w:rsid w:val="004F05DF"/>
    <w:rsid w:val="004F1F2E"/>
    <w:rsid w:val="004F5490"/>
    <w:rsid w:val="004F7010"/>
    <w:rsid w:val="00500031"/>
    <w:rsid w:val="00506AD6"/>
    <w:rsid w:val="00511035"/>
    <w:rsid w:val="00515279"/>
    <w:rsid w:val="00526169"/>
    <w:rsid w:val="00526B7F"/>
    <w:rsid w:val="00533CED"/>
    <w:rsid w:val="00555AE3"/>
    <w:rsid w:val="005603E8"/>
    <w:rsid w:val="00565589"/>
    <w:rsid w:val="00573C13"/>
    <w:rsid w:val="00574A44"/>
    <w:rsid w:val="005775A1"/>
    <w:rsid w:val="005821D6"/>
    <w:rsid w:val="00596255"/>
    <w:rsid w:val="00597703"/>
    <w:rsid w:val="005B1943"/>
    <w:rsid w:val="005B266F"/>
    <w:rsid w:val="005C01C4"/>
    <w:rsid w:val="005C37DC"/>
    <w:rsid w:val="005C5FBE"/>
    <w:rsid w:val="005D069A"/>
    <w:rsid w:val="005D7943"/>
    <w:rsid w:val="005E3A0C"/>
    <w:rsid w:val="005E56E3"/>
    <w:rsid w:val="005F110B"/>
    <w:rsid w:val="005F1BD9"/>
    <w:rsid w:val="006032E6"/>
    <w:rsid w:val="00603EAD"/>
    <w:rsid w:val="006124F8"/>
    <w:rsid w:val="00613C78"/>
    <w:rsid w:val="00634550"/>
    <w:rsid w:val="00644F46"/>
    <w:rsid w:val="006478A3"/>
    <w:rsid w:val="00660468"/>
    <w:rsid w:val="00675028"/>
    <w:rsid w:val="00675559"/>
    <w:rsid w:val="006810BF"/>
    <w:rsid w:val="00690254"/>
    <w:rsid w:val="00690F87"/>
    <w:rsid w:val="0069358C"/>
    <w:rsid w:val="00694DB4"/>
    <w:rsid w:val="00695E2F"/>
    <w:rsid w:val="00696326"/>
    <w:rsid w:val="00696628"/>
    <w:rsid w:val="006A28E7"/>
    <w:rsid w:val="006A7440"/>
    <w:rsid w:val="006B23FD"/>
    <w:rsid w:val="006B3D12"/>
    <w:rsid w:val="006C3573"/>
    <w:rsid w:val="006C3743"/>
    <w:rsid w:val="006C43CF"/>
    <w:rsid w:val="006E0858"/>
    <w:rsid w:val="006E57E7"/>
    <w:rsid w:val="006E7DBB"/>
    <w:rsid w:val="006F2A7B"/>
    <w:rsid w:val="006F33FC"/>
    <w:rsid w:val="006F55EC"/>
    <w:rsid w:val="006F6729"/>
    <w:rsid w:val="0070520F"/>
    <w:rsid w:val="00710006"/>
    <w:rsid w:val="00713DDD"/>
    <w:rsid w:val="00717EBB"/>
    <w:rsid w:val="00721BA7"/>
    <w:rsid w:val="007238B4"/>
    <w:rsid w:val="00727FE8"/>
    <w:rsid w:val="00733279"/>
    <w:rsid w:val="007447FF"/>
    <w:rsid w:val="00745E11"/>
    <w:rsid w:val="007515E5"/>
    <w:rsid w:val="00754021"/>
    <w:rsid w:val="007557B9"/>
    <w:rsid w:val="0076048A"/>
    <w:rsid w:val="007736A2"/>
    <w:rsid w:val="00775118"/>
    <w:rsid w:val="00775721"/>
    <w:rsid w:val="007762A1"/>
    <w:rsid w:val="0078552C"/>
    <w:rsid w:val="007A3255"/>
    <w:rsid w:val="007A426D"/>
    <w:rsid w:val="007A5DD1"/>
    <w:rsid w:val="007B0B31"/>
    <w:rsid w:val="007B0F3C"/>
    <w:rsid w:val="007C1717"/>
    <w:rsid w:val="007C3AE8"/>
    <w:rsid w:val="007C7FDA"/>
    <w:rsid w:val="007D6480"/>
    <w:rsid w:val="007E0A1C"/>
    <w:rsid w:val="007E5577"/>
    <w:rsid w:val="007E72FA"/>
    <w:rsid w:val="007F0EA1"/>
    <w:rsid w:val="007F759B"/>
    <w:rsid w:val="008029EF"/>
    <w:rsid w:val="00804FE4"/>
    <w:rsid w:val="00807E84"/>
    <w:rsid w:val="00810453"/>
    <w:rsid w:val="008117E9"/>
    <w:rsid w:val="008117FC"/>
    <w:rsid w:val="00814930"/>
    <w:rsid w:val="00817E43"/>
    <w:rsid w:val="008322C4"/>
    <w:rsid w:val="008465EF"/>
    <w:rsid w:val="008511D8"/>
    <w:rsid w:val="00854312"/>
    <w:rsid w:val="00861542"/>
    <w:rsid w:val="00863ABD"/>
    <w:rsid w:val="0087037D"/>
    <w:rsid w:val="00871F91"/>
    <w:rsid w:val="00874000"/>
    <w:rsid w:val="00877EBA"/>
    <w:rsid w:val="0089137E"/>
    <w:rsid w:val="008942D1"/>
    <w:rsid w:val="008951AA"/>
    <w:rsid w:val="008A2637"/>
    <w:rsid w:val="008A768B"/>
    <w:rsid w:val="008B0206"/>
    <w:rsid w:val="008B02DC"/>
    <w:rsid w:val="008B1D95"/>
    <w:rsid w:val="008C310C"/>
    <w:rsid w:val="008C3F85"/>
    <w:rsid w:val="008D2EAA"/>
    <w:rsid w:val="008D3989"/>
    <w:rsid w:val="008D3CF8"/>
    <w:rsid w:val="008D6536"/>
    <w:rsid w:val="008E2F3F"/>
    <w:rsid w:val="008E5DA8"/>
    <w:rsid w:val="008E6253"/>
    <w:rsid w:val="00902BE2"/>
    <w:rsid w:val="00904E2D"/>
    <w:rsid w:val="009057E3"/>
    <w:rsid w:val="00907AD3"/>
    <w:rsid w:val="0092446C"/>
    <w:rsid w:val="00924FCA"/>
    <w:rsid w:val="00926646"/>
    <w:rsid w:val="00926807"/>
    <w:rsid w:val="00927D5F"/>
    <w:rsid w:val="00950348"/>
    <w:rsid w:val="00970243"/>
    <w:rsid w:val="009715F3"/>
    <w:rsid w:val="0098639F"/>
    <w:rsid w:val="00991D6B"/>
    <w:rsid w:val="00993552"/>
    <w:rsid w:val="00996DE0"/>
    <w:rsid w:val="009A318C"/>
    <w:rsid w:val="009A5525"/>
    <w:rsid w:val="009B32CE"/>
    <w:rsid w:val="009B3FCA"/>
    <w:rsid w:val="009B6278"/>
    <w:rsid w:val="009C5117"/>
    <w:rsid w:val="009D429F"/>
    <w:rsid w:val="009D6948"/>
    <w:rsid w:val="009E031A"/>
    <w:rsid w:val="009E1C31"/>
    <w:rsid w:val="009E5D54"/>
    <w:rsid w:val="009E664A"/>
    <w:rsid w:val="009F6320"/>
    <w:rsid w:val="00A00061"/>
    <w:rsid w:val="00A00E65"/>
    <w:rsid w:val="00A01B5C"/>
    <w:rsid w:val="00A03129"/>
    <w:rsid w:val="00A071E7"/>
    <w:rsid w:val="00A07DFF"/>
    <w:rsid w:val="00A12385"/>
    <w:rsid w:val="00A22638"/>
    <w:rsid w:val="00A22E92"/>
    <w:rsid w:val="00A32463"/>
    <w:rsid w:val="00A34EAA"/>
    <w:rsid w:val="00A45AA4"/>
    <w:rsid w:val="00A46705"/>
    <w:rsid w:val="00A504DC"/>
    <w:rsid w:val="00A548AF"/>
    <w:rsid w:val="00A62FE2"/>
    <w:rsid w:val="00A63001"/>
    <w:rsid w:val="00A632D1"/>
    <w:rsid w:val="00A646ED"/>
    <w:rsid w:val="00A820C9"/>
    <w:rsid w:val="00A9025C"/>
    <w:rsid w:val="00A94C8D"/>
    <w:rsid w:val="00A94EAE"/>
    <w:rsid w:val="00AA14BC"/>
    <w:rsid w:val="00AA196C"/>
    <w:rsid w:val="00AB7DED"/>
    <w:rsid w:val="00AC65B3"/>
    <w:rsid w:val="00AC68BC"/>
    <w:rsid w:val="00AD2959"/>
    <w:rsid w:val="00AD59A1"/>
    <w:rsid w:val="00AD5AC4"/>
    <w:rsid w:val="00AE37D6"/>
    <w:rsid w:val="00AE38B5"/>
    <w:rsid w:val="00AE53A5"/>
    <w:rsid w:val="00AF076A"/>
    <w:rsid w:val="00AF0858"/>
    <w:rsid w:val="00AF182D"/>
    <w:rsid w:val="00AF4FAD"/>
    <w:rsid w:val="00AF7311"/>
    <w:rsid w:val="00AF7E56"/>
    <w:rsid w:val="00B01450"/>
    <w:rsid w:val="00B149D7"/>
    <w:rsid w:val="00B27B55"/>
    <w:rsid w:val="00B3036A"/>
    <w:rsid w:val="00B36521"/>
    <w:rsid w:val="00B436F8"/>
    <w:rsid w:val="00B66DCE"/>
    <w:rsid w:val="00B67CDD"/>
    <w:rsid w:val="00B70D50"/>
    <w:rsid w:val="00B73DF6"/>
    <w:rsid w:val="00B81348"/>
    <w:rsid w:val="00B84671"/>
    <w:rsid w:val="00B84770"/>
    <w:rsid w:val="00B85AFF"/>
    <w:rsid w:val="00BA138D"/>
    <w:rsid w:val="00BA1798"/>
    <w:rsid w:val="00BA3569"/>
    <w:rsid w:val="00BB04A2"/>
    <w:rsid w:val="00BB076A"/>
    <w:rsid w:val="00BB244C"/>
    <w:rsid w:val="00BC5725"/>
    <w:rsid w:val="00BD2000"/>
    <w:rsid w:val="00BD50FE"/>
    <w:rsid w:val="00BD749F"/>
    <w:rsid w:val="00BE78C1"/>
    <w:rsid w:val="00BF01F0"/>
    <w:rsid w:val="00BF05D9"/>
    <w:rsid w:val="00BF21FD"/>
    <w:rsid w:val="00BF54C6"/>
    <w:rsid w:val="00C01E39"/>
    <w:rsid w:val="00C02393"/>
    <w:rsid w:val="00C05397"/>
    <w:rsid w:val="00C077B5"/>
    <w:rsid w:val="00C12F8A"/>
    <w:rsid w:val="00C17D6F"/>
    <w:rsid w:val="00C21EC1"/>
    <w:rsid w:val="00C317F6"/>
    <w:rsid w:val="00C50089"/>
    <w:rsid w:val="00C50FF9"/>
    <w:rsid w:val="00C51F50"/>
    <w:rsid w:val="00C55301"/>
    <w:rsid w:val="00C559F1"/>
    <w:rsid w:val="00C6038F"/>
    <w:rsid w:val="00C705A9"/>
    <w:rsid w:val="00C75126"/>
    <w:rsid w:val="00C82758"/>
    <w:rsid w:val="00C91BCF"/>
    <w:rsid w:val="00C92E58"/>
    <w:rsid w:val="00C95E54"/>
    <w:rsid w:val="00CA0759"/>
    <w:rsid w:val="00CA50D5"/>
    <w:rsid w:val="00CB7282"/>
    <w:rsid w:val="00CC0FE4"/>
    <w:rsid w:val="00CC4AF7"/>
    <w:rsid w:val="00CC7C25"/>
    <w:rsid w:val="00CD0A33"/>
    <w:rsid w:val="00CD21B4"/>
    <w:rsid w:val="00CE1A62"/>
    <w:rsid w:val="00CE2CB7"/>
    <w:rsid w:val="00CF392F"/>
    <w:rsid w:val="00CF47EF"/>
    <w:rsid w:val="00D05CF9"/>
    <w:rsid w:val="00D169BF"/>
    <w:rsid w:val="00D17862"/>
    <w:rsid w:val="00D218F5"/>
    <w:rsid w:val="00D23B8B"/>
    <w:rsid w:val="00D242BD"/>
    <w:rsid w:val="00D273DB"/>
    <w:rsid w:val="00D328CE"/>
    <w:rsid w:val="00D328D6"/>
    <w:rsid w:val="00D3525C"/>
    <w:rsid w:val="00D3741B"/>
    <w:rsid w:val="00D50618"/>
    <w:rsid w:val="00D629E6"/>
    <w:rsid w:val="00D65F4E"/>
    <w:rsid w:val="00D70198"/>
    <w:rsid w:val="00D77225"/>
    <w:rsid w:val="00D81A92"/>
    <w:rsid w:val="00D86550"/>
    <w:rsid w:val="00D926BF"/>
    <w:rsid w:val="00DA17B7"/>
    <w:rsid w:val="00DA3D2B"/>
    <w:rsid w:val="00DA4042"/>
    <w:rsid w:val="00DA4E78"/>
    <w:rsid w:val="00DA6A91"/>
    <w:rsid w:val="00DC28D8"/>
    <w:rsid w:val="00DC37F1"/>
    <w:rsid w:val="00DD2DB7"/>
    <w:rsid w:val="00DD2DE9"/>
    <w:rsid w:val="00DE2655"/>
    <w:rsid w:val="00DE380E"/>
    <w:rsid w:val="00DE3AAA"/>
    <w:rsid w:val="00DF3EF0"/>
    <w:rsid w:val="00E07951"/>
    <w:rsid w:val="00E11435"/>
    <w:rsid w:val="00E165C4"/>
    <w:rsid w:val="00E27C40"/>
    <w:rsid w:val="00E31962"/>
    <w:rsid w:val="00E32BA2"/>
    <w:rsid w:val="00E355D0"/>
    <w:rsid w:val="00E4101F"/>
    <w:rsid w:val="00E410A7"/>
    <w:rsid w:val="00E42D0B"/>
    <w:rsid w:val="00E47FF7"/>
    <w:rsid w:val="00E650AF"/>
    <w:rsid w:val="00E711E6"/>
    <w:rsid w:val="00E71A72"/>
    <w:rsid w:val="00E8066A"/>
    <w:rsid w:val="00E82010"/>
    <w:rsid w:val="00E85FFF"/>
    <w:rsid w:val="00E9555B"/>
    <w:rsid w:val="00EA27E4"/>
    <w:rsid w:val="00EA36C9"/>
    <w:rsid w:val="00EA44B1"/>
    <w:rsid w:val="00EB2803"/>
    <w:rsid w:val="00EB3F1D"/>
    <w:rsid w:val="00EB4F70"/>
    <w:rsid w:val="00EC016A"/>
    <w:rsid w:val="00EC023F"/>
    <w:rsid w:val="00ED134F"/>
    <w:rsid w:val="00ED1725"/>
    <w:rsid w:val="00ED7D67"/>
    <w:rsid w:val="00EF3D3E"/>
    <w:rsid w:val="00F002FF"/>
    <w:rsid w:val="00F02862"/>
    <w:rsid w:val="00F02A8F"/>
    <w:rsid w:val="00F03E1B"/>
    <w:rsid w:val="00F04B67"/>
    <w:rsid w:val="00F10EB5"/>
    <w:rsid w:val="00F11E76"/>
    <w:rsid w:val="00F13740"/>
    <w:rsid w:val="00F138F9"/>
    <w:rsid w:val="00F216A4"/>
    <w:rsid w:val="00F218AA"/>
    <w:rsid w:val="00F36166"/>
    <w:rsid w:val="00F37457"/>
    <w:rsid w:val="00F427BD"/>
    <w:rsid w:val="00F53B49"/>
    <w:rsid w:val="00F54729"/>
    <w:rsid w:val="00F55F33"/>
    <w:rsid w:val="00F659B2"/>
    <w:rsid w:val="00F91544"/>
    <w:rsid w:val="00FA563F"/>
    <w:rsid w:val="00FA5B53"/>
    <w:rsid w:val="00FB0DC1"/>
    <w:rsid w:val="00FB10D2"/>
    <w:rsid w:val="00FB67DA"/>
    <w:rsid w:val="00FC39AC"/>
    <w:rsid w:val="00FD1D14"/>
    <w:rsid w:val="00FD5A0F"/>
    <w:rsid w:val="00FE16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A06B7"/>
  <w15:chartTrackingRefBased/>
  <w15:docId w15:val="{9F94C874-8E47-4A16-80F2-46BF58B8E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6AD6"/>
  </w:style>
  <w:style w:type="paragraph" w:styleId="Heading1">
    <w:name w:val="heading 1"/>
    <w:basedOn w:val="Normal"/>
    <w:next w:val="Normal"/>
    <w:link w:val="Heading1Char"/>
    <w:uiPriority w:val="9"/>
    <w:qFormat/>
    <w:rsid w:val="0077511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7511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7238B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5118"/>
    <w:rPr>
      <w:rFonts w:asciiTheme="majorHAnsi" w:eastAsiaTheme="majorEastAsia" w:hAnsiTheme="majorHAnsi" w:cstheme="majorBidi"/>
      <w:color w:val="365F91" w:themeColor="accent1" w:themeShade="BF"/>
      <w:sz w:val="32"/>
      <w:szCs w:val="32"/>
    </w:rPr>
  </w:style>
  <w:style w:type="paragraph" w:styleId="Title">
    <w:name w:val="Title"/>
    <w:basedOn w:val="Normal"/>
    <w:next w:val="Normal"/>
    <w:link w:val="TitleChar"/>
    <w:uiPriority w:val="10"/>
    <w:qFormat/>
    <w:rsid w:val="0077511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5118"/>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75118"/>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1F539B"/>
    <w:pPr>
      <w:ind w:left="720"/>
      <w:contextualSpacing/>
    </w:pPr>
  </w:style>
  <w:style w:type="paragraph" w:styleId="FootnoteText">
    <w:name w:val="footnote text"/>
    <w:basedOn w:val="Normal"/>
    <w:link w:val="FootnoteTextChar"/>
    <w:uiPriority w:val="99"/>
    <w:unhideWhenUsed/>
    <w:qFormat/>
    <w:rsid w:val="00DA17B7"/>
    <w:pPr>
      <w:spacing w:after="0" w:line="240" w:lineRule="auto"/>
    </w:pPr>
    <w:rPr>
      <w:sz w:val="20"/>
      <w:szCs w:val="20"/>
    </w:rPr>
  </w:style>
  <w:style w:type="character" w:customStyle="1" w:styleId="FootnoteTextChar">
    <w:name w:val="Footnote Text Char"/>
    <w:basedOn w:val="DefaultParagraphFont"/>
    <w:link w:val="FootnoteText"/>
    <w:uiPriority w:val="99"/>
    <w:rsid w:val="00DA17B7"/>
    <w:rPr>
      <w:sz w:val="20"/>
      <w:szCs w:val="20"/>
    </w:rPr>
  </w:style>
  <w:style w:type="character" w:styleId="FootnoteReference">
    <w:name w:val="footnote reference"/>
    <w:basedOn w:val="DefaultParagraphFont"/>
    <w:uiPriority w:val="99"/>
    <w:unhideWhenUsed/>
    <w:rsid w:val="00DA17B7"/>
    <w:rPr>
      <w:vertAlign w:val="superscript"/>
    </w:rPr>
  </w:style>
  <w:style w:type="character" w:customStyle="1" w:styleId="Heading3Char">
    <w:name w:val="Heading 3 Char"/>
    <w:basedOn w:val="DefaultParagraphFont"/>
    <w:link w:val="Heading3"/>
    <w:uiPriority w:val="9"/>
    <w:rsid w:val="007238B4"/>
    <w:rPr>
      <w:rFonts w:asciiTheme="majorHAnsi" w:eastAsiaTheme="majorEastAsia" w:hAnsiTheme="majorHAnsi" w:cstheme="majorBidi"/>
      <w:color w:val="243F60" w:themeColor="accent1" w:themeShade="7F"/>
      <w:sz w:val="24"/>
      <w:szCs w:val="24"/>
    </w:rPr>
  </w:style>
  <w:style w:type="character" w:styleId="CommentReference">
    <w:name w:val="annotation reference"/>
    <w:basedOn w:val="DefaultParagraphFont"/>
    <w:uiPriority w:val="99"/>
    <w:semiHidden/>
    <w:unhideWhenUsed/>
    <w:rsid w:val="00D86550"/>
    <w:rPr>
      <w:sz w:val="16"/>
      <w:szCs w:val="16"/>
    </w:rPr>
  </w:style>
  <w:style w:type="paragraph" w:styleId="CommentText">
    <w:name w:val="annotation text"/>
    <w:basedOn w:val="Normal"/>
    <w:link w:val="CommentTextChar"/>
    <w:uiPriority w:val="99"/>
    <w:unhideWhenUsed/>
    <w:rsid w:val="00D86550"/>
    <w:pPr>
      <w:spacing w:line="240" w:lineRule="auto"/>
    </w:pPr>
    <w:rPr>
      <w:sz w:val="20"/>
      <w:szCs w:val="20"/>
    </w:rPr>
  </w:style>
  <w:style w:type="character" w:customStyle="1" w:styleId="CommentTextChar">
    <w:name w:val="Comment Text Char"/>
    <w:basedOn w:val="DefaultParagraphFont"/>
    <w:link w:val="CommentText"/>
    <w:uiPriority w:val="99"/>
    <w:rsid w:val="00D86550"/>
    <w:rPr>
      <w:sz w:val="20"/>
      <w:szCs w:val="20"/>
    </w:rPr>
  </w:style>
  <w:style w:type="paragraph" w:styleId="CommentSubject">
    <w:name w:val="annotation subject"/>
    <w:basedOn w:val="CommentText"/>
    <w:next w:val="CommentText"/>
    <w:link w:val="CommentSubjectChar"/>
    <w:uiPriority w:val="99"/>
    <w:semiHidden/>
    <w:unhideWhenUsed/>
    <w:rsid w:val="00D86550"/>
    <w:rPr>
      <w:b/>
      <w:bCs/>
    </w:rPr>
  </w:style>
  <w:style w:type="character" w:customStyle="1" w:styleId="CommentSubjectChar">
    <w:name w:val="Comment Subject Char"/>
    <w:basedOn w:val="CommentTextChar"/>
    <w:link w:val="CommentSubject"/>
    <w:uiPriority w:val="99"/>
    <w:semiHidden/>
    <w:rsid w:val="00D86550"/>
    <w:rPr>
      <w:b/>
      <w:bCs/>
      <w:sz w:val="20"/>
      <w:szCs w:val="20"/>
    </w:rPr>
  </w:style>
  <w:style w:type="paragraph" w:styleId="BalloonText">
    <w:name w:val="Balloon Text"/>
    <w:basedOn w:val="Normal"/>
    <w:link w:val="BalloonTextChar"/>
    <w:uiPriority w:val="99"/>
    <w:semiHidden/>
    <w:unhideWhenUsed/>
    <w:rsid w:val="00D865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6550"/>
    <w:rPr>
      <w:rFonts w:ascii="Segoe UI" w:hAnsi="Segoe UI" w:cs="Segoe UI"/>
      <w:sz w:val="18"/>
      <w:szCs w:val="18"/>
    </w:rPr>
  </w:style>
  <w:style w:type="paragraph" w:styleId="Bibliography">
    <w:name w:val="Bibliography"/>
    <w:basedOn w:val="Normal"/>
    <w:next w:val="Normal"/>
    <w:uiPriority w:val="37"/>
    <w:unhideWhenUsed/>
    <w:rsid w:val="00511035"/>
    <w:pPr>
      <w:spacing w:after="0" w:line="240" w:lineRule="auto"/>
      <w:ind w:left="720" w:hanging="720"/>
    </w:pPr>
  </w:style>
  <w:style w:type="character" w:styleId="Hyperlink">
    <w:name w:val="Hyperlink"/>
    <w:basedOn w:val="DefaultParagraphFont"/>
    <w:uiPriority w:val="99"/>
    <w:unhideWhenUsed/>
    <w:rsid w:val="008E2F3F"/>
    <w:rPr>
      <w:color w:val="0000FF" w:themeColor="hyperlink"/>
      <w:u w:val="single"/>
    </w:rPr>
  </w:style>
  <w:style w:type="character" w:customStyle="1" w:styleId="UnresolvedMention1">
    <w:name w:val="Unresolved Mention1"/>
    <w:basedOn w:val="DefaultParagraphFont"/>
    <w:uiPriority w:val="99"/>
    <w:rsid w:val="008E2F3F"/>
    <w:rPr>
      <w:color w:val="808080"/>
      <w:shd w:val="clear" w:color="auto" w:fill="E6E6E6"/>
    </w:rPr>
  </w:style>
  <w:style w:type="paragraph" w:styleId="Header">
    <w:name w:val="header"/>
    <w:basedOn w:val="Normal"/>
    <w:link w:val="HeaderChar"/>
    <w:uiPriority w:val="99"/>
    <w:unhideWhenUsed/>
    <w:rsid w:val="008A26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2637"/>
  </w:style>
  <w:style w:type="paragraph" w:styleId="Footer">
    <w:name w:val="footer"/>
    <w:basedOn w:val="Normal"/>
    <w:link w:val="FooterChar"/>
    <w:uiPriority w:val="99"/>
    <w:unhideWhenUsed/>
    <w:rsid w:val="008A26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2637"/>
  </w:style>
  <w:style w:type="character" w:styleId="EndnoteReference">
    <w:name w:val="endnote reference"/>
    <w:basedOn w:val="DefaultParagraphFont"/>
    <w:uiPriority w:val="99"/>
    <w:semiHidden/>
    <w:unhideWhenUsed/>
    <w:rsid w:val="00F02A8F"/>
    <w:rPr>
      <w:vertAlign w:val="superscript"/>
    </w:rPr>
  </w:style>
  <w:style w:type="character" w:styleId="FollowedHyperlink">
    <w:name w:val="FollowedHyperlink"/>
    <w:basedOn w:val="DefaultParagraphFont"/>
    <w:uiPriority w:val="99"/>
    <w:semiHidden/>
    <w:unhideWhenUsed/>
    <w:rsid w:val="002B3AF5"/>
    <w:rPr>
      <w:color w:val="800080" w:themeColor="followedHyperlink"/>
      <w:u w:val="single"/>
    </w:rPr>
  </w:style>
  <w:style w:type="character" w:customStyle="1" w:styleId="fqscharitalic">
    <w:name w:val="fqscharitalic"/>
    <w:basedOn w:val="DefaultParagraphFont"/>
    <w:rsid w:val="007C7FDA"/>
  </w:style>
  <w:style w:type="paragraph" w:styleId="EndnoteText">
    <w:name w:val="endnote text"/>
    <w:basedOn w:val="Normal"/>
    <w:link w:val="EndnoteTextChar"/>
    <w:uiPriority w:val="99"/>
    <w:semiHidden/>
    <w:unhideWhenUsed/>
    <w:rsid w:val="00AF076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F076A"/>
    <w:rPr>
      <w:sz w:val="20"/>
      <w:szCs w:val="20"/>
    </w:rPr>
  </w:style>
  <w:style w:type="paragraph" w:customStyle="1" w:styleId="Location">
    <w:name w:val="Location"/>
    <w:basedOn w:val="Normal"/>
    <w:qFormat/>
    <w:rsid w:val="00675559"/>
    <w:pPr>
      <w:spacing w:after="0" w:line="264" w:lineRule="auto"/>
      <w:ind w:left="288"/>
    </w:pPr>
    <w:rPr>
      <w:rFonts w:eastAsiaTheme="minorEastAsia"/>
      <w:sz w:val="16"/>
      <w:lang w:val="en-US" w:eastAsia="en-GB"/>
    </w:rPr>
  </w:style>
  <w:style w:type="paragraph" w:styleId="PlainText">
    <w:name w:val="Plain Text"/>
    <w:basedOn w:val="Normal"/>
    <w:link w:val="PlainTextChar"/>
    <w:uiPriority w:val="99"/>
    <w:unhideWhenUsed/>
    <w:rsid w:val="00A071E7"/>
    <w:pPr>
      <w:spacing w:after="0" w:line="240" w:lineRule="auto"/>
    </w:pPr>
    <w:rPr>
      <w:rFonts w:ascii="Consolas" w:eastAsia="Calibri" w:hAnsi="Consolas" w:cs="Times New Roman"/>
      <w:sz w:val="21"/>
      <w:szCs w:val="21"/>
      <w:lang w:eastAsia="en-GB"/>
    </w:rPr>
  </w:style>
  <w:style w:type="character" w:customStyle="1" w:styleId="PlainTextChar">
    <w:name w:val="Plain Text Char"/>
    <w:basedOn w:val="DefaultParagraphFont"/>
    <w:link w:val="PlainText"/>
    <w:uiPriority w:val="99"/>
    <w:rsid w:val="00A071E7"/>
    <w:rPr>
      <w:rFonts w:ascii="Consolas" w:eastAsia="Calibri" w:hAnsi="Consolas" w:cs="Times New Roman"/>
      <w:sz w:val="21"/>
      <w:szCs w:val="21"/>
      <w:lang w:eastAsia="en-GB"/>
    </w:rPr>
  </w:style>
  <w:style w:type="character" w:styleId="UnresolvedMention">
    <w:name w:val="Unresolved Mention"/>
    <w:basedOn w:val="DefaultParagraphFont"/>
    <w:uiPriority w:val="99"/>
    <w:semiHidden/>
    <w:unhideWhenUsed/>
    <w:rsid w:val="00BB04A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422207">
      <w:bodyDiv w:val="1"/>
      <w:marLeft w:val="0"/>
      <w:marRight w:val="0"/>
      <w:marTop w:val="0"/>
      <w:marBottom w:val="0"/>
      <w:divBdr>
        <w:top w:val="none" w:sz="0" w:space="0" w:color="auto"/>
        <w:left w:val="none" w:sz="0" w:space="0" w:color="auto"/>
        <w:bottom w:val="none" w:sz="0" w:space="0" w:color="auto"/>
        <w:right w:val="none" w:sz="0" w:space="0" w:color="auto"/>
      </w:divBdr>
    </w:div>
    <w:div w:id="35901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yerson.ca/ds/madpositiv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muse.jhu.edu/journal/164" TargetMode="External"/></Relationships>
</file>

<file path=word/_rels/endnotes.xml.rels><?xml version="1.0" encoding="UTF-8" standalone="yes"?>
<Relationships xmlns="http://schemas.openxmlformats.org/package/2006/relationships"><Relationship Id="rId2" Type="http://schemas.openxmlformats.org/officeDocument/2006/relationships/hyperlink" Target="http://studymore.org.uk/mpu.htm" TargetMode="External"/><Relationship Id="rId1" Type="http://schemas.openxmlformats.org/officeDocument/2006/relationships/hyperlink" Target="http://www.psychiatricsurvivorarchiv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085EA-503C-45AC-938C-EEAA0533F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22</Pages>
  <Words>7383</Words>
  <Characters>42084</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Brigit McWade</dc:creator>
  <cp:keywords/>
  <dc:description/>
  <cp:lastModifiedBy>Brigit McWade</cp:lastModifiedBy>
  <cp:revision>61</cp:revision>
  <dcterms:created xsi:type="dcterms:W3CDTF">2018-12-06T11:01:00Z</dcterms:created>
  <dcterms:modified xsi:type="dcterms:W3CDTF">2018-12-06T17:30:00Z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zotero-version="5.0.54"&gt;&lt;session id="qxW8rX3G"/&gt;&lt;style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