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FFC0" w14:textId="6B33B045" w:rsidR="002002DF" w:rsidRPr="002002DF" w:rsidRDefault="002002DF" w:rsidP="002002DF">
      <w:pPr>
        <w:rPr>
          <w:rFonts w:ascii="Georgia" w:hAnsi="Georgia"/>
          <w:lang w:val="en"/>
        </w:rPr>
      </w:pPr>
      <w:r>
        <w:rPr>
          <w:rFonts w:ascii="Georgia" w:hAnsi="Georgia"/>
          <w:lang w:val="en"/>
        </w:rPr>
        <w:t>IN P</w:t>
      </w:r>
      <w:r w:rsidRPr="002002DF">
        <w:rPr>
          <w:rFonts w:ascii="Georgia" w:hAnsi="Georgia"/>
          <w:lang w:val="en"/>
        </w:rPr>
        <w:t>ARENTHESES:</w:t>
      </w:r>
    </w:p>
    <w:p w14:paraId="4CC10180" w14:textId="77777777" w:rsidR="004340A1" w:rsidRDefault="004340A1" w:rsidP="002002DF">
      <w:pPr>
        <w:rPr>
          <w:rFonts w:ascii="Georgia" w:hAnsi="Georgia"/>
          <w:lang w:val="en"/>
        </w:rPr>
      </w:pPr>
    </w:p>
    <w:p w14:paraId="10715C84" w14:textId="0CEBCA6A" w:rsidR="002002DF" w:rsidRPr="002002DF" w:rsidRDefault="002002DF" w:rsidP="002002DF">
      <w:pPr>
        <w:rPr>
          <w:rFonts w:ascii="Georgia" w:hAnsi="Georgia"/>
          <w:lang w:val="en"/>
        </w:rPr>
      </w:pPr>
      <w:r w:rsidRPr="002002DF">
        <w:rPr>
          <w:rFonts w:ascii="Georgia" w:hAnsi="Georgia"/>
          <w:lang w:val="en"/>
        </w:rPr>
        <w:t xml:space="preserve">A RESPONSE TO NIALL GILDEA  </w:t>
      </w:r>
    </w:p>
    <w:p w14:paraId="365ED5D9" w14:textId="77777777" w:rsidR="004340A1" w:rsidRDefault="004340A1" w:rsidP="002002DF">
      <w:pPr>
        <w:rPr>
          <w:rFonts w:ascii="Georgia" w:hAnsi="Georgia"/>
          <w:lang w:val="en"/>
        </w:rPr>
      </w:pPr>
    </w:p>
    <w:p w14:paraId="67F6FFC7" w14:textId="23635FCC" w:rsidR="002002DF" w:rsidRDefault="002002DF" w:rsidP="002002DF">
      <w:pPr>
        <w:rPr>
          <w:rFonts w:ascii="Georgia" w:hAnsi="Georgia"/>
          <w:lang w:val="en"/>
        </w:rPr>
      </w:pPr>
      <w:r w:rsidRPr="002002DF">
        <w:rPr>
          <w:rFonts w:ascii="Georgia" w:hAnsi="Georgia"/>
          <w:lang w:val="en"/>
        </w:rPr>
        <w:t>Arthur Bradley</w:t>
      </w:r>
    </w:p>
    <w:p w14:paraId="0CBF024D" w14:textId="16C7FF2B" w:rsidR="002002DF" w:rsidRDefault="002002DF" w:rsidP="002002DF">
      <w:pPr>
        <w:rPr>
          <w:rFonts w:ascii="Georgia" w:hAnsi="Georgia"/>
          <w:lang w:val="en"/>
        </w:rPr>
      </w:pPr>
    </w:p>
    <w:p w14:paraId="1194DB22" w14:textId="77777777" w:rsidR="002002DF" w:rsidRPr="002002DF" w:rsidRDefault="002002DF" w:rsidP="002002DF">
      <w:pPr>
        <w:rPr>
          <w:rFonts w:ascii="Georgia" w:hAnsi="Georgia"/>
          <w:lang w:val="en"/>
        </w:rPr>
      </w:pPr>
    </w:p>
    <w:p w14:paraId="09BF6E9B" w14:textId="77777777" w:rsidR="002002DF" w:rsidRPr="002002DF" w:rsidRDefault="002002DF" w:rsidP="002002DF">
      <w:pPr>
        <w:rPr>
          <w:rFonts w:ascii="Georgia" w:hAnsi="Georgia"/>
          <w:lang w:val="en"/>
        </w:rPr>
      </w:pPr>
    </w:p>
    <w:p w14:paraId="1002E6B6" w14:textId="4D8CD423" w:rsidR="002002DF" w:rsidRPr="002002DF" w:rsidRDefault="002002DF" w:rsidP="002002DF">
      <w:pPr>
        <w:jc w:val="both"/>
        <w:rPr>
          <w:rFonts w:ascii="Georgia" w:hAnsi="Georgia"/>
          <w:sz w:val="22"/>
          <w:szCs w:val="22"/>
          <w:lang w:val="en"/>
        </w:rPr>
      </w:pPr>
      <w:r w:rsidRPr="002002DF">
        <w:rPr>
          <w:rFonts w:ascii="Georgia" w:hAnsi="Georgia"/>
          <w:sz w:val="22"/>
          <w:szCs w:val="22"/>
          <w:lang w:val="en"/>
        </w:rPr>
        <w:t xml:space="preserve">I want to begin by expressing my gratitude to Niall Gildea for his characteristically careful and generous response to my work. In many ways, I fear my reply will redundant because what he says about the book is so unarguably true that I </w:t>
      </w:r>
      <w:r w:rsidR="0024443B">
        <w:rPr>
          <w:rFonts w:ascii="Georgia" w:hAnsi="Georgia"/>
          <w:sz w:val="22"/>
          <w:szCs w:val="22"/>
          <w:lang w:val="en"/>
        </w:rPr>
        <w:t xml:space="preserve">might </w:t>
      </w:r>
      <w:r w:rsidR="002C7BB6">
        <w:rPr>
          <w:rFonts w:ascii="Georgia" w:hAnsi="Georgia"/>
          <w:sz w:val="22"/>
          <w:szCs w:val="22"/>
          <w:lang w:val="en"/>
        </w:rPr>
        <w:t xml:space="preserve">even </w:t>
      </w:r>
      <w:r w:rsidR="0024443B">
        <w:rPr>
          <w:rFonts w:ascii="Georgia" w:hAnsi="Georgia"/>
          <w:sz w:val="22"/>
          <w:szCs w:val="22"/>
          <w:lang w:val="en"/>
        </w:rPr>
        <w:t>call it</w:t>
      </w:r>
      <w:r w:rsidRPr="002002DF">
        <w:rPr>
          <w:rFonts w:ascii="Georgia" w:hAnsi="Georgia"/>
          <w:sz w:val="22"/>
          <w:szCs w:val="22"/>
          <w:lang w:val="en"/>
        </w:rPr>
        <w:t xml:space="preserve"> obvious --- if, of course, I had managed to think of it myself in the first place. </w:t>
      </w:r>
    </w:p>
    <w:p w14:paraId="5A5982A5" w14:textId="77777777" w:rsidR="002002DF" w:rsidRPr="002002DF" w:rsidRDefault="002002DF" w:rsidP="002002DF">
      <w:pPr>
        <w:jc w:val="both"/>
        <w:rPr>
          <w:rFonts w:ascii="Georgia" w:hAnsi="Georgia"/>
          <w:sz w:val="22"/>
          <w:szCs w:val="22"/>
        </w:rPr>
      </w:pPr>
    </w:p>
    <w:p w14:paraId="36F5EC6D" w14:textId="25264EE1" w:rsidR="002002DF" w:rsidRPr="002002DF" w:rsidRDefault="002C7BB6" w:rsidP="002002DF">
      <w:pPr>
        <w:jc w:val="both"/>
        <w:rPr>
          <w:rFonts w:ascii="Georgia" w:hAnsi="Georgia"/>
          <w:sz w:val="22"/>
          <w:szCs w:val="22"/>
        </w:rPr>
      </w:pPr>
      <w:r>
        <w:rPr>
          <w:rFonts w:ascii="Georgia" w:hAnsi="Georgia"/>
          <w:sz w:val="22"/>
          <w:szCs w:val="22"/>
        </w:rPr>
        <w:t>Firstly,</w:t>
      </w:r>
      <w:r w:rsidR="002002DF" w:rsidRPr="002002DF">
        <w:rPr>
          <w:rFonts w:ascii="Georgia" w:hAnsi="Georgia"/>
          <w:sz w:val="22"/>
          <w:szCs w:val="22"/>
        </w:rPr>
        <w:t xml:space="preserve"> I </w:t>
      </w:r>
      <w:r w:rsidR="00BD5DCF">
        <w:rPr>
          <w:rFonts w:ascii="Georgia" w:hAnsi="Georgia"/>
          <w:sz w:val="22"/>
          <w:szCs w:val="22"/>
        </w:rPr>
        <w:t xml:space="preserve">do </w:t>
      </w:r>
      <w:r w:rsidR="002002DF" w:rsidRPr="002002DF">
        <w:rPr>
          <w:rFonts w:ascii="Georgia" w:hAnsi="Georgia"/>
          <w:sz w:val="22"/>
          <w:szCs w:val="22"/>
        </w:rPr>
        <w:t xml:space="preserve">think Niall --- who is himself one of the most </w:t>
      </w:r>
      <w:r w:rsidR="004340A1">
        <w:rPr>
          <w:rFonts w:ascii="Georgia" w:hAnsi="Georgia"/>
          <w:sz w:val="22"/>
          <w:szCs w:val="22"/>
        </w:rPr>
        <w:t>important</w:t>
      </w:r>
      <w:r w:rsidR="002002DF" w:rsidRPr="002002DF">
        <w:rPr>
          <w:rFonts w:ascii="Georgia" w:hAnsi="Georgia"/>
          <w:sz w:val="22"/>
          <w:szCs w:val="22"/>
        </w:rPr>
        <w:t xml:space="preserve"> new voices working on deconstruction --- is right to detect the presence of Derrida in the book even though his name rarely figures</w:t>
      </w:r>
      <w:r w:rsidR="004340A1">
        <w:rPr>
          <w:rFonts w:ascii="Georgia" w:hAnsi="Georgia"/>
          <w:sz w:val="22"/>
          <w:szCs w:val="22"/>
        </w:rPr>
        <w:t xml:space="preserve"> explicitly</w:t>
      </w:r>
      <w:r w:rsidR="002002DF" w:rsidRPr="002002DF">
        <w:rPr>
          <w:rFonts w:ascii="Georgia" w:hAnsi="Georgia"/>
          <w:sz w:val="22"/>
          <w:szCs w:val="22"/>
        </w:rPr>
        <w:t>.</w:t>
      </w:r>
      <w:r w:rsidR="002002DF" w:rsidRPr="002002DF">
        <w:rPr>
          <w:rFonts w:ascii="Georgia" w:hAnsi="Georgia"/>
          <w:sz w:val="22"/>
          <w:szCs w:val="22"/>
          <w:vertAlign w:val="superscript"/>
        </w:rPr>
        <w:endnoteReference w:id="1"/>
      </w:r>
      <w:r w:rsidR="002002DF" w:rsidRPr="002002DF">
        <w:rPr>
          <w:rFonts w:ascii="Georgia" w:hAnsi="Georgia"/>
          <w:sz w:val="22"/>
          <w:szCs w:val="22"/>
        </w:rPr>
        <w:t xml:space="preserve"> It is a parenthetical position that is perhaps symptomatic of the parentheses that deconstruction occupies within the philosophical scene more widely. As with some other figures in the history of philosophy --- Wittgenstein comes to mind --- I think Derrida is seriously under-read now, not because his work has been refuted or superseded, but precisely because it has not: whatever we mean by “deconstruction” is easier to ignore it as if it never happened. Insofar as I am capable of thinking at all --- and I </w:t>
      </w:r>
      <w:r w:rsidR="00D83815">
        <w:rPr>
          <w:rFonts w:ascii="Georgia" w:hAnsi="Georgia"/>
          <w:sz w:val="22"/>
          <w:szCs w:val="22"/>
        </w:rPr>
        <w:t xml:space="preserve">obviously </w:t>
      </w:r>
      <w:r w:rsidR="002002DF" w:rsidRPr="002002DF">
        <w:rPr>
          <w:rFonts w:ascii="Georgia" w:hAnsi="Georgia"/>
          <w:sz w:val="22"/>
          <w:szCs w:val="22"/>
        </w:rPr>
        <w:t>leave this to the reader to judge ---</w:t>
      </w:r>
      <w:r w:rsidR="00D83815">
        <w:rPr>
          <w:rFonts w:ascii="Georgia" w:hAnsi="Georgia"/>
          <w:sz w:val="22"/>
          <w:szCs w:val="22"/>
        </w:rPr>
        <w:t xml:space="preserve"> </w:t>
      </w:r>
      <w:r w:rsidR="002002DF" w:rsidRPr="002002DF">
        <w:rPr>
          <w:rFonts w:ascii="Georgia" w:hAnsi="Georgia"/>
          <w:sz w:val="22"/>
          <w:szCs w:val="22"/>
        </w:rPr>
        <w:t xml:space="preserve">I am happy to confess it was Derrida who taught me how to do it. </w:t>
      </w:r>
    </w:p>
    <w:p w14:paraId="137BEE70" w14:textId="77777777" w:rsidR="002002DF" w:rsidRPr="002002DF" w:rsidRDefault="002002DF" w:rsidP="002002DF">
      <w:pPr>
        <w:jc w:val="both"/>
        <w:rPr>
          <w:rFonts w:ascii="Georgia" w:hAnsi="Georgia"/>
          <w:sz w:val="22"/>
          <w:szCs w:val="22"/>
        </w:rPr>
      </w:pPr>
    </w:p>
    <w:p w14:paraId="1476F430" w14:textId="37933660" w:rsidR="002002DF" w:rsidRPr="002002DF" w:rsidRDefault="002002DF" w:rsidP="002002DF">
      <w:pPr>
        <w:jc w:val="both"/>
        <w:rPr>
          <w:rFonts w:ascii="Georgia" w:hAnsi="Georgia"/>
          <w:sz w:val="22"/>
          <w:szCs w:val="22"/>
        </w:rPr>
      </w:pPr>
      <w:r w:rsidRPr="002002DF">
        <w:rPr>
          <w:rFonts w:ascii="Georgia" w:hAnsi="Georgia"/>
          <w:sz w:val="22"/>
          <w:szCs w:val="22"/>
        </w:rPr>
        <w:t xml:space="preserve">It’s probably </w:t>
      </w:r>
      <w:r w:rsidR="004340A1">
        <w:rPr>
          <w:rFonts w:ascii="Georgia" w:hAnsi="Georgia"/>
          <w:sz w:val="22"/>
          <w:szCs w:val="22"/>
        </w:rPr>
        <w:t xml:space="preserve">more than a </w:t>
      </w:r>
      <w:r w:rsidRPr="002002DF">
        <w:rPr>
          <w:rFonts w:ascii="Georgia" w:hAnsi="Georgia"/>
          <w:sz w:val="22"/>
          <w:szCs w:val="22"/>
        </w:rPr>
        <w:t>coincidence</w:t>
      </w:r>
      <w:r w:rsidR="004340A1">
        <w:rPr>
          <w:rFonts w:ascii="Georgia" w:hAnsi="Georgia"/>
          <w:sz w:val="22"/>
          <w:szCs w:val="22"/>
        </w:rPr>
        <w:t>, too,</w:t>
      </w:r>
      <w:r w:rsidRPr="002002DF">
        <w:rPr>
          <w:rFonts w:ascii="Georgia" w:hAnsi="Georgia"/>
          <w:sz w:val="22"/>
          <w:szCs w:val="22"/>
        </w:rPr>
        <w:t xml:space="preserve"> that the particular essay to which Niall refers in his contribution, “</w:t>
      </w:r>
      <w:r w:rsidRPr="002002DF">
        <w:rPr>
          <w:rFonts w:ascii="Georgia" w:hAnsi="Georgia"/>
          <w:i/>
          <w:iCs/>
          <w:sz w:val="22"/>
          <w:szCs w:val="22"/>
        </w:rPr>
        <w:t>Cogito</w:t>
      </w:r>
      <w:r w:rsidRPr="002002DF">
        <w:rPr>
          <w:rFonts w:ascii="Georgia" w:hAnsi="Georgia"/>
          <w:sz w:val="22"/>
          <w:szCs w:val="22"/>
        </w:rPr>
        <w:t xml:space="preserve"> and the History of Madness,” was the first text by Derrida I ever read</w:t>
      </w:r>
      <w:r w:rsidR="004340A1">
        <w:rPr>
          <w:rFonts w:ascii="Georgia" w:hAnsi="Georgia"/>
          <w:sz w:val="22"/>
          <w:szCs w:val="22"/>
        </w:rPr>
        <w:t xml:space="preserve"> </w:t>
      </w:r>
      <w:r w:rsidRPr="002002DF">
        <w:rPr>
          <w:rFonts w:ascii="Georgia" w:hAnsi="Georgia"/>
          <w:sz w:val="22"/>
          <w:szCs w:val="22"/>
        </w:rPr>
        <w:t>and one which also significantly influenced my early work on negative theology.</w:t>
      </w:r>
      <w:r w:rsidRPr="002002DF">
        <w:rPr>
          <w:rFonts w:ascii="Georgia" w:hAnsi="Georgia"/>
          <w:sz w:val="22"/>
          <w:szCs w:val="22"/>
          <w:vertAlign w:val="superscript"/>
        </w:rPr>
        <w:endnoteReference w:id="2"/>
      </w:r>
      <w:r w:rsidRPr="002002DF">
        <w:rPr>
          <w:rFonts w:ascii="Georgia" w:hAnsi="Georgia"/>
          <w:sz w:val="22"/>
          <w:szCs w:val="22"/>
        </w:rPr>
        <w:t xml:space="preserve"> If I wasn’t thinking of it consciously when writing this book, I’ve no doubt it has filtered into my general scepticism or hesitancy about the possibility of ever writing a “history”</w:t>
      </w:r>
      <w:r w:rsidRPr="002002DF">
        <w:rPr>
          <w:rFonts w:ascii="Georgia" w:hAnsi="Georgia"/>
          <w:i/>
          <w:iCs/>
          <w:sz w:val="22"/>
          <w:szCs w:val="22"/>
        </w:rPr>
        <w:t xml:space="preserve"> </w:t>
      </w:r>
      <w:proofErr w:type="spellStart"/>
      <w:r w:rsidRPr="002002DF">
        <w:rPr>
          <w:rFonts w:ascii="Georgia" w:hAnsi="Georgia"/>
          <w:i/>
          <w:iCs/>
          <w:sz w:val="22"/>
          <w:szCs w:val="22"/>
        </w:rPr>
        <w:t>sensu</w:t>
      </w:r>
      <w:proofErr w:type="spellEnd"/>
      <w:r w:rsidRPr="002002DF">
        <w:rPr>
          <w:rFonts w:ascii="Georgia" w:hAnsi="Georgia"/>
          <w:i/>
          <w:iCs/>
          <w:sz w:val="22"/>
          <w:szCs w:val="22"/>
        </w:rPr>
        <w:t xml:space="preserve"> </w:t>
      </w:r>
      <w:proofErr w:type="spellStart"/>
      <w:r w:rsidRPr="002002DF">
        <w:rPr>
          <w:rFonts w:ascii="Georgia" w:hAnsi="Georgia"/>
          <w:i/>
          <w:iCs/>
          <w:sz w:val="22"/>
          <w:szCs w:val="22"/>
        </w:rPr>
        <w:t>stricto</w:t>
      </w:r>
      <w:proofErr w:type="spellEnd"/>
      <w:r w:rsidRPr="002002DF">
        <w:rPr>
          <w:rFonts w:ascii="Georgia" w:hAnsi="Georgia"/>
          <w:sz w:val="22"/>
          <w:szCs w:val="22"/>
        </w:rPr>
        <w:t xml:space="preserve"> of the absence that is unbearable life. In the Introduction to the book, for instance, I already formulate a hypothesis that could have come </w:t>
      </w:r>
      <w:r w:rsidR="004340A1" w:rsidRPr="004340A1">
        <w:rPr>
          <w:rFonts w:ascii="Georgia" w:hAnsi="Georgia"/>
          <w:i/>
          <w:iCs/>
          <w:sz w:val="22"/>
          <w:szCs w:val="22"/>
        </w:rPr>
        <w:t>verbatim</w:t>
      </w:r>
      <w:r w:rsidRPr="004340A1">
        <w:rPr>
          <w:rFonts w:ascii="Georgia" w:hAnsi="Georgia"/>
          <w:i/>
          <w:iCs/>
          <w:sz w:val="22"/>
          <w:szCs w:val="22"/>
        </w:rPr>
        <w:t xml:space="preserve"> </w:t>
      </w:r>
      <w:r w:rsidRPr="002002DF">
        <w:rPr>
          <w:rFonts w:ascii="Georgia" w:hAnsi="Georgia"/>
          <w:sz w:val="22"/>
          <w:szCs w:val="22"/>
        </w:rPr>
        <w:t>out of the Foucault-Derrida debate: “a ‘history’ of unbearable life is something of a contradiction in terms because it can only be the history of an absence, of a constitutive exclusion, of that which is not permitted to enter history</w:t>
      </w:r>
      <w:r w:rsidR="00C97B13">
        <w:rPr>
          <w:rFonts w:ascii="Georgia" w:hAnsi="Georgia"/>
          <w:sz w:val="22"/>
          <w:szCs w:val="22"/>
        </w:rPr>
        <w:t>.</w:t>
      </w:r>
      <w:r w:rsidRPr="002002DF">
        <w:rPr>
          <w:rFonts w:ascii="Georgia" w:hAnsi="Georgia"/>
          <w:sz w:val="22"/>
          <w:szCs w:val="22"/>
        </w:rPr>
        <w:t>”</w:t>
      </w:r>
      <w:r w:rsidR="00C97B13">
        <w:rPr>
          <w:rStyle w:val="EndnoteReference"/>
          <w:rFonts w:ascii="Georgia" w:hAnsi="Georgia"/>
          <w:sz w:val="22"/>
          <w:szCs w:val="22"/>
        </w:rPr>
        <w:endnoteReference w:id="3"/>
      </w:r>
    </w:p>
    <w:p w14:paraId="3282A370" w14:textId="77777777" w:rsidR="002002DF" w:rsidRPr="002002DF" w:rsidRDefault="002002DF" w:rsidP="002002DF">
      <w:pPr>
        <w:jc w:val="both"/>
        <w:rPr>
          <w:rFonts w:ascii="Georgia" w:hAnsi="Georgia"/>
          <w:sz w:val="22"/>
          <w:szCs w:val="22"/>
        </w:rPr>
      </w:pPr>
    </w:p>
    <w:p w14:paraId="58C4DCE6" w14:textId="39073353" w:rsidR="002002DF" w:rsidRPr="002002DF" w:rsidRDefault="002002DF" w:rsidP="002002DF">
      <w:pPr>
        <w:jc w:val="both"/>
        <w:rPr>
          <w:rFonts w:ascii="Georgia" w:hAnsi="Georgia"/>
          <w:sz w:val="22"/>
          <w:szCs w:val="22"/>
        </w:rPr>
      </w:pPr>
      <w:r w:rsidRPr="002002DF">
        <w:rPr>
          <w:rFonts w:ascii="Georgia" w:hAnsi="Georgia"/>
          <w:sz w:val="22"/>
          <w:szCs w:val="22"/>
        </w:rPr>
        <w:t xml:space="preserve">To turn in more detail to Niall’s comments, I was fascinated by his reading of </w:t>
      </w:r>
      <w:r w:rsidR="00721ED8">
        <w:rPr>
          <w:rFonts w:ascii="Georgia" w:hAnsi="Georgia"/>
          <w:sz w:val="22"/>
          <w:szCs w:val="22"/>
        </w:rPr>
        <w:t xml:space="preserve">what we might call </w:t>
      </w:r>
      <w:r w:rsidRPr="002002DF">
        <w:rPr>
          <w:rFonts w:ascii="Georgia" w:hAnsi="Georgia"/>
          <w:sz w:val="22"/>
          <w:szCs w:val="22"/>
        </w:rPr>
        <w:t xml:space="preserve">Foucault’s </w:t>
      </w:r>
      <w:r w:rsidR="00721ED8">
        <w:rPr>
          <w:rFonts w:ascii="Georgia" w:hAnsi="Georgia"/>
          <w:sz w:val="22"/>
          <w:szCs w:val="22"/>
        </w:rPr>
        <w:t>“</w:t>
      </w:r>
      <w:r w:rsidRPr="002002DF">
        <w:rPr>
          <w:rFonts w:ascii="Georgia" w:hAnsi="Georgia"/>
          <w:sz w:val="22"/>
          <w:szCs w:val="22"/>
        </w:rPr>
        <w:t>putting-into-parentheses</w:t>
      </w:r>
      <w:r w:rsidR="00721ED8">
        <w:rPr>
          <w:rFonts w:ascii="Georgia" w:hAnsi="Georgia"/>
          <w:sz w:val="22"/>
          <w:szCs w:val="22"/>
        </w:rPr>
        <w:t>”</w:t>
      </w:r>
      <w:r w:rsidRPr="002002DF">
        <w:rPr>
          <w:rFonts w:ascii="Georgia" w:hAnsi="Georgia"/>
          <w:sz w:val="22"/>
          <w:szCs w:val="22"/>
        </w:rPr>
        <w:t xml:space="preserve"> of unbearable life through the lens of the Foucault-Derrida debate and, in particular, the latter’s identification of a certain problematic “pré-compréhension” of madness in the </w:t>
      </w:r>
      <w:r w:rsidRPr="002002DF">
        <w:rPr>
          <w:rFonts w:ascii="Georgia" w:hAnsi="Georgia"/>
          <w:i/>
          <w:iCs/>
          <w:sz w:val="22"/>
          <w:szCs w:val="22"/>
        </w:rPr>
        <w:t>History of Madness.</w:t>
      </w:r>
      <w:r w:rsidRPr="002002DF">
        <w:rPr>
          <w:rFonts w:ascii="Georgia" w:hAnsi="Georgia"/>
          <w:sz w:val="22"/>
          <w:szCs w:val="22"/>
          <w:vertAlign w:val="superscript"/>
        </w:rPr>
        <w:endnoteReference w:id="4"/>
      </w:r>
      <w:r w:rsidRPr="002002DF">
        <w:rPr>
          <w:rFonts w:ascii="Georgia" w:hAnsi="Georgia"/>
          <w:i/>
          <w:iCs/>
          <w:sz w:val="22"/>
          <w:szCs w:val="22"/>
        </w:rPr>
        <w:t xml:space="preserve"> </w:t>
      </w:r>
      <w:r w:rsidRPr="002002DF">
        <w:rPr>
          <w:rFonts w:ascii="Georgia" w:hAnsi="Georgia"/>
          <w:sz w:val="22"/>
          <w:szCs w:val="22"/>
        </w:rPr>
        <w:t xml:space="preserve">If I understand Derrida correctly here, what I think he is saying </w:t>
      </w:r>
      <w:r w:rsidR="00BD5DCF">
        <w:rPr>
          <w:rFonts w:ascii="Georgia" w:hAnsi="Georgia"/>
          <w:sz w:val="22"/>
          <w:szCs w:val="22"/>
        </w:rPr>
        <w:t xml:space="preserve">is </w:t>
      </w:r>
      <w:r w:rsidRPr="002002DF">
        <w:rPr>
          <w:rFonts w:ascii="Georgia" w:hAnsi="Georgia"/>
          <w:sz w:val="22"/>
          <w:szCs w:val="22"/>
        </w:rPr>
        <w:t>that Foucault falls victim to the same illusion that grips the structuralist revolution and the human sciences more widely, namely, the belief that philosophy can be parenthesized or bracketed off by some allegedly more rigorous system of thought like anthropology, linguistics, or psychoanalysis. In his attempt to move beyond what he sees as the vicissitudes of rational philosophy, however, Foucault (like figures such as Lévi-Strauss before him) simply ends up falling into the crudest, most pre-critically empirical philosophy of madness imaginable: “everything transpires as if, in a continuous and underlying way, an assured and rigorous precomprehension of the concept of madness, or at least of its nominal definition, were possible and acquired.”</w:t>
      </w:r>
      <w:r w:rsidR="004340A1">
        <w:rPr>
          <w:rStyle w:val="EndnoteReference"/>
          <w:rFonts w:ascii="Georgia" w:hAnsi="Georgia"/>
          <w:sz w:val="22"/>
          <w:szCs w:val="22"/>
        </w:rPr>
        <w:endnoteReference w:id="5"/>
      </w:r>
    </w:p>
    <w:p w14:paraId="135B3BE6" w14:textId="77777777" w:rsidR="002002DF" w:rsidRPr="002002DF" w:rsidRDefault="002002DF" w:rsidP="002002DF">
      <w:pPr>
        <w:jc w:val="both"/>
        <w:rPr>
          <w:rFonts w:ascii="Georgia" w:hAnsi="Georgia"/>
          <w:sz w:val="22"/>
          <w:szCs w:val="22"/>
        </w:rPr>
      </w:pPr>
    </w:p>
    <w:p w14:paraId="2E159FF4" w14:textId="6448CEBE" w:rsidR="002002DF" w:rsidRPr="002002DF" w:rsidRDefault="002002DF" w:rsidP="002002DF">
      <w:pPr>
        <w:jc w:val="both"/>
        <w:rPr>
          <w:rFonts w:ascii="Georgia" w:hAnsi="Georgia"/>
          <w:sz w:val="22"/>
          <w:szCs w:val="22"/>
        </w:rPr>
      </w:pPr>
      <w:r w:rsidRPr="002002DF">
        <w:rPr>
          <w:rFonts w:ascii="Georgia" w:hAnsi="Georgia"/>
          <w:sz w:val="22"/>
          <w:szCs w:val="22"/>
        </w:rPr>
        <w:t xml:space="preserve">If there is an equivalent to </w:t>
      </w:r>
      <w:r w:rsidR="00F21AE2">
        <w:rPr>
          <w:rFonts w:ascii="Georgia" w:hAnsi="Georgia"/>
          <w:sz w:val="22"/>
          <w:szCs w:val="22"/>
        </w:rPr>
        <w:t xml:space="preserve">this </w:t>
      </w:r>
      <w:r w:rsidRPr="002002DF">
        <w:rPr>
          <w:rFonts w:ascii="Georgia" w:hAnsi="Georgia"/>
          <w:sz w:val="22"/>
          <w:szCs w:val="22"/>
        </w:rPr>
        <w:t xml:space="preserve">“pré-compréhension” of madness --- where the attempt to parenthesize philosophy finds itself unwittingly parenthesized </w:t>
      </w:r>
      <w:r w:rsidRPr="002002DF">
        <w:rPr>
          <w:rFonts w:ascii="Georgia" w:hAnsi="Georgia"/>
          <w:i/>
          <w:iCs/>
          <w:sz w:val="22"/>
          <w:szCs w:val="22"/>
        </w:rPr>
        <w:t>by</w:t>
      </w:r>
      <w:r w:rsidRPr="002002DF">
        <w:rPr>
          <w:rFonts w:ascii="Georgia" w:hAnsi="Georgia"/>
          <w:sz w:val="22"/>
          <w:szCs w:val="22"/>
        </w:rPr>
        <w:t xml:space="preserve"> philosophy</w:t>
      </w:r>
      <w:r w:rsidR="008B2ABB">
        <w:rPr>
          <w:rFonts w:ascii="Georgia" w:hAnsi="Georgia"/>
          <w:sz w:val="22"/>
          <w:szCs w:val="22"/>
        </w:rPr>
        <w:t xml:space="preserve"> </w:t>
      </w:r>
      <w:r w:rsidRPr="002002DF">
        <w:rPr>
          <w:rFonts w:ascii="Georgia" w:hAnsi="Georgia"/>
          <w:sz w:val="22"/>
          <w:szCs w:val="22"/>
        </w:rPr>
        <w:t xml:space="preserve">--- in </w:t>
      </w:r>
      <w:r w:rsidR="00D83815" w:rsidRPr="00D83815">
        <w:rPr>
          <w:rFonts w:ascii="Georgia" w:hAnsi="Georgia"/>
          <w:i/>
          <w:iCs/>
          <w:sz w:val="22"/>
          <w:szCs w:val="22"/>
        </w:rPr>
        <w:t>Unbearable Life</w:t>
      </w:r>
      <w:r w:rsidRPr="002002DF">
        <w:rPr>
          <w:rFonts w:ascii="Georgia" w:hAnsi="Georgia"/>
          <w:sz w:val="22"/>
          <w:szCs w:val="22"/>
        </w:rPr>
        <w:t xml:space="preserve">, I suspect it would be the equally uncritical role that “life” plays in </w:t>
      </w:r>
      <w:r w:rsidR="00F21AE2">
        <w:rPr>
          <w:rFonts w:ascii="Georgia" w:hAnsi="Georgia"/>
          <w:sz w:val="22"/>
          <w:szCs w:val="22"/>
        </w:rPr>
        <w:t xml:space="preserve">Foucault’s </w:t>
      </w:r>
      <w:r w:rsidRPr="002002DF">
        <w:rPr>
          <w:rFonts w:ascii="Georgia" w:hAnsi="Georgia"/>
          <w:sz w:val="22"/>
          <w:szCs w:val="22"/>
        </w:rPr>
        <w:t>reading of sovereignty. It is one of the main</w:t>
      </w:r>
      <w:r w:rsidR="008B2ABB">
        <w:rPr>
          <w:rFonts w:ascii="Georgia" w:hAnsi="Georgia"/>
          <w:sz w:val="22"/>
          <w:szCs w:val="22"/>
        </w:rPr>
        <w:t xml:space="preserve"> </w:t>
      </w:r>
      <w:r w:rsidRPr="002002DF">
        <w:rPr>
          <w:rFonts w:ascii="Georgia" w:hAnsi="Georgia"/>
          <w:sz w:val="22"/>
          <w:szCs w:val="22"/>
        </w:rPr>
        <w:t xml:space="preserve">themes of my book that the critique of sovereignty frequently turns around a self-fulfilling appeal to </w:t>
      </w:r>
      <w:r w:rsidR="00F142D2">
        <w:rPr>
          <w:rFonts w:ascii="Georgia" w:hAnsi="Georgia"/>
          <w:sz w:val="22"/>
          <w:szCs w:val="22"/>
        </w:rPr>
        <w:t>“</w:t>
      </w:r>
      <w:r w:rsidRPr="002002DF">
        <w:rPr>
          <w:rFonts w:ascii="Georgia" w:hAnsi="Georgia"/>
          <w:sz w:val="22"/>
          <w:szCs w:val="22"/>
        </w:rPr>
        <w:t>life</w:t>
      </w:r>
      <w:r w:rsidR="00F142D2">
        <w:rPr>
          <w:rFonts w:ascii="Georgia" w:hAnsi="Georgia"/>
          <w:sz w:val="22"/>
          <w:szCs w:val="22"/>
        </w:rPr>
        <w:t>”</w:t>
      </w:r>
      <w:r w:rsidRPr="002002DF">
        <w:rPr>
          <w:rFonts w:ascii="Georgia" w:hAnsi="Georgia"/>
          <w:sz w:val="22"/>
          <w:szCs w:val="22"/>
        </w:rPr>
        <w:t xml:space="preserve"> --- call it natality, potentiality, positive biopolitics or whatever --- which</w:t>
      </w:r>
      <w:r w:rsidR="004340A1">
        <w:rPr>
          <w:rFonts w:ascii="Georgia" w:hAnsi="Georgia"/>
          <w:sz w:val="22"/>
          <w:szCs w:val="22"/>
        </w:rPr>
        <w:t xml:space="preserve"> presumes</w:t>
      </w:r>
      <w:r w:rsidRPr="002002DF">
        <w:rPr>
          <w:rFonts w:ascii="Georgia" w:hAnsi="Georgia"/>
          <w:sz w:val="22"/>
          <w:szCs w:val="22"/>
        </w:rPr>
        <w:t xml:space="preserve"> that life always precedes and exceeds the sovereign attempt to capture it. To recall my argument in Chapter 1, Foucault recognises that </w:t>
      </w:r>
      <w:r w:rsidRPr="002002DF">
        <w:rPr>
          <w:rFonts w:ascii="Georgia" w:hAnsi="Georgia"/>
          <w:sz w:val="22"/>
          <w:szCs w:val="22"/>
          <w:lang w:val="en-US"/>
        </w:rPr>
        <w:t xml:space="preserve">sovereign </w:t>
      </w:r>
      <w:r w:rsidRPr="002002DF">
        <w:rPr>
          <w:rFonts w:ascii="Georgia" w:hAnsi="Georgia"/>
          <w:sz w:val="22"/>
          <w:szCs w:val="22"/>
          <w:lang w:val="en-US"/>
        </w:rPr>
        <w:lastRenderedPageBreak/>
        <w:t>power over life and death is not merely the power to decide on whether a living subject should continue to live or die but, more fundamentally, on whether that subject ever possessed the right to be “alive” in the first place: sovereign is he who decides</w:t>
      </w:r>
      <w:r w:rsidR="00D83815">
        <w:rPr>
          <w:rFonts w:ascii="Georgia" w:hAnsi="Georgia"/>
          <w:sz w:val="22"/>
          <w:szCs w:val="22"/>
          <w:lang w:val="en-US"/>
        </w:rPr>
        <w:t xml:space="preserve"> on </w:t>
      </w:r>
      <w:r w:rsidRPr="002002DF">
        <w:rPr>
          <w:rFonts w:ascii="Georgia" w:hAnsi="Georgia"/>
          <w:sz w:val="22"/>
          <w:szCs w:val="22"/>
          <w:lang w:val="en-US"/>
        </w:rPr>
        <w:t xml:space="preserve">unbearable life. However, even though he recognizes that life and death are not natural phenomena that fall outside the scope of power, everything once again transpires as if there were an assured precomprehension of life after all. For Foucault, the sovereign “obviously” --- but </w:t>
      </w:r>
      <w:r w:rsidRPr="00DF294D">
        <w:rPr>
          <w:rFonts w:ascii="Georgia" w:hAnsi="Georgia"/>
          <w:sz w:val="22"/>
          <w:szCs w:val="22"/>
          <w:lang w:val="en-US"/>
        </w:rPr>
        <w:t xml:space="preserve">why </w:t>
      </w:r>
      <w:r w:rsidRPr="002002DF">
        <w:rPr>
          <w:rFonts w:ascii="Georgia" w:hAnsi="Georgia"/>
          <w:sz w:val="22"/>
          <w:szCs w:val="22"/>
          <w:lang w:val="en-US"/>
        </w:rPr>
        <w:t>obviously? --- cannot grant life in the same way that he inflicts death which means that the right of life and death is in reality nothing but the “right of the sword”.</w:t>
      </w:r>
      <w:r w:rsidRPr="002002DF">
        <w:rPr>
          <w:rFonts w:ascii="Georgia" w:hAnsi="Georgia"/>
          <w:sz w:val="22"/>
          <w:szCs w:val="22"/>
          <w:vertAlign w:val="superscript"/>
          <w:lang w:val="en-US"/>
        </w:rPr>
        <w:endnoteReference w:id="6"/>
      </w:r>
      <w:r w:rsidRPr="002002DF">
        <w:rPr>
          <w:rFonts w:ascii="Georgia" w:hAnsi="Georgia"/>
          <w:sz w:val="22"/>
          <w:szCs w:val="22"/>
          <w:lang w:val="en-US"/>
        </w:rPr>
        <w:t xml:space="preserve">  In the same way that Foucault’s critique of reason is predicated on a</w:t>
      </w:r>
      <w:r w:rsidR="0024443B">
        <w:rPr>
          <w:rFonts w:ascii="Georgia" w:hAnsi="Georgia"/>
          <w:sz w:val="22"/>
          <w:szCs w:val="22"/>
          <w:lang w:val="en-US"/>
        </w:rPr>
        <w:t xml:space="preserve"> </w:t>
      </w:r>
      <w:r w:rsidRPr="002002DF">
        <w:rPr>
          <w:rFonts w:ascii="Georgia" w:hAnsi="Georgia"/>
          <w:sz w:val="22"/>
          <w:szCs w:val="22"/>
          <w:lang w:val="en-US"/>
        </w:rPr>
        <w:t xml:space="preserve">pre-rational, intuitive concept of madness, his critique of sovereignty is </w:t>
      </w:r>
      <w:r w:rsidR="00D83815">
        <w:rPr>
          <w:rFonts w:ascii="Georgia" w:hAnsi="Georgia"/>
          <w:sz w:val="22"/>
          <w:szCs w:val="22"/>
          <w:lang w:val="en-US"/>
        </w:rPr>
        <w:t xml:space="preserve">thus </w:t>
      </w:r>
      <w:r w:rsidRPr="002002DF">
        <w:rPr>
          <w:rFonts w:ascii="Georgia" w:hAnsi="Georgia"/>
          <w:sz w:val="22"/>
          <w:szCs w:val="22"/>
          <w:lang w:val="en-US"/>
        </w:rPr>
        <w:t>predicated on a pre-political --- indeed “obvious” --- idea of life</w:t>
      </w:r>
      <w:r w:rsidR="0024443B">
        <w:rPr>
          <w:rFonts w:ascii="Georgia" w:hAnsi="Georgia"/>
          <w:sz w:val="22"/>
          <w:szCs w:val="22"/>
          <w:lang w:val="en-US"/>
        </w:rPr>
        <w:t xml:space="preserve"> but, in each case, this alleged “outside” of philosophy is </w:t>
      </w:r>
      <w:r w:rsidR="008B2ABB">
        <w:rPr>
          <w:rFonts w:ascii="Georgia" w:hAnsi="Georgia"/>
          <w:sz w:val="22"/>
          <w:szCs w:val="22"/>
          <w:lang w:val="en-US"/>
        </w:rPr>
        <w:t xml:space="preserve">nothing but </w:t>
      </w:r>
      <w:r w:rsidR="0024443B">
        <w:rPr>
          <w:rFonts w:ascii="Georgia" w:hAnsi="Georgia"/>
          <w:sz w:val="22"/>
          <w:szCs w:val="22"/>
          <w:lang w:val="en-US"/>
        </w:rPr>
        <w:t xml:space="preserve">philosophy’s </w:t>
      </w:r>
      <w:r w:rsidR="0024443B" w:rsidRPr="0024443B">
        <w:rPr>
          <w:rFonts w:ascii="Georgia" w:hAnsi="Georgia"/>
          <w:i/>
          <w:iCs/>
          <w:sz w:val="22"/>
          <w:szCs w:val="22"/>
          <w:lang w:val="en-US"/>
        </w:rPr>
        <w:t>own</w:t>
      </w:r>
      <w:r w:rsidR="0024443B">
        <w:rPr>
          <w:rFonts w:ascii="Georgia" w:hAnsi="Georgia"/>
          <w:sz w:val="22"/>
          <w:szCs w:val="22"/>
          <w:lang w:val="en-US"/>
        </w:rPr>
        <w:t xml:space="preserve"> outside.</w:t>
      </w:r>
    </w:p>
    <w:p w14:paraId="0EA60C5D" w14:textId="77777777" w:rsidR="002002DF" w:rsidRPr="002002DF" w:rsidRDefault="002002DF" w:rsidP="002002DF">
      <w:pPr>
        <w:jc w:val="both"/>
        <w:rPr>
          <w:rFonts w:ascii="Georgia" w:hAnsi="Georgia"/>
          <w:sz w:val="22"/>
          <w:szCs w:val="22"/>
          <w:lang w:val="en-US"/>
        </w:rPr>
      </w:pPr>
    </w:p>
    <w:p w14:paraId="230EFFD8" w14:textId="7359D616" w:rsidR="009A3863" w:rsidRDefault="002002DF" w:rsidP="002002DF">
      <w:pPr>
        <w:jc w:val="both"/>
        <w:rPr>
          <w:rFonts w:ascii="Georgia" w:hAnsi="Georgia"/>
          <w:sz w:val="22"/>
          <w:szCs w:val="22"/>
        </w:rPr>
      </w:pPr>
      <w:r w:rsidRPr="002002DF">
        <w:rPr>
          <w:rFonts w:ascii="Georgia" w:hAnsi="Georgia"/>
          <w:sz w:val="22"/>
          <w:szCs w:val="22"/>
          <w:lang w:val="en-US"/>
        </w:rPr>
        <w:t xml:space="preserve">In </w:t>
      </w:r>
      <w:r w:rsidRPr="002002DF">
        <w:rPr>
          <w:rFonts w:ascii="Georgia" w:hAnsi="Georgia"/>
          <w:i/>
          <w:iCs/>
          <w:sz w:val="22"/>
          <w:szCs w:val="22"/>
          <w:lang w:val="en-US"/>
        </w:rPr>
        <w:t>Unbearable Life</w:t>
      </w:r>
      <w:r w:rsidRPr="002002DF">
        <w:rPr>
          <w:rFonts w:ascii="Georgia" w:hAnsi="Georgia"/>
          <w:sz w:val="22"/>
          <w:szCs w:val="22"/>
          <w:lang w:val="en-US"/>
        </w:rPr>
        <w:t xml:space="preserve">, I </w:t>
      </w:r>
      <w:r w:rsidR="009A3863">
        <w:rPr>
          <w:rFonts w:ascii="Georgia" w:hAnsi="Georgia"/>
          <w:sz w:val="22"/>
          <w:szCs w:val="22"/>
          <w:lang w:val="en-US"/>
        </w:rPr>
        <w:t xml:space="preserve">also </w:t>
      </w:r>
      <w:r w:rsidRPr="002002DF">
        <w:rPr>
          <w:rFonts w:ascii="Georgia" w:hAnsi="Georgia"/>
          <w:sz w:val="22"/>
          <w:szCs w:val="22"/>
          <w:lang w:val="en-US"/>
        </w:rPr>
        <w:t xml:space="preserve">think that (without ever intending to do so) I may end up posing the same challenge to Foucault’s theory of sovereignty that Derrida famously posed to the former’s </w:t>
      </w:r>
      <w:r w:rsidR="009A3863">
        <w:rPr>
          <w:rFonts w:ascii="Georgia" w:hAnsi="Georgia"/>
          <w:sz w:val="22"/>
          <w:szCs w:val="22"/>
          <w:lang w:val="en-US"/>
        </w:rPr>
        <w:t xml:space="preserve">self-professed </w:t>
      </w:r>
      <w:r w:rsidRPr="002002DF">
        <w:rPr>
          <w:rFonts w:ascii="Georgia" w:hAnsi="Georgia"/>
          <w:sz w:val="22"/>
          <w:szCs w:val="22"/>
          <w:lang w:val="en-US"/>
        </w:rPr>
        <w:t xml:space="preserve">history of madness: what presents itself as an attempt to emancipate a pre-political concept of life from the grip of sovereign power ironically turns out to be a new sovereign gesture of domestication or imprisonment of life. It is this </w:t>
      </w:r>
      <w:r w:rsidR="00C3264F">
        <w:rPr>
          <w:rFonts w:ascii="Georgia" w:hAnsi="Georgia"/>
          <w:sz w:val="22"/>
          <w:szCs w:val="22"/>
          <w:lang w:val="en-US"/>
        </w:rPr>
        <w:t xml:space="preserve">naïve </w:t>
      </w:r>
      <w:r w:rsidRPr="002002DF">
        <w:rPr>
          <w:rFonts w:ascii="Georgia" w:hAnsi="Georgia"/>
          <w:sz w:val="22"/>
          <w:szCs w:val="22"/>
          <w:lang w:val="en-US"/>
        </w:rPr>
        <w:t xml:space="preserve">precomprehension of life, </w:t>
      </w:r>
      <w:r w:rsidR="009A3863">
        <w:rPr>
          <w:rFonts w:ascii="Georgia" w:hAnsi="Georgia"/>
          <w:sz w:val="22"/>
          <w:szCs w:val="22"/>
          <w:lang w:val="en-US"/>
        </w:rPr>
        <w:t>I think</w:t>
      </w:r>
      <w:r w:rsidR="00C3264F">
        <w:rPr>
          <w:rFonts w:ascii="Georgia" w:hAnsi="Georgia"/>
          <w:sz w:val="22"/>
          <w:szCs w:val="22"/>
          <w:lang w:val="en-US"/>
        </w:rPr>
        <w:t>,</w:t>
      </w:r>
      <w:r w:rsidRPr="002002DF">
        <w:rPr>
          <w:rFonts w:ascii="Georgia" w:hAnsi="Georgia"/>
          <w:sz w:val="22"/>
          <w:szCs w:val="22"/>
          <w:lang w:val="en-US"/>
        </w:rPr>
        <w:t xml:space="preserve"> that leads Foucault to </w:t>
      </w:r>
      <w:r w:rsidR="00EB5D7A">
        <w:rPr>
          <w:rFonts w:ascii="Georgia" w:hAnsi="Georgia"/>
          <w:sz w:val="22"/>
          <w:szCs w:val="22"/>
          <w:lang w:val="en-US"/>
        </w:rPr>
        <w:t>parenthesize</w:t>
      </w:r>
      <w:r w:rsidRPr="002002DF">
        <w:rPr>
          <w:rFonts w:ascii="Georgia" w:hAnsi="Georgia"/>
          <w:sz w:val="22"/>
          <w:szCs w:val="22"/>
          <w:lang w:val="en-US"/>
        </w:rPr>
        <w:t xml:space="preserve"> what </w:t>
      </w:r>
      <w:r w:rsidR="008B0990">
        <w:rPr>
          <w:rFonts w:ascii="Georgia" w:hAnsi="Georgia"/>
          <w:sz w:val="22"/>
          <w:szCs w:val="22"/>
          <w:lang w:val="en-US"/>
        </w:rPr>
        <w:t>Niall nicely calls the “terrifying greyness” of</w:t>
      </w:r>
      <w:r w:rsidRPr="002002DF">
        <w:rPr>
          <w:rFonts w:ascii="Georgia" w:hAnsi="Georgia"/>
          <w:sz w:val="22"/>
          <w:szCs w:val="22"/>
          <w:lang w:val="en-US"/>
        </w:rPr>
        <w:t xml:space="preserve"> unbearable life at almost the very moment that he discovers it</w:t>
      </w:r>
      <w:r w:rsidR="009A3863">
        <w:rPr>
          <w:rFonts w:ascii="Georgia" w:hAnsi="Georgia"/>
          <w:sz w:val="22"/>
          <w:szCs w:val="22"/>
          <w:lang w:val="en-US"/>
        </w:rPr>
        <w:t xml:space="preserve"> in his own work</w:t>
      </w:r>
      <w:r w:rsidR="00F142D2">
        <w:rPr>
          <w:rFonts w:ascii="Georgia" w:hAnsi="Georgia"/>
          <w:sz w:val="22"/>
          <w:szCs w:val="22"/>
          <w:lang w:val="en-US"/>
        </w:rPr>
        <w:t>.</w:t>
      </w:r>
      <w:r w:rsidRPr="002002DF">
        <w:rPr>
          <w:rFonts w:ascii="Georgia" w:hAnsi="Georgia"/>
          <w:sz w:val="22"/>
          <w:szCs w:val="22"/>
          <w:lang w:val="en-US"/>
        </w:rPr>
        <w:t xml:space="preserve"> After arguing that life and death are </w:t>
      </w:r>
      <w:r w:rsidR="00C3264F">
        <w:rPr>
          <w:rFonts w:ascii="Georgia" w:hAnsi="Georgia"/>
          <w:sz w:val="22"/>
          <w:szCs w:val="22"/>
          <w:lang w:val="en-US"/>
        </w:rPr>
        <w:t xml:space="preserve">originally </w:t>
      </w:r>
      <w:r w:rsidRPr="002002DF">
        <w:rPr>
          <w:rFonts w:ascii="Georgia" w:hAnsi="Georgia"/>
          <w:sz w:val="22"/>
          <w:szCs w:val="22"/>
          <w:lang w:val="en-US"/>
        </w:rPr>
        <w:t>political phenomena</w:t>
      </w:r>
      <w:r w:rsidR="009A3863">
        <w:rPr>
          <w:rFonts w:ascii="Georgia" w:hAnsi="Georgia"/>
          <w:sz w:val="22"/>
          <w:szCs w:val="22"/>
          <w:lang w:val="en-US"/>
        </w:rPr>
        <w:t xml:space="preserve"> in </w:t>
      </w:r>
      <w:r w:rsidR="009A3863" w:rsidRPr="009A3863">
        <w:rPr>
          <w:rFonts w:ascii="Georgia" w:hAnsi="Georgia"/>
          <w:i/>
          <w:iCs/>
          <w:sz w:val="22"/>
          <w:szCs w:val="22"/>
          <w:lang w:val="en-US"/>
        </w:rPr>
        <w:t>Society Must Be Defended</w:t>
      </w:r>
      <w:r w:rsidRPr="002002DF">
        <w:rPr>
          <w:rFonts w:ascii="Georgia" w:hAnsi="Georgia"/>
          <w:sz w:val="22"/>
          <w:szCs w:val="22"/>
          <w:lang w:val="en-US"/>
        </w:rPr>
        <w:t xml:space="preserve">, </w:t>
      </w:r>
      <w:r w:rsidR="00F142D2">
        <w:rPr>
          <w:rFonts w:ascii="Georgia" w:hAnsi="Georgia"/>
          <w:sz w:val="22"/>
          <w:szCs w:val="22"/>
          <w:lang w:val="en-US"/>
        </w:rPr>
        <w:t xml:space="preserve">I show that he </w:t>
      </w:r>
      <w:r w:rsidRPr="002002DF">
        <w:rPr>
          <w:rFonts w:ascii="Georgia" w:hAnsi="Georgia"/>
          <w:sz w:val="22"/>
          <w:szCs w:val="22"/>
          <w:lang w:val="en-US"/>
        </w:rPr>
        <w:t xml:space="preserve">immediately proceeds to </w:t>
      </w:r>
      <w:r w:rsidR="009A3863">
        <w:rPr>
          <w:rFonts w:ascii="Georgia" w:hAnsi="Georgia"/>
          <w:sz w:val="22"/>
          <w:szCs w:val="22"/>
          <w:lang w:val="en-US"/>
        </w:rPr>
        <w:t>“</w:t>
      </w:r>
      <w:r w:rsidRPr="002002DF">
        <w:rPr>
          <w:rFonts w:ascii="Georgia" w:hAnsi="Georgia"/>
          <w:sz w:val="22"/>
          <w:szCs w:val="22"/>
          <w:lang w:val="en-US"/>
        </w:rPr>
        <w:t>re-naturalize</w:t>
      </w:r>
      <w:r w:rsidR="009A3863">
        <w:rPr>
          <w:rFonts w:ascii="Georgia" w:hAnsi="Georgia"/>
          <w:sz w:val="22"/>
          <w:szCs w:val="22"/>
          <w:lang w:val="en-US"/>
        </w:rPr>
        <w:t>”</w:t>
      </w:r>
      <w:r w:rsidRPr="002002DF">
        <w:rPr>
          <w:rFonts w:ascii="Georgia" w:hAnsi="Georgia"/>
          <w:sz w:val="22"/>
          <w:szCs w:val="22"/>
          <w:lang w:val="en-US"/>
        </w:rPr>
        <w:t xml:space="preserve"> life once again. To take </w:t>
      </w:r>
      <w:r w:rsidR="00C3264F">
        <w:rPr>
          <w:rFonts w:ascii="Georgia" w:hAnsi="Georgia"/>
          <w:sz w:val="22"/>
          <w:szCs w:val="22"/>
          <w:lang w:val="en-US"/>
        </w:rPr>
        <w:t>the French philosopher’s</w:t>
      </w:r>
      <w:r w:rsidRPr="002002DF">
        <w:rPr>
          <w:rFonts w:ascii="Georgia" w:hAnsi="Georgia"/>
          <w:sz w:val="22"/>
          <w:szCs w:val="22"/>
          <w:lang w:val="en-US"/>
        </w:rPr>
        <w:t xml:space="preserve"> very revealing misreading of Hobbes’s theory of sovereign punishment, which I </w:t>
      </w:r>
      <w:r w:rsidR="00F142D2">
        <w:rPr>
          <w:rFonts w:ascii="Georgia" w:hAnsi="Georgia"/>
          <w:sz w:val="22"/>
          <w:szCs w:val="22"/>
          <w:lang w:val="en-US"/>
        </w:rPr>
        <w:t>go on to</w:t>
      </w:r>
      <w:r w:rsidRPr="002002DF">
        <w:rPr>
          <w:rFonts w:ascii="Georgia" w:hAnsi="Georgia"/>
          <w:sz w:val="22"/>
          <w:szCs w:val="22"/>
          <w:lang w:val="en-US"/>
        </w:rPr>
        <w:t xml:space="preserve"> discuss in detail </w:t>
      </w:r>
      <w:r w:rsidR="00C3264F">
        <w:rPr>
          <w:rFonts w:ascii="Georgia" w:hAnsi="Georgia"/>
          <w:sz w:val="22"/>
          <w:szCs w:val="22"/>
          <w:lang w:val="en-US"/>
        </w:rPr>
        <w:t xml:space="preserve">later in </w:t>
      </w:r>
      <w:r w:rsidRPr="002002DF">
        <w:rPr>
          <w:rFonts w:ascii="Georgia" w:hAnsi="Georgia"/>
          <w:sz w:val="22"/>
          <w:szCs w:val="22"/>
          <w:lang w:val="en-US"/>
        </w:rPr>
        <w:t xml:space="preserve">Chapter 1, </w:t>
      </w:r>
      <w:r w:rsidR="00C3264F">
        <w:rPr>
          <w:rFonts w:ascii="Georgia" w:hAnsi="Georgia"/>
          <w:sz w:val="22"/>
          <w:szCs w:val="22"/>
          <w:lang w:val="en-US"/>
        </w:rPr>
        <w:t>Foucault</w:t>
      </w:r>
      <w:r w:rsidR="00F21AE2">
        <w:rPr>
          <w:rFonts w:ascii="Georgia" w:hAnsi="Georgia"/>
          <w:sz w:val="22"/>
          <w:szCs w:val="22"/>
          <w:lang w:val="en-US"/>
        </w:rPr>
        <w:t>’s lectures on biopolitics</w:t>
      </w:r>
      <w:r w:rsidR="00C3264F">
        <w:rPr>
          <w:rFonts w:ascii="Georgia" w:hAnsi="Georgia"/>
          <w:sz w:val="22"/>
          <w:szCs w:val="22"/>
          <w:lang w:val="en-US"/>
        </w:rPr>
        <w:t xml:space="preserve"> </w:t>
      </w:r>
      <w:r w:rsidRPr="002002DF">
        <w:rPr>
          <w:rFonts w:ascii="Georgia" w:hAnsi="Georgia"/>
          <w:sz w:val="22"/>
          <w:szCs w:val="22"/>
          <w:lang w:val="en-US"/>
        </w:rPr>
        <w:t>claim</w:t>
      </w:r>
      <w:r w:rsidR="00F142D2">
        <w:rPr>
          <w:rFonts w:ascii="Georgia" w:hAnsi="Georgia"/>
          <w:sz w:val="22"/>
          <w:szCs w:val="22"/>
          <w:lang w:val="en-US"/>
        </w:rPr>
        <w:t xml:space="preserve"> that</w:t>
      </w:r>
      <w:r w:rsidRPr="002002DF">
        <w:rPr>
          <w:rFonts w:ascii="Georgia" w:hAnsi="Georgia"/>
          <w:sz w:val="22"/>
          <w:szCs w:val="22"/>
          <w:lang w:val="en-US"/>
        </w:rPr>
        <w:t xml:space="preserve"> the Hobbesian subject’s natural right to life constitutes a </w:t>
      </w:r>
      <w:r w:rsidR="00F142D2">
        <w:rPr>
          <w:rFonts w:ascii="Georgia" w:hAnsi="Georgia"/>
          <w:sz w:val="22"/>
          <w:szCs w:val="22"/>
          <w:lang w:val="en-US"/>
        </w:rPr>
        <w:t xml:space="preserve">kind of </w:t>
      </w:r>
      <w:r w:rsidRPr="002002DF">
        <w:rPr>
          <w:rFonts w:ascii="Georgia" w:hAnsi="Georgia"/>
          <w:sz w:val="22"/>
          <w:szCs w:val="22"/>
          <w:lang w:val="en-US"/>
        </w:rPr>
        <w:t xml:space="preserve">pre-political point of resistance to sovereign power which will ultimately serve to delimit </w:t>
      </w:r>
      <w:r w:rsidR="00F142D2">
        <w:rPr>
          <w:rFonts w:ascii="Georgia" w:hAnsi="Georgia"/>
          <w:sz w:val="22"/>
          <w:szCs w:val="22"/>
          <w:lang w:val="en-US"/>
        </w:rPr>
        <w:t xml:space="preserve">or restrict </w:t>
      </w:r>
      <w:r w:rsidRPr="002002DF">
        <w:rPr>
          <w:rFonts w:ascii="Georgia" w:hAnsi="Georgia"/>
          <w:sz w:val="22"/>
          <w:szCs w:val="22"/>
          <w:lang w:val="en-US"/>
        </w:rPr>
        <w:t>that power</w:t>
      </w:r>
      <w:r w:rsidR="00C3264F">
        <w:rPr>
          <w:rFonts w:ascii="Georgia" w:hAnsi="Georgia"/>
          <w:sz w:val="22"/>
          <w:szCs w:val="22"/>
          <w:lang w:val="en-US"/>
        </w:rPr>
        <w:t xml:space="preserve"> over time</w:t>
      </w:r>
      <w:r w:rsidRPr="002002DF">
        <w:rPr>
          <w:rFonts w:ascii="Georgia" w:hAnsi="Georgia"/>
          <w:sz w:val="22"/>
          <w:szCs w:val="22"/>
          <w:lang w:val="en-US"/>
        </w:rPr>
        <w:t xml:space="preserve">. </w:t>
      </w:r>
      <w:r w:rsidR="00F142D2">
        <w:rPr>
          <w:rFonts w:ascii="Georgia" w:hAnsi="Georgia"/>
          <w:sz w:val="22"/>
          <w:szCs w:val="22"/>
          <w:lang w:val="en-US"/>
        </w:rPr>
        <w:t xml:space="preserve">If Foucault claims that life precedes </w:t>
      </w:r>
      <w:r w:rsidR="00C3264F">
        <w:rPr>
          <w:rFonts w:ascii="Georgia" w:hAnsi="Georgia"/>
          <w:sz w:val="22"/>
          <w:szCs w:val="22"/>
          <w:lang w:val="en-US"/>
        </w:rPr>
        <w:t xml:space="preserve">and exceeds </w:t>
      </w:r>
      <w:r w:rsidR="00F142D2">
        <w:rPr>
          <w:rFonts w:ascii="Georgia" w:hAnsi="Georgia"/>
          <w:sz w:val="22"/>
          <w:szCs w:val="22"/>
          <w:lang w:val="en-US"/>
        </w:rPr>
        <w:t xml:space="preserve">politics in the Hobbesian universe, though, I argue that </w:t>
      </w:r>
      <w:r w:rsidRPr="002002DF">
        <w:rPr>
          <w:rFonts w:ascii="Georgia" w:hAnsi="Georgia"/>
          <w:sz w:val="22"/>
          <w:szCs w:val="22"/>
          <w:lang w:val="en-US"/>
        </w:rPr>
        <w:t>the exact opposite is actually the case: “</w:t>
      </w:r>
      <w:r w:rsidRPr="002002DF">
        <w:rPr>
          <w:rFonts w:ascii="Georgia" w:hAnsi="Georgia"/>
          <w:sz w:val="22"/>
          <w:szCs w:val="22"/>
        </w:rPr>
        <w:t xml:space="preserve">sovereignty is virtually present at the very origin of ‘life’ itself” in Hobbes’s </w:t>
      </w:r>
      <w:r w:rsidR="00F142D2">
        <w:rPr>
          <w:rFonts w:ascii="Georgia" w:hAnsi="Georgia"/>
          <w:sz w:val="22"/>
          <w:szCs w:val="22"/>
        </w:rPr>
        <w:t xml:space="preserve">political </w:t>
      </w:r>
      <w:r w:rsidRPr="002002DF">
        <w:rPr>
          <w:rFonts w:ascii="Georgia" w:hAnsi="Georgia"/>
          <w:sz w:val="22"/>
          <w:szCs w:val="22"/>
        </w:rPr>
        <w:t>theory, I write, such that “‘life’ itself is already a retroactive sovereign production”.</w:t>
      </w:r>
      <w:r w:rsidRPr="002002DF">
        <w:rPr>
          <w:rFonts w:ascii="Georgia" w:hAnsi="Georgia"/>
          <w:sz w:val="22"/>
          <w:szCs w:val="22"/>
          <w:vertAlign w:val="superscript"/>
        </w:rPr>
        <w:endnoteReference w:id="7"/>
      </w:r>
      <w:r w:rsidRPr="002002DF">
        <w:rPr>
          <w:rFonts w:ascii="Georgia" w:hAnsi="Georgia"/>
          <w:sz w:val="22"/>
          <w:szCs w:val="22"/>
        </w:rPr>
        <w:t xml:space="preserve"> </w:t>
      </w:r>
      <w:r w:rsidR="009A3863">
        <w:rPr>
          <w:rFonts w:ascii="Georgia" w:hAnsi="Georgia"/>
          <w:sz w:val="22"/>
          <w:szCs w:val="22"/>
        </w:rPr>
        <w:t>In other words</w:t>
      </w:r>
      <w:r w:rsidR="00F142D2">
        <w:rPr>
          <w:rFonts w:ascii="Georgia" w:hAnsi="Georgia"/>
          <w:sz w:val="22"/>
          <w:szCs w:val="22"/>
        </w:rPr>
        <w:t xml:space="preserve">, </w:t>
      </w:r>
      <w:r w:rsidR="009A3863">
        <w:rPr>
          <w:rFonts w:ascii="Georgia" w:hAnsi="Georgia"/>
          <w:sz w:val="22"/>
          <w:szCs w:val="22"/>
        </w:rPr>
        <w:t xml:space="preserve">Hobbes --- far from being a defender of some vital point of </w:t>
      </w:r>
      <w:r w:rsidR="00BD5DCF">
        <w:rPr>
          <w:rFonts w:ascii="Georgia" w:hAnsi="Georgia"/>
          <w:sz w:val="22"/>
          <w:szCs w:val="22"/>
        </w:rPr>
        <w:t>excrescence</w:t>
      </w:r>
      <w:r w:rsidR="00F142D2">
        <w:rPr>
          <w:rFonts w:ascii="Georgia" w:hAnsi="Georgia"/>
          <w:sz w:val="22"/>
          <w:szCs w:val="22"/>
        </w:rPr>
        <w:t xml:space="preserve"> over</w:t>
      </w:r>
      <w:r w:rsidR="009A3863">
        <w:rPr>
          <w:rFonts w:ascii="Georgia" w:hAnsi="Georgia"/>
          <w:sz w:val="22"/>
          <w:szCs w:val="22"/>
        </w:rPr>
        <w:t xml:space="preserve"> sovereign power --- </w:t>
      </w:r>
      <w:r w:rsidR="00F142D2">
        <w:rPr>
          <w:rFonts w:ascii="Georgia" w:hAnsi="Georgia"/>
          <w:sz w:val="22"/>
          <w:szCs w:val="22"/>
        </w:rPr>
        <w:t xml:space="preserve">is </w:t>
      </w:r>
      <w:r w:rsidR="009A3863">
        <w:rPr>
          <w:rFonts w:ascii="Georgia" w:hAnsi="Georgia"/>
          <w:sz w:val="22"/>
          <w:szCs w:val="22"/>
        </w:rPr>
        <w:t xml:space="preserve">an exemplar of what I call the sovereignty over </w:t>
      </w:r>
      <w:r w:rsidR="00BD5DCF">
        <w:rPr>
          <w:rFonts w:ascii="Georgia" w:hAnsi="Georgia"/>
          <w:sz w:val="22"/>
          <w:szCs w:val="22"/>
        </w:rPr>
        <w:t>unbearable life.</w:t>
      </w:r>
      <w:r w:rsidR="009A3863">
        <w:rPr>
          <w:rFonts w:ascii="Georgia" w:hAnsi="Georgia"/>
          <w:sz w:val="22"/>
          <w:szCs w:val="22"/>
        </w:rPr>
        <w:t xml:space="preserve"> </w:t>
      </w:r>
    </w:p>
    <w:p w14:paraId="5649E8ED" w14:textId="2F358F95" w:rsidR="00407361" w:rsidRPr="00407361" w:rsidRDefault="00EB5D7A" w:rsidP="00407361">
      <w:pPr>
        <w:pStyle w:val="NormalWeb"/>
        <w:jc w:val="both"/>
        <w:rPr>
          <w:rFonts w:ascii="Georgia" w:hAnsi="Georgia"/>
          <w:sz w:val="22"/>
          <w:szCs w:val="22"/>
        </w:rPr>
      </w:pPr>
      <w:r>
        <w:rPr>
          <w:rFonts w:ascii="Georgia" w:hAnsi="Georgia"/>
          <w:sz w:val="22"/>
          <w:szCs w:val="22"/>
        </w:rPr>
        <w:t>What</w:t>
      </w:r>
      <w:r w:rsidR="00721ED8">
        <w:rPr>
          <w:rFonts w:ascii="Georgia" w:hAnsi="Georgia"/>
          <w:sz w:val="22"/>
          <w:szCs w:val="22"/>
        </w:rPr>
        <w:t>, finally,</w:t>
      </w:r>
      <w:r w:rsidR="00C30653">
        <w:rPr>
          <w:rFonts w:ascii="Georgia" w:hAnsi="Georgia"/>
          <w:sz w:val="22"/>
          <w:szCs w:val="22"/>
        </w:rPr>
        <w:t xml:space="preserve"> </w:t>
      </w:r>
      <w:r w:rsidR="00D67FF3">
        <w:rPr>
          <w:rFonts w:ascii="Georgia" w:hAnsi="Georgia"/>
          <w:sz w:val="22"/>
          <w:szCs w:val="22"/>
        </w:rPr>
        <w:t xml:space="preserve">might </w:t>
      </w:r>
      <w:r>
        <w:rPr>
          <w:rFonts w:ascii="Georgia" w:hAnsi="Georgia"/>
          <w:sz w:val="22"/>
          <w:szCs w:val="22"/>
        </w:rPr>
        <w:t>be done to escape the parentheses of sovereignty</w:t>
      </w:r>
      <w:r w:rsidR="00C30653">
        <w:rPr>
          <w:rFonts w:ascii="Georgia" w:hAnsi="Georgia"/>
          <w:sz w:val="22"/>
          <w:szCs w:val="22"/>
        </w:rPr>
        <w:t xml:space="preserve"> that the Foucault-Derrida debate lay bare for us</w:t>
      </w:r>
      <w:r>
        <w:rPr>
          <w:rFonts w:ascii="Georgia" w:hAnsi="Georgia"/>
          <w:sz w:val="22"/>
          <w:szCs w:val="22"/>
        </w:rPr>
        <w:t>?</w:t>
      </w:r>
      <w:r w:rsidR="00010B45">
        <w:rPr>
          <w:rFonts w:ascii="Georgia" w:hAnsi="Georgia"/>
          <w:sz w:val="22"/>
          <w:szCs w:val="22"/>
        </w:rPr>
        <w:t xml:space="preserve"> </w:t>
      </w:r>
      <w:r w:rsidR="00B50ED4">
        <w:rPr>
          <w:rFonts w:ascii="Georgia" w:hAnsi="Georgia"/>
          <w:sz w:val="22"/>
          <w:szCs w:val="22"/>
        </w:rPr>
        <w:t>It is this book’s wager that the answer</w:t>
      </w:r>
      <w:r w:rsidR="00322DE5">
        <w:rPr>
          <w:rFonts w:ascii="Georgia" w:hAnsi="Georgia"/>
          <w:sz w:val="22"/>
          <w:szCs w:val="22"/>
        </w:rPr>
        <w:t xml:space="preserve"> cannot fall into what I call </w:t>
      </w:r>
      <w:r w:rsidR="00DF294D">
        <w:rPr>
          <w:rFonts w:ascii="Georgia" w:hAnsi="Georgia"/>
          <w:sz w:val="22"/>
          <w:szCs w:val="22"/>
        </w:rPr>
        <w:t xml:space="preserve">either </w:t>
      </w:r>
      <w:r w:rsidR="00145642">
        <w:rPr>
          <w:rFonts w:ascii="Georgia" w:hAnsi="Georgia"/>
          <w:sz w:val="22"/>
          <w:szCs w:val="22"/>
        </w:rPr>
        <w:t xml:space="preserve">the </w:t>
      </w:r>
      <w:r w:rsidR="00322DE5" w:rsidRPr="00322DE5">
        <w:rPr>
          <w:rFonts w:ascii="Georgia" w:hAnsi="Georgia"/>
          <w:sz w:val="22"/>
          <w:szCs w:val="22"/>
        </w:rPr>
        <w:t>negative biopolitical trap of simply accepting</w:t>
      </w:r>
      <w:r w:rsidR="00322DE5">
        <w:rPr>
          <w:rFonts w:ascii="Georgia" w:hAnsi="Georgia"/>
          <w:sz w:val="22"/>
          <w:szCs w:val="22"/>
        </w:rPr>
        <w:t xml:space="preserve"> power </w:t>
      </w:r>
      <w:r w:rsidR="00322DE5" w:rsidRPr="00322DE5">
        <w:rPr>
          <w:rFonts w:ascii="Georgia" w:hAnsi="Georgia"/>
          <w:sz w:val="22"/>
          <w:szCs w:val="22"/>
        </w:rPr>
        <w:t xml:space="preserve">as an inescapable condition or </w:t>
      </w:r>
      <w:r w:rsidR="00DF294D">
        <w:rPr>
          <w:rFonts w:ascii="Georgia" w:hAnsi="Georgia"/>
          <w:sz w:val="22"/>
          <w:szCs w:val="22"/>
        </w:rPr>
        <w:t>--- wh</w:t>
      </w:r>
      <w:r w:rsidR="00145642">
        <w:rPr>
          <w:rFonts w:ascii="Georgia" w:hAnsi="Georgia"/>
          <w:sz w:val="22"/>
          <w:szCs w:val="22"/>
        </w:rPr>
        <w:t>at</w:t>
      </w:r>
      <w:r w:rsidR="00DF294D">
        <w:rPr>
          <w:rFonts w:ascii="Georgia" w:hAnsi="Georgia"/>
          <w:sz w:val="22"/>
          <w:szCs w:val="22"/>
        </w:rPr>
        <w:t xml:space="preserve"> amounts to the same thing --- </w:t>
      </w:r>
      <w:r w:rsidR="00322DE5" w:rsidRPr="00322DE5">
        <w:rPr>
          <w:rFonts w:ascii="Georgia" w:hAnsi="Georgia"/>
          <w:sz w:val="22"/>
          <w:szCs w:val="22"/>
        </w:rPr>
        <w:t xml:space="preserve">the positive biopolitical trap of prematurely valorising some external position that allegedly exceeds </w:t>
      </w:r>
      <w:r w:rsidR="00322DE5">
        <w:rPr>
          <w:rFonts w:ascii="Georgia" w:hAnsi="Georgia"/>
          <w:sz w:val="22"/>
          <w:szCs w:val="22"/>
        </w:rPr>
        <w:t>power’s</w:t>
      </w:r>
      <w:r w:rsidR="00322DE5" w:rsidRPr="00322DE5">
        <w:rPr>
          <w:rFonts w:ascii="Georgia" w:hAnsi="Georgia"/>
          <w:sz w:val="22"/>
          <w:szCs w:val="22"/>
        </w:rPr>
        <w:t xml:space="preserve"> grip</w:t>
      </w:r>
      <w:r w:rsidR="00C97B13">
        <w:rPr>
          <w:rFonts w:ascii="Georgia" w:hAnsi="Georgia"/>
          <w:sz w:val="22"/>
          <w:szCs w:val="22"/>
        </w:rPr>
        <w:t>.</w:t>
      </w:r>
      <w:r w:rsidR="00C97B13">
        <w:rPr>
          <w:rStyle w:val="EndnoteReference"/>
          <w:rFonts w:ascii="Georgia" w:hAnsi="Georgia"/>
          <w:sz w:val="22"/>
          <w:szCs w:val="22"/>
        </w:rPr>
        <w:endnoteReference w:id="8"/>
      </w:r>
      <w:r w:rsidR="00322DE5" w:rsidRPr="00322DE5">
        <w:rPr>
          <w:rFonts w:ascii="Georgia" w:hAnsi="Georgia"/>
          <w:sz w:val="22"/>
          <w:szCs w:val="22"/>
        </w:rPr>
        <w:t xml:space="preserve"> </w:t>
      </w:r>
      <w:r>
        <w:rPr>
          <w:rFonts w:ascii="Georgia" w:hAnsi="Georgia"/>
          <w:sz w:val="22"/>
          <w:szCs w:val="22"/>
        </w:rPr>
        <w:t xml:space="preserve">To </w:t>
      </w:r>
      <w:r w:rsidR="00B50ED4">
        <w:rPr>
          <w:rFonts w:ascii="Georgia" w:hAnsi="Georgia"/>
          <w:sz w:val="22"/>
          <w:szCs w:val="22"/>
        </w:rPr>
        <w:t>resist</w:t>
      </w:r>
      <w:r>
        <w:rPr>
          <w:rFonts w:ascii="Georgia" w:hAnsi="Georgia"/>
          <w:sz w:val="22"/>
          <w:szCs w:val="22"/>
        </w:rPr>
        <w:t xml:space="preserve"> sovereign power</w:t>
      </w:r>
      <w:r w:rsidR="00B50ED4">
        <w:rPr>
          <w:rFonts w:ascii="Georgia" w:hAnsi="Georgia"/>
          <w:sz w:val="22"/>
          <w:szCs w:val="22"/>
        </w:rPr>
        <w:t xml:space="preserve"> over the life-death matrix</w:t>
      </w:r>
      <w:r>
        <w:rPr>
          <w:rFonts w:ascii="Georgia" w:hAnsi="Georgia"/>
          <w:sz w:val="22"/>
          <w:szCs w:val="22"/>
        </w:rPr>
        <w:t xml:space="preserve"> --- and here is perhaps the </w:t>
      </w:r>
      <w:r w:rsidRPr="002002DF">
        <w:rPr>
          <w:rFonts w:ascii="Georgia" w:hAnsi="Georgia"/>
          <w:sz w:val="22"/>
          <w:szCs w:val="22"/>
        </w:rPr>
        <w:t xml:space="preserve">final lesson </w:t>
      </w:r>
      <w:r w:rsidRPr="002002DF">
        <w:rPr>
          <w:rFonts w:ascii="Georgia" w:hAnsi="Georgia"/>
          <w:i/>
          <w:iCs/>
          <w:sz w:val="22"/>
          <w:szCs w:val="22"/>
        </w:rPr>
        <w:t>Unbearable Life</w:t>
      </w:r>
      <w:r w:rsidRPr="002002DF">
        <w:rPr>
          <w:rFonts w:ascii="Georgia" w:hAnsi="Georgia"/>
          <w:sz w:val="22"/>
          <w:szCs w:val="22"/>
        </w:rPr>
        <w:t xml:space="preserve"> </w:t>
      </w:r>
      <w:r w:rsidR="008B0990">
        <w:rPr>
          <w:rFonts w:ascii="Georgia" w:hAnsi="Georgia"/>
          <w:sz w:val="22"/>
          <w:szCs w:val="22"/>
        </w:rPr>
        <w:t xml:space="preserve">seeks to </w:t>
      </w:r>
      <w:r w:rsidRPr="002002DF">
        <w:rPr>
          <w:rFonts w:ascii="Georgia" w:hAnsi="Georgia"/>
          <w:sz w:val="22"/>
          <w:szCs w:val="22"/>
        </w:rPr>
        <w:t>learn from Derrida</w:t>
      </w:r>
      <w:r>
        <w:rPr>
          <w:rFonts w:ascii="Georgia" w:hAnsi="Georgia"/>
          <w:sz w:val="22"/>
          <w:szCs w:val="22"/>
        </w:rPr>
        <w:t>’s critique of Foucault’s historical archaeology</w:t>
      </w:r>
      <w:r w:rsidRPr="002002DF">
        <w:rPr>
          <w:rFonts w:ascii="Georgia" w:hAnsi="Georgia"/>
          <w:sz w:val="22"/>
          <w:szCs w:val="22"/>
        </w:rPr>
        <w:t xml:space="preserve"> --- </w:t>
      </w:r>
      <w:r w:rsidR="00D67FF3">
        <w:rPr>
          <w:rFonts w:ascii="Georgia" w:hAnsi="Georgia"/>
          <w:sz w:val="22"/>
          <w:szCs w:val="22"/>
        </w:rPr>
        <w:t xml:space="preserve">I </w:t>
      </w:r>
      <w:r w:rsidR="007750A3">
        <w:rPr>
          <w:rFonts w:ascii="Georgia" w:hAnsi="Georgia"/>
          <w:sz w:val="22"/>
          <w:szCs w:val="22"/>
        </w:rPr>
        <w:t xml:space="preserve">thus propose </w:t>
      </w:r>
      <w:r w:rsidR="00D67FF3">
        <w:rPr>
          <w:rFonts w:ascii="Georgia" w:hAnsi="Georgia"/>
          <w:sz w:val="22"/>
          <w:szCs w:val="22"/>
        </w:rPr>
        <w:t xml:space="preserve">that </w:t>
      </w:r>
      <w:r w:rsidRPr="002002DF">
        <w:rPr>
          <w:rFonts w:ascii="Georgia" w:hAnsi="Georgia"/>
          <w:sz w:val="22"/>
          <w:szCs w:val="22"/>
        </w:rPr>
        <w:t xml:space="preserve">we </w:t>
      </w:r>
      <w:r>
        <w:rPr>
          <w:rFonts w:ascii="Georgia" w:hAnsi="Georgia"/>
          <w:sz w:val="22"/>
          <w:szCs w:val="22"/>
        </w:rPr>
        <w:t>cannot appeal to some simple outside of sovereignty, whether we call it life, madness</w:t>
      </w:r>
      <w:r w:rsidR="008B0990">
        <w:rPr>
          <w:rFonts w:ascii="Georgia" w:hAnsi="Georgia"/>
          <w:sz w:val="22"/>
          <w:szCs w:val="22"/>
        </w:rPr>
        <w:t>,</w:t>
      </w:r>
      <w:r>
        <w:rPr>
          <w:rFonts w:ascii="Georgia" w:hAnsi="Georgia"/>
          <w:sz w:val="22"/>
          <w:szCs w:val="22"/>
        </w:rPr>
        <w:t xml:space="preserve"> or anything else, but must rather </w:t>
      </w:r>
      <w:r w:rsidR="00E77869">
        <w:rPr>
          <w:rFonts w:ascii="Georgia" w:hAnsi="Georgia"/>
          <w:sz w:val="22"/>
          <w:szCs w:val="22"/>
        </w:rPr>
        <w:t xml:space="preserve">attempt to </w:t>
      </w:r>
      <w:r>
        <w:rPr>
          <w:rFonts w:ascii="Georgia" w:hAnsi="Georgia"/>
          <w:sz w:val="22"/>
          <w:szCs w:val="22"/>
        </w:rPr>
        <w:t xml:space="preserve">expose or delimit </w:t>
      </w:r>
      <w:r w:rsidR="00C30653">
        <w:rPr>
          <w:rFonts w:ascii="Georgia" w:hAnsi="Georgia"/>
          <w:sz w:val="22"/>
          <w:szCs w:val="22"/>
        </w:rPr>
        <w:t xml:space="preserve">sovereignty </w:t>
      </w:r>
      <w:r>
        <w:rPr>
          <w:rFonts w:ascii="Georgia" w:hAnsi="Georgia"/>
          <w:sz w:val="22"/>
          <w:szCs w:val="22"/>
        </w:rPr>
        <w:t xml:space="preserve">from the </w:t>
      </w:r>
      <w:r w:rsidRPr="00B50ED4">
        <w:rPr>
          <w:rFonts w:ascii="Georgia" w:hAnsi="Georgia"/>
          <w:sz w:val="22"/>
          <w:szCs w:val="22"/>
        </w:rPr>
        <w:t>inside.</w:t>
      </w:r>
      <w:r>
        <w:rPr>
          <w:rFonts w:ascii="Georgia" w:hAnsi="Georgia"/>
          <w:sz w:val="22"/>
          <w:szCs w:val="22"/>
        </w:rPr>
        <w:t xml:space="preserve"> </w:t>
      </w:r>
      <w:r w:rsidR="0056430D">
        <w:rPr>
          <w:rFonts w:ascii="Georgia" w:hAnsi="Georgia"/>
          <w:sz w:val="22"/>
          <w:szCs w:val="22"/>
        </w:rPr>
        <w:t>If the various political actors</w:t>
      </w:r>
      <w:r w:rsidR="007750A3">
        <w:rPr>
          <w:rFonts w:ascii="Georgia" w:hAnsi="Georgia"/>
          <w:sz w:val="22"/>
          <w:szCs w:val="22"/>
        </w:rPr>
        <w:t>, subjects or movements</w:t>
      </w:r>
      <w:r w:rsidR="0056430D">
        <w:rPr>
          <w:rFonts w:ascii="Georgia" w:hAnsi="Georgia"/>
          <w:sz w:val="22"/>
          <w:szCs w:val="22"/>
        </w:rPr>
        <w:t xml:space="preserve"> described in th</w:t>
      </w:r>
      <w:r w:rsidR="007750A3">
        <w:rPr>
          <w:rFonts w:ascii="Georgia" w:hAnsi="Georgia"/>
          <w:sz w:val="22"/>
          <w:szCs w:val="22"/>
        </w:rPr>
        <w:t>is</w:t>
      </w:r>
      <w:r w:rsidR="0056430D">
        <w:rPr>
          <w:rFonts w:ascii="Georgia" w:hAnsi="Georgia"/>
          <w:sz w:val="22"/>
          <w:szCs w:val="22"/>
        </w:rPr>
        <w:t xml:space="preserve"> book </w:t>
      </w:r>
      <w:r w:rsidR="007750A3">
        <w:rPr>
          <w:rFonts w:ascii="Georgia" w:hAnsi="Georgia"/>
          <w:sz w:val="22"/>
          <w:szCs w:val="22"/>
        </w:rPr>
        <w:t xml:space="preserve">from the French Revolution </w:t>
      </w:r>
      <w:r w:rsidR="00DF1D0E">
        <w:rPr>
          <w:rFonts w:ascii="Georgia" w:hAnsi="Georgia"/>
          <w:sz w:val="22"/>
          <w:szCs w:val="22"/>
        </w:rPr>
        <w:t xml:space="preserve">up </w:t>
      </w:r>
      <w:r w:rsidR="007750A3">
        <w:rPr>
          <w:rFonts w:ascii="Georgia" w:hAnsi="Georgia"/>
          <w:sz w:val="22"/>
          <w:szCs w:val="22"/>
        </w:rPr>
        <w:t xml:space="preserve">to the Invisible Committee </w:t>
      </w:r>
      <w:r w:rsidR="0056430D">
        <w:rPr>
          <w:rFonts w:ascii="Georgia" w:hAnsi="Georgia"/>
          <w:sz w:val="22"/>
          <w:szCs w:val="22"/>
        </w:rPr>
        <w:t xml:space="preserve">have anything in common, it is </w:t>
      </w:r>
      <w:r w:rsidR="007750A3">
        <w:rPr>
          <w:rFonts w:ascii="Georgia" w:hAnsi="Georgia"/>
          <w:sz w:val="22"/>
          <w:szCs w:val="22"/>
        </w:rPr>
        <w:t>precisely this</w:t>
      </w:r>
      <w:r w:rsidR="0056430D">
        <w:rPr>
          <w:rFonts w:ascii="Georgia" w:hAnsi="Georgia"/>
          <w:sz w:val="22"/>
          <w:szCs w:val="22"/>
        </w:rPr>
        <w:t xml:space="preserve"> capacity to </w:t>
      </w:r>
      <w:r w:rsidR="007750A3">
        <w:rPr>
          <w:rFonts w:ascii="Georgia" w:hAnsi="Georgia"/>
          <w:sz w:val="22"/>
          <w:szCs w:val="22"/>
        </w:rPr>
        <w:t>embrace t</w:t>
      </w:r>
      <w:r w:rsidR="0056430D">
        <w:rPr>
          <w:rFonts w:ascii="Georgia" w:hAnsi="Georgia"/>
          <w:sz w:val="22"/>
          <w:szCs w:val="22"/>
        </w:rPr>
        <w:t xml:space="preserve">heir apparently abject fate </w:t>
      </w:r>
      <w:r w:rsidR="007750A3">
        <w:rPr>
          <w:rFonts w:ascii="Georgia" w:hAnsi="Georgia"/>
          <w:sz w:val="22"/>
          <w:szCs w:val="22"/>
        </w:rPr>
        <w:t xml:space="preserve">as unbearable lives and transform it into a ground of what I call immanent resistance or even insurrection:  </w:t>
      </w:r>
      <w:r w:rsidR="001A269B">
        <w:rPr>
          <w:rFonts w:ascii="Georgia" w:hAnsi="Georgia"/>
          <w:sz w:val="22"/>
          <w:szCs w:val="22"/>
        </w:rPr>
        <w:t>“</w:t>
      </w:r>
      <w:r w:rsidR="001A269B" w:rsidRPr="001A269B">
        <w:rPr>
          <w:rFonts w:ascii="Georgia" w:hAnsi="Georgia"/>
          <w:sz w:val="22"/>
          <w:szCs w:val="22"/>
        </w:rPr>
        <w:t>someone who exists outside life and death can</w:t>
      </w:r>
      <w:r w:rsidR="000F0155">
        <w:rPr>
          <w:rFonts w:ascii="Georgia" w:hAnsi="Georgia"/>
          <w:sz w:val="22"/>
          <w:szCs w:val="22"/>
        </w:rPr>
        <w:t>,” I write</w:t>
      </w:r>
      <w:r w:rsidR="001A269B" w:rsidRPr="001A269B">
        <w:rPr>
          <w:rFonts w:ascii="Georgia" w:hAnsi="Georgia"/>
          <w:sz w:val="22"/>
          <w:szCs w:val="22"/>
        </w:rPr>
        <w:t xml:space="preserve">, </w:t>
      </w:r>
      <w:r w:rsidR="000F0155">
        <w:rPr>
          <w:rFonts w:ascii="Georgia" w:hAnsi="Georgia"/>
          <w:sz w:val="22"/>
          <w:szCs w:val="22"/>
        </w:rPr>
        <w:t>“</w:t>
      </w:r>
      <w:r w:rsidR="001A269B" w:rsidRPr="001A269B">
        <w:rPr>
          <w:rFonts w:ascii="Georgia" w:hAnsi="Georgia"/>
          <w:sz w:val="22"/>
          <w:szCs w:val="22"/>
        </w:rPr>
        <w:t>be neither killed by a master nor forced to live as a slave</w:t>
      </w:r>
      <w:r w:rsidR="00C97B13">
        <w:rPr>
          <w:rFonts w:ascii="Georgia" w:hAnsi="Georgia"/>
          <w:sz w:val="22"/>
          <w:szCs w:val="22"/>
        </w:rPr>
        <w:t>.</w:t>
      </w:r>
      <w:r w:rsidR="001A269B">
        <w:rPr>
          <w:rFonts w:ascii="Georgia" w:hAnsi="Georgia"/>
          <w:sz w:val="22"/>
          <w:szCs w:val="22"/>
        </w:rPr>
        <w:t>”</w:t>
      </w:r>
      <w:r w:rsidR="00C97B13">
        <w:rPr>
          <w:rStyle w:val="EndnoteReference"/>
          <w:rFonts w:ascii="Georgia" w:hAnsi="Georgia"/>
          <w:sz w:val="22"/>
          <w:szCs w:val="22"/>
        </w:rPr>
        <w:endnoteReference w:id="9"/>
      </w:r>
      <w:r w:rsidR="001A269B" w:rsidRPr="001A269B">
        <w:rPr>
          <w:rFonts w:ascii="Georgia" w:hAnsi="Georgia"/>
          <w:sz w:val="22"/>
          <w:szCs w:val="22"/>
        </w:rPr>
        <w:t xml:space="preserve"> </w:t>
      </w:r>
      <w:r w:rsidR="00C30653">
        <w:rPr>
          <w:rFonts w:ascii="Georgia" w:hAnsi="Georgia"/>
          <w:sz w:val="22"/>
          <w:szCs w:val="22"/>
        </w:rPr>
        <w:t>For</w:t>
      </w:r>
      <w:r w:rsidR="00407361">
        <w:rPr>
          <w:rFonts w:ascii="Georgia" w:hAnsi="Georgia"/>
          <w:sz w:val="22"/>
          <w:szCs w:val="22"/>
        </w:rPr>
        <w:t xml:space="preserve"> me</w:t>
      </w:r>
      <w:r w:rsidR="00C30653">
        <w:rPr>
          <w:rFonts w:ascii="Georgia" w:hAnsi="Georgia"/>
          <w:sz w:val="22"/>
          <w:szCs w:val="22"/>
        </w:rPr>
        <w:t xml:space="preserve">, </w:t>
      </w:r>
      <w:r w:rsidR="004A2B34" w:rsidRPr="004A2B34">
        <w:rPr>
          <w:rFonts w:ascii="Georgia" w:hAnsi="Georgia"/>
          <w:sz w:val="22"/>
          <w:szCs w:val="22"/>
        </w:rPr>
        <w:t xml:space="preserve">Roger “Rogue” </w:t>
      </w:r>
      <w:proofErr w:type="spellStart"/>
      <w:r w:rsidR="004A2B34" w:rsidRPr="004A2B34">
        <w:rPr>
          <w:rFonts w:ascii="Georgia" w:hAnsi="Georgia"/>
          <w:sz w:val="22"/>
          <w:szCs w:val="22"/>
        </w:rPr>
        <w:t>Riderhood</w:t>
      </w:r>
      <w:proofErr w:type="spellEnd"/>
      <w:r w:rsidR="004A2B34">
        <w:rPr>
          <w:rFonts w:ascii="Georgia" w:hAnsi="Georgia"/>
          <w:sz w:val="22"/>
          <w:szCs w:val="22"/>
        </w:rPr>
        <w:t xml:space="preserve"> --- </w:t>
      </w:r>
      <w:r w:rsidR="00C30653">
        <w:rPr>
          <w:rFonts w:ascii="Georgia" w:hAnsi="Georgia"/>
          <w:sz w:val="22"/>
          <w:szCs w:val="22"/>
        </w:rPr>
        <w:t>an obscure</w:t>
      </w:r>
      <w:r w:rsidR="00C30653" w:rsidRPr="004A2B34">
        <w:rPr>
          <w:rFonts w:ascii="Georgia" w:hAnsi="Georgia"/>
          <w:sz w:val="22"/>
          <w:szCs w:val="22"/>
        </w:rPr>
        <w:t xml:space="preserve"> </w:t>
      </w:r>
      <w:r w:rsidR="00C30653">
        <w:rPr>
          <w:rFonts w:ascii="Georgia" w:hAnsi="Georgia"/>
          <w:sz w:val="22"/>
          <w:szCs w:val="22"/>
        </w:rPr>
        <w:t>Dickensian villain</w:t>
      </w:r>
      <w:r w:rsidR="00C30653" w:rsidRPr="004A2B34">
        <w:rPr>
          <w:rFonts w:ascii="Georgia" w:hAnsi="Georgia"/>
          <w:sz w:val="22"/>
          <w:szCs w:val="22"/>
        </w:rPr>
        <w:t xml:space="preserve"> </w:t>
      </w:r>
      <w:r w:rsidR="004A2B34">
        <w:rPr>
          <w:rFonts w:ascii="Georgia" w:hAnsi="Georgia"/>
          <w:sz w:val="22"/>
          <w:szCs w:val="22"/>
        </w:rPr>
        <w:t xml:space="preserve">who </w:t>
      </w:r>
      <w:r w:rsidR="00794DF3">
        <w:rPr>
          <w:rFonts w:ascii="Georgia" w:hAnsi="Georgia"/>
          <w:sz w:val="22"/>
          <w:szCs w:val="22"/>
        </w:rPr>
        <w:t xml:space="preserve">has been </w:t>
      </w:r>
      <w:r w:rsidR="004A2B34">
        <w:rPr>
          <w:rFonts w:ascii="Georgia" w:hAnsi="Georgia"/>
          <w:sz w:val="22"/>
          <w:szCs w:val="22"/>
        </w:rPr>
        <w:t xml:space="preserve">the subject of famous </w:t>
      </w:r>
      <w:r w:rsidR="000F0155">
        <w:rPr>
          <w:rFonts w:ascii="Georgia" w:hAnsi="Georgia"/>
          <w:sz w:val="22"/>
          <w:szCs w:val="22"/>
        </w:rPr>
        <w:t xml:space="preserve">philosophical </w:t>
      </w:r>
      <w:r w:rsidR="004A2B34">
        <w:rPr>
          <w:rFonts w:ascii="Georgia" w:hAnsi="Georgia"/>
          <w:sz w:val="22"/>
          <w:szCs w:val="22"/>
        </w:rPr>
        <w:t xml:space="preserve">readings by Deleuze, Agamben and Esposito --- </w:t>
      </w:r>
      <w:r w:rsidR="00BD5DCF">
        <w:rPr>
          <w:rFonts w:ascii="Georgia" w:hAnsi="Georgia"/>
          <w:sz w:val="22"/>
          <w:szCs w:val="22"/>
        </w:rPr>
        <w:t xml:space="preserve">thus </w:t>
      </w:r>
      <w:r w:rsidR="00C30653">
        <w:rPr>
          <w:rFonts w:ascii="Georgia" w:hAnsi="Georgia"/>
          <w:sz w:val="22"/>
          <w:szCs w:val="22"/>
        </w:rPr>
        <w:t xml:space="preserve">becomes </w:t>
      </w:r>
      <w:r w:rsidR="00407361">
        <w:rPr>
          <w:rFonts w:ascii="Georgia" w:hAnsi="Georgia"/>
          <w:sz w:val="22"/>
          <w:szCs w:val="22"/>
        </w:rPr>
        <w:t xml:space="preserve">the </w:t>
      </w:r>
      <w:r w:rsidR="00C30653">
        <w:rPr>
          <w:rFonts w:ascii="Georgia" w:hAnsi="Georgia"/>
          <w:sz w:val="22"/>
          <w:szCs w:val="22"/>
        </w:rPr>
        <w:t xml:space="preserve">first “hero” of unbearable life: </w:t>
      </w:r>
      <w:proofErr w:type="spellStart"/>
      <w:r w:rsidR="00C30653">
        <w:rPr>
          <w:rFonts w:ascii="Georgia" w:hAnsi="Georgia"/>
          <w:sz w:val="22"/>
          <w:szCs w:val="22"/>
        </w:rPr>
        <w:t>Riderhood’s</w:t>
      </w:r>
      <w:proofErr w:type="spellEnd"/>
      <w:r w:rsidR="00C30653">
        <w:rPr>
          <w:rFonts w:ascii="Georgia" w:hAnsi="Georgia"/>
          <w:sz w:val="22"/>
          <w:szCs w:val="22"/>
        </w:rPr>
        <w:t xml:space="preserve"> power </w:t>
      </w:r>
      <w:r w:rsidR="00407361">
        <w:rPr>
          <w:rFonts w:ascii="Georgia" w:hAnsi="Georgia"/>
          <w:sz w:val="22"/>
          <w:szCs w:val="22"/>
        </w:rPr>
        <w:t xml:space="preserve">to resist the sovereign right of life and death </w:t>
      </w:r>
      <w:r w:rsidR="00C30653">
        <w:rPr>
          <w:rFonts w:ascii="Georgia" w:hAnsi="Georgia"/>
          <w:sz w:val="22"/>
          <w:szCs w:val="22"/>
        </w:rPr>
        <w:t xml:space="preserve">derives </w:t>
      </w:r>
      <w:r w:rsidR="00407361">
        <w:rPr>
          <w:rFonts w:ascii="Georgia" w:hAnsi="Georgia"/>
          <w:sz w:val="22"/>
          <w:szCs w:val="22"/>
        </w:rPr>
        <w:t>neither from</w:t>
      </w:r>
      <w:r w:rsidR="00C30653">
        <w:rPr>
          <w:rFonts w:ascii="Georgia" w:hAnsi="Georgia"/>
          <w:sz w:val="22"/>
          <w:szCs w:val="22"/>
        </w:rPr>
        <w:t xml:space="preserve"> </w:t>
      </w:r>
      <w:r w:rsidR="00407361">
        <w:rPr>
          <w:rFonts w:ascii="Georgia" w:hAnsi="Georgia"/>
          <w:sz w:val="22"/>
          <w:szCs w:val="22"/>
        </w:rPr>
        <w:t xml:space="preserve">vitalism nor nihilism, I argue in the conclusion of Chapter 1, but from his uncanny status as a political subject who is </w:t>
      </w:r>
      <w:r w:rsidR="00DF1D0E">
        <w:rPr>
          <w:rFonts w:ascii="Georgia" w:hAnsi="Georgia"/>
          <w:sz w:val="22"/>
          <w:szCs w:val="22"/>
        </w:rPr>
        <w:t>neither alive nor dead</w:t>
      </w:r>
      <w:r w:rsidR="00407361">
        <w:rPr>
          <w:rFonts w:ascii="Georgia" w:hAnsi="Georgia"/>
          <w:sz w:val="22"/>
          <w:szCs w:val="22"/>
        </w:rPr>
        <w:t>.</w:t>
      </w:r>
      <w:r w:rsidR="00DF1D0E">
        <w:rPr>
          <w:rFonts w:ascii="Georgia" w:hAnsi="Georgia"/>
          <w:sz w:val="22"/>
          <w:szCs w:val="22"/>
        </w:rPr>
        <w:t xml:space="preserve"> In the same way, </w:t>
      </w:r>
      <w:r w:rsidR="00DF1D0E" w:rsidRPr="00DF1D0E">
        <w:rPr>
          <w:rFonts w:ascii="Georgia" w:hAnsi="Georgia"/>
          <w:i/>
          <w:iCs/>
          <w:sz w:val="22"/>
          <w:szCs w:val="22"/>
        </w:rPr>
        <w:t>Unbearable Life</w:t>
      </w:r>
      <w:r w:rsidR="00DF1D0E">
        <w:rPr>
          <w:rFonts w:ascii="Georgia" w:hAnsi="Georgia"/>
          <w:sz w:val="22"/>
          <w:szCs w:val="22"/>
        </w:rPr>
        <w:t xml:space="preserve"> seeks to unlock the parentheses of sovereignty from </w:t>
      </w:r>
      <w:r w:rsidR="00170752">
        <w:rPr>
          <w:rFonts w:ascii="Georgia" w:hAnsi="Georgia"/>
          <w:sz w:val="22"/>
          <w:szCs w:val="22"/>
        </w:rPr>
        <w:t>the inside.</w:t>
      </w:r>
      <w:r w:rsidR="00DF1D0E">
        <w:rPr>
          <w:rFonts w:ascii="Georgia" w:hAnsi="Georgia"/>
          <w:sz w:val="22"/>
          <w:szCs w:val="22"/>
        </w:rPr>
        <w:t xml:space="preserve">  </w:t>
      </w:r>
    </w:p>
    <w:p w14:paraId="7EA48A54" w14:textId="134A3600" w:rsidR="002002DF" w:rsidRDefault="002002DF" w:rsidP="002002DF"/>
    <w:p w14:paraId="4D1A9E74" w14:textId="77777777" w:rsidR="007A1F07" w:rsidRDefault="007A1F07"/>
    <w:sectPr w:rsidR="007A1F07" w:rsidSect="0001372F">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3E8D" w14:textId="77777777" w:rsidR="00C93633" w:rsidRDefault="00C93633" w:rsidP="002002DF">
      <w:r>
        <w:separator/>
      </w:r>
    </w:p>
  </w:endnote>
  <w:endnote w:type="continuationSeparator" w:id="0">
    <w:p w14:paraId="1F728262" w14:textId="77777777" w:rsidR="00C93633" w:rsidRDefault="00C93633" w:rsidP="002002DF">
      <w:r>
        <w:continuationSeparator/>
      </w:r>
    </w:p>
  </w:endnote>
  <w:endnote w:id="1">
    <w:p w14:paraId="095BC6F5" w14:textId="77777777" w:rsidR="002002DF" w:rsidRPr="00C97B13" w:rsidRDefault="002002DF" w:rsidP="00386ABA">
      <w:pPr>
        <w:pStyle w:val="EndnoteText"/>
        <w:jc w:val="both"/>
        <w:rPr>
          <w:rFonts w:ascii="Georgia" w:hAnsi="Georgia"/>
          <w:sz w:val="22"/>
          <w:szCs w:val="22"/>
        </w:rPr>
      </w:pPr>
      <w:r w:rsidRPr="00C97B13">
        <w:rPr>
          <w:rStyle w:val="EndnoteReference"/>
          <w:rFonts w:ascii="Georgia" w:hAnsi="Georgia"/>
          <w:sz w:val="22"/>
          <w:szCs w:val="22"/>
        </w:rPr>
        <w:endnoteRef/>
      </w:r>
      <w:r w:rsidRPr="00C97B13">
        <w:rPr>
          <w:rFonts w:ascii="Georgia" w:hAnsi="Georgia"/>
          <w:sz w:val="22"/>
          <w:szCs w:val="22"/>
        </w:rPr>
        <w:t xml:space="preserve"> See Niall Gildea, </w:t>
      </w:r>
      <w:r w:rsidRPr="00C97B13">
        <w:rPr>
          <w:rFonts w:ascii="Georgia" w:eastAsia="MS ??" w:hAnsi="Georgia" w:cs="Times New Roman"/>
          <w:i/>
          <w:iCs/>
          <w:sz w:val="22"/>
          <w:szCs w:val="22"/>
          <w:lang w:eastAsia="en-GB"/>
        </w:rPr>
        <w:t>Jacques Derrida’s Cambridge Affair: Deconstruction, Philosophy and Institutionality</w:t>
      </w:r>
      <w:r w:rsidRPr="00C97B13">
        <w:rPr>
          <w:rFonts w:ascii="Georgia" w:hAnsi="Georgia"/>
          <w:sz w:val="22"/>
          <w:szCs w:val="22"/>
        </w:rPr>
        <w:t xml:space="preserve"> (London: Rowman and Littlefield International, 2020).</w:t>
      </w:r>
    </w:p>
  </w:endnote>
  <w:endnote w:id="2">
    <w:p w14:paraId="20EC6405" w14:textId="36D5C17D" w:rsidR="002002DF" w:rsidRPr="00C97B13" w:rsidRDefault="002002DF" w:rsidP="00386ABA">
      <w:pPr>
        <w:pStyle w:val="EndnoteText"/>
        <w:jc w:val="both"/>
        <w:rPr>
          <w:rFonts w:ascii="Georgia" w:hAnsi="Georgia"/>
          <w:sz w:val="22"/>
          <w:szCs w:val="22"/>
        </w:rPr>
      </w:pPr>
      <w:r w:rsidRPr="00C97B13">
        <w:rPr>
          <w:rStyle w:val="EndnoteReference"/>
          <w:rFonts w:ascii="Georgia" w:hAnsi="Georgia"/>
          <w:sz w:val="22"/>
          <w:szCs w:val="22"/>
        </w:rPr>
        <w:endnoteRef/>
      </w:r>
      <w:r w:rsidR="00386ABA">
        <w:rPr>
          <w:rFonts w:ascii="Georgia" w:hAnsi="Georgia"/>
          <w:sz w:val="22"/>
          <w:szCs w:val="22"/>
        </w:rPr>
        <w:t xml:space="preserve"> </w:t>
      </w:r>
      <w:r w:rsidR="00386ABA" w:rsidRPr="00386ABA">
        <w:rPr>
          <w:rFonts w:ascii="Georgia" w:hAnsi="Georgia"/>
          <w:sz w:val="22"/>
          <w:szCs w:val="22"/>
        </w:rPr>
        <w:t xml:space="preserve">Arthur Bradley, </w:t>
      </w:r>
      <w:r w:rsidR="00386ABA" w:rsidRPr="00386ABA">
        <w:rPr>
          <w:rFonts w:ascii="Georgia" w:hAnsi="Georgia"/>
          <w:i/>
          <w:iCs/>
          <w:sz w:val="22"/>
          <w:szCs w:val="22"/>
        </w:rPr>
        <w:t>Negative Theology and Modern French Philosophy</w:t>
      </w:r>
      <w:r w:rsidR="00386ABA" w:rsidRPr="00386ABA">
        <w:rPr>
          <w:rFonts w:ascii="Georgia" w:hAnsi="Georgia"/>
          <w:sz w:val="22"/>
          <w:szCs w:val="22"/>
        </w:rPr>
        <w:t xml:space="preserve"> (London: Routledge, 2004). See also my “God</w:t>
      </w:r>
      <w:r w:rsidR="00386ABA" w:rsidRPr="00386ABA">
        <w:rPr>
          <w:rFonts w:ascii="Georgia" w:hAnsi="Georgia"/>
          <w:i/>
          <w:sz w:val="22"/>
          <w:szCs w:val="22"/>
        </w:rPr>
        <w:t xml:space="preserve"> sans</w:t>
      </w:r>
      <w:r w:rsidR="00386ABA" w:rsidRPr="00386ABA">
        <w:rPr>
          <w:rFonts w:ascii="Georgia" w:hAnsi="Georgia"/>
          <w:sz w:val="22"/>
          <w:szCs w:val="22"/>
        </w:rPr>
        <w:t xml:space="preserve"> Being: Derrida, Marion and ‘a paradoxical writing of the word </w:t>
      </w:r>
      <w:r w:rsidR="00386ABA" w:rsidRPr="00386ABA">
        <w:rPr>
          <w:rFonts w:ascii="Georgia" w:hAnsi="Georgia"/>
          <w:i/>
          <w:sz w:val="22"/>
          <w:szCs w:val="22"/>
        </w:rPr>
        <w:t>without,</w:t>
      </w:r>
      <w:r w:rsidR="00386ABA" w:rsidRPr="00386ABA">
        <w:rPr>
          <w:rFonts w:ascii="Georgia" w:hAnsi="Georgia"/>
          <w:sz w:val="22"/>
          <w:szCs w:val="22"/>
        </w:rPr>
        <w:t xml:space="preserve">”’ </w:t>
      </w:r>
      <w:r w:rsidR="00386ABA" w:rsidRPr="00386ABA">
        <w:rPr>
          <w:rFonts w:ascii="Georgia" w:hAnsi="Georgia"/>
          <w:i/>
          <w:sz w:val="22"/>
          <w:szCs w:val="22"/>
        </w:rPr>
        <w:t>Literature and Theology</w:t>
      </w:r>
      <w:r w:rsidR="00386ABA" w:rsidRPr="00386ABA">
        <w:rPr>
          <w:rFonts w:ascii="Georgia" w:hAnsi="Georgia"/>
          <w:sz w:val="22"/>
          <w:szCs w:val="22"/>
        </w:rPr>
        <w:t xml:space="preserve">, 14: 3 (2000): 299-312; “Without Negative Theology: Deconstruction and the Politics of Negative Theology,” </w:t>
      </w:r>
      <w:r w:rsidR="00386ABA" w:rsidRPr="00386ABA">
        <w:rPr>
          <w:rFonts w:ascii="Georgia" w:hAnsi="Georgia"/>
          <w:i/>
          <w:sz w:val="22"/>
          <w:szCs w:val="22"/>
        </w:rPr>
        <w:t>The Heythrop Journal</w:t>
      </w:r>
      <w:r w:rsidR="00386ABA" w:rsidRPr="00386ABA">
        <w:rPr>
          <w:rFonts w:ascii="Georgia" w:hAnsi="Georgia"/>
          <w:sz w:val="22"/>
          <w:szCs w:val="22"/>
        </w:rPr>
        <w:t xml:space="preserve">, 42: 2 (2001): 133-47; “Thinking the Outside: Foucault, Derrida and the Thought of Negative Theology,” </w:t>
      </w:r>
      <w:r w:rsidR="00386ABA" w:rsidRPr="00386ABA">
        <w:rPr>
          <w:rFonts w:ascii="Georgia" w:hAnsi="Georgia"/>
          <w:i/>
          <w:sz w:val="22"/>
          <w:szCs w:val="22"/>
        </w:rPr>
        <w:t>Textual Practice</w:t>
      </w:r>
      <w:r w:rsidR="00386ABA" w:rsidRPr="00386ABA">
        <w:rPr>
          <w:rFonts w:ascii="Georgia" w:hAnsi="Georgia"/>
          <w:sz w:val="22"/>
          <w:szCs w:val="22"/>
        </w:rPr>
        <w:t xml:space="preserve">, 16: 1 (2002): 57-74; </w:t>
      </w:r>
      <w:r w:rsidR="00386ABA" w:rsidRPr="00D73091">
        <w:rPr>
          <w:rFonts w:ascii="Georgia" w:hAnsi="Georgia"/>
          <w:sz w:val="22"/>
          <w:szCs w:val="22"/>
        </w:rPr>
        <w:t xml:space="preserve">“Derrida’s God: A Genealogy of the Theological Turn.” </w:t>
      </w:r>
      <w:r w:rsidR="00386ABA" w:rsidRPr="00D73091">
        <w:rPr>
          <w:rFonts w:ascii="Georgia" w:hAnsi="Georgia"/>
          <w:i/>
          <w:sz w:val="22"/>
          <w:szCs w:val="22"/>
        </w:rPr>
        <w:t>Paragraph</w:t>
      </w:r>
      <w:r w:rsidR="00386ABA" w:rsidRPr="00D73091">
        <w:rPr>
          <w:rFonts w:ascii="Georgia" w:hAnsi="Georgia"/>
          <w:sz w:val="22"/>
          <w:szCs w:val="22"/>
        </w:rPr>
        <w:t>, 29: 3, (2006): 21-42</w:t>
      </w:r>
      <w:r w:rsidR="00386ABA" w:rsidRPr="00386ABA">
        <w:rPr>
          <w:rFonts w:ascii="Georgia" w:hAnsi="Georgia"/>
          <w:sz w:val="22"/>
          <w:szCs w:val="22"/>
        </w:rPr>
        <w:t xml:space="preserve"> and “Mystic Atheism: Julia Kristeva’s Negative Theology,” </w:t>
      </w:r>
      <w:r w:rsidR="00386ABA" w:rsidRPr="00386ABA">
        <w:rPr>
          <w:rFonts w:ascii="Georgia" w:hAnsi="Georgia"/>
          <w:i/>
          <w:sz w:val="22"/>
          <w:szCs w:val="22"/>
        </w:rPr>
        <w:t>Theology and Sexuality</w:t>
      </w:r>
      <w:r w:rsidR="00386ABA" w:rsidRPr="00386ABA">
        <w:rPr>
          <w:rFonts w:ascii="Georgia" w:hAnsi="Georgia"/>
          <w:sz w:val="22"/>
          <w:szCs w:val="22"/>
        </w:rPr>
        <w:t xml:space="preserve"> 14: 3 (2008): 279-92.</w:t>
      </w:r>
    </w:p>
  </w:endnote>
  <w:endnote w:id="3">
    <w:p w14:paraId="423FCD2F" w14:textId="416C9866" w:rsidR="00C97B13" w:rsidRPr="00C97B13" w:rsidRDefault="00C97B13" w:rsidP="00386ABA">
      <w:pPr>
        <w:pStyle w:val="EndnoteText"/>
        <w:jc w:val="both"/>
        <w:rPr>
          <w:rFonts w:ascii="Georgia" w:hAnsi="Georgia"/>
          <w:sz w:val="22"/>
          <w:szCs w:val="22"/>
        </w:rPr>
      </w:pPr>
      <w:r w:rsidRPr="00C97B13">
        <w:rPr>
          <w:rStyle w:val="EndnoteReference"/>
          <w:rFonts w:ascii="Georgia" w:hAnsi="Georgia"/>
          <w:sz w:val="22"/>
          <w:szCs w:val="22"/>
        </w:rPr>
        <w:endnoteRef/>
      </w:r>
      <w:r w:rsidRPr="00C97B13">
        <w:rPr>
          <w:rFonts w:ascii="Georgia" w:hAnsi="Georgia"/>
          <w:sz w:val="22"/>
          <w:szCs w:val="22"/>
        </w:rPr>
        <w:t xml:space="preserve"> Arthur Bradley, </w:t>
      </w:r>
      <w:r w:rsidRPr="00C97B13">
        <w:rPr>
          <w:rFonts w:ascii="Georgia" w:hAnsi="Georgia"/>
          <w:i/>
          <w:iCs/>
          <w:sz w:val="22"/>
          <w:szCs w:val="22"/>
        </w:rPr>
        <w:t>Unbearable Life: A Genealogy of Political Erasure</w:t>
      </w:r>
      <w:r w:rsidRPr="00C97B13">
        <w:rPr>
          <w:rFonts w:ascii="Georgia" w:hAnsi="Georgia"/>
          <w:sz w:val="22"/>
          <w:szCs w:val="22"/>
        </w:rPr>
        <w:t xml:space="preserve"> (New York: Columbia University Press, 2019), 10</w:t>
      </w:r>
      <w:r w:rsidR="00386ABA">
        <w:rPr>
          <w:rFonts w:ascii="Georgia" w:hAnsi="Georgia"/>
          <w:sz w:val="22"/>
          <w:szCs w:val="22"/>
        </w:rPr>
        <w:t>.</w:t>
      </w:r>
    </w:p>
  </w:endnote>
  <w:endnote w:id="4">
    <w:p w14:paraId="27C5E471" w14:textId="77777777" w:rsidR="002002DF" w:rsidRPr="00C97B13" w:rsidRDefault="002002DF" w:rsidP="00386ABA">
      <w:pPr>
        <w:pStyle w:val="EndnoteText"/>
        <w:jc w:val="both"/>
        <w:rPr>
          <w:rFonts w:ascii="Georgia" w:hAnsi="Georgia"/>
          <w:sz w:val="22"/>
          <w:szCs w:val="22"/>
        </w:rPr>
      </w:pPr>
      <w:r w:rsidRPr="00C97B13">
        <w:rPr>
          <w:rStyle w:val="EndnoteReference"/>
          <w:rFonts w:ascii="Georgia" w:hAnsi="Georgia"/>
          <w:sz w:val="22"/>
          <w:szCs w:val="22"/>
        </w:rPr>
        <w:endnoteRef/>
      </w:r>
      <w:r w:rsidRPr="00C97B13">
        <w:rPr>
          <w:rFonts w:ascii="Georgia" w:hAnsi="Georgia"/>
          <w:sz w:val="22"/>
          <w:szCs w:val="22"/>
        </w:rPr>
        <w:t xml:space="preserve"> Jacques Derrida, “</w:t>
      </w:r>
      <w:r w:rsidRPr="00C97B13">
        <w:rPr>
          <w:rFonts w:ascii="Georgia" w:hAnsi="Georgia"/>
          <w:i/>
          <w:iCs/>
          <w:sz w:val="22"/>
          <w:szCs w:val="22"/>
        </w:rPr>
        <w:t xml:space="preserve">Cogito </w:t>
      </w:r>
      <w:r w:rsidRPr="00C97B13">
        <w:rPr>
          <w:rFonts w:ascii="Georgia" w:hAnsi="Georgia"/>
          <w:sz w:val="22"/>
          <w:szCs w:val="22"/>
        </w:rPr>
        <w:t xml:space="preserve">and the History of Madness” in </w:t>
      </w:r>
      <w:r w:rsidRPr="00C97B13">
        <w:rPr>
          <w:rFonts w:ascii="Georgia" w:hAnsi="Georgia"/>
          <w:i/>
          <w:iCs/>
          <w:sz w:val="22"/>
          <w:szCs w:val="22"/>
        </w:rPr>
        <w:t>Writing and Difference</w:t>
      </w:r>
      <w:r w:rsidRPr="00C97B13">
        <w:rPr>
          <w:rFonts w:ascii="Georgia" w:hAnsi="Georgia"/>
          <w:sz w:val="22"/>
          <w:szCs w:val="22"/>
        </w:rPr>
        <w:t xml:space="preserve"> trans. by Alan Bass (London: Routledge and Kegan Paul, 1978).</w:t>
      </w:r>
    </w:p>
  </w:endnote>
  <w:endnote w:id="5">
    <w:p w14:paraId="40F036BC" w14:textId="56804E57" w:rsidR="004340A1" w:rsidRDefault="004340A1" w:rsidP="00386ABA">
      <w:pPr>
        <w:pStyle w:val="EndnoteText"/>
        <w:jc w:val="both"/>
      </w:pPr>
      <w:r>
        <w:rPr>
          <w:rStyle w:val="EndnoteReference"/>
        </w:rPr>
        <w:endnoteRef/>
      </w:r>
      <w:r>
        <w:t xml:space="preserve"> </w:t>
      </w:r>
      <w:r w:rsidRPr="00C97B13">
        <w:rPr>
          <w:rFonts w:ascii="Georgia" w:hAnsi="Georgia"/>
          <w:sz w:val="22"/>
          <w:szCs w:val="22"/>
        </w:rPr>
        <w:t>Jacques Derrida, “</w:t>
      </w:r>
      <w:r w:rsidRPr="00C97B13">
        <w:rPr>
          <w:rFonts w:ascii="Georgia" w:hAnsi="Georgia"/>
          <w:i/>
          <w:iCs/>
          <w:sz w:val="22"/>
          <w:szCs w:val="22"/>
        </w:rPr>
        <w:t xml:space="preserve">Cogito </w:t>
      </w:r>
      <w:r w:rsidRPr="00C97B13">
        <w:rPr>
          <w:rFonts w:ascii="Georgia" w:hAnsi="Georgia"/>
          <w:sz w:val="22"/>
          <w:szCs w:val="22"/>
        </w:rPr>
        <w:t>and the History of Madness</w:t>
      </w:r>
      <w:r>
        <w:rPr>
          <w:rFonts w:ascii="Georgia" w:hAnsi="Georgia"/>
          <w:sz w:val="22"/>
          <w:szCs w:val="22"/>
        </w:rPr>
        <w:t>,</w:t>
      </w:r>
      <w:r w:rsidRPr="00C97B13">
        <w:rPr>
          <w:rFonts w:ascii="Georgia" w:hAnsi="Georgia"/>
          <w:sz w:val="22"/>
          <w:szCs w:val="22"/>
        </w:rPr>
        <w:t>”</w:t>
      </w:r>
      <w:r>
        <w:rPr>
          <w:rFonts w:ascii="Georgia" w:hAnsi="Georgia"/>
          <w:sz w:val="22"/>
          <w:szCs w:val="22"/>
        </w:rPr>
        <w:t xml:space="preserve"> 49.</w:t>
      </w:r>
    </w:p>
  </w:endnote>
  <w:endnote w:id="6">
    <w:p w14:paraId="6DD9879C" w14:textId="77777777" w:rsidR="002002DF" w:rsidRPr="00C97B13" w:rsidRDefault="002002DF" w:rsidP="00386ABA">
      <w:pPr>
        <w:pStyle w:val="EndnoteText"/>
        <w:jc w:val="both"/>
        <w:rPr>
          <w:rFonts w:ascii="Georgia" w:hAnsi="Georgia"/>
          <w:sz w:val="22"/>
          <w:szCs w:val="22"/>
        </w:rPr>
      </w:pPr>
      <w:r w:rsidRPr="00C97B13">
        <w:rPr>
          <w:rStyle w:val="EndnoteReference"/>
          <w:rFonts w:ascii="Georgia" w:hAnsi="Georgia"/>
          <w:sz w:val="22"/>
          <w:szCs w:val="22"/>
        </w:rPr>
        <w:endnoteRef/>
      </w:r>
      <w:r w:rsidRPr="00C97B13">
        <w:rPr>
          <w:rFonts w:ascii="Georgia" w:hAnsi="Georgia"/>
          <w:sz w:val="22"/>
          <w:szCs w:val="22"/>
        </w:rPr>
        <w:t xml:space="preserve"> </w:t>
      </w:r>
      <w:r w:rsidRPr="00C97B13">
        <w:rPr>
          <w:rFonts w:ascii="Georgia" w:eastAsia="MS ??" w:hAnsi="Georgia"/>
          <w:sz w:val="22"/>
          <w:szCs w:val="22"/>
          <w:lang w:eastAsia="en-GB"/>
        </w:rPr>
        <w:t xml:space="preserve">Michel Foucault, </w:t>
      </w:r>
      <w:r w:rsidRPr="00C97B13">
        <w:rPr>
          <w:rFonts w:ascii="Georgia" w:eastAsia="MS ??" w:hAnsi="Georgia"/>
          <w:i/>
          <w:iCs/>
          <w:sz w:val="22"/>
          <w:szCs w:val="22"/>
          <w:lang w:eastAsia="en-GB"/>
        </w:rPr>
        <w:t>“Society Must Be Defended”: Lectures at the Collège de France, 1975–76</w:t>
      </w:r>
      <w:r w:rsidRPr="00C97B13">
        <w:rPr>
          <w:rFonts w:ascii="Georgia" w:eastAsia="MS ??" w:hAnsi="Georgia"/>
          <w:sz w:val="22"/>
          <w:szCs w:val="22"/>
          <w:lang w:eastAsia="en-GB"/>
        </w:rPr>
        <w:t xml:space="preserve">, trans. David Macey (New York: Picador, 2003), 240. </w:t>
      </w:r>
    </w:p>
  </w:endnote>
  <w:endnote w:id="7">
    <w:p w14:paraId="4D344D3A" w14:textId="03DB53B6" w:rsidR="002002DF" w:rsidRPr="00C97B13" w:rsidRDefault="002002DF" w:rsidP="00386ABA">
      <w:pPr>
        <w:pStyle w:val="EndnoteText"/>
        <w:jc w:val="both"/>
        <w:rPr>
          <w:rFonts w:ascii="Georgia" w:hAnsi="Georgia"/>
          <w:sz w:val="22"/>
          <w:szCs w:val="22"/>
        </w:rPr>
      </w:pPr>
      <w:r w:rsidRPr="00C97B13">
        <w:rPr>
          <w:rStyle w:val="EndnoteReference"/>
          <w:rFonts w:ascii="Georgia" w:hAnsi="Georgia"/>
          <w:sz w:val="22"/>
          <w:szCs w:val="22"/>
        </w:rPr>
        <w:endnoteRef/>
      </w:r>
      <w:r w:rsidRPr="00C97B13">
        <w:rPr>
          <w:rFonts w:ascii="Georgia" w:hAnsi="Georgia"/>
          <w:sz w:val="22"/>
          <w:szCs w:val="22"/>
        </w:rPr>
        <w:t xml:space="preserve"> </w:t>
      </w:r>
      <w:r w:rsidR="00C97B13" w:rsidRPr="00C97B13">
        <w:rPr>
          <w:rFonts w:ascii="Georgia" w:hAnsi="Georgia"/>
          <w:sz w:val="22"/>
          <w:szCs w:val="22"/>
        </w:rPr>
        <w:t xml:space="preserve">Bradley, </w:t>
      </w:r>
      <w:r w:rsidR="00C97B13" w:rsidRPr="00C97B13">
        <w:rPr>
          <w:rFonts w:ascii="Georgia" w:hAnsi="Georgia"/>
          <w:i/>
          <w:iCs/>
          <w:sz w:val="22"/>
          <w:szCs w:val="22"/>
        </w:rPr>
        <w:t xml:space="preserve">Unbearable </w:t>
      </w:r>
      <w:r w:rsidR="00C97B13" w:rsidRPr="00C97B13">
        <w:rPr>
          <w:rFonts w:ascii="Georgia" w:hAnsi="Georgia"/>
          <w:sz w:val="22"/>
          <w:szCs w:val="22"/>
        </w:rPr>
        <w:t xml:space="preserve">Life, 29. </w:t>
      </w:r>
      <w:r w:rsidRPr="00C97B13">
        <w:rPr>
          <w:rFonts w:ascii="Georgia" w:hAnsi="Georgia"/>
          <w:sz w:val="22"/>
          <w:szCs w:val="22"/>
        </w:rPr>
        <w:t>See also Arthur Bradley, “</w:t>
      </w:r>
      <w:r w:rsidRPr="00C97B13">
        <w:rPr>
          <w:rFonts w:ascii="Georgia" w:eastAsia="MS ??" w:hAnsi="Georgia" w:cs="Times New Roman"/>
          <w:i/>
          <w:sz w:val="22"/>
          <w:szCs w:val="22"/>
          <w:lang w:eastAsia="en-GB"/>
        </w:rPr>
        <w:t>Jus Puniendi</w:t>
      </w:r>
      <w:r w:rsidRPr="00C97B13">
        <w:rPr>
          <w:rFonts w:ascii="Georgia" w:eastAsia="MS ??" w:hAnsi="Georgia" w:cs="Times New Roman"/>
          <w:sz w:val="22"/>
          <w:szCs w:val="22"/>
          <w:lang w:eastAsia="en-GB"/>
        </w:rPr>
        <w:t xml:space="preserve">: La questione della pena in Foucault, Agamben ed Esposito” in </w:t>
      </w:r>
      <w:r w:rsidRPr="00C97B13">
        <w:rPr>
          <w:rFonts w:ascii="Georgia" w:eastAsia="MS ??" w:hAnsi="Georgia" w:cs="Times New Roman"/>
          <w:i/>
          <w:sz w:val="22"/>
          <w:szCs w:val="22"/>
          <w:lang w:eastAsia="en-GB"/>
        </w:rPr>
        <w:t>Teologie e politica</w:t>
      </w:r>
      <w:r w:rsidRPr="00C97B13">
        <w:rPr>
          <w:rFonts w:ascii="Georgia" w:eastAsia="MS ??" w:hAnsi="Georgia" w:cs="Times New Roman"/>
          <w:sz w:val="22"/>
          <w:szCs w:val="22"/>
          <w:lang w:eastAsia="en-GB"/>
        </w:rPr>
        <w:t xml:space="preserve">: </w:t>
      </w:r>
      <w:r w:rsidRPr="00C97B13">
        <w:rPr>
          <w:rFonts w:ascii="Georgia" w:eastAsia="MS ??" w:hAnsi="Georgia" w:cs="Times New Roman"/>
          <w:i/>
          <w:sz w:val="22"/>
          <w:szCs w:val="22"/>
          <w:lang w:eastAsia="en-GB"/>
        </w:rPr>
        <w:t>Genealogie e attualità</w:t>
      </w:r>
      <w:r w:rsidRPr="00C97B13">
        <w:rPr>
          <w:rFonts w:ascii="Georgia" w:eastAsia="MS ??" w:hAnsi="Georgia" w:cs="Times New Roman"/>
          <w:sz w:val="22"/>
          <w:szCs w:val="22"/>
          <w:lang w:eastAsia="en-GB"/>
        </w:rPr>
        <w:t xml:space="preserve"> ed. </w:t>
      </w:r>
      <w:r w:rsidRPr="00C97B13">
        <w:rPr>
          <w:rFonts w:ascii="Georgia" w:hAnsi="Georgia"/>
          <w:sz w:val="22"/>
          <w:szCs w:val="22"/>
        </w:rPr>
        <w:t xml:space="preserve">by </w:t>
      </w:r>
      <w:r w:rsidRPr="00C97B13">
        <w:rPr>
          <w:rFonts w:ascii="Georgia" w:eastAsia="MS ??" w:hAnsi="Georgia" w:cs="Times New Roman"/>
          <w:sz w:val="22"/>
          <w:szCs w:val="22"/>
          <w:lang w:eastAsia="en-GB"/>
        </w:rPr>
        <w:t>Elettra Stimilli (Roma: Quodlibet, 2019), pp. 105-26.</w:t>
      </w:r>
    </w:p>
  </w:endnote>
  <w:endnote w:id="8">
    <w:p w14:paraId="36AE44D0" w14:textId="1448FB43" w:rsidR="00C97B13" w:rsidRPr="00C97B13" w:rsidRDefault="00C97B13" w:rsidP="00386ABA">
      <w:pPr>
        <w:pStyle w:val="EndnoteText"/>
        <w:jc w:val="both"/>
        <w:rPr>
          <w:rFonts w:ascii="Georgia" w:hAnsi="Georgia"/>
          <w:sz w:val="22"/>
          <w:szCs w:val="22"/>
        </w:rPr>
      </w:pPr>
      <w:r w:rsidRPr="00C97B13">
        <w:rPr>
          <w:rStyle w:val="EndnoteReference"/>
          <w:rFonts w:ascii="Georgia" w:hAnsi="Georgia"/>
          <w:sz w:val="22"/>
          <w:szCs w:val="22"/>
        </w:rPr>
        <w:endnoteRef/>
      </w:r>
      <w:r w:rsidRPr="00C97B13">
        <w:rPr>
          <w:rFonts w:ascii="Georgia" w:hAnsi="Georgia"/>
          <w:sz w:val="22"/>
          <w:szCs w:val="22"/>
        </w:rPr>
        <w:t xml:space="preserve"> Bradley, </w:t>
      </w:r>
      <w:r w:rsidRPr="00E97129">
        <w:rPr>
          <w:rFonts w:ascii="Georgia" w:hAnsi="Georgia"/>
          <w:i/>
          <w:iCs/>
          <w:sz w:val="22"/>
          <w:szCs w:val="22"/>
        </w:rPr>
        <w:t>Unbearable Life</w:t>
      </w:r>
      <w:r w:rsidRPr="00C97B13">
        <w:rPr>
          <w:rFonts w:ascii="Georgia" w:hAnsi="Georgia"/>
          <w:sz w:val="22"/>
          <w:szCs w:val="22"/>
        </w:rPr>
        <w:t>, 44.</w:t>
      </w:r>
    </w:p>
  </w:endnote>
  <w:endnote w:id="9">
    <w:p w14:paraId="3D9D4581" w14:textId="07C01DBB" w:rsidR="00C97B13" w:rsidRPr="00C97B13" w:rsidRDefault="00C97B13" w:rsidP="00386ABA">
      <w:pPr>
        <w:pStyle w:val="EndnoteText"/>
        <w:jc w:val="both"/>
        <w:rPr>
          <w:rFonts w:ascii="Georgia" w:hAnsi="Georgia"/>
          <w:sz w:val="22"/>
          <w:szCs w:val="22"/>
        </w:rPr>
      </w:pPr>
      <w:r w:rsidRPr="00C97B13">
        <w:rPr>
          <w:rStyle w:val="EndnoteReference"/>
          <w:rFonts w:ascii="Georgia" w:hAnsi="Georgia"/>
          <w:sz w:val="22"/>
          <w:szCs w:val="22"/>
        </w:rPr>
        <w:endnoteRef/>
      </w:r>
      <w:r w:rsidRPr="00C97B13">
        <w:rPr>
          <w:rFonts w:ascii="Georgia" w:hAnsi="Georgia"/>
          <w:sz w:val="22"/>
          <w:szCs w:val="22"/>
        </w:rPr>
        <w:t xml:space="preserve"> Bradley, </w:t>
      </w:r>
      <w:r w:rsidRPr="00386ABA">
        <w:rPr>
          <w:rFonts w:ascii="Georgia" w:hAnsi="Georgia"/>
          <w:i/>
          <w:iCs/>
          <w:sz w:val="22"/>
          <w:szCs w:val="22"/>
        </w:rPr>
        <w:t>Unbearable Life</w:t>
      </w:r>
      <w:r w:rsidRPr="00C97B13">
        <w:rPr>
          <w:rFonts w:ascii="Georgia" w:hAnsi="Georgia"/>
          <w:sz w:val="22"/>
          <w:szCs w:val="22"/>
        </w:rPr>
        <w:t>, 44.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
    <w:altName w:val="MS Mincho"/>
    <w:panose1 w:val="020B0604020202020204"/>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FF5D" w14:textId="77777777" w:rsidR="00C93633" w:rsidRDefault="00C93633" w:rsidP="002002DF">
      <w:r>
        <w:separator/>
      </w:r>
    </w:p>
  </w:footnote>
  <w:footnote w:type="continuationSeparator" w:id="0">
    <w:p w14:paraId="0FFC7A05" w14:textId="77777777" w:rsidR="00C93633" w:rsidRDefault="00C93633" w:rsidP="00200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DF"/>
    <w:rsid w:val="00010B45"/>
    <w:rsid w:val="0001372F"/>
    <w:rsid w:val="000366F6"/>
    <w:rsid w:val="000F0155"/>
    <w:rsid w:val="00145642"/>
    <w:rsid w:val="00170752"/>
    <w:rsid w:val="001A269B"/>
    <w:rsid w:val="002002DF"/>
    <w:rsid w:val="0024443B"/>
    <w:rsid w:val="002C7BB6"/>
    <w:rsid w:val="00322DE5"/>
    <w:rsid w:val="00386ABA"/>
    <w:rsid w:val="00407361"/>
    <w:rsid w:val="004340A1"/>
    <w:rsid w:val="004A2B34"/>
    <w:rsid w:val="004F7843"/>
    <w:rsid w:val="0056430D"/>
    <w:rsid w:val="005A51E3"/>
    <w:rsid w:val="005D11BA"/>
    <w:rsid w:val="00672F1D"/>
    <w:rsid w:val="00721ED8"/>
    <w:rsid w:val="007750A3"/>
    <w:rsid w:val="00794DF3"/>
    <w:rsid w:val="007A1F07"/>
    <w:rsid w:val="00843CD0"/>
    <w:rsid w:val="00896B01"/>
    <w:rsid w:val="008B0990"/>
    <w:rsid w:val="008B2ABB"/>
    <w:rsid w:val="00931C8D"/>
    <w:rsid w:val="00940BF0"/>
    <w:rsid w:val="009A3863"/>
    <w:rsid w:val="009A7F73"/>
    <w:rsid w:val="00A93A3E"/>
    <w:rsid w:val="00B50ED4"/>
    <w:rsid w:val="00BC340F"/>
    <w:rsid w:val="00BD5DCF"/>
    <w:rsid w:val="00BE6294"/>
    <w:rsid w:val="00C30653"/>
    <w:rsid w:val="00C3264F"/>
    <w:rsid w:val="00C93633"/>
    <w:rsid w:val="00C97B13"/>
    <w:rsid w:val="00D42979"/>
    <w:rsid w:val="00D67FF3"/>
    <w:rsid w:val="00D83815"/>
    <w:rsid w:val="00DE4897"/>
    <w:rsid w:val="00DF1D0E"/>
    <w:rsid w:val="00DF294D"/>
    <w:rsid w:val="00E77869"/>
    <w:rsid w:val="00E97129"/>
    <w:rsid w:val="00EB5D7A"/>
    <w:rsid w:val="00ED5D9F"/>
    <w:rsid w:val="00F142D2"/>
    <w:rsid w:val="00F1494E"/>
    <w:rsid w:val="00F21AE2"/>
    <w:rsid w:val="00FC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001167"/>
  <w15:chartTrackingRefBased/>
  <w15:docId w15:val="{E0E464D8-D716-E049-976C-4FE674AC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002DF"/>
    <w:rPr>
      <w:sz w:val="20"/>
      <w:szCs w:val="20"/>
    </w:rPr>
  </w:style>
  <w:style w:type="character" w:customStyle="1" w:styleId="EndnoteTextChar">
    <w:name w:val="Endnote Text Char"/>
    <w:basedOn w:val="DefaultParagraphFont"/>
    <w:link w:val="EndnoteText"/>
    <w:uiPriority w:val="99"/>
    <w:semiHidden/>
    <w:rsid w:val="002002DF"/>
    <w:rPr>
      <w:sz w:val="20"/>
      <w:szCs w:val="20"/>
    </w:rPr>
  </w:style>
  <w:style w:type="character" w:styleId="EndnoteReference">
    <w:name w:val="endnote reference"/>
    <w:basedOn w:val="DefaultParagraphFont"/>
    <w:uiPriority w:val="99"/>
    <w:rsid w:val="002002DF"/>
    <w:rPr>
      <w:rFonts w:cs="Times New Roman"/>
      <w:vertAlign w:val="superscript"/>
    </w:rPr>
  </w:style>
  <w:style w:type="paragraph" w:styleId="NormalWeb">
    <w:name w:val="Normal (Web)"/>
    <w:basedOn w:val="Normal"/>
    <w:uiPriority w:val="99"/>
    <w:unhideWhenUsed/>
    <w:rsid w:val="00D67FF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49418">
      <w:bodyDiv w:val="1"/>
      <w:marLeft w:val="0"/>
      <w:marRight w:val="0"/>
      <w:marTop w:val="0"/>
      <w:marBottom w:val="0"/>
      <w:divBdr>
        <w:top w:val="none" w:sz="0" w:space="0" w:color="auto"/>
        <w:left w:val="none" w:sz="0" w:space="0" w:color="auto"/>
        <w:bottom w:val="none" w:sz="0" w:space="0" w:color="auto"/>
        <w:right w:val="none" w:sz="0" w:space="0" w:color="auto"/>
      </w:divBdr>
      <w:divsChild>
        <w:div w:id="344719540">
          <w:marLeft w:val="0"/>
          <w:marRight w:val="0"/>
          <w:marTop w:val="0"/>
          <w:marBottom w:val="0"/>
          <w:divBdr>
            <w:top w:val="none" w:sz="0" w:space="0" w:color="auto"/>
            <w:left w:val="none" w:sz="0" w:space="0" w:color="auto"/>
            <w:bottom w:val="none" w:sz="0" w:space="0" w:color="auto"/>
            <w:right w:val="none" w:sz="0" w:space="0" w:color="auto"/>
          </w:divBdr>
          <w:divsChild>
            <w:div w:id="1198161813">
              <w:marLeft w:val="0"/>
              <w:marRight w:val="0"/>
              <w:marTop w:val="0"/>
              <w:marBottom w:val="0"/>
              <w:divBdr>
                <w:top w:val="none" w:sz="0" w:space="0" w:color="auto"/>
                <w:left w:val="none" w:sz="0" w:space="0" w:color="auto"/>
                <w:bottom w:val="none" w:sz="0" w:space="0" w:color="auto"/>
                <w:right w:val="none" w:sz="0" w:space="0" w:color="auto"/>
              </w:divBdr>
              <w:divsChild>
                <w:div w:id="13236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30570">
      <w:bodyDiv w:val="1"/>
      <w:marLeft w:val="0"/>
      <w:marRight w:val="0"/>
      <w:marTop w:val="0"/>
      <w:marBottom w:val="0"/>
      <w:divBdr>
        <w:top w:val="none" w:sz="0" w:space="0" w:color="auto"/>
        <w:left w:val="none" w:sz="0" w:space="0" w:color="auto"/>
        <w:bottom w:val="none" w:sz="0" w:space="0" w:color="auto"/>
        <w:right w:val="none" w:sz="0" w:space="0" w:color="auto"/>
      </w:divBdr>
      <w:divsChild>
        <w:div w:id="1002784187">
          <w:marLeft w:val="0"/>
          <w:marRight w:val="0"/>
          <w:marTop w:val="0"/>
          <w:marBottom w:val="0"/>
          <w:divBdr>
            <w:top w:val="none" w:sz="0" w:space="0" w:color="auto"/>
            <w:left w:val="none" w:sz="0" w:space="0" w:color="auto"/>
            <w:bottom w:val="none" w:sz="0" w:space="0" w:color="auto"/>
            <w:right w:val="none" w:sz="0" w:space="0" w:color="auto"/>
          </w:divBdr>
          <w:divsChild>
            <w:div w:id="301009762">
              <w:marLeft w:val="0"/>
              <w:marRight w:val="0"/>
              <w:marTop w:val="0"/>
              <w:marBottom w:val="0"/>
              <w:divBdr>
                <w:top w:val="none" w:sz="0" w:space="0" w:color="auto"/>
                <w:left w:val="none" w:sz="0" w:space="0" w:color="auto"/>
                <w:bottom w:val="none" w:sz="0" w:space="0" w:color="auto"/>
                <w:right w:val="none" w:sz="0" w:space="0" w:color="auto"/>
              </w:divBdr>
              <w:divsChild>
                <w:div w:id="10055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6617">
      <w:bodyDiv w:val="1"/>
      <w:marLeft w:val="0"/>
      <w:marRight w:val="0"/>
      <w:marTop w:val="0"/>
      <w:marBottom w:val="0"/>
      <w:divBdr>
        <w:top w:val="none" w:sz="0" w:space="0" w:color="auto"/>
        <w:left w:val="none" w:sz="0" w:space="0" w:color="auto"/>
        <w:bottom w:val="none" w:sz="0" w:space="0" w:color="auto"/>
        <w:right w:val="none" w:sz="0" w:space="0" w:color="auto"/>
      </w:divBdr>
      <w:divsChild>
        <w:div w:id="1450273891">
          <w:marLeft w:val="0"/>
          <w:marRight w:val="0"/>
          <w:marTop w:val="0"/>
          <w:marBottom w:val="0"/>
          <w:divBdr>
            <w:top w:val="none" w:sz="0" w:space="0" w:color="auto"/>
            <w:left w:val="none" w:sz="0" w:space="0" w:color="auto"/>
            <w:bottom w:val="none" w:sz="0" w:space="0" w:color="auto"/>
            <w:right w:val="none" w:sz="0" w:space="0" w:color="auto"/>
          </w:divBdr>
          <w:divsChild>
            <w:div w:id="1733892994">
              <w:marLeft w:val="0"/>
              <w:marRight w:val="0"/>
              <w:marTop w:val="0"/>
              <w:marBottom w:val="0"/>
              <w:divBdr>
                <w:top w:val="none" w:sz="0" w:space="0" w:color="auto"/>
                <w:left w:val="none" w:sz="0" w:space="0" w:color="auto"/>
                <w:bottom w:val="none" w:sz="0" w:space="0" w:color="auto"/>
                <w:right w:val="none" w:sz="0" w:space="0" w:color="auto"/>
              </w:divBdr>
              <w:divsChild>
                <w:div w:id="9080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91755">
      <w:bodyDiv w:val="1"/>
      <w:marLeft w:val="0"/>
      <w:marRight w:val="0"/>
      <w:marTop w:val="0"/>
      <w:marBottom w:val="0"/>
      <w:divBdr>
        <w:top w:val="none" w:sz="0" w:space="0" w:color="auto"/>
        <w:left w:val="none" w:sz="0" w:space="0" w:color="auto"/>
        <w:bottom w:val="none" w:sz="0" w:space="0" w:color="auto"/>
        <w:right w:val="none" w:sz="0" w:space="0" w:color="auto"/>
      </w:divBdr>
      <w:divsChild>
        <w:div w:id="1586376713">
          <w:marLeft w:val="0"/>
          <w:marRight w:val="0"/>
          <w:marTop w:val="0"/>
          <w:marBottom w:val="0"/>
          <w:divBdr>
            <w:top w:val="none" w:sz="0" w:space="0" w:color="auto"/>
            <w:left w:val="none" w:sz="0" w:space="0" w:color="auto"/>
            <w:bottom w:val="none" w:sz="0" w:space="0" w:color="auto"/>
            <w:right w:val="none" w:sz="0" w:space="0" w:color="auto"/>
          </w:divBdr>
          <w:divsChild>
            <w:div w:id="21515071">
              <w:marLeft w:val="0"/>
              <w:marRight w:val="0"/>
              <w:marTop w:val="0"/>
              <w:marBottom w:val="0"/>
              <w:divBdr>
                <w:top w:val="none" w:sz="0" w:space="0" w:color="auto"/>
                <w:left w:val="none" w:sz="0" w:space="0" w:color="auto"/>
                <w:bottom w:val="none" w:sz="0" w:space="0" w:color="auto"/>
                <w:right w:val="none" w:sz="0" w:space="0" w:color="auto"/>
              </w:divBdr>
              <w:divsChild>
                <w:div w:id="8019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32375">
      <w:bodyDiv w:val="1"/>
      <w:marLeft w:val="0"/>
      <w:marRight w:val="0"/>
      <w:marTop w:val="0"/>
      <w:marBottom w:val="0"/>
      <w:divBdr>
        <w:top w:val="none" w:sz="0" w:space="0" w:color="auto"/>
        <w:left w:val="none" w:sz="0" w:space="0" w:color="auto"/>
        <w:bottom w:val="none" w:sz="0" w:space="0" w:color="auto"/>
        <w:right w:val="none" w:sz="0" w:space="0" w:color="auto"/>
      </w:divBdr>
      <w:divsChild>
        <w:div w:id="1562592827">
          <w:marLeft w:val="0"/>
          <w:marRight w:val="0"/>
          <w:marTop w:val="0"/>
          <w:marBottom w:val="0"/>
          <w:divBdr>
            <w:top w:val="none" w:sz="0" w:space="0" w:color="auto"/>
            <w:left w:val="none" w:sz="0" w:space="0" w:color="auto"/>
            <w:bottom w:val="none" w:sz="0" w:space="0" w:color="auto"/>
            <w:right w:val="none" w:sz="0" w:space="0" w:color="auto"/>
          </w:divBdr>
          <w:divsChild>
            <w:div w:id="191769709">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0000">
      <w:bodyDiv w:val="1"/>
      <w:marLeft w:val="0"/>
      <w:marRight w:val="0"/>
      <w:marTop w:val="0"/>
      <w:marBottom w:val="0"/>
      <w:divBdr>
        <w:top w:val="none" w:sz="0" w:space="0" w:color="auto"/>
        <w:left w:val="none" w:sz="0" w:space="0" w:color="auto"/>
        <w:bottom w:val="none" w:sz="0" w:space="0" w:color="auto"/>
        <w:right w:val="none" w:sz="0" w:space="0" w:color="auto"/>
      </w:divBdr>
      <w:divsChild>
        <w:div w:id="1985968106">
          <w:marLeft w:val="0"/>
          <w:marRight w:val="0"/>
          <w:marTop w:val="0"/>
          <w:marBottom w:val="0"/>
          <w:divBdr>
            <w:top w:val="none" w:sz="0" w:space="0" w:color="auto"/>
            <w:left w:val="none" w:sz="0" w:space="0" w:color="auto"/>
            <w:bottom w:val="none" w:sz="0" w:space="0" w:color="auto"/>
            <w:right w:val="none" w:sz="0" w:space="0" w:color="auto"/>
          </w:divBdr>
          <w:divsChild>
            <w:div w:id="728311600">
              <w:marLeft w:val="0"/>
              <w:marRight w:val="0"/>
              <w:marTop w:val="0"/>
              <w:marBottom w:val="0"/>
              <w:divBdr>
                <w:top w:val="none" w:sz="0" w:space="0" w:color="auto"/>
                <w:left w:val="none" w:sz="0" w:space="0" w:color="auto"/>
                <w:bottom w:val="none" w:sz="0" w:space="0" w:color="auto"/>
                <w:right w:val="none" w:sz="0" w:space="0" w:color="auto"/>
              </w:divBdr>
              <w:divsChild>
                <w:div w:id="1283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49703">
      <w:bodyDiv w:val="1"/>
      <w:marLeft w:val="0"/>
      <w:marRight w:val="0"/>
      <w:marTop w:val="0"/>
      <w:marBottom w:val="0"/>
      <w:divBdr>
        <w:top w:val="none" w:sz="0" w:space="0" w:color="auto"/>
        <w:left w:val="none" w:sz="0" w:space="0" w:color="auto"/>
        <w:bottom w:val="none" w:sz="0" w:space="0" w:color="auto"/>
        <w:right w:val="none" w:sz="0" w:space="0" w:color="auto"/>
      </w:divBdr>
      <w:divsChild>
        <w:div w:id="1600405345">
          <w:marLeft w:val="0"/>
          <w:marRight w:val="0"/>
          <w:marTop w:val="0"/>
          <w:marBottom w:val="0"/>
          <w:divBdr>
            <w:top w:val="none" w:sz="0" w:space="0" w:color="auto"/>
            <w:left w:val="none" w:sz="0" w:space="0" w:color="auto"/>
            <w:bottom w:val="none" w:sz="0" w:space="0" w:color="auto"/>
            <w:right w:val="none" w:sz="0" w:space="0" w:color="auto"/>
          </w:divBdr>
          <w:divsChild>
            <w:div w:id="1643071212">
              <w:marLeft w:val="0"/>
              <w:marRight w:val="0"/>
              <w:marTop w:val="0"/>
              <w:marBottom w:val="0"/>
              <w:divBdr>
                <w:top w:val="none" w:sz="0" w:space="0" w:color="auto"/>
                <w:left w:val="none" w:sz="0" w:space="0" w:color="auto"/>
                <w:bottom w:val="none" w:sz="0" w:space="0" w:color="auto"/>
                <w:right w:val="none" w:sz="0" w:space="0" w:color="auto"/>
              </w:divBdr>
              <w:divsChild>
                <w:div w:id="20248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641">
      <w:bodyDiv w:val="1"/>
      <w:marLeft w:val="0"/>
      <w:marRight w:val="0"/>
      <w:marTop w:val="0"/>
      <w:marBottom w:val="0"/>
      <w:divBdr>
        <w:top w:val="none" w:sz="0" w:space="0" w:color="auto"/>
        <w:left w:val="none" w:sz="0" w:space="0" w:color="auto"/>
        <w:bottom w:val="none" w:sz="0" w:space="0" w:color="auto"/>
        <w:right w:val="none" w:sz="0" w:space="0" w:color="auto"/>
      </w:divBdr>
      <w:divsChild>
        <w:div w:id="297414342">
          <w:marLeft w:val="0"/>
          <w:marRight w:val="0"/>
          <w:marTop w:val="0"/>
          <w:marBottom w:val="0"/>
          <w:divBdr>
            <w:top w:val="none" w:sz="0" w:space="0" w:color="auto"/>
            <w:left w:val="none" w:sz="0" w:space="0" w:color="auto"/>
            <w:bottom w:val="none" w:sz="0" w:space="0" w:color="auto"/>
            <w:right w:val="none" w:sz="0" w:space="0" w:color="auto"/>
          </w:divBdr>
          <w:divsChild>
            <w:div w:id="1197039770">
              <w:marLeft w:val="0"/>
              <w:marRight w:val="0"/>
              <w:marTop w:val="0"/>
              <w:marBottom w:val="0"/>
              <w:divBdr>
                <w:top w:val="none" w:sz="0" w:space="0" w:color="auto"/>
                <w:left w:val="none" w:sz="0" w:space="0" w:color="auto"/>
                <w:bottom w:val="none" w:sz="0" w:space="0" w:color="auto"/>
                <w:right w:val="none" w:sz="0" w:space="0" w:color="auto"/>
              </w:divBdr>
              <w:divsChild>
                <w:div w:id="11069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Arthur</dc:creator>
  <cp:keywords/>
  <dc:description/>
  <cp:lastModifiedBy>Bradley, Arthur</cp:lastModifiedBy>
  <cp:revision>5</cp:revision>
  <dcterms:created xsi:type="dcterms:W3CDTF">2022-09-14T07:02:00Z</dcterms:created>
  <dcterms:modified xsi:type="dcterms:W3CDTF">2022-09-16T07:14:00Z</dcterms:modified>
</cp:coreProperties>
</file>