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AD72" w14:textId="533D1271" w:rsidR="00D61C7E" w:rsidRPr="00CD64D9" w:rsidRDefault="00D61C7E" w:rsidP="00B277D3">
      <w:pPr>
        <w:pStyle w:val="NoSpacing"/>
        <w:jc w:val="both"/>
        <w:rPr>
          <w:sz w:val="36"/>
          <w:szCs w:val="36"/>
        </w:rPr>
      </w:pPr>
      <w:r w:rsidRPr="00CD64D9">
        <w:rPr>
          <w:sz w:val="36"/>
          <w:szCs w:val="36"/>
        </w:rPr>
        <w:t xml:space="preserve">A compartmental modelling methodology to support </w:t>
      </w:r>
      <w:r w:rsidR="00441F2F" w:rsidRPr="00CD64D9">
        <w:rPr>
          <w:sz w:val="36"/>
          <w:szCs w:val="36"/>
        </w:rPr>
        <w:t xml:space="preserve">strategic </w:t>
      </w:r>
      <w:r w:rsidRPr="00CD64D9">
        <w:rPr>
          <w:sz w:val="36"/>
          <w:szCs w:val="36"/>
        </w:rPr>
        <w:t xml:space="preserve">decision making </w:t>
      </w:r>
      <w:r w:rsidR="00441F2F" w:rsidRPr="00CD64D9">
        <w:rPr>
          <w:sz w:val="36"/>
          <w:szCs w:val="36"/>
        </w:rPr>
        <w:t>for</w:t>
      </w:r>
      <w:r w:rsidRPr="00CD64D9">
        <w:rPr>
          <w:sz w:val="36"/>
          <w:szCs w:val="36"/>
        </w:rPr>
        <w:t xml:space="preserve"> manag</w:t>
      </w:r>
      <w:r w:rsidR="00441F2F" w:rsidRPr="00CD64D9">
        <w:rPr>
          <w:sz w:val="36"/>
          <w:szCs w:val="36"/>
        </w:rPr>
        <w:t>ing</w:t>
      </w:r>
      <w:r w:rsidRPr="00CD64D9">
        <w:rPr>
          <w:sz w:val="36"/>
          <w:szCs w:val="36"/>
        </w:rPr>
        <w:t xml:space="preserve"> </w:t>
      </w:r>
      <w:r w:rsidR="00441F2F" w:rsidRPr="00CD64D9">
        <w:rPr>
          <w:sz w:val="36"/>
          <w:szCs w:val="36"/>
        </w:rPr>
        <w:t xml:space="preserve">the </w:t>
      </w:r>
      <w:r w:rsidR="009F268A" w:rsidRPr="00CD64D9">
        <w:rPr>
          <w:sz w:val="36"/>
          <w:szCs w:val="36"/>
        </w:rPr>
        <w:t xml:space="preserve">elective </w:t>
      </w:r>
      <w:r w:rsidRPr="00CD64D9">
        <w:rPr>
          <w:sz w:val="36"/>
          <w:szCs w:val="36"/>
        </w:rPr>
        <w:t>hospital waiting list; application in England</w:t>
      </w:r>
      <w:r w:rsidR="005F6162" w:rsidRPr="00CD64D9">
        <w:rPr>
          <w:sz w:val="36"/>
          <w:szCs w:val="36"/>
        </w:rPr>
        <w:t>’s NHS</w:t>
      </w:r>
    </w:p>
    <w:p w14:paraId="6DCE9C7A" w14:textId="77777777" w:rsidR="003B2967" w:rsidRPr="00CD64D9" w:rsidRDefault="003B2967" w:rsidP="00B277D3">
      <w:pPr>
        <w:jc w:val="both"/>
      </w:pPr>
    </w:p>
    <w:p w14:paraId="2084B4A4" w14:textId="77777777" w:rsidR="00D61C7E" w:rsidRPr="00CD64D9" w:rsidRDefault="00D61C7E" w:rsidP="00B277D3">
      <w:pPr>
        <w:jc w:val="both"/>
      </w:pPr>
    </w:p>
    <w:p w14:paraId="3B136EA3" w14:textId="77777777" w:rsidR="009F268A" w:rsidRPr="00CD64D9" w:rsidRDefault="009F268A" w:rsidP="00B277D3">
      <w:pPr>
        <w:jc w:val="center"/>
      </w:pPr>
    </w:p>
    <w:p w14:paraId="2E84156C" w14:textId="77777777" w:rsidR="003D713A" w:rsidRPr="00CD64D9" w:rsidRDefault="003D713A" w:rsidP="00B277D3">
      <w:pPr>
        <w:jc w:val="center"/>
      </w:pPr>
    </w:p>
    <w:p w14:paraId="62934FF0" w14:textId="77777777" w:rsidR="00B277D3" w:rsidRPr="00CD64D9" w:rsidRDefault="00B277D3" w:rsidP="00B277D3">
      <w:pPr>
        <w:jc w:val="center"/>
      </w:pPr>
    </w:p>
    <w:p w14:paraId="570A6154" w14:textId="77777777" w:rsidR="00B277D3" w:rsidRPr="00CD64D9" w:rsidRDefault="00B277D3" w:rsidP="00B277D3">
      <w:pPr>
        <w:jc w:val="center"/>
      </w:pPr>
    </w:p>
    <w:p w14:paraId="1AC9F2BC" w14:textId="77777777" w:rsidR="005D4A25" w:rsidRPr="00CD64D9" w:rsidRDefault="005D4A25" w:rsidP="00B277D3">
      <w:pPr>
        <w:jc w:val="center"/>
      </w:pPr>
    </w:p>
    <w:p w14:paraId="3AB22772" w14:textId="55D047ED" w:rsidR="005D4A25" w:rsidRPr="00CD64D9" w:rsidRDefault="005D4A25" w:rsidP="00B277D3">
      <w:pPr>
        <w:jc w:val="center"/>
        <w:rPr>
          <w:b/>
          <w:bCs/>
        </w:rPr>
      </w:pPr>
      <w:r w:rsidRPr="00CD64D9">
        <w:rPr>
          <w:b/>
          <w:bCs/>
        </w:rPr>
        <w:t>Abstract</w:t>
      </w:r>
    </w:p>
    <w:p w14:paraId="672FEA28" w14:textId="77777777" w:rsidR="003D713A" w:rsidRPr="00CD64D9" w:rsidRDefault="003D713A" w:rsidP="00B277D3">
      <w:pPr>
        <w:jc w:val="center"/>
        <w:rPr>
          <w:b/>
          <w:bCs/>
        </w:rPr>
      </w:pPr>
    </w:p>
    <w:p w14:paraId="09FF173E" w14:textId="206CC346" w:rsidR="00CE4E7C" w:rsidRPr="00CD64D9" w:rsidRDefault="00EA4D0E" w:rsidP="00B277D3">
      <w:pPr>
        <w:jc w:val="both"/>
      </w:pPr>
      <w:r w:rsidRPr="00CD64D9">
        <w:t>W</w:t>
      </w:r>
      <w:r w:rsidR="00CE4E7C" w:rsidRPr="00CD64D9">
        <w:t>aiting list</w:t>
      </w:r>
      <w:r w:rsidRPr="00CD64D9">
        <w:t xml:space="preserve"> models</w:t>
      </w:r>
      <w:r w:rsidR="00CE4E7C" w:rsidRPr="00CD64D9">
        <w:t xml:space="preserve"> </w:t>
      </w:r>
      <w:r w:rsidRPr="00CD64D9">
        <w:t>can support improved</w:t>
      </w:r>
      <w:r w:rsidR="000E71DA" w:rsidRPr="00CD64D9">
        <w:t xml:space="preserve"> strategic</w:t>
      </w:r>
      <w:r w:rsidRPr="00CD64D9">
        <w:t xml:space="preserve"> management of elective hospital care through estimati</w:t>
      </w:r>
      <w:r w:rsidR="00414C73" w:rsidRPr="00CD64D9">
        <w:t>ng</w:t>
      </w:r>
      <w:r w:rsidRPr="00CD64D9">
        <w:t xml:space="preserve"> possible performance impacts resulting from </w:t>
      </w:r>
      <w:r w:rsidR="00414C73" w:rsidRPr="00CD64D9">
        <w:t xml:space="preserve">different demand and capacity </w:t>
      </w:r>
      <w:r w:rsidR="003B4B1C" w:rsidRPr="00CD64D9">
        <w:t xml:space="preserve">related </w:t>
      </w:r>
      <w:r w:rsidR="005F6162" w:rsidRPr="00CD64D9">
        <w:t>interventions</w:t>
      </w:r>
      <w:r w:rsidR="00414C73" w:rsidRPr="00CD64D9">
        <w:t>.</w:t>
      </w:r>
      <w:r w:rsidR="003B4B1C" w:rsidRPr="00CD64D9">
        <w:t xml:space="preserve"> Single-compartment models have previously been used to model the referral ‘inflow’ and treatment ‘outflow’ onto a waiting list, with some also considering </w:t>
      </w:r>
      <w:r w:rsidR="000E71DA" w:rsidRPr="00CD64D9">
        <w:t xml:space="preserve">the outflow of patients </w:t>
      </w:r>
      <w:r w:rsidR="003B4B1C" w:rsidRPr="00CD64D9">
        <w:t>reneging</w:t>
      </w:r>
      <w:r w:rsidR="000E71DA" w:rsidRPr="00CD64D9">
        <w:t xml:space="preserve"> from the waiting list before treatment. The conceptual simplicity of these models promotes scalability through aligning to various waiting list problems and routine data sources. However, these single-compartment models are only able to model waiting list size, and not waiting times. To </w:t>
      </w:r>
      <w:r w:rsidR="009613EF" w:rsidRPr="00CD64D9">
        <w:t>address</w:t>
      </w:r>
      <w:r w:rsidR="000E71DA" w:rsidRPr="00CD64D9">
        <w:t xml:space="preserve"> this, we extend the single-compartment model</w:t>
      </w:r>
      <w:r w:rsidR="005F6162" w:rsidRPr="00CD64D9">
        <w:t xml:space="preserve"> with reneging</w:t>
      </w:r>
      <w:r w:rsidR="000E71DA" w:rsidRPr="00CD64D9">
        <w:t xml:space="preserve"> to </w:t>
      </w:r>
      <w:r w:rsidR="008B478C" w:rsidRPr="00CD64D9">
        <w:t xml:space="preserve">consider </w:t>
      </w:r>
      <w:r w:rsidR="000E71DA" w:rsidRPr="00CD64D9">
        <w:t xml:space="preserve">a multi-compartment model, where each compartment represents the number of individuals awaiting treatment for </w:t>
      </w:r>
      <w:r w:rsidR="005F6162" w:rsidRPr="00CD64D9">
        <w:t>progressively longer</w:t>
      </w:r>
      <w:r w:rsidR="000E71DA" w:rsidRPr="00CD64D9">
        <w:t xml:space="preserve"> period</w:t>
      </w:r>
      <w:r w:rsidR="005F6162" w:rsidRPr="00CD64D9">
        <w:t>s</w:t>
      </w:r>
      <w:r w:rsidR="000E71DA" w:rsidRPr="00CD64D9">
        <w:t xml:space="preserve"> of time. </w:t>
      </w:r>
      <w:r w:rsidR="009613EF" w:rsidRPr="00CD64D9">
        <w:t>This problem is formulated in discrete time and solved through a series of difference equations.</w:t>
      </w:r>
      <w:r w:rsidR="00600C26" w:rsidRPr="00CD64D9">
        <w:t xml:space="preserve"> Open-source code </w:t>
      </w:r>
      <w:r w:rsidR="008B478C" w:rsidRPr="00CD64D9">
        <w:t xml:space="preserve">for implementing the model </w:t>
      </w:r>
      <w:r w:rsidR="00600C26" w:rsidRPr="00CD64D9">
        <w:t xml:space="preserve">is made freely available. </w:t>
      </w:r>
      <w:r w:rsidR="009613EF" w:rsidRPr="00CD64D9">
        <w:t xml:space="preserve">To illustrate the versatility of the methodology, </w:t>
      </w:r>
      <w:r w:rsidR="005F6162" w:rsidRPr="00CD64D9">
        <w:t xml:space="preserve">the model is </w:t>
      </w:r>
      <w:r w:rsidR="00EA75D9" w:rsidRPr="00CD64D9">
        <w:t>calibrated using</w:t>
      </w:r>
      <w:r w:rsidR="005F6162" w:rsidRPr="00CD64D9">
        <w:t xml:space="preserve"> routine data for the total England NHS waiting list as of year-end 2023 and used to project various scenarios over the following two years to year-end 2025. Model validation</w:t>
      </w:r>
      <w:r w:rsidR="00EA75D9" w:rsidRPr="00CD64D9">
        <w:t xml:space="preserve"> </w:t>
      </w:r>
      <w:r w:rsidR="005F6162" w:rsidRPr="00CD64D9">
        <w:t xml:space="preserve">is </w:t>
      </w:r>
      <w:r w:rsidR="0065047D" w:rsidRPr="00CD64D9">
        <w:t>performed</w:t>
      </w:r>
      <w:r w:rsidR="005F6162" w:rsidRPr="00CD64D9">
        <w:t xml:space="preserve"> through </w:t>
      </w:r>
      <w:proofErr w:type="spellStart"/>
      <w:r w:rsidR="005F6162" w:rsidRPr="00CD64D9">
        <w:t>backtesting</w:t>
      </w:r>
      <w:proofErr w:type="spellEnd"/>
      <w:r w:rsidR="008B478C" w:rsidRPr="00CD64D9">
        <w:t xml:space="preserve"> (running the model on past unseen data)</w:t>
      </w:r>
      <w:r w:rsidR="005F6162" w:rsidRPr="00CD64D9">
        <w:t xml:space="preserve">, with </w:t>
      </w:r>
      <w:r w:rsidR="008B478C" w:rsidRPr="00CD64D9">
        <w:t xml:space="preserve">0.4% and 4.7% MAPE attained on </w:t>
      </w:r>
      <w:proofErr w:type="gramStart"/>
      <w:r w:rsidR="008B478C" w:rsidRPr="00CD64D9">
        <w:t>six and twelve month</w:t>
      </w:r>
      <w:proofErr w:type="gramEnd"/>
      <w:r w:rsidR="008B478C" w:rsidRPr="00CD64D9">
        <w:t xml:space="preserve"> windows respectively.</w:t>
      </w:r>
    </w:p>
    <w:p w14:paraId="2B279BD9" w14:textId="77777777" w:rsidR="005D4A25" w:rsidRPr="00CD64D9" w:rsidRDefault="005D4A25" w:rsidP="00B277D3">
      <w:pPr>
        <w:jc w:val="both"/>
      </w:pPr>
    </w:p>
    <w:p w14:paraId="1BEEB463" w14:textId="77777777" w:rsidR="00B277D3" w:rsidRPr="00CD64D9" w:rsidRDefault="00B277D3" w:rsidP="00B277D3">
      <w:pPr>
        <w:jc w:val="both"/>
      </w:pPr>
    </w:p>
    <w:p w14:paraId="7B17B169" w14:textId="77777777" w:rsidR="005D4A25" w:rsidRPr="00CD64D9" w:rsidRDefault="005D4A25" w:rsidP="00B277D3">
      <w:pPr>
        <w:jc w:val="both"/>
      </w:pPr>
    </w:p>
    <w:p w14:paraId="777DD434" w14:textId="77777777" w:rsidR="003D713A" w:rsidRPr="00CD64D9" w:rsidRDefault="003D713A" w:rsidP="00B277D3">
      <w:pPr>
        <w:jc w:val="both"/>
      </w:pPr>
    </w:p>
    <w:p w14:paraId="3BD24A30" w14:textId="7D78448A" w:rsidR="003B2967" w:rsidRPr="00CD64D9" w:rsidRDefault="005D4A25" w:rsidP="00B277D3">
      <w:pPr>
        <w:jc w:val="both"/>
        <w:rPr>
          <w:i/>
          <w:iCs/>
        </w:rPr>
      </w:pPr>
      <w:r w:rsidRPr="00CD64D9">
        <w:rPr>
          <w:b/>
          <w:bCs/>
          <w:i/>
          <w:iCs/>
        </w:rPr>
        <w:t>Keywords</w:t>
      </w:r>
      <w:r w:rsidRPr="00CD64D9">
        <w:rPr>
          <w:i/>
          <w:iCs/>
        </w:rPr>
        <w:t>: waiting list; waiting times; elective care; planned care; compartmental modelling.</w:t>
      </w:r>
    </w:p>
    <w:p w14:paraId="484A1744" w14:textId="6068DF00" w:rsidR="00223506" w:rsidRPr="00CD64D9" w:rsidRDefault="00223506" w:rsidP="00B277D3">
      <w:pPr>
        <w:jc w:val="both"/>
      </w:pPr>
    </w:p>
    <w:p w14:paraId="323FFC4F" w14:textId="5BBF3F76" w:rsidR="004346BE" w:rsidRPr="00CD64D9" w:rsidRDefault="004346BE" w:rsidP="00B277D3">
      <w:pPr>
        <w:jc w:val="both"/>
      </w:pPr>
    </w:p>
    <w:p w14:paraId="53BBE378" w14:textId="77777777" w:rsidR="00B23424" w:rsidRPr="00CD64D9" w:rsidRDefault="00B23424" w:rsidP="00B277D3">
      <w:pPr>
        <w:jc w:val="both"/>
      </w:pPr>
    </w:p>
    <w:p w14:paraId="151D640A" w14:textId="77777777" w:rsidR="00B23424" w:rsidRPr="00CD64D9" w:rsidRDefault="00B23424" w:rsidP="00B277D3">
      <w:pPr>
        <w:jc w:val="both"/>
      </w:pPr>
    </w:p>
    <w:p w14:paraId="52F266C3" w14:textId="77777777" w:rsidR="004346BE" w:rsidRPr="00CD64D9" w:rsidRDefault="004346BE" w:rsidP="00B277D3">
      <w:pPr>
        <w:jc w:val="both"/>
      </w:pPr>
    </w:p>
    <w:p w14:paraId="2BC9886D" w14:textId="77777777" w:rsidR="00B277D3" w:rsidRPr="00CD64D9" w:rsidRDefault="00B277D3" w:rsidP="00B277D3">
      <w:pPr>
        <w:spacing w:line="259" w:lineRule="auto"/>
        <w:rPr>
          <w:b/>
          <w:bCs/>
        </w:rPr>
      </w:pPr>
      <w:r w:rsidRPr="00CD64D9">
        <w:rPr>
          <w:b/>
          <w:bCs/>
        </w:rPr>
        <w:br w:type="page"/>
      </w:r>
    </w:p>
    <w:p w14:paraId="57DCEB29" w14:textId="77777777" w:rsidR="00B277D3" w:rsidRPr="00CD64D9" w:rsidRDefault="00B277D3" w:rsidP="00B277D3">
      <w:pPr>
        <w:spacing w:line="259" w:lineRule="auto"/>
        <w:rPr>
          <w:b/>
          <w:bCs/>
        </w:rPr>
      </w:pPr>
      <w:r w:rsidRPr="00CD64D9">
        <w:rPr>
          <w:b/>
          <w:bCs/>
        </w:rPr>
        <w:lastRenderedPageBreak/>
        <w:t>Highlights</w:t>
      </w:r>
    </w:p>
    <w:p w14:paraId="2CF06FE5" w14:textId="77777777" w:rsidR="00B277D3" w:rsidRPr="00CD64D9" w:rsidRDefault="00B277D3" w:rsidP="00B277D3">
      <w:pPr>
        <w:spacing w:line="259" w:lineRule="auto"/>
        <w:rPr>
          <w:b/>
          <w:bCs/>
        </w:rPr>
      </w:pPr>
    </w:p>
    <w:p w14:paraId="41B23386" w14:textId="5EFEACF6" w:rsidR="00B277D3" w:rsidRPr="00CD64D9" w:rsidRDefault="002B7AC8" w:rsidP="00B277D3">
      <w:pPr>
        <w:pStyle w:val="ListParagraph"/>
        <w:numPr>
          <w:ilvl w:val="0"/>
          <w:numId w:val="23"/>
        </w:numPr>
        <w:spacing w:line="259" w:lineRule="auto"/>
      </w:pPr>
      <w:r w:rsidRPr="00CD64D9">
        <w:t xml:space="preserve">Ensuring sustainable waiting times for elective treatment is important for </w:t>
      </w:r>
      <w:r w:rsidR="003D713A" w:rsidRPr="00CD64D9">
        <w:t>health outcomes, patient experience and the functioning of the wider healthcare system and economy.</w:t>
      </w:r>
    </w:p>
    <w:p w14:paraId="0FC26AA0" w14:textId="77777777" w:rsidR="00B277D3" w:rsidRPr="00CD64D9" w:rsidRDefault="00B277D3" w:rsidP="00B277D3">
      <w:pPr>
        <w:pStyle w:val="ListParagraph"/>
        <w:spacing w:line="259" w:lineRule="auto"/>
        <w:rPr>
          <w:b/>
          <w:bCs/>
        </w:rPr>
      </w:pPr>
    </w:p>
    <w:p w14:paraId="665F8060" w14:textId="56363F88" w:rsidR="00B277D3" w:rsidRPr="00CD64D9" w:rsidRDefault="002B7AC8" w:rsidP="00B277D3">
      <w:pPr>
        <w:pStyle w:val="ListParagraph"/>
        <w:numPr>
          <w:ilvl w:val="0"/>
          <w:numId w:val="23"/>
        </w:numPr>
        <w:spacing w:line="259" w:lineRule="auto"/>
      </w:pPr>
      <w:r w:rsidRPr="00CD64D9">
        <w:t xml:space="preserve">Models can be a key asset to support </w:t>
      </w:r>
      <w:r w:rsidR="003D713A" w:rsidRPr="00CD64D9">
        <w:t xml:space="preserve">healthcare planners and decision-makers </w:t>
      </w:r>
      <w:r w:rsidRPr="00CD64D9">
        <w:t xml:space="preserve">in the </w:t>
      </w:r>
      <w:r w:rsidR="003D713A" w:rsidRPr="00CD64D9">
        <w:t xml:space="preserve">effective </w:t>
      </w:r>
      <w:r w:rsidR="008E15F1" w:rsidRPr="00CD64D9">
        <w:t xml:space="preserve">strategic </w:t>
      </w:r>
      <w:r w:rsidRPr="00CD64D9">
        <w:t xml:space="preserve">management of </w:t>
      </w:r>
      <w:r w:rsidR="009166DF" w:rsidRPr="00CD64D9">
        <w:t xml:space="preserve">hospital </w:t>
      </w:r>
      <w:r w:rsidRPr="00CD64D9">
        <w:t>waiting lists.</w:t>
      </w:r>
    </w:p>
    <w:p w14:paraId="78CCCD58" w14:textId="77777777" w:rsidR="00B277D3" w:rsidRPr="00CD64D9" w:rsidRDefault="00B277D3" w:rsidP="00B277D3">
      <w:pPr>
        <w:pStyle w:val="ListParagraph"/>
      </w:pPr>
    </w:p>
    <w:p w14:paraId="03DBE271" w14:textId="1FCE5036" w:rsidR="008E15F1" w:rsidRPr="00CD64D9" w:rsidRDefault="008E15F1" w:rsidP="003301F8">
      <w:pPr>
        <w:pStyle w:val="ListParagraph"/>
        <w:numPr>
          <w:ilvl w:val="0"/>
          <w:numId w:val="23"/>
        </w:numPr>
        <w:spacing w:line="259" w:lineRule="auto"/>
      </w:pPr>
      <w:r w:rsidRPr="00CD64D9">
        <w:t xml:space="preserve">Of the current </w:t>
      </w:r>
      <w:r w:rsidR="009D54D2" w:rsidRPr="00CD64D9">
        <w:t>literature</w:t>
      </w:r>
      <w:r w:rsidRPr="00CD64D9">
        <w:t xml:space="preserve">, there is a deficit in </w:t>
      </w:r>
      <w:proofErr w:type="gramStart"/>
      <w:r w:rsidRPr="00CD64D9">
        <w:t>strategic-use</w:t>
      </w:r>
      <w:proofErr w:type="gramEnd"/>
      <w:r w:rsidRPr="00CD64D9">
        <w:t xml:space="preserve"> </w:t>
      </w:r>
      <w:r w:rsidR="009166DF" w:rsidRPr="00CD64D9">
        <w:t xml:space="preserve">waiting list </w:t>
      </w:r>
      <w:r w:rsidRPr="00CD64D9">
        <w:t xml:space="preserve">models that are scalable to different settings and scenarios, configurable on routine data, and sufficiently sophisticated to consider waiting times. </w:t>
      </w:r>
    </w:p>
    <w:p w14:paraId="0D56E7F0" w14:textId="77777777" w:rsidR="008E15F1" w:rsidRPr="00CD64D9" w:rsidRDefault="008E15F1" w:rsidP="003D713A">
      <w:pPr>
        <w:pStyle w:val="ListParagraph"/>
      </w:pPr>
    </w:p>
    <w:p w14:paraId="03D821DB" w14:textId="4CD69DED" w:rsidR="009166DF" w:rsidRPr="00CD64D9" w:rsidRDefault="008E15F1" w:rsidP="00B277D3">
      <w:pPr>
        <w:pStyle w:val="ListParagraph"/>
        <w:numPr>
          <w:ilvl w:val="0"/>
          <w:numId w:val="23"/>
        </w:numPr>
        <w:spacing w:line="259" w:lineRule="auto"/>
      </w:pPr>
      <w:r w:rsidRPr="00CD64D9">
        <w:t xml:space="preserve">This study addresses that gap through development of a versatile compartmental modelling methodology </w:t>
      </w:r>
      <w:r w:rsidR="009166DF" w:rsidRPr="00CD64D9">
        <w:t>whose configuration and solution are through a series of difference equations.</w:t>
      </w:r>
    </w:p>
    <w:p w14:paraId="159792D2" w14:textId="77777777" w:rsidR="009166DF" w:rsidRPr="00CD64D9" w:rsidRDefault="009166DF" w:rsidP="009166DF">
      <w:pPr>
        <w:pStyle w:val="ListParagraph"/>
      </w:pPr>
    </w:p>
    <w:p w14:paraId="50C3DBD4" w14:textId="44B2EB34" w:rsidR="00B277D3" w:rsidRPr="00CD64D9" w:rsidRDefault="008E15F1" w:rsidP="00B277D3">
      <w:pPr>
        <w:pStyle w:val="ListParagraph"/>
        <w:numPr>
          <w:ilvl w:val="0"/>
          <w:numId w:val="23"/>
        </w:numPr>
        <w:spacing w:line="259" w:lineRule="auto"/>
      </w:pPr>
      <w:r w:rsidRPr="00CD64D9">
        <w:t xml:space="preserve">An example application </w:t>
      </w:r>
      <w:r w:rsidR="009166DF" w:rsidRPr="00CD64D9">
        <w:t xml:space="preserve">to England’s national waiting list </w:t>
      </w:r>
      <w:r w:rsidRPr="00CD64D9">
        <w:t xml:space="preserve">is provided, </w:t>
      </w:r>
      <w:r w:rsidR="009166DF" w:rsidRPr="00CD64D9">
        <w:t>demonstrating how the model can be calibrated, validated, and thereafter used to investigate various strategic ‘what-if’ scenarios.</w:t>
      </w:r>
    </w:p>
    <w:p w14:paraId="3816FCE6" w14:textId="77777777" w:rsidR="00B277D3" w:rsidRPr="00CD64D9" w:rsidRDefault="00B277D3" w:rsidP="008E15F1">
      <w:pPr>
        <w:rPr>
          <w:b/>
          <w:bCs/>
        </w:rPr>
      </w:pPr>
    </w:p>
    <w:p w14:paraId="68590345" w14:textId="33E5688E" w:rsidR="00B277D3" w:rsidRPr="00CD64D9" w:rsidRDefault="00B277D3" w:rsidP="00B277D3">
      <w:pPr>
        <w:spacing w:line="259" w:lineRule="auto"/>
        <w:rPr>
          <w:b/>
          <w:bCs/>
        </w:rPr>
      </w:pPr>
      <w:r w:rsidRPr="00CD64D9">
        <w:rPr>
          <w:b/>
          <w:bCs/>
        </w:rPr>
        <w:br w:type="page"/>
      </w:r>
    </w:p>
    <w:p w14:paraId="032F485E" w14:textId="6D837CD6" w:rsidR="00223506" w:rsidRPr="00CD64D9" w:rsidRDefault="00223506" w:rsidP="00B277D3">
      <w:pPr>
        <w:jc w:val="both"/>
        <w:rPr>
          <w:b/>
          <w:bCs/>
        </w:rPr>
      </w:pPr>
      <w:r w:rsidRPr="00CD64D9">
        <w:rPr>
          <w:b/>
          <w:bCs/>
        </w:rPr>
        <w:lastRenderedPageBreak/>
        <w:t>1. Introduction</w:t>
      </w:r>
    </w:p>
    <w:p w14:paraId="5D3D8F4C" w14:textId="10216706" w:rsidR="00223506" w:rsidRPr="00CD64D9" w:rsidRDefault="00223506" w:rsidP="00B277D3">
      <w:pPr>
        <w:jc w:val="both"/>
      </w:pPr>
    </w:p>
    <w:p w14:paraId="1BC4CB39" w14:textId="4C34FEF3" w:rsidR="00161E4B" w:rsidRPr="00CD64D9" w:rsidRDefault="00161E4B" w:rsidP="00B277D3">
      <w:pPr>
        <w:jc w:val="both"/>
      </w:pPr>
      <w:r w:rsidRPr="00CD64D9">
        <w:t xml:space="preserve">Long elective waiting times are a problem for many hospitals </w:t>
      </w:r>
      <w:r w:rsidR="00EC66C6" w:rsidRPr="00CD64D9">
        <w:t>and healthcare systems</w:t>
      </w:r>
      <w:r w:rsidRPr="00CD64D9">
        <w:t xml:space="preserve"> around the world [</w:t>
      </w:r>
      <w:r w:rsidR="00C97AD1" w:rsidRPr="00CD64D9">
        <w:t>1,2</w:t>
      </w:r>
      <w:r w:rsidRPr="00CD64D9">
        <w:t xml:space="preserve">]. While non-elective (emergency care) treatment is often performed immediately, patients along the elective (planned care) treatment route can face waits extending to many months and years. This </w:t>
      </w:r>
      <w:r w:rsidR="00367759" w:rsidRPr="00CD64D9">
        <w:t>can be</w:t>
      </w:r>
      <w:r w:rsidRPr="00CD64D9">
        <w:t xml:space="preserve"> </w:t>
      </w:r>
      <w:r w:rsidR="006D0BDB" w:rsidRPr="00CD64D9">
        <w:t xml:space="preserve">difficult </w:t>
      </w:r>
      <w:r w:rsidRPr="00CD64D9">
        <w:t>for patients</w:t>
      </w:r>
      <w:r w:rsidR="00B768DD" w:rsidRPr="00CD64D9">
        <w:t>,</w:t>
      </w:r>
      <w:r w:rsidRPr="00CD64D9">
        <w:t xml:space="preserve"> who </w:t>
      </w:r>
      <w:r w:rsidR="00B768DD" w:rsidRPr="00CD64D9">
        <w:t xml:space="preserve">must </w:t>
      </w:r>
      <w:r w:rsidRPr="00CD64D9">
        <w:t xml:space="preserve">live with their conditions </w:t>
      </w:r>
      <w:r w:rsidR="006D0BDB" w:rsidRPr="00CD64D9">
        <w:t>over</w:t>
      </w:r>
      <w:r w:rsidRPr="00CD64D9">
        <w:t xml:space="preserve"> such </w:t>
      </w:r>
      <w:r w:rsidR="006C1172" w:rsidRPr="00CD64D9">
        <w:t>periods of time</w:t>
      </w:r>
      <w:r w:rsidRPr="00CD64D9">
        <w:t xml:space="preserve">. </w:t>
      </w:r>
      <w:r w:rsidR="00367759" w:rsidRPr="00CD64D9">
        <w:t xml:space="preserve">Waiting patients </w:t>
      </w:r>
      <w:r w:rsidRPr="00CD64D9">
        <w:t xml:space="preserve">can require additional healthcare contacts, like the extra physiotherapy required to support </w:t>
      </w:r>
      <w:r w:rsidR="00DE4319" w:rsidRPr="00CD64D9">
        <w:t>those</w:t>
      </w:r>
      <w:r w:rsidRPr="00CD64D9">
        <w:t xml:space="preserve"> awaiting joint replacement [</w:t>
      </w:r>
      <w:r w:rsidR="00C97AD1" w:rsidRPr="00CD64D9">
        <w:t>3</w:t>
      </w:r>
      <w:r w:rsidRPr="00CD64D9">
        <w:t xml:space="preserve">]. </w:t>
      </w:r>
      <w:r w:rsidR="00367759" w:rsidRPr="00CD64D9">
        <w:t xml:space="preserve">Long waits </w:t>
      </w:r>
      <w:r w:rsidRPr="00CD64D9">
        <w:t xml:space="preserve">can also lead to conversion to the (more costly) </w:t>
      </w:r>
      <w:r w:rsidR="00EC66C6" w:rsidRPr="00CD64D9">
        <w:t>emergency</w:t>
      </w:r>
      <w:r w:rsidRPr="00CD64D9">
        <w:t xml:space="preserve"> treatment route, as </w:t>
      </w:r>
      <w:r w:rsidR="00B23424" w:rsidRPr="00CD64D9">
        <w:t xml:space="preserve">has been found </w:t>
      </w:r>
      <w:r w:rsidRPr="00CD64D9">
        <w:t xml:space="preserve">for </w:t>
      </w:r>
      <w:r w:rsidR="00762F12" w:rsidRPr="00CD64D9">
        <w:t xml:space="preserve">patients awaiting </w:t>
      </w:r>
      <w:r w:rsidR="00B23424" w:rsidRPr="00CD64D9">
        <w:t xml:space="preserve">elective </w:t>
      </w:r>
      <w:r w:rsidRPr="00CD64D9">
        <w:t>gallbladder removal</w:t>
      </w:r>
      <w:r w:rsidR="00367759" w:rsidRPr="00CD64D9">
        <w:t xml:space="preserve"> [</w:t>
      </w:r>
      <w:r w:rsidR="00C97AD1" w:rsidRPr="00CD64D9">
        <w:t>4</w:t>
      </w:r>
      <w:r w:rsidR="00367759" w:rsidRPr="00CD64D9">
        <w:t xml:space="preserve">]. As well as exposing patients to these risks of harm, </w:t>
      </w:r>
      <w:r w:rsidR="00B768DD" w:rsidRPr="00CD64D9">
        <w:t xml:space="preserve">negative consequences of long waits also extend to healthcare providers, who must </w:t>
      </w:r>
      <w:r w:rsidR="00367759" w:rsidRPr="00CD64D9">
        <w:t xml:space="preserve">fund this additional </w:t>
      </w:r>
      <w:r w:rsidR="0013353E" w:rsidRPr="00CD64D9">
        <w:t xml:space="preserve">maintenance </w:t>
      </w:r>
      <w:r w:rsidR="002366C1" w:rsidRPr="00CD64D9">
        <w:t xml:space="preserve">healthcare </w:t>
      </w:r>
      <w:r w:rsidR="00367759" w:rsidRPr="00CD64D9">
        <w:t>activity</w:t>
      </w:r>
      <w:r w:rsidR="00B23FCC" w:rsidRPr="00CD64D9">
        <w:t xml:space="preserve">, and </w:t>
      </w:r>
      <w:r w:rsidR="00EC66C6" w:rsidRPr="00CD64D9">
        <w:t xml:space="preserve">to </w:t>
      </w:r>
      <w:r w:rsidR="00B23FCC" w:rsidRPr="00CD64D9">
        <w:t>the wider economy, given the effect of ill health on unemployment [</w:t>
      </w:r>
      <w:r w:rsidR="00C97AD1" w:rsidRPr="00CD64D9">
        <w:t>5</w:t>
      </w:r>
      <w:r w:rsidR="00B23FCC" w:rsidRPr="00CD64D9">
        <w:t>]</w:t>
      </w:r>
    </w:p>
    <w:p w14:paraId="7A96A5E3" w14:textId="77777777" w:rsidR="00367759" w:rsidRPr="00CD64D9" w:rsidRDefault="00367759" w:rsidP="00B277D3">
      <w:pPr>
        <w:jc w:val="both"/>
      </w:pPr>
    </w:p>
    <w:p w14:paraId="06844E8C" w14:textId="2E8F6E07" w:rsidR="00367759" w:rsidRPr="00CD64D9" w:rsidRDefault="00BC2477" w:rsidP="00B277D3">
      <w:pPr>
        <w:jc w:val="both"/>
      </w:pPr>
      <w:r w:rsidRPr="00CD64D9">
        <w:t>In many countries, the</w:t>
      </w:r>
      <w:r w:rsidR="00AC7E1B" w:rsidRPr="00CD64D9">
        <w:t xml:space="preserve"> COVID-19 pandemic has </w:t>
      </w:r>
      <w:r w:rsidR="002366C1" w:rsidRPr="00CD64D9">
        <w:t>exacerbated</w:t>
      </w:r>
      <w:r w:rsidR="00AC7E1B" w:rsidRPr="00CD64D9">
        <w:t xml:space="preserve"> these problems. With hospitals allocating significant numbers of beds for COVID-19</w:t>
      </w:r>
      <w:r w:rsidR="006C1172" w:rsidRPr="00CD64D9">
        <w:t xml:space="preserve"> emergency</w:t>
      </w:r>
      <w:r w:rsidR="00AC7E1B" w:rsidRPr="00CD64D9">
        <w:t xml:space="preserve"> presentations and closing beds due to infection control measures, this has reduced the capacity available for elective treatments [</w:t>
      </w:r>
      <w:r w:rsidR="00C97AD1" w:rsidRPr="00CD64D9">
        <w:t>6</w:t>
      </w:r>
      <w:r w:rsidR="00AC7E1B" w:rsidRPr="00CD64D9">
        <w:t>]. In England’s National Health Service</w:t>
      </w:r>
      <w:r w:rsidR="005D0657" w:rsidRPr="00CD64D9">
        <w:t xml:space="preserve"> (NHS)</w:t>
      </w:r>
      <w:r w:rsidR="00AC7E1B" w:rsidRPr="00CD64D9">
        <w:t>, the national waiting list has increased</w:t>
      </w:r>
      <w:r w:rsidR="002366C1" w:rsidRPr="00CD64D9">
        <w:t xml:space="preserve"> by 66%</w:t>
      </w:r>
      <w:r w:rsidR="00AC7E1B" w:rsidRPr="00CD64D9">
        <w:t xml:space="preserve"> from </w:t>
      </w:r>
      <w:r w:rsidR="002366C1" w:rsidRPr="00CD64D9">
        <w:t>4.57 million before the pandemic (February 2020) to 7.6 million by the end of 2023 [</w:t>
      </w:r>
      <w:r w:rsidR="00C97AD1" w:rsidRPr="00CD64D9">
        <w:t>7</w:t>
      </w:r>
      <w:r w:rsidR="002366C1" w:rsidRPr="00CD64D9">
        <w:t xml:space="preserve">]. Numbers waiting over 12 months for treatment have gone up 183-fold from 1,845 to 337,450 over the same period. </w:t>
      </w:r>
      <w:r w:rsidR="005D0657" w:rsidRPr="00CD64D9">
        <w:t xml:space="preserve">This appears to have </w:t>
      </w:r>
      <w:r w:rsidR="00C83130" w:rsidRPr="00CD64D9">
        <w:t>prompted</w:t>
      </w:r>
      <w:r w:rsidR="005D0657" w:rsidRPr="00CD64D9">
        <w:t xml:space="preserve"> more people to seek private treatment, with self-funded admissions reaching record levels [</w:t>
      </w:r>
      <w:r w:rsidR="00C97AD1" w:rsidRPr="00CD64D9">
        <w:t>8</w:t>
      </w:r>
      <w:r w:rsidR="005D0657" w:rsidRPr="00CD64D9">
        <w:t>].</w:t>
      </w:r>
    </w:p>
    <w:p w14:paraId="29F51142" w14:textId="77777777" w:rsidR="00B768DD" w:rsidRPr="00CD64D9" w:rsidRDefault="00B768DD" w:rsidP="00B277D3">
      <w:pPr>
        <w:jc w:val="both"/>
      </w:pPr>
    </w:p>
    <w:p w14:paraId="310B9BDA" w14:textId="63C4CDCE" w:rsidR="003634AD" w:rsidRPr="00CD64D9" w:rsidRDefault="002366C1" w:rsidP="00B277D3">
      <w:pPr>
        <w:jc w:val="both"/>
      </w:pPr>
      <w:r w:rsidRPr="00CD64D9">
        <w:t xml:space="preserve">Modelling the elective waiting list can </w:t>
      </w:r>
      <w:r w:rsidR="003F777B" w:rsidRPr="00CD64D9">
        <w:t>provide</w:t>
      </w:r>
      <w:r w:rsidRPr="00CD64D9">
        <w:t xml:space="preserve"> </w:t>
      </w:r>
      <w:r w:rsidR="003F777B" w:rsidRPr="00CD64D9">
        <w:t xml:space="preserve">useful </w:t>
      </w:r>
      <w:r w:rsidR="00F81E0B" w:rsidRPr="00CD64D9">
        <w:t xml:space="preserve">strategic </w:t>
      </w:r>
      <w:r w:rsidR="003F777B" w:rsidRPr="00CD64D9">
        <w:t xml:space="preserve">insight </w:t>
      </w:r>
      <w:r w:rsidRPr="00CD64D9">
        <w:t xml:space="preserve">to </w:t>
      </w:r>
      <w:r w:rsidR="00A7017E" w:rsidRPr="00CD64D9">
        <w:t>hospital and healthcare</w:t>
      </w:r>
      <w:r w:rsidRPr="00CD64D9">
        <w:t xml:space="preserve"> planners</w:t>
      </w:r>
      <w:r w:rsidR="00F402F1" w:rsidRPr="00CD64D9">
        <w:t xml:space="preserve"> through</w:t>
      </w:r>
      <w:r w:rsidR="00212194" w:rsidRPr="00CD64D9">
        <w:t xml:space="preserve"> </w:t>
      </w:r>
      <w:r w:rsidR="00BA77F4" w:rsidRPr="00CD64D9">
        <w:t xml:space="preserve">consideration of </w:t>
      </w:r>
      <w:r w:rsidR="00212194" w:rsidRPr="00CD64D9">
        <w:t>demand- and supply-side</w:t>
      </w:r>
      <w:r w:rsidR="00F402F1" w:rsidRPr="00CD64D9">
        <w:t xml:space="preserve"> </w:t>
      </w:r>
      <w:r w:rsidR="00BA77F4" w:rsidRPr="00CD64D9">
        <w:t>interventions within ‘</w:t>
      </w:r>
      <w:r w:rsidR="00F402F1" w:rsidRPr="00CD64D9">
        <w:t>what-if</w:t>
      </w:r>
      <w:r w:rsidR="00BA77F4" w:rsidRPr="00CD64D9">
        <w:t>’</w:t>
      </w:r>
      <w:r w:rsidR="00F402F1" w:rsidRPr="00CD64D9">
        <w:t xml:space="preserve"> scenario analys</w:t>
      </w:r>
      <w:r w:rsidR="00BA77F4" w:rsidRPr="00CD64D9">
        <w:t>e</w:t>
      </w:r>
      <w:r w:rsidR="00F402F1" w:rsidRPr="00CD64D9">
        <w:t>s</w:t>
      </w:r>
      <w:r w:rsidR="00BA77F4" w:rsidRPr="00CD64D9">
        <w:t xml:space="preserve">. </w:t>
      </w:r>
      <w:r w:rsidR="00F402F1" w:rsidRPr="00CD64D9">
        <w:t xml:space="preserve">Through varying levels of future elective demand, one can assess the </w:t>
      </w:r>
      <w:r w:rsidR="006C34C4" w:rsidRPr="00CD64D9">
        <w:t xml:space="preserve">longer-term </w:t>
      </w:r>
      <w:r w:rsidR="00F402F1" w:rsidRPr="00CD64D9">
        <w:t xml:space="preserve">impact of any referral reduction strategies (through enhanced conservative management of the health problem, for instance) </w:t>
      </w:r>
      <w:r w:rsidR="00212194" w:rsidRPr="00CD64D9">
        <w:t xml:space="preserve">on waiting list size and waiting times, </w:t>
      </w:r>
      <w:r w:rsidR="00F402F1" w:rsidRPr="00CD64D9">
        <w:t xml:space="preserve">or can simply seek to quantify the uncertainty in what is an inherently uncontrollable process. </w:t>
      </w:r>
      <w:r w:rsidR="003F777B" w:rsidRPr="00CD64D9">
        <w:t xml:space="preserve">Through varying levels of future elective capacity, the effect on waiting list size and waiting times can be projected; facilitating an assessment of whether any additional </w:t>
      </w:r>
      <w:r w:rsidR="006C34C4" w:rsidRPr="00CD64D9">
        <w:t xml:space="preserve">elective </w:t>
      </w:r>
      <w:r w:rsidR="003F777B" w:rsidRPr="00CD64D9">
        <w:t>investment is worthwhile, given its performance impact versus th</w:t>
      </w:r>
      <w:r w:rsidR="00A7017E" w:rsidRPr="00CD64D9">
        <w:t>at</w:t>
      </w:r>
      <w:r w:rsidR="003F777B" w:rsidRPr="00CD64D9">
        <w:t xml:space="preserve"> expected </w:t>
      </w:r>
      <w:r w:rsidR="00A7017E" w:rsidRPr="00CD64D9">
        <w:t>from</w:t>
      </w:r>
      <w:r w:rsidR="003F777B" w:rsidRPr="00CD64D9">
        <w:t xml:space="preserve"> </w:t>
      </w:r>
      <w:r w:rsidR="00A7017E" w:rsidRPr="00CD64D9">
        <w:t>other</w:t>
      </w:r>
      <w:r w:rsidR="003F777B" w:rsidRPr="00CD64D9">
        <w:t xml:space="preserve"> </w:t>
      </w:r>
      <w:r w:rsidR="006D0BDB" w:rsidRPr="00CD64D9">
        <w:t xml:space="preserve">possible management </w:t>
      </w:r>
      <w:r w:rsidR="006C34C4" w:rsidRPr="00CD64D9">
        <w:t>strategies</w:t>
      </w:r>
      <w:r w:rsidR="003F777B" w:rsidRPr="00CD64D9">
        <w:t xml:space="preserve"> </w:t>
      </w:r>
      <w:r w:rsidR="006D0BDB" w:rsidRPr="00CD64D9">
        <w:t xml:space="preserve">considered </w:t>
      </w:r>
      <w:r w:rsidR="00A7017E" w:rsidRPr="00CD64D9">
        <w:t xml:space="preserve">for the wider hospital and </w:t>
      </w:r>
      <w:r w:rsidR="003F777B" w:rsidRPr="00CD64D9">
        <w:t>healthcare system (</w:t>
      </w:r>
      <w:r w:rsidR="00A7017E" w:rsidRPr="00CD64D9">
        <w:t xml:space="preserve">e.g., </w:t>
      </w:r>
      <w:r w:rsidR="00DF211B" w:rsidRPr="00CD64D9">
        <w:t xml:space="preserve">for </w:t>
      </w:r>
      <w:r w:rsidR="006D0BDB" w:rsidRPr="00CD64D9">
        <w:t xml:space="preserve">improving </w:t>
      </w:r>
      <w:r w:rsidR="00DF211B" w:rsidRPr="00CD64D9">
        <w:t>emergenc</w:t>
      </w:r>
      <w:r w:rsidR="006D0BDB" w:rsidRPr="00CD64D9">
        <w:t xml:space="preserve">y </w:t>
      </w:r>
      <w:r w:rsidR="0038145D" w:rsidRPr="00CD64D9">
        <w:t xml:space="preserve">department </w:t>
      </w:r>
      <w:r w:rsidR="006D0BDB" w:rsidRPr="00CD64D9">
        <w:t>or</w:t>
      </w:r>
      <w:r w:rsidR="00DF211B" w:rsidRPr="00CD64D9">
        <w:t xml:space="preserve"> cancer</w:t>
      </w:r>
      <w:r w:rsidR="006D0BDB" w:rsidRPr="00CD64D9">
        <w:t xml:space="preserve"> </w:t>
      </w:r>
      <w:r w:rsidR="00A7017E" w:rsidRPr="00CD64D9">
        <w:t>care</w:t>
      </w:r>
      <w:r w:rsidR="003F777B" w:rsidRPr="00CD64D9">
        <w:t xml:space="preserve">). </w:t>
      </w:r>
      <w:r w:rsidR="00441F2F" w:rsidRPr="00CD64D9">
        <w:t>While recognising model assumptions and limitations</w:t>
      </w:r>
      <w:r w:rsidR="00893909" w:rsidRPr="00CD64D9">
        <w:t xml:space="preserve">, </w:t>
      </w:r>
      <w:r w:rsidR="007F184B" w:rsidRPr="00CD64D9">
        <w:t xml:space="preserve">what-if </w:t>
      </w:r>
      <w:r w:rsidR="00893909" w:rsidRPr="00CD64D9">
        <w:t>scenario analysis such as this has</w:t>
      </w:r>
      <w:r w:rsidR="00907DF8" w:rsidRPr="00CD64D9">
        <w:t xml:space="preserve"> nonetheless</w:t>
      </w:r>
      <w:r w:rsidR="00893909" w:rsidRPr="00CD64D9">
        <w:t xml:space="preserve"> </w:t>
      </w:r>
      <w:r w:rsidR="00907DF8" w:rsidRPr="00CD64D9">
        <w:t xml:space="preserve">proved </w:t>
      </w:r>
      <w:r w:rsidR="00DF211B" w:rsidRPr="00CD64D9">
        <w:t xml:space="preserve">valuable in </w:t>
      </w:r>
      <w:proofErr w:type="gramStart"/>
      <w:r w:rsidR="00DF211B" w:rsidRPr="00CD64D9">
        <w:t xml:space="preserve">a </w:t>
      </w:r>
      <w:r w:rsidR="00F81E0B" w:rsidRPr="00CD64D9">
        <w:t xml:space="preserve">number </w:t>
      </w:r>
      <w:r w:rsidR="00DF211B" w:rsidRPr="00CD64D9">
        <w:t>of</w:t>
      </w:r>
      <w:proofErr w:type="gramEnd"/>
      <w:r w:rsidR="00DF211B" w:rsidRPr="00CD64D9">
        <w:t xml:space="preserve"> healthcare settings</w:t>
      </w:r>
      <w:r w:rsidR="003634AD" w:rsidRPr="00CD64D9">
        <w:t xml:space="preserve">, </w:t>
      </w:r>
      <w:proofErr w:type="gramStart"/>
      <w:r w:rsidR="00F81E0B" w:rsidRPr="00CD64D9">
        <w:t xml:space="preserve">from </w:t>
      </w:r>
      <w:r w:rsidR="002425C7" w:rsidRPr="00CD64D9">
        <w:t>outpatient clinics [</w:t>
      </w:r>
      <w:r w:rsidR="00C97AD1" w:rsidRPr="00CD64D9">
        <w:t>9</w:t>
      </w:r>
      <w:r w:rsidR="002425C7" w:rsidRPr="00CD64D9">
        <w:t>],</w:t>
      </w:r>
      <w:proofErr w:type="gramEnd"/>
      <w:r w:rsidR="002425C7" w:rsidRPr="00CD64D9">
        <w:t xml:space="preserve"> </w:t>
      </w:r>
      <w:r w:rsidR="00F81E0B" w:rsidRPr="00CD64D9">
        <w:t xml:space="preserve">to </w:t>
      </w:r>
      <w:r w:rsidR="00D00CFF" w:rsidRPr="00CD64D9">
        <w:t>emergency departments [</w:t>
      </w:r>
      <w:r w:rsidR="00C97AD1" w:rsidRPr="00CD64D9">
        <w:t>10</w:t>
      </w:r>
      <w:r w:rsidR="00D00CFF" w:rsidRPr="00CD64D9">
        <w:t xml:space="preserve">], </w:t>
      </w:r>
      <w:r w:rsidR="00441F2F" w:rsidRPr="00CD64D9">
        <w:t>critical</w:t>
      </w:r>
      <w:r w:rsidR="00DF211B" w:rsidRPr="00CD64D9">
        <w:t xml:space="preserve"> care [</w:t>
      </w:r>
      <w:r w:rsidR="00C97AD1" w:rsidRPr="00CD64D9">
        <w:t>11</w:t>
      </w:r>
      <w:r w:rsidR="00DF211B" w:rsidRPr="00CD64D9">
        <w:t>]</w:t>
      </w:r>
      <w:r w:rsidR="003634AD" w:rsidRPr="00CD64D9">
        <w:t xml:space="preserve">, </w:t>
      </w:r>
      <w:r w:rsidR="00D00CFF" w:rsidRPr="00CD64D9">
        <w:t xml:space="preserve">and </w:t>
      </w:r>
      <w:r w:rsidR="00441F2F" w:rsidRPr="00CD64D9">
        <w:t xml:space="preserve">the complex discharge </w:t>
      </w:r>
      <w:r w:rsidR="00D00CFF" w:rsidRPr="00CD64D9">
        <w:t xml:space="preserve">‘step down’ </w:t>
      </w:r>
      <w:r w:rsidR="00441F2F" w:rsidRPr="00CD64D9">
        <w:t xml:space="preserve">pathway </w:t>
      </w:r>
      <w:r w:rsidR="003634AD" w:rsidRPr="00CD64D9">
        <w:t>[</w:t>
      </w:r>
      <w:r w:rsidR="00C97AD1" w:rsidRPr="00CD64D9">
        <w:t>12</w:t>
      </w:r>
      <w:r w:rsidR="003634AD" w:rsidRPr="00CD64D9">
        <w:t>]</w:t>
      </w:r>
      <w:r w:rsidR="00D00CFF" w:rsidRPr="00CD64D9">
        <w:t>.</w:t>
      </w:r>
    </w:p>
    <w:p w14:paraId="7135393A" w14:textId="77777777" w:rsidR="003634AD" w:rsidRPr="00CD64D9" w:rsidRDefault="003634AD" w:rsidP="00B277D3">
      <w:pPr>
        <w:jc w:val="both"/>
      </w:pPr>
    </w:p>
    <w:p w14:paraId="673593CE" w14:textId="6E11ADC8" w:rsidR="00B23424" w:rsidRPr="00CD64D9" w:rsidRDefault="00B23424" w:rsidP="00B277D3">
      <w:pPr>
        <w:jc w:val="both"/>
      </w:pPr>
      <w:r w:rsidRPr="00CD64D9">
        <w:t xml:space="preserve">In the strategic sense considered here, the </w:t>
      </w:r>
      <w:r w:rsidR="003376F8" w:rsidRPr="00CD64D9">
        <w:t xml:space="preserve">elective hospital </w:t>
      </w:r>
      <w:r w:rsidRPr="00CD64D9">
        <w:t xml:space="preserve">waiting list </w:t>
      </w:r>
      <w:r w:rsidR="008E2D41" w:rsidRPr="00CD64D9">
        <w:t>model</w:t>
      </w:r>
      <w:r w:rsidR="00F81E0B" w:rsidRPr="00CD64D9">
        <w:t xml:space="preserve"> </w:t>
      </w:r>
      <w:r w:rsidR="00B11EB0" w:rsidRPr="00CD64D9">
        <w:t>is</w:t>
      </w:r>
      <w:r w:rsidR="00F81E0B" w:rsidRPr="00CD64D9">
        <w:t xml:space="preserve"> constructed </w:t>
      </w:r>
      <w:r w:rsidR="008E2D41" w:rsidRPr="00CD64D9">
        <w:t>using</w:t>
      </w:r>
      <w:r w:rsidR="00F81E0B" w:rsidRPr="00CD64D9">
        <w:t xml:space="preserve"> the following </w:t>
      </w:r>
      <w:r w:rsidR="005359E7" w:rsidRPr="00CD64D9">
        <w:t>components</w:t>
      </w:r>
      <w:r w:rsidR="00F81E0B" w:rsidRPr="00CD64D9">
        <w:t>:</w:t>
      </w:r>
    </w:p>
    <w:p w14:paraId="6894C8A2" w14:textId="27E122CF" w:rsidR="00B23424" w:rsidRPr="00CD64D9" w:rsidRDefault="00B23424" w:rsidP="00B277D3">
      <w:pPr>
        <w:pStyle w:val="ListParagraph"/>
        <w:numPr>
          <w:ilvl w:val="0"/>
          <w:numId w:val="13"/>
        </w:numPr>
        <w:jc w:val="both"/>
      </w:pPr>
      <w:r w:rsidRPr="00CD64D9">
        <w:rPr>
          <w:b/>
          <w:bCs/>
        </w:rPr>
        <w:t>Referrals</w:t>
      </w:r>
      <w:r w:rsidRPr="00CD64D9">
        <w:t>.</w:t>
      </w:r>
      <w:r w:rsidR="00F81E0B" w:rsidRPr="00CD64D9">
        <w:t xml:space="preserve"> These arrive at the acute hospital from the patient’s General Practitioner (GP), following a consultation </w:t>
      </w:r>
      <w:r w:rsidR="00A22860" w:rsidRPr="00CD64D9">
        <w:t>in</w:t>
      </w:r>
      <w:r w:rsidR="00F81E0B" w:rsidRPr="00CD64D9">
        <w:t xml:space="preserve"> which the GP recommends </w:t>
      </w:r>
      <w:r w:rsidR="00B45223" w:rsidRPr="00CD64D9">
        <w:t>acute</w:t>
      </w:r>
      <w:r w:rsidR="002E2880" w:rsidRPr="00CD64D9">
        <w:t xml:space="preserve"> consultant-led</w:t>
      </w:r>
      <w:r w:rsidR="00B45223" w:rsidRPr="00CD64D9">
        <w:t xml:space="preserve"> elective</w:t>
      </w:r>
      <w:r w:rsidR="00F81E0B" w:rsidRPr="00CD64D9">
        <w:t xml:space="preserve"> </w:t>
      </w:r>
      <w:r w:rsidR="003A797B" w:rsidRPr="00CD64D9">
        <w:t>treatment</w:t>
      </w:r>
      <w:r w:rsidR="00F81E0B" w:rsidRPr="00CD64D9">
        <w:t xml:space="preserve">. </w:t>
      </w:r>
      <w:r w:rsidR="005B10CE" w:rsidRPr="00CD64D9">
        <w:t xml:space="preserve">Referrals </w:t>
      </w:r>
      <w:r w:rsidR="00A22860" w:rsidRPr="00CD64D9">
        <w:t xml:space="preserve">are </w:t>
      </w:r>
      <w:r w:rsidR="003D54FB" w:rsidRPr="00CD64D9">
        <w:t>on the waiting list</w:t>
      </w:r>
      <w:r w:rsidR="005B10CE" w:rsidRPr="00CD64D9">
        <w:t xml:space="preserve"> </w:t>
      </w:r>
      <w:r w:rsidR="00B45223" w:rsidRPr="00CD64D9">
        <w:t xml:space="preserve">until they are </w:t>
      </w:r>
      <w:r w:rsidR="003D54FB" w:rsidRPr="00CD64D9">
        <w:t>removed either</w:t>
      </w:r>
      <w:r w:rsidR="00A22860" w:rsidRPr="00CD64D9">
        <w:t xml:space="preserve"> through treatment or </w:t>
      </w:r>
      <w:r w:rsidR="002513C4" w:rsidRPr="00CD64D9">
        <w:t>without</w:t>
      </w:r>
      <w:r w:rsidR="00A22860" w:rsidRPr="00CD64D9">
        <w:t xml:space="preserve"> treatment</w:t>
      </w:r>
      <w:r w:rsidR="00F10BE0" w:rsidRPr="00CD64D9">
        <w:t xml:space="preserve"> (renege)</w:t>
      </w:r>
      <w:r w:rsidR="00B45223" w:rsidRPr="00CD64D9">
        <w:t>.</w:t>
      </w:r>
    </w:p>
    <w:p w14:paraId="3D9094A7" w14:textId="14A46835" w:rsidR="00F4380C" w:rsidRPr="00CD64D9" w:rsidRDefault="00B23424" w:rsidP="00B277D3">
      <w:pPr>
        <w:pStyle w:val="ListParagraph"/>
        <w:numPr>
          <w:ilvl w:val="0"/>
          <w:numId w:val="13"/>
        </w:numPr>
        <w:jc w:val="both"/>
      </w:pPr>
      <w:r w:rsidRPr="00CD64D9">
        <w:rPr>
          <w:b/>
          <w:bCs/>
        </w:rPr>
        <w:t>Capacity</w:t>
      </w:r>
      <w:r w:rsidRPr="00CD64D9">
        <w:t>.</w:t>
      </w:r>
      <w:r w:rsidR="003A797B" w:rsidRPr="00CD64D9">
        <w:t xml:space="preserve"> The </w:t>
      </w:r>
      <w:r w:rsidR="00CF6395" w:rsidRPr="00CD64D9">
        <w:t xml:space="preserve">capability of the </w:t>
      </w:r>
      <w:r w:rsidR="00D94E94" w:rsidRPr="00CD64D9">
        <w:t xml:space="preserve">acute hospital </w:t>
      </w:r>
      <w:r w:rsidR="00CF6395" w:rsidRPr="00CD64D9">
        <w:t xml:space="preserve">to </w:t>
      </w:r>
      <w:r w:rsidR="003D54FB" w:rsidRPr="00CD64D9">
        <w:t>reduce the waiting list</w:t>
      </w:r>
      <w:r w:rsidR="006A7CC6" w:rsidRPr="00CD64D9">
        <w:t xml:space="preserve"> through elective </w:t>
      </w:r>
      <w:r w:rsidR="00CF6395" w:rsidRPr="00CD64D9">
        <w:t>treatment</w:t>
      </w:r>
      <w:r w:rsidR="003D54FB" w:rsidRPr="00CD64D9">
        <w:t>s</w:t>
      </w:r>
      <w:r w:rsidR="00F4380C" w:rsidRPr="00CD64D9">
        <w:t xml:space="preserve"> </w:t>
      </w:r>
      <w:r w:rsidR="00F10BE0" w:rsidRPr="00CD64D9">
        <w:t>over</w:t>
      </w:r>
      <w:r w:rsidR="00F4380C" w:rsidRPr="00CD64D9">
        <w:t xml:space="preserve"> </w:t>
      </w:r>
      <w:r w:rsidR="00F10BE0" w:rsidRPr="00CD64D9">
        <w:t xml:space="preserve">a </w:t>
      </w:r>
      <w:r w:rsidR="00F4380C" w:rsidRPr="00CD64D9">
        <w:t xml:space="preserve">given </w:t>
      </w:r>
      <w:proofErr w:type="gramStart"/>
      <w:r w:rsidR="00977120" w:rsidRPr="00CD64D9">
        <w:t xml:space="preserve">period of </w:t>
      </w:r>
      <w:r w:rsidR="00F4380C" w:rsidRPr="00CD64D9">
        <w:t>time</w:t>
      </w:r>
      <w:proofErr w:type="gramEnd"/>
      <w:r w:rsidR="00D94E94" w:rsidRPr="00CD64D9">
        <w:t>.</w:t>
      </w:r>
      <w:r w:rsidR="00CA5A8C" w:rsidRPr="00CD64D9">
        <w:t xml:space="preserve"> </w:t>
      </w:r>
      <w:bookmarkStart w:id="0" w:name="_Hlk184297346"/>
      <w:r w:rsidR="005675FC" w:rsidRPr="00CD64D9">
        <w:t>At an operational level</w:t>
      </w:r>
      <w:r w:rsidR="00CA5A8C" w:rsidRPr="00CD64D9">
        <w:t xml:space="preserve">, this depends on the </w:t>
      </w:r>
      <w:r w:rsidR="002513C4" w:rsidRPr="00CD64D9">
        <w:t>throughput</w:t>
      </w:r>
      <w:r w:rsidR="008E2D41" w:rsidRPr="00CD64D9">
        <w:t>s</w:t>
      </w:r>
      <w:r w:rsidR="002513C4" w:rsidRPr="00CD64D9">
        <w:t xml:space="preserve"> of </w:t>
      </w:r>
      <w:r w:rsidR="00F4380C" w:rsidRPr="00CD64D9">
        <w:t xml:space="preserve">the constituent </w:t>
      </w:r>
      <w:r w:rsidR="002513C4" w:rsidRPr="00CD64D9">
        <w:t xml:space="preserve">elective pathway </w:t>
      </w:r>
      <w:r w:rsidR="00F4380C" w:rsidRPr="00CD64D9">
        <w:t>activities</w:t>
      </w:r>
      <w:r w:rsidR="00B45223" w:rsidRPr="00CD64D9">
        <w:t>, such as outpatient clinics, diagnostics, beds and operating theatre slots.</w:t>
      </w:r>
      <w:r w:rsidR="008E0446" w:rsidRPr="00CD64D9">
        <w:t xml:space="preserve"> </w:t>
      </w:r>
      <w:bookmarkStart w:id="1" w:name="_Hlk184297361"/>
      <w:bookmarkEnd w:id="0"/>
      <w:r w:rsidR="008E0446" w:rsidRPr="00CD64D9">
        <w:t xml:space="preserve">At a strategic level, </w:t>
      </w:r>
      <w:r w:rsidR="00AA6F58" w:rsidRPr="00CD64D9">
        <w:t xml:space="preserve">these activities </w:t>
      </w:r>
      <w:r w:rsidR="008E2D41" w:rsidRPr="00CD64D9">
        <w:t>are</w:t>
      </w:r>
      <w:r w:rsidR="00EA75D9" w:rsidRPr="00CD64D9">
        <w:t xml:space="preserve"> </w:t>
      </w:r>
      <w:r w:rsidR="00AA6F58" w:rsidRPr="00CD64D9">
        <w:t>bundled into an overall capacity to perform</w:t>
      </w:r>
      <w:r w:rsidR="00A32DF1" w:rsidRPr="00CD64D9">
        <w:t xml:space="preserve"> elective</w:t>
      </w:r>
      <w:r w:rsidR="00AA6F58" w:rsidRPr="00CD64D9">
        <w:t xml:space="preserve"> ‘</w:t>
      </w:r>
      <w:proofErr w:type="gramStart"/>
      <w:r w:rsidR="00AA6F58" w:rsidRPr="00CD64D9">
        <w:t>treatments’</w:t>
      </w:r>
      <w:proofErr w:type="gramEnd"/>
      <w:r w:rsidR="00AA6F58" w:rsidRPr="00CD64D9">
        <w:t>.</w:t>
      </w:r>
      <w:bookmarkEnd w:id="1"/>
    </w:p>
    <w:p w14:paraId="313F5CCB" w14:textId="3534E834" w:rsidR="00CA5A8C" w:rsidRPr="00CD64D9" w:rsidRDefault="00CA5A8C" w:rsidP="00E44CB6">
      <w:pPr>
        <w:pStyle w:val="ListParagraph"/>
        <w:numPr>
          <w:ilvl w:val="0"/>
          <w:numId w:val="13"/>
        </w:numPr>
        <w:jc w:val="both"/>
      </w:pPr>
      <w:r w:rsidRPr="00CD64D9">
        <w:rPr>
          <w:b/>
          <w:bCs/>
        </w:rPr>
        <w:t>Treatments</w:t>
      </w:r>
      <w:r w:rsidRPr="00CD64D9">
        <w:t xml:space="preserve">. </w:t>
      </w:r>
      <w:r w:rsidR="003D54FB" w:rsidRPr="00CD64D9">
        <w:t xml:space="preserve">Removals from the </w:t>
      </w:r>
      <w:r w:rsidR="00F10BE0" w:rsidRPr="00CD64D9">
        <w:t>waiting list due to elective treatment.</w:t>
      </w:r>
      <w:r w:rsidR="002513C4" w:rsidRPr="00CD64D9">
        <w:t xml:space="preserve"> The number of </w:t>
      </w:r>
      <w:r w:rsidR="002E2880" w:rsidRPr="00CD64D9">
        <w:t>treatments</w:t>
      </w:r>
      <w:r w:rsidR="002513C4" w:rsidRPr="00CD64D9">
        <w:t xml:space="preserve"> </w:t>
      </w:r>
      <w:proofErr w:type="gramStart"/>
      <w:r w:rsidR="00F10BE0" w:rsidRPr="00CD64D9">
        <w:t>in a given</w:t>
      </w:r>
      <w:proofErr w:type="gramEnd"/>
      <w:r w:rsidR="00F10BE0" w:rsidRPr="00CD64D9">
        <w:t xml:space="preserve"> period </w:t>
      </w:r>
      <w:r w:rsidR="002513C4" w:rsidRPr="00CD64D9">
        <w:t>is bounded above by capacity.</w:t>
      </w:r>
      <w:r w:rsidR="003651CE" w:rsidRPr="00CD64D9">
        <w:t xml:space="preserve"> </w:t>
      </w:r>
      <w:r w:rsidR="002E2880" w:rsidRPr="00CD64D9">
        <w:t>Note that treatment is taken to mark the first definitive treatment (e.g., hip replacement surgery) and not any follow-up activity (e.g., check-ups with the consultant).</w:t>
      </w:r>
    </w:p>
    <w:p w14:paraId="21C57568" w14:textId="327FA948" w:rsidR="003D54FB" w:rsidRPr="00CD64D9" w:rsidRDefault="00B23424" w:rsidP="00B277D3">
      <w:pPr>
        <w:pStyle w:val="ListParagraph"/>
        <w:numPr>
          <w:ilvl w:val="0"/>
          <w:numId w:val="13"/>
        </w:numPr>
        <w:jc w:val="both"/>
      </w:pPr>
      <w:r w:rsidRPr="00CD64D9">
        <w:rPr>
          <w:b/>
          <w:bCs/>
        </w:rPr>
        <w:t>Reneg</w:t>
      </w:r>
      <w:r w:rsidR="00A22860" w:rsidRPr="00CD64D9">
        <w:rPr>
          <w:b/>
          <w:bCs/>
        </w:rPr>
        <w:t>es</w:t>
      </w:r>
      <w:r w:rsidR="00F81E0B" w:rsidRPr="00CD64D9">
        <w:t>.</w:t>
      </w:r>
      <w:r w:rsidR="00A4096D" w:rsidRPr="00CD64D9">
        <w:t xml:space="preserve"> </w:t>
      </w:r>
      <w:bookmarkStart w:id="2" w:name="_Hlk184297514"/>
      <w:r w:rsidR="003D54FB" w:rsidRPr="00CD64D9">
        <w:t xml:space="preserve">Removals from the waiting list </w:t>
      </w:r>
      <w:r w:rsidR="00F10BE0" w:rsidRPr="00CD64D9">
        <w:t>without</w:t>
      </w:r>
      <w:r w:rsidR="003D54FB" w:rsidRPr="00CD64D9">
        <w:t xml:space="preserve"> treatment, </w:t>
      </w:r>
      <w:r w:rsidR="00F10BE0" w:rsidRPr="00CD64D9">
        <w:t xml:space="preserve">such as </w:t>
      </w:r>
      <w:r w:rsidR="003D54FB" w:rsidRPr="00CD64D9">
        <w:t xml:space="preserve">due </w:t>
      </w:r>
      <w:r w:rsidR="00F10BE0" w:rsidRPr="00CD64D9">
        <w:t xml:space="preserve">to </w:t>
      </w:r>
      <w:r w:rsidR="00AA6F58" w:rsidRPr="00CD64D9">
        <w:t xml:space="preserve">death, relocation, patient choice, opting for </w:t>
      </w:r>
      <w:r w:rsidR="00F10BE0" w:rsidRPr="00CD64D9">
        <w:t xml:space="preserve">private </w:t>
      </w:r>
      <w:r w:rsidR="00AA6F58" w:rsidRPr="00CD64D9">
        <w:t xml:space="preserve">care, </w:t>
      </w:r>
      <w:r w:rsidR="00F10BE0" w:rsidRPr="00CD64D9">
        <w:t>or becoming inoperable</w:t>
      </w:r>
      <w:r w:rsidR="006237BA" w:rsidRPr="00CD64D9">
        <w:t xml:space="preserve"> due to elapsed waiting time</w:t>
      </w:r>
      <w:bookmarkEnd w:id="2"/>
      <w:r w:rsidR="00F10BE0" w:rsidRPr="00CD64D9">
        <w:t>.</w:t>
      </w:r>
      <w:r w:rsidR="00323B53" w:rsidRPr="00CD64D9">
        <w:t xml:space="preserve"> In England’s NHS, this is sometimes referred to as ‘ROTT’ – Removals Other Than Treatment.</w:t>
      </w:r>
    </w:p>
    <w:p w14:paraId="07DD35F7" w14:textId="40538303" w:rsidR="00F10BE0" w:rsidRPr="00CD64D9" w:rsidRDefault="00B23424" w:rsidP="00B277D3">
      <w:pPr>
        <w:pStyle w:val="ListParagraph"/>
        <w:numPr>
          <w:ilvl w:val="0"/>
          <w:numId w:val="13"/>
        </w:numPr>
        <w:jc w:val="both"/>
      </w:pPr>
      <w:r w:rsidRPr="00CD64D9">
        <w:rPr>
          <w:b/>
          <w:bCs/>
        </w:rPr>
        <w:lastRenderedPageBreak/>
        <w:t>Waiting list size</w:t>
      </w:r>
      <w:r w:rsidRPr="00CD64D9">
        <w:t>.</w:t>
      </w:r>
      <w:r w:rsidR="00A4096D" w:rsidRPr="00CD64D9">
        <w:t xml:space="preserve"> </w:t>
      </w:r>
      <w:r w:rsidR="00F10BE0" w:rsidRPr="00CD64D9">
        <w:t xml:space="preserve">The number of </w:t>
      </w:r>
      <w:r w:rsidR="00A32DF1" w:rsidRPr="00CD64D9">
        <w:t xml:space="preserve">open </w:t>
      </w:r>
      <w:r w:rsidR="00F10BE0" w:rsidRPr="00CD64D9">
        <w:t xml:space="preserve">referrals </w:t>
      </w:r>
      <w:r w:rsidR="008E2D41" w:rsidRPr="00CD64D9">
        <w:t xml:space="preserve">on the waiting list </w:t>
      </w:r>
      <w:r w:rsidR="006237BA" w:rsidRPr="00CD64D9">
        <w:t xml:space="preserve">at a given point in time </w:t>
      </w:r>
      <w:r w:rsidR="00F10BE0" w:rsidRPr="00CD64D9">
        <w:t>that are yet to renege or be treated.</w:t>
      </w:r>
    </w:p>
    <w:p w14:paraId="7A11D1A9" w14:textId="7730AC43" w:rsidR="006237BA" w:rsidRPr="00CD64D9" w:rsidRDefault="00B23424" w:rsidP="00B277D3">
      <w:pPr>
        <w:pStyle w:val="ListParagraph"/>
        <w:numPr>
          <w:ilvl w:val="0"/>
          <w:numId w:val="13"/>
        </w:numPr>
        <w:jc w:val="both"/>
      </w:pPr>
      <w:r w:rsidRPr="00CD64D9">
        <w:rPr>
          <w:b/>
          <w:bCs/>
        </w:rPr>
        <w:t>Waiting times</w:t>
      </w:r>
      <w:r w:rsidRPr="00CD64D9">
        <w:t>.</w:t>
      </w:r>
      <w:r w:rsidR="00A4096D" w:rsidRPr="00CD64D9">
        <w:t xml:space="preserve"> </w:t>
      </w:r>
      <w:r w:rsidR="00367FF7" w:rsidRPr="00CD64D9">
        <w:t xml:space="preserve">The duration of time from </w:t>
      </w:r>
      <w:r w:rsidR="003659C7" w:rsidRPr="00CD64D9">
        <w:t xml:space="preserve">GP referral </w:t>
      </w:r>
      <w:r w:rsidR="006237BA" w:rsidRPr="00CD64D9">
        <w:t>until a given point in time for referrals on the waiting list (i.e., referrals that are yet to renege or be treated).</w:t>
      </w:r>
    </w:p>
    <w:p w14:paraId="4D85D94F" w14:textId="11C26820" w:rsidR="00B23424" w:rsidRPr="00CD64D9" w:rsidRDefault="00B23424" w:rsidP="00B277D3">
      <w:pPr>
        <w:jc w:val="both"/>
      </w:pPr>
    </w:p>
    <w:p w14:paraId="4B3D5EE1" w14:textId="6C816277" w:rsidR="00096A1F" w:rsidRPr="00CD64D9" w:rsidRDefault="00B12A1A" w:rsidP="00B277D3">
      <w:pPr>
        <w:jc w:val="both"/>
      </w:pPr>
      <w:r w:rsidRPr="00CD64D9">
        <w:t xml:space="preserve">It is important to note the difference between strategic and operational consideration of the </w:t>
      </w:r>
      <w:r w:rsidR="00A32DF1" w:rsidRPr="00CD64D9">
        <w:t xml:space="preserve">waiting list </w:t>
      </w:r>
      <w:r w:rsidRPr="00CD64D9">
        <w:t xml:space="preserve">problem. The latter </w:t>
      </w:r>
      <w:r w:rsidR="00A33051" w:rsidRPr="00CD64D9">
        <w:t xml:space="preserve">– for guiding </w:t>
      </w:r>
      <w:r w:rsidRPr="00CD64D9">
        <w:t>day-to-day</w:t>
      </w:r>
      <w:r w:rsidR="00A33051" w:rsidRPr="00CD64D9">
        <w:t xml:space="preserve"> decision</w:t>
      </w:r>
      <w:r w:rsidRPr="00CD64D9">
        <w:t xml:space="preserve"> making</w:t>
      </w:r>
      <w:r w:rsidR="00A33051" w:rsidRPr="00CD64D9">
        <w:t xml:space="preserve">, often at the patient level and over </w:t>
      </w:r>
      <w:r w:rsidR="00F402F1" w:rsidRPr="00CD64D9">
        <w:t>the</w:t>
      </w:r>
      <w:r w:rsidR="00A33051" w:rsidRPr="00CD64D9">
        <w:t xml:space="preserve"> relatively near timeframe – is out of scope of this study. This</w:t>
      </w:r>
      <w:r w:rsidR="00F402F1" w:rsidRPr="00CD64D9">
        <w:t xml:space="preserve"> can</w:t>
      </w:r>
      <w:r w:rsidR="00A33051" w:rsidRPr="00CD64D9">
        <w:t xml:space="preserve"> require detailed modelling exercises bespoke to the pathway under consideration, typically involving queueing models built around the various </w:t>
      </w:r>
      <w:r w:rsidR="00686EC1" w:rsidRPr="00CD64D9">
        <w:t xml:space="preserve">consultation, diagnostic and treatment </w:t>
      </w:r>
      <w:r w:rsidR="00A33051" w:rsidRPr="00CD64D9">
        <w:t xml:space="preserve">activities particular to that pathway and through use of granular local data for model calibration. While this type of modelling can provide a much richer </w:t>
      </w:r>
      <w:r w:rsidRPr="00CD64D9">
        <w:t>description</w:t>
      </w:r>
      <w:r w:rsidR="00A33051" w:rsidRPr="00CD64D9">
        <w:t xml:space="preserve"> of the pathway dynamics, such as in identifying bottlenecks and specific resource deficits, it represents a level of complexity </w:t>
      </w:r>
      <w:r w:rsidR="00A32DF1" w:rsidRPr="00CD64D9">
        <w:t xml:space="preserve">(arguably) </w:t>
      </w:r>
      <w:r w:rsidR="00A33051" w:rsidRPr="00CD64D9">
        <w:t xml:space="preserve">unrequired for consideration </w:t>
      </w:r>
      <w:r w:rsidR="00686EC1" w:rsidRPr="00CD64D9">
        <w:t>to</w:t>
      </w:r>
      <w:r w:rsidR="00A33051" w:rsidRPr="00CD64D9">
        <w:t xml:space="preserve"> </w:t>
      </w:r>
      <w:r w:rsidR="00522FEE" w:rsidRPr="00CD64D9">
        <w:t>matters of</w:t>
      </w:r>
      <w:r w:rsidR="00A33051" w:rsidRPr="00CD64D9">
        <w:t xml:space="preserve"> wider longer-term strategy</w:t>
      </w:r>
      <w:r w:rsidR="00131E04" w:rsidRPr="00CD64D9">
        <w:t xml:space="preserve"> and policy</w:t>
      </w:r>
      <w:r w:rsidR="00A33051" w:rsidRPr="00CD64D9">
        <w:t xml:space="preserve">, </w:t>
      </w:r>
      <w:r w:rsidR="00232B56" w:rsidRPr="00CD64D9">
        <w:t>such as</w:t>
      </w:r>
      <w:r w:rsidR="00D63A8B" w:rsidRPr="00CD64D9">
        <w:t xml:space="preserve"> those </w:t>
      </w:r>
      <w:r w:rsidR="008C3F32" w:rsidRPr="00CD64D9">
        <w:t>exemplified</w:t>
      </w:r>
      <w:r w:rsidR="00D63A8B" w:rsidRPr="00CD64D9">
        <w:t xml:space="preserve"> in</w:t>
      </w:r>
      <w:r w:rsidR="00232B56" w:rsidRPr="00CD64D9">
        <w:t xml:space="preserve"> th</w:t>
      </w:r>
      <w:r w:rsidR="00D63A8B" w:rsidRPr="00CD64D9">
        <w:t xml:space="preserve">e abovementioned </w:t>
      </w:r>
      <w:r w:rsidR="008C3F32" w:rsidRPr="00CD64D9">
        <w:t xml:space="preserve">demand-side and supply-side </w:t>
      </w:r>
      <w:r w:rsidR="00D63A8B" w:rsidRPr="00CD64D9">
        <w:t>what-if scenario</w:t>
      </w:r>
      <w:r w:rsidR="008C3F32" w:rsidRPr="00CD64D9">
        <w:t>s</w:t>
      </w:r>
      <w:r w:rsidR="00D63A8B" w:rsidRPr="00CD64D9">
        <w:t xml:space="preserve">. Additionally, the bespoke understanding, data, and modelling required for supporting operational </w:t>
      </w:r>
      <w:r w:rsidR="00686EC1" w:rsidRPr="00CD64D9">
        <w:t xml:space="preserve">application </w:t>
      </w:r>
      <w:r w:rsidR="00D63A8B" w:rsidRPr="00CD64D9">
        <w:t>inevitably limits scalability</w:t>
      </w:r>
      <w:r w:rsidR="009B0769" w:rsidRPr="00CD64D9">
        <w:t>, i.e. the ease with which the model can be used across different settings</w:t>
      </w:r>
      <w:r w:rsidR="001D6C16" w:rsidRPr="00CD64D9">
        <w:t>. A</w:t>
      </w:r>
      <w:r w:rsidR="00686EC1" w:rsidRPr="00CD64D9">
        <w:t xml:space="preserve">n advantage of working at the strategic level is </w:t>
      </w:r>
      <w:r w:rsidR="00E9085A" w:rsidRPr="00CD64D9">
        <w:t>the lesser need to consider pathway idiosyncrasies and the commoner availability of aggregate level data.</w:t>
      </w:r>
      <w:r w:rsidR="00D50AA8" w:rsidRPr="00CD64D9">
        <w:t xml:space="preserve"> </w:t>
      </w:r>
    </w:p>
    <w:p w14:paraId="69DBF248" w14:textId="77777777" w:rsidR="009B0769" w:rsidRPr="00CD64D9" w:rsidRDefault="009B0769" w:rsidP="00B277D3">
      <w:pPr>
        <w:jc w:val="both"/>
      </w:pPr>
    </w:p>
    <w:p w14:paraId="231FBD9F" w14:textId="55D5A3BB" w:rsidR="0075326A" w:rsidRPr="00CD64D9" w:rsidRDefault="009B0769" w:rsidP="00B277D3">
      <w:pPr>
        <w:jc w:val="both"/>
      </w:pPr>
      <w:r w:rsidRPr="00CD64D9">
        <w:t>In this paper, a strategic consideration of the elective waiting list problem is facilitated through a compartmental</w:t>
      </w:r>
      <w:r w:rsidR="001D6C16" w:rsidRPr="00CD64D9">
        <w:t xml:space="preserve"> stocks-and-flows</w:t>
      </w:r>
      <w:r w:rsidRPr="00CD64D9">
        <w:t xml:space="preserve"> model, in which the </w:t>
      </w:r>
      <w:r w:rsidR="006D6C8B" w:rsidRPr="00CD64D9">
        <w:t>stocks</w:t>
      </w:r>
      <w:r w:rsidR="001D6C16" w:rsidRPr="00CD64D9">
        <w:t xml:space="preserve"> (or </w:t>
      </w:r>
      <w:r w:rsidR="006D6C8B" w:rsidRPr="00CD64D9">
        <w:t>‘compartments’</w:t>
      </w:r>
      <w:r w:rsidR="001D6C16" w:rsidRPr="00CD64D9">
        <w:t>)</w:t>
      </w:r>
      <w:r w:rsidRPr="00CD64D9">
        <w:t xml:space="preserve"> </w:t>
      </w:r>
      <w:r w:rsidR="001D6C16" w:rsidRPr="00CD64D9">
        <w:t xml:space="preserve">are used to </w:t>
      </w:r>
      <w:r w:rsidRPr="00CD64D9">
        <w:t xml:space="preserve">represent different durations of waiting time. </w:t>
      </w:r>
      <w:bookmarkStart w:id="3" w:name="_Hlk184285134"/>
      <w:r w:rsidR="006D6C8B" w:rsidRPr="00CD64D9">
        <w:t>The</w:t>
      </w:r>
      <w:r w:rsidRPr="00CD64D9">
        <w:t xml:space="preserve"> model represents the continual process of patients</w:t>
      </w:r>
      <w:r w:rsidR="006D6C8B" w:rsidRPr="00CD64D9">
        <w:t xml:space="preserve"> </w:t>
      </w:r>
      <w:r w:rsidRPr="00CD64D9">
        <w:t>joining</w:t>
      </w:r>
      <w:r w:rsidR="006D6C8B" w:rsidRPr="00CD64D9">
        <w:t>, on referral,</w:t>
      </w:r>
      <w:r w:rsidRPr="00CD64D9">
        <w:t xml:space="preserve"> the first compartment and progressing sequentially in one direction through the remaining compartments, in line with their increasing waiting time. Patients may </w:t>
      </w:r>
      <w:r w:rsidR="006D6C8B" w:rsidRPr="00CD64D9">
        <w:t xml:space="preserve">at any time </w:t>
      </w:r>
      <w:r w:rsidRPr="00CD64D9">
        <w:t>be removed from the waiting list (i.e., any of the compartments) through treatment or other reasons, according to the configured capacity and reneging properties. The model may be applied at various modelling granularities, such as individual hospitals or specialties or aggregations thereof</w:t>
      </w:r>
      <w:r w:rsidR="006D6C8B" w:rsidRPr="00CD64D9">
        <w:t>, and may be calibrated in various ways (</w:t>
      </w:r>
      <w:bookmarkEnd w:id="3"/>
      <w:r w:rsidR="001D6C16" w:rsidRPr="00CD64D9">
        <w:t xml:space="preserve">e.g., statistical estimates, medical opinions, scenario generation) </w:t>
      </w:r>
      <w:r w:rsidR="006D6C8B" w:rsidRPr="00CD64D9">
        <w:t xml:space="preserve">in </w:t>
      </w:r>
      <w:r w:rsidR="001D6C16" w:rsidRPr="00CD64D9">
        <w:t>project</w:t>
      </w:r>
      <w:r w:rsidR="006D6C8B" w:rsidRPr="00CD64D9">
        <w:t>ing</w:t>
      </w:r>
      <w:r w:rsidR="001D6C16" w:rsidRPr="00CD64D9">
        <w:t xml:space="preserve"> the effect on future waiting lists and waiting times of any scenario </w:t>
      </w:r>
      <w:r w:rsidR="006D6C8B" w:rsidRPr="00CD64D9">
        <w:t xml:space="preserve">the user </w:t>
      </w:r>
      <w:r w:rsidR="001D6C16" w:rsidRPr="00CD64D9">
        <w:t>wish</w:t>
      </w:r>
      <w:r w:rsidR="00DA5F02" w:rsidRPr="00CD64D9">
        <w:t>es</w:t>
      </w:r>
      <w:r w:rsidR="001D6C16" w:rsidRPr="00CD64D9">
        <w:t xml:space="preserve"> to consider.</w:t>
      </w:r>
    </w:p>
    <w:p w14:paraId="6EC34A4A" w14:textId="77777777" w:rsidR="001D6C16" w:rsidRPr="00CD64D9" w:rsidRDefault="001D6C16" w:rsidP="00B277D3">
      <w:pPr>
        <w:jc w:val="both"/>
        <w:rPr>
          <w:color w:val="4472C4" w:themeColor="accent1"/>
        </w:rPr>
      </w:pPr>
    </w:p>
    <w:p w14:paraId="31F3B7FD" w14:textId="5C616C7A" w:rsidR="003A3443" w:rsidRPr="00CD64D9" w:rsidRDefault="003A3443" w:rsidP="00B277D3">
      <w:pPr>
        <w:jc w:val="both"/>
      </w:pPr>
      <w:r w:rsidRPr="00CD64D9">
        <w:t>The remainder of this paper is structured as follows. Section 2 provides a brief introduction to compartmental</w:t>
      </w:r>
      <w:r w:rsidR="00432B1E" w:rsidRPr="00CD64D9">
        <w:t xml:space="preserve"> stocks-and-flows</w:t>
      </w:r>
      <w:r w:rsidRPr="00CD64D9">
        <w:t xml:space="preserve"> modelling</w:t>
      </w:r>
      <w:r w:rsidR="00625503" w:rsidRPr="00CD64D9">
        <w:t xml:space="preserve"> and</w:t>
      </w:r>
      <w:r w:rsidRPr="00CD64D9">
        <w:t xml:space="preserve"> a review of </w:t>
      </w:r>
      <w:r w:rsidR="00EE4AB0" w:rsidRPr="00CD64D9">
        <w:t>application</w:t>
      </w:r>
      <w:r w:rsidR="00625503" w:rsidRPr="00CD64D9">
        <w:t>s</w:t>
      </w:r>
      <w:r w:rsidR="00EE4AB0" w:rsidRPr="00CD64D9">
        <w:t xml:space="preserve"> </w:t>
      </w:r>
      <w:r w:rsidR="00625503" w:rsidRPr="00CD64D9">
        <w:t xml:space="preserve">to </w:t>
      </w:r>
      <w:r w:rsidR="00EE4AB0" w:rsidRPr="00CD64D9">
        <w:t xml:space="preserve">modelling hospital </w:t>
      </w:r>
      <w:r w:rsidR="00D95087" w:rsidRPr="00CD64D9">
        <w:t>waiting list</w:t>
      </w:r>
      <w:r w:rsidR="00EE4AB0" w:rsidRPr="00CD64D9">
        <w:t>s</w:t>
      </w:r>
      <w:r w:rsidRPr="00CD64D9">
        <w:t xml:space="preserve">. Section 3 then presents a compartmental modelling methodology to </w:t>
      </w:r>
      <w:r w:rsidR="00EE4AB0" w:rsidRPr="00CD64D9">
        <w:t>facilitate</w:t>
      </w:r>
      <w:r w:rsidRPr="00CD64D9">
        <w:t xml:space="preserve"> strategic </w:t>
      </w:r>
      <w:r w:rsidR="00EE4AB0" w:rsidRPr="00CD64D9">
        <w:t xml:space="preserve">consideration </w:t>
      </w:r>
      <w:r w:rsidRPr="00CD64D9">
        <w:t xml:space="preserve">of </w:t>
      </w:r>
      <w:r w:rsidR="00EE4AB0" w:rsidRPr="00CD64D9">
        <w:t xml:space="preserve">the </w:t>
      </w:r>
      <w:r w:rsidRPr="00CD64D9">
        <w:t>waiting list</w:t>
      </w:r>
      <w:r w:rsidR="00EE4AB0" w:rsidRPr="00CD64D9">
        <w:t xml:space="preserve"> problem</w:t>
      </w:r>
      <w:r w:rsidR="00C47EBB" w:rsidRPr="00CD64D9">
        <w:t xml:space="preserve"> (which is implemented in open-source code)</w:t>
      </w:r>
      <w:r w:rsidRPr="00CD64D9">
        <w:t>. Once the methodology is described</w:t>
      </w:r>
      <w:r w:rsidR="00EE4AB0" w:rsidRPr="00CD64D9">
        <w:t>,</w:t>
      </w:r>
      <w:r w:rsidRPr="00CD64D9">
        <w:t xml:space="preserve"> its successful (or otherwise) application will depend crucially on the model specification, validation and usage </w:t>
      </w:r>
      <w:r w:rsidR="00C47EBB" w:rsidRPr="00CD64D9">
        <w:t>in</w:t>
      </w:r>
      <w:r w:rsidRPr="00CD64D9">
        <w:t xml:space="preserve"> investigat</w:t>
      </w:r>
      <w:r w:rsidR="00C47EBB" w:rsidRPr="00CD64D9">
        <w:t>ing</w:t>
      </w:r>
      <w:r w:rsidRPr="00CD64D9">
        <w:t xml:space="preserve"> the strategic scenarios of interest. These three aspects are</w:t>
      </w:r>
      <w:r w:rsidR="00C47EBB" w:rsidRPr="00CD64D9">
        <w:t xml:space="preserve"> respectively</w:t>
      </w:r>
      <w:r w:rsidRPr="00CD64D9">
        <w:t xml:space="preserve"> demonstrated for an example application of the methodology</w:t>
      </w:r>
      <w:r w:rsidR="00C47EBB" w:rsidRPr="00CD64D9">
        <w:t xml:space="preserve"> – to </w:t>
      </w:r>
      <w:r w:rsidR="00CE6952" w:rsidRPr="00CD64D9">
        <w:t>projecting</w:t>
      </w:r>
      <w:r w:rsidR="00C47EBB" w:rsidRPr="00CD64D9">
        <w:t xml:space="preserve"> the </w:t>
      </w:r>
      <w:r w:rsidR="00C20EAA" w:rsidRPr="00CD64D9">
        <w:t xml:space="preserve">consultant-led </w:t>
      </w:r>
      <w:r w:rsidR="00C47EBB" w:rsidRPr="00CD64D9">
        <w:t>England national elective waiting list</w:t>
      </w:r>
      <w:r w:rsidR="005F6162" w:rsidRPr="00CD64D9">
        <w:t xml:space="preserve"> for two years from year-end 2023</w:t>
      </w:r>
      <w:r w:rsidR="00C47EBB" w:rsidRPr="00CD64D9">
        <w:t xml:space="preserve"> –</w:t>
      </w:r>
      <w:r w:rsidRPr="00CD64D9">
        <w:t xml:space="preserve"> in </w:t>
      </w:r>
      <w:r w:rsidR="00536865" w:rsidRPr="00CD64D9">
        <w:t>S</w:t>
      </w:r>
      <w:r w:rsidRPr="00CD64D9">
        <w:t>ection 4 (</w:t>
      </w:r>
      <w:r w:rsidR="00536865" w:rsidRPr="00CD64D9">
        <w:t>setting, data and calibration</w:t>
      </w:r>
      <w:r w:rsidRPr="00CD64D9">
        <w:t xml:space="preserve">), </w:t>
      </w:r>
      <w:r w:rsidR="00536865" w:rsidRPr="00CD64D9">
        <w:t>S</w:t>
      </w:r>
      <w:r w:rsidRPr="00CD64D9">
        <w:t xml:space="preserve">ection 5 (model validation) and </w:t>
      </w:r>
      <w:r w:rsidR="00C47EBB" w:rsidRPr="00CD64D9">
        <w:t>S</w:t>
      </w:r>
      <w:r w:rsidRPr="00CD64D9">
        <w:t xml:space="preserve">ection 6 (scenario analysis). </w:t>
      </w:r>
      <w:r w:rsidR="00C47EBB" w:rsidRPr="00CD64D9">
        <w:t xml:space="preserve">Finally, some implications of the work are discussed in </w:t>
      </w:r>
      <w:r w:rsidRPr="00CD64D9">
        <w:t>Section 7</w:t>
      </w:r>
      <w:r w:rsidR="00C47EBB" w:rsidRPr="00CD64D9">
        <w:t>.</w:t>
      </w:r>
    </w:p>
    <w:p w14:paraId="49A55397" w14:textId="77777777" w:rsidR="00604068" w:rsidRPr="00CD64D9" w:rsidRDefault="00604068" w:rsidP="00B277D3">
      <w:pPr>
        <w:jc w:val="both"/>
        <w:rPr>
          <w:color w:val="FF0000"/>
        </w:rPr>
      </w:pPr>
    </w:p>
    <w:p w14:paraId="112851D1" w14:textId="77777777" w:rsidR="00BD2A19" w:rsidRPr="00CD64D9" w:rsidRDefault="00BD2A19" w:rsidP="00B277D3">
      <w:pPr>
        <w:jc w:val="both"/>
        <w:rPr>
          <w:color w:val="FF0000"/>
        </w:rPr>
      </w:pPr>
    </w:p>
    <w:p w14:paraId="2335E073" w14:textId="4AB62476" w:rsidR="0075326A" w:rsidRPr="00CD64D9" w:rsidRDefault="00663407" w:rsidP="00B277D3">
      <w:pPr>
        <w:jc w:val="both"/>
        <w:rPr>
          <w:b/>
          <w:bCs/>
        </w:rPr>
      </w:pPr>
      <w:r w:rsidRPr="00CD64D9">
        <w:rPr>
          <w:b/>
          <w:bCs/>
        </w:rPr>
        <w:t xml:space="preserve">2. Literature </w:t>
      </w:r>
      <w:r w:rsidR="00F074A8" w:rsidRPr="00CD64D9">
        <w:rPr>
          <w:b/>
          <w:bCs/>
        </w:rPr>
        <w:t>r</w:t>
      </w:r>
      <w:r w:rsidRPr="00CD64D9">
        <w:rPr>
          <w:b/>
          <w:bCs/>
        </w:rPr>
        <w:t>eview</w:t>
      </w:r>
    </w:p>
    <w:p w14:paraId="72202227" w14:textId="77777777" w:rsidR="0075326A" w:rsidRPr="00CD64D9" w:rsidRDefault="0075326A" w:rsidP="00B277D3">
      <w:pPr>
        <w:jc w:val="both"/>
        <w:rPr>
          <w:color w:val="FF0000"/>
        </w:rPr>
      </w:pPr>
    </w:p>
    <w:p w14:paraId="0B9B275A" w14:textId="630DD391" w:rsidR="00C20701" w:rsidRPr="00CD64D9" w:rsidRDefault="00DB627E" w:rsidP="00B277D3">
      <w:pPr>
        <w:jc w:val="both"/>
      </w:pPr>
      <w:r w:rsidRPr="00CD64D9">
        <w:t>The modelling approach propose</w:t>
      </w:r>
      <w:r w:rsidR="00432B1E" w:rsidRPr="00CD64D9">
        <w:t>d</w:t>
      </w:r>
      <w:r w:rsidRPr="00CD64D9">
        <w:t xml:space="preserve"> in this paper </w:t>
      </w:r>
      <w:r w:rsidR="00EC0185" w:rsidRPr="00CD64D9">
        <w:t>is based on a stocks</w:t>
      </w:r>
      <w:r w:rsidR="00432B1E" w:rsidRPr="00CD64D9">
        <w:t>-</w:t>
      </w:r>
      <w:r w:rsidR="00EC0185" w:rsidRPr="00CD64D9">
        <w:t>and</w:t>
      </w:r>
      <w:r w:rsidR="00432B1E" w:rsidRPr="00CD64D9">
        <w:t>-</w:t>
      </w:r>
      <w:r w:rsidR="00EC0185" w:rsidRPr="00CD64D9">
        <w:t>flows methodology</w:t>
      </w:r>
      <w:r w:rsidRPr="00CD64D9">
        <w:t>, making use of the concept of</w:t>
      </w:r>
      <w:r w:rsidR="00432B1E" w:rsidRPr="00CD64D9">
        <w:t xml:space="preserve"> the stocks</w:t>
      </w:r>
      <w:r w:rsidRPr="00CD64D9">
        <w:t xml:space="preserve"> </w:t>
      </w:r>
      <w:r w:rsidR="00432B1E" w:rsidRPr="00CD64D9">
        <w:t>(or ‘</w:t>
      </w:r>
      <w:r w:rsidRPr="00CD64D9">
        <w:t>compartments’</w:t>
      </w:r>
      <w:r w:rsidR="00432B1E" w:rsidRPr="00CD64D9">
        <w:t>)</w:t>
      </w:r>
      <w:r w:rsidRPr="00CD64D9">
        <w:t xml:space="preserve"> to indicate the duration of time that patients have spent awaiting treatment. </w:t>
      </w:r>
      <w:r w:rsidR="00EC0185" w:rsidRPr="00CD64D9">
        <w:t xml:space="preserve">In the </w:t>
      </w:r>
      <w:r w:rsidR="000B3331" w:rsidRPr="00CD64D9">
        <w:t xml:space="preserve">discrete-time </w:t>
      </w:r>
      <w:r w:rsidR="00EC0185" w:rsidRPr="00CD64D9">
        <w:t>case of a single compartment model</w:t>
      </w:r>
      <w:r w:rsidRPr="00CD64D9">
        <w:t xml:space="preserve"> (i.e., only one stock)</w:t>
      </w:r>
      <w:r w:rsidR="00376C32" w:rsidRPr="00CD64D9">
        <w:t>,</w:t>
      </w:r>
      <w:r w:rsidR="00EC0185" w:rsidRPr="00CD64D9">
        <w:t xml:space="preserve"> this simply means that the </w:t>
      </w:r>
      <w:r w:rsidR="00432B1E" w:rsidRPr="00CD64D9">
        <w:t xml:space="preserve">value of the </w:t>
      </w:r>
      <w:r w:rsidR="00EC0185" w:rsidRPr="00CD64D9">
        <w:t xml:space="preserve">stock at time </w:t>
      </w:r>
      <w:r w:rsidR="00EC0185" w:rsidRPr="00CD64D9">
        <w:rPr>
          <w:i/>
          <w:iCs/>
        </w:rPr>
        <w:t>T</w:t>
      </w:r>
      <w:r w:rsidR="00376C32" w:rsidRPr="00CD64D9">
        <w:t xml:space="preserve">, denoted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376C32" w:rsidRPr="00CD64D9">
        <w:rPr>
          <w:rFonts w:eastAsiaTheme="minorEastAsia"/>
        </w:rPr>
        <w:t>,</w:t>
      </w:r>
      <w:r w:rsidR="00EC0185" w:rsidRPr="00CD64D9">
        <w:t xml:space="preserve"> is calculated from the starting stock</w:t>
      </w:r>
      <w:r w:rsidR="00432B1E" w:rsidRPr="00CD64D9">
        <w:t xml:space="preserve"> level</w:t>
      </w:r>
      <w:r w:rsidR="00EC0185" w:rsidRPr="00CD64D9">
        <w:t xml:space="preserve"> at time 0</w:t>
      </w:r>
      <w:r w:rsidR="00376C32" w:rsidRPr="00CD64D9">
        <w:t xml:space="preserve">, denoted </w:t>
      </w:r>
      <m:oMath>
        <m:sSub>
          <m:sSubPr>
            <m:ctrlPr>
              <w:rPr>
                <w:rFonts w:ascii="Cambria Math" w:hAnsi="Cambria Math"/>
                <w:i/>
              </w:rPr>
            </m:ctrlPr>
          </m:sSubPr>
          <m:e>
            <m:r>
              <w:rPr>
                <w:rFonts w:ascii="Cambria Math" w:hAnsi="Cambria Math"/>
              </w:rPr>
              <m:t>S</m:t>
            </m:r>
          </m:e>
          <m:sub>
            <m:r>
              <w:rPr>
                <w:rFonts w:ascii="Cambria Math" w:hAnsi="Cambria Math"/>
              </w:rPr>
              <m:t>0</m:t>
            </m:r>
          </m:sub>
        </m:sSub>
      </m:oMath>
      <w:r w:rsidR="00376C32" w:rsidRPr="00CD64D9">
        <w:rPr>
          <w:rFonts w:eastAsiaTheme="minorEastAsia"/>
        </w:rPr>
        <w:t>,</w:t>
      </w:r>
      <w:r w:rsidR="00EC0185" w:rsidRPr="00CD64D9">
        <w:t xml:space="preserve"> by repeated use of the equation</w:t>
      </w:r>
      <w:bookmarkStart w:id="4" w:name="_Hlk169105919"/>
      <w:r w:rsidR="00376C32" w:rsidRPr="00CD64D9">
        <w:t xml:space="preserve"> </w:t>
      </w:r>
      <m:oMath>
        <m:sSub>
          <m:sSubPr>
            <m:ctrlPr>
              <w:rPr>
                <w:rFonts w:ascii="Cambria Math" w:hAnsi="Cambria Math"/>
                <w:i/>
              </w:rPr>
            </m:ctrlPr>
          </m:sSubPr>
          <m:e>
            <m:r>
              <w:rPr>
                <w:rFonts w:ascii="Cambria Math" w:hAnsi="Cambria Math"/>
              </w:rPr>
              <m:t>S</m:t>
            </m:r>
          </m:e>
          <m:sub>
            <m:r>
              <w:rPr>
                <w:rFonts w:ascii="Cambria Math" w:hAnsi="Cambria Math"/>
              </w:rPr>
              <m:t>t</m:t>
            </m:r>
          </m:sub>
        </m:sSub>
        <w:bookmarkEnd w:id="4"/>
        <m:r>
          <w:rPr>
            <w:rFonts w:ascii="Cambria Math" w:eastAsiaTheme="minorEastAsia" w:hAnsi="Cambria Math"/>
          </w:rPr>
          <m:t>=</m:t>
        </m:r>
        <m:sSub>
          <m:sSubPr>
            <m:ctrlPr>
              <w:rPr>
                <w:rFonts w:ascii="Cambria Math" w:hAnsi="Cambria Math"/>
                <w:i/>
              </w:rPr>
            </m:ctrlPr>
          </m:sSubPr>
          <m:e>
            <m:r>
              <w:rPr>
                <w:rFonts w:ascii="Cambria Math" w:hAnsi="Cambria Math"/>
              </w:rPr>
              <m:t>S</m:t>
            </m:r>
          </m:e>
          <m:sub>
            <m:r>
              <w:rPr>
                <w:rFonts w:ascii="Cambria Math" w:hAnsi="Cambria Math"/>
              </w:rPr>
              <m:t>t-1</m:t>
            </m:r>
          </m:sub>
        </m:sSub>
        <m:r>
          <w:rPr>
            <w:rFonts w:ascii="Cambria Math" w:hAnsi="Cambria Math"/>
          </w:rPr>
          <m:t>+</m:t>
        </m:r>
        <w:bookmarkStart w:id="5" w:name="_Hlk169106517"/>
        <m:sSub>
          <m:sSubPr>
            <m:ctrlPr>
              <w:rPr>
                <w:rFonts w:ascii="Cambria Math" w:hAnsi="Cambria Math"/>
                <w:i/>
              </w:rPr>
            </m:ctrlPr>
          </m:sSubPr>
          <m:e>
            <m:r>
              <w:rPr>
                <w:rFonts w:ascii="Cambria Math" w:hAnsi="Cambria Math"/>
              </w:rPr>
              <m:t>I</m:t>
            </m:r>
          </m:e>
          <m:sub>
            <m:r>
              <w:rPr>
                <w:rFonts w:ascii="Cambria Math" w:hAnsi="Cambria Math"/>
              </w:rPr>
              <m:t>t</m:t>
            </m:r>
          </m:sub>
        </m:sSub>
        <w:bookmarkEnd w:id="5"/>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t</m:t>
            </m:r>
          </m:sub>
        </m:sSub>
      </m:oMath>
      <w:r w:rsidR="00376C32" w:rsidRPr="00CD64D9">
        <w:rPr>
          <w:rFonts w:eastAsiaTheme="minorEastAsia"/>
        </w:rPr>
        <w:t xml:space="preserve"> </w:t>
      </w:r>
      <w:r w:rsidR="00C20701" w:rsidRPr="00CD64D9">
        <w:rPr>
          <w:rFonts w:eastAsiaTheme="minorEastAsia"/>
        </w:rPr>
        <w:t>for</w:t>
      </w:r>
      <w:r w:rsidR="00C20701" w:rsidRPr="00CD64D9">
        <w:rPr>
          <w:rFonts w:eastAsiaTheme="minorEastAsia"/>
          <w:i/>
          <w:iCs/>
        </w:rPr>
        <w:t xml:space="preserve"> </w:t>
      </w:r>
      <m:oMath>
        <m:r>
          <w:rPr>
            <w:rFonts w:ascii="Cambria Math" w:eastAsiaTheme="minorEastAsia" w:hAnsi="Cambria Math"/>
          </w:rPr>
          <m:t>t∈</m:t>
        </m:r>
        <m:d>
          <m:dPr>
            <m:begChr m:val="{"/>
            <m:endChr m:val="}"/>
            <m:ctrlPr>
              <w:rPr>
                <w:rFonts w:ascii="Cambria Math" w:eastAsiaTheme="minorEastAsia" w:hAnsi="Cambria Math"/>
                <w:i/>
              </w:rPr>
            </m:ctrlPr>
          </m:dPr>
          <m:e>
            <m:r>
              <w:rPr>
                <w:rFonts w:ascii="Cambria Math" w:eastAsiaTheme="minorEastAsia" w:hAnsi="Cambria Math"/>
              </w:rPr>
              <m:t>1,2,…,T</m:t>
            </m:r>
          </m:e>
        </m:d>
      </m:oMath>
      <w:r w:rsidR="00376C32" w:rsidRPr="00CD64D9">
        <w:rPr>
          <w:rFonts w:eastAsiaTheme="minorEastAsia"/>
        </w:rPr>
        <w:t xml:space="preserve">, </w:t>
      </w:r>
      <w:r w:rsidR="00C20701" w:rsidRPr="00CD64D9">
        <w:rPr>
          <w:rFonts w:eastAsiaTheme="minorEastAsia"/>
        </w:rPr>
        <w:t xml:space="preserve">where </w:t>
      </w:r>
      <w:bookmarkStart w:id="6" w:name="_Hlk169106585"/>
      <m:oMath>
        <m:sSub>
          <m:sSubPr>
            <m:ctrlPr>
              <w:rPr>
                <w:rFonts w:ascii="Cambria Math" w:hAnsi="Cambria Math"/>
                <w:i/>
              </w:rPr>
            </m:ctrlPr>
          </m:sSubPr>
          <m:e>
            <m:r>
              <w:rPr>
                <w:rFonts w:ascii="Cambria Math" w:hAnsi="Cambria Math"/>
              </w:rPr>
              <m:t>I</m:t>
            </m:r>
          </m:e>
          <m:sub>
            <m:r>
              <w:rPr>
                <w:rFonts w:ascii="Cambria Math" w:hAnsi="Cambria Math"/>
              </w:rPr>
              <m:t>t</m:t>
            </m:r>
          </m:sub>
        </m:sSub>
      </m:oMath>
      <w:r w:rsidR="00C20701" w:rsidRPr="00CD64D9">
        <w:rPr>
          <w:rFonts w:eastAsiaTheme="minorEastAsia"/>
        </w:rPr>
        <w:t xml:space="preserve"> </w:t>
      </w:r>
      <w:bookmarkEnd w:id="6"/>
      <w:r w:rsidR="00C20701" w:rsidRPr="00CD64D9">
        <w:rPr>
          <w:rFonts w:eastAsiaTheme="minorEastAsia"/>
        </w:rPr>
        <w:t xml:space="preserve">and </w:t>
      </w:r>
      <m:oMath>
        <m:sSub>
          <m:sSubPr>
            <m:ctrlPr>
              <w:rPr>
                <w:rFonts w:ascii="Cambria Math" w:hAnsi="Cambria Math"/>
                <w:i/>
              </w:rPr>
            </m:ctrlPr>
          </m:sSubPr>
          <m:e>
            <m:r>
              <w:rPr>
                <w:rFonts w:ascii="Cambria Math" w:hAnsi="Cambria Math"/>
              </w:rPr>
              <m:t>O</m:t>
            </m:r>
          </m:e>
          <m:sub>
            <m:r>
              <w:rPr>
                <w:rFonts w:ascii="Cambria Math" w:hAnsi="Cambria Math"/>
              </w:rPr>
              <m:t>t</m:t>
            </m:r>
          </m:sub>
        </m:sSub>
      </m:oMath>
      <w:r w:rsidR="00C20701" w:rsidRPr="00CD64D9">
        <w:rPr>
          <w:rFonts w:eastAsiaTheme="minorEastAsia"/>
        </w:rPr>
        <w:t xml:space="preserve"> are the inflows from and outflows to the outside world</w:t>
      </w:r>
      <w:r w:rsidR="00E761D4" w:rsidRPr="00CD64D9">
        <w:rPr>
          <w:rFonts w:eastAsiaTheme="minorEastAsia"/>
        </w:rPr>
        <w:t xml:space="preserve"> in the time interval </w:t>
      </w:r>
      <m:oMath>
        <m:r>
          <w:rPr>
            <w:rFonts w:ascii="Cambria Math" w:eastAsiaTheme="minorEastAsia" w:hAnsi="Cambria Math"/>
          </w:rPr>
          <m:t>t-1</m:t>
        </m:r>
      </m:oMath>
      <w:r w:rsidR="00E761D4" w:rsidRPr="00CD64D9">
        <w:rPr>
          <w:rFonts w:eastAsiaTheme="minorEastAsia"/>
        </w:rPr>
        <w:t xml:space="preserve"> to </w:t>
      </w:r>
      <w:r w:rsidR="00E761D4" w:rsidRPr="00CD64D9">
        <w:rPr>
          <w:rFonts w:eastAsiaTheme="minorEastAsia"/>
          <w:i/>
          <w:iCs/>
        </w:rPr>
        <w:t>t</w:t>
      </w:r>
      <w:r w:rsidR="00E761D4" w:rsidRPr="00CD64D9">
        <w:rPr>
          <w:rFonts w:eastAsiaTheme="minorEastAsia"/>
        </w:rPr>
        <w:t>.</w:t>
      </w:r>
      <w:r w:rsidR="00813A33" w:rsidRPr="00CD64D9">
        <w:rPr>
          <w:rFonts w:eastAsiaTheme="minorEastAsia"/>
        </w:rPr>
        <w:t xml:space="preserve"> </w:t>
      </w:r>
      <w:r w:rsidR="00E761D4" w:rsidRPr="00CD64D9">
        <w:rPr>
          <w:rFonts w:eastAsiaTheme="minorEastAsia"/>
        </w:rPr>
        <w:t xml:space="preserve">If the model has more than one </w:t>
      </w:r>
      <w:r w:rsidR="00134656" w:rsidRPr="00CD64D9">
        <w:rPr>
          <w:rFonts w:eastAsiaTheme="minorEastAsia"/>
        </w:rPr>
        <w:t>stock</w:t>
      </w:r>
      <w:r w:rsidR="00376C32" w:rsidRPr="00CD64D9">
        <w:rPr>
          <w:rFonts w:eastAsiaTheme="minorEastAsia"/>
        </w:rPr>
        <w:t>,</w:t>
      </w:r>
      <w:r w:rsidR="00E761D4" w:rsidRPr="00CD64D9">
        <w:rPr>
          <w:rFonts w:eastAsiaTheme="minorEastAsia"/>
        </w:rPr>
        <w:t xml:space="preserve"> the same logic applies to each stock, augmented to include flows between the stocks alongside the flows into and out of each stock directly with the outside world.</w:t>
      </w:r>
    </w:p>
    <w:p w14:paraId="77DAC131" w14:textId="49C8FBFD" w:rsidR="00EC0185" w:rsidRPr="00CD64D9" w:rsidRDefault="00EC0185" w:rsidP="00B277D3">
      <w:pPr>
        <w:jc w:val="both"/>
      </w:pPr>
    </w:p>
    <w:p w14:paraId="43383DA1" w14:textId="6BDA8CEB" w:rsidR="004112DD" w:rsidRPr="00CD64D9" w:rsidRDefault="00134656" w:rsidP="00B277D3">
      <w:pPr>
        <w:jc w:val="both"/>
      </w:pPr>
      <w:r w:rsidRPr="00CD64D9">
        <w:t xml:space="preserve">Stocks-and-flows </w:t>
      </w:r>
      <w:r w:rsidR="004112DD" w:rsidRPr="00CD64D9">
        <w:t>models</w:t>
      </w:r>
      <w:r w:rsidR="00644ED1" w:rsidRPr="00CD64D9">
        <w:t xml:space="preserve"> are often used to provide a mechanistic representation of a problem, and</w:t>
      </w:r>
      <w:r w:rsidR="004112DD" w:rsidRPr="00CD64D9">
        <w:t xml:space="preserve"> have </w:t>
      </w:r>
      <w:r w:rsidR="00644ED1" w:rsidRPr="00CD64D9">
        <w:t xml:space="preserve">accordingly </w:t>
      </w:r>
      <w:r w:rsidR="004112DD" w:rsidRPr="00CD64D9">
        <w:t xml:space="preserve">been widely used in epidemiology, in approximating the progression of disease within </w:t>
      </w:r>
      <w:r w:rsidR="004112DD" w:rsidRPr="00CD64D9">
        <w:lastRenderedPageBreak/>
        <w:t xml:space="preserve">populations where the </w:t>
      </w:r>
      <w:r w:rsidRPr="00CD64D9">
        <w:t>stocks</w:t>
      </w:r>
      <w:r w:rsidR="004112DD" w:rsidRPr="00CD64D9">
        <w:t xml:space="preserve"> represent the disease states that individuals may pass through. Perhaps the most common, and basic, of these is the Susceptible-Infected-Removed (SIR) variant, which models the flow of individuals between the state of being susceptible to the disease, infected by the disease (and symptomatic/contagious), and either recovered (and immune) or deceased [</w:t>
      </w:r>
      <w:r w:rsidR="00C97AD1" w:rsidRPr="00CD64D9">
        <w:t>13</w:t>
      </w:r>
      <w:r w:rsidR="004112DD" w:rsidRPr="00CD64D9">
        <w:t>]. This type of model has been used for various communicable diseases such as</w:t>
      </w:r>
      <w:r w:rsidR="00E0273C" w:rsidRPr="00CD64D9">
        <w:t xml:space="preserve"> </w:t>
      </w:r>
      <w:r w:rsidR="000349F0" w:rsidRPr="00CD64D9">
        <w:t>tuberculosis [</w:t>
      </w:r>
      <w:r w:rsidR="00C97AD1" w:rsidRPr="00CD64D9">
        <w:t>14</w:t>
      </w:r>
      <w:r w:rsidR="000349F0" w:rsidRPr="00CD64D9">
        <w:t xml:space="preserve">], </w:t>
      </w:r>
      <w:r w:rsidR="00E0273C" w:rsidRPr="00CD64D9">
        <w:t xml:space="preserve">dengue fever </w:t>
      </w:r>
      <w:r w:rsidR="000349F0" w:rsidRPr="00CD64D9">
        <w:t>[</w:t>
      </w:r>
      <w:r w:rsidR="00C97AD1" w:rsidRPr="00CD64D9">
        <w:t>15</w:t>
      </w:r>
      <w:r w:rsidR="000349F0" w:rsidRPr="00CD64D9">
        <w:t>], and, more recently, COVID-19 [</w:t>
      </w:r>
      <w:r w:rsidR="00C97AD1" w:rsidRPr="00CD64D9">
        <w:t>16</w:t>
      </w:r>
      <w:r w:rsidR="000349F0" w:rsidRPr="00CD64D9">
        <w:t>].</w:t>
      </w:r>
      <w:r w:rsidR="004112DD" w:rsidRPr="00CD64D9">
        <w:t xml:space="preserve"> Transitions between </w:t>
      </w:r>
      <w:r w:rsidRPr="00CD64D9">
        <w:t>states</w:t>
      </w:r>
      <w:r w:rsidR="004112DD" w:rsidRPr="00CD64D9">
        <w:t xml:space="preserve"> and time spent in each </w:t>
      </w:r>
      <w:r w:rsidRPr="00CD64D9">
        <w:t>state</w:t>
      </w:r>
      <w:r w:rsidR="004112DD" w:rsidRPr="00CD64D9">
        <w:t xml:space="preserve"> is governed by parameters relating to transmissibility and illness duration. </w:t>
      </w:r>
      <w:r w:rsidR="00D604AD" w:rsidRPr="00CD64D9">
        <w:t xml:space="preserve">While typically formulated and solved in continuous time through differential equations, these models can also be approached in discrete time, through difference equations </w:t>
      </w:r>
      <w:r w:rsidR="004112DD" w:rsidRPr="00CD64D9">
        <w:t>[</w:t>
      </w:r>
      <w:r w:rsidR="00C97AD1" w:rsidRPr="00CD64D9">
        <w:t>17</w:t>
      </w:r>
      <w:r w:rsidR="004112DD" w:rsidRPr="00CD64D9">
        <w:t>].</w:t>
      </w:r>
    </w:p>
    <w:p w14:paraId="35365D60" w14:textId="77777777" w:rsidR="00854FC3" w:rsidRPr="00CD64D9" w:rsidRDefault="00854FC3" w:rsidP="00B277D3">
      <w:pPr>
        <w:jc w:val="both"/>
      </w:pPr>
    </w:p>
    <w:p w14:paraId="35EFE328" w14:textId="1BAE7D9D" w:rsidR="00727176" w:rsidRPr="00CD64D9" w:rsidRDefault="00854FC3" w:rsidP="00B277D3">
      <w:pPr>
        <w:jc w:val="both"/>
      </w:pPr>
      <w:r w:rsidRPr="00CD64D9">
        <w:t xml:space="preserve">An early example of the use of </w:t>
      </w:r>
      <w:r w:rsidR="00134656" w:rsidRPr="00CD64D9">
        <w:t>stocks-and-flows</w:t>
      </w:r>
      <w:r w:rsidRPr="00CD64D9">
        <w:t xml:space="preserve"> models for </w:t>
      </w:r>
      <w:r w:rsidR="00E84A35" w:rsidRPr="00CD64D9">
        <w:t xml:space="preserve">hospital </w:t>
      </w:r>
      <w:r w:rsidRPr="00CD64D9">
        <w:t xml:space="preserve">waiting lists is </w:t>
      </w:r>
      <w:r w:rsidR="00F531DA" w:rsidRPr="00CD64D9">
        <w:t xml:space="preserve">described </w:t>
      </w:r>
      <w:r w:rsidR="003A3F72" w:rsidRPr="00CD64D9">
        <w:t>by</w:t>
      </w:r>
      <w:r w:rsidR="00F531DA" w:rsidRPr="00CD64D9">
        <w:t xml:space="preserve"> </w:t>
      </w:r>
      <w:r w:rsidRPr="00CD64D9">
        <w:t xml:space="preserve">Worthington </w:t>
      </w:r>
      <w:r w:rsidR="000349F0" w:rsidRPr="00CD64D9">
        <w:t>[</w:t>
      </w:r>
      <w:r w:rsidR="00C97AD1" w:rsidRPr="00CD64D9">
        <w:t>18</w:t>
      </w:r>
      <w:r w:rsidR="000349F0" w:rsidRPr="00CD64D9">
        <w:t>]</w:t>
      </w:r>
      <w:r w:rsidRPr="00CD64D9">
        <w:t xml:space="preserve">, with separate </w:t>
      </w:r>
      <w:r w:rsidR="00134656" w:rsidRPr="00CD64D9">
        <w:t>stocks</w:t>
      </w:r>
      <w:r w:rsidRPr="00CD64D9">
        <w:t xml:space="preserve"> used to distinguish between waiting lists for outpatient activit</w:t>
      </w:r>
      <w:r w:rsidR="00E84A35" w:rsidRPr="00CD64D9">
        <w:t>ies</w:t>
      </w:r>
      <w:r w:rsidRPr="00CD64D9">
        <w:t xml:space="preserve"> and waiting lists for inpatient activit</w:t>
      </w:r>
      <w:r w:rsidR="00E84A35" w:rsidRPr="00CD64D9">
        <w:t>ies</w:t>
      </w:r>
      <w:r w:rsidRPr="00CD64D9">
        <w:t xml:space="preserve">. </w:t>
      </w:r>
      <w:r w:rsidR="000E3940" w:rsidRPr="00CD64D9">
        <w:t xml:space="preserve">Transitions between </w:t>
      </w:r>
      <w:r w:rsidR="00134656" w:rsidRPr="00CD64D9">
        <w:t>stocks</w:t>
      </w:r>
      <w:r w:rsidR="000E3940" w:rsidRPr="00CD64D9">
        <w:t xml:space="preserve"> were used to represent GP referrals to the consultant, outpatient </w:t>
      </w:r>
      <w:r w:rsidR="005D3589" w:rsidRPr="00CD64D9">
        <w:t>activity (for treatment o</w:t>
      </w:r>
      <w:r w:rsidR="00723506" w:rsidRPr="00CD64D9">
        <w:t>r</w:t>
      </w:r>
      <w:r w:rsidR="005D3589" w:rsidRPr="00CD64D9">
        <w:t xml:space="preserve"> assessment), and </w:t>
      </w:r>
      <w:proofErr w:type="spellStart"/>
      <w:r w:rsidR="005D3589" w:rsidRPr="00CD64D9">
        <w:t>daycase</w:t>
      </w:r>
      <w:proofErr w:type="spellEnd"/>
      <w:r w:rsidR="005D3589" w:rsidRPr="00CD64D9">
        <w:t xml:space="preserve"> and inpatient treatment. </w:t>
      </w:r>
      <w:r w:rsidRPr="00CD64D9">
        <w:t xml:space="preserve">This work focussed on the operational management of waiting lists, and hence separate models were built for separate consultants to reflect the independent nature of </w:t>
      </w:r>
      <w:r w:rsidR="00E84A35" w:rsidRPr="00CD64D9">
        <w:t>specialists’ waiting lists.</w:t>
      </w:r>
      <w:r w:rsidR="00727176" w:rsidRPr="00CD64D9">
        <w:t xml:space="preserve"> </w:t>
      </w:r>
    </w:p>
    <w:p w14:paraId="0E301E79" w14:textId="77777777" w:rsidR="00727176" w:rsidRPr="00CD64D9" w:rsidRDefault="00727176" w:rsidP="00B277D3">
      <w:pPr>
        <w:jc w:val="both"/>
      </w:pPr>
    </w:p>
    <w:p w14:paraId="4BB0861B" w14:textId="06562F02" w:rsidR="00A61706" w:rsidRPr="00CD64D9" w:rsidRDefault="00E84A35" w:rsidP="00B277D3">
      <w:pPr>
        <w:jc w:val="both"/>
      </w:pPr>
      <w:r w:rsidRPr="00CD64D9">
        <w:t xml:space="preserve">Vissers et al </w:t>
      </w:r>
      <w:r w:rsidR="000349F0" w:rsidRPr="00CD64D9">
        <w:t>[</w:t>
      </w:r>
      <w:r w:rsidR="00C97AD1" w:rsidRPr="00CD64D9">
        <w:t>19</w:t>
      </w:r>
      <w:r w:rsidR="000349F0" w:rsidRPr="00CD64D9">
        <w:t>]</w:t>
      </w:r>
      <w:r w:rsidRPr="00CD64D9">
        <w:t xml:space="preserve"> describe an operations management view of </w:t>
      </w:r>
      <w:r w:rsidR="00AE4BC4" w:rsidRPr="00CD64D9">
        <w:t xml:space="preserve">the </w:t>
      </w:r>
      <w:r w:rsidRPr="00CD64D9">
        <w:t xml:space="preserve">waiting list </w:t>
      </w:r>
      <w:r w:rsidR="00AE4BC4" w:rsidRPr="00CD64D9">
        <w:t>problem</w:t>
      </w:r>
      <w:r w:rsidR="005A1210" w:rsidRPr="00CD64D9">
        <w:t xml:space="preserve">, at the heart of which is </w:t>
      </w:r>
      <w:r w:rsidRPr="00CD64D9">
        <w:t xml:space="preserve">a single </w:t>
      </w:r>
      <w:r w:rsidR="00134656" w:rsidRPr="00CD64D9">
        <w:t>stock</w:t>
      </w:r>
      <w:r w:rsidRPr="00CD64D9">
        <w:t xml:space="preserve"> model</w:t>
      </w:r>
      <w:r w:rsidR="005A1210" w:rsidRPr="00CD64D9">
        <w:t xml:space="preserve"> which </w:t>
      </w:r>
      <w:r w:rsidR="00AE4BC4" w:rsidRPr="00CD64D9">
        <w:t>is</w:t>
      </w:r>
      <w:r w:rsidR="005A1210" w:rsidRPr="00CD64D9">
        <w:t xml:space="preserve"> refer</w:t>
      </w:r>
      <w:r w:rsidR="00AE4BC4" w:rsidRPr="00CD64D9">
        <w:t>red</w:t>
      </w:r>
      <w:r w:rsidR="005A1210" w:rsidRPr="00CD64D9">
        <w:t xml:space="preserve"> to as an ‘input-output’ model. They demonstrate their approach by using it to predict future waiting lists for cataract treatments at a regional level</w:t>
      </w:r>
      <w:r w:rsidR="00321BB6" w:rsidRPr="00CD64D9">
        <w:t xml:space="preserve"> in the Netherlands.</w:t>
      </w:r>
      <w:r w:rsidR="00FB4910" w:rsidRPr="00CD64D9">
        <w:t xml:space="preserve"> More recently, and focusing on the impact of </w:t>
      </w:r>
      <w:r w:rsidR="006B5184" w:rsidRPr="00CD64D9">
        <w:t>COVID-19</w:t>
      </w:r>
      <w:r w:rsidR="00FB4910" w:rsidRPr="00CD64D9">
        <w:t xml:space="preserve">, Wood </w:t>
      </w:r>
      <w:r w:rsidR="000349F0" w:rsidRPr="00CD64D9">
        <w:t>[</w:t>
      </w:r>
      <w:r w:rsidR="00C97AD1" w:rsidRPr="00CD64D9">
        <w:t>20</w:t>
      </w:r>
      <w:r w:rsidR="000349F0" w:rsidRPr="00CD64D9">
        <w:t>]</w:t>
      </w:r>
      <w:r w:rsidR="00FB4910" w:rsidRPr="00CD64D9">
        <w:t xml:space="preserve"> </w:t>
      </w:r>
      <w:r w:rsidR="000E3940" w:rsidRPr="00CD64D9">
        <w:t xml:space="preserve">uses a single </w:t>
      </w:r>
      <w:r w:rsidR="00134656" w:rsidRPr="00CD64D9">
        <w:t>stock</w:t>
      </w:r>
      <w:r w:rsidR="000E3940" w:rsidRPr="00CD64D9">
        <w:t xml:space="preserve"> model for investigating the strategic management of NHS waiting lists post</w:t>
      </w:r>
      <w:r w:rsidR="00376C32" w:rsidRPr="00CD64D9">
        <w:t xml:space="preserve"> COVID-19</w:t>
      </w:r>
      <w:r w:rsidR="0074176D" w:rsidRPr="00CD64D9">
        <w:t xml:space="preserve"> (Figure 1)</w:t>
      </w:r>
      <w:r w:rsidR="000E3940" w:rsidRPr="00CD64D9">
        <w:t>.</w:t>
      </w:r>
      <w:r w:rsidR="005D3589" w:rsidRPr="00CD64D9">
        <w:t xml:space="preserve"> In this case</w:t>
      </w:r>
      <w:r w:rsidR="00376C32" w:rsidRPr="00CD64D9">
        <w:t>,</w:t>
      </w:r>
      <w:r w:rsidR="005D3589" w:rsidRPr="00CD64D9">
        <w:t xml:space="preserve"> </w:t>
      </w:r>
      <w:r w:rsidR="00134656" w:rsidRPr="00CD64D9">
        <w:t>flows</w:t>
      </w:r>
      <w:r w:rsidR="005D3589" w:rsidRPr="00CD64D9">
        <w:t xml:space="preserve"> into and out of the single </w:t>
      </w:r>
      <w:r w:rsidR="00134656" w:rsidRPr="00CD64D9">
        <w:t>stock</w:t>
      </w:r>
      <w:r w:rsidR="005D3589" w:rsidRPr="00CD64D9">
        <w:t xml:space="preserve"> represent referrals and completed treatments, where a treatment could be completed by a single outpatient appointment, a </w:t>
      </w:r>
      <w:proofErr w:type="spellStart"/>
      <w:r w:rsidR="005D3589" w:rsidRPr="00CD64D9">
        <w:t>daycase</w:t>
      </w:r>
      <w:proofErr w:type="spellEnd"/>
      <w:r w:rsidR="005D3589" w:rsidRPr="00CD64D9">
        <w:t xml:space="preserve"> treatment, an inpatient admission, or combinations thereof. Early validation tests </w:t>
      </w:r>
      <w:r w:rsidR="009C748F" w:rsidRPr="00CD64D9">
        <w:t xml:space="preserve">on the model </w:t>
      </w:r>
      <w:r w:rsidR="005D3589" w:rsidRPr="00CD64D9">
        <w:t xml:space="preserve">showed </w:t>
      </w:r>
      <w:r w:rsidR="009C748F" w:rsidRPr="00CD64D9">
        <w:t xml:space="preserve">that </w:t>
      </w:r>
      <w:r w:rsidR="005D3589" w:rsidRPr="00CD64D9">
        <w:t xml:space="preserve">it was also essential to add a further </w:t>
      </w:r>
      <w:r w:rsidR="0074176D" w:rsidRPr="00CD64D9">
        <w:t>out</w:t>
      </w:r>
      <w:r w:rsidR="005D3589" w:rsidRPr="00CD64D9">
        <w:t xml:space="preserve">flow, referred to as ‘reneging’, </w:t>
      </w:r>
      <w:r w:rsidR="00AA0398" w:rsidRPr="00CD64D9">
        <w:t xml:space="preserve">to represent patients leaving </w:t>
      </w:r>
      <w:r w:rsidR="00EE1436" w:rsidRPr="00CD64D9">
        <w:t>the</w:t>
      </w:r>
      <w:r w:rsidR="00AA0398" w:rsidRPr="00CD64D9">
        <w:t xml:space="preserve"> waiting list for reasons other than completion of their treatment.</w:t>
      </w:r>
      <w:r w:rsidR="00C958BD" w:rsidRPr="00CD64D9">
        <w:t xml:space="preserve"> </w:t>
      </w:r>
      <w:r w:rsidR="005537DA" w:rsidRPr="00CD64D9">
        <w:t>In the scenarios considered</w:t>
      </w:r>
      <w:r w:rsidR="0074176D" w:rsidRPr="00CD64D9">
        <w:t>,</w:t>
      </w:r>
      <w:r w:rsidR="005537DA" w:rsidRPr="00CD64D9">
        <w:t xml:space="preserve"> t</w:t>
      </w:r>
      <w:r w:rsidR="00C958BD" w:rsidRPr="00CD64D9">
        <w:t xml:space="preserve">his was estimated to be a fraction </w:t>
      </w:r>
      <w:r w:rsidR="00C958BD" w:rsidRPr="00CD64D9">
        <w:rPr>
          <w:i/>
          <w:iCs/>
        </w:rPr>
        <w:t>r</w:t>
      </w:r>
      <w:r w:rsidR="00C958BD" w:rsidRPr="00CD64D9">
        <w:t xml:space="preserve"> of the waiting list</w:t>
      </w:r>
      <w:r w:rsidR="005537DA" w:rsidRPr="00CD64D9">
        <w:t xml:space="preserve"> </w:t>
      </w:r>
      <w:r w:rsidR="0074176D" w:rsidRPr="00CD64D9">
        <w:t>at</w:t>
      </w:r>
      <w:r w:rsidR="005537DA" w:rsidRPr="00CD64D9">
        <w:t xml:space="preserve"> each time step. </w:t>
      </w:r>
      <w:r w:rsidR="00AA0398" w:rsidRPr="00CD64D9">
        <w:t xml:space="preserve">The model was then used to project the impact on the total number of patients waiting for treatment for </w:t>
      </w:r>
      <w:r w:rsidR="0074176D" w:rsidRPr="00CD64D9">
        <w:t>various</w:t>
      </w:r>
      <w:r w:rsidR="00AA0398" w:rsidRPr="00CD64D9">
        <w:t xml:space="preserve"> hospital trust</w:t>
      </w:r>
      <w:r w:rsidR="0074176D" w:rsidRPr="00CD64D9">
        <w:t>s</w:t>
      </w:r>
      <w:r w:rsidR="00AA0398" w:rsidRPr="00CD64D9">
        <w:t xml:space="preserve"> for a range of possible future scenarios</w:t>
      </w:r>
      <w:r w:rsidR="007652F7" w:rsidRPr="00CD64D9">
        <w:t xml:space="preserve"> involving different levels of future demand (new referrals) and capacity (treatments)</w:t>
      </w:r>
      <w:r w:rsidR="00AA0398" w:rsidRPr="00CD64D9">
        <w:t xml:space="preserve">. </w:t>
      </w:r>
    </w:p>
    <w:p w14:paraId="2331093E" w14:textId="2921163A" w:rsidR="00AA0398" w:rsidRPr="00CD64D9" w:rsidRDefault="00AA0398" w:rsidP="00B277D3">
      <w:pPr>
        <w:jc w:val="both"/>
        <w:rPr>
          <w:color w:val="538135" w:themeColor="accent6" w:themeShade="BF"/>
        </w:rPr>
      </w:pPr>
    </w:p>
    <w:p w14:paraId="5AD31714" w14:textId="77777777" w:rsidR="009F268A" w:rsidRPr="00CD64D9" w:rsidRDefault="009F268A" w:rsidP="00B277D3">
      <w:pPr>
        <w:jc w:val="both"/>
        <w:rPr>
          <w:color w:val="538135" w:themeColor="accent6" w:themeShade="BF"/>
        </w:rPr>
      </w:pPr>
    </w:p>
    <w:p w14:paraId="42D1BDF0" w14:textId="1158460E" w:rsidR="00AA0398" w:rsidRPr="00CD64D9" w:rsidRDefault="009C748F" w:rsidP="00B277D3">
      <w:pPr>
        <w:jc w:val="center"/>
        <w:rPr>
          <w:color w:val="538135" w:themeColor="accent6" w:themeShade="BF"/>
        </w:rPr>
      </w:pPr>
      <w:r w:rsidRPr="00CD64D9">
        <w:rPr>
          <w:noProof/>
          <w:color w:val="FF0000"/>
        </w:rPr>
        <w:drawing>
          <wp:inline distT="0" distB="0" distL="0" distR="0" wp14:anchorId="02843672" wp14:editId="63DA6CBD">
            <wp:extent cx="3523045" cy="988828"/>
            <wp:effectExtent l="0" t="0" r="1270" b="1905"/>
            <wp:docPr id="2017089921" name="Picture 9" descr="A diagram of a referral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89921" name="Picture 9" descr="A diagram of a referral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0146" cy="1007662"/>
                    </a:xfrm>
                    <a:prstGeom prst="rect">
                      <a:avLst/>
                    </a:prstGeom>
                    <a:noFill/>
                    <a:ln>
                      <a:noFill/>
                    </a:ln>
                  </pic:spPr>
                </pic:pic>
              </a:graphicData>
            </a:graphic>
          </wp:inline>
        </w:drawing>
      </w:r>
    </w:p>
    <w:p w14:paraId="1E641795" w14:textId="77777777" w:rsidR="009F268A" w:rsidRPr="00CD64D9" w:rsidRDefault="009F268A" w:rsidP="00B277D3">
      <w:pPr>
        <w:jc w:val="center"/>
        <w:rPr>
          <w:color w:val="538135" w:themeColor="accent6" w:themeShade="BF"/>
        </w:rPr>
      </w:pPr>
    </w:p>
    <w:p w14:paraId="11B78254" w14:textId="331ED1B9" w:rsidR="009C748F" w:rsidRPr="00CD64D9" w:rsidRDefault="009C748F" w:rsidP="00B277D3">
      <w:pPr>
        <w:jc w:val="center"/>
      </w:pPr>
      <w:r w:rsidRPr="00CD64D9">
        <w:rPr>
          <w:b/>
          <w:bCs/>
        </w:rPr>
        <w:t>Figure 1</w:t>
      </w:r>
      <w:r w:rsidRPr="00CD64D9">
        <w:t>. Schematic of the wait</w:t>
      </w:r>
      <w:r w:rsidR="00B11EB0" w:rsidRPr="00CD64D9">
        <w:t xml:space="preserve">ing </w:t>
      </w:r>
      <w:r w:rsidRPr="00CD64D9">
        <w:t>list problem as modelled by Wood [2022].</w:t>
      </w:r>
    </w:p>
    <w:p w14:paraId="7AA64695" w14:textId="77777777" w:rsidR="009C748F" w:rsidRPr="00CD64D9" w:rsidRDefault="009C748F" w:rsidP="00B277D3">
      <w:pPr>
        <w:jc w:val="both"/>
        <w:rPr>
          <w:color w:val="538135" w:themeColor="accent6" w:themeShade="BF"/>
        </w:rPr>
      </w:pPr>
    </w:p>
    <w:p w14:paraId="1B44F2D0" w14:textId="77777777" w:rsidR="009F268A" w:rsidRPr="00CD64D9" w:rsidRDefault="009F268A" w:rsidP="00B277D3">
      <w:pPr>
        <w:jc w:val="both"/>
        <w:rPr>
          <w:color w:val="538135" w:themeColor="accent6" w:themeShade="BF"/>
        </w:rPr>
      </w:pPr>
    </w:p>
    <w:p w14:paraId="6B751A92" w14:textId="502085DC" w:rsidR="0022197C" w:rsidRPr="00CD64D9" w:rsidRDefault="001A2195" w:rsidP="00B277D3">
      <w:pPr>
        <w:jc w:val="both"/>
      </w:pPr>
      <w:r w:rsidRPr="00CD64D9">
        <w:t>Mo</w:t>
      </w:r>
      <w:r w:rsidR="0022197C" w:rsidRPr="00CD64D9">
        <w:t>re</w:t>
      </w:r>
      <w:r w:rsidRPr="00CD64D9">
        <w:t xml:space="preserve"> recently</w:t>
      </w:r>
      <w:r w:rsidR="007652F7" w:rsidRPr="00CD64D9">
        <w:t>,</w:t>
      </w:r>
      <w:r w:rsidRPr="00CD64D9">
        <w:t xml:space="preserve"> Shah et al </w:t>
      </w:r>
      <w:r w:rsidR="000349F0" w:rsidRPr="00CD64D9">
        <w:t>[</w:t>
      </w:r>
      <w:r w:rsidR="00C97AD1" w:rsidRPr="00CD64D9">
        <w:t>21</w:t>
      </w:r>
      <w:r w:rsidR="000349F0" w:rsidRPr="00CD64D9">
        <w:t>]</w:t>
      </w:r>
      <w:r w:rsidRPr="00CD64D9">
        <w:t xml:space="preserve"> </w:t>
      </w:r>
      <w:r w:rsidR="007652F7" w:rsidRPr="00CD64D9">
        <w:t xml:space="preserve">have </w:t>
      </w:r>
      <w:r w:rsidRPr="00CD64D9">
        <w:t xml:space="preserve">also used a single compartment </w:t>
      </w:r>
      <w:r w:rsidR="0022197C" w:rsidRPr="00CD64D9">
        <w:t>“stocks-and-flows model” to conceptually represent the waiting list problem</w:t>
      </w:r>
      <w:r w:rsidR="008D3E62" w:rsidRPr="00CD64D9">
        <w:t xml:space="preserve">, incorporating </w:t>
      </w:r>
      <w:r w:rsidR="0022197C" w:rsidRPr="00CD64D9">
        <w:t xml:space="preserve">a statistical approach (vector autoregression with exogenous variables) to </w:t>
      </w:r>
      <w:r w:rsidR="008D3E62" w:rsidRPr="00CD64D9">
        <w:t>estimate model parameters.</w:t>
      </w:r>
      <w:r w:rsidR="0022197C" w:rsidRPr="00CD64D9">
        <w:t xml:space="preserve"> </w:t>
      </w:r>
      <w:r w:rsidR="00AE0E22" w:rsidRPr="00CD64D9">
        <w:t>M</w:t>
      </w:r>
      <w:r w:rsidR="0022197C" w:rsidRPr="00CD64D9">
        <w:t xml:space="preserve">odel accuracy </w:t>
      </w:r>
      <w:r w:rsidR="00B03156" w:rsidRPr="00CD64D9">
        <w:t xml:space="preserve">is </w:t>
      </w:r>
      <w:r w:rsidR="00AE0E22" w:rsidRPr="00CD64D9">
        <w:t xml:space="preserve">not </w:t>
      </w:r>
      <w:r w:rsidR="0022197C" w:rsidRPr="00CD64D9">
        <w:t>reported and (like other single-</w:t>
      </w:r>
      <w:r w:rsidR="00134656" w:rsidRPr="00CD64D9">
        <w:t>stock</w:t>
      </w:r>
      <w:r w:rsidR="0022197C" w:rsidRPr="00CD64D9">
        <w:t xml:space="preserve"> setups) there is no consideration to waiting time</w:t>
      </w:r>
      <w:r w:rsidR="00B03156" w:rsidRPr="00CD64D9">
        <w:t>s</w:t>
      </w:r>
      <w:r w:rsidR="0022197C" w:rsidRPr="00CD64D9">
        <w:t>, only waiting list size.</w:t>
      </w:r>
    </w:p>
    <w:p w14:paraId="5D34444E" w14:textId="77777777" w:rsidR="0022197C" w:rsidRPr="00CD64D9" w:rsidRDefault="0022197C" w:rsidP="00B277D3">
      <w:pPr>
        <w:jc w:val="both"/>
      </w:pPr>
    </w:p>
    <w:p w14:paraId="60D74538" w14:textId="22B184FC" w:rsidR="00035682" w:rsidRPr="00CD64D9" w:rsidRDefault="00B03156" w:rsidP="00B277D3">
      <w:pPr>
        <w:jc w:val="both"/>
      </w:pPr>
      <w:r w:rsidRPr="00CD64D9">
        <w:t xml:space="preserve">Beyond compartment-based methodologies, Discrete Event Simulation (DES) models have been applied to the waiting list problem. Here, the modelling currency shifts from compartments (through which individuals flow) to the individuals themselves (and the events they experience). </w:t>
      </w:r>
      <w:r w:rsidR="0091621B" w:rsidRPr="00CD64D9">
        <w:t xml:space="preserve">While this type of </w:t>
      </w:r>
      <w:r w:rsidR="00644ED1" w:rsidRPr="00CD64D9">
        <w:t xml:space="preserve">mechanistic </w:t>
      </w:r>
      <w:r w:rsidR="0091621B" w:rsidRPr="00CD64D9">
        <w:t xml:space="preserve">modelling has been able to link to routine data, accounting for reneging and (some </w:t>
      </w:r>
      <w:r w:rsidR="00096A1F" w:rsidRPr="00CD64D9">
        <w:t xml:space="preserve">general </w:t>
      </w:r>
      <w:r w:rsidR="0091621B" w:rsidRPr="00CD64D9">
        <w:t>concept of) referral priority and projecting waiting times as well as waiting list size [</w:t>
      </w:r>
      <w:r w:rsidR="001B2AA0" w:rsidRPr="00CD64D9">
        <w:t>22</w:t>
      </w:r>
      <w:r w:rsidR="0091621B" w:rsidRPr="00CD64D9">
        <w:t xml:space="preserve">], the complexity of calibrating such models has prohibited scalable application. </w:t>
      </w:r>
    </w:p>
    <w:p w14:paraId="0D7F3286" w14:textId="77777777" w:rsidR="00035682" w:rsidRPr="00CD64D9" w:rsidRDefault="00035682" w:rsidP="00B277D3">
      <w:pPr>
        <w:jc w:val="both"/>
      </w:pPr>
    </w:p>
    <w:p w14:paraId="025DF070" w14:textId="4572F627" w:rsidR="00441F2F" w:rsidRPr="00CD64D9" w:rsidRDefault="00727176" w:rsidP="00B277D3">
      <w:pPr>
        <w:jc w:val="both"/>
      </w:pPr>
      <w:r w:rsidRPr="00CD64D9">
        <w:lastRenderedPageBreak/>
        <w:t xml:space="preserve">To summarise the current state of the literature: there are examples </w:t>
      </w:r>
      <w:r w:rsidR="006E5F0F" w:rsidRPr="00CD64D9">
        <w:t>in which detailed</w:t>
      </w:r>
      <w:r w:rsidRPr="00CD64D9">
        <w:t xml:space="preserve"> </w:t>
      </w:r>
      <w:r w:rsidR="00134656" w:rsidRPr="00CD64D9">
        <w:t>stocks-and-flows</w:t>
      </w:r>
      <w:r w:rsidR="006E5F0F" w:rsidRPr="00CD64D9">
        <w:t xml:space="preserve"> models are developed and used </w:t>
      </w:r>
      <w:r w:rsidR="001343AB" w:rsidRPr="00CD64D9">
        <w:t xml:space="preserve">with bespoke data </w:t>
      </w:r>
      <w:r w:rsidR="006E5F0F" w:rsidRPr="00CD64D9">
        <w:t xml:space="preserve">for bespoke problems of a more operational nature </w:t>
      </w:r>
      <w:r w:rsidR="000349F0" w:rsidRPr="00CD64D9">
        <w:t>[</w:t>
      </w:r>
      <w:r w:rsidR="00C97AD1" w:rsidRPr="00CD64D9">
        <w:t>18</w:t>
      </w:r>
      <w:r w:rsidR="000349F0" w:rsidRPr="00CD64D9">
        <w:t>]</w:t>
      </w:r>
      <w:r w:rsidR="0091621B" w:rsidRPr="00CD64D9">
        <w:t>;</w:t>
      </w:r>
      <w:r w:rsidR="006E5F0F" w:rsidRPr="00CD64D9">
        <w:t xml:space="preserve"> there are examples of </w:t>
      </w:r>
      <w:r w:rsidR="001343AB" w:rsidRPr="00CD64D9">
        <w:t xml:space="preserve">simpler but scalable </w:t>
      </w:r>
      <w:r w:rsidR="006E5F0F" w:rsidRPr="00CD64D9">
        <w:t>compartment</w:t>
      </w:r>
      <w:r w:rsidR="00D94941" w:rsidRPr="00CD64D9">
        <w:t>-based</w:t>
      </w:r>
      <w:r w:rsidR="006E5F0F" w:rsidRPr="00CD64D9">
        <w:t xml:space="preserve"> </w:t>
      </w:r>
      <w:r w:rsidR="00D94941" w:rsidRPr="00CD64D9">
        <w:t xml:space="preserve">mechanistic [19,20] and statistical [21] </w:t>
      </w:r>
      <w:r w:rsidR="006E5F0F" w:rsidRPr="00CD64D9">
        <w:t xml:space="preserve">models which </w:t>
      </w:r>
      <w:r w:rsidR="001343AB" w:rsidRPr="00CD64D9">
        <w:t>can be calibrated through routine data and used for strategic problems, but which lack the r</w:t>
      </w:r>
      <w:r w:rsidR="002419FD" w:rsidRPr="00CD64D9">
        <w:t>equisite detail to consider waiting times</w:t>
      </w:r>
      <w:r w:rsidR="00D94941" w:rsidRPr="00CD64D9">
        <w:t>; and there are examples of non-compartmental DES-based mechanistic models which have the necessary sophistication to consider waiting times but lack scalability [</w:t>
      </w:r>
      <w:r w:rsidR="001B2AA0" w:rsidRPr="00CD64D9">
        <w:t>22</w:t>
      </w:r>
      <w:r w:rsidR="00D94941" w:rsidRPr="00CD64D9">
        <w:t>]</w:t>
      </w:r>
      <w:r w:rsidR="002419FD" w:rsidRPr="00CD64D9">
        <w:t xml:space="preserve">. </w:t>
      </w:r>
      <w:r w:rsidR="00AE0E22" w:rsidRPr="00CD64D9">
        <w:t>Hence, w</w:t>
      </w:r>
      <w:r w:rsidR="002419FD" w:rsidRPr="00CD64D9">
        <w:t xml:space="preserve">here there is a deficit </w:t>
      </w:r>
      <w:r w:rsidR="001343AB" w:rsidRPr="00CD64D9">
        <w:t xml:space="preserve">is in strategic-use models that are scalable to different settings and scenarios, configurable on routine data, and sufficiently sophisticated to consider waiting times. </w:t>
      </w:r>
      <w:r w:rsidR="003A3F72" w:rsidRPr="00CD64D9">
        <w:t>That is the gap which this current paper intends to address</w:t>
      </w:r>
      <w:r w:rsidR="00450663" w:rsidRPr="00CD64D9">
        <w:t xml:space="preserve">. </w:t>
      </w:r>
      <w:r w:rsidR="00FA0B4B" w:rsidRPr="00CD64D9">
        <w:t>It should be noted that, t</w:t>
      </w:r>
      <w:r w:rsidR="00450663" w:rsidRPr="00CD64D9">
        <w:t>hrough</w:t>
      </w:r>
      <w:r w:rsidR="00134656" w:rsidRPr="00CD64D9">
        <w:t xml:space="preserve"> </w:t>
      </w:r>
      <w:r w:rsidR="00FA0B4B" w:rsidRPr="00CD64D9">
        <w:t>considering</w:t>
      </w:r>
      <w:r w:rsidR="00134656" w:rsidRPr="00CD64D9">
        <w:t xml:space="preserve"> </w:t>
      </w:r>
      <w:r w:rsidR="00FA0B4B" w:rsidRPr="00CD64D9">
        <w:t xml:space="preserve">the one-way flow of patients through </w:t>
      </w:r>
      <w:r w:rsidR="005A6BEF" w:rsidRPr="00CD64D9">
        <w:t xml:space="preserve">‘compartments’ </w:t>
      </w:r>
      <w:r w:rsidR="00FA0B4B" w:rsidRPr="00CD64D9">
        <w:t xml:space="preserve">representing increasing (waiting) time, the proposed model bears some similarity with the ‘tunnel state’ conceptualisation of Markov models. </w:t>
      </w:r>
      <w:r w:rsidR="00134656" w:rsidRPr="00CD64D9">
        <w:t>This device is well known in disease modelling where</w:t>
      </w:r>
      <w:r w:rsidR="00FA0B4B" w:rsidRPr="00CD64D9">
        <w:t>,</w:t>
      </w:r>
      <w:r w:rsidR="00134656" w:rsidRPr="00CD64D9">
        <w:t xml:space="preserve"> for example</w:t>
      </w:r>
      <w:r w:rsidR="00FA0B4B" w:rsidRPr="00CD64D9">
        <w:t>,</w:t>
      </w:r>
      <w:r w:rsidR="00134656" w:rsidRPr="00CD64D9">
        <w:t xml:space="preserve"> death rates may </w:t>
      </w:r>
      <w:r w:rsidR="00BF3853" w:rsidRPr="00CD64D9">
        <w:t>greaten</w:t>
      </w:r>
      <w:r w:rsidR="00134656" w:rsidRPr="00CD64D9">
        <w:t xml:space="preserve"> with </w:t>
      </w:r>
      <w:r w:rsidR="005A6BEF" w:rsidRPr="00CD64D9">
        <w:t xml:space="preserve">state transitions according to </w:t>
      </w:r>
      <w:r w:rsidR="00BF3853" w:rsidRPr="00CD64D9">
        <w:t xml:space="preserve">increasing </w:t>
      </w:r>
      <w:r w:rsidR="00134656" w:rsidRPr="00CD64D9">
        <w:t xml:space="preserve">time. </w:t>
      </w:r>
    </w:p>
    <w:p w14:paraId="1AC97CF2" w14:textId="77777777" w:rsidR="00441F2F" w:rsidRPr="00CD64D9" w:rsidRDefault="00441F2F" w:rsidP="00B277D3">
      <w:pPr>
        <w:jc w:val="both"/>
        <w:rPr>
          <w:b/>
          <w:bCs/>
        </w:rPr>
      </w:pPr>
    </w:p>
    <w:p w14:paraId="28303F55" w14:textId="77777777" w:rsidR="00E9085A" w:rsidRPr="00CD64D9" w:rsidRDefault="00E9085A" w:rsidP="00B277D3">
      <w:pPr>
        <w:jc w:val="both"/>
        <w:rPr>
          <w:b/>
          <w:bCs/>
        </w:rPr>
      </w:pPr>
    </w:p>
    <w:p w14:paraId="5B9B68C2" w14:textId="68DDA9D7" w:rsidR="00223506" w:rsidRPr="00CD64D9" w:rsidRDefault="00734FDC" w:rsidP="00B277D3">
      <w:pPr>
        <w:jc w:val="both"/>
        <w:rPr>
          <w:b/>
          <w:bCs/>
        </w:rPr>
      </w:pPr>
      <w:r w:rsidRPr="00CD64D9">
        <w:rPr>
          <w:b/>
          <w:bCs/>
        </w:rPr>
        <w:t>3.</w:t>
      </w:r>
      <w:r w:rsidR="00223506" w:rsidRPr="00CD64D9">
        <w:rPr>
          <w:b/>
          <w:bCs/>
        </w:rPr>
        <w:t xml:space="preserve"> </w:t>
      </w:r>
      <w:r w:rsidR="00822CF1" w:rsidRPr="00CD64D9">
        <w:rPr>
          <w:b/>
          <w:bCs/>
        </w:rPr>
        <w:t>Methodology, m</w:t>
      </w:r>
      <w:r w:rsidR="00A54486" w:rsidRPr="00CD64D9">
        <w:rPr>
          <w:b/>
          <w:bCs/>
        </w:rPr>
        <w:t>odel and solution</w:t>
      </w:r>
    </w:p>
    <w:p w14:paraId="445A049E" w14:textId="77777777" w:rsidR="003059D9" w:rsidRPr="00CD64D9" w:rsidRDefault="003059D9" w:rsidP="00B277D3">
      <w:pPr>
        <w:jc w:val="both"/>
      </w:pPr>
    </w:p>
    <w:p w14:paraId="5F07E2D1" w14:textId="1D1EAE5C" w:rsidR="00B2716D" w:rsidRPr="00CD64D9" w:rsidRDefault="00B2716D" w:rsidP="00B277D3">
      <w:pPr>
        <w:jc w:val="both"/>
      </w:pPr>
      <w:r w:rsidRPr="00CD64D9">
        <w:t>In this section</w:t>
      </w:r>
      <w:r w:rsidR="00C254EC" w:rsidRPr="00CD64D9">
        <w:t>,</w:t>
      </w:r>
      <w:r w:rsidRPr="00CD64D9">
        <w:t xml:space="preserve"> we first outline a compartmental </w:t>
      </w:r>
      <w:proofErr w:type="gramStart"/>
      <w:r w:rsidRPr="00CD64D9">
        <w:t>model</w:t>
      </w:r>
      <w:r w:rsidR="00BF68DF" w:rsidRPr="00CD64D9">
        <w:t>ling</w:t>
      </w:r>
      <w:r w:rsidRPr="00CD64D9">
        <w:t xml:space="preserve"> based</w:t>
      </w:r>
      <w:proofErr w:type="gramEnd"/>
      <w:r w:rsidRPr="00CD64D9">
        <w:t xml:space="preserve"> methodology </w:t>
      </w:r>
      <w:r w:rsidR="00822CF1" w:rsidRPr="00CD64D9">
        <w:t xml:space="preserve">designed to enable decision makers to predict the likely consequences of a range of </w:t>
      </w:r>
      <w:r w:rsidR="00053403" w:rsidRPr="00CD64D9">
        <w:t xml:space="preserve">demand- and supply-side </w:t>
      </w:r>
      <w:r w:rsidR="00822CF1" w:rsidRPr="00CD64D9">
        <w:t xml:space="preserve">strategic scenarios </w:t>
      </w:r>
      <w:r w:rsidR="00AA777D" w:rsidRPr="00CD64D9">
        <w:t xml:space="preserve">that </w:t>
      </w:r>
      <w:r w:rsidR="00DE3D94" w:rsidRPr="00CD64D9">
        <w:t xml:space="preserve">would be common considerations in the effective management of </w:t>
      </w:r>
      <w:r w:rsidR="00BF68DF" w:rsidRPr="00CD64D9">
        <w:t>an</w:t>
      </w:r>
      <w:r w:rsidR="00DE3D94" w:rsidRPr="00CD64D9">
        <w:t xml:space="preserve"> elective waiting list. </w:t>
      </w:r>
      <w:r w:rsidR="00D36ED8" w:rsidRPr="00CD64D9">
        <w:t>Fundamental</w:t>
      </w:r>
      <w:r w:rsidRPr="00CD64D9">
        <w:t xml:space="preserve"> requirements of the methodology are that it provide</w:t>
      </w:r>
      <w:r w:rsidR="00BF68DF" w:rsidRPr="00CD64D9">
        <w:t>s</w:t>
      </w:r>
      <w:r w:rsidRPr="00CD64D9">
        <w:t xml:space="preserve"> predictions of future waiting list sizes and of future waiting times for different sets of scenario assumptions. We then specify the</w:t>
      </w:r>
      <w:r w:rsidR="00BF68DF" w:rsidRPr="00CD64D9">
        <w:t xml:space="preserve"> </w:t>
      </w:r>
      <w:proofErr w:type="gramStart"/>
      <w:r w:rsidRPr="00CD64D9">
        <w:t>particular model</w:t>
      </w:r>
      <w:proofErr w:type="gramEnd"/>
      <w:r w:rsidRPr="00CD64D9">
        <w:t xml:space="preserve"> developed </w:t>
      </w:r>
      <w:r w:rsidR="00BF68DF" w:rsidRPr="00CD64D9">
        <w:t>for this purpose, followed by its solution method.</w:t>
      </w:r>
    </w:p>
    <w:p w14:paraId="181D854C" w14:textId="77777777" w:rsidR="00B2716D" w:rsidRPr="00CD64D9" w:rsidRDefault="00B2716D" w:rsidP="00B277D3">
      <w:pPr>
        <w:jc w:val="both"/>
        <w:rPr>
          <w:color w:val="538135" w:themeColor="accent6" w:themeShade="BF"/>
        </w:rPr>
      </w:pPr>
    </w:p>
    <w:p w14:paraId="3E6EB8CB" w14:textId="77777777" w:rsidR="00B2716D" w:rsidRPr="00CD64D9" w:rsidRDefault="00B2716D" w:rsidP="00B277D3">
      <w:pPr>
        <w:jc w:val="both"/>
      </w:pPr>
    </w:p>
    <w:p w14:paraId="2185B23A" w14:textId="668FE483" w:rsidR="00B2716D" w:rsidRPr="00CD64D9" w:rsidRDefault="00B2716D" w:rsidP="00B277D3">
      <w:pPr>
        <w:jc w:val="both"/>
        <w:rPr>
          <w:b/>
          <w:bCs/>
          <w:i/>
          <w:iCs/>
        </w:rPr>
      </w:pPr>
      <w:r w:rsidRPr="00CD64D9">
        <w:rPr>
          <w:b/>
          <w:bCs/>
          <w:i/>
          <w:iCs/>
        </w:rPr>
        <w:t>3.1 Methodology</w:t>
      </w:r>
      <w:r w:rsidR="008D54C7" w:rsidRPr="00CD64D9">
        <w:rPr>
          <w:b/>
          <w:bCs/>
          <w:i/>
          <w:iCs/>
        </w:rPr>
        <w:t xml:space="preserve"> </w:t>
      </w:r>
    </w:p>
    <w:p w14:paraId="70C5F653" w14:textId="77777777" w:rsidR="00B2716D" w:rsidRPr="00CD64D9" w:rsidRDefault="00B2716D" w:rsidP="00B277D3">
      <w:pPr>
        <w:jc w:val="both"/>
      </w:pPr>
    </w:p>
    <w:p w14:paraId="079635F3" w14:textId="77777777" w:rsidR="008D54C7" w:rsidRPr="00CD64D9" w:rsidRDefault="00BF68DF" w:rsidP="00B277D3">
      <w:pPr>
        <w:jc w:val="both"/>
      </w:pPr>
      <w:r w:rsidRPr="00CD64D9">
        <w:t>The requirement to predict</w:t>
      </w:r>
      <w:r w:rsidR="008D54C7" w:rsidRPr="00CD64D9">
        <w:t xml:space="preserve"> </w:t>
      </w:r>
      <w:r w:rsidRPr="00CD64D9">
        <w:t>future waiting times as well as future waiting lists</w:t>
      </w:r>
      <w:r w:rsidR="008D54C7" w:rsidRPr="00CD64D9">
        <w:t xml:space="preserve"> is achieved by:</w:t>
      </w:r>
    </w:p>
    <w:p w14:paraId="1F74CCB5" w14:textId="132AA3B5" w:rsidR="008D54C7" w:rsidRPr="00CD64D9" w:rsidRDefault="00C254EC" w:rsidP="00B277D3">
      <w:pPr>
        <w:pStyle w:val="ListParagraph"/>
        <w:numPr>
          <w:ilvl w:val="0"/>
          <w:numId w:val="20"/>
        </w:numPr>
        <w:jc w:val="both"/>
      </w:pPr>
      <w:r w:rsidRPr="00CD64D9">
        <w:t>S</w:t>
      </w:r>
      <w:r w:rsidR="008D54C7" w:rsidRPr="00CD64D9">
        <w:t>plitting the total waiting list stock (as in the single compartment model) into multiple compartments</w:t>
      </w:r>
      <w:r w:rsidR="00BF68DF" w:rsidRPr="00CD64D9">
        <w:t xml:space="preserve"> </w:t>
      </w:r>
      <w:r w:rsidR="008D54C7" w:rsidRPr="00CD64D9">
        <w:t>to distinguish patients on the waiting list according to the number of months for which they have already been on the waiting list</w:t>
      </w:r>
      <w:r w:rsidRPr="00CD64D9">
        <w:t>.</w:t>
      </w:r>
    </w:p>
    <w:p w14:paraId="4DEFD197" w14:textId="6C12045F" w:rsidR="00800A7D" w:rsidRPr="00CD64D9" w:rsidRDefault="00C254EC" w:rsidP="00B277D3">
      <w:pPr>
        <w:pStyle w:val="ListParagraph"/>
        <w:numPr>
          <w:ilvl w:val="0"/>
          <w:numId w:val="20"/>
        </w:numPr>
        <w:jc w:val="both"/>
      </w:pPr>
      <w:r w:rsidRPr="00CD64D9">
        <w:t>S</w:t>
      </w:r>
      <w:r w:rsidR="00800A7D" w:rsidRPr="00CD64D9">
        <w:t>pecifying future monthly reneging rates according to patients’ waiting times</w:t>
      </w:r>
      <w:r w:rsidRPr="00CD64D9">
        <w:t>.</w:t>
      </w:r>
    </w:p>
    <w:p w14:paraId="79240493" w14:textId="21EE8F94" w:rsidR="008D54C7" w:rsidRPr="00CD64D9" w:rsidRDefault="00C254EC" w:rsidP="00B277D3">
      <w:pPr>
        <w:pStyle w:val="ListParagraph"/>
        <w:numPr>
          <w:ilvl w:val="0"/>
          <w:numId w:val="20"/>
        </w:numPr>
        <w:jc w:val="both"/>
      </w:pPr>
      <w:r w:rsidRPr="00CD64D9">
        <w:t>S</w:t>
      </w:r>
      <w:r w:rsidR="00800A7D" w:rsidRPr="00CD64D9">
        <w:t>pecifying future monthly treatment capacities according to patients’ waiting times.</w:t>
      </w:r>
    </w:p>
    <w:p w14:paraId="58B2CB9C" w14:textId="77777777" w:rsidR="008D54C7" w:rsidRPr="00CD64D9" w:rsidRDefault="008D54C7" w:rsidP="00B277D3">
      <w:pPr>
        <w:jc w:val="both"/>
      </w:pPr>
    </w:p>
    <w:p w14:paraId="56EDFE1B" w14:textId="5806DAC2" w:rsidR="00822CF1" w:rsidRPr="00CD64D9" w:rsidRDefault="00800A7D" w:rsidP="00B277D3">
      <w:pPr>
        <w:jc w:val="both"/>
      </w:pPr>
      <w:r w:rsidRPr="00CD64D9">
        <w:t>Hence</w:t>
      </w:r>
      <w:r w:rsidR="00C254EC" w:rsidRPr="00CD64D9">
        <w:t>,</w:t>
      </w:r>
      <w:r w:rsidRPr="00CD64D9">
        <w:t xml:space="preserve"> in </w:t>
      </w:r>
      <w:r w:rsidR="00822CF1" w:rsidRPr="00CD64D9">
        <w:t>the methodology</w:t>
      </w:r>
      <w:r w:rsidR="00260DAC" w:rsidRPr="00CD64D9">
        <w:t>,</w:t>
      </w:r>
      <w:r w:rsidR="00822CF1" w:rsidRPr="00CD64D9">
        <w:t xml:space="preserve"> any </w:t>
      </w:r>
      <w:proofErr w:type="gramStart"/>
      <w:r w:rsidR="00822CF1" w:rsidRPr="00CD64D9">
        <w:t>particular scenario</w:t>
      </w:r>
      <w:proofErr w:type="gramEnd"/>
      <w:r w:rsidR="00822CF1" w:rsidRPr="00CD64D9">
        <w:t xml:space="preserve"> is defined in terms of:</w:t>
      </w:r>
    </w:p>
    <w:p w14:paraId="033A467A" w14:textId="3D69090C" w:rsidR="00822CF1" w:rsidRPr="00CD64D9" w:rsidRDefault="00566CBD" w:rsidP="00B277D3">
      <w:pPr>
        <w:pStyle w:val="ListParagraph"/>
        <w:numPr>
          <w:ilvl w:val="0"/>
          <w:numId w:val="14"/>
        </w:numPr>
        <w:jc w:val="both"/>
      </w:pPr>
      <w:bookmarkStart w:id="7" w:name="_Hlk171086054"/>
      <w:r w:rsidRPr="00CD64D9">
        <w:rPr>
          <w:b/>
          <w:bCs/>
        </w:rPr>
        <w:t>S</w:t>
      </w:r>
      <w:r w:rsidR="00822CF1" w:rsidRPr="00CD64D9">
        <w:rPr>
          <w:b/>
          <w:bCs/>
        </w:rPr>
        <w:t>tarting size and structure of the waiting list</w:t>
      </w:r>
      <w:r w:rsidR="00822CF1" w:rsidRPr="00CD64D9">
        <w:t xml:space="preserve">, defined in terms of the numbers of </w:t>
      </w:r>
      <w:r w:rsidR="00DE3D94" w:rsidRPr="00CD64D9">
        <w:t>patients</w:t>
      </w:r>
      <w:r w:rsidR="00822CF1" w:rsidRPr="00CD64D9">
        <w:t xml:space="preserve"> who have already been on the waiting list for </w:t>
      </w:r>
      <w:r w:rsidR="00822CF1" w:rsidRPr="00CD64D9">
        <w:rPr>
          <w:i/>
          <w:iCs/>
        </w:rPr>
        <w:t>0, 1, 2,</w:t>
      </w:r>
      <w:r w:rsidR="00703CAB" w:rsidRPr="00CD64D9">
        <w:rPr>
          <w:i/>
          <w:iCs/>
        </w:rPr>
        <w:t xml:space="preserve"> …, </w:t>
      </w:r>
      <w:r w:rsidR="00822CF1" w:rsidRPr="00CD64D9">
        <w:rPr>
          <w:i/>
          <w:iCs/>
        </w:rPr>
        <w:t>M-1, M+</w:t>
      </w:r>
      <w:r w:rsidR="00822CF1" w:rsidRPr="00CD64D9">
        <w:t xml:space="preserve"> months</w:t>
      </w:r>
      <w:r w:rsidR="00DE3D94" w:rsidRPr="00CD64D9">
        <w:t>.</w:t>
      </w:r>
    </w:p>
    <w:p w14:paraId="3289ED4C" w14:textId="0754B99A" w:rsidR="00441FC1" w:rsidRPr="00CD64D9" w:rsidRDefault="00441FC1" w:rsidP="00B277D3">
      <w:pPr>
        <w:pStyle w:val="ListParagraph"/>
        <w:numPr>
          <w:ilvl w:val="0"/>
          <w:numId w:val="14"/>
        </w:numPr>
        <w:jc w:val="both"/>
      </w:pPr>
      <w:r w:rsidRPr="00CD64D9">
        <w:rPr>
          <w:b/>
          <w:bCs/>
        </w:rPr>
        <w:t>Future monthly referral rates</w:t>
      </w:r>
      <w:r w:rsidRPr="00CD64D9">
        <w:t xml:space="preserve"> of new patients joining the waiting list.</w:t>
      </w:r>
    </w:p>
    <w:p w14:paraId="6DAE62AD" w14:textId="3A5FEE59" w:rsidR="00822CF1" w:rsidRPr="00CD64D9" w:rsidRDefault="00566CBD" w:rsidP="00B277D3">
      <w:pPr>
        <w:pStyle w:val="ListParagraph"/>
        <w:numPr>
          <w:ilvl w:val="0"/>
          <w:numId w:val="14"/>
        </w:numPr>
        <w:jc w:val="both"/>
      </w:pPr>
      <w:r w:rsidRPr="00CD64D9">
        <w:rPr>
          <w:b/>
          <w:bCs/>
        </w:rPr>
        <w:t>F</w:t>
      </w:r>
      <w:r w:rsidR="00822CF1" w:rsidRPr="00CD64D9">
        <w:rPr>
          <w:b/>
          <w:bCs/>
        </w:rPr>
        <w:t>uture monthly reneging rates</w:t>
      </w:r>
      <w:r w:rsidR="00822CF1" w:rsidRPr="00CD64D9">
        <w:t xml:space="preserve">, and how these are allocated between patients who have already been on the waiting list for </w:t>
      </w:r>
      <w:r w:rsidR="00822CF1" w:rsidRPr="00CD64D9">
        <w:rPr>
          <w:i/>
          <w:iCs/>
        </w:rPr>
        <w:t>0, 1, 2,</w:t>
      </w:r>
      <w:r w:rsidR="00703CAB" w:rsidRPr="00CD64D9">
        <w:rPr>
          <w:i/>
          <w:iCs/>
        </w:rPr>
        <w:t xml:space="preserve"> …,</w:t>
      </w:r>
      <w:r w:rsidR="00822CF1" w:rsidRPr="00CD64D9">
        <w:rPr>
          <w:i/>
          <w:iCs/>
        </w:rPr>
        <w:t xml:space="preserve"> M-1, M+</w:t>
      </w:r>
      <w:r w:rsidR="00822CF1" w:rsidRPr="00CD64D9">
        <w:t xml:space="preserve"> months</w:t>
      </w:r>
      <w:r w:rsidR="00DE3D94" w:rsidRPr="00CD64D9">
        <w:t>.</w:t>
      </w:r>
    </w:p>
    <w:p w14:paraId="560C7512" w14:textId="46B38756" w:rsidR="00822CF1" w:rsidRPr="00CD64D9" w:rsidRDefault="00566CBD" w:rsidP="00B277D3">
      <w:pPr>
        <w:pStyle w:val="ListParagraph"/>
        <w:numPr>
          <w:ilvl w:val="0"/>
          <w:numId w:val="14"/>
        </w:numPr>
        <w:jc w:val="both"/>
      </w:pPr>
      <w:r w:rsidRPr="00CD64D9">
        <w:rPr>
          <w:b/>
          <w:bCs/>
        </w:rPr>
        <w:t>F</w:t>
      </w:r>
      <w:r w:rsidR="00822CF1" w:rsidRPr="00CD64D9">
        <w:rPr>
          <w:b/>
          <w:bCs/>
        </w:rPr>
        <w:t xml:space="preserve">uture monthly treatment </w:t>
      </w:r>
      <w:r w:rsidR="00DE3D94" w:rsidRPr="00CD64D9">
        <w:rPr>
          <w:b/>
          <w:bCs/>
        </w:rPr>
        <w:t xml:space="preserve">capacity </w:t>
      </w:r>
      <w:r w:rsidR="00822CF1" w:rsidRPr="00CD64D9">
        <w:rPr>
          <w:b/>
          <w:bCs/>
        </w:rPr>
        <w:t>rates</w:t>
      </w:r>
      <w:r w:rsidR="00822CF1" w:rsidRPr="00CD64D9">
        <w:t xml:space="preserve">, and how these are allocated between patients who have already been on the waiting list for </w:t>
      </w:r>
      <w:r w:rsidR="00822CF1" w:rsidRPr="00CD64D9">
        <w:rPr>
          <w:i/>
          <w:iCs/>
        </w:rPr>
        <w:t>0, 1, 2,</w:t>
      </w:r>
      <w:r w:rsidR="00703CAB" w:rsidRPr="00CD64D9">
        <w:rPr>
          <w:i/>
          <w:iCs/>
        </w:rPr>
        <w:t xml:space="preserve"> …,</w:t>
      </w:r>
      <w:r w:rsidR="00822CF1" w:rsidRPr="00CD64D9">
        <w:rPr>
          <w:i/>
          <w:iCs/>
        </w:rPr>
        <w:t xml:space="preserve"> M-1, M+</w:t>
      </w:r>
      <w:r w:rsidR="00822CF1" w:rsidRPr="00CD64D9">
        <w:t xml:space="preserve"> months</w:t>
      </w:r>
      <w:r w:rsidR="00DE3D94" w:rsidRPr="00CD64D9">
        <w:t>.</w:t>
      </w:r>
    </w:p>
    <w:bookmarkEnd w:id="7"/>
    <w:p w14:paraId="4A81619E" w14:textId="77777777" w:rsidR="00822CF1" w:rsidRPr="00CD64D9" w:rsidRDefault="00822CF1" w:rsidP="00B277D3">
      <w:pPr>
        <w:jc w:val="both"/>
      </w:pPr>
    </w:p>
    <w:p w14:paraId="4B3A1C67" w14:textId="0A269959" w:rsidR="00822CF1" w:rsidRPr="00CD64D9" w:rsidRDefault="00BB5895" w:rsidP="00B277D3">
      <w:pPr>
        <w:jc w:val="both"/>
      </w:pPr>
      <w:r w:rsidRPr="00CD64D9">
        <w:t xml:space="preserve">The specification of these for the example application considered in this paper – to </w:t>
      </w:r>
      <w:r w:rsidR="00CE6952" w:rsidRPr="00CD64D9">
        <w:t>projecting</w:t>
      </w:r>
      <w:r w:rsidRPr="00CD64D9">
        <w:t xml:space="preserve"> the England national elective waiting list – will be presented later, in Section 4.</w:t>
      </w:r>
    </w:p>
    <w:p w14:paraId="7E2E2ED7" w14:textId="77777777" w:rsidR="00BB5895" w:rsidRPr="00CD64D9" w:rsidRDefault="00BB5895" w:rsidP="00B277D3">
      <w:pPr>
        <w:jc w:val="both"/>
      </w:pPr>
    </w:p>
    <w:p w14:paraId="47912491" w14:textId="77777777" w:rsidR="00822CF1" w:rsidRPr="00CD64D9" w:rsidRDefault="00822CF1" w:rsidP="00B277D3">
      <w:pPr>
        <w:jc w:val="both"/>
        <w:rPr>
          <w:b/>
          <w:bCs/>
          <w:i/>
          <w:iCs/>
        </w:rPr>
      </w:pPr>
    </w:p>
    <w:p w14:paraId="76C2059F" w14:textId="363C01FC" w:rsidR="007141FE" w:rsidRPr="00CD64D9" w:rsidRDefault="00734FDC" w:rsidP="00B277D3">
      <w:pPr>
        <w:jc w:val="both"/>
        <w:rPr>
          <w:b/>
          <w:bCs/>
          <w:i/>
          <w:iCs/>
        </w:rPr>
      </w:pPr>
      <w:r w:rsidRPr="00CD64D9">
        <w:rPr>
          <w:b/>
          <w:bCs/>
          <w:i/>
          <w:iCs/>
        </w:rPr>
        <w:t>3</w:t>
      </w:r>
      <w:r w:rsidR="00525042" w:rsidRPr="00CD64D9">
        <w:rPr>
          <w:b/>
          <w:bCs/>
          <w:i/>
          <w:iCs/>
        </w:rPr>
        <w:t>.</w:t>
      </w:r>
      <w:r w:rsidR="00822CF1" w:rsidRPr="00CD64D9">
        <w:rPr>
          <w:b/>
          <w:bCs/>
          <w:i/>
          <w:iCs/>
        </w:rPr>
        <w:t>2</w:t>
      </w:r>
      <w:r w:rsidR="00525042" w:rsidRPr="00CD64D9">
        <w:rPr>
          <w:b/>
          <w:bCs/>
          <w:i/>
          <w:iCs/>
        </w:rPr>
        <w:t xml:space="preserve"> Model</w:t>
      </w:r>
    </w:p>
    <w:p w14:paraId="7F70E8F5" w14:textId="77777777" w:rsidR="00EE1436" w:rsidRPr="00CD64D9" w:rsidRDefault="00EE1436" w:rsidP="00B277D3">
      <w:pPr>
        <w:jc w:val="both"/>
      </w:pPr>
    </w:p>
    <w:p w14:paraId="6E3867FE" w14:textId="65B9C881" w:rsidR="00590488" w:rsidRPr="00CD64D9" w:rsidRDefault="00BE24D2" w:rsidP="00B277D3">
      <w:pPr>
        <w:jc w:val="both"/>
        <w:rPr>
          <w:rFonts w:eastAsiaTheme="minorEastAsia"/>
        </w:rPr>
      </w:pPr>
      <w:r w:rsidRPr="00CD64D9">
        <w:t xml:space="preserve">Patient waiting time is modelled as the one-way progression through </w:t>
      </w:r>
      <w:r w:rsidR="00D95301" w:rsidRPr="00CD64D9">
        <w:t>various</w:t>
      </w:r>
      <w:r w:rsidRPr="00CD64D9">
        <w:t xml:space="preserve"> compartments representing </w:t>
      </w:r>
      <w:r w:rsidR="00D95301" w:rsidRPr="00CD64D9">
        <w:t>an increas</w:t>
      </w:r>
      <w:r w:rsidR="001D5B21" w:rsidRPr="00CD64D9">
        <w:t>ing</w:t>
      </w:r>
      <w:r w:rsidR="00D95301" w:rsidRPr="00CD64D9">
        <w:t xml:space="preserve"> </w:t>
      </w:r>
      <w:r w:rsidRPr="00CD64D9">
        <w:t xml:space="preserve">duration of elapsed time since referral (Figure </w:t>
      </w:r>
      <w:r w:rsidR="00F24C2F" w:rsidRPr="00CD64D9">
        <w:t>2</w:t>
      </w:r>
      <w:r w:rsidRPr="00CD64D9">
        <w:t>).</w:t>
      </w:r>
      <w:r w:rsidR="009717DE" w:rsidRPr="00CD64D9">
        <w:t xml:space="preserve"> N</w:t>
      </w:r>
      <w:r w:rsidRPr="00CD64D9">
        <w:t>ew referrals join the wait</w:t>
      </w:r>
      <w:r w:rsidR="00B11EB0" w:rsidRPr="00CD64D9">
        <w:t xml:space="preserve">ing </w:t>
      </w:r>
      <w:r w:rsidRPr="00CD64D9">
        <w:t xml:space="preserve">list at rate </w:t>
      </w:r>
      <m:oMath>
        <m:r>
          <w:rPr>
            <w:rFonts w:ascii="Cambria Math" w:hAnsi="Cambria Math"/>
          </w:rPr>
          <m:t>n(t)</m:t>
        </m:r>
      </m:oMath>
      <w:r w:rsidR="00D95301" w:rsidRPr="00CD64D9">
        <w:t xml:space="preserve"> during the </w:t>
      </w:r>
      <m:oMath>
        <m:r>
          <w:rPr>
            <w:rFonts w:ascii="Cambria Math" w:eastAsiaTheme="minorEastAsia" w:hAnsi="Cambria Math"/>
          </w:rPr>
          <m:t>t</m:t>
        </m:r>
      </m:oMath>
      <w:r w:rsidR="009A4833" w:rsidRPr="00CD64D9">
        <w:rPr>
          <w:rFonts w:eastAsiaTheme="minorEastAsia"/>
        </w:rPr>
        <w:t xml:space="preserve">-th </w:t>
      </w:r>
      <w:r w:rsidR="00D95301" w:rsidRPr="00CD64D9">
        <w:t>time interval</w:t>
      </w:r>
      <w:r w:rsidR="000407EF" w:rsidRPr="00CD64D9">
        <w:t xml:space="preserve"> </w:t>
      </w:r>
      <w:r w:rsidR="000407EF" w:rsidRPr="00CD64D9">
        <w:rPr>
          <w:rFonts w:eastAsiaTheme="minorEastAsia"/>
        </w:rPr>
        <w:t>(units of the time interval could be days, weeks or months</w:t>
      </w:r>
      <w:r w:rsidR="001D5B21" w:rsidRPr="00CD64D9">
        <w:rPr>
          <w:rFonts w:eastAsiaTheme="minorEastAsia"/>
        </w:rPr>
        <w:t xml:space="preserve"> – in our application it is months, as described further in Section </w:t>
      </w:r>
      <w:r w:rsidR="00822CF1" w:rsidRPr="00CD64D9">
        <w:rPr>
          <w:rFonts w:eastAsiaTheme="minorEastAsia"/>
        </w:rPr>
        <w:t>4.1</w:t>
      </w:r>
      <w:r w:rsidR="000407EF" w:rsidRPr="00CD64D9">
        <w:rPr>
          <w:rFonts w:eastAsiaTheme="minorEastAsia"/>
        </w:rPr>
        <w:t>).</w:t>
      </w:r>
      <w:r w:rsidRPr="00CD64D9">
        <w:rPr>
          <w:rFonts w:eastAsiaTheme="minorEastAsia"/>
        </w:rPr>
        <w:t xml:space="preserve"> </w:t>
      </w:r>
      <w:r w:rsidR="009717DE" w:rsidRPr="00CD64D9">
        <w:rPr>
          <w:rFonts w:eastAsiaTheme="minorEastAsia"/>
        </w:rPr>
        <w:t xml:space="preserve">Specifically, new referrals join the </w:t>
      </w:r>
      <w:r w:rsidR="00164678" w:rsidRPr="00CD64D9">
        <w:rPr>
          <w:rFonts w:eastAsiaTheme="minorEastAsia"/>
        </w:rPr>
        <w:t>initial</w:t>
      </w:r>
      <w:r w:rsidR="009717DE" w:rsidRPr="00CD64D9">
        <w:rPr>
          <w:rFonts w:eastAsiaTheme="minorEastAsia"/>
        </w:rPr>
        <w:t xml:space="preserve"> compartment,</w:t>
      </w:r>
      <w:r w:rsidR="00F11E2A" w:rsidRPr="00CD64D9">
        <w:rPr>
          <w:rFonts w:eastAsiaTheme="minorEastAsia"/>
        </w:rPr>
        <w:t xml:space="preserve"> </w:t>
      </w:r>
      <w:r w:rsidR="00BD23AD" w:rsidRPr="00CD64D9">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r>
          <w:rPr>
            <w:rFonts w:ascii="Cambria Math" w:eastAsiaTheme="minorEastAsia" w:hAnsi="Cambria Math"/>
          </w:rPr>
          <m:t>(t)</m:t>
        </m:r>
      </m:oMath>
      <w:r w:rsidR="009717DE" w:rsidRPr="00CD64D9">
        <w:rPr>
          <w:rFonts w:eastAsiaTheme="minorEastAsia"/>
        </w:rPr>
        <w:t xml:space="preserve"> represents the number of patients waiting </w:t>
      </w:r>
      <w:r w:rsidR="00164678" w:rsidRPr="00CD64D9">
        <w:rPr>
          <w:rFonts w:eastAsiaTheme="minorEastAsia"/>
        </w:rPr>
        <w:t>between zero and</w:t>
      </w:r>
      <w:r w:rsidR="009717DE" w:rsidRPr="00CD64D9">
        <w:rPr>
          <w:rFonts w:eastAsiaTheme="minorEastAsia"/>
        </w:rPr>
        <w:t xml:space="preserve"> </w:t>
      </w:r>
      <w:r w:rsidR="007C4476" w:rsidRPr="00CD64D9">
        <w:rPr>
          <w:rFonts w:eastAsiaTheme="minorEastAsia"/>
        </w:rPr>
        <w:t xml:space="preserve">a single </w:t>
      </w:r>
      <w:r w:rsidR="009717DE" w:rsidRPr="00CD64D9">
        <w:rPr>
          <w:rFonts w:eastAsiaTheme="minorEastAsia"/>
        </w:rPr>
        <w:t>unit of the time interval</w:t>
      </w:r>
      <w:r w:rsidR="004F0CE7" w:rsidRPr="00CD64D9">
        <w:rPr>
          <w:rFonts w:eastAsiaTheme="minorEastAsia"/>
        </w:rPr>
        <w:t>,</w:t>
      </w:r>
      <w:r w:rsidR="009717DE" w:rsidRPr="00CD64D9">
        <w:rPr>
          <w:rFonts w:eastAsiaTheme="minorEastAsia"/>
        </w:rPr>
        <w:t xml:space="preserve"> at the end of</w:t>
      </w:r>
      <w:r w:rsidR="001D5B21" w:rsidRPr="00CD64D9">
        <w:rPr>
          <w:rFonts w:eastAsiaTheme="minorEastAsia"/>
        </w:rPr>
        <w:t xml:space="preserve"> the</w:t>
      </w:r>
      <w:r w:rsidR="009717DE" w:rsidRPr="00CD64D9">
        <w:rPr>
          <w:rFonts w:eastAsiaTheme="minorEastAsia"/>
        </w:rPr>
        <w:t xml:space="preserve"> </w:t>
      </w:r>
      <m:oMath>
        <m:r>
          <w:rPr>
            <w:rFonts w:ascii="Cambria Math" w:eastAsiaTheme="minorEastAsia" w:hAnsi="Cambria Math"/>
          </w:rPr>
          <m:t>t</m:t>
        </m:r>
      </m:oMath>
      <w:r w:rsidR="001D5B21" w:rsidRPr="00CD64D9">
        <w:rPr>
          <w:rFonts w:eastAsiaTheme="minorEastAsia"/>
        </w:rPr>
        <w:t xml:space="preserve">-th </w:t>
      </w:r>
      <w:r w:rsidR="009717DE" w:rsidRPr="00CD64D9">
        <w:rPr>
          <w:rFonts w:eastAsiaTheme="minorEastAsia"/>
        </w:rPr>
        <w:t xml:space="preserve">time interval. </w:t>
      </w:r>
      <w:r w:rsidR="00BD23AD" w:rsidRPr="00CD64D9">
        <w:rPr>
          <w:rFonts w:eastAsiaTheme="minorEastAsia"/>
        </w:rPr>
        <w:t xml:space="preserve">The value of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r>
          <w:rPr>
            <w:rFonts w:ascii="Cambria Math" w:eastAsiaTheme="minorEastAsia" w:hAnsi="Cambria Math"/>
          </w:rPr>
          <m:t>(t)</m:t>
        </m:r>
      </m:oMath>
      <w:r w:rsidR="00BD23AD" w:rsidRPr="00CD64D9">
        <w:rPr>
          <w:rFonts w:eastAsiaTheme="minorEastAsia"/>
        </w:rPr>
        <w:t xml:space="preserve"> equals the number of </w:t>
      </w:r>
      <w:r w:rsidR="00BD23AD" w:rsidRPr="00CD64D9">
        <w:rPr>
          <w:rFonts w:eastAsiaTheme="minorEastAsia"/>
        </w:rPr>
        <w:lastRenderedPageBreak/>
        <w:t xml:space="preserve">new referrals </w:t>
      </w:r>
      <w:r w:rsidR="00F17297" w:rsidRPr="00CD64D9">
        <w:rPr>
          <w:rFonts w:eastAsiaTheme="minorEastAsia"/>
        </w:rPr>
        <w:t xml:space="preserve">in that time interval </w:t>
      </w:r>
      <m:oMath>
        <m:r>
          <w:rPr>
            <w:rFonts w:ascii="Cambria Math" w:hAnsi="Cambria Math"/>
          </w:rPr>
          <m:t>n(t)</m:t>
        </m:r>
      </m:oMath>
      <w:r w:rsidR="00BD23AD" w:rsidRPr="00CD64D9">
        <w:rPr>
          <w:rFonts w:eastAsiaTheme="minorEastAsia"/>
        </w:rPr>
        <w:t xml:space="preserve">, </w:t>
      </w:r>
      <w:r w:rsidR="007C4476" w:rsidRPr="00CD64D9">
        <w:rPr>
          <w:rFonts w:eastAsiaTheme="minorEastAsia"/>
        </w:rPr>
        <w:t xml:space="preserve">less a proportion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oMath>
      <w:r w:rsidR="007C4476" w:rsidRPr="00CD64D9">
        <w:rPr>
          <w:rFonts w:eastAsiaTheme="minorEastAsia"/>
        </w:rPr>
        <w:t xml:space="preserve"> of those which renege during the time interval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r>
          <w:rPr>
            <w:rFonts w:ascii="Cambria Math" w:hAnsi="Cambria Math"/>
          </w:rPr>
          <m:t>n(t)</m:t>
        </m:r>
      </m:oMath>
      <w:r w:rsidR="007C4476" w:rsidRPr="00CD64D9">
        <w:rPr>
          <w:rFonts w:eastAsiaTheme="minorEastAsia"/>
        </w:rPr>
        <w:t xml:space="preserve">, less those that </w:t>
      </w:r>
      <w:r w:rsidR="00BD23AD" w:rsidRPr="00CD64D9">
        <w:rPr>
          <w:rFonts w:eastAsiaTheme="minorEastAsia"/>
        </w:rPr>
        <w:t xml:space="preserve">have been treated subject to treatment capacity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r>
          <w:rPr>
            <w:rFonts w:ascii="Cambria Math" w:eastAsiaTheme="minorEastAsia" w:hAnsi="Cambria Math"/>
          </w:rPr>
          <m:t>(t)</m:t>
        </m:r>
      </m:oMath>
      <w:r w:rsidR="007C4476" w:rsidRPr="00CD64D9">
        <w:rPr>
          <w:rFonts w:eastAsiaTheme="minorEastAsia"/>
        </w:rPr>
        <w:t xml:space="preserve">. </w:t>
      </w:r>
      <w:bookmarkStart w:id="8" w:name="_Hlk184207315"/>
      <w:r w:rsidR="007C4476" w:rsidRPr="00CD64D9">
        <w:rPr>
          <w:rFonts w:eastAsiaTheme="minorEastAsia"/>
        </w:rPr>
        <w:t xml:space="preserve">This parameterisation follows </w:t>
      </w:r>
      <w:r w:rsidR="00CB5C7D" w:rsidRPr="00CD64D9">
        <w:rPr>
          <w:rFonts w:eastAsiaTheme="minorEastAsia"/>
        </w:rPr>
        <w:t xml:space="preserve">as a multi-compartment generalisation of Wood </w:t>
      </w:r>
      <w:r w:rsidR="00F559CF" w:rsidRPr="00CD64D9">
        <w:rPr>
          <w:rFonts w:eastAsiaTheme="minorEastAsia"/>
        </w:rPr>
        <w:t>[</w:t>
      </w:r>
      <w:r w:rsidR="00C97AD1" w:rsidRPr="00CD64D9">
        <w:rPr>
          <w:rFonts w:eastAsiaTheme="minorEastAsia"/>
        </w:rPr>
        <w:t>20</w:t>
      </w:r>
      <w:r w:rsidR="00F559CF" w:rsidRPr="00CD64D9">
        <w:rPr>
          <w:rFonts w:eastAsiaTheme="minorEastAsia"/>
        </w:rPr>
        <w:t>]</w:t>
      </w:r>
      <w:r w:rsidR="00CB5C7D" w:rsidRPr="00CD64D9">
        <w:rPr>
          <w:rFonts w:eastAsiaTheme="minorEastAsia"/>
        </w:rPr>
        <w:t>,</w:t>
      </w:r>
      <w:r w:rsidR="00977DD9" w:rsidRPr="00CD64D9">
        <w:rPr>
          <w:rFonts w:eastAsiaTheme="minorEastAsia"/>
        </w:rPr>
        <w:t xml:space="preserve"> which </w:t>
      </w:r>
      <w:r w:rsidR="003A3F72" w:rsidRPr="00CD64D9">
        <w:rPr>
          <w:rFonts w:eastAsiaTheme="minorEastAsia"/>
        </w:rPr>
        <w:t>has been</w:t>
      </w:r>
      <w:r w:rsidR="00CB5C7D" w:rsidRPr="00CD64D9">
        <w:rPr>
          <w:rFonts w:eastAsiaTheme="minorEastAsia"/>
        </w:rPr>
        <w:t xml:space="preserve"> summarised in Section </w:t>
      </w:r>
      <w:r w:rsidR="00FF12E8" w:rsidRPr="00CD64D9">
        <w:rPr>
          <w:rFonts w:eastAsiaTheme="minorEastAsia"/>
        </w:rPr>
        <w:t>2</w:t>
      </w:r>
      <w:bookmarkEnd w:id="8"/>
      <w:r w:rsidR="00CB5C7D" w:rsidRPr="00CD64D9">
        <w:rPr>
          <w:rFonts w:eastAsiaTheme="minorEastAsia"/>
        </w:rPr>
        <w:t xml:space="preserve">. </w:t>
      </w:r>
      <w:r w:rsidR="0071703B" w:rsidRPr="00CD64D9">
        <w:rPr>
          <w:rFonts w:eastAsiaTheme="minorEastAsia"/>
        </w:rPr>
        <w:t xml:space="preserve">Thus: </w:t>
      </w:r>
    </w:p>
    <w:p w14:paraId="5A7052B0" w14:textId="77777777" w:rsidR="0071703B" w:rsidRPr="00CD64D9" w:rsidRDefault="0071703B" w:rsidP="00B277D3">
      <w:pPr>
        <w:jc w:val="both"/>
        <w:rPr>
          <w:rFonts w:eastAsiaTheme="minorEastAsia"/>
        </w:rPr>
      </w:pPr>
    </w:p>
    <w:p w14:paraId="5593C4C0" w14:textId="7C3F231C" w:rsidR="0071703B" w:rsidRPr="00CD64D9" w:rsidRDefault="0071703B" w:rsidP="00B277D3">
      <w:pPr>
        <w:jc w:val="both"/>
        <w:rPr>
          <w:rFonts w:eastAsiaTheme="minorEastAsia"/>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r>
          <w:rPr>
            <w:rFonts w:ascii="Cambria Math" w:hAnsi="Cambria Math"/>
          </w:rPr>
          <m:t>n(t)</m:t>
        </m:r>
      </m:oMath>
      <w:r w:rsidRPr="00CD64D9">
        <w:rPr>
          <w:rFonts w:eastAsiaTheme="minorEastAsia"/>
        </w:rPr>
        <w:tab/>
      </w:r>
      <w:r w:rsidRPr="00CD64D9">
        <w:rPr>
          <w:rFonts w:eastAsiaTheme="minorEastAsia"/>
        </w:rPr>
        <w:tab/>
      </w:r>
      <w:r w:rsidR="002600A5" w:rsidRPr="00CD64D9">
        <w:rPr>
          <w:rFonts w:eastAsiaTheme="minorEastAsia"/>
        </w:rPr>
        <w:tab/>
      </w:r>
      <w:r w:rsidRPr="00CD64D9">
        <w:rPr>
          <w:rFonts w:eastAsiaTheme="minorEastAsia"/>
        </w:rPr>
        <w:tab/>
      </w:r>
      <w:r w:rsidRPr="00CD64D9">
        <w:rPr>
          <w:rFonts w:eastAsiaTheme="minorEastAsia"/>
        </w:rPr>
        <w:tab/>
      </w:r>
      <w:r w:rsidRPr="00CD64D9">
        <w:rPr>
          <w:rFonts w:eastAsiaTheme="minorEastAsia"/>
        </w:rPr>
        <w:tab/>
      </w:r>
      <w:r w:rsidRPr="00CD64D9">
        <w:rPr>
          <w:rFonts w:eastAsiaTheme="minorEastAsia"/>
        </w:rPr>
        <w:tab/>
        <w:t>Eqn. (1)</w:t>
      </w:r>
    </w:p>
    <w:p w14:paraId="2FA5AAB6" w14:textId="77777777" w:rsidR="0071703B" w:rsidRPr="00CD64D9" w:rsidRDefault="0071703B" w:rsidP="00B277D3">
      <w:pPr>
        <w:jc w:val="both"/>
        <w:rPr>
          <w:rFonts w:eastAsiaTheme="minorEastAsia"/>
        </w:rPr>
      </w:pPr>
    </w:p>
    <w:p w14:paraId="4D9AFEA9" w14:textId="133457CB" w:rsidR="0071703B" w:rsidRPr="00CD64D9" w:rsidRDefault="00CB5C7D" w:rsidP="00B277D3">
      <w:pPr>
        <w:jc w:val="both"/>
        <w:rPr>
          <w:rFonts w:eastAsiaTheme="minorEastAsia"/>
        </w:rPr>
      </w:pPr>
      <w:r w:rsidRPr="00CD64D9">
        <w:rPr>
          <w:rFonts w:eastAsiaTheme="minorEastAsia"/>
        </w:rPr>
        <w:t xml:space="preserve">If newly referred patients are not treated or do not renege within the </w:t>
      </w:r>
      <m:oMath>
        <m:r>
          <w:rPr>
            <w:rFonts w:ascii="Cambria Math" w:eastAsiaTheme="minorEastAsia" w:hAnsi="Cambria Math"/>
          </w:rPr>
          <m:t>t</m:t>
        </m:r>
      </m:oMath>
      <w:r w:rsidRPr="00CD64D9">
        <w:rPr>
          <w:rFonts w:eastAsiaTheme="minorEastAsia"/>
        </w:rPr>
        <w:t xml:space="preserve">-th time interval, they transfer into the next compartment at the </w:t>
      </w:r>
      <m:oMath>
        <m:r>
          <w:rPr>
            <w:rFonts w:ascii="Cambria Math" w:eastAsiaTheme="minorEastAsia" w:hAnsi="Cambria Math"/>
          </w:rPr>
          <m:t>t</m:t>
        </m:r>
      </m:oMath>
      <w:r w:rsidRPr="00CD64D9">
        <w:rPr>
          <w:rFonts w:eastAsiaTheme="minorEastAsia"/>
        </w:rPr>
        <w:t xml:space="preserve">+1-th time interval (since they will have waited between one and two units of the time interval). </w:t>
      </w:r>
      <w:r w:rsidR="0071703B" w:rsidRPr="00CD64D9">
        <w:rPr>
          <w:rFonts w:eastAsiaTheme="minorEastAsia"/>
        </w:rPr>
        <w:t xml:space="preserve">Events proceed at the </w:t>
      </w:r>
      <w:r w:rsidR="00E201B9" w:rsidRPr="00CD64D9">
        <w:rPr>
          <w:rFonts w:eastAsiaTheme="minorEastAsia"/>
        </w:rPr>
        <w:t>next</w:t>
      </w:r>
      <w:r w:rsidR="0071703B" w:rsidRPr="00CD64D9">
        <w:rPr>
          <w:rFonts w:eastAsiaTheme="minorEastAsia"/>
        </w:rPr>
        <w:t xml:space="preserve"> compartment</w:t>
      </w:r>
      <w:r w:rsidR="00F318B3" w:rsidRPr="00CD64D9">
        <w:rPr>
          <w:rFonts w:eastAsiaTheme="minorEastAsia"/>
        </w:rPr>
        <w:t xml:space="preserve"> </w:t>
      </w:r>
      <w:r w:rsidR="0071703B" w:rsidRPr="00CD64D9">
        <w:rPr>
          <w:rFonts w:eastAsiaTheme="minorEastAsia"/>
        </w:rPr>
        <w:t>in a similar way, although here the inflow is not the new referrals</w:t>
      </w:r>
      <w:r w:rsidR="004516C0" w:rsidRPr="00CD64D9">
        <w:rPr>
          <w:rFonts w:eastAsiaTheme="minorEastAsia"/>
        </w:rPr>
        <w:t xml:space="preserve"> (i.e., </w:t>
      </w:r>
      <m:oMath>
        <m:r>
          <w:rPr>
            <w:rFonts w:ascii="Cambria Math" w:hAnsi="Cambria Math"/>
          </w:rPr>
          <m:t>n(t)</m:t>
        </m:r>
      </m:oMath>
      <w:r w:rsidR="004516C0" w:rsidRPr="00CD64D9">
        <w:rPr>
          <w:rFonts w:eastAsiaTheme="minorEastAsia"/>
        </w:rPr>
        <w:t>)</w:t>
      </w:r>
      <w:r w:rsidR="0071703B" w:rsidRPr="00CD64D9">
        <w:rPr>
          <w:rFonts w:eastAsiaTheme="minorEastAsia"/>
        </w:rPr>
        <w:t xml:space="preserve"> but the number in the previous compartment at the end of the preceding time interval</w:t>
      </w:r>
      <w:r w:rsidR="004516C0" w:rsidRPr="00CD64D9">
        <w:rPr>
          <w:rFonts w:eastAsiaTheme="minorEastAsia"/>
        </w:rPr>
        <w:t xml:space="preserve"> (i.e.,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t-1</m:t>
            </m:r>
          </m:e>
        </m:d>
      </m:oMath>
      <w:r w:rsidR="004516C0" w:rsidRPr="00CD64D9">
        <w:rPr>
          <w:rFonts w:eastAsiaTheme="minorEastAsia"/>
        </w:rPr>
        <w:t>)</w:t>
      </w:r>
      <w:r w:rsidR="0071703B" w:rsidRPr="00CD64D9">
        <w:rPr>
          <w:rFonts w:eastAsiaTheme="minorEastAsia"/>
        </w:rPr>
        <w:t>:</w:t>
      </w:r>
    </w:p>
    <w:p w14:paraId="01298E6A" w14:textId="528FBDC4" w:rsidR="0071703B" w:rsidRPr="00CD64D9" w:rsidRDefault="0071703B" w:rsidP="00B277D3">
      <w:pPr>
        <w:jc w:val="both"/>
        <w:rPr>
          <w:rFonts w:eastAsiaTheme="minorEastAsia"/>
        </w:rPr>
      </w:pPr>
    </w:p>
    <w:p w14:paraId="77855EB8" w14:textId="3151AA2D" w:rsidR="0071703B" w:rsidRPr="00CD64D9" w:rsidRDefault="0071703B" w:rsidP="00B277D3">
      <w:pPr>
        <w:jc w:val="both"/>
        <w:rPr>
          <w:rFonts w:eastAsiaTheme="minorEastAsia"/>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t-1</m:t>
            </m:r>
          </m:e>
        </m:d>
      </m:oMath>
      <w:r w:rsidRPr="00CD64D9">
        <w:rPr>
          <w:rFonts w:eastAsiaTheme="minorEastAsia"/>
        </w:rPr>
        <w:tab/>
      </w:r>
      <w:r w:rsidRPr="00CD64D9">
        <w:rPr>
          <w:rFonts w:eastAsiaTheme="minorEastAsia"/>
        </w:rPr>
        <w:tab/>
      </w:r>
      <w:r w:rsidRPr="00CD64D9">
        <w:rPr>
          <w:rFonts w:eastAsiaTheme="minorEastAsia"/>
        </w:rPr>
        <w:tab/>
      </w:r>
      <w:r w:rsidRPr="00CD64D9">
        <w:rPr>
          <w:rFonts w:eastAsiaTheme="minorEastAsia"/>
        </w:rPr>
        <w:tab/>
      </w:r>
      <w:r w:rsidR="002600A5" w:rsidRPr="00CD64D9">
        <w:rPr>
          <w:rFonts w:eastAsiaTheme="minorEastAsia"/>
        </w:rPr>
        <w:tab/>
      </w:r>
      <w:r w:rsidRPr="00CD64D9">
        <w:rPr>
          <w:rFonts w:eastAsiaTheme="minorEastAsia"/>
        </w:rPr>
        <w:t>Eqn. (2)</w:t>
      </w:r>
    </w:p>
    <w:p w14:paraId="72B62324" w14:textId="5AC78D05" w:rsidR="009717DE" w:rsidRPr="00CD64D9" w:rsidRDefault="009717DE" w:rsidP="00B277D3">
      <w:pPr>
        <w:jc w:val="both"/>
        <w:rPr>
          <w:rFonts w:eastAsiaTheme="minorEastAsia"/>
        </w:rPr>
      </w:pPr>
    </w:p>
    <w:p w14:paraId="3479E5C3" w14:textId="51AC16FD" w:rsidR="0071703B" w:rsidRPr="00CD64D9" w:rsidRDefault="0071703B" w:rsidP="00B277D3">
      <w:pPr>
        <w:jc w:val="both"/>
        <w:rPr>
          <w:rFonts w:eastAsiaTheme="minorEastAsia"/>
        </w:rPr>
      </w:pPr>
      <w:r w:rsidRPr="00CD64D9">
        <w:rPr>
          <w:rFonts w:eastAsiaTheme="minorEastAsia"/>
        </w:rPr>
        <w:t>Generalising Eqn. (2) gives:</w:t>
      </w:r>
    </w:p>
    <w:p w14:paraId="0AB95E94" w14:textId="47B32E9F" w:rsidR="0071703B" w:rsidRPr="00CD64D9" w:rsidRDefault="0071703B" w:rsidP="00B277D3">
      <w:pPr>
        <w:jc w:val="both"/>
        <w:rPr>
          <w:rFonts w:eastAsiaTheme="minorEastAsia"/>
        </w:rPr>
      </w:pPr>
    </w:p>
    <w:p w14:paraId="0F9BDDAF" w14:textId="62D428FD" w:rsidR="0071703B" w:rsidRPr="00CD64D9" w:rsidRDefault="0071703B" w:rsidP="00B277D3">
      <w:pPr>
        <w:jc w:val="both"/>
        <w:rPr>
          <w:rFonts w:eastAsiaTheme="minorEastAsia"/>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oMath>
      <w:r w:rsidRPr="00CD64D9">
        <w:rPr>
          <w:rFonts w:eastAsiaTheme="minorEastAsia"/>
        </w:rPr>
        <w:tab/>
      </w:r>
      <w:r w:rsidRPr="00CD64D9">
        <w:rPr>
          <w:rFonts w:eastAsiaTheme="minorEastAsia"/>
        </w:rPr>
        <w:tab/>
      </w:r>
      <w:r w:rsidRPr="00CD64D9">
        <w:rPr>
          <w:rFonts w:eastAsiaTheme="minorEastAsia"/>
        </w:rPr>
        <w:tab/>
      </w:r>
      <w:r w:rsidR="00D35ADD" w:rsidRPr="00CD64D9">
        <w:rPr>
          <w:rFonts w:eastAsiaTheme="minorEastAsia"/>
        </w:rPr>
        <w:tab/>
      </w:r>
      <w:r w:rsidRPr="00CD64D9">
        <w:rPr>
          <w:rFonts w:eastAsiaTheme="minorEastAsia"/>
        </w:rPr>
        <w:t>Eqn. (</w:t>
      </w:r>
      <w:r w:rsidR="00D35ADD" w:rsidRPr="00CD64D9">
        <w:rPr>
          <w:rFonts w:eastAsiaTheme="minorEastAsia"/>
        </w:rPr>
        <w:t>3</w:t>
      </w:r>
      <w:r w:rsidRPr="00CD64D9">
        <w:rPr>
          <w:rFonts w:eastAsiaTheme="minorEastAsia"/>
        </w:rPr>
        <w:t>)</w:t>
      </w:r>
    </w:p>
    <w:p w14:paraId="0CA580DD" w14:textId="77777777" w:rsidR="0071703B" w:rsidRPr="00CD64D9" w:rsidRDefault="0071703B" w:rsidP="00B277D3">
      <w:pPr>
        <w:jc w:val="both"/>
        <w:rPr>
          <w:rFonts w:eastAsiaTheme="minorEastAsia"/>
        </w:rPr>
      </w:pPr>
    </w:p>
    <w:p w14:paraId="305FEB8A" w14:textId="6B7BB4BF" w:rsidR="0071703B" w:rsidRPr="00CD64D9" w:rsidRDefault="00D35ADD" w:rsidP="00B277D3">
      <w:pPr>
        <w:jc w:val="both"/>
        <w:rPr>
          <w:rFonts w:eastAsiaTheme="minorEastAsia"/>
        </w:rPr>
      </w:pPr>
      <w:r w:rsidRPr="00CD64D9">
        <w:rPr>
          <w:rFonts w:eastAsiaTheme="minorEastAsia"/>
        </w:rPr>
        <w:t xml:space="preserve">where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1,2,…,M-1</m:t>
            </m:r>
          </m:e>
        </m:d>
      </m:oMath>
      <w:r w:rsidRPr="00CD64D9">
        <w:rPr>
          <w:rFonts w:eastAsiaTheme="minorEastAsia"/>
        </w:rPr>
        <w:t>.</w:t>
      </w:r>
      <w:r w:rsidR="00907769" w:rsidRPr="00CD64D9">
        <w:rPr>
          <w:rFonts w:eastAsiaTheme="minorEastAsia"/>
        </w:rPr>
        <w:t xml:space="preserve"> That is, there are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w:t>
      </w:r>
      <w:r w:rsidR="00907769" w:rsidRPr="00CD64D9">
        <w:rPr>
          <w:rFonts w:eastAsiaTheme="minorEastAsia"/>
        </w:rPr>
        <w:t>patients waiting between</w:t>
      </w:r>
      <w:r w:rsidR="004B75BE" w:rsidRPr="00CD64D9">
        <w:rPr>
          <w:rFonts w:eastAsiaTheme="minorEastAsia"/>
        </w:rPr>
        <w:t xml:space="preserve"> </w:t>
      </w:r>
      <m:oMath>
        <m:r>
          <w:rPr>
            <w:rFonts w:ascii="Cambria Math" w:eastAsiaTheme="minorEastAsia" w:hAnsi="Cambria Math"/>
          </w:rPr>
          <m:t>m</m:t>
        </m:r>
      </m:oMath>
      <w:r w:rsidR="004B75BE" w:rsidRPr="00CD64D9">
        <w:rPr>
          <w:rFonts w:eastAsiaTheme="minorEastAsia"/>
        </w:rPr>
        <w:t xml:space="preserve"> and</w:t>
      </w:r>
      <w:r w:rsidR="00907769" w:rsidRPr="00CD64D9">
        <w:rPr>
          <w:rFonts w:eastAsiaTheme="minorEastAsia"/>
        </w:rPr>
        <w:t xml:space="preserve"> </w:t>
      </w:r>
      <m:oMath>
        <m:r>
          <w:rPr>
            <w:rFonts w:ascii="Cambria Math" w:eastAsiaTheme="minorEastAsia" w:hAnsi="Cambria Math"/>
          </w:rPr>
          <m:t>m+1</m:t>
        </m:r>
      </m:oMath>
      <w:r w:rsidR="00907769" w:rsidRPr="00CD64D9">
        <w:rPr>
          <w:rFonts w:eastAsiaTheme="minorEastAsia"/>
        </w:rPr>
        <w:t xml:space="preserve"> units of the time interval, at the end of</w:t>
      </w:r>
      <w:r w:rsidR="00CB5C7D" w:rsidRPr="00CD64D9">
        <w:rPr>
          <w:rFonts w:eastAsiaTheme="minorEastAsia"/>
        </w:rPr>
        <w:t xml:space="preserve"> the </w:t>
      </w:r>
      <m:oMath>
        <m:r>
          <w:rPr>
            <w:rFonts w:ascii="Cambria Math" w:eastAsiaTheme="minorEastAsia" w:hAnsi="Cambria Math"/>
          </w:rPr>
          <m:t>t</m:t>
        </m:r>
      </m:oMath>
      <w:r w:rsidR="00CB5C7D" w:rsidRPr="00CD64D9">
        <w:rPr>
          <w:rFonts w:eastAsiaTheme="minorEastAsia"/>
        </w:rPr>
        <w:t>-th</w:t>
      </w:r>
      <w:r w:rsidR="00907769" w:rsidRPr="00CD64D9">
        <w:rPr>
          <w:rFonts w:eastAsiaTheme="minorEastAsia"/>
        </w:rPr>
        <w:t xml:space="preserve"> time interval. </w:t>
      </w:r>
      <w:r w:rsidR="0071703B" w:rsidRPr="00CD64D9">
        <w:rPr>
          <w:rFonts w:eastAsiaTheme="minorEastAsia"/>
        </w:rPr>
        <w:t xml:space="preserve">Finally, for </w:t>
      </w:r>
      <w:r w:rsidRPr="00CD64D9">
        <w:rPr>
          <w:rFonts w:eastAsiaTheme="minorEastAsia"/>
        </w:rPr>
        <w:t xml:space="preserve">the </w:t>
      </w:r>
      <w:r w:rsidR="00907769" w:rsidRPr="00CD64D9">
        <w:rPr>
          <w:rFonts w:eastAsiaTheme="minorEastAsia"/>
        </w:rPr>
        <w:t>last</w:t>
      </w:r>
      <w:r w:rsidRPr="00CD64D9">
        <w:rPr>
          <w:rFonts w:eastAsiaTheme="minorEastAsia"/>
        </w:rPr>
        <w:t xml:space="preserve"> compartment, representing all waits greater than a multiple of </w:t>
      </w:r>
      <w:r w:rsidRPr="00CD64D9">
        <w:rPr>
          <w:rFonts w:eastAsiaTheme="minorEastAsia"/>
          <w:i/>
          <w:iCs/>
        </w:rPr>
        <w:t>M</w:t>
      </w:r>
      <w:r w:rsidRPr="00CD64D9">
        <w:rPr>
          <w:rFonts w:eastAsiaTheme="minorEastAsia"/>
        </w:rPr>
        <w:t xml:space="preserve"> time intervals</w:t>
      </w:r>
      <w:r w:rsidR="0070142F" w:rsidRPr="00CD64D9">
        <w:rPr>
          <w:rFonts w:eastAsiaTheme="minorEastAsia"/>
        </w:rPr>
        <w:t xml:space="preserve">, it is necessary to additionally account for those waiting patients </w:t>
      </w:r>
      <w:r w:rsidR="006C56B1" w:rsidRPr="00CD64D9">
        <w:rPr>
          <w:rFonts w:eastAsiaTheme="minorEastAsia"/>
        </w:rPr>
        <w:t>who neither renege nor are treated and therefore remain in the compartment</w:t>
      </w:r>
      <w:r w:rsidRPr="00CD64D9">
        <w:rPr>
          <w:rFonts w:eastAsiaTheme="minorEastAsia"/>
        </w:rPr>
        <w:t>:</w:t>
      </w:r>
    </w:p>
    <w:p w14:paraId="19068192" w14:textId="7FDA2014" w:rsidR="00590488" w:rsidRPr="00CD64D9" w:rsidRDefault="00590488" w:rsidP="00B277D3">
      <w:pPr>
        <w:jc w:val="both"/>
        <w:rPr>
          <w:rFonts w:eastAsiaTheme="minorEastAsia"/>
        </w:rPr>
      </w:pPr>
    </w:p>
    <w:p w14:paraId="7E7BC85A" w14:textId="6909E417" w:rsidR="00E51E48" w:rsidRPr="00CD64D9" w:rsidRDefault="00D35ADD" w:rsidP="00B277D3">
      <w:pPr>
        <w:jc w:val="both"/>
        <w:rPr>
          <w:rFonts w:eastAsiaTheme="minorEastAsia"/>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t-1</m:t>
                </m:r>
              </m:e>
            </m:d>
          </m:e>
        </m:d>
      </m:oMath>
      <w:r w:rsidRPr="00CD64D9">
        <w:rPr>
          <w:rFonts w:eastAsiaTheme="minorEastAsia"/>
        </w:rPr>
        <w:tab/>
      </w:r>
      <w:r w:rsidRPr="00CD64D9">
        <w:rPr>
          <w:rFonts w:eastAsiaTheme="minorEastAsia"/>
        </w:rPr>
        <w:tab/>
      </w:r>
    </w:p>
    <w:p w14:paraId="55C9024C" w14:textId="557B83CA" w:rsidR="00D35ADD" w:rsidRPr="00CD64D9" w:rsidRDefault="00D35ADD" w:rsidP="00B277D3">
      <w:pPr>
        <w:ind w:left="7200" w:firstLine="720"/>
        <w:jc w:val="both"/>
        <w:rPr>
          <w:rFonts w:eastAsiaTheme="minorEastAsia"/>
        </w:rPr>
      </w:pPr>
      <w:r w:rsidRPr="00CD64D9">
        <w:rPr>
          <w:rFonts w:eastAsiaTheme="minorEastAsia"/>
        </w:rPr>
        <w:t>Eqn. (4)</w:t>
      </w:r>
    </w:p>
    <w:p w14:paraId="6E0D8EFB" w14:textId="77777777" w:rsidR="00D35ADD" w:rsidRPr="00CD64D9" w:rsidRDefault="00D35ADD" w:rsidP="00B277D3">
      <w:pPr>
        <w:jc w:val="both"/>
        <w:rPr>
          <w:rFonts w:eastAsiaTheme="minorEastAsia"/>
        </w:rPr>
      </w:pPr>
    </w:p>
    <w:p w14:paraId="1EF09D17" w14:textId="77777777" w:rsidR="00CB15F3" w:rsidRPr="00CD64D9" w:rsidRDefault="00CB15F3" w:rsidP="00B277D3">
      <w:pPr>
        <w:jc w:val="center"/>
      </w:pPr>
    </w:p>
    <w:p w14:paraId="2A92212A" w14:textId="7708741B" w:rsidR="00D22E43" w:rsidRPr="00CD64D9" w:rsidRDefault="00D23461" w:rsidP="00B277D3">
      <w:pPr>
        <w:jc w:val="center"/>
      </w:pPr>
      <w:r w:rsidRPr="00CD64D9">
        <w:rPr>
          <w:rFonts w:eastAsiaTheme="minorEastAsia"/>
          <w:noProof/>
        </w:rPr>
        <w:drawing>
          <wp:inline distT="0" distB="0" distL="0" distR="0" wp14:anchorId="08408AA2" wp14:editId="59F5CE98">
            <wp:extent cx="4105002" cy="328689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7401" cy="3288819"/>
                    </a:xfrm>
                    <a:prstGeom prst="rect">
                      <a:avLst/>
                    </a:prstGeom>
                    <a:noFill/>
                    <a:ln>
                      <a:noFill/>
                    </a:ln>
                  </pic:spPr>
                </pic:pic>
              </a:graphicData>
            </a:graphic>
          </wp:inline>
        </w:drawing>
      </w:r>
    </w:p>
    <w:p w14:paraId="430F16EF" w14:textId="77777777" w:rsidR="00D22E43" w:rsidRPr="00CD64D9" w:rsidRDefault="00D22E43" w:rsidP="00B277D3">
      <w:pPr>
        <w:jc w:val="center"/>
      </w:pPr>
    </w:p>
    <w:p w14:paraId="34EF9E06" w14:textId="3C3BF2E5" w:rsidR="00D22E43" w:rsidRPr="00CD64D9" w:rsidRDefault="00D22E43" w:rsidP="00B277D3">
      <w:pPr>
        <w:jc w:val="center"/>
      </w:pPr>
      <w:r w:rsidRPr="00CD64D9">
        <w:rPr>
          <w:b/>
          <w:bCs/>
        </w:rPr>
        <w:t xml:space="preserve">Figure 2. </w:t>
      </w:r>
      <w:r w:rsidRPr="00CD64D9">
        <w:t xml:space="preserve">Schematic of </w:t>
      </w:r>
      <w:r w:rsidR="00B11EB0" w:rsidRPr="00CD64D9">
        <w:t xml:space="preserve">the </w:t>
      </w:r>
      <w:r w:rsidRPr="00CD64D9">
        <w:t>wait</w:t>
      </w:r>
      <w:r w:rsidR="00B11EB0" w:rsidRPr="00CD64D9">
        <w:t xml:space="preserve">ing </w:t>
      </w:r>
      <w:r w:rsidRPr="00CD64D9">
        <w:t>list problem as modelled,</w:t>
      </w:r>
      <w:r w:rsidR="00D70816" w:rsidRPr="00CD64D9">
        <w:t xml:space="preserve"> with parameters</w:t>
      </w:r>
      <w:r w:rsidR="00757BB2" w:rsidRPr="00CD64D9">
        <w:t xml:space="preserve"> as</w:t>
      </w:r>
      <w:r w:rsidR="00D70816" w:rsidRPr="00CD64D9">
        <w:t xml:space="preserve"> defined in Section </w:t>
      </w:r>
      <w:r w:rsidR="00FF12E8" w:rsidRPr="00CD64D9">
        <w:t>3</w:t>
      </w:r>
      <w:r w:rsidR="00D70816" w:rsidRPr="00CD64D9">
        <w:t>.</w:t>
      </w:r>
      <w:r w:rsidR="00822CF1" w:rsidRPr="00CD64D9">
        <w:t>2</w:t>
      </w:r>
      <w:r w:rsidRPr="00CD64D9">
        <w:t>.</w:t>
      </w:r>
    </w:p>
    <w:p w14:paraId="03854419" w14:textId="548E6C28" w:rsidR="00D22E43" w:rsidRPr="00CD64D9" w:rsidRDefault="00D22E43" w:rsidP="00B277D3">
      <w:pPr>
        <w:jc w:val="both"/>
      </w:pPr>
    </w:p>
    <w:p w14:paraId="514F8807" w14:textId="58385EE9" w:rsidR="00662A86" w:rsidRPr="00CD64D9" w:rsidRDefault="00662A86" w:rsidP="00B277D3">
      <w:pPr>
        <w:jc w:val="both"/>
      </w:pPr>
    </w:p>
    <w:p w14:paraId="2AD94244" w14:textId="77777777" w:rsidR="00BB00E9" w:rsidRPr="00CD64D9" w:rsidRDefault="00BB00E9" w:rsidP="00B277D3">
      <w:pPr>
        <w:jc w:val="both"/>
      </w:pPr>
    </w:p>
    <w:p w14:paraId="059DECE3" w14:textId="1F30CA74" w:rsidR="00990EA7" w:rsidRPr="00CD64D9" w:rsidRDefault="00734FDC" w:rsidP="00B277D3">
      <w:pPr>
        <w:jc w:val="both"/>
        <w:rPr>
          <w:b/>
          <w:i/>
        </w:rPr>
      </w:pPr>
      <w:r w:rsidRPr="00CD64D9">
        <w:rPr>
          <w:b/>
          <w:i/>
        </w:rPr>
        <w:t>3</w:t>
      </w:r>
      <w:r w:rsidR="00990EA7" w:rsidRPr="00CD64D9">
        <w:rPr>
          <w:b/>
          <w:i/>
        </w:rPr>
        <w:t>.</w:t>
      </w:r>
      <w:r w:rsidR="00822CF1" w:rsidRPr="00CD64D9">
        <w:rPr>
          <w:b/>
          <w:i/>
        </w:rPr>
        <w:t>3</w:t>
      </w:r>
      <w:r w:rsidR="00990EA7" w:rsidRPr="00CD64D9">
        <w:rPr>
          <w:b/>
          <w:i/>
        </w:rPr>
        <w:t xml:space="preserve"> Solution</w:t>
      </w:r>
    </w:p>
    <w:p w14:paraId="69616E4C" w14:textId="4C590F64" w:rsidR="0085074E" w:rsidRPr="00CD64D9" w:rsidRDefault="0085074E" w:rsidP="00B277D3">
      <w:pPr>
        <w:jc w:val="both"/>
      </w:pPr>
    </w:p>
    <w:p w14:paraId="6F2F6E4C" w14:textId="2B341940" w:rsidR="00DA5F02" w:rsidRPr="00CD64D9" w:rsidRDefault="00990EA7" w:rsidP="00DA5F02">
      <w:pPr>
        <w:jc w:val="both"/>
        <w:rPr>
          <w:rFonts w:eastAsiaTheme="minorEastAsia"/>
        </w:rPr>
      </w:pPr>
      <w:r w:rsidRPr="00CD64D9">
        <w:t xml:space="preserve">Where </w:t>
      </w:r>
      <m:oMath>
        <m:r>
          <w:rPr>
            <w:rFonts w:ascii="Cambria Math" w:hAnsi="Cambria Math"/>
          </w:rPr>
          <m:t>t=T</m:t>
        </m:r>
      </m:oMath>
      <w:r w:rsidRPr="00CD64D9">
        <w:t xml:space="preserve"> is the time of the latest data</w:t>
      </w:r>
      <w:r w:rsidR="00712838" w:rsidRPr="00CD64D9">
        <w:t xml:space="preserve">, </w:t>
      </w:r>
      <w:r w:rsidRPr="00CD64D9">
        <w:t>or the time from which projections are sought</w:t>
      </w:r>
      <w:r w:rsidR="00712838" w:rsidRPr="00CD64D9">
        <w:t>,</w:t>
      </w:r>
      <w:r w:rsidRPr="00CD64D9">
        <w:t xml:space="preserve"> the future numbers waiting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can be estimated given</w:t>
      </w:r>
      <w:r w:rsidR="00E4492A" w:rsidRPr="00CD64D9">
        <w:rPr>
          <w:rFonts w:eastAsiaTheme="minorEastAsia"/>
        </w:rPr>
        <w:t xml:space="preserve"> the </w:t>
      </w:r>
      <w:r w:rsidR="005C4D89" w:rsidRPr="00CD64D9">
        <w:rPr>
          <w:rFonts w:eastAsiaTheme="minorEastAsia"/>
        </w:rPr>
        <w:t>calibrated</w:t>
      </w:r>
      <w:r w:rsidR="00E4492A" w:rsidRPr="00CD64D9">
        <w:rPr>
          <w:rFonts w:eastAsiaTheme="minorEastAsia"/>
        </w:rPr>
        <w:t xml:space="preserve"> reneging parameters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oMath>
      <w:r w:rsidR="005C4D89" w:rsidRPr="00CD64D9">
        <w:rPr>
          <w:rFonts w:eastAsiaTheme="minorEastAsia"/>
        </w:rPr>
        <w:t xml:space="preserve"> and</w:t>
      </w:r>
      <w:r w:rsidRPr="00CD64D9">
        <w:rPr>
          <w:rFonts w:eastAsiaTheme="minorEastAsia"/>
        </w:rPr>
        <w:t xml:space="preserve"> future values for referrals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and treatment capacity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where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Pr="00CD64D9">
        <w:rPr>
          <w:rFonts w:eastAsiaTheme="minorEastAsia"/>
        </w:rPr>
        <w:t xml:space="preserve"> and </w:t>
      </w:r>
      <m:oMath>
        <m:r>
          <w:rPr>
            <w:rFonts w:ascii="Cambria Math" w:eastAsiaTheme="minorEastAsia" w:hAnsi="Cambria Math"/>
          </w:rPr>
          <m:t>t&gt;T</m:t>
        </m:r>
      </m:oMath>
      <w:r w:rsidRPr="00CD64D9">
        <w:rPr>
          <w:rFonts w:eastAsiaTheme="minorEastAsia"/>
        </w:rPr>
        <w:t xml:space="preserve">. </w:t>
      </w:r>
      <w:r w:rsidR="000F0CD9" w:rsidRPr="00CD64D9">
        <w:rPr>
          <w:rFonts w:eastAsiaTheme="minorEastAsia"/>
        </w:rPr>
        <w:t>The</w:t>
      </w:r>
      <w:r w:rsidR="005C4D89" w:rsidRPr="00CD64D9">
        <w:rPr>
          <w:rFonts w:eastAsiaTheme="minorEastAsia"/>
        </w:rPr>
        <w:t xml:space="preserve"> waiting time projections</w:t>
      </w:r>
      <w:r w:rsidR="00EA1D04" w:rsidRPr="00CD64D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4F1A1F" w:rsidRPr="00CD64D9">
        <w:rPr>
          <w:rFonts w:eastAsiaTheme="minorEastAsia"/>
        </w:rPr>
        <w:t xml:space="preserve"> –</w:t>
      </w:r>
      <w:r w:rsidR="004F1A1F" w:rsidRPr="00CD64D9">
        <w:t xml:space="preserve"> </w:t>
      </w:r>
      <w:r w:rsidR="00EA1D04" w:rsidRPr="00CD64D9">
        <w:t xml:space="preserve">for </w:t>
      </w:r>
      <w:r w:rsidR="004F1A1F" w:rsidRPr="00CD64D9">
        <w:rPr>
          <w:rFonts w:eastAsiaTheme="minorEastAsia"/>
        </w:rPr>
        <w:t xml:space="preserve">the future numbers of patients waiting between </w:t>
      </w:r>
      <m:oMath>
        <m:r>
          <w:rPr>
            <w:rFonts w:ascii="Cambria Math" w:eastAsiaTheme="minorEastAsia" w:hAnsi="Cambria Math"/>
          </w:rPr>
          <m:t>m</m:t>
        </m:r>
      </m:oMath>
      <w:r w:rsidR="004F1A1F" w:rsidRPr="00CD64D9">
        <w:rPr>
          <w:rFonts w:eastAsiaTheme="minorEastAsia"/>
        </w:rPr>
        <w:t xml:space="preserve"> and </w:t>
      </w:r>
      <m:oMath>
        <m:r>
          <w:rPr>
            <w:rFonts w:ascii="Cambria Math" w:eastAsiaTheme="minorEastAsia" w:hAnsi="Cambria Math"/>
          </w:rPr>
          <m:t>m+1</m:t>
        </m:r>
      </m:oMath>
      <w:r w:rsidR="004F1A1F" w:rsidRPr="00CD64D9">
        <w:rPr>
          <w:rFonts w:eastAsiaTheme="minorEastAsia"/>
        </w:rPr>
        <w:t xml:space="preserve">  units of time at the end of the </w:t>
      </w:r>
      <m:oMath>
        <m:r>
          <w:rPr>
            <w:rFonts w:ascii="Cambria Math" w:eastAsiaTheme="minorEastAsia" w:hAnsi="Cambria Math"/>
          </w:rPr>
          <m:t>t</m:t>
        </m:r>
      </m:oMath>
      <w:r w:rsidR="004F1A1F" w:rsidRPr="00CD64D9">
        <w:rPr>
          <w:rFonts w:eastAsiaTheme="minorEastAsia"/>
        </w:rPr>
        <w:t xml:space="preserve">-th time interval – </w:t>
      </w:r>
      <w:r w:rsidR="000F0CD9" w:rsidRPr="00CD64D9">
        <w:rPr>
          <w:rFonts w:eastAsiaTheme="minorEastAsia"/>
        </w:rPr>
        <w:t xml:space="preserve">can </w:t>
      </w:r>
      <w:r w:rsidR="005C4D89" w:rsidRPr="00CD64D9">
        <w:rPr>
          <w:rFonts w:eastAsiaTheme="minorEastAsia"/>
        </w:rPr>
        <w:t xml:space="preserve">simply </w:t>
      </w:r>
      <w:r w:rsidR="000F0CD9" w:rsidRPr="00CD64D9">
        <w:rPr>
          <w:rFonts w:eastAsiaTheme="minorEastAsia"/>
        </w:rPr>
        <w:t xml:space="preserve">be determined </w:t>
      </w:r>
      <w:r w:rsidR="005C4D89" w:rsidRPr="00CD64D9">
        <w:rPr>
          <w:rFonts w:eastAsiaTheme="minorEastAsia"/>
        </w:rPr>
        <w:t>through</w:t>
      </w:r>
      <w:r w:rsidR="000F0CD9" w:rsidRPr="00CD64D9">
        <w:rPr>
          <w:rFonts w:eastAsiaTheme="minorEastAsia"/>
        </w:rPr>
        <w:t xml:space="preserve"> stepwise </w:t>
      </w:r>
      <w:r w:rsidR="005C4D89" w:rsidRPr="00CD64D9">
        <w:rPr>
          <w:rFonts w:eastAsiaTheme="minorEastAsia"/>
        </w:rPr>
        <w:t>calculation using</w:t>
      </w:r>
      <w:r w:rsidR="004F1A1F" w:rsidRPr="00CD64D9">
        <w:rPr>
          <w:rFonts w:eastAsiaTheme="minorEastAsia"/>
        </w:rPr>
        <w:t xml:space="preserve"> the recurrence relations given by</w:t>
      </w:r>
      <w:r w:rsidR="005C4D89" w:rsidRPr="00CD64D9">
        <w:rPr>
          <w:rFonts w:eastAsiaTheme="minorEastAsia"/>
        </w:rPr>
        <w:t xml:space="preserve"> Eqns. (1</w:t>
      </w:r>
      <w:r w:rsidR="00FF406C" w:rsidRPr="00CD64D9">
        <w:rPr>
          <w:rFonts w:eastAsiaTheme="minorEastAsia"/>
        </w:rPr>
        <w:t>,</w:t>
      </w:r>
      <w:r w:rsidR="005C4D89" w:rsidRPr="00CD64D9">
        <w:rPr>
          <w:rFonts w:eastAsiaTheme="minorEastAsia"/>
        </w:rPr>
        <w:t>3</w:t>
      </w:r>
      <w:r w:rsidR="00FF406C" w:rsidRPr="00CD64D9">
        <w:rPr>
          <w:rFonts w:eastAsiaTheme="minorEastAsia"/>
        </w:rPr>
        <w:t>,</w:t>
      </w:r>
      <w:r w:rsidR="005C4D89" w:rsidRPr="00CD64D9">
        <w:rPr>
          <w:rFonts w:eastAsiaTheme="minorEastAsia"/>
        </w:rPr>
        <w:t xml:space="preserve">4), i.e., first calculate the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5C4D89" w:rsidRPr="00CD64D9">
        <w:rPr>
          <w:rFonts w:eastAsiaTheme="minorEastAsia"/>
        </w:rPr>
        <w:t xml:space="preserve"> for </w:t>
      </w:r>
      <m:oMath>
        <m:r>
          <w:rPr>
            <w:rFonts w:ascii="Cambria Math" w:hAnsi="Cambria Math"/>
          </w:rPr>
          <m:t>t=T+1</m:t>
        </m:r>
      </m:oMath>
      <w:r w:rsidR="005C4D89" w:rsidRPr="00CD64D9">
        <w:rPr>
          <w:rFonts w:eastAsiaTheme="minorEastAsia"/>
        </w:rPr>
        <w:t>, and then use the</w:t>
      </w:r>
      <w:r w:rsidR="004F1A1F" w:rsidRPr="00CD64D9">
        <w:rPr>
          <w:rFonts w:eastAsiaTheme="minorEastAsia"/>
        </w:rPr>
        <w:t>se</w:t>
      </w:r>
      <w:r w:rsidR="00712838" w:rsidRPr="00CD64D9">
        <w:rPr>
          <w:rFonts w:eastAsiaTheme="minorEastAsia"/>
        </w:rPr>
        <w:t xml:space="preserve"> results</w:t>
      </w:r>
      <w:r w:rsidR="005C4D89" w:rsidRPr="00CD64D9">
        <w:rPr>
          <w:rFonts w:eastAsiaTheme="minorEastAsia"/>
        </w:rPr>
        <w:t xml:space="preserve"> to calculate the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5C4D89" w:rsidRPr="00CD64D9">
        <w:rPr>
          <w:rFonts w:eastAsiaTheme="minorEastAsia"/>
        </w:rPr>
        <w:t xml:space="preserve"> for </w:t>
      </w:r>
      <m:oMath>
        <m:r>
          <w:rPr>
            <w:rFonts w:ascii="Cambria Math" w:hAnsi="Cambria Math"/>
          </w:rPr>
          <m:t>t=T+2</m:t>
        </m:r>
      </m:oMath>
      <w:r w:rsidR="005C4D89" w:rsidRPr="00CD64D9">
        <w:rPr>
          <w:rFonts w:eastAsiaTheme="minorEastAsia"/>
        </w:rPr>
        <w:t xml:space="preserve">, and so on. All that is required </w:t>
      </w:r>
      <w:r w:rsidR="00712838" w:rsidRPr="00CD64D9">
        <w:rPr>
          <w:rFonts w:eastAsiaTheme="minorEastAsia"/>
        </w:rPr>
        <w:t>are</w:t>
      </w:r>
      <w:r w:rsidR="005C4D89" w:rsidRPr="00CD64D9">
        <w:rPr>
          <w:rFonts w:eastAsiaTheme="minorEastAsia"/>
        </w:rPr>
        <w:t xml:space="preserve"> the calibrated reneging parameters</w:t>
      </w:r>
      <w:r w:rsidR="00EA1D04" w:rsidRPr="00CD64D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oMath>
      <w:r w:rsidR="005C4D89" w:rsidRPr="00CD64D9">
        <w:rPr>
          <w:rFonts w:eastAsiaTheme="minorEastAsia"/>
        </w:rPr>
        <w:t xml:space="preserve"> (covered later, in Section</w:t>
      </w:r>
      <w:r w:rsidR="000E07F7" w:rsidRPr="00CD64D9">
        <w:rPr>
          <w:rFonts w:eastAsiaTheme="minorEastAsia"/>
        </w:rPr>
        <w:t xml:space="preserve"> 4.2</w:t>
      </w:r>
      <w:r w:rsidR="005C4D89" w:rsidRPr="00CD64D9">
        <w:rPr>
          <w:rFonts w:eastAsiaTheme="minorEastAsia"/>
        </w:rPr>
        <w:t>) and whatever values for referrals</w:t>
      </w:r>
      <w:r w:rsidR="00EA1D04" w:rsidRPr="00CD64D9">
        <w:rPr>
          <w:rFonts w:eastAsiaTheme="minorEastAsia"/>
        </w:rPr>
        <w:t xml:space="preserve">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005C4D89" w:rsidRPr="00CD64D9">
        <w:rPr>
          <w:rFonts w:eastAsiaTheme="minorEastAsia"/>
        </w:rPr>
        <w:t xml:space="preserve"> and treatment capacity</w:t>
      </w:r>
      <w:r w:rsidR="00EA1D04" w:rsidRPr="00CD64D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5C4D89" w:rsidRPr="00CD64D9">
        <w:rPr>
          <w:rFonts w:eastAsiaTheme="minorEastAsia"/>
        </w:rPr>
        <w:t xml:space="preserve"> </w:t>
      </w:r>
      <w:r w:rsidR="00712838" w:rsidRPr="00CD64D9">
        <w:rPr>
          <w:rFonts w:eastAsiaTheme="minorEastAsia"/>
        </w:rPr>
        <w:t xml:space="preserve">are considered as part of the </w:t>
      </w:r>
      <w:r w:rsidR="00541F27" w:rsidRPr="00CD64D9">
        <w:rPr>
          <w:rFonts w:eastAsiaTheme="minorEastAsia"/>
        </w:rPr>
        <w:t xml:space="preserve">hypothetical </w:t>
      </w:r>
      <w:r w:rsidR="00712838" w:rsidRPr="00CD64D9">
        <w:rPr>
          <w:rFonts w:eastAsiaTheme="minorEastAsia"/>
        </w:rPr>
        <w:t>scenario(s) to be modelled</w:t>
      </w:r>
      <w:r w:rsidR="00EA1D04" w:rsidRPr="00CD64D9">
        <w:rPr>
          <w:rFonts w:eastAsiaTheme="minorEastAsia"/>
        </w:rPr>
        <w:t>.</w:t>
      </w:r>
      <w:r w:rsidR="00DA5F02" w:rsidRPr="00CD64D9">
        <w:rPr>
          <w:rFonts w:eastAsiaTheme="minorEastAsia"/>
        </w:rPr>
        <w:t xml:space="preserve"> The values of these input parameters are specified by the model user to represent the </w:t>
      </w:r>
      <w:proofErr w:type="gramStart"/>
      <w:r w:rsidR="00DA5F02" w:rsidRPr="00CD64D9">
        <w:rPr>
          <w:rFonts w:eastAsiaTheme="minorEastAsia"/>
        </w:rPr>
        <w:t>particular scenario</w:t>
      </w:r>
      <w:proofErr w:type="gramEnd"/>
      <w:r w:rsidR="00DA5F02" w:rsidRPr="00CD64D9">
        <w:rPr>
          <w:rFonts w:eastAsiaTheme="minorEastAsia"/>
        </w:rPr>
        <w:t xml:space="preserve"> that he or she is interested to investigate. Examples of how these input parameters can be set are given later, in Section 4.2 for the reneging parameters and Section 6 for referrals and treatment capacities.</w:t>
      </w:r>
    </w:p>
    <w:p w14:paraId="74D55219" w14:textId="77777777" w:rsidR="00AB3954" w:rsidRPr="00CD64D9" w:rsidRDefault="00AB3954" w:rsidP="00B277D3">
      <w:pPr>
        <w:jc w:val="both"/>
        <w:rPr>
          <w:rFonts w:eastAsiaTheme="minorEastAsia"/>
        </w:rPr>
      </w:pPr>
    </w:p>
    <w:p w14:paraId="238E766C" w14:textId="77777777" w:rsidR="00F506A4" w:rsidRPr="00CD64D9" w:rsidRDefault="00F506A4" w:rsidP="00B277D3">
      <w:pPr>
        <w:jc w:val="both"/>
        <w:rPr>
          <w:rFonts w:eastAsiaTheme="minorEastAsia"/>
        </w:rPr>
      </w:pPr>
    </w:p>
    <w:p w14:paraId="670F9DC5" w14:textId="04A6B9CE" w:rsidR="00AD026A" w:rsidRPr="00CD64D9" w:rsidRDefault="00B10B0B" w:rsidP="00B277D3">
      <w:pPr>
        <w:jc w:val="both"/>
        <w:rPr>
          <w:rFonts w:eastAsiaTheme="minorEastAsia"/>
          <w:b/>
          <w:bCs/>
        </w:rPr>
      </w:pPr>
      <w:r w:rsidRPr="00CD64D9">
        <w:rPr>
          <w:rFonts w:eastAsiaTheme="minorEastAsia"/>
          <w:b/>
          <w:bCs/>
        </w:rPr>
        <w:t xml:space="preserve">4. </w:t>
      </w:r>
      <w:r w:rsidR="000531B9" w:rsidRPr="00CD64D9">
        <w:rPr>
          <w:rFonts w:eastAsiaTheme="minorEastAsia"/>
          <w:b/>
          <w:bCs/>
        </w:rPr>
        <w:t>E</w:t>
      </w:r>
      <w:r w:rsidR="005D264F" w:rsidRPr="00CD64D9">
        <w:rPr>
          <w:rFonts w:eastAsiaTheme="minorEastAsia"/>
          <w:b/>
          <w:bCs/>
        </w:rPr>
        <w:t>xample a</w:t>
      </w:r>
      <w:r w:rsidRPr="00CD64D9">
        <w:rPr>
          <w:rFonts w:eastAsiaTheme="minorEastAsia"/>
          <w:b/>
          <w:bCs/>
        </w:rPr>
        <w:t>pplication</w:t>
      </w:r>
    </w:p>
    <w:p w14:paraId="6FF7AEE9" w14:textId="77777777" w:rsidR="0097539B" w:rsidRPr="00CD64D9" w:rsidRDefault="0097539B" w:rsidP="00B277D3">
      <w:pPr>
        <w:jc w:val="both"/>
      </w:pPr>
    </w:p>
    <w:p w14:paraId="42B47EA7" w14:textId="23342ADE" w:rsidR="00BB5895" w:rsidRPr="00CD64D9" w:rsidRDefault="00BB5895" w:rsidP="00B277D3">
      <w:pPr>
        <w:jc w:val="both"/>
      </w:pPr>
      <w:r w:rsidRPr="00CD64D9">
        <w:t xml:space="preserve">For the purposes of </w:t>
      </w:r>
      <w:r w:rsidR="00ED4392" w:rsidRPr="00CD64D9">
        <w:t xml:space="preserve">providing a </w:t>
      </w:r>
      <w:r w:rsidRPr="00CD64D9">
        <w:t>demonstrat</w:t>
      </w:r>
      <w:r w:rsidR="00ED4392" w:rsidRPr="00CD64D9">
        <w:t>ion of</w:t>
      </w:r>
      <w:r w:rsidRPr="00CD64D9">
        <w:t xml:space="preserve"> the </w:t>
      </w:r>
      <w:r w:rsidR="0097539B" w:rsidRPr="00CD64D9">
        <w:t>methodology</w:t>
      </w:r>
      <w:r w:rsidRPr="00CD64D9">
        <w:t xml:space="preserve"> and the sorts of predictions it is capable of making, the following example application assumes that decision makers are interested in the strategic management of the overall</w:t>
      </w:r>
      <w:r w:rsidR="003651CE" w:rsidRPr="00CD64D9">
        <w:t xml:space="preserve"> consultant-led </w:t>
      </w:r>
      <w:r w:rsidRPr="00CD64D9">
        <w:t xml:space="preserve">England </w:t>
      </w:r>
      <w:r w:rsidR="0097539B" w:rsidRPr="00CD64D9">
        <w:t xml:space="preserve">national </w:t>
      </w:r>
      <w:r w:rsidRPr="00CD64D9">
        <w:t>waiting list, and want to predict the likely consequences of a scenario in which</w:t>
      </w:r>
      <w:r w:rsidR="00F559CF" w:rsidRPr="00CD64D9">
        <w:t xml:space="preserve"> (</w:t>
      </w:r>
      <w:r w:rsidR="00E06C47" w:rsidRPr="00CD64D9">
        <w:t xml:space="preserve">with reference to the scenario specification </w:t>
      </w:r>
      <w:r w:rsidR="009F512C" w:rsidRPr="00CD64D9">
        <w:t>of</w:t>
      </w:r>
      <w:r w:rsidR="00E06C47" w:rsidRPr="00CD64D9">
        <w:t xml:space="preserve"> Section 3.1</w:t>
      </w:r>
      <w:r w:rsidR="00F559CF" w:rsidRPr="00CD64D9">
        <w:t>)</w:t>
      </w:r>
      <w:r w:rsidRPr="00CD64D9">
        <w:t>:</w:t>
      </w:r>
    </w:p>
    <w:p w14:paraId="216B9D5E" w14:textId="7A6A5B1B" w:rsidR="00BB5895" w:rsidRPr="00CD64D9" w:rsidRDefault="00587B9D" w:rsidP="00B277D3">
      <w:pPr>
        <w:pStyle w:val="ListParagraph"/>
        <w:numPr>
          <w:ilvl w:val="0"/>
          <w:numId w:val="15"/>
        </w:numPr>
        <w:jc w:val="both"/>
      </w:pPr>
      <w:r w:rsidRPr="00CD64D9">
        <w:rPr>
          <w:b/>
          <w:bCs/>
        </w:rPr>
        <w:t>Starting size and structure of the waiting list</w:t>
      </w:r>
      <w:r w:rsidRPr="00CD64D9">
        <w:t xml:space="preserve"> </w:t>
      </w:r>
      <w:r w:rsidR="00BB5895" w:rsidRPr="00CD64D9">
        <w:t>is as</w:t>
      </w:r>
      <w:r w:rsidR="008F4A59" w:rsidRPr="00CD64D9">
        <w:t xml:space="preserve"> of the end of 2023, based on</w:t>
      </w:r>
      <w:r w:rsidR="00BB5895" w:rsidRPr="00CD64D9">
        <w:t xml:space="preserve"> </w:t>
      </w:r>
      <w:r w:rsidRPr="00CD64D9">
        <w:t xml:space="preserve">publicly available data published by NHS England </w:t>
      </w:r>
      <w:r w:rsidR="00F559CF" w:rsidRPr="00CD64D9">
        <w:t>[</w:t>
      </w:r>
      <w:r w:rsidR="00C97AD1" w:rsidRPr="00CD64D9">
        <w:t>7</w:t>
      </w:r>
      <w:r w:rsidR="00F559CF" w:rsidRPr="00CD64D9">
        <w:t>]</w:t>
      </w:r>
      <w:r w:rsidRPr="00CD64D9">
        <w:t>.</w:t>
      </w:r>
    </w:p>
    <w:p w14:paraId="404E1AB8" w14:textId="45284FCB" w:rsidR="00587B9D" w:rsidRPr="00CD64D9" w:rsidRDefault="00587B9D" w:rsidP="00B277D3">
      <w:pPr>
        <w:pStyle w:val="ListParagraph"/>
        <w:numPr>
          <w:ilvl w:val="0"/>
          <w:numId w:val="15"/>
        </w:numPr>
        <w:jc w:val="both"/>
      </w:pPr>
      <w:r w:rsidRPr="00CD64D9">
        <w:rPr>
          <w:b/>
          <w:bCs/>
        </w:rPr>
        <w:t>Future monthly referral rates</w:t>
      </w:r>
      <w:r w:rsidRPr="00CD64D9">
        <w:t xml:space="preserve"> of new patients</w:t>
      </w:r>
      <w:r w:rsidR="008F4A59" w:rsidRPr="00CD64D9">
        <w:t xml:space="preserve"> through 2024-2025</w:t>
      </w:r>
      <w:r w:rsidRPr="00CD64D9">
        <w:t xml:space="preserve"> are </w:t>
      </w:r>
      <w:r w:rsidR="00E74520" w:rsidRPr="00CD64D9">
        <w:t xml:space="preserve">based on </w:t>
      </w:r>
      <w:r w:rsidRPr="00CD64D9">
        <w:t xml:space="preserve">a </w:t>
      </w:r>
      <w:r w:rsidR="00E74520" w:rsidRPr="00CD64D9">
        <w:t>time-series</w:t>
      </w:r>
      <w:r w:rsidRPr="00CD64D9">
        <w:t xml:space="preserve"> forecast </w:t>
      </w:r>
      <w:r w:rsidR="00E74520" w:rsidRPr="00CD64D9">
        <w:t xml:space="preserve">using </w:t>
      </w:r>
      <w:r w:rsidRPr="00CD64D9">
        <w:t>the latest 24 months of national referral data</w:t>
      </w:r>
      <w:r w:rsidR="008F4A59" w:rsidRPr="00CD64D9">
        <w:t xml:space="preserve"> (2022-2023)</w:t>
      </w:r>
      <w:r w:rsidR="009F512C" w:rsidRPr="00CD64D9">
        <w:t xml:space="preserve"> published by NHS England</w:t>
      </w:r>
      <w:r w:rsidR="00C97AD1" w:rsidRPr="00CD64D9">
        <w:t xml:space="preserve"> [7]</w:t>
      </w:r>
      <w:r w:rsidR="00E74520" w:rsidRPr="00CD64D9">
        <w:t xml:space="preserve">, including 80% </w:t>
      </w:r>
      <w:r w:rsidR="002074D1">
        <w:t>prediction</w:t>
      </w:r>
      <w:r w:rsidR="00E74520" w:rsidRPr="00CD64D9">
        <w:t xml:space="preserve"> bands.</w:t>
      </w:r>
    </w:p>
    <w:p w14:paraId="3880EAAD" w14:textId="70B49ADC" w:rsidR="00BB5895" w:rsidRPr="00CD64D9" w:rsidRDefault="00BB5895" w:rsidP="00B277D3">
      <w:pPr>
        <w:pStyle w:val="ListParagraph"/>
        <w:numPr>
          <w:ilvl w:val="0"/>
          <w:numId w:val="15"/>
        </w:numPr>
        <w:jc w:val="both"/>
      </w:pPr>
      <w:r w:rsidRPr="00CD64D9">
        <w:rPr>
          <w:b/>
          <w:bCs/>
        </w:rPr>
        <w:t>Future monthly reneging rates</w:t>
      </w:r>
      <w:r w:rsidR="00E06C47" w:rsidRPr="00CD64D9">
        <w:rPr>
          <w:b/>
          <w:bCs/>
        </w:rPr>
        <w:t xml:space="preserve"> </w:t>
      </w:r>
      <w:r w:rsidR="00E06C47" w:rsidRPr="00CD64D9">
        <w:t>through 2024-2025</w:t>
      </w:r>
      <w:r w:rsidRPr="00CD64D9">
        <w:t xml:space="preserve">, and </w:t>
      </w:r>
      <w:r w:rsidR="008F4A59" w:rsidRPr="00CD64D9">
        <w:t>their</w:t>
      </w:r>
      <w:r w:rsidRPr="00CD64D9">
        <w:t xml:space="preserve"> allocat</w:t>
      </w:r>
      <w:r w:rsidR="008F4A59" w:rsidRPr="00CD64D9">
        <w:t>ion</w:t>
      </w:r>
      <w:r w:rsidRPr="00CD64D9">
        <w:t xml:space="preserve"> between patients waiting </w:t>
      </w:r>
      <w:r w:rsidRPr="00CD64D9">
        <w:rPr>
          <w:i/>
          <w:iCs/>
        </w:rPr>
        <w:t xml:space="preserve">0, 1, 2, </w:t>
      </w:r>
      <w:r w:rsidR="00E74520" w:rsidRPr="00CD64D9">
        <w:rPr>
          <w:i/>
          <w:iCs/>
        </w:rPr>
        <w:t>…,</w:t>
      </w:r>
      <w:r w:rsidRPr="00CD64D9">
        <w:rPr>
          <w:i/>
          <w:iCs/>
        </w:rPr>
        <w:t xml:space="preserve"> 11, 12+</w:t>
      </w:r>
      <w:r w:rsidRPr="00CD64D9">
        <w:t xml:space="preserve"> months</w:t>
      </w:r>
      <w:r w:rsidR="008F4A59" w:rsidRPr="00CD64D9">
        <w:t>,</w:t>
      </w:r>
      <w:r w:rsidRPr="00CD64D9">
        <w:t xml:space="preserve"> are assumed to take the </w:t>
      </w:r>
      <w:r w:rsidR="008F4A59" w:rsidRPr="00CD64D9">
        <w:t>mean</w:t>
      </w:r>
      <w:r w:rsidRPr="00CD64D9">
        <w:t xml:space="preserve"> values observed over the last 12</w:t>
      </w:r>
      <w:r w:rsidR="008F4A59" w:rsidRPr="00CD64D9">
        <w:t xml:space="preserve"> m</w:t>
      </w:r>
      <w:r w:rsidRPr="00CD64D9">
        <w:t>onths</w:t>
      </w:r>
      <w:r w:rsidR="008F4A59" w:rsidRPr="00CD64D9">
        <w:t xml:space="preserve"> (2023)</w:t>
      </w:r>
      <w:r w:rsidR="009F512C" w:rsidRPr="00CD64D9">
        <w:t xml:space="preserve"> using data published by NHS England</w:t>
      </w:r>
      <w:r w:rsidR="00C97AD1" w:rsidRPr="00CD64D9">
        <w:t xml:space="preserve"> [7]</w:t>
      </w:r>
      <w:r w:rsidR="008F4A59" w:rsidRPr="00CD64D9">
        <w:t>.</w:t>
      </w:r>
    </w:p>
    <w:p w14:paraId="036E1B4A" w14:textId="3EF847FD" w:rsidR="008F4A59" w:rsidRPr="00CD64D9" w:rsidRDefault="00BB5895" w:rsidP="00B277D3">
      <w:pPr>
        <w:pStyle w:val="ListParagraph"/>
        <w:numPr>
          <w:ilvl w:val="0"/>
          <w:numId w:val="15"/>
        </w:numPr>
        <w:jc w:val="both"/>
      </w:pPr>
      <w:r w:rsidRPr="00CD64D9">
        <w:rPr>
          <w:b/>
          <w:bCs/>
        </w:rPr>
        <w:t xml:space="preserve">Future monthly treatment </w:t>
      </w:r>
      <w:r w:rsidR="008F4A59" w:rsidRPr="00CD64D9">
        <w:rPr>
          <w:b/>
          <w:bCs/>
        </w:rPr>
        <w:t xml:space="preserve">capacity </w:t>
      </w:r>
      <w:r w:rsidRPr="00CD64D9">
        <w:rPr>
          <w:b/>
          <w:bCs/>
        </w:rPr>
        <w:t>rates</w:t>
      </w:r>
      <w:r w:rsidRPr="00CD64D9">
        <w:t xml:space="preserve"> </w:t>
      </w:r>
      <w:r w:rsidR="00E06C47" w:rsidRPr="00CD64D9">
        <w:t xml:space="preserve">through 2024-2025 </w:t>
      </w:r>
      <w:r w:rsidRPr="00CD64D9">
        <w:t xml:space="preserve">are </w:t>
      </w:r>
      <w:r w:rsidR="008F4A59" w:rsidRPr="00CD64D9">
        <w:t>based on a time-series forecast using the latest 24 months of national treatment completion data</w:t>
      </w:r>
      <w:r w:rsidR="00E06C47" w:rsidRPr="00CD64D9">
        <w:t xml:space="preserve"> (2022-2023)</w:t>
      </w:r>
      <w:r w:rsidR="009F512C" w:rsidRPr="00CD64D9">
        <w:t xml:space="preserve"> published by NHS England</w:t>
      </w:r>
      <w:r w:rsidR="00C97AD1" w:rsidRPr="00CD64D9">
        <w:t xml:space="preserve"> [7]</w:t>
      </w:r>
      <w:r w:rsidR="008F4A59" w:rsidRPr="00CD64D9">
        <w:t xml:space="preserve">, including 80% </w:t>
      </w:r>
      <w:r w:rsidR="002074D1">
        <w:t>prediction</w:t>
      </w:r>
      <w:r w:rsidR="008F4A59" w:rsidRPr="00CD64D9">
        <w:t xml:space="preserve"> bands, with their allocation between patients waiting </w:t>
      </w:r>
      <w:r w:rsidR="008F4A59" w:rsidRPr="00CD64D9">
        <w:rPr>
          <w:i/>
          <w:iCs/>
        </w:rPr>
        <w:t>0, 1, 2, …, 11, 12+</w:t>
      </w:r>
      <w:r w:rsidR="008F4A59" w:rsidRPr="00CD64D9">
        <w:t xml:space="preserve"> months determined by the mean proportions observed over the last 12 months</w:t>
      </w:r>
      <w:r w:rsidR="00E06C47" w:rsidRPr="00CD64D9">
        <w:t xml:space="preserve"> (2023)</w:t>
      </w:r>
      <w:r w:rsidR="009F512C" w:rsidRPr="00CD64D9">
        <w:t xml:space="preserve"> using data published by NHS England</w:t>
      </w:r>
      <w:r w:rsidR="00C97AD1" w:rsidRPr="00CD64D9">
        <w:t xml:space="preserve"> [7]</w:t>
      </w:r>
      <w:r w:rsidR="008F4A59" w:rsidRPr="00CD64D9">
        <w:t>.</w:t>
      </w:r>
    </w:p>
    <w:p w14:paraId="51CEE9D0" w14:textId="77777777" w:rsidR="00BB5895" w:rsidRPr="00CD64D9" w:rsidRDefault="00BB5895" w:rsidP="00B277D3">
      <w:pPr>
        <w:jc w:val="both"/>
      </w:pPr>
    </w:p>
    <w:p w14:paraId="7CE1DCE4" w14:textId="4C1BD57F" w:rsidR="00B1126E" w:rsidRPr="00CD64D9" w:rsidRDefault="009F512C" w:rsidP="00B277D3">
      <w:pPr>
        <w:jc w:val="both"/>
      </w:pPr>
      <w:r w:rsidRPr="00CD64D9">
        <w:t>In terms of scenario, the methodology is versatile to other future referrals and treatment capacity rate trajectories</w:t>
      </w:r>
      <w:r w:rsidR="00F559CF" w:rsidRPr="00CD64D9">
        <w:t>:</w:t>
      </w:r>
      <w:r w:rsidRPr="00CD64D9">
        <w:t xml:space="preserve"> the time-series forecasts described above serve only as examples</w:t>
      </w:r>
      <w:r w:rsidR="00723506" w:rsidRPr="00CD64D9">
        <w:t>, as does the choice of future reneging rates</w:t>
      </w:r>
      <w:r w:rsidRPr="00CD64D9">
        <w:t>.</w:t>
      </w:r>
      <w:r w:rsidR="00B1126E" w:rsidRPr="00CD64D9">
        <w:t xml:space="preserve"> </w:t>
      </w:r>
      <w:r w:rsidRPr="00CD64D9">
        <w:t xml:space="preserve">In terms of the setting and data, </w:t>
      </w:r>
      <w:r w:rsidRPr="00CD64D9">
        <w:rPr>
          <w:rFonts w:eastAsiaTheme="minorEastAsia"/>
        </w:rPr>
        <w:t xml:space="preserve">the methodology is generalisable to any elective wait list problem provided the underlying assumptions remain sufficiently valid and where data exists to calibrate the specified parameters. Application of the model to </w:t>
      </w:r>
      <w:r w:rsidRPr="00CD64D9">
        <w:t xml:space="preserve">analyse </w:t>
      </w:r>
      <w:r w:rsidR="00B1126E" w:rsidRPr="00CD64D9">
        <w:t xml:space="preserve">other NHS </w:t>
      </w:r>
      <w:r w:rsidR="00F559CF" w:rsidRPr="00CD64D9">
        <w:t xml:space="preserve">settings </w:t>
      </w:r>
      <w:r w:rsidR="00B1126E" w:rsidRPr="00CD64D9">
        <w:t xml:space="preserve">is particularly straightforward, given the </w:t>
      </w:r>
      <w:r w:rsidRPr="00CD64D9">
        <w:t xml:space="preserve">equivalent structure of the publicly available data </w:t>
      </w:r>
      <w:r w:rsidR="00B1126E" w:rsidRPr="00CD64D9">
        <w:t>when</w:t>
      </w:r>
      <w:r w:rsidRPr="00CD64D9">
        <w:t xml:space="preserve"> filter</w:t>
      </w:r>
      <w:r w:rsidR="00F559CF" w:rsidRPr="00CD64D9">
        <w:t>ed</w:t>
      </w:r>
      <w:r w:rsidRPr="00CD64D9">
        <w:t xml:space="preserve"> to a specific hospital and/or specialty</w:t>
      </w:r>
      <w:r w:rsidR="00B1126E" w:rsidRPr="00CD64D9">
        <w:t xml:space="preserve"> </w:t>
      </w:r>
      <w:r w:rsidR="00F559CF" w:rsidRPr="00CD64D9">
        <w:t>[</w:t>
      </w:r>
      <w:r w:rsidR="00C97AD1" w:rsidRPr="00CD64D9">
        <w:t>7</w:t>
      </w:r>
      <w:r w:rsidR="00F559CF" w:rsidRPr="00CD64D9">
        <w:t>]</w:t>
      </w:r>
      <w:r w:rsidR="00B1126E" w:rsidRPr="00CD64D9">
        <w:t>. Further guidance on the practicalities of model application is provided in Section 7.</w:t>
      </w:r>
    </w:p>
    <w:p w14:paraId="1DAE8B74" w14:textId="77777777" w:rsidR="00BB5895" w:rsidRPr="00CD64D9" w:rsidRDefault="00BB5895" w:rsidP="00B277D3">
      <w:pPr>
        <w:jc w:val="both"/>
        <w:rPr>
          <w:rFonts w:eastAsiaTheme="minorEastAsia"/>
        </w:rPr>
      </w:pPr>
    </w:p>
    <w:p w14:paraId="39D9FCD7" w14:textId="77777777" w:rsidR="00822CF1" w:rsidRPr="00CD64D9" w:rsidRDefault="00822CF1" w:rsidP="00B277D3">
      <w:pPr>
        <w:jc w:val="both"/>
        <w:rPr>
          <w:rFonts w:eastAsiaTheme="minorEastAsia"/>
        </w:rPr>
      </w:pPr>
    </w:p>
    <w:p w14:paraId="52A0242A" w14:textId="65051FD7" w:rsidR="00223506" w:rsidRPr="00CD64D9" w:rsidRDefault="00B10B0B" w:rsidP="00B277D3">
      <w:pPr>
        <w:jc w:val="both"/>
        <w:rPr>
          <w:b/>
          <w:bCs/>
          <w:i/>
          <w:iCs/>
        </w:rPr>
      </w:pPr>
      <w:r w:rsidRPr="00CD64D9">
        <w:rPr>
          <w:b/>
          <w:bCs/>
          <w:i/>
          <w:iCs/>
        </w:rPr>
        <w:t>4.1</w:t>
      </w:r>
      <w:r w:rsidR="007141FE" w:rsidRPr="00CD64D9">
        <w:rPr>
          <w:b/>
          <w:bCs/>
          <w:i/>
          <w:iCs/>
        </w:rPr>
        <w:t xml:space="preserve"> </w:t>
      </w:r>
      <w:r w:rsidR="0017242A" w:rsidRPr="00CD64D9">
        <w:rPr>
          <w:b/>
          <w:bCs/>
          <w:i/>
          <w:iCs/>
        </w:rPr>
        <w:t>Data</w:t>
      </w:r>
      <w:r w:rsidR="00C6087A" w:rsidRPr="00CD64D9">
        <w:rPr>
          <w:b/>
          <w:bCs/>
          <w:i/>
          <w:iCs/>
        </w:rPr>
        <w:t xml:space="preserve"> </w:t>
      </w:r>
    </w:p>
    <w:p w14:paraId="2CA32173" w14:textId="5F0FB7C6" w:rsidR="00223506" w:rsidRPr="00CD64D9" w:rsidRDefault="00223506" w:rsidP="00B277D3">
      <w:pPr>
        <w:jc w:val="both"/>
      </w:pPr>
    </w:p>
    <w:p w14:paraId="3FB17BAA" w14:textId="7CB953C9" w:rsidR="003E44A8" w:rsidRPr="00CD64D9" w:rsidRDefault="0017242A" w:rsidP="00B277D3">
      <w:pPr>
        <w:jc w:val="both"/>
      </w:pPr>
      <w:r w:rsidRPr="00CD64D9">
        <w:t>Monthly</w:t>
      </w:r>
      <w:r w:rsidR="007141FE" w:rsidRPr="00CD64D9">
        <w:t xml:space="preserve"> </w:t>
      </w:r>
      <w:r w:rsidR="003651CE" w:rsidRPr="00CD64D9">
        <w:t xml:space="preserve">consultant-led </w:t>
      </w:r>
      <w:r w:rsidR="007141FE" w:rsidRPr="00CD64D9">
        <w:t>elective wait time</w:t>
      </w:r>
      <w:r w:rsidRPr="00CD64D9">
        <w:t xml:space="preserve"> data has been published for</w:t>
      </w:r>
      <w:r w:rsidR="0023126F" w:rsidRPr="00CD64D9">
        <w:t xml:space="preserve"> </w:t>
      </w:r>
      <w:r w:rsidRPr="00CD64D9">
        <w:t xml:space="preserve">all </w:t>
      </w:r>
      <w:r w:rsidR="003E44A8" w:rsidRPr="00CD64D9">
        <w:t xml:space="preserve">acute </w:t>
      </w:r>
      <w:r w:rsidRPr="00CD64D9">
        <w:t>hospitals in England since 2007</w:t>
      </w:r>
      <w:r w:rsidR="0023126F" w:rsidRPr="00CD64D9">
        <w:t xml:space="preserve"> </w:t>
      </w:r>
      <w:r w:rsidR="00F559CF" w:rsidRPr="00CD64D9">
        <w:t>[</w:t>
      </w:r>
      <w:r w:rsidR="00BF44D7" w:rsidRPr="00CD64D9">
        <w:t>7</w:t>
      </w:r>
      <w:r w:rsidR="00F559CF" w:rsidRPr="00CD64D9">
        <w:t>]</w:t>
      </w:r>
      <w:r w:rsidRPr="00CD64D9">
        <w:t xml:space="preserve">. </w:t>
      </w:r>
      <w:bookmarkStart w:id="9" w:name="_Hlk184296519"/>
      <w:r w:rsidR="003E44A8" w:rsidRPr="00CD64D9">
        <w:t xml:space="preserve">This data is published monthly, typically on the second Thursday of each month. The data is published by NHS England and is an ‘accredited official statistics’, meaning that it has “been independently reviewed by OSR [Office for Statistics Regulation] and confirmed to comply with the </w:t>
      </w:r>
      <w:r w:rsidR="003E44A8" w:rsidRPr="00CD64D9">
        <w:lastRenderedPageBreak/>
        <w:t>standards of trustworthiness, quality and value in the Code of Practice for Statistics” [</w:t>
      </w:r>
      <w:r w:rsidR="001B2AA0" w:rsidRPr="00CD64D9">
        <w:t>23</w:t>
      </w:r>
      <w:r w:rsidR="003E44A8" w:rsidRPr="00CD64D9">
        <w:t>]. Notwithstanding, it is possible that data quality issues are present, and, accordingly, “revisions are published periodically (usually every six months)” [7].</w:t>
      </w:r>
    </w:p>
    <w:bookmarkEnd w:id="9"/>
    <w:p w14:paraId="75D13D11" w14:textId="77777777" w:rsidR="003E44A8" w:rsidRPr="00CD64D9" w:rsidRDefault="003E44A8" w:rsidP="00B277D3">
      <w:pPr>
        <w:jc w:val="both"/>
      </w:pPr>
    </w:p>
    <w:p w14:paraId="681B215D" w14:textId="413C6359" w:rsidR="00EA3F41" w:rsidRPr="00CD64D9" w:rsidRDefault="003E44A8" w:rsidP="00B277D3">
      <w:pPr>
        <w:jc w:val="both"/>
        <w:rPr>
          <w:rFonts w:eastAsiaTheme="minorEastAsia"/>
        </w:rPr>
      </w:pPr>
      <w:r w:rsidRPr="00CD64D9">
        <w:t xml:space="preserve">The data includes </w:t>
      </w:r>
      <w:r w:rsidR="007141FE" w:rsidRPr="00CD64D9">
        <w:t>the number of new referrals within the month</w:t>
      </w:r>
      <w:r w:rsidR="00EA3F41" w:rsidRPr="00CD64D9">
        <w:t xml:space="preserve"> (i.e., the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00EA3F41" w:rsidRPr="00CD64D9">
        <w:t>)</w:t>
      </w:r>
      <w:r w:rsidR="007141FE" w:rsidRPr="00CD64D9">
        <w:t>; the number of waiting patients at the end of the month, disaggregated by weeks spent waiting</w:t>
      </w:r>
      <w:r w:rsidR="00EA3F41" w:rsidRPr="00CD64D9">
        <w:t xml:space="preserve"> (i.e., the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EA3F41" w:rsidRPr="00CD64D9">
        <w:t>)</w:t>
      </w:r>
      <w:r w:rsidR="007141FE" w:rsidRPr="00CD64D9">
        <w:t>; and the number of completed treatments within the month, disaggregated by weeks spent waiting upon treatment</w:t>
      </w:r>
      <w:r w:rsidR="00EA3F41" w:rsidRPr="00CD64D9">
        <w:t xml:space="preserve"> (i.e., the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EA3F41" w:rsidRPr="00CD64D9">
        <w:t>)</w:t>
      </w:r>
      <w:r w:rsidR="007141FE" w:rsidRPr="00CD64D9">
        <w:t xml:space="preserve">. </w:t>
      </w:r>
      <w:r w:rsidR="00DA6CE1" w:rsidRPr="00CD64D9">
        <w:t xml:space="preserve">Referral priority is not covered in the dataset. </w:t>
      </w:r>
      <w:r w:rsidR="00F81F5F" w:rsidRPr="00CD64D9">
        <w:t xml:space="preserve">Reneges are </w:t>
      </w:r>
      <w:r w:rsidR="009930E6" w:rsidRPr="00CD64D9">
        <w:t>not provided</w:t>
      </w:r>
      <w:r w:rsidR="00E67BB3" w:rsidRPr="00CD64D9">
        <w:t xml:space="preserve"> in this dataset</w:t>
      </w:r>
      <w:r w:rsidR="009930E6" w:rsidRPr="00CD64D9">
        <w:t xml:space="preserve"> but can be inferred</w:t>
      </w:r>
      <w:r w:rsidR="004A5D0D" w:rsidRPr="00CD64D9">
        <w:t xml:space="preserve"> –</w:t>
      </w:r>
      <w:r w:rsidR="00E67BB3" w:rsidRPr="00CD64D9">
        <w:t xml:space="preserve"> using an equivalent approach to that of Wood </w:t>
      </w:r>
      <w:r w:rsidR="00F559CF" w:rsidRPr="00CD64D9">
        <w:t>[</w:t>
      </w:r>
      <w:r w:rsidR="00BF44D7" w:rsidRPr="00CD64D9">
        <w:t>20</w:t>
      </w:r>
      <w:r w:rsidR="00F559CF" w:rsidRPr="00CD64D9">
        <w:t>]</w:t>
      </w:r>
      <w:r w:rsidR="004A5D0D" w:rsidRPr="00CD64D9">
        <w:t xml:space="preserve"> – </w:t>
      </w:r>
      <w:r w:rsidR="00E67BB3" w:rsidRPr="00CD64D9">
        <w:t>as</w:t>
      </w:r>
      <w:r w:rsidR="009930E6" w:rsidRPr="00CD64D9">
        <w:t xml:space="preserve"> the difference between the change in </w:t>
      </w:r>
      <w:r w:rsidR="00E67BB3" w:rsidRPr="00CD64D9">
        <w:t>wait</w:t>
      </w:r>
      <w:r w:rsidR="00B11EB0" w:rsidRPr="00CD64D9">
        <w:t xml:space="preserve">ing </w:t>
      </w:r>
      <w:r w:rsidR="009930E6" w:rsidRPr="00CD64D9">
        <w:t xml:space="preserve">list size from </w:t>
      </w:r>
      <w:r w:rsidR="00E67BB3" w:rsidRPr="00CD64D9">
        <w:t xml:space="preserve">the previous </w:t>
      </w:r>
      <w:r w:rsidR="009930E6" w:rsidRPr="00CD64D9">
        <w:t xml:space="preserve">month and new referrals </w:t>
      </w:r>
      <w:r w:rsidR="00E67BB3" w:rsidRPr="00CD64D9">
        <w:t xml:space="preserve">minus completed treatments (if there is no reneging then the difference in waiting list size should be explained by the difference </w:t>
      </w:r>
      <w:r w:rsidR="004A5D0D" w:rsidRPr="00CD64D9">
        <w:t>in new referrals and completed treatments</w:t>
      </w:r>
      <w:r w:rsidR="00E67BB3" w:rsidRPr="00CD64D9">
        <w:t>).</w:t>
      </w:r>
      <w:r w:rsidR="004A5D0D" w:rsidRPr="00CD64D9">
        <w:t xml:space="preserve"> </w:t>
      </w:r>
      <w:r w:rsidR="007141FE" w:rsidRPr="00CD64D9">
        <w:t>Data is available at both a hospital trust and specialty level</w:t>
      </w:r>
      <w:r w:rsidR="00EA6313" w:rsidRPr="00CD64D9">
        <w:t xml:space="preserve">, and thus </w:t>
      </w:r>
      <w:r w:rsidR="00B40D58" w:rsidRPr="00CD64D9">
        <w:t>can be</w:t>
      </w:r>
      <w:r w:rsidR="00EA6313" w:rsidRPr="00CD64D9">
        <w:t xml:space="preserve"> geographically aggregated to </w:t>
      </w:r>
      <w:r w:rsidR="00FF7A90" w:rsidRPr="00CD64D9">
        <w:t xml:space="preserve">a </w:t>
      </w:r>
      <w:r w:rsidR="00EA6313" w:rsidRPr="00CD64D9">
        <w:t xml:space="preserve">regional and national level and aggregated to </w:t>
      </w:r>
      <w:r w:rsidR="00FF7A90" w:rsidRPr="00CD64D9">
        <w:t xml:space="preserve">a </w:t>
      </w:r>
      <w:r w:rsidR="00EA6313" w:rsidRPr="00CD64D9">
        <w:t>total-specialty level.</w:t>
      </w:r>
      <w:r w:rsidR="00EA3F41" w:rsidRPr="00CD64D9">
        <w:rPr>
          <w:rFonts w:eastAsiaTheme="minorEastAsia"/>
        </w:rPr>
        <w:t xml:space="preserve"> No historical data past month-end </w:t>
      </w:r>
      <w:r w:rsidR="00BC0275" w:rsidRPr="00CD64D9">
        <w:rPr>
          <w:rFonts w:eastAsiaTheme="minorEastAsia"/>
        </w:rPr>
        <w:t>December</w:t>
      </w:r>
      <w:r w:rsidR="00EA3F41" w:rsidRPr="00CD64D9">
        <w:rPr>
          <w:rFonts w:eastAsiaTheme="minorEastAsia"/>
        </w:rPr>
        <w:t xml:space="preserve"> 2023 (the latest available data as of the time of the study) is used in the analysis. </w:t>
      </w:r>
    </w:p>
    <w:p w14:paraId="01AE8A6B" w14:textId="41B6B60C" w:rsidR="00F24C2F" w:rsidRPr="00CD64D9" w:rsidRDefault="00F24C2F" w:rsidP="00B277D3">
      <w:pPr>
        <w:jc w:val="both"/>
      </w:pPr>
    </w:p>
    <w:p w14:paraId="75379B7A" w14:textId="716E078F" w:rsidR="00990F2C" w:rsidRPr="00CD64D9" w:rsidRDefault="00A25061" w:rsidP="00B277D3">
      <w:pPr>
        <w:jc w:val="both"/>
      </w:pPr>
      <w:r w:rsidRPr="00CD64D9">
        <w:t>Given th</w:t>
      </w:r>
      <w:r w:rsidR="0014532A" w:rsidRPr="00CD64D9">
        <w:t>e</w:t>
      </w:r>
      <w:r w:rsidRPr="00CD64D9">
        <w:t xml:space="preserve"> monthly </w:t>
      </w:r>
      <w:r w:rsidR="001D232C" w:rsidRPr="00CD64D9">
        <w:t>nature of this source data</w:t>
      </w:r>
      <w:r w:rsidR="00485FF6" w:rsidRPr="00CD64D9">
        <w:t xml:space="preserve">, </w:t>
      </w:r>
      <w:r w:rsidRPr="00CD64D9">
        <w:t xml:space="preserve">a time interval of one month is used for all analyses. This ensures the satisfaction of a critical modelling assumption </w:t>
      </w:r>
      <w:r w:rsidR="004963C3" w:rsidRPr="00CD64D9">
        <w:t>introduced</w:t>
      </w:r>
      <w:r w:rsidRPr="00CD64D9">
        <w:t xml:space="preserve"> in Section </w:t>
      </w:r>
      <w:r w:rsidR="00FF12E8" w:rsidRPr="00CD64D9">
        <w:t>3</w:t>
      </w:r>
      <w:r w:rsidRPr="00CD64D9">
        <w:t>.</w:t>
      </w:r>
      <w:r w:rsidR="00822CF1" w:rsidRPr="00CD64D9">
        <w:t>2</w:t>
      </w:r>
      <w:r w:rsidRPr="00CD64D9">
        <w:t xml:space="preserve">: that any waiting patient that is not treated or does not renege in the time interval can be assumed to </w:t>
      </w:r>
      <w:r w:rsidR="004963C3" w:rsidRPr="00CD64D9">
        <w:t>exit</w:t>
      </w:r>
      <w:r w:rsidRPr="00CD64D9">
        <w:t xml:space="preserve"> that compartment and present at the next compartment at the next time interval. </w:t>
      </w:r>
      <w:r w:rsidR="004963C3" w:rsidRPr="00CD64D9">
        <w:t>This assumption of the compartments ‘resetting’ each month permits the modelling to be undertaken with the available public data</w:t>
      </w:r>
      <w:r w:rsidR="00B346B8" w:rsidRPr="00CD64D9">
        <w:t xml:space="preserve">: </w:t>
      </w:r>
      <w:r w:rsidR="00A9306A" w:rsidRPr="00CD64D9">
        <w:t>there would otherwise be insufficient information</w:t>
      </w:r>
      <w:r w:rsidR="00B346B8" w:rsidRPr="00CD64D9">
        <w:t xml:space="preserve"> to support </w:t>
      </w:r>
      <w:r w:rsidR="009F5FFC" w:rsidRPr="00CD64D9">
        <w:t xml:space="preserve">model </w:t>
      </w:r>
      <w:r w:rsidR="00B346B8" w:rsidRPr="00CD64D9">
        <w:t>calibration</w:t>
      </w:r>
      <w:r w:rsidR="004963C3" w:rsidRPr="00CD64D9">
        <w:t xml:space="preserve">. For consistency, the </w:t>
      </w:r>
      <w:proofErr w:type="gramStart"/>
      <w:r w:rsidR="004963C3" w:rsidRPr="00CD64D9">
        <w:t>aforementioned weekly</w:t>
      </w:r>
      <w:proofErr w:type="gramEnd"/>
      <w:r w:rsidR="004963C3" w:rsidRPr="00CD64D9">
        <w:t xml:space="preserve"> data for time spent waiting</w:t>
      </w:r>
      <w:r w:rsidR="002C1C4E" w:rsidRPr="00CD64D9">
        <w:t xml:space="preserve"> (</w:t>
      </w:r>
      <w:r w:rsidR="006D78C7" w:rsidRPr="00CD64D9">
        <w:t>both</w:t>
      </w:r>
      <w:r w:rsidR="004963C3" w:rsidRPr="00CD64D9">
        <w:t xml:space="preserve"> at the end of the considered time interval </w:t>
      </w:r>
      <w:r w:rsidR="006D78C7" w:rsidRPr="00CD64D9">
        <w:t>and</w:t>
      </w:r>
      <w:r w:rsidR="004963C3" w:rsidRPr="00CD64D9">
        <w:t xml:space="preserve"> for treatments within) </w:t>
      </w:r>
      <w:r w:rsidR="006D78C7" w:rsidRPr="00CD64D9">
        <w:t>must be</w:t>
      </w:r>
      <w:r w:rsidR="004963C3" w:rsidRPr="00CD64D9">
        <w:t xml:space="preserve"> converted to monthly data</w:t>
      </w:r>
      <w:r w:rsidR="002C1C4E" w:rsidRPr="00CD64D9">
        <w:t>, and this is done</w:t>
      </w:r>
      <w:r w:rsidR="004963C3" w:rsidRPr="00CD64D9">
        <w:t xml:space="preserve"> by</w:t>
      </w:r>
      <w:r w:rsidR="00700958" w:rsidRPr="00CD64D9">
        <w:t xml:space="preserve"> </w:t>
      </w:r>
      <w:r w:rsidR="00E05FB1" w:rsidRPr="00CD64D9">
        <w:t>pro-rata assuming a proportionate split among month boundaries.</w:t>
      </w:r>
    </w:p>
    <w:p w14:paraId="548AE9E8" w14:textId="77777777" w:rsidR="00990F2C" w:rsidRPr="00CD64D9" w:rsidRDefault="00990F2C" w:rsidP="00B277D3">
      <w:pPr>
        <w:jc w:val="both"/>
      </w:pPr>
    </w:p>
    <w:p w14:paraId="5F88CC52" w14:textId="31FE4732" w:rsidR="004963C3" w:rsidRPr="00CD64D9" w:rsidRDefault="00990F2C" w:rsidP="00B277D3">
      <w:pPr>
        <w:jc w:val="both"/>
      </w:pPr>
      <w:r w:rsidRPr="00CD64D9">
        <w:t>An example of the processed data used for model calibration, using source data covering the period to year-end 2023, is available at</w:t>
      </w:r>
      <w:r w:rsidR="004009F8" w:rsidRPr="00CD64D9">
        <w:t>:</w:t>
      </w:r>
      <w:r w:rsidRPr="00CD64D9">
        <w:t xml:space="preserve"> </w:t>
      </w:r>
      <w:hyperlink r:id="rId7" w:history="1">
        <w:r w:rsidR="004009F8" w:rsidRPr="00CD64D9">
          <w:rPr>
            <w:rStyle w:val="Hyperlink"/>
            <w:color w:val="auto"/>
          </w:rPr>
          <w:t>https://github.com/nhs-bnssg-analytics/waitlist-multi-compartment-model</w:t>
        </w:r>
      </w:hyperlink>
      <w:r w:rsidRPr="00CD64D9">
        <w:t>.</w:t>
      </w:r>
      <w:r w:rsidR="004009F8" w:rsidRPr="00CD64D9">
        <w:t xml:space="preserve"> </w:t>
      </w:r>
    </w:p>
    <w:p w14:paraId="50A25326" w14:textId="77777777" w:rsidR="001D232C" w:rsidRPr="00CD64D9" w:rsidRDefault="001D232C" w:rsidP="00B277D3">
      <w:pPr>
        <w:jc w:val="both"/>
      </w:pPr>
    </w:p>
    <w:p w14:paraId="3FD4EA66" w14:textId="77777777" w:rsidR="007141FE" w:rsidRPr="00CD64D9" w:rsidRDefault="007141FE" w:rsidP="00B277D3">
      <w:pPr>
        <w:jc w:val="both"/>
      </w:pPr>
    </w:p>
    <w:p w14:paraId="3D24D395" w14:textId="0470D923" w:rsidR="0017242A" w:rsidRPr="00CD64D9" w:rsidRDefault="00B10B0B" w:rsidP="00B277D3">
      <w:pPr>
        <w:jc w:val="both"/>
        <w:rPr>
          <w:b/>
          <w:bCs/>
          <w:i/>
          <w:iCs/>
          <w:color w:val="4472C4" w:themeColor="accent1"/>
        </w:rPr>
      </w:pPr>
      <w:r w:rsidRPr="00CD64D9">
        <w:rPr>
          <w:b/>
          <w:bCs/>
          <w:i/>
          <w:iCs/>
        </w:rPr>
        <w:t>4.2</w:t>
      </w:r>
      <w:r w:rsidR="007141FE" w:rsidRPr="00CD64D9">
        <w:rPr>
          <w:b/>
          <w:bCs/>
          <w:i/>
          <w:iCs/>
        </w:rPr>
        <w:t xml:space="preserve"> </w:t>
      </w:r>
      <w:r w:rsidR="00521887" w:rsidRPr="00CD64D9">
        <w:rPr>
          <w:b/>
          <w:bCs/>
          <w:i/>
          <w:iCs/>
        </w:rPr>
        <w:t>Parameterisation</w:t>
      </w:r>
      <w:r w:rsidR="00357624" w:rsidRPr="00CD64D9">
        <w:rPr>
          <w:b/>
          <w:bCs/>
          <w:i/>
          <w:iCs/>
        </w:rPr>
        <w:t xml:space="preserve">  </w:t>
      </w:r>
    </w:p>
    <w:p w14:paraId="68603551" w14:textId="03F6A453" w:rsidR="00164678" w:rsidRPr="00CD64D9" w:rsidRDefault="00164678" w:rsidP="00B277D3">
      <w:pPr>
        <w:jc w:val="both"/>
      </w:pPr>
    </w:p>
    <w:p w14:paraId="1F7DB8AA" w14:textId="77777777" w:rsidR="00C31A30" w:rsidRPr="00CD64D9" w:rsidRDefault="00C31A30" w:rsidP="00B277D3">
      <w:pPr>
        <w:jc w:val="both"/>
        <w:rPr>
          <w:rFonts w:eastAsiaTheme="minorEastAsia"/>
          <w:i/>
        </w:rPr>
      </w:pPr>
      <w:r w:rsidRPr="00CD64D9">
        <w:rPr>
          <w:rFonts w:eastAsiaTheme="minorEastAsia"/>
          <w:i/>
        </w:rPr>
        <w:t>Wait time pooling</w:t>
      </w:r>
    </w:p>
    <w:p w14:paraId="352210B3" w14:textId="77777777" w:rsidR="00C31A30" w:rsidRPr="00CD64D9" w:rsidRDefault="00C31A30" w:rsidP="00B277D3">
      <w:pPr>
        <w:jc w:val="both"/>
        <w:rPr>
          <w:rFonts w:eastAsiaTheme="minorEastAsia"/>
        </w:rPr>
      </w:pPr>
    </w:p>
    <w:p w14:paraId="76E76CAE" w14:textId="017136E3" w:rsidR="00C31A30" w:rsidRPr="00CD64D9" w:rsidRDefault="00C31A30" w:rsidP="00B277D3">
      <w:pPr>
        <w:jc w:val="both"/>
        <w:rPr>
          <w:rFonts w:eastAsiaTheme="minorEastAsia"/>
        </w:rPr>
      </w:pPr>
      <w:r w:rsidRPr="00CD64D9">
        <w:rPr>
          <w:rFonts w:eastAsiaTheme="minorEastAsia"/>
        </w:rPr>
        <w:t xml:space="preserve">The threshold for pooling waiting times is set at twelve months for all analysis </w:t>
      </w:r>
      <w:r w:rsidR="0014532A" w:rsidRPr="00CD64D9">
        <w:rPr>
          <w:rFonts w:eastAsiaTheme="minorEastAsia"/>
        </w:rPr>
        <w:t>in</w:t>
      </w:r>
      <w:r w:rsidR="005B14CC" w:rsidRPr="00CD64D9">
        <w:rPr>
          <w:rFonts w:eastAsiaTheme="minorEastAsia"/>
        </w:rPr>
        <w:t xml:space="preserve"> the example considered in</w:t>
      </w:r>
      <w:r w:rsidRPr="00CD64D9">
        <w:rPr>
          <w:rFonts w:eastAsiaTheme="minorEastAsia"/>
        </w:rPr>
        <w:t xml:space="preserve"> this study. That is, </w:t>
      </w:r>
      <m:oMath>
        <m:r>
          <w:rPr>
            <w:rFonts w:ascii="Cambria Math" w:eastAsiaTheme="minorEastAsia" w:hAnsi="Cambria Math"/>
          </w:rPr>
          <m:t>M=12</m:t>
        </m:r>
      </m:oMath>
      <w:r w:rsidRPr="00CD64D9">
        <w:rPr>
          <w:rFonts w:eastAsiaTheme="minorEastAsia"/>
        </w:rPr>
        <w:t xml:space="preserve">: the modelling considers monthly waiting time up to twelve months, with all greater durations combined. </w:t>
      </w:r>
    </w:p>
    <w:p w14:paraId="0CFE24F3" w14:textId="0CDC2FE2" w:rsidR="00C31A30" w:rsidRPr="00CD64D9" w:rsidRDefault="00C31A30" w:rsidP="00B277D3">
      <w:pPr>
        <w:jc w:val="both"/>
      </w:pPr>
    </w:p>
    <w:p w14:paraId="7625AE04" w14:textId="77777777" w:rsidR="00C31A30" w:rsidRPr="00CD64D9" w:rsidRDefault="00C31A30" w:rsidP="00B277D3">
      <w:pPr>
        <w:jc w:val="both"/>
      </w:pPr>
    </w:p>
    <w:p w14:paraId="6ADA8EE2" w14:textId="52A31C4F" w:rsidR="00C315BE" w:rsidRPr="00CD64D9" w:rsidRDefault="00C315BE" w:rsidP="00B277D3">
      <w:pPr>
        <w:jc w:val="both"/>
        <w:rPr>
          <w:i/>
        </w:rPr>
      </w:pPr>
      <w:r w:rsidRPr="00CD64D9">
        <w:rPr>
          <w:i/>
        </w:rPr>
        <w:t>Reneging parameters</w:t>
      </w:r>
    </w:p>
    <w:p w14:paraId="20D9393A" w14:textId="77777777" w:rsidR="00C315BE" w:rsidRPr="00CD64D9" w:rsidRDefault="00C315BE" w:rsidP="00B277D3">
      <w:pPr>
        <w:jc w:val="both"/>
      </w:pPr>
    </w:p>
    <w:p w14:paraId="7D06B154" w14:textId="5B6EB421" w:rsidR="002D48D4" w:rsidRPr="00CD64D9" w:rsidRDefault="002D48D4" w:rsidP="00B277D3">
      <w:pPr>
        <w:jc w:val="both"/>
      </w:pPr>
      <w:r w:rsidRPr="00CD64D9">
        <w:t xml:space="preserve">The reneging parameters of the model </w:t>
      </w:r>
      <m:oMath>
        <m:sSub>
          <m:sSubPr>
            <m:ctrlPr>
              <w:rPr>
                <w:rFonts w:ascii="Cambria Math" w:hAnsi="Cambria Math"/>
              </w:rPr>
            </m:ctrlPr>
          </m:sSubPr>
          <m:e>
            <m:r>
              <w:rPr>
                <w:rFonts w:ascii="Cambria Math" w:hAnsi="Cambria Math"/>
              </w:rPr>
              <m:t>r</m:t>
            </m:r>
          </m:e>
          <m:sub>
            <m:r>
              <w:rPr>
                <w:rFonts w:ascii="Cambria Math" w:hAnsi="Cambria Math"/>
              </w:rPr>
              <m:t>m</m:t>
            </m:r>
          </m:sub>
        </m:sSub>
      </m:oMath>
      <w:r w:rsidRPr="00CD64D9">
        <w:rPr>
          <w:rFonts w:eastAsiaTheme="minorEastAsia"/>
        </w:rPr>
        <w:t xml:space="preserv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Pr="00CD64D9">
        <w:rPr>
          <w:rFonts w:eastAsiaTheme="minorEastAsia"/>
        </w:rPr>
        <w:t xml:space="preserve">) are estimated through rearranging Eqns. (1,3,4) and using the known historical values for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with the data described in Section </w:t>
      </w:r>
      <w:r w:rsidR="004009F8" w:rsidRPr="00CD64D9">
        <w:rPr>
          <w:rFonts w:eastAsiaTheme="minorEastAsia"/>
        </w:rPr>
        <w:t>4.1</w:t>
      </w:r>
      <w:r w:rsidRPr="00CD64D9">
        <w:rPr>
          <w:rFonts w:eastAsiaTheme="minorEastAsia"/>
        </w:rPr>
        <w:t xml:space="preserve">. </w:t>
      </w:r>
      <w:r w:rsidR="005B14CC" w:rsidRPr="00CD64D9">
        <w:rPr>
          <w:rFonts w:eastAsiaTheme="minorEastAsia"/>
        </w:rPr>
        <w:t>For the example considered here, a</w:t>
      </w:r>
      <w:r w:rsidRPr="00CD64D9">
        <w:rPr>
          <w:rFonts w:eastAsiaTheme="minorEastAsia"/>
        </w:rPr>
        <w:t xml:space="preserve">s in Wood </w:t>
      </w:r>
      <w:r w:rsidR="00F559CF" w:rsidRPr="00CD64D9">
        <w:rPr>
          <w:rFonts w:eastAsiaTheme="minorEastAsia"/>
        </w:rPr>
        <w:t>[</w:t>
      </w:r>
      <w:r w:rsidR="00BF44D7" w:rsidRPr="00CD64D9">
        <w:rPr>
          <w:rFonts w:eastAsiaTheme="minorEastAsia"/>
        </w:rPr>
        <w:t>20</w:t>
      </w:r>
      <w:r w:rsidR="00F559CF" w:rsidRPr="00CD64D9">
        <w:rPr>
          <w:rFonts w:eastAsiaTheme="minorEastAsia"/>
        </w:rPr>
        <w:t>]</w:t>
      </w:r>
      <w:r w:rsidRPr="00CD64D9">
        <w:rPr>
          <w:rFonts w:eastAsiaTheme="minorEastAsia"/>
        </w:rPr>
        <w:t>, the model reneging parameters are not determined from the single most recent month’s value (or the time from which projections are sought)</w:t>
      </w:r>
      <w:r w:rsidR="005B14CC" w:rsidRPr="00CD64D9">
        <w:rPr>
          <w:rFonts w:eastAsiaTheme="minorEastAsia"/>
        </w:rPr>
        <w:t xml:space="preserve">, </w:t>
      </w:r>
      <w:proofErr w:type="gramStart"/>
      <w:r w:rsidR="005B14CC" w:rsidRPr="00CD64D9">
        <w:rPr>
          <w:rFonts w:eastAsiaTheme="minorEastAsia"/>
        </w:rPr>
        <w:t>but</w:t>
      </w:r>
      <w:r w:rsidRPr="00CD64D9">
        <w:rPr>
          <w:rFonts w:eastAsiaTheme="minorEastAsia"/>
        </w:rPr>
        <w:t>,</w:t>
      </w:r>
      <w:proofErr w:type="gramEnd"/>
      <w:r w:rsidRPr="00CD64D9">
        <w:rPr>
          <w:rFonts w:eastAsiaTheme="minorEastAsia"/>
        </w:rPr>
        <w:t xml:space="preserve"> to mitigate the effects of volatility and seasonal variation,</w:t>
      </w:r>
      <w:r w:rsidR="005B14CC" w:rsidRPr="00CD64D9">
        <w:rPr>
          <w:rFonts w:eastAsiaTheme="minorEastAsia"/>
        </w:rPr>
        <w:t xml:space="preserve"> are calculated from</w:t>
      </w:r>
      <w:r w:rsidRPr="00CD64D9">
        <w:rPr>
          <w:rFonts w:eastAsiaTheme="minorEastAsia"/>
        </w:rPr>
        <w:t xml:space="preserve"> the mean of the most recent twelve months’ data. So, where </w:t>
      </w:r>
      <m:oMath>
        <m:r>
          <w:rPr>
            <w:rFonts w:ascii="Cambria Math" w:hAnsi="Cambria Math"/>
          </w:rPr>
          <m:t>t=T</m:t>
        </m:r>
      </m:oMath>
      <w:r w:rsidRPr="00CD64D9">
        <w:t xml:space="preserve"> is the time of the latest data (or the time from which projections are sought):</w:t>
      </w:r>
    </w:p>
    <w:p w14:paraId="44D756F9" w14:textId="04CDCFCA" w:rsidR="002D48D4" w:rsidRPr="00CD64D9" w:rsidRDefault="002D48D4" w:rsidP="00B277D3">
      <w:pPr>
        <w:jc w:val="both"/>
      </w:pPr>
    </w:p>
    <w:p w14:paraId="58D21943" w14:textId="7007F2AA" w:rsidR="00EA3F41" w:rsidRPr="00CD64D9" w:rsidRDefault="00EA3F41" w:rsidP="00B277D3">
      <w:pPr>
        <w:jc w:val="both"/>
      </w:pPr>
    </w:p>
    <w:p w14:paraId="6EF03253" w14:textId="6621BD32" w:rsidR="00F16EAC" w:rsidRPr="00CD64D9" w:rsidRDefault="00DA32D3" w:rsidP="00B277D3">
      <w:pPr>
        <w:ind w:firstLine="720"/>
        <w:jc w:val="both"/>
        <w:rPr>
          <w:rFonts w:eastAsiaTheme="minorEastAsia"/>
          <w:lang w:val="es-ES"/>
        </w:rPr>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lang w:val="es-ES"/>
              </w:rPr>
              <m:t>0</m:t>
            </m:r>
          </m:sub>
        </m:sSub>
        <m:r>
          <w:rPr>
            <w:rFonts w:ascii="Cambria Math" w:eastAsiaTheme="minorEastAsia" w:hAnsi="Cambria Math"/>
            <w:lang w:val="es-ES"/>
          </w:rPr>
          <m:t>=</m:t>
        </m:r>
        <m:f>
          <m:fPr>
            <m:ctrlPr>
              <w:rPr>
                <w:rFonts w:ascii="Cambria Math" w:eastAsiaTheme="minorEastAsia" w:hAnsi="Cambria Math"/>
                <w:i/>
              </w:rPr>
            </m:ctrlPr>
          </m:fPr>
          <m:num>
            <m:r>
              <w:rPr>
                <w:rFonts w:ascii="Cambria Math" w:eastAsiaTheme="minorEastAsia" w:hAnsi="Cambria Math"/>
                <w:lang w:val="es-ES"/>
              </w:rPr>
              <m:t>1</m:t>
            </m:r>
          </m:num>
          <m:den>
            <m:r>
              <w:rPr>
                <w:rFonts w:ascii="Cambria Math" w:eastAsiaTheme="minorEastAsia" w:hAnsi="Cambria Math"/>
                <w:lang w:val="es-ES"/>
              </w:rPr>
              <m:t>12</m:t>
            </m:r>
          </m:den>
        </m:f>
        <m:nary>
          <m:naryPr>
            <m:chr m:val="∑"/>
            <m:limLoc m:val="undOvr"/>
            <m:ctrlPr>
              <w:rPr>
                <w:rFonts w:ascii="Cambria Math" w:eastAsiaTheme="minorEastAsia" w:hAnsi="Cambria Math"/>
                <w:i/>
              </w:rPr>
            </m:ctrlPr>
          </m:naryPr>
          <m:sub>
            <m:r>
              <w:rPr>
                <w:rFonts w:ascii="Cambria Math" w:eastAsiaTheme="minorEastAsia" w:hAnsi="Cambria Math"/>
              </w:rPr>
              <m:t>t</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-11</m:t>
            </m:r>
          </m:sub>
          <m:sup>
            <m:r>
              <w:rPr>
                <w:rFonts w:ascii="Cambria Math" w:eastAsiaTheme="minorEastAsia" w:hAnsi="Cambria Math"/>
              </w:rPr>
              <m:t>T</m:t>
            </m:r>
          </m:sup>
          <m:e>
            <m:r>
              <m:rPr>
                <m:sty m:val="p"/>
              </m:rPr>
              <w:rPr>
                <w:rFonts w:ascii="Cambria Math" w:eastAsiaTheme="minorEastAsia" w:hAnsi="Cambria Math"/>
                <w:lang w:val="es-ES"/>
              </w:rPr>
              <m:t>max⁡</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lang w:val="es-ES"/>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lang w:val="es-ES"/>
                          </w:rPr>
                          <m:t>0</m:t>
                        </m:r>
                      </m:sub>
                    </m:sSub>
                    <m:d>
                      <m:dPr>
                        <m:ctrlPr>
                          <w:rPr>
                            <w:rFonts w:ascii="Cambria Math" w:eastAsiaTheme="minorEastAsia" w:hAnsi="Cambria Math"/>
                            <w:i/>
                          </w:rPr>
                        </m:ctrlPr>
                      </m:dPr>
                      <m:e>
                        <m:r>
                          <w:rPr>
                            <w:rFonts w:ascii="Cambria Math" w:eastAsiaTheme="minorEastAsia" w:hAnsi="Cambria Math"/>
                          </w:rPr>
                          <m:t>t</m:t>
                        </m:r>
                      </m:e>
                    </m:d>
                  </m:num>
                  <m:den>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den>
                </m:f>
                <m:r>
                  <w:rPr>
                    <w:rFonts w:ascii="Cambria Math" w:eastAsiaTheme="minorEastAsia" w:hAnsi="Cambria Math"/>
                    <w:lang w:val="es-ES"/>
                  </w:rPr>
                  <m:t>,0</m:t>
                </m:r>
              </m:e>
            </m:d>
          </m:e>
        </m:nary>
      </m:oMath>
      <w:r w:rsidR="00F16EAC" w:rsidRPr="00CD64D9">
        <w:rPr>
          <w:rFonts w:eastAsiaTheme="minorEastAsia"/>
          <w:lang w:val="es-ES"/>
        </w:rPr>
        <w:tab/>
      </w:r>
      <w:r w:rsidR="00F16EAC" w:rsidRPr="00CD64D9">
        <w:rPr>
          <w:rFonts w:eastAsiaTheme="minorEastAsia"/>
          <w:lang w:val="es-ES"/>
        </w:rPr>
        <w:tab/>
      </w:r>
      <w:r w:rsidR="00F16EAC" w:rsidRPr="00CD64D9">
        <w:rPr>
          <w:rFonts w:eastAsiaTheme="minorEastAsia"/>
          <w:lang w:val="es-ES"/>
        </w:rPr>
        <w:tab/>
      </w:r>
      <w:r w:rsidR="00F16EAC" w:rsidRPr="00CD64D9">
        <w:rPr>
          <w:rFonts w:eastAsiaTheme="minorEastAsia"/>
          <w:lang w:val="es-ES"/>
        </w:rPr>
        <w:tab/>
      </w:r>
      <w:r w:rsidR="00F16EAC" w:rsidRPr="00CD64D9">
        <w:rPr>
          <w:rFonts w:eastAsiaTheme="minorEastAsia"/>
          <w:lang w:val="es-ES"/>
        </w:rPr>
        <w:tab/>
        <w:t>Eqn. (5)</w:t>
      </w:r>
    </w:p>
    <w:p w14:paraId="7BF55678" w14:textId="0FC78813" w:rsidR="00F16EAC" w:rsidRPr="00CD64D9" w:rsidRDefault="00F16EAC" w:rsidP="00B277D3">
      <w:pPr>
        <w:ind w:firstLine="720"/>
        <w:jc w:val="both"/>
        <w:rPr>
          <w:lang w:val="es-ES"/>
        </w:rPr>
      </w:pPr>
    </w:p>
    <w:p w14:paraId="2D5712A6" w14:textId="77777777" w:rsidR="00F16EAC" w:rsidRPr="00CD64D9" w:rsidRDefault="00F16EAC" w:rsidP="00B277D3">
      <w:pPr>
        <w:jc w:val="both"/>
        <w:rPr>
          <w:lang w:val="es-ES"/>
        </w:rPr>
      </w:pPr>
    </w:p>
    <w:p w14:paraId="10518FE0" w14:textId="37642352" w:rsidR="00F16EAC" w:rsidRPr="00CD64D9" w:rsidRDefault="00F16EAC" w:rsidP="00B277D3">
      <w:pPr>
        <w:jc w:val="both"/>
        <w:rPr>
          <w:rFonts w:eastAsiaTheme="minorEastAsia"/>
          <w:lang w:val="es-ES"/>
        </w:rPr>
      </w:pPr>
      <w:r w:rsidRPr="00CD64D9">
        <w:rPr>
          <w:rFonts w:eastAsiaTheme="minorEastAsia"/>
          <w:lang w:val="es-ES"/>
        </w:rPr>
        <w:lastRenderedPageBreak/>
        <w:tab/>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lang w:val="es-ES"/>
          </w:rPr>
          <m:t>=</m:t>
        </m:r>
        <m:f>
          <m:fPr>
            <m:ctrlPr>
              <w:rPr>
                <w:rFonts w:ascii="Cambria Math" w:eastAsiaTheme="minorEastAsia" w:hAnsi="Cambria Math"/>
                <w:i/>
              </w:rPr>
            </m:ctrlPr>
          </m:fPr>
          <m:num>
            <m:r>
              <w:rPr>
                <w:rFonts w:ascii="Cambria Math" w:eastAsiaTheme="minorEastAsia" w:hAnsi="Cambria Math"/>
                <w:lang w:val="es-ES"/>
              </w:rPr>
              <m:t>1</m:t>
            </m:r>
          </m:num>
          <m:den>
            <m:r>
              <w:rPr>
                <w:rFonts w:ascii="Cambria Math" w:eastAsiaTheme="minorEastAsia" w:hAnsi="Cambria Math"/>
                <w:lang w:val="es-ES"/>
              </w:rPr>
              <m:t>12</m:t>
            </m:r>
          </m:den>
        </m:f>
        <m:nary>
          <m:naryPr>
            <m:chr m:val="∑"/>
            <m:limLoc m:val="undOvr"/>
            <m:ctrlPr>
              <w:rPr>
                <w:rFonts w:ascii="Cambria Math" w:eastAsiaTheme="minorEastAsia" w:hAnsi="Cambria Math"/>
                <w:i/>
              </w:rPr>
            </m:ctrlPr>
          </m:naryPr>
          <m:sub>
            <m:r>
              <w:rPr>
                <w:rFonts w:ascii="Cambria Math" w:eastAsiaTheme="minorEastAsia" w:hAnsi="Cambria Math"/>
              </w:rPr>
              <m:t>t</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-11</m:t>
            </m:r>
          </m:sub>
          <m:sup>
            <m:r>
              <w:rPr>
                <w:rFonts w:ascii="Cambria Math" w:eastAsiaTheme="minorEastAsia" w:hAnsi="Cambria Math"/>
              </w:rPr>
              <m:t>T</m:t>
            </m:r>
          </m:sup>
          <m:e>
            <m:r>
              <m:rPr>
                <m:sty m:val="p"/>
              </m:rPr>
              <w:rPr>
                <w:rFonts w:ascii="Cambria Math" w:eastAsiaTheme="minorEastAsia" w:hAnsi="Cambria Math"/>
                <w:lang w:val="es-ES"/>
              </w:rPr>
              <m:t>max⁡</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m:t>
                    </m:r>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den>
                </m:f>
                <m:r>
                  <w:rPr>
                    <w:rFonts w:ascii="Cambria Math" w:eastAsiaTheme="minorEastAsia" w:hAnsi="Cambria Math"/>
                    <w:lang w:val="es-ES"/>
                  </w:rPr>
                  <m:t>,0</m:t>
                </m:r>
              </m:e>
            </m:d>
          </m:e>
        </m:nary>
      </m:oMath>
      <w:r w:rsidRPr="00CD64D9">
        <w:rPr>
          <w:rFonts w:eastAsiaTheme="minorEastAsia"/>
          <w:lang w:val="es-ES"/>
        </w:rPr>
        <w:tab/>
      </w:r>
      <w:r w:rsidR="00A03160" w:rsidRPr="00CD64D9">
        <w:rPr>
          <w:rFonts w:eastAsiaTheme="minorEastAsia"/>
          <w:lang w:val="es-ES"/>
        </w:rPr>
        <w:tab/>
      </w:r>
      <w:r w:rsidRPr="00CD64D9">
        <w:rPr>
          <w:rFonts w:eastAsiaTheme="minorEastAsia"/>
          <w:lang w:val="es-ES"/>
        </w:rPr>
        <w:tab/>
      </w:r>
      <w:r w:rsidRPr="00CD64D9">
        <w:rPr>
          <w:rFonts w:eastAsiaTheme="minorEastAsia"/>
          <w:lang w:val="es-ES"/>
        </w:rPr>
        <w:tab/>
        <w:t>Eqn. (6)</w:t>
      </w:r>
    </w:p>
    <w:p w14:paraId="5C1A9AFC" w14:textId="03B8A32C" w:rsidR="00F16EAC" w:rsidRPr="00CD64D9" w:rsidRDefault="00F16EAC" w:rsidP="00B277D3">
      <w:pPr>
        <w:jc w:val="both"/>
        <w:rPr>
          <w:rFonts w:eastAsiaTheme="minorEastAsia"/>
          <w:lang w:val="es-ES"/>
        </w:rPr>
      </w:pPr>
    </w:p>
    <w:p w14:paraId="5D58787E" w14:textId="77777777" w:rsidR="00F16EAC" w:rsidRPr="00CD64D9" w:rsidRDefault="00F16EAC" w:rsidP="00B277D3">
      <w:pPr>
        <w:jc w:val="both"/>
        <w:rPr>
          <w:rFonts w:eastAsiaTheme="minorEastAsia"/>
          <w:lang w:val="es-ES"/>
        </w:rPr>
      </w:pPr>
    </w:p>
    <w:p w14:paraId="6AD429D3" w14:textId="17ABD9CF" w:rsidR="00F16EAC" w:rsidRPr="00CD64D9" w:rsidRDefault="00F16EAC" w:rsidP="00B277D3">
      <w:pPr>
        <w:jc w:val="both"/>
        <w:rPr>
          <w:rFonts w:eastAsiaTheme="minorEastAsia"/>
          <w:lang w:val="es-ES"/>
        </w:rPr>
      </w:pPr>
      <w:r w:rsidRPr="00CD64D9">
        <w:rPr>
          <w:rFonts w:eastAsiaTheme="minorEastAsia"/>
          <w:lang w:val="es-ES"/>
        </w:rPr>
        <w:tab/>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lang w:val="es-ES"/>
          </w:rPr>
          <m:t>=</m:t>
        </m:r>
        <m:f>
          <m:fPr>
            <m:ctrlPr>
              <w:rPr>
                <w:rFonts w:ascii="Cambria Math" w:eastAsiaTheme="minorEastAsia" w:hAnsi="Cambria Math"/>
                <w:i/>
              </w:rPr>
            </m:ctrlPr>
          </m:fPr>
          <m:num>
            <m:r>
              <w:rPr>
                <w:rFonts w:ascii="Cambria Math" w:eastAsiaTheme="minorEastAsia" w:hAnsi="Cambria Math"/>
                <w:lang w:val="es-ES"/>
              </w:rPr>
              <m:t>1</m:t>
            </m:r>
          </m:num>
          <m:den>
            <m:r>
              <w:rPr>
                <w:rFonts w:ascii="Cambria Math" w:eastAsiaTheme="minorEastAsia" w:hAnsi="Cambria Math"/>
                <w:lang w:val="es-ES"/>
              </w:rPr>
              <m:t>12</m:t>
            </m:r>
          </m:den>
        </m:f>
        <m:nary>
          <m:naryPr>
            <m:chr m:val="∑"/>
            <m:limLoc m:val="undOvr"/>
            <m:ctrlPr>
              <w:rPr>
                <w:rFonts w:ascii="Cambria Math" w:eastAsiaTheme="minorEastAsia" w:hAnsi="Cambria Math"/>
                <w:i/>
              </w:rPr>
            </m:ctrlPr>
          </m:naryPr>
          <m:sub>
            <m:r>
              <w:rPr>
                <w:rFonts w:ascii="Cambria Math" w:eastAsiaTheme="minorEastAsia" w:hAnsi="Cambria Math"/>
              </w:rPr>
              <m:t>t</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-11</m:t>
            </m:r>
          </m:sub>
          <m:sup>
            <m:r>
              <w:rPr>
                <w:rFonts w:ascii="Cambria Math" w:eastAsiaTheme="minorEastAsia" w:hAnsi="Cambria Math"/>
              </w:rPr>
              <m:t>T</m:t>
            </m:r>
          </m:sup>
          <m:e>
            <m:r>
              <m:rPr>
                <m:sty m:val="p"/>
              </m:rPr>
              <w:rPr>
                <w:rFonts w:ascii="Cambria Math" w:eastAsiaTheme="minorEastAsia" w:hAnsi="Cambria Math"/>
                <w:lang w:val="es-ES"/>
              </w:rPr>
              <m:t>max⁡</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den>
                </m:f>
                <m:r>
                  <w:rPr>
                    <w:rFonts w:ascii="Cambria Math" w:eastAsiaTheme="minorEastAsia" w:hAnsi="Cambria Math"/>
                    <w:lang w:val="es-ES"/>
                  </w:rPr>
                  <m:t>,0</m:t>
                </m:r>
              </m:e>
            </m:d>
          </m:e>
        </m:nary>
      </m:oMath>
      <w:r w:rsidRPr="00CD64D9">
        <w:rPr>
          <w:rFonts w:eastAsiaTheme="minorEastAsia"/>
          <w:lang w:val="es-ES"/>
        </w:rPr>
        <w:tab/>
      </w:r>
      <w:r w:rsidRPr="00CD64D9">
        <w:rPr>
          <w:rFonts w:eastAsiaTheme="minorEastAsia"/>
          <w:lang w:val="es-ES"/>
        </w:rPr>
        <w:tab/>
      </w:r>
      <w:r w:rsidR="00E51E48" w:rsidRPr="00CD64D9">
        <w:rPr>
          <w:rFonts w:eastAsiaTheme="minorEastAsia"/>
          <w:lang w:val="es-ES"/>
        </w:rPr>
        <w:tab/>
      </w:r>
      <w:r w:rsidRPr="00CD64D9">
        <w:rPr>
          <w:rFonts w:eastAsiaTheme="minorEastAsia"/>
          <w:lang w:val="es-ES"/>
        </w:rPr>
        <w:t>Eqn. (7)</w:t>
      </w:r>
    </w:p>
    <w:p w14:paraId="5CF419D9" w14:textId="1BA2B35A" w:rsidR="00EA3F41" w:rsidRPr="00CD64D9" w:rsidRDefault="00EA3F41" w:rsidP="00B277D3">
      <w:pPr>
        <w:jc w:val="both"/>
        <w:rPr>
          <w:lang w:val="es-ES"/>
        </w:rPr>
      </w:pPr>
    </w:p>
    <w:p w14:paraId="648B4FB8" w14:textId="77777777" w:rsidR="00977DD9" w:rsidRPr="00CD64D9" w:rsidRDefault="00977DD9" w:rsidP="00B277D3">
      <w:pPr>
        <w:jc w:val="both"/>
        <w:rPr>
          <w:lang w:val="es-ES"/>
        </w:rPr>
      </w:pPr>
    </w:p>
    <w:p w14:paraId="58F8274D" w14:textId="5A5FB68E" w:rsidR="00C31A30" w:rsidRPr="00CD64D9" w:rsidRDefault="004F00CD" w:rsidP="00B277D3">
      <w:pPr>
        <w:jc w:val="both"/>
        <w:rPr>
          <w:rFonts w:eastAsiaTheme="minorEastAsia"/>
        </w:rPr>
      </w:pPr>
      <w:r w:rsidRPr="00CD64D9">
        <w:rPr>
          <w:rFonts w:eastAsiaTheme="minorEastAsia"/>
        </w:rPr>
        <w:t xml:space="preserve">Given that data up to month-end </w:t>
      </w:r>
      <w:r w:rsidR="00BC0275" w:rsidRPr="00CD64D9">
        <w:rPr>
          <w:rFonts w:eastAsiaTheme="minorEastAsia"/>
        </w:rPr>
        <w:t>December</w:t>
      </w:r>
      <w:r w:rsidRPr="00CD64D9">
        <w:rPr>
          <w:rFonts w:eastAsiaTheme="minorEastAsia"/>
        </w:rPr>
        <w:t xml:space="preserve"> 2023 is used in this study, the </w:t>
      </w:r>
      <m:oMath>
        <m:sSub>
          <m:sSubPr>
            <m:ctrlPr>
              <w:rPr>
                <w:rFonts w:ascii="Cambria Math" w:hAnsi="Cambria Math"/>
              </w:rPr>
            </m:ctrlPr>
          </m:sSubPr>
          <m:e>
            <m:r>
              <w:rPr>
                <w:rFonts w:ascii="Cambria Math" w:hAnsi="Cambria Math"/>
              </w:rPr>
              <m:t>r</m:t>
            </m:r>
          </m:e>
          <m:sub>
            <m:r>
              <w:rPr>
                <w:rFonts w:ascii="Cambria Math" w:hAnsi="Cambria Math"/>
              </w:rPr>
              <m:t>m</m:t>
            </m:r>
          </m:sub>
        </m:sSub>
      </m:oMath>
      <w:r w:rsidRPr="00CD64D9">
        <w:rPr>
          <w:rFonts w:eastAsiaTheme="minorEastAsia"/>
        </w:rPr>
        <w:t xml:space="preserve"> </w:t>
      </w:r>
      <w:r w:rsidR="00BC7DD7" w:rsidRPr="00CD64D9">
        <w:rPr>
          <w:rFonts w:eastAsiaTheme="minorEastAsia"/>
        </w:rPr>
        <w:t>(</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00BC7DD7" w:rsidRPr="00CD64D9">
        <w:rPr>
          <w:rFonts w:eastAsiaTheme="minorEastAsia"/>
        </w:rPr>
        <w:t xml:space="preserve">) </w:t>
      </w:r>
      <w:r w:rsidRPr="00CD64D9">
        <w:rPr>
          <w:rFonts w:eastAsiaTheme="minorEastAsia"/>
        </w:rPr>
        <w:t xml:space="preserve">are calibrated using data from </w:t>
      </w:r>
      <w:r w:rsidR="00BC0275" w:rsidRPr="00CD64D9">
        <w:rPr>
          <w:rFonts w:eastAsiaTheme="minorEastAsia"/>
        </w:rPr>
        <w:t>January</w:t>
      </w:r>
      <w:r w:rsidRPr="00CD64D9">
        <w:rPr>
          <w:rFonts w:eastAsiaTheme="minorEastAsia"/>
        </w:rPr>
        <w:t xml:space="preserve"> 202</w:t>
      </w:r>
      <w:r w:rsidR="00BC0275" w:rsidRPr="00CD64D9">
        <w:rPr>
          <w:rFonts w:eastAsiaTheme="minorEastAsia"/>
        </w:rPr>
        <w:t>3</w:t>
      </w:r>
      <w:r w:rsidRPr="00CD64D9">
        <w:rPr>
          <w:rFonts w:eastAsiaTheme="minorEastAsia"/>
        </w:rPr>
        <w:t xml:space="preserve"> to </w:t>
      </w:r>
      <w:r w:rsidR="00BC0275" w:rsidRPr="00CD64D9">
        <w:rPr>
          <w:rFonts w:eastAsiaTheme="minorEastAsia"/>
        </w:rPr>
        <w:t xml:space="preserve">December </w:t>
      </w:r>
      <w:r w:rsidRPr="00CD64D9">
        <w:rPr>
          <w:rFonts w:eastAsiaTheme="minorEastAsia"/>
        </w:rPr>
        <w:t xml:space="preserve">2023 inclusive. </w:t>
      </w:r>
      <w:r w:rsidR="00640B8F" w:rsidRPr="00CD64D9">
        <w:rPr>
          <w:rFonts w:eastAsiaTheme="minorEastAsia"/>
        </w:rPr>
        <w:t xml:space="preserve">The zero-flooring is applied in case any of the calculated monthly renege rates </w:t>
      </w:r>
      <w:r w:rsidR="007902C1" w:rsidRPr="00CD64D9">
        <w:rPr>
          <w:rFonts w:eastAsiaTheme="minorEastAsia"/>
        </w:rPr>
        <w:t>are</w:t>
      </w:r>
      <w:r w:rsidR="00640B8F" w:rsidRPr="00CD64D9">
        <w:rPr>
          <w:rFonts w:eastAsiaTheme="minorEastAsia"/>
        </w:rPr>
        <w:t xml:space="preserve"> below zero, which </w:t>
      </w:r>
      <w:r w:rsidR="00163EDD" w:rsidRPr="00CD64D9">
        <w:rPr>
          <w:rFonts w:eastAsiaTheme="minorEastAsia"/>
        </w:rPr>
        <w:t>has been observed to</w:t>
      </w:r>
      <w:r w:rsidR="00640B8F" w:rsidRPr="00CD64D9">
        <w:rPr>
          <w:rFonts w:eastAsiaTheme="minorEastAsia"/>
        </w:rPr>
        <w:t xml:space="preserve"> occur on occasions due to</w:t>
      </w:r>
      <w:r w:rsidR="00A76155" w:rsidRPr="00CD64D9">
        <w:rPr>
          <w:rFonts w:eastAsiaTheme="minorEastAsia"/>
        </w:rPr>
        <w:t xml:space="preserve"> </w:t>
      </w:r>
      <w:r w:rsidR="00FF406C" w:rsidRPr="00CD64D9">
        <w:rPr>
          <w:rFonts w:eastAsiaTheme="minorEastAsia"/>
        </w:rPr>
        <w:t xml:space="preserve">suspected </w:t>
      </w:r>
      <w:r w:rsidR="00A76155" w:rsidRPr="00CD64D9">
        <w:rPr>
          <w:rFonts w:eastAsiaTheme="minorEastAsia"/>
        </w:rPr>
        <w:t>source</w:t>
      </w:r>
      <w:r w:rsidR="00640B8F" w:rsidRPr="00CD64D9">
        <w:rPr>
          <w:rFonts w:eastAsiaTheme="minorEastAsia"/>
        </w:rPr>
        <w:t xml:space="preserve"> data quality issues.</w:t>
      </w:r>
      <w:r w:rsidR="00C315BE" w:rsidRPr="00CD64D9">
        <w:rPr>
          <w:rFonts w:eastAsiaTheme="minorEastAsia"/>
        </w:rPr>
        <w:t xml:space="preserve"> A</w:t>
      </w:r>
      <w:r w:rsidR="005B5B8D" w:rsidRPr="00CD64D9">
        <w:rPr>
          <w:rFonts w:eastAsiaTheme="minorEastAsia"/>
        </w:rPr>
        <w:t>ny negative reneging from the initial compartment is credited to the referrals</w:t>
      </w:r>
      <w:r w:rsidR="00364118" w:rsidRPr="00CD64D9">
        <w:rPr>
          <w:rFonts w:eastAsiaTheme="minorEastAsia"/>
        </w:rPr>
        <w:t xml:space="preserve"> of the same month</w:t>
      </w:r>
      <w:r w:rsidR="005B5B8D" w:rsidRPr="00CD64D9">
        <w:rPr>
          <w:rFonts w:eastAsiaTheme="minorEastAsia"/>
        </w:rPr>
        <w:t>, to account for known under-</w:t>
      </w:r>
      <w:r w:rsidR="00C315BE" w:rsidRPr="00CD64D9">
        <w:rPr>
          <w:rFonts w:eastAsiaTheme="minorEastAsia"/>
        </w:rPr>
        <w:t>reporting</w:t>
      </w:r>
      <w:r w:rsidR="005B5B8D" w:rsidRPr="00CD64D9">
        <w:rPr>
          <w:rFonts w:eastAsiaTheme="minorEastAsia"/>
        </w:rPr>
        <w:t xml:space="preserve"> of </w:t>
      </w:r>
      <w:r w:rsidR="00EF07DB" w:rsidRPr="00CD64D9">
        <w:rPr>
          <w:rFonts w:eastAsiaTheme="minorEastAsia"/>
        </w:rPr>
        <w:t xml:space="preserve">this </w:t>
      </w:r>
      <w:r w:rsidR="00364118" w:rsidRPr="00CD64D9">
        <w:rPr>
          <w:rFonts w:eastAsiaTheme="minorEastAsia"/>
        </w:rPr>
        <w:t xml:space="preserve">in the source data </w:t>
      </w:r>
      <w:r w:rsidR="005B5B8D" w:rsidRPr="00CD64D9">
        <w:rPr>
          <w:rFonts w:eastAsiaTheme="minorEastAsia"/>
        </w:rPr>
        <w:t xml:space="preserve">(this is discussed further in Section </w:t>
      </w:r>
      <w:r w:rsidR="00695844" w:rsidRPr="00CD64D9">
        <w:rPr>
          <w:rFonts w:eastAsiaTheme="minorEastAsia"/>
        </w:rPr>
        <w:t>7</w:t>
      </w:r>
      <w:r w:rsidR="005B5B8D" w:rsidRPr="00CD64D9">
        <w:rPr>
          <w:rFonts w:eastAsiaTheme="minorEastAsia"/>
        </w:rPr>
        <w:t>).</w:t>
      </w:r>
      <w:r w:rsidR="00723506" w:rsidRPr="00CD64D9">
        <w:rPr>
          <w:rFonts w:eastAsiaTheme="minorEastAsia"/>
        </w:rPr>
        <w:t xml:space="preserve"> If so desired</w:t>
      </w:r>
      <w:r w:rsidR="00D73B2A" w:rsidRPr="00CD64D9">
        <w:rPr>
          <w:rFonts w:eastAsiaTheme="minorEastAsia"/>
        </w:rPr>
        <w:t>,</w:t>
      </w:r>
      <w:r w:rsidR="00723506" w:rsidRPr="00CD64D9">
        <w:rPr>
          <w:rFonts w:eastAsiaTheme="minorEastAsia"/>
        </w:rPr>
        <w:t xml:space="preserve"> a more flexible specification of reneging rates could </w:t>
      </w:r>
      <w:r w:rsidR="00FF406C" w:rsidRPr="00CD64D9">
        <w:rPr>
          <w:rFonts w:eastAsiaTheme="minorEastAsia"/>
        </w:rPr>
        <w:t xml:space="preserve">readily </w:t>
      </w:r>
      <w:r w:rsidR="00723506" w:rsidRPr="00CD64D9">
        <w:rPr>
          <w:rFonts w:eastAsiaTheme="minorEastAsia"/>
        </w:rPr>
        <w:t>be incorporated by allowing the model to specify reneging rates that change as time moves forward.</w:t>
      </w:r>
    </w:p>
    <w:p w14:paraId="7203D002" w14:textId="77777777" w:rsidR="00D73B2A" w:rsidRPr="00CD64D9" w:rsidRDefault="00D73B2A" w:rsidP="00B277D3">
      <w:pPr>
        <w:jc w:val="both"/>
        <w:rPr>
          <w:rFonts w:eastAsiaTheme="minorEastAsia"/>
        </w:rPr>
      </w:pPr>
    </w:p>
    <w:p w14:paraId="35D9C936" w14:textId="77777777" w:rsidR="00D73B2A" w:rsidRPr="00CD64D9" w:rsidRDefault="00D73B2A" w:rsidP="00B277D3">
      <w:pPr>
        <w:jc w:val="both"/>
        <w:rPr>
          <w:rFonts w:eastAsiaTheme="minorEastAsia"/>
        </w:rPr>
      </w:pPr>
    </w:p>
    <w:p w14:paraId="41EE7916" w14:textId="1A2F46F4" w:rsidR="00C315BE" w:rsidRPr="00CD64D9" w:rsidRDefault="00C315BE" w:rsidP="00B277D3">
      <w:pPr>
        <w:jc w:val="both"/>
        <w:rPr>
          <w:rFonts w:eastAsiaTheme="minorEastAsia"/>
          <w:i/>
        </w:rPr>
      </w:pPr>
      <w:r w:rsidRPr="00CD64D9">
        <w:rPr>
          <w:rFonts w:eastAsiaTheme="minorEastAsia"/>
          <w:i/>
        </w:rPr>
        <w:t>Capacity parameters</w:t>
      </w:r>
    </w:p>
    <w:p w14:paraId="722B1741" w14:textId="77777777" w:rsidR="00C315BE" w:rsidRPr="00CD64D9" w:rsidRDefault="00C315BE" w:rsidP="00B277D3">
      <w:pPr>
        <w:jc w:val="both"/>
        <w:rPr>
          <w:rFonts w:eastAsiaTheme="minorEastAsia"/>
        </w:rPr>
      </w:pPr>
    </w:p>
    <w:p w14:paraId="473E07C1" w14:textId="34338507" w:rsidR="005B14CC" w:rsidRPr="00CD64D9" w:rsidRDefault="00271CF1" w:rsidP="00B277D3">
      <w:pPr>
        <w:jc w:val="both"/>
        <w:rPr>
          <w:rFonts w:eastAsiaTheme="minorEastAsia"/>
        </w:rPr>
      </w:pPr>
      <w:r w:rsidRPr="00CD64D9">
        <w:rPr>
          <w:rFonts w:eastAsiaTheme="minorEastAsia"/>
        </w:rPr>
        <w:t xml:space="preserve">Obtaining future wait time estimates </w:t>
      </w:r>
      <w:r w:rsidR="00F10B69" w:rsidRPr="00CD64D9">
        <w:rPr>
          <w:rFonts w:eastAsiaTheme="minorEastAsia"/>
        </w:rPr>
        <w:t xml:space="preserve">for a given scenario </w:t>
      </w:r>
      <w:r w:rsidRPr="00CD64D9">
        <w:rPr>
          <w:rFonts w:eastAsiaTheme="minorEastAsia"/>
        </w:rPr>
        <w:t xml:space="preserve">using the above model (Section </w:t>
      </w:r>
      <w:r w:rsidR="00FF12E8" w:rsidRPr="00CD64D9">
        <w:rPr>
          <w:rFonts w:eastAsiaTheme="minorEastAsia"/>
        </w:rPr>
        <w:t>3</w:t>
      </w:r>
      <w:r w:rsidRPr="00CD64D9">
        <w:rPr>
          <w:rFonts w:eastAsiaTheme="minorEastAsia"/>
        </w:rPr>
        <w:t>.</w:t>
      </w:r>
      <w:r w:rsidR="00822CF1" w:rsidRPr="00CD64D9">
        <w:rPr>
          <w:rFonts w:eastAsiaTheme="minorEastAsia"/>
        </w:rPr>
        <w:t>2</w:t>
      </w:r>
      <w:r w:rsidRPr="00CD64D9">
        <w:rPr>
          <w:rFonts w:eastAsiaTheme="minorEastAsia"/>
        </w:rPr>
        <w:t>)</w:t>
      </w:r>
      <w:r w:rsidR="00F10B69" w:rsidRPr="00CD64D9">
        <w:rPr>
          <w:rFonts w:eastAsiaTheme="minorEastAsia"/>
        </w:rPr>
        <w:t xml:space="preserve"> </w:t>
      </w:r>
      <w:r w:rsidRPr="00CD64D9">
        <w:rPr>
          <w:rFonts w:eastAsiaTheme="minorEastAsia"/>
        </w:rPr>
        <w:t>requires</w:t>
      </w:r>
      <w:r w:rsidR="00F10B69" w:rsidRPr="00CD64D9">
        <w:rPr>
          <w:rFonts w:eastAsiaTheme="minorEastAsia"/>
        </w:rPr>
        <w:t xml:space="preserve"> – alongside new referrals </w:t>
      </w:r>
      <m:oMath>
        <m:r>
          <w:rPr>
            <w:rFonts w:ascii="Cambria Math" w:hAnsi="Cambria Math"/>
          </w:rPr>
          <m:t>n(t)</m:t>
        </m:r>
      </m:oMath>
      <w:r w:rsidR="00F10B69" w:rsidRPr="00CD64D9">
        <w:rPr>
          <w:rFonts w:eastAsiaTheme="minorEastAsia"/>
        </w:rPr>
        <w:t xml:space="preserve"> – </w:t>
      </w:r>
      <w:r w:rsidRPr="00CD64D9">
        <w:rPr>
          <w:rFonts w:eastAsiaTheme="minorEastAsia"/>
        </w:rPr>
        <w:t xml:space="preserve">the treatment capacity for each compartment for each future </w:t>
      </w:r>
      <w:proofErr w:type="gramStart"/>
      <w:r w:rsidRPr="00CD64D9">
        <w:rPr>
          <w:rFonts w:eastAsiaTheme="minorEastAsia"/>
        </w:rPr>
        <w:t>time period</w:t>
      </w:r>
      <w:proofErr w:type="gramEnd"/>
      <w:r w:rsidR="00ED78BC" w:rsidRPr="00CD64D9">
        <w:rPr>
          <w:rFonts w:eastAsiaTheme="minorEastAsia"/>
        </w:rPr>
        <w:t>,</w:t>
      </w:r>
      <w:r w:rsidRPr="00CD64D9">
        <w:rPr>
          <w:rFonts w:eastAsiaTheme="minorEastAsia"/>
        </w:rPr>
        <w:t xml:space="preserve"> </w:t>
      </w:r>
      <w:r w:rsidR="00ED78BC" w:rsidRPr="00CD64D9">
        <w:rPr>
          <w:rFonts w:eastAsiaTheme="minorEastAsia"/>
        </w:rPr>
        <w:t>i</w:t>
      </w:r>
      <w:r w:rsidRPr="00CD64D9">
        <w:rPr>
          <w:rFonts w:eastAsiaTheme="minorEastAsia"/>
        </w:rPr>
        <w:t xml:space="preserve">.e.,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is required for each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Pr="00CD64D9">
        <w:rPr>
          <w:rFonts w:eastAsiaTheme="minorEastAsia"/>
        </w:rPr>
        <w:t xml:space="preserve"> and </w:t>
      </w:r>
      <m:oMath>
        <m:r>
          <w:rPr>
            <w:rFonts w:ascii="Cambria Math" w:eastAsiaTheme="minorEastAsia" w:hAnsi="Cambria Math"/>
          </w:rPr>
          <m:t>t&gt;T</m:t>
        </m:r>
      </m:oMath>
      <w:r w:rsidRPr="00CD64D9">
        <w:rPr>
          <w:rFonts w:eastAsiaTheme="minorEastAsia"/>
        </w:rPr>
        <w:t xml:space="preserve">. </w:t>
      </w:r>
      <w:r w:rsidR="00F10B69" w:rsidRPr="00CD64D9">
        <w:rPr>
          <w:rFonts w:eastAsiaTheme="minorEastAsia"/>
        </w:rPr>
        <w:t xml:space="preserve">This is not </w:t>
      </w:r>
      <w:r w:rsidR="002A51EC" w:rsidRPr="00CD64D9">
        <w:rPr>
          <w:rFonts w:eastAsiaTheme="minorEastAsia"/>
        </w:rPr>
        <w:t xml:space="preserve">straightforward, since it is not </w:t>
      </w:r>
      <w:r w:rsidR="006F6FE6" w:rsidRPr="00CD64D9">
        <w:rPr>
          <w:rFonts w:eastAsiaTheme="minorEastAsia"/>
        </w:rPr>
        <w:t xml:space="preserve">intuitively </w:t>
      </w:r>
      <w:r w:rsidR="002A51EC" w:rsidRPr="00CD64D9">
        <w:rPr>
          <w:rFonts w:eastAsiaTheme="minorEastAsia"/>
        </w:rPr>
        <w:t>known</w:t>
      </w:r>
      <w:r w:rsidR="0054378B" w:rsidRPr="00CD64D9">
        <w:rPr>
          <w:rFonts w:eastAsiaTheme="minorEastAsia"/>
        </w:rPr>
        <w:t xml:space="preserve"> </w:t>
      </w:r>
      <w:r w:rsidR="006F6FE6" w:rsidRPr="00CD64D9">
        <w:rPr>
          <w:rFonts w:eastAsiaTheme="minorEastAsia"/>
        </w:rPr>
        <w:t xml:space="preserve">how many patients will or should be treated </w:t>
      </w:r>
      <w:r w:rsidR="0054378B" w:rsidRPr="00CD64D9">
        <w:rPr>
          <w:rFonts w:eastAsiaTheme="minorEastAsia"/>
        </w:rPr>
        <w:t xml:space="preserve">from the </w:t>
      </w:r>
      <m:oMath>
        <m:r>
          <w:rPr>
            <w:rFonts w:ascii="Cambria Math" w:eastAsiaTheme="minorEastAsia" w:hAnsi="Cambria Math"/>
          </w:rPr>
          <m:t>M</m:t>
        </m:r>
      </m:oMath>
      <w:r w:rsidR="0054378B" w:rsidRPr="00CD64D9">
        <w:rPr>
          <w:rFonts w:eastAsiaTheme="minorEastAsia"/>
        </w:rPr>
        <w:t xml:space="preserve"> wait time compartments</w:t>
      </w:r>
      <w:r w:rsidR="007F0F95" w:rsidRPr="00CD64D9">
        <w:rPr>
          <w:rFonts w:eastAsiaTheme="minorEastAsia"/>
        </w:rPr>
        <w:t xml:space="preserve"> </w:t>
      </w:r>
      <w:r w:rsidR="007D166D" w:rsidRPr="00CD64D9">
        <w:rPr>
          <w:rFonts w:eastAsiaTheme="minorEastAsia"/>
        </w:rPr>
        <w:t>(</w:t>
      </w:r>
      <w:r w:rsidR="007F0F95" w:rsidRPr="00CD64D9">
        <w:rPr>
          <w:rFonts w:eastAsiaTheme="minorEastAsia"/>
        </w:rPr>
        <w:t>i</w:t>
      </w:r>
      <w:r w:rsidR="007D166D" w:rsidRPr="00CD64D9">
        <w:rPr>
          <w:rFonts w:eastAsiaTheme="minorEastAsia"/>
        </w:rPr>
        <w:t>n practice this could well</w:t>
      </w:r>
      <w:r w:rsidR="007F0F95" w:rsidRPr="00CD64D9">
        <w:rPr>
          <w:rFonts w:eastAsiaTheme="minorEastAsia"/>
        </w:rPr>
        <w:t xml:space="preserve"> </w:t>
      </w:r>
      <w:r w:rsidR="00D41F7E" w:rsidRPr="00CD64D9">
        <w:rPr>
          <w:rFonts w:eastAsiaTheme="minorEastAsia"/>
        </w:rPr>
        <w:t>vary based on the total treatment capacity available and the numbers of patients within each compartment</w:t>
      </w:r>
      <w:r w:rsidR="007D166D" w:rsidRPr="00CD64D9">
        <w:rPr>
          <w:rFonts w:eastAsiaTheme="minorEastAsia"/>
        </w:rPr>
        <w:t>)</w:t>
      </w:r>
      <w:r w:rsidR="007F0F95" w:rsidRPr="00CD64D9">
        <w:rPr>
          <w:rFonts w:eastAsiaTheme="minorEastAsia"/>
        </w:rPr>
        <w:t>.</w:t>
      </w:r>
      <w:r w:rsidR="007D166D" w:rsidRPr="00CD64D9">
        <w:rPr>
          <w:rFonts w:eastAsiaTheme="minorEastAsia"/>
        </w:rPr>
        <w:t xml:space="preserve"> For the example </w:t>
      </w:r>
      <w:r w:rsidR="005B14CC" w:rsidRPr="00CD64D9">
        <w:rPr>
          <w:rFonts w:eastAsiaTheme="minorEastAsia"/>
        </w:rPr>
        <w:t>considered</w:t>
      </w:r>
      <w:r w:rsidR="007D166D" w:rsidRPr="00CD64D9">
        <w:rPr>
          <w:rFonts w:eastAsiaTheme="minorEastAsia"/>
        </w:rPr>
        <w:t xml:space="preserve"> here</w:t>
      </w:r>
      <w:r w:rsidR="005B14CC" w:rsidRPr="00CD64D9">
        <w:rPr>
          <w:rFonts w:eastAsiaTheme="minorEastAsia"/>
        </w:rPr>
        <w:t>,</w:t>
      </w:r>
      <w:r w:rsidR="007D166D" w:rsidRPr="00CD64D9">
        <w:rPr>
          <w:rFonts w:eastAsiaTheme="minorEastAsia"/>
        </w:rPr>
        <w:t xml:space="preserve"> we assume that scenarios of interest only set total treatment capacities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M</m:t>
            </m:r>
          </m:sup>
          <m:e>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(t)</m:t>
            </m:r>
          </m:e>
        </m:nary>
      </m:oMath>
      <w:r w:rsidR="001E6468" w:rsidRPr="00CD64D9">
        <w:rPr>
          <w:rFonts w:eastAsiaTheme="minorEastAsia"/>
        </w:rPr>
        <w:t xml:space="preserve">, </w:t>
      </w:r>
      <w:r w:rsidR="0060505E" w:rsidRPr="00CD64D9">
        <w:rPr>
          <w:rFonts w:eastAsiaTheme="minorEastAsia"/>
        </w:rPr>
        <w:t xml:space="preserve">with allocations </w:t>
      </w:r>
      <w:r w:rsidR="008B1DC2" w:rsidRPr="00CD64D9">
        <w:rPr>
          <w:rFonts w:eastAsiaTheme="minorEastAsia"/>
        </w:rPr>
        <w:t xml:space="preserve">of capacity </w:t>
      </w:r>
      <w:r w:rsidR="0060505E" w:rsidRPr="00CD64D9">
        <w:rPr>
          <w:rFonts w:eastAsiaTheme="minorEastAsia"/>
        </w:rPr>
        <w:t xml:space="preserve">to the </w:t>
      </w:r>
      <m:oMath>
        <m:r>
          <w:rPr>
            <w:rFonts w:ascii="Cambria Math" w:eastAsiaTheme="minorEastAsia" w:hAnsi="Cambria Math"/>
          </w:rPr>
          <m:t>M</m:t>
        </m:r>
      </m:oMath>
      <w:r w:rsidR="001E6468" w:rsidRPr="00CD64D9">
        <w:rPr>
          <w:rFonts w:eastAsiaTheme="minorEastAsia"/>
        </w:rPr>
        <w:t xml:space="preserve"> wait time compartments </w:t>
      </w:r>
      <w:r w:rsidR="00E34CFE" w:rsidRPr="00CD64D9">
        <w:rPr>
          <w:rFonts w:eastAsiaTheme="minorEastAsia"/>
        </w:rPr>
        <w:t xml:space="preserve">made in </w:t>
      </w:r>
      <w:r w:rsidR="0060505E" w:rsidRPr="00CD64D9">
        <w:rPr>
          <w:rFonts w:eastAsiaTheme="minorEastAsia"/>
        </w:rPr>
        <w:t>accord</w:t>
      </w:r>
      <w:r w:rsidR="00E34CFE" w:rsidRPr="00CD64D9">
        <w:rPr>
          <w:rFonts w:eastAsiaTheme="minorEastAsia"/>
        </w:rPr>
        <w:t>ance</w:t>
      </w:r>
      <w:r w:rsidR="0060505E" w:rsidRPr="00CD64D9">
        <w:rPr>
          <w:rFonts w:eastAsiaTheme="minorEastAsia"/>
        </w:rPr>
        <w:t xml:space="preserve"> </w:t>
      </w:r>
      <w:r w:rsidR="00E34CFE" w:rsidRPr="00CD64D9">
        <w:rPr>
          <w:rFonts w:eastAsiaTheme="minorEastAsia"/>
        </w:rPr>
        <w:t>with</w:t>
      </w:r>
      <w:r w:rsidR="0060505E" w:rsidRPr="00CD64D9">
        <w:rPr>
          <w:rFonts w:eastAsiaTheme="minorEastAsia"/>
        </w:rPr>
        <w:t xml:space="preserve"> past behaviour. Specifically, we assume </w:t>
      </w:r>
      <w:r w:rsidR="009E09F4" w:rsidRPr="00CD64D9">
        <w:rPr>
          <w:rFonts w:eastAsiaTheme="minorEastAsia"/>
        </w:rPr>
        <w:t>no difference in</w:t>
      </w:r>
      <w:r w:rsidR="0060505E" w:rsidRPr="00CD64D9">
        <w:rPr>
          <w:rFonts w:eastAsiaTheme="minorEastAsia"/>
        </w:rPr>
        <w:t xml:space="preserve"> </w:t>
      </w:r>
      <w:r w:rsidR="00E34CFE" w:rsidRPr="00CD64D9">
        <w:rPr>
          <w:rFonts w:eastAsiaTheme="minorEastAsia"/>
        </w:rPr>
        <w:t xml:space="preserve">the relative probabilities of </w:t>
      </w:r>
      <w:r w:rsidR="009E09F4" w:rsidRPr="00CD64D9">
        <w:rPr>
          <w:rFonts w:eastAsiaTheme="minorEastAsia"/>
        </w:rPr>
        <w:t xml:space="preserve">patients being ‘selected’ for </w:t>
      </w:r>
      <w:r w:rsidR="00E34CFE" w:rsidRPr="00CD64D9">
        <w:rPr>
          <w:rFonts w:eastAsiaTheme="minorEastAsia"/>
        </w:rPr>
        <w:t xml:space="preserve">treatment across the </w:t>
      </w:r>
      <w:r w:rsidR="00E34CFE" w:rsidRPr="00CD64D9">
        <w:rPr>
          <w:rFonts w:eastAsiaTheme="minorEastAsia"/>
          <w:i/>
          <w:iCs/>
        </w:rPr>
        <w:t>M</w:t>
      </w:r>
      <w:r w:rsidR="00E34CFE" w:rsidRPr="00CD64D9">
        <w:rPr>
          <w:rFonts w:eastAsiaTheme="minorEastAsia"/>
        </w:rPr>
        <w:t xml:space="preserve"> compartments</w:t>
      </w:r>
      <w:r w:rsidR="005B14CC" w:rsidRPr="00CD64D9">
        <w:rPr>
          <w:rFonts w:eastAsiaTheme="minorEastAsia"/>
        </w:rPr>
        <w:t xml:space="preserve">, </w:t>
      </w:r>
      <w:r w:rsidR="00E34CFE" w:rsidRPr="00CD64D9">
        <w:rPr>
          <w:rFonts w:eastAsiaTheme="minorEastAsia"/>
        </w:rPr>
        <w:t xml:space="preserve">i.e., total capacity will </w:t>
      </w:r>
      <w:r w:rsidR="009E09F4" w:rsidRPr="00CD64D9">
        <w:rPr>
          <w:rFonts w:eastAsiaTheme="minorEastAsia"/>
        </w:rPr>
        <w:t xml:space="preserve">affect </w:t>
      </w:r>
      <w:r w:rsidR="005B14CC" w:rsidRPr="00CD64D9">
        <w:rPr>
          <w:rFonts w:eastAsiaTheme="minorEastAsia"/>
        </w:rPr>
        <w:t>the</w:t>
      </w:r>
      <w:r w:rsidR="009E09F4" w:rsidRPr="00CD64D9">
        <w:rPr>
          <w:rFonts w:eastAsiaTheme="minorEastAsia"/>
        </w:rPr>
        <w:t xml:space="preserve"> </w:t>
      </w:r>
      <w:r w:rsidR="005B14CC" w:rsidRPr="00CD64D9">
        <w:rPr>
          <w:rFonts w:eastAsiaTheme="minorEastAsia"/>
        </w:rPr>
        <w:t xml:space="preserve">overall </w:t>
      </w:r>
      <w:r w:rsidR="009E09F4" w:rsidRPr="00CD64D9">
        <w:rPr>
          <w:rFonts w:eastAsiaTheme="minorEastAsia"/>
        </w:rPr>
        <w:t>magnitude</w:t>
      </w:r>
      <w:r w:rsidR="005B14CC" w:rsidRPr="00CD64D9">
        <w:rPr>
          <w:rFonts w:eastAsiaTheme="minorEastAsia"/>
        </w:rPr>
        <w:t xml:space="preserve"> of treatments </w:t>
      </w:r>
      <w:r w:rsidR="009E09F4" w:rsidRPr="00CD64D9">
        <w:rPr>
          <w:rFonts w:eastAsiaTheme="minorEastAsia"/>
        </w:rPr>
        <w:t xml:space="preserve">but not the </w:t>
      </w:r>
      <w:r w:rsidR="005B14CC" w:rsidRPr="00CD64D9">
        <w:rPr>
          <w:rFonts w:eastAsiaTheme="minorEastAsia"/>
        </w:rPr>
        <w:t>relative chances of selection for treatment for patients of different waiting times.</w:t>
      </w:r>
    </w:p>
    <w:p w14:paraId="1C8A5EA3" w14:textId="035D5E26" w:rsidR="00D41F7E" w:rsidRPr="00CD64D9" w:rsidRDefault="00D41F7E" w:rsidP="00B277D3">
      <w:pPr>
        <w:jc w:val="both"/>
        <w:rPr>
          <w:rFonts w:eastAsiaTheme="minorEastAsia"/>
        </w:rPr>
      </w:pPr>
    </w:p>
    <w:p w14:paraId="2FF17D7F" w14:textId="3E0D9200" w:rsidR="00D41F7E" w:rsidRPr="00CD64D9" w:rsidRDefault="00D41F7E" w:rsidP="00B277D3">
      <w:pPr>
        <w:jc w:val="both"/>
        <w:rPr>
          <w:rFonts w:eastAsiaTheme="minorEastAsia"/>
        </w:rPr>
      </w:pPr>
      <w:r w:rsidRPr="00CD64D9">
        <w:rPr>
          <w:rFonts w:eastAsiaTheme="minorEastAsia"/>
        </w:rPr>
        <w:t xml:space="preserve">While not an intrinsic model parameter (and thus not featuring in the model as described in Section </w:t>
      </w:r>
      <w:r w:rsidR="00FF12E8" w:rsidRPr="00CD64D9">
        <w:rPr>
          <w:rFonts w:eastAsiaTheme="minorEastAsia"/>
        </w:rPr>
        <w:t>3</w:t>
      </w:r>
      <w:r w:rsidRPr="00CD64D9">
        <w:rPr>
          <w:rFonts w:eastAsiaTheme="minorEastAsia"/>
        </w:rPr>
        <w:t>.</w:t>
      </w:r>
      <w:r w:rsidR="00822CF1" w:rsidRPr="00CD64D9">
        <w:rPr>
          <w:rFonts w:eastAsiaTheme="minorEastAsia"/>
        </w:rPr>
        <w:t>2</w:t>
      </w:r>
      <w:r w:rsidRPr="00CD64D9">
        <w:rPr>
          <w:rFonts w:eastAsiaTheme="minorEastAsia"/>
        </w:rPr>
        <w:t xml:space="preserve">), </w:t>
      </w:r>
      <w:r w:rsidR="008B1DC2" w:rsidRPr="00CD64D9">
        <w:rPr>
          <w:rFonts w:eastAsiaTheme="minorEastAsia"/>
        </w:rPr>
        <w:t xml:space="preserve">for this example </w:t>
      </w:r>
      <w:r w:rsidRPr="00CD64D9">
        <w:rPr>
          <w:rFonts w:eastAsiaTheme="minorEastAsia"/>
        </w:rPr>
        <w:t>we</w:t>
      </w:r>
      <w:r w:rsidR="009E09F4" w:rsidRPr="00CD64D9">
        <w:rPr>
          <w:rFonts w:eastAsiaTheme="minorEastAsia"/>
        </w:rPr>
        <w:t xml:space="preserve"> </w:t>
      </w:r>
      <w:r w:rsidRPr="00CD64D9">
        <w:rPr>
          <w:rFonts w:eastAsiaTheme="minorEastAsia"/>
        </w:rPr>
        <w:t xml:space="preserve">reintroduce the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Pr="00CD64D9">
        <w:rPr>
          <w:rFonts w:eastAsiaTheme="minorEastAsia"/>
        </w:rPr>
        <w:t xml:space="preserve"> as a function accounting for the past allocations of total treatment capacity between the </w:t>
      </w:r>
      <w:r w:rsidR="009653DE" w:rsidRPr="00CD64D9">
        <w:rPr>
          <w:rFonts w:eastAsiaTheme="minorEastAsia"/>
        </w:rPr>
        <w:t>compartments.</w:t>
      </w:r>
      <w:r w:rsidR="001E4A64" w:rsidRPr="00CD64D9">
        <w:rPr>
          <w:rFonts w:eastAsiaTheme="minorEastAsia"/>
        </w:rPr>
        <w:t xml:space="preserve"> </w:t>
      </w:r>
      <w:r w:rsidR="00A93001" w:rsidRPr="00CD64D9">
        <w:rPr>
          <w:rFonts w:eastAsiaTheme="minorEastAsia"/>
        </w:rPr>
        <w:t>W</w:t>
      </w:r>
      <w:r w:rsidR="001E4A64" w:rsidRPr="00CD64D9">
        <w:rPr>
          <w:rFonts w:eastAsiaTheme="minorEastAsia"/>
        </w:rPr>
        <w:t>e determine the proportion</w:t>
      </w:r>
      <w:r w:rsidR="00B83A51" w:rsidRPr="00CD64D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sidR="001E4A64" w:rsidRPr="00CD64D9">
        <w:rPr>
          <w:rFonts w:eastAsiaTheme="minorEastAsia"/>
        </w:rPr>
        <w:t xml:space="preserve"> of compartment inflow which is treated</w:t>
      </w:r>
      <w:r w:rsidR="00D70816" w:rsidRPr="00CD64D9">
        <w:rPr>
          <w:rFonts w:eastAsiaTheme="minorEastAsia"/>
        </w:rPr>
        <w:t xml:space="preserve"> within </w:t>
      </w:r>
      <w:r w:rsidR="008733C0" w:rsidRPr="00CD64D9">
        <w:rPr>
          <w:rFonts w:eastAsiaTheme="minorEastAsia"/>
        </w:rPr>
        <w:t>the</w:t>
      </w:r>
      <w:r w:rsidR="00D70816" w:rsidRPr="00CD64D9">
        <w:rPr>
          <w:rFonts w:eastAsiaTheme="minorEastAsia"/>
        </w:rPr>
        <w:t xml:space="preserve"> </w:t>
      </w:r>
      <w:r w:rsidR="008733C0" w:rsidRPr="00CD64D9">
        <w:rPr>
          <w:rFonts w:eastAsiaTheme="minorEastAsia"/>
        </w:rPr>
        <w:t>month</w:t>
      </w:r>
      <w:r w:rsidR="001E4A64" w:rsidRPr="00CD64D9">
        <w:rPr>
          <w:rFonts w:eastAsiaTheme="minorEastAsia"/>
        </w:rPr>
        <w:t>. As with the reneging parameters, this is calculated over</w:t>
      </w:r>
      <w:r w:rsidR="002F410B" w:rsidRPr="00CD64D9">
        <w:rPr>
          <w:rFonts w:eastAsiaTheme="minorEastAsia"/>
        </w:rPr>
        <w:t xml:space="preserve"> the most recent</w:t>
      </w:r>
      <w:r w:rsidR="001E4A64" w:rsidRPr="00CD64D9">
        <w:rPr>
          <w:rFonts w:eastAsiaTheme="minorEastAsia"/>
        </w:rPr>
        <w:t xml:space="preserve"> </w:t>
      </w:r>
      <w:r w:rsidR="00E35046" w:rsidRPr="00CD64D9">
        <w:rPr>
          <w:rFonts w:eastAsiaTheme="minorEastAsia"/>
        </w:rPr>
        <w:t>twelve months</w:t>
      </w:r>
      <w:r w:rsidR="001E4A64" w:rsidRPr="00CD64D9">
        <w:rPr>
          <w:rFonts w:eastAsiaTheme="minorEastAsia"/>
        </w:rPr>
        <w:t xml:space="preserve"> to account for any volatility</w:t>
      </w:r>
      <w:r w:rsidR="00E35046" w:rsidRPr="00CD64D9">
        <w:rPr>
          <w:rFonts w:eastAsiaTheme="minorEastAsia"/>
        </w:rPr>
        <w:t>:</w:t>
      </w:r>
      <w:r w:rsidR="00AF7E48" w:rsidRPr="00CD64D9">
        <w:rPr>
          <w:rFonts w:eastAsiaTheme="minorEastAsia"/>
        </w:rPr>
        <w:t xml:space="preserve"> </w:t>
      </w:r>
    </w:p>
    <w:p w14:paraId="4FBE3BFA" w14:textId="77777777" w:rsidR="00271CF1" w:rsidRPr="00CD64D9" w:rsidRDefault="00271CF1" w:rsidP="00B277D3">
      <w:pPr>
        <w:jc w:val="both"/>
        <w:rPr>
          <w:rFonts w:eastAsiaTheme="minorEastAsia"/>
        </w:rPr>
      </w:pPr>
    </w:p>
    <w:p w14:paraId="5D2EDAE3" w14:textId="1297470C" w:rsidR="00A2343B" w:rsidRPr="00CD64D9" w:rsidRDefault="00A2343B" w:rsidP="00B277D3">
      <w:pPr>
        <w:jc w:val="both"/>
        <w:rPr>
          <w:rFonts w:eastAsiaTheme="minorEastAsia"/>
        </w:rPr>
      </w:pPr>
    </w:p>
    <w:p w14:paraId="508D5387" w14:textId="379AE8AA" w:rsidR="00692650" w:rsidRPr="00CD64D9" w:rsidRDefault="00692650" w:rsidP="00B277D3">
      <w:pPr>
        <w:jc w:val="both"/>
        <w:rPr>
          <w:rFonts w:eastAsiaTheme="minorEastAsia"/>
          <w:lang w:val="es-ES"/>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lang w:val="es-ES"/>
              </w:rPr>
              <m:t>0</m:t>
            </m:r>
          </m:sub>
        </m:sSub>
        <m:r>
          <w:rPr>
            <w:rFonts w:ascii="Cambria Math" w:eastAsiaTheme="minorEastAsia" w:hAnsi="Cambria Math"/>
            <w:lang w:val="es-ES"/>
          </w:rPr>
          <m:t>=</m:t>
        </m:r>
        <m:f>
          <m:fPr>
            <m:ctrlPr>
              <w:rPr>
                <w:rFonts w:ascii="Cambria Math" w:eastAsiaTheme="minorEastAsia" w:hAnsi="Cambria Math"/>
                <w:i/>
              </w:rPr>
            </m:ctrlPr>
          </m:fPr>
          <m:num>
            <m:r>
              <w:rPr>
                <w:rFonts w:ascii="Cambria Math" w:eastAsiaTheme="minorEastAsia" w:hAnsi="Cambria Math"/>
                <w:lang w:val="es-ES"/>
              </w:rPr>
              <m:t>1</m:t>
            </m:r>
          </m:num>
          <m:den>
            <m:r>
              <w:rPr>
                <w:rFonts w:ascii="Cambria Math" w:eastAsiaTheme="minorEastAsia" w:hAnsi="Cambria Math"/>
                <w:lang w:val="es-ES"/>
              </w:rPr>
              <m:t>12</m:t>
            </m:r>
          </m:den>
        </m:f>
        <m:nary>
          <m:naryPr>
            <m:chr m:val="∑"/>
            <m:limLoc m:val="undOvr"/>
            <m:ctrlPr>
              <w:rPr>
                <w:rFonts w:ascii="Cambria Math" w:eastAsiaTheme="minorEastAsia" w:hAnsi="Cambria Math"/>
                <w:i/>
              </w:rPr>
            </m:ctrlPr>
          </m:naryPr>
          <m:sub>
            <m:r>
              <w:rPr>
                <w:rFonts w:ascii="Cambria Math" w:eastAsiaTheme="minorEastAsia" w:hAnsi="Cambria Math"/>
              </w:rPr>
              <m:t>t</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-11</m:t>
            </m:r>
          </m:sub>
          <m:sup>
            <m:r>
              <w:rPr>
                <w:rFonts w:ascii="Cambria Math" w:eastAsiaTheme="minorEastAsia" w:hAnsi="Cambria Math"/>
              </w:rPr>
              <m:t>T</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lang w:val="es-ES"/>
                      </w:rPr>
                      <m:t>0</m:t>
                    </m:r>
                  </m:sub>
                </m:sSub>
                <m:d>
                  <m:dPr>
                    <m:ctrlPr>
                      <w:rPr>
                        <w:rFonts w:ascii="Cambria Math" w:eastAsiaTheme="minorEastAsia" w:hAnsi="Cambria Math"/>
                        <w:i/>
                      </w:rPr>
                    </m:ctrlPr>
                  </m:dPr>
                  <m:e>
                    <m:r>
                      <w:rPr>
                        <w:rFonts w:ascii="Cambria Math" w:eastAsiaTheme="minorEastAsia" w:hAnsi="Cambria Math"/>
                      </w:rPr>
                      <m:t>t</m:t>
                    </m:r>
                  </m:e>
                </m:d>
              </m:num>
              <m:den>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den>
            </m:f>
          </m:e>
        </m:nary>
      </m:oMath>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t>Eqn. (</w:t>
      </w:r>
      <w:r w:rsidR="002D48D4" w:rsidRPr="00CD64D9">
        <w:rPr>
          <w:rFonts w:eastAsiaTheme="minorEastAsia"/>
          <w:lang w:val="es-ES"/>
        </w:rPr>
        <w:t>8</w:t>
      </w:r>
      <w:r w:rsidR="006826B8" w:rsidRPr="00CD64D9">
        <w:rPr>
          <w:rFonts w:eastAsiaTheme="minorEastAsia"/>
          <w:lang w:val="es-ES"/>
        </w:rPr>
        <w:t>)</w:t>
      </w:r>
    </w:p>
    <w:p w14:paraId="04926D91" w14:textId="47777952" w:rsidR="00C315BE" w:rsidRPr="00CD64D9" w:rsidRDefault="00AF7E48" w:rsidP="00B277D3">
      <w:pPr>
        <w:jc w:val="both"/>
        <w:rPr>
          <w:rFonts w:eastAsiaTheme="minorEastAsia"/>
          <w:lang w:val="es-ES"/>
        </w:rPr>
      </w:pPr>
      <w:r w:rsidRPr="00CD64D9">
        <w:rPr>
          <w:rFonts w:eastAsiaTheme="minorEastAsia"/>
          <w:lang w:val="es-ES"/>
        </w:rPr>
        <w:t xml:space="preserve"> </w:t>
      </w:r>
    </w:p>
    <w:p w14:paraId="721E4B70" w14:textId="72EDD8D6" w:rsidR="0084506D" w:rsidRPr="00CD64D9" w:rsidRDefault="002E29B2" w:rsidP="00B277D3">
      <w:pPr>
        <w:jc w:val="both"/>
        <w:rPr>
          <w:rFonts w:eastAsiaTheme="minorEastAsia"/>
          <w:lang w:val="es-ES"/>
        </w:rPr>
      </w:pPr>
      <w:r w:rsidRPr="00CD64D9">
        <w:rPr>
          <w:lang w:val="es-ES"/>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r>
          <w:rPr>
            <w:rFonts w:ascii="Cambria Math" w:eastAsiaTheme="minorEastAsia" w:hAnsi="Cambria Math"/>
            <w:lang w:val="es-ES"/>
          </w:rPr>
          <m:t>=</m:t>
        </m:r>
        <m:f>
          <m:fPr>
            <m:ctrlPr>
              <w:rPr>
                <w:rFonts w:ascii="Cambria Math" w:eastAsiaTheme="minorEastAsia" w:hAnsi="Cambria Math"/>
                <w:i/>
              </w:rPr>
            </m:ctrlPr>
          </m:fPr>
          <m:num>
            <m:r>
              <w:rPr>
                <w:rFonts w:ascii="Cambria Math" w:eastAsiaTheme="minorEastAsia" w:hAnsi="Cambria Math"/>
                <w:lang w:val="es-ES"/>
              </w:rPr>
              <m:t>1</m:t>
            </m:r>
          </m:num>
          <m:den>
            <m:r>
              <w:rPr>
                <w:rFonts w:ascii="Cambria Math" w:eastAsiaTheme="minorEastAsia" w:hAnsi="Cambria Math"/>
                <w:lang w:val="es-ES"/>
              </w:rPr>
              <m:t>12</m:t>
            </m:r>
          </m:den>
        </m:f>
        <m:nary>
          <m:naryPr>
            <m:chr m:val="∑"/>
            <m:limLoc m:val="undOvr"/>
            <m:ctrlPr>
              <w:rPr>
                <w:rFonts w:ascii="Cambria Math" w:eastAsiaTheme="minorEastAsia" w:hAnsi="Cambria Math"/>
                <w:i/>
              </w:rPr>
            </m:ctrlPr>
          </m:naryPr>
          <m:sub>
            <m:r>
              <w:rPr>
                <w:rFonts w:ascii="Cambria Math" w:eastAsiaTheme="minorEastAsia" w:hAnsi="Cambria Math"/>
              </w:rPr>
              <m:t>t</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-11</m:t>
            </m:r>
          </m:sub>
          <m:sup>
            <m:r>
              <w:rPr>
                <w:rFonts w:ascii="Cambria Math" w:eastAsiaTheme="minorEastAsia" w:hAnsi="Cambria Math"/>
              </w:rPr>
              <m:t>T</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den>
            </m:f>
          </m:e>
        </m:nary>
      </m:oMath>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6826B8" w:rsidRPr="00CD64D9">
        <w:rPr>
          <w:rFonts w:eastAsiaTheme="minorEastAsia"/>
          <w:lang w:val="es-ES"/>
        </w:rPr>
        <w:tab/>
      </w:r>
      <w:r w:rsidR="00B735BE" w:rsidRPr="00CD64D9">
        <w:rPr>
          <w:rFonts w:eastAsiaTheme="minorEastAsia"/>
          <w:lang w:val="es-ES"/>
        </w:rPr>
        <w:tab/>
      </w:r>
      <w:r w:rsidR="006826B8" w:rsidRPr="00CD64D9">
        <w:rPr>
          <w:rFonts w:eastAsiaTheme="minorEastAsia"/>
          <w:lang w:val="es-ES"/>
        </w:rPr>
        <w:t>Eqn. (</w:t>
      </w:r>
      <w:r w:rsidR="002D48D4" w:rsidRPr="00CD64D9">
        <w:rPr>
          <w:rFonts w:eastAsiaTheme="minorEastAsia"/>
          <w:lang w:val="es-ES"/>
        </w:rPr>
        <w:t>9</w:t>
      </w:r>
      <w:r w:rsidR="006826B8" w:rsidRPr="00CD64D9">
        <w:rPr>
          <w:rFonts w:eastAsiaTheme="minorEastAsia"/>
          <w:lang w:val="es-ES"/>
        </w:rPr>
        <w:t>)</w:t>
      </w:r>
    </w:p>
    <w:p w14:paraId="48075FE1" w14:textId="77777777" w:rsidR="00D73B2A" w:rsidRPr="00CD64D9" w:rsidRDefault="00D73B2A" w:rsidP="00B277D3">
      <w:pPr>
        <w:jc w:val="both"/>
        <w:rPr>
          <w:rFonts w:eastAsiaTheme="minorEastAsia"/>
          <w:lang w:val="es-ES"/>
        </w:rPr>
      </w:pPr>
    </w:p>
    <w:p w14:paraId="14E8C4F3" w14:textId="49A490C1" w:rsidR="00E51E48" w:rsidRPr="00CD64D9" w:rsidRDefault="00E51E48" w:rsidP="00B277D3">
      <w:pPr>
        <w:jc w:val="both"/>
        <w:rPr>
          <w:rFonts w:eastAsiaTheme="minorEastAsia"/>
        </w:rPr>
      </w:pPr>
      <w:r w:rsidRPr="00CD64D9">
        <w:rPr>
          <w:rFonts w:eastAsiaTheme="minorEastAsia"/>
          <w:lang w:val="es-ES"/>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nary>
          <m:naryPr>
            <m:chr m:val="∑"/>
            <m:limLoc m:val="undOvr"/>
            <m:ctrlPr>
              <w:rPr>
                <w:rFonts w:ascii="Cambria Math" w:eastAsiaTheme="minorEastAsia" w:hAnsi="Cambria Math"/>
                <w:i/>
              </w:rPr>
            </m:ctrlPr>
          </m:naryPr>
          <m:sub>
            <m:r>
              <w:rPr>
                <w:rFonts w:ascii="Cambria Math" w:eastAsiaTheme="minorEastAsia" w:hAnsi="Cambria Math"/>
              </w:rPr>
              <m:t>t=T-11</m:t>
            </m:r>
          </m:sub>
          <m:sup>
            <m:r>
              <w:rPr>
                <w:rFonts w:ascii="Cambria Math" w:eastAsiaTheme="minorEastAsia" w:hAnsi="Cambria Math"/>
              </w:rPr>
              <m:t>T</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t-1</m:t>
                    </m:r>
                  </m:e>
                </m:d>
              </m:den>
            </m:f>
          </m:e>
        </m:nary>
      </m:oMath>
      <w:r w:rsidR="00C0562E" w:rsidRPr="00CD64D9">
        <w:rPr>
          <w:rFonts w:eastAsiaTheme="minorEastAsia"/>
        </w:rPr>
        <w:tab/>
      </w:r>
      <w:r w:rsidR="00C0562E" w:rsidRPr="00CD64D9">
        <w:rPr>
          <w:rFonts w:eastAsiaTheme="minorEastAsia"/>
        </w:rPr>
        <w:tab/>
      </w:r>
      <w:r w:rsidR="00C0562E" w:rsidRPr="00CD64D9">
        <w:rPr>
          <w:rFonts w:eastAsiaTheme="minorEastAsia"/>
        </w:rPr>
        <w:tab/>
      </w:r>
      <w:r w:rsidR="00C0562E" w:rsidRPr="00CD64D9">
        <w:rPr>
          <w:rFonts w:eastAsiaTheme="minorEastAsia"/>
        </w:rPr>
        <w:tab/>
      </w:r>
      <w:r w:rsidR="00C0562E" w:rsidRPr="00CD64D9">
        <w:rPr>
          <w:rFonts w:eastAsiaTheme="minorEastAsia"/>
        </w:rPr>
        <w:tab/>
      </w:r>
      <w:r w:rsidR="00C0562E" w:rsidRPr="00CD64D9">
        <w:rPr>
          <w:rFonts w:eastAsiaTheme="minorEastAsia"/>
        </w:rPr>
        <w:tab/>
        <w:t>Eqn. (10)</w:t>
      </w:r>
    </w:p>
    <w:p w14:paraId="7CDD8976" w14:textId="77777777" w:rsidR="005B6536" w:rsidRPr="00CD64D9" w:rsidRDefault="005B6536" w:rsidP="00B277D3">
      <w:pPr>
        <w:jc w:val="both"/>
      </w:pPr>
    </w:p>
    <w:p w14:paraId="7B249713" w14:textId="58C917EB" w:rsidR="00692650" w:rsidRPr="00CD64D9" w:rsidRDefault="00692650" w:rsidP="00B277D3">
      <w:pPr>
        <w:jc w:val="both"/>
      </w:pPr>
    </w:p>
    <w:p w14:paraId="1D35346E" w14:textId="7E085432" w:rsidR="00573760" w:rsidRPr="00CD64D9" w:rsidRDefault="00E35046" w:rsidP="00B277D3">
      <w:pPr>
        <w:jc w:val="both"/>
        <w:rPr>
          <w:rFonts w:eastAsiaTheme="minorEastAsia"/>
        </w:rPr>
      </w:pPr>
      <w:r w:rsidRPr="00CD64D9">
        <w:t xml:space="preserve">where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1,2,…,M-1</m:t>
            </m:r>
          </m:e>
        </m:d>
      </m:oMath>
      <w:r w:rsidRPr="00CD64D9">
        <w:rPr>
          <w:rFonts w:eastAsiaTheme="minorEastAsia"/>
        </w:rPr>
        <w:t xml:space="preserve"> </w:t>
      </w:r>
      <w:r w:rsidR="001F6388" w:rsidRPr="00CD64D9">
        <w:rPr>
          <w:rFonts w:eastAsiaTheme="minorEastAsia"/>
        </w:rPr>
        <w:t>and</w:t>
      </w:r>
      <w:r w:rsidRPr="00CD64D9">
        <w:rPr>
          <w:rFonts w:eastAsiaTheme="minorEastAsia"/>
        </w:rPr>
        <w:t xml:space="preserve"> </w:t>
      </w:r>
      <m:oMath>
        <m:r>
          <w:rPr>
            <w:rFonts w:ascii="Cambria Math" w:hAnsi="Cambria Math"/>
          </w:rPr>
          <m:t>t=T</m:t>
        </m:r>
      </m:oMath>
      <w:r w:rsidRPr="00CD64D9">
        <w:t xml:space="preserve"> is the time of the latest data (or the time from which projections are sought)</w:t>
      </w:r>
      <w:r w:rsidR="001F6388" w:rsidRPr="00CD64D9">
        <w:t>.</w:t>
      </w:r>
      <w:r w:rsidR="007E5CD0" w:rsidRPr="00CD64D9">
        <w:t xml:space="preserve"> </w:t>
      </w:r>
      <w:r w:rsidR="00573760" w:rsidRPr="00CD64D9">
        <w:t xml:space="preserve">To determine the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573760" w:rsidRPr="00CD64D9">
        <w:rPr>
          <w:rFonts w:eastAsiaTheme="minorEastAsia"/>
        </w:rPr>
        <w:t xml:space="preserv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00573760" w:rsidRPr="00CD64D9">
        <w:rPr>
          <w:rFonts w:eastAsiaTheme="minorEastAsia"/>
        </w:rPr>
        <w:t xml:space="preserve">, for each future month </w:t>
      </w:r>
      <m:oMath>
        <m:r>
          <w:rPr>
            <w:rFonts w:ascii="Cambria Math" w:eastAsiaTheme="minorEastAsia" w:hAnsi="Cambria Math"/>
          </w:rPr>
          <m:t>t&gt;T</m:t>
        </m:r>
      </m:oMath>
      <w:r w:rsidR="00573760" w:rsidRPr="00CD64D9">
        <w:rPr>
          <w:rFonts w:eastAsiaTheme="minorEastAsia"/>
        </w:rPr>
        <w:t xml:space="preserve">, under a given </w:t>
      </w:r>
      <w:r w:rsidR="00A93001" w:rsidRPr="00CD64D9">
        <w:rPr>
          <w:rFonts w:eastAsiaTheme="minorEastAsia"/>
        </w:rPr>
        <w:t>scenario, we first define</w:t>
      </w:r>
      <w:r w:rsidR="00157210" w:rsidRPr="00CD64D9">
        <w:rPr>
          <w:rFonts w:eastAsiaTheme="minorEastAsia"/>
        </w:rPr>
        <w:t>:</w:t>
      </w:r>
    </w:p>
    <w:p w14:paraId="681A25F6" w14:textId="77777777" w:rsidR="00BC7DD7" w:rsidRPr="00CD64D9" w:rsidRDefault="00BC7DD7" w:rsidP="00B277D3">
      <w:pPr>
        <w:jc w:val="both"/>
        <w:rPr>
          <w:rFonts w:eastAsiaTheme="minorEastAsia"/>
        </w:rPr>
      </w:pPr>
    </w:p>
    <w:p w14:paraId="380507D1" w14:textId="785821EB" w:rsidR="00157210" w:rsidRPr="00CD64D9" w:rsidRDefault="00157210" w:rsidP="00B277D3">
      <w:pPr>
        <w:jc w:val="both"/>
        <w:rPr>
          <w:rFonts w:eastAsiaTheme="minorEastAsia"/>
        </w:rPr>
      </w:pPr>
      <w:r w:rsidRPr="00CD64D9">
        <w:rPr>
          <w:rFonts w:eastAsiaTheme="minorEastAsia"/>
        </w:rPr>
        <w:tab/>
      </w: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m=1</m:t>
            </m:r>
          </m:sub>
          <m:sup>
            <m:r>
              <w:rPr>
                <w:rFonts w:ascii="Cambria Math" w:eastAsiaTheme="minorEastAsia" w:hAnsi="Cambria Math"/>
              </w:rPr>
              <m:t>M-1</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M-1</m:t>
                </m:r>
              </m:sub>
            </m:s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t-1</m:t>
                </m:r>
              </m:e>
            </m:d>
          </m:e>
        </m:d>
      </m:oMath>
      <w:r w:rsidRPr="00CD64D9">
        <w:rPr>
          <w:rFonts w:eastAsiaTheme="minorEastAsia"/>
        </w:rPr>
        <w:tab/>
        <w:t>Eqn. (</w:t>
      </w:r>
      <w:r w:rsidR="00C0562E" w:rsidRPr="00CD64D9">
        <w:rPr>
          <w:rFonts w:eastAsiaTheme="minorEastAsia"/>
        </w:rPr>
        <w:t>11</w:t>
      </w:r>
      <w:r w:rsidRPr="00CD64D9">
        <w:rPr>
          <w:rFonts w:eastAsiaTheme="minorEastAsia"/>
        </w:rPr>
        <w:t>)</w:t>
      </w:r>
    </w:p>
    <w:p w14:paraId="5C6200C5" w14:textId="77777777" w:rsidR="00157210" w:rsidRPr="00CD64D9" w:rsidRDefault="00157210" w:rsidP="00B277D3">
      <w:pPr>
        <w:jc w:val="both"/>
        <w:rPr>
          <w:rFonts w:eastAsiaTheme="minorEastAsia"/>
        </w:rPr>
      </w:pPr>
    </w:p>
    <w:p w14:paraId="4F147C3E" w14:textId="38D9A3BE" w:rsidR="00573760" w:rsidRPr="00CD64D9" w:rsidRDefault="00783DFD" w:rsidP="00B277D3">
      <w:pPr>
        <w:jc w:val="both"/>
        <w:rPr>
          <w:rFonts w:eastAsiaTheme="minorEastAsia"/>
        </w:rPr>
      </w:pPr>
      <w:r w:rsidRPr="00CD64D9">
        <w:rPr>
          <w:rFonts w:eastAsiaTheme="minorEastAsia"/>
        </w:rPr>
        <w:t>s</w:t>
      </w:r>
      <w:r w:rsidR="00157210" w:rsidRPr="00CD64D9">
        <w:rPr>
          <w:rFonts w:eastAsiaTheme="minorEastAsia"/>
        </w:rPr>
        <w:t>uch that:</w:t>
      </w:r>
    </w:p>
    <w:p w14:paraId="49DF10B1" w14:textId="7E8F5E15" w:rsidR="00D25EDB" w:rsidRPr="00CD64D9" w:rsidRDefault="00D25EDB" w:rsidP="00B277D3">
      <w:pPr>
        <w:jc w:val="both"/>
      </w:pPr>
    </w:p>
    <w:p w14:paraId="416A855E" w14:textId="0F7F66DF" w:rsidR="00E35046" w:rsidRPr="00CD64D9" w:rsidRDefault="00D25EDB" w:rsidP="00B277D3">
      <w:pPr>
        <w:jc w:val="both"/>
        <w:rPr>
          <w:rFonts w:eastAsiaTheme="minorEastAsia"/>
        </w:rPr>
      </w:pPr>
      <w:r w:rsidRPr="00CD64D9">
        <w:tab/>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r>
          <w:rPr>
            <w:rFonts w:ascii="Cambria Math" w:eastAsiaTheme="minorEastAsia" w:hAnsi="Cambria Math"/>
          </w:rPr>
          <m:t>(t)=</m:t>
        </m:r>
        <m:r>
          <w:rPr>
            <w:rFonts w:ascii="Cambria Math" w:hAnsi="Cambria Math"/>
          </w:rPr>
          <m:t>C(t)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num>
          <m:den>
            <m:r>
              <w:rPr>
                <w:rFonts w:ascii="Cambria Math" w:eastAsiaTheme="minorEastAsia" w:hAnsi="Cambria Math"/>
              </w:rPr>
              <m:t>γ(t)</m:t>
            </m:r>
          </m:den>
        </m:f>
      </m:oMath>
      <w:r w:rsidR="009C51E9" w:rsidRPr="00CD64D9">
        <w:rPr>
          <w:rFonts w:eastAsiaTheme="minorEastAsia"/>
        </w:rPr>
        <w:t xml:space="preserve"> </w:t>
      </w:r>
      <w:r w:rsidR="00157210" w:rsidRPr="00CD64D9">
        <w:rPr>
          <w:rFonts w:eastAsiaTheme="minorEastAsia"/>
        </w:rPr>
        <w:tab/>
      </w:r>
      <w:r w:rsidR="00157210" w:rsidRPr="00CD64D9">
        <w:rPr>
          <w:rFonts w:eastAsiaTheme="minorEastAsia"/>
        </w:rPr>
        <w:tab/>
      </w:r>
      <w:r w:rsidR="00157210" w:rsidRPr="00CD64D9">
        <w:rPr>
          <w:rFonts w:eastAsiaTheme="minorEastAsia"/>
        </w:rPr>
        <w:tab/>
      </w:r>
      <w:r w:rsidR="00157210" w:rsidRPr="00CD64D9">
        <w:rPr>
          <w:rFonts w:eastAsiaTheme="minorEastAsia"/>
        </w:rPr>
        <w:tab/>
      </w:r>
      <w:r w:rsidR="00157210" w:rsidRPr="00CD64D9">
        <w:rPr>
          <w:rFonts w:eastAsiaTheme="minorEastAsia"/>
        </w:rPr>
        <w:tab/>
      </w:r>
      <w:r w:rsidR="00157210" w:rsidRPr="00CD64D9">
        <w:rPr>
          <w:rFonts w:eastAsiaTheme="minorEastAsia"/>
        </w:rPr>
        <w:tab/>
      </w:r>
      <w:r w:rsidR="00157210" w:rsidRPr="00CD64D9">
        <w:rPr>
          <w:rFonts w:eastAsiaTheme="minorEastAsia"/>
        </w:rPr>
        <w:tab/>
      </w:r>
      <w:r w:rsidR="00157210" w:rsidRPr="00CD64D9">
        <w:rPr>
          <w:rFonts w:eastAsiaTheme="minorEastAsia"/>
        </w:rPr>
        <w:tab/>
        <w:t>Eqn. (</w:t>
      </w:r>
      <w:r w:rsidR="00C0562E" w:rsidRPr="00CD64D9">
        <w:rPr>
          <w:rFonts w:eastAsiaTheme="minorEastAsia"/>
        </w:rPr>
        <w:t>12</w:t>
      </w:r>
      <w:r w:rsidR="00157210" w:rsidRPr="00CD64D9">
        <w:rPr>
          <w:rFonts w:eastAsiaTheme="minorEastAsia"/>
        </w:rPr>
        <w:t>)</w:t>
      </w:r>
    </w:p>
    <w:p w14:paraId="03CEE7DD" w14:textId="77777777" w:rsidR="00157210" w:rsidRPr="00CD64D9" w:rsidRDefault="00157210" w:rsidP="00B277D3">
      <w:pPr>
        <w:jc w:val="both"/>
        <w:rPr>
          <w:rFonts w:eastAsiaTheme="minorEastAsia"/>
        </w:rPr>
      </w:pPr>
    </w:p>
    <w:p w14:paraId="5C04B6D7" w14:textId="60FD212A" w:rsidR="00157210" w:rsidRPr="00CD64D9" w:rsidRDefault="00157210" w:rsidP="00B277D3">
      <w:pPr>
        <w:jc w:val="both"/>
        <w:rPr>
          <w:lang w:val="es-ES"/>
        </w:rPr>
      </w:pPr>
      <w:r w:rsidRPr="00CD64D9">
        <w:rPr>
          <w:rFonts w:eastAsiaTheme="minorEastAsia"/>
        </w:rPr>
        <w:tab/>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m:t>
        </m:r>
        <m:r>
          <w:rPr>
            <w:rFonts w:ascii="Cambria Math" w:hAnsi="Cambria Math"/>
          </w:rPr>
          <m:t>C</m:t>
        </m:r>
        <m:r>
          <w:rPr>
            <w:rFonts w:ascii="Cambria Math" w:hAnsi="Cambria Math"/>
            <w:lang w:val="es-ES"/>
          </w:rPr>
          <m:t>(</m:t>
        </m:r>
        <m:r>
          <w:rPr>
            <w:rFonts w:ascii="Cambria Math" w:hAnsi="Cambria Math"/>
          </w:rPr>
          <m:t>t</m:t>
        </m:r>
        <m:r>
          <w:rPr>
            <w:rFonts w:ascii="Cambria Math" w:hAnsi="Cambria Math"/>
            <w:lang w:val="es-ES"/>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num>
          <m:den>
            <m:r>
              <w:rPr>
                <w:rFonts w:ascii="Cambria Math" w:eastAsiaTheme="minorEastAsia" w:hAnsi="Cambria Math"/>
              </w:rPr>
              <m:t>γ</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m:t>
            </m:r>
          </m:den>
        </m:f>
      </m:oMath>
      <w:r w:rsidRPr="00CD64D9">
        <w:rPr>
          <w:rFonts w:eastAsiaTheme="minorEastAsia"/>
          <w:lang w:val="es-ES"/>
        </w:rPr>
        <w:tab/>
      </w:r>
      <w:r w:rsidRPr="00CD64D9">
        <w:rPr>
          <w:rFonts w:eastAsiaTheme="minorEastAsia"/>
          <w:lang w:val="es-ES"/>
        </w:rPr>
        <w:tab/>
      </w:r>
      <w:r w:rsidRPr="00CD64D9">
        <w:rPr>
          <w:rFonts w:eastAsiaTheme="minorEastAsia"/>
          <w:lang w:val="es-ES"/>
        </w:rPr>
        <w:tab/>
      </w:r>
      <w:r w:rsidRPr="00CD64D9">
        <w:rPr>
          <w:rFonts w:eastAsiaTheme="minorEastAsia"/>
          <w:lang w:val="es-ES"/>
        </w:rPr>
        <w:tab/>
      </w:r>
      <w:r w:rsidRPr="00CD64D9">
        <w:rPr>
          <w:rFonts w:eastAsiaTheme="minorEastAsia"/>
          <w:lang w:val="es-ES"/>
        </w:rPr>
        <w:tab/>
      </w:r>
      <w:r w:rsidRPr="00CD64D9">
        <w:rPr>
          <w:rFonts w:eastAsiaTheme="minorEastAsia"/>
          <w:lang w:val="es-ES"/>
        </w:rPr>
        <w:tab/>
      </w:r>
      <w:r w:rsidRPr="00CD64D9">
        <w:rPr>
          <w:rFonts w:eastAsiaTheme="minorEastAsia"/>
          <w:lang w:val="es-ES"/>
        </w:rPr>
        <w:tab/>
        <w:t>Eqn. (</w:t>
      </w:r>
      <w:r w:rsidR="007915C9" w:rsidRPr="00CD64D9">
        <w:rPr>
          <w:rFonts w:eastAsiaTheme="minorEastAsia"/>
          <w:lang w:val="es-ES"/>
        </w:rPr>
        <w:t>13</w:t>
      </w:r>
      <w:r w:rsidRPr="00CD64D9">
        <w:rPr>
          <w:rFonts w:eastAsiaTheme="minorEastAsia"/>
          <w:lang w:val="es-ES"/>
        </w:rPr>
        <w:t>)</w:t>
      </w:r>
    </w:p>
    <w:p w14:paraId="17EE376B" w14:textId="77777777" w:rsidR="00D25EDB" w:rsidRPr="00CD64D9" w:rsidRDefault="00D25EDB" w:rsidP="00B277D3">
      <w:pPr>
        <w:jc w:val="both"/>
        <w:rPr>
          <w:lang w:val="es-ES"/>
        </w:rPr>
      </w:pPr>
    </w:p>
    <w:p w14:paraId="715F5694" w14:textId="164AB1FF" w:rsidR="007915C9" w:rsidRPr="00CD64D9" w:rsidRDefault="007915C9" w:rsidP="00B277D3">
      <w:pPr>
        <w:jc w:val="both"/>
        <w:rPr>
          <w:lang w:val="es-ES"/>
        </w:rPr>
      </w:pPr>
      <w:r w:rsidRPr="00CD64D9">
        <w:rPr>
          <w:lang w:val="es-ES"/>
        </w:rPr>
        <w:tab/>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m:t>
            </m:r>
          </m:sub>
        </m:sSub>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m:t>
        </m:r>
        <m:r>
          <w:rPr>
            <w:rFonts w:ascii="Cambria Math" w:hAnsi="Cambria Math"/>
          </w:rPr>
          <m:t>C</m:t>
        </m:r>
        <m:r>
          <w:rPr>
            <w:rFonts w:ascii="Cambria Math" w:hAnsi="Cambria Math"/>
            <w:lang w:val="es-ES"/>
          </w:rPr>
          <m:t>(</m:t>
        </m:r>
        <m:r>
          <w:rPr>
            <w:rFonts w:ascii="Cambria Math" w:hAnsi="Cambria Math"/>
          </w:rPr>
          <m:t>t</m:t>
        </m:r>
        <m:r>
          <w:rPr>
            <w:rFonts w:ascii="Cambria Math" w:hAnsi="Cambria Math"/>
            <w:lang w:val="es-ES"/>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r>
                      <w:rPr>
                        <w:rFonts w:ascii="Cambria Math" w:eastAsiaTheme="minorEastAsia" w:hAnsi="Cambria Math"/>
                        <w:lang w:val="es-ES"/>
                      </w:rPr>
                      <m:t>-1</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r>
                  <w:rPr>
                    <w:rFonts w:ascii="Cambria Math" w:eastAsiaTheme="minorEastAsia" w:hAnsi="Cambria Math"/>
                    <w:lang w:val="es-ES"/>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lang w:val="es-ES"/>
                      </w:rPr>
                      <m:t>-1</m:t>
                    </m:r>
                  </m:e>
                </m:d>
              </m:e>
            </m:d>
          </m:num>
          <m:den>
            <m:r>
              <w:rPr>
                <w:rFonts w:ascii="Cambria Math" w:eastAsiaTheme="minorEastAsia" w:hAnsi="Cambria Math"/>
              </w:rPr>
              <m:t>γ</m:t>
            </m:r>
            <m:r>
              <w:rPr>
                <w:rFonts w:ascii="Cambria Math" w:eastAsiaTheme="minorEastAsia" w:hAnsi="Cambria Math"/>
                <w:lang w:val="es-ES"/>
              </w:rPr>
              <m:t>(</m:t>
            </m:r>
            <m:r>
              <w:rPr>
                <w:rFonts w:ascii="Cambria Math" w:eastAsiaTheme="minorEastAsia" w:hAnsi="Cambria Math"/>
              </w:rPr>
              <m:t>t</m:t>
            </m:r>
            <m:r>
              <w:rPr>
                <w:rFonts w:ascii="Cambria Math" w:eastAsiaTheme="minorEastAsia" w:hAnsi="Cambria Math"/>
                <w:lang w:val="es-ES"/>
              </w:rPr>
              <m:t>)</m:t>
            </m:r>
          </m:den>
        </m:f>
      </m:oMath>
      <w:r w:rsidR="005048AB" w:rsidRPr="00CD64D9">
        <w:rPr>
          <w:rFonts w:eastAsiaTheme="minorEastAsia"/>
          <w:lang w:val="es-ES"/>
        </w:rPr>
        <w:tab/>
      </w:r>
      <w:r w:rsidR="005048AB" w:rsidRPr="00CD64D9">
        <w:rPr>
          <w:rFonts w:eastAsiaTheme="minorEastAsia"/>
          <w:lang w:val="es-ES"/>
        </w:rPr>
        <w:tab/>
      </w:r>
      <w:r w:rsidR="005048AB" w:rsidRPr="00CD64D9">
        <w:rPr>
          <w:rFonts w:eastAsiaTheme="minorEastAsia"/>
          <w:lang w:val="es-ES"/>
        </w:rPr>
        <w:tab/>
      </w:r>
      <w:r w:rsidR="005048AB" w:rsidRPr="00CD64D9">
        <w:rPr>
          <w:rFonts w:eastAsiaTheme="minorEastAsia"/>
          <w:lang w:val="es-ES"/>
        </w:rPr>
        <w:tab/>
      </w:r>
      <w:r w:rsidR="005048AB" w:rsidRPr="00CD64D9">
        <w:rPr>
          <w:rFonts w:eastAsiaTheme="minorEastAsia"/>
          <w:lang w:val="es-ES"/>
        </w:rPr>
        <w:tab/>
      </w:r>
      <w:r w:rsidR="005048AB" w:rsidRPr="00CD64D9">
        <w:rPr>
          <w:rFonts w:eastAsiaTheme="minorEastAsia"/>
          <w:lang w:val="es-ES"/>
        </w:rPr>
        <w:tab/>
        <w:t>Eqn. (14)</w:t>
      </w:r>
    </w:p>
    <w:p w14:paraId="3B934DCC" w14:textId="77777777" w:rsidR="007915C9" w:rsidRPr="00CD64D9" w:rsidRDefault="007915C9" w:rsidP="00B277D3">
      <w:pPr>
        <w:jc w:val="both"/>
        <w:rPr>
          <w:lang w:val="es-ES"/>
        </w:rPr>
      </w:pPr>
    </w:p>
    <w:p w14:paraId="5C5FB09F" w14:textId="77777777" w:rsidR="007915C9" w:rsidRPr="00CD64D9" w:rsidRDefault="007915C9" w:rsidP="00B277D3">
      <w:pPr>
        <w:jc w:val="both"/>
        <w:rPr>
          <w:lang w:val="es-ES"/>
        </w:rPr>
      </w:pPr>
    </w:p>
    <w:p w14:paraId="696EBDFD" w14:textId="071DD500" w:rsidR="007915C9" w:rsidRPr="00CD64D9" w:rsidRDefault="00B86C29" w:rsidP="00B277D3">
      <w:pPr>
        <w:jc w:val="both"/>
      </w:pPr>
      <w:r w:rsidRPr="00CD64D9">
        <w:t xml:space="preserve">where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1,2,…,M-1</m:t>
            </m:r>
          </m:e>
        </m:d>
      </m:oMath>
      <w:r w:rsidRPr="00CD64D9">
        <w:rPr>
          <w:rFonts w:eastAsiaTheme="minorEastAsia"/>
        </w:rPr>
        <w:t xml:space="preserve"> and </w:t>
      </w:r>
      <m:oMath>
        <m:r>
          <w:rPr>
            <w:rFonts w:ascii="Cambria Math" w:eastAsiaTheme="minorEastAsia" w:hAnsi="Cambria Math"/>
          </w:rPr>
          <m:t>t&gt;T</m:t>
        </m:r>
      </m:oMath>
      <w:r w:rsidRPr="00CD64D9">
        <w:rPr>
          <w:rFonts w:eastAsiaTheme="minorEastAsia"/>
        </w:rPr>
        <w:t>.</w:t>
      </w:r>
    </w:p>
    <w:p w14:paraId="11043966" w14:textId="77777777" w:rsidR="007915C9" w:rsidRPr="00CD64D9" w:rsidRDefault="007915C9" w:rsidP="00B277D3">
      <w:pPr>
        <w:jc w:val="both"/>
      </w:pPr>
    </w:p>
    <w:p w14:paraId="161F6A95" w14:textId="5866E55B" w:rsidR="00D25EDB" w:rsidRPr="00CD64D9" w:rsidRDefault="00B86C29" w:rsidP="00B277D3">
      <w:pPr>
        <w:jc w:val="both"/>
      </w:pPr>
      <w:r w:rsidRPr="00CD64D9">
        <w:t>Under this formulation</w:t>
      </w:r>
      <w:r w:rsidR="00157210" w:rsidRPr="00CD64D9">
        <w:t xml:space="preserve">, only one value is required for </w:t>
      </w:r>
      <w:r w:rsidRPr="00CD64D9">
        <w:t xml:space="preserve">treatment </w:t>
      </w:r>
      <w:r w:rsidR="00157210" w:rsidRPr="00CD64D9">
        <w:t>capacity</w:t>
      </w:r>
      <w:r w:rsidRPr="00CD64D9">
        <w:t xml:space="preserve"> (as well as for new referrals)</w:t>
      </w:r>
      <w:r w:rsidR="00157210" w:rsidRPr="00CD64D9">
        <w:t xml:space="preserve">, </w:t>
      </w:r>
      <w:r w:rsidR="00D25EDB" w:rsidRPr="00CD64D9">
        <w:t>for each future month</w:t>
      </w:r>
      <w:r w:rsidRPr="00CD64D9">
        <w:t>, for</w:t>
      </w:r>
      <w:r w:rsidR="00D25EDB" w:rsidRPr="00CD64D9">
        <w:t xml:space="preserve"> each scenario in question.</w:t>
      </w:r>
      <w:r w:rsidR="00723506" w:rsidRPr="00CD64D9">
        <w:t xml:space="preserve"> If so desired</w:t>
      </w:r>
      <w:r w:rsidR="00D73B2A" w:rsidRPr="00CD64D9">
        <w:t>,</w:t>
      </w:r>
      <w:r w:rsidR="00723506" w:rsidRPr="00CD64D9">
        <w:t xml:space="preserve"> a</w:t>
      </w:r>
      <w:r w:rsidR="00D73B2A" w:rsidRPr="00CD64D9">
        <w:t xml:space="preserve"> </w:t>
      </w:r>
      <w:r w:rsidR="00723506" w:rsidRPr="00CD64D9">
        <w:t>more flexible specification of capacit</w:t>
      </w:r>
      <w:r w:rsidR="00D73B2A" w:rsidRPr="00CD64D9">
        <w:t>y allocations</w:t>
      </w:r>
      <w:r w:rsidR="00723506" w:rsidRPr="00CD64D9">
        <w:t xml:space="preserve"> </w:t>
      </w:r>
      <w:r w:rsidR="008B1DC2" w:rsidRPr="00CD64D9">
        <w:t>can</w:t>
      </w:r>
      <w:r w:rsidR="00723506" w:rsidRPr="00CD64D9">
        <w:t xml:space="preserve"> </w:t>
      </w:r>
      <w:r w:rsidR="00425E4F" w:rsidRPr="00CD64D9">
        <w:t xml:space="preserve">readily </w:t>
      </w:r>
      <w:r w:rsidR="00723506" w:rsidRPr="00CD64D9">
        <w:t xml:space="preserve">be incorporated to allow the user to specify </w:t>
      </w:r>
      <w:r w:rsidR="00D73B2A" w:rsidRPr="00CD64D9">
        <w:t>different</w:t>
      </w:r>
      <w:r w:rsidR="00723506" w:rsidRPr="00CD64D9">
        <w:t xml:space="preserve"> division</w:t>
      </w:r>
      <w:r w:rsidR="00D73B2A" w:rsidRPr="00CD64D9">
        <w:t>s</w:t>
      </w:r>
      <w:r w:rsidR="00723506" w:rsidRPr="00CD64D9">
        <w:t xml:space="preserve"> of total capacity </w:t>
      </w:r>
      <w:r w:rsidR="00224DB1" w:rsidRPr="00CD64D9">
        <w:t>across waiting times.</w:t>
      </w:r>
    </w:p>
    <w:p w14:paraId="3815CCB8" w14:textId="77777777" w:rsidR="00692650" w:rsidRPr="00CD64D9" w:rsidRDefault="00692650" w:rsidP="00B277D3">
      <w:pPr>
        <w:jc w:val="both"/>
      </w:pPr>
    </w:p>
    <w:p w14:paraId="14BD6F58" w14:textId="77777777" w:rsidR="00B10B0B" w:rsidRPr="00CD64D9" w:rsidRDefault="00B10B0B" w:rsidP="00B277D3">
      <w:pPr>
        <w:jc w:val="both"/>
      </w:pPr>
    </w:p>
    <w:p w14:paraId="3ABF1D91" w14:textId="5EFF7F52" w:rsidR="00990F2C" w:rsidRPr="00CD64D9" w:rsidRDefault="00E42A3C" w:rsidP="00B277D3">
      <w:pPr>
        <w:jc w:val="both"/>
        <w:rPr>
          <w:rFonts w:eastAsiaTheme="minorEastAsia"/>
          <w:i/>
        </w:rPr>
      </w:pPr>
      <w:r w:rsidRPr="00CD64D9">
        <w:rPr>
          <w:rFonts w:eastAsiaTheme="minorEastAsia"/>
          <w:i/>
        </w:rPr>
        <w:t>Estimated</w:t>
      </w:r>
      <w:r w:rsidR="002E7CBC" w:rsidRPr="00CD64D9">
        <w:rPr>
          <w:rFonts w:eastAsiaTheme="minorEastAsia"/>
          <w:i/>
        </w:rPr>
        <w:t xml:space="preserve"> </w:t>
      </w:r>
      <w:r w:rsidRPr="00CD64D9">
        <w:rPr>
          <w:rFonts w:eastAsiaTheme="minorEastAsia"/>
          <w:i/>
        </w:rPr>
        <w:t>parameters</w:t>
      </w:r>
    </w:p>
    <w:p w14:paraId="42F461E9" w14:textId="77777777" w:rsidR="00B10B0B" w:rsidRPr="00CD64D9" w:rsidRDefault="00B10B0B" w:rsidP="00B277D3">
      <w:pPr>
        <w:jc w:val="both"/>
      </w:pPr>
    </w:p>
    <w:p w14:paraId="135D4693" w14:textId="07D933FA" w:rsidR="00FA6982" w:rsidRPr="00CD64D9" w:rsidRDefault="00FB0198" w:rsidP="00B277D3">
      <w:pPr>
        <w:jc w:val="both"/>
      </w:pPr>
      <w:r w:rsidRPr="00CD64D9">
        <w:t xml:space="preserve">Figure 3 shows the </w:t>
      </w:r>
      <w:r w:rsidR="00E42A3C" w:rsidRPr="00CD64D9">
        <w:t xml:space="preserve">compartment-level </w:t>
      </w:r>
      <w:r w:rsidRPr="00CD64D9">
        <w:t xml:space="preserve">reneging and capacity </w:t>
      </w:r>
      <w:r w:rsidR="00E42A3C" w:rsidRPr="00CD64D9">
        <w:t>rates</w:t>
      </w:r>
      <w:r w:rsidRPr="00CD64D9">
        <w:t xml:space="preserve"> over time</w:t>
      </w:r>
      <w:r w:rsidR="00E42A3C" w:rsidRPr="00CD64D9">
        <w:t xml:space="preserve">, alongside the corresponding parameter values (red lines) used </w:t>
      </w:r>
      <w:r w:rsidR="00FA6982" w:rsidRPr="00CD64D9">
        <w:t>for</w:t>
      </w:r>
      <w:r w:rsidR="00E42A3C" w:rsidRPr="00CD64D9">
        <w:t xml:space="preserve"> the modelling, i.e., those calculated through Eqns. (5-7) and Eqns. (</w:t>
      </w:r>
      <w:r w:rsidR="00690334">
        <w:t>8</w:t>
      </w:r>
      <w:r w:rsidR="00E42A3C" w:rsidRPr="00CD64D9">
        <w:t>-1</w:t>
      </w:r>
      <w:r w:rsidR="00690334">
        <w:t>0</w:t>
      </w:r>
      <w:r w:rsidR="00E42A3C" w:rsidRPr="00CD64D9">
        <w:t>) respectively.</w:t>
      </w:r>
      <w:r w:rsidR="00FA6982" w:rsidRPr="00CD64D9">
        <w:t xml:space="preserve"> These are considered further in regard of model validation (Section 5) and the </w:t>
      </w:r>
      <w:r w:rsidR="000317FF" w:rsidRPr="00CD64D9">
        <w:t>scenario results (Section 6.2).</w:t>
      </w:r>
    </w:p>
    <w:p w14:paraId="7CEF1932" w14:textId="77777777" w:rsidR="00106A1D" w:rsidRPr="00CD64D9" w:rsidRDefault="00106A1D" w:rsidP="00B277D3">
      <w:pPr>
        <w:jc w:val="both"/>
      </w:pPr>
    </w:p>
    <w:p w14:paraId="606DB305" w14:textId="77777777" w:rsidR="00B10B0B" w:rsidRPr="00CD64D9" w:rsidRDefault="00B10B0B" w:rsidP="00B277D3">
      <w:pPr>
        <w:jc w:val="both"/>
      </w:pPr>
    </w:p>
    <w:p w14:paraId="62674880" w14:textId="3817E390" w:rsidR="00B10B0B" w:rsidRPr="00CD64D9" w:rsidRDefault="00106A1D" w:rsidP="00B277D3">
      <w:pPr>
        <w:jc w:val="both"/>
      </w:pPr>
      <w:r w:rsidRPr="00CD64D9">
        <w:rPr>
          <w:noProof/>
        </w:rPr>
        <w:drawing>
          <wp:anchor distT="0" distB="0" distL="114300" distR="114300" simplePos="0" relativeHeight="251658240" behindDoc="0" locked="0" layoutInCell="1" allowOverlap="1" wp14:anchorId="36D380DB" wp14:editId="5A9D4712">
            <wp:simplePos x="0" y="0"/>
            <wp:positionH relativeFrom="margin">
              <wp:align>center</wp:align>
            </wp:positionH>
            <wp:positionV relativeFrom="paragraph">
              <wp:posOffset>197485</wp:posOffset>
            </wp:positionV>
            <wp:extent cx="7125970" cy="2768600"/>
            <wp:effectExtent l="0" t="0" r="0" b="0"/>
            <wp:wrapTopAndBottom/>
            <wp:docPr id="193652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5970" cy="276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BBAEA" w14:textId="77777777" w:rsidR="000317FF" w:rsidRPr="00CD64D9" w:rsidRDefault="000317FF" w:rsidP="00B277D3">
      <w:pPr>
        <w:jc w:val="both"/>
      </w:pPr>
    </w:p>
    <w:p w14:paraId="6A7063A2" w14:textId="59A55E1A" w:rsidR="00B10B0B" w:rsidRPr="00CD64D9" w:rsidRDefault="00B10B0B" w:rsidP="00B277D3">
      <w:pPr>
        <w:jc w:val="both"/>
      </w:pPr>
    </w:p>
    <w:p w14:paraId="307E0DE6" w14:textId="7AA0611C" w:rsidR="00B10B0B" w:rsidRPr="00CD64D9" w:rsidRDefault="00B10B0B" w:rsidP="00B277D3">
      <w:pPr>
        <w:jc w:val="center"/>
      </w:pPr>
      <w:r w:rsidRPr="00CD64D9">
        <w:rPr>
          <w:b/>
          <w:bCs/>
        </w:rPr>
        <w:t xml:space="preserve">Figure </w:t>
      </w:r>
      <w:r w:rsidR="00990F2C" w:rsidRPr="00CD64D9">
        <w:rPr>
          <w:b/>
          <w:bCs/>
        </w:rPr>
        <w:t>3</w:t>
      </w:r>
      <w:r w:rsidRPr="00CD64D9">
        <w:t>. Compartment-level capacity and reneging rates over time, inferred from the historical data according to the formulae in Section 4</w:t>
      </w:r>
      <w:r w:rsidR="00990F2C" w:rsidRPr="00CD64D9">
        <w:t>.2</w:t>
      </w:r>
      <w:r w:rsidRPr="00CD64D9">
        <w:t xml:space="preserve">. The red lines are the actual parameters used </w:t>
      </w:r>
      <w:r w:rsidR="00B553EB" w:rsidRPr="00CD64D9">
        <w:t>for this example application</w:t>
      </w:r>
      <w:r w:rsidRPr="00CD64D9">
        <w:t>, which are the mean values over the 12-month calibration windows (January 2023 to December 2023 inclusive).</w:t>
      </w:r>
    </w:p>
    <w:p w14:paraId="772891DB" w14:textId="77777777" w:rsidR="00B10B0B" w:rsidRPr="00CD64D9" w:rsidRDefault="00B10B0B" w:rsidP="00B277D3">
      <w:pPr>
        <w:jc w:val="both"/>
      </w:pPr>
    </w:p>
    <w:p w14:paraId="31F8F7BC" w14:textId="77777777" w:rsidR="00B10B0B" w:rsidRPr="00CD64D9" w:rsidRDefault="00B10B0B" w:rsidP="00B277D3">
      <w:pPr>
        <w:jc w:val="both"/>
      </w:pPr>
    </w:p>
    <w:p w14:paraId="51F5762B" w14:textId="77777777" w:rsidR="00AD18E1" w:rsidRPr="00CD64D9" w:rsidRDefault="00AD18E1" w:rsidP="00B277D3">
      <w:pPr>
        <w:jc w:val="both"/>
      </w:pPr>
    </w:p>
    <w:p w14:paraId="5A0238F4" w14:textId="0DF0C4B8" w:rsidR="00B10B0B" w:rsidRPr="00CD64D9" w:rsidRDefault="00B10B0B" w:rsidP="00B277D3">
      <w:pPr>
        <w:jc w:val="both"/>
        <w:rPr>
          <w:b/>
          <w:bCs/>
        </w:rPr>
      </w:pPr>
      <w:r w:rsidRPr="00CD64D9">
        <w:rPr>
          <w:b/>
          <w:bCs/>
        </w:rPr>
        <w:t xml:space="preserve">5. </w:t>
      </w:r>
      <w:r w:rsidR="00BC4280" w:rsidRPr="00CD64D9">
        <w:rPr>
          <w:b/>
          <w:bCs/>
        </w:rPr>
        <w:t>Model v</w:t>
      </w:r>
      <w:r w:rsidRPr="00CD64D9">
        <w:rPr>
          <w:b/>
          <w:bCs/>
        </w:rPr>
        <w:t>alidation</w:t>
      </w:r>
      <w:r w:rsidR="008B3443" w:rsidRPr="00CD64D9">
        <w:rPr>
          <w:b/>
          <w:bCs/>
        </w:rPr>
        <w:t xml:space="preserve"> and accuracy</w:t>
      </w:r>
    </w:p>
    <w:p w14:paraId="6882FEC0" w14:textId="77777777" w:rsidR="00B10B0B" w:rsidRPr="00CD64D9" w:rsidRDefault="00B10B0B" w:rsidP="00B277D3">
      <w:pPr>
        <w:jc w:val="both"/>
      </w:pPr>
    </w:p>
    <w:p w14:paraId="30198320" w14:textId="3AAB1E47" w:rsidR="008B3443" w:rsidRPr="00CD64D9" w:rsidRDefault="000218D4" w:rsidP="00B277D3">
      <w:pPr>
        <w:jc w:val="both"/>
      </w:pPr>
      <w:r w:rsidRPr="00CD64D9">
        <w:t xml:space="preserve">Model </w:t>
      </w:r>
      <w:r w:rsidR="00BC4280" w:rsidRPr="00CD64D9">
        <w:t>validation is a</w:t>
      </w:r>
      <w:r w:rsidR="000F2321" w:rsidRPr="00CD64D9">
        <w:t>n important step</w:t>
      </w:r>
      <w:r w:rsidR="00BC4280" w:rsidRPr="00CD64D9">
        <w:t xml:space="preserve"> in </w:t>
      </w:r>
      <w:r w:rsidR="00E05FB1" w:rsidRPr="00CD64D9">
        <w:t>the modelling process</w:t>
      </w:r>
      <w:r w:rsidR="004E6B71" w:rsidRPr="00CD64D9">
        <w:t>, in helping to ascertain the level of confidence that</w:t>
      </w:r>
      <w:r w:rsidR="00425E4F" w:rsidRPr="00CD64D9">
        <w:t xml:space="preserve"> the user</w:t>
      </w:r>
      <w:r w:rsidR="004E6B71" w:rsidRPr="00CD64D9">
        <w:t xml:space="preserve"> may place on model outputs.</w:t>
      </w:r>
      <w:r w:rsidR="00BC4280" w:rsidRPr="00CD64D9">
        <w:t xml:space="preserve"> </w:t>
      </w:r>
      <w:r w:rsidR="008B3443" w:rsidRPr="00CD64D9">
        <w:t>The validity of a model depends very much upon its intended use, which in this case is to aid the strategic management of hospital waiting lists. As such, we envisage the model being used to predict future waiting list</w:t>
      </w:r>
      <w:r w:rsidR="00C0737E" w:rsidRPr="00CD64D9">
        <w:t xml:space="preserve"> size</w:t>
      </w:r>
      <w:r w:rsidR="008B3443" w:rsidRPr="00CD64D9">
        <w:t xml:space="preserve"> and waiting times for scenarios in which management wish to decide future capacity levels in the light of likely future levels of demand, future reneging rates and how the capacity is allocated across waiting times. The model has the potential to be applied (i.e., is valid) for at any level of granularity in the NHS, and in other health systems where waiting lists can be characterised in </w:t>
      </w:r>
      <w:r w:rsidR="00C0737E" w:rsidRPr="00CD64D9">
        <w:t>a similar</w:t>
      </w:r>
      <w:r w:rsidR="008B3443" w:rsidRPr="00CD64D9">
        <w:t xml:space="preserve"> way.</w:t>
      </w:r>
    </w:p>
    <w:p w14:paraId="493FD98D" w14:textId="77777777" w:rsidR="008B3443" w:rsidRPr="00CD64D9" w:rsidRDefault="008B3443" w:rsidP="00B277D3">
      <w:pPr>
        <w:jc w:val="both"/>
      </w:pPr>
    </w:p>
    <w:p w14:paraId="4574E4C5" w14:textId="23508E2B" w:rsidR="00CB0020" w:rsidRPr="00CD64D9" w:rsidRDefault="008B3443" w:rsidP="00B277D3">
      <w:pPr>
        <w:jc w:val="both"/>
      </w:pPr>
      <w:r w:rsidRPr="00CD64D9">
        <w:t xml:space="preserve">One way to obtain a view on the level of accuracy that might be expected </w:t>
      </w:r>
      <w:r w:rsidR="003E610E" w:rsidRPr="00CD64D9">
        <w:t>for a given</w:t>
      </w:r>
      <w:r w:rsidR="001228C5" w:rsidRPr="00CD64D9">
        <w:t xml:space="preserve"> model</w:t>
      </w:r>
      <w:r w:rsidR="003E610E" w:rsidRPr="00CD64D9">
        <w:t xml:space="preserve"> application </w:t>
      </w:r>
      <w:r w:rsidRPr="00CD64D9">
        <w:t xml:space="preserve">is </w:t>
      </w:r>
      <w:r w:rsidR="003E610E" w:rsidRPr="00CD64D9">
        <w:t>through</w:t>
      </w:r>
      <w:r w:rsidRPr="00CD64D9">
        <w:t xml:space="preserve"> ‘</w:t>
      </w:r>
      <w:proofErr w:type="spellStart"/>
      <w:r w:rsidRPr="00CD64D9">
        <w:t>backtesting</w:t>
      </w:r>
      <w:proofErr w:type="spellEnd"/>
      <w:r w:rsidRPr="00CD64D9">
        <w:t xml:space="preserve">’, i.e., applying the model retrospectively and comparing the model predictions with what </w:t>
      </w:r>
      <w:proofErr w:type="gramStart"/>
      <w:r w:rsidRPr="00CD64D9">
        <w:t>actually happened</w:t>
      </w:r>
      <w:proofErr w:type="gramEnd"/>
      <w:r w:rsidRPr="00CD64D9">
        <w:t>.</w:t>
      </w:r>
      <w:r w:rsidR="003E610E" w:rsidRPr="00CD64D9">
        <w:t xml:space="preserve"> </w:t>
      </w:r>
      <w:r w:rsidR="00CB0020" w:rsidRPr="00CD64D9">
        <w:t>For the</w:t>
      </w:r>
      <w:r w:rsidR="00BC4280" w:rsidRPr="00CD64D9">
        <w:t xml:space="preserve"> </w:t>
      </w:r>
      <w:r w:rsidR="00A40BE4" w:rsidRPr="00CD64D9">
        <w:t xml:space="preserve">example </w:t>
      </w:r>
      <w:r w:rsidR="00BC4280" w:rsidRPr="00CD64D9">
        <w:t xml:space="preserve">waiting list </w:t>
      </w:r>
      <w:r w:rsidR="00CB0020" w:rsidRPr="00CD64D9">
        <w:t xml:space="preserve">problem </w:t>
      </w:r>
      <w:r w:rsidR="00A40BE4" w:rsidRPr="00CD64D9">
        <w:t xml:space="preserve">presented in </w:t>
      </w:r>
      <w:r w:rsidR="007F4C13" w:rsidRPr="00CD64D9">
        <w:t>S</w:t>
      </w:r>
      <w:r w:rsidR="00A40BE4" w:rsidRPr="00CD64D9">
        <w:t>ection 4</w:t>
      </w:r>
      <w:r w:rsidR="00A44230" w:rsidRPr="00CD64D9">
        <w:t>,</w:t>
      </w:r>
      <w:r w:rsidR="00BC4280" w:rsidRPr="00CD64D9">
        <w:t xml:space="preserve"> we </w:t>
      </w:r>
      <w:r w:rsidR="00CB0020" w:rsidRPr="00CD64D9">
        <w:t>approach this by assessing how different the</w:t>
      </w:r>
      <w:r w:rsidR="001228C5" w:rsidRPr="00CD64D9">
        <w:t xml:space="preserve"> total waiting list size and</w:t>
      </w:r>
      <w:r w:rsidR="00CB0020" w:rsidRPr="00CD64D9">
        <w:t xml:space="preserve"> projected numbers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 </m:t>
        </m:r>
      </m:oMath>
      <w:r w:rsidR="00CB0020" w:rsidRPr="00CD64D9">
        <w:t xml:space="preserve">within each compartment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00CB0020" w:rsidRPr="00CD64D9">
        <w:t xml:space="preserve"> for each future month </w:t>
      </w:r>
      <m:oMath>
        <m:r>
          <w:rPr>
            <w:rFonts w:ascii="Cambria Math" w:eastAsiaTheme="minorEastAsia" w:hAnsi="Cambria Math"/>
          </w:rPr>
          <m:t>t&gt;T</m:t>
        </m:r>
      </m:oMath>
      <w:r w:rsidR="00CB0020" w:rsidRPr="00CD64D9">
        <w:t xml:space="preserve"> differ from the corresponding actual values. We do this over a recent </w:t>
      </w:r>
      <w:proofErr w:type="gramStart"/>
      <w:r w:rsidR="00CB0020" w:rsidRPr="00CD64D9">
        <w:t>period of time</w:t>
      </w:r>
      <w:proofErr w:type="gramEnd"/>
      <w:r w:rsidR="00CB0020" w:rsidRPr="00CD64D9">
        <w:t xml:space="preserve"> and calibrate the capacity and reneging parameters using data only up to the start of that period</w:t>
      </w:r>
      <w:r w:rsidR="004E6B71" w:rsidRPr="00CD64D9">
        <w:t>, not within it</w:t>
      </w:r>
      <w:r w:rsidR="00CB0020" w:rsidRPr="00CD64D9">
        <w:t>. We assume no error in the referrals and capacity levels</w:t>
      </w:r>
      <w:r w:rsidR="000D61BC" w:rsidRPr="00CD64D9">
        <w:t>, i.e., they follow the actual observed values. This</w:t>
      </w:r>
      <w:r w:rsidR="004E6B71" w:rsidRPr="00CD64D9">
        <w:t xml:space="preserve"> therefore </w:t>
      </w:r>
      <w:r w:rsidR="001228C5" w:rsidRPr="00CD64D9">
        <w:t>demonstrates</w:t>
      </w:r>
      <w:r w:rsidR="004E6B71" w:rsidRPr="00CD64D9">
        <w:t xml:space="preserve"> the </w:t>
      </w:r>
      <w:r w:rsidR="00CE4E7C" w:rsidRPr="00CD64D9">
        <w:t>performance of the model</w:t>
      </w:r>
      <w:r w:rsidR="001228C5" w:rsidRPr="00CD64D9">
        <w:t xml:space="preserve"> for a case where</w:t>
      </w:r>
      <w:r w:rsidR="00CE4E7C" w:rsidRPr="00CD64D9">
        <w:t xml:space="preserve"> the user has correctly described the referral and</w:t>
      </w:r>
      <w:r w:rsidR="001228C5" w:rsidRPr="00CD64D9">
        <w:t xml:space="preserve"> total</w:t>
      </w:r>
      <w:r w:rsidR="00CE4E7C" w:rsidRPr="00CD64D9">
        <w:t xml:space="preserve"> capacity </w:t>
      </w:r>
      <w:r w:rsidR="001228C5" w:rsidRPr="00CD64D9">
        <w:t>levels</w:t>
      </w:r>
      <w:r w:rsidR="00CE4E7C" w:rsidRPr="00CD64D9">
        <w:t>.</w:t>
      </w:r>
    </w:p>
    <w:p w14:paraId="7B51FBAA" w14:textId="77777777" w:rsidR="000D61BC" w:rsidRPr="00CD64D9" w:rsidRDefault="000D61BC" w:rsidP="00B277D3">
      <w:pPr>
        <w:jc w:val="both"/>
      </w:pPr>
    </w:p>
    <w:p w14:paraId="6B9014EF" w14:textId="53CC84FB" w:rsidR="0054392A" w:rsidRPr="00CD64D9" w:rsidRDefault="00CE4E7C" w:rsidP="00B277D3">
      <w:pPr>
        <w:jc w:val="both"/>
        <w:rPr>
          <w:rFonts w:eastAsiaTheme="minorEastAsia"/>
        </w:rPr>
      </w:pPr>
      <w:r w:rsidRPr="00CD64D9">
        <w:t xml:space="preserve">This </w:t>
      </w:r>
      <w:r w:rsidR="00796A0D" w:rsidRPr="00CD64D9">
        <w:t xml:space="preserve">is </w:t>
      </w:r>
      <w:r w:rsidRPr="00CD64D9">
        <w:t>perform</w:t>
      </w:r>
      <w:r w:rsidR="00796A0D" w:rsidRPr="00CD64D9">
        <w:t>ed</w:t>
      </w:r>
      <w:r w:rsidRPr="00CD64D9">
        <w:t xml:space="preserve"> </w:t>
      </w:r>
      <w:r w:rsidR="000218D4" w:rsidRPr="00CD64D9">
        <w:t>over the most recent</w:t>
      </w:r>
      <w:r w:rsidR="004A5016" w:rsidRPr="00CD64D9">
        <w:t xml:space="preserve"> 6- and</w:t>
      </w:r>
      <w:r w:rsidR="000218D4" w:rsidRPr="00CD64D9">
        <w:t xml:space="preserve"> 12-month period</w:t>
      </w:r>
      <w:r w:rsidR="000F2321" w:rsidRPr="00CD64D9">
        <w:t>s</w:t>
      </w:r>
      <w:r w:rsidR="000218D4" w:rsidRPr="00CD64D9">
        <w:t xml:space="preserve">, i.e., </w:t>
      </w:r>
      <w:r w:rsidR="00BD7E25" w:rsidRPr="00CD64D9">
        <w:t>the periods of such duration up</w:t>
      </w:r>
      <w:r w:rsidR="000218D4" w:rsidRPr="00CD64D9">
        <w:t xml:space="preserve"> to</w:t>
      </w:r>
      <w:r w:rsidR="00BD7E25" w:rsidRPr="00CD64D9">
        <w:t xml:space="preserve"> and including</w:t>
      </w:r>
      <w:r w:rsidR="000218D4" w:rsidRPr="00CD64D9">
        <w:t xml:space="preserve"> </w:t>
      </w:r>
      <w:r w:rsidR="00BC0275" w:rsidRPr="00CD64D9">
        <w:t>December</w:t>
      </w:r>
      <w:r w:rsidR="000218D4" w:rsidRPr="00CD64D9">
        <w:t xml:space="preserve"> 2023. To do this, the model parameters (the </w:t>
      </w:r>
      <m:oMath>
        <m:sSub>
          <m:sSubPr>
            <m:ctrlPr>
              <w:rPr>
                <w:rFonts w:ascii="Cambria Math" w:hAnsi="Cambria Math"/>
              </w:rPr>
            </m:ctrlPr>
          </m:sSubPr>
          <m:e>
            <m:r>
              <w:rPr>
                <w:rFonts w:ascii="Cambria Math" w:hAnsi="Cambria Math"/>
              </w:rPr>
              <m:t>r</m:t>
            </m:r>
          </m:e>
          <m:sub>
            <m:r>
              <w:rPr>
                <w:rFonts w:ascii="Cambria Math" w:hAnsi="Cambria Math"/>
              </w:rPr>
              <m:t>m</m:t>
            </m:r>
          </m:sub>
        </m:sSub>
      </m:oMath>
      <w:r w:rsidR="000218D4" w:rsidRPr="00CD64D9">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oMath>
      <w:r w:rsidR="000218D4" w:rsidRPr="00CD64D9">
        <w:rPr>
          <w:rFonts w:eastAsiaTheme="minorEastAsia"/>
        </w:rPr>
        <w:t xml:space="preserve"> for each </w:t>
      </w:r>
      <m:oMath>
        <m:r>
          <w:rPr>
            <w:rFonts w:ascii="Cambria Math" w:eastAsiaTheme="minorEastAsia" w:hAnsi="Cambria Math"/>
          </w:rPr>
          <m:t>m∈</m:t>
        </m:r>
        <m:d>
          <m:dPr>
            <m:begChr m:val="{"/>
            <m:endChr m:val="}"/>
            <m:ctrlPr>
              <w:rPr>
                <w:rFonts w:ascii="Cambria Math" w:eastAsiaTheme="minorEastAsia" w:hAnsi="Cambria Math"/>
                <w:i/>
              </w:rPr>
            </m:ctrlPr>
          </m:dPr>
          <m:e>
            <m:r>
              <w:rPr>
                <w:rFonts w:ascii="Cambria Math" w:eastAsiaTheme="minorEastAsia" w:hAnsi="Cambria Math"/>
              </w:rPr>
              <m:t>0,1,…,M</m:t>
            </m:r>
          </m:e>
        </m:d>
      </m:oMath>
      <w:r w:rsidR="000218D4" w:rsidRPr="00CD64D9">
        <w:rPr>
          <w:rFonts w:eastAsiaTheme="minorEastAsia"/>
        </w:rPr>
        <w:t xml:space="preserve"> ) are calibrated using only</w:t>
      </w:r>
      <w:r w:rsidR="00BD7E25" w:rsidRPr="00CD64D9">
        <w:rPr>
          <w:rFonts w:eastAsiaTheme="minorEastAsia"/>
        </w:rPr>
        <w:t xml:space="preserve"> the twelve months of</w:t>
      </w:r>
      <w:r w:rsidR="000218D4" w:rsidRPr="00CD64D9">
        <w:rPr>
          <w:rFonts w:eastAsiaTheme="minorEastAsia"/>
        </w:rPr>
        <w:t xml:space="preserve"> data available </w:t>
      </w:r>
      <w:r w:rsidR="00BD7E25" w:rsidRPr="00CD64D9">
        <w:rPr>
          <w:rFonts w:eastAsiaTheme="minorEastAsia"/>
        </w:rPr>
        <w:t xml:space="preserve">immediately </w:t>
      </w:r>
      <w:r w:rsidR="000218D4" w:rsidRPr="00CD64D9">
        <w:rPr>
          <w:rFonts w:eastAsiaTheme="minorEastAsia"/>
        </w:rPr>
        <w:t>prior to th</w:t>
      </w:r>
      <w:r w:rsidR="00BD7E25" w:rsidRPr="00CD64D9">
        <w:rPr>
          <w:rFonts w:eastAsiaTheme="minorEastAsia"/>
        </w:rPr>
        <w:t>ose</w:t>
      </w:r>
      <w:r w:rsidR="000218D4" w:rsidRPr="00CD64D9">
        <w:rPr>
          <w:rFonts w:eastAsiaTheme="minorEastAsia"/>
        </w:rPr>
        <w:t xml:space="preserve"> period</w:t>
      </w:r>
      <w:r w:rsidR="00BD7E25" w:rsidRPr="00CD64D9">
        <w:rPr>
          <w:rFonts w:eastAsiaTheme="minorEastAsia"/>
        </w:rPr>
        <w:t>s</w:t>
      </w:r>
      <w:r w:rsidR="000218D4" w:rsidRPr="00CD64D9">
        <w:rPr>
          <w:rFonts w:eastAsiaTheme="minorEastAsia"/>
        </w:rPr>
        <w:t xml:space="preserve">. The model is run using the actual </w:t>
      </w:r>
      <w:r w:rsidR="00BE58CA" w:rsidRPr="00CD64D9">
        <w:rPr>
          <w:rFonts w:eastAsiaTheme="minorEastAsia"/>
        </w:rPr>
        <w:t xml:space="preserve">monthly </w:t>
      </w:r>
      <w:r w:rsidR="000218D4" w:rsidRPr="00CD64D9">
        <w:rPr>
          <w:rFonts w:eastAsiaTheme="minorEastAsia"/>
        </w:rPr>
        <w:t xml:space="preserve">referrals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000218D4" w:rsidRPr="00CD64D9">
        <w:rPr>
          <w:rFonts w:eastAsiaTheme="minorEastAsia"/>
        </w:rPr>
        <w:t xml:space="preserve"> and total treatments </w:t>
      </w:r>
      <m:oMath>
        <m:r>
          <w:rPr>
            <w:rFonts w:ascii="Cambria Math" w:hAnsi="Cambria Math"/>
          </w:rPr>
          <m:t>C(t)</m:t>
        </m:r>
      </m:oMath>
      <w:r w:rsidR="000218D4" w:rsidRPr="00CD64D9">
        <w:rPr>
          <w:rFonts w:eastAsiaTheme="minorEastAsia"/>
        </w:rPr>
        <w:t xml:space="preserve"> </w:t>
      </w:r>
      <w:r w:rsidR="00BD7E25" w:rsidRPr="00CD64D9">
        <w:rPr>
          <w:rFonts w:eastAsiaTheme="minorEastAsia"/>
        </w:rPr>
        <w:t xml:space="preserve">over the </w:t>
      </w:r>
      <w:proofErr w:type="spellStart"/>
      <w:r w:rsidR="00BD7E25" w:rsidRPr="00CD64D9">
        <w:rPr>
          <w:rFonts w:eastAsiaTheme="minorEastAsia"/>
        </w:rPr>
        <w:t>backtest</w:t>
      </w:r>
      <w:proofErr w:type="spellEnd"/>
      <w:r w:rsidR="00BD7E25" w:rsidRPr="00CD64D9">
        <w:rPr>
          <w:rFonts w:eastAsiaTheme="minorEastAsia"/>
        </w:rPr>
        <w:t xml:space="preserve"> periods</w:t>
      </w:r>
      <w:r w:rsidR="000218D4" w:rsidRPr="00CD64D9">
        <w:rPr>
          <w:rFonts w:eastAsiaTheme="minorEastAsia"/>
        </w:rPr>
        <w:t>, and projections for the wait</w:t>
      </w:r>
      <w:r w:rsidR="00B11EB0" w:rsidRPr="00CD64D9">
        <w:rPr>
          <w:rFonts w:eastAsiaTheme="minorEastAsia"/>
        </w:rPr>
        <w:t xml:space="preserve">ing </w:t>
      </w:r>
      <w:r w:rsidR="000218D4" w:rsidRPr="00CD64D9">
        <w:rPr>
          <w:rFonts w:eastAsiaTheme="minorEastAsia"/>
        </w:rPr>
        <w:t>list size are compared with the actual data. Accuracy is assessed through Mean Absolute Percentage Error (MAPE)</w:t>
      </w:r>
      <w:r w:rsidR="00953C6B" w:rsidRPr="00CD64D9">
        <w:rPr>
          <w:rFonts w:eastAsiaTheme="minorEastAsia"/>
        </w:rPr>
        <w:t xml:space="preserve">, with figures </w:t>
      </w:r>
      <w:r w:rsidR="004B2E75" w:rsidRPr="00CD64D9">
        <w:rPr>
          <w:rFonts w:eastAsiaTheme="minorEastAsia"/>
        </w:rPr>
        <w:t xml:space="preserve">also provided </w:t>
      </w:r>
      <w:r w:rsidR="00953C6B" w:rsidRPr="00CD64D9">
        <w:rPr>
          <w:rFonts w:eastAsiaTheme="minorEastAsia"/>
        </w:rPr>
        <w:t>for Mean Absolute Error (MAE)</w:t>
      </w:r>
      <w:r w:rsidR="000218D4" w:rsidRPr="00CD64D9">
        <w:rPr>
          <w:rFonts w:eastAsiaTheme="minorEastAsia"/>
        </w:rPr>
        <w:t>.</w:t>
      </w:r>
      <w:r w:rsidR="00CB0020" w:rsidRPr="00CD64D9">
        <w:rPr>
          <w:rFonts w:eastAsiaTheme="minorEastAsia"/>
        </w:rPr>
        <w:t xml:space="preserve"> </w:t>
      </w:r>
    </w:p>
    <w:p w14:paraId="0F13F145" w14:textId="77777777" w:rsidR="00AD18E1" w:rsidRPr="00CD64D9" w:rsidRDefault="00AD18E1" w:rsidP="00B277D3">
      <w:pPr>
        <w:jc w:val="both"/>
      </w:pPr>
    </w:p>
    <w:p w14:paraId="1047F24E" w14:textId="59287721" w:rsidR="00B10B0B" w:rsidRPr="0008754B" w:rsidRDefault="00E42A3C" w:rsidP="00B277D3">
      <w:pPr>
        <w:jc w:val="both"/>
      </w:pPr>
      <w:r w:rsidRPr="0008754B">
        <w:t xml:space="preserve">This </w:t>
      </w:r>
      <w:r w:rsidR="00B10B0B" w:rsidRPr="0008754B">
        <w:t xml:space="preserve">leads to a MAPE of 0.4% on the projected total wait list size for the 6-month </w:t>
      </w:r>
      <w:proofErr w:type="spellStart"/>
      <w:r w:rsidR="00B10B0B" w:rsidRPr="0008754B">
        <w:t>backtest</w:t>
      </w:r>
      <w:proofErr w:type="spellEnd"/>
      <w:r w:rsidR="00B10B0B" w:rsidRPr="0008754B">
        <w:t xml:space="preserve"> and 4.7% for the 12-month </w:t>
      </w:r>
      <w:proofErr w:type="spellStart"/>
      <w:r w:rsidR="00B10B0B" w:rsidRPr="0008754B">
        <w:t>backtest</w:t>
      </w:r>
      <w:proofErr w:type="spellEnd"/>
      <w:r w:rsidR="00B10B0B" w:rsidRPr="0008754B">
        <w:t xml:space="preserve"> (Figure </w:t>
      </w:r>
      <w:r w:rsidRPr="0008754B">
        <w:t>4</w:t>
      </w:r>
      <w:r w:rsidR="00B10B0B" w:rsidRPr="0008754B">
        <w:t xml:space="preserve">). </w:t>
      </w:r>
      <w:r w:rsidR="00680866" w:rsidRPr="0008754B">
        <w:t>In terms of MAE, the corresponding figures are 26,</w:t>
      </w:r>
      <w:r w:rsidR="00B76084" w:rsidRPr="0008754B">
        <w:t>178</w:t>
      </w:r>
      <w:r w:rsidR="00680866" w:rsidRPr="0008754B">
        <w:t xml:space="preserve"> and </w:t>
      </w:r>
      <w:r w:rsidR="00B76084" w:rsidRPr="0008754B">
        <w:t xml:space="preserve">332,807 </w:t>
      </w:r>
      <w:r w:rsidR="00680866" w:rsidRPr="0008754B">
        <w:t xml:space="preserve">respectively, which </w:t>
      </w:r>
      <w:r w:rsidR="00F8042A" w:rsidRPr="0008754B">
        <w:t>should</w:t>
      </w:r>
      <w:r w:rsidR="00680866" w:rsidRPr="0008754B">
        <w:t xml:space="preserve"> be contextualised against a waitlist whose mean size was </w:t>
      </w:r>
      <w:r w:rsidR="00F8042A" w:rsidRPr="0008754B">
        <w:t>7.27</w:t>
      </w:r>
      <w:r w:rsidR="00680866" w:rsidRPr="0008754B">
        <w:t xml:space="preserve">m and </w:t>
      </w:r>
      <w:r w:rsidR="00F8042A" w:rsidRPr="0008754B">
        <w:t>7.12</w:t>
      </w:r>
      <w:r w:rsidR="00680866" w:rsidRPr="0008754B">
        <w:t xml:space="preserve">m over those two periods. </w:t>
      </w:r>
      <w:r w:rsidR="00B10B0B" w:rsidRPr="0008754B">
        <w:t xml:space="preserve">The considerable difference in accuracy </w:t>
      </w:r>
      <w:r w:rsidR="00680866" w:rsidRPr="0008754B">
        <w:t xml:space="preserve">between the 6- and 12-month </w:t>
      </w:r>
      <w:proofErr w:type="spellStart"/>
      <w:r w:rsidR="00680866" w:rsidRPr="0008754B">
        <w:t>backtests</w:t>
      </w:r>
      <w:proofErr w:type="spellEnd"/>
      <w:r w:rsidR="00680866" w:rsidRPr="0008754B">
        <w:t xml:space="preserve"> </w:t>
      </w:r>
      <w:r w:rsidR="00B10B0B" w:rsidRPr="0008754B">
        <w:t>is attributable to both a greater impact of changing behaviour exhibited in these parameters over time as well as possible data quality issues</w:t>
      </w:r>
      <w:r w:rsidR="00796A0D" w:rsidRPr="0008754B">
        <w:t>, as now described</w:t>
      </w:r>
      <w:r w:rsidR="00B10B0B" w:rsidRPr="0008754B">
        <w:t xml:space="preserve">. The wider 12-month </w:t>
      </w:r>
      <w:proofErr w:type="spellStart"/>
      <w:r w:rsidR="00B10B0B" w:rsidRPr="0008754B">
        <w:t>backtest</w:t>
      </w:r>
      <w:proofErr w:type="spellEnd"/>
      <w:r w:rsidR="00B10B0B" w:rsidRPr="0008754B">
        <w:t xml:space="preserve"> window involves calibrating the parameters on the preceding 12-month period, which, as can be seen in Figure </w:t>
      </w:r>
      <w:r w:rsidR="008135E4" w:rsidRPr="0008754B">
        <w:t>3</w:t>
      </w:r>
      <w:r w:rsidR="00B10B0B" w:rsidRPr="0008754B">
        <w:t xml:space="preserve">, is more greatly exposed to trending parameters over time than would be a shorter </w:t>
      </w:r>
      <w:proofErr w:type="spellStart"/>
      <w:r w:rsidR="00B10B0B" w:rsidRPr="0008754B">
        <w:t>backtest</w:t>
      </w:r>
      <w:proofErr w:type="spellEnd"/>
      <w:r w:rsidR="00B10B0B" w:rsidRPr="0008754B">
        <w:t xml:space="preserve"> window (this may be explained by changes in the ways patients are </w:t>
      </w:r>
      <w:r w:rsidR="00C0737E" w:rsidRPr="0008754B">
        <w:t>selected</w:t>
      </w:r>
      <w:r w:rsidR="00B10B0B" w:rsidRPr="0008754B">
        <w:t xml:space="preserve"> for treatment and how patients </w:t>
      </w:r>
      <w:r w:rsidR="00B553EB" w:rsidRPr="0008754B">
        <w:t>renege</w:t>
      </w:r>
      <w:r w:rsidR="00B10B0B" w:rsidRPr="0008754B">
        <w:t xml:space="preserve"> from the wait</w:t>
      </w:r>
      <w:r w:rsidR="00B11EB0" w:rsidRPr="0008754B">
        <w:t xml:space="preserve">ing </w:t>
      </w:r>
      <w:r w:rsidR="00B10B0B" w:rsidRPr="0008754B">
        <w:t xml:space="preserve">list). </w:t>
      </w:r>
      <w:proofErr w:type="gramStart"/>
      <w:r w:rsidR="00B10B0B" w:rsidRPr="0008754B">
        <w:t>With regard to</w:t>
      </w:r>
      <w:proofErr w:type="gramEnd"/>
      <w:r w:rsidR="00B10B0B" w:rsidRPr="0008754B">
        <w:t xml:space="preserve"> data quality, the longer 12-month </w:t>
      </w:r>
      <w:proofErr w:type="spellStart"/>
      <w:r w:rsidR="00B10B0B" w:rsidRPr="0008754B">
        <w:t>backtest</w:t>
      </w:r>
      <w:proofErr w:type="spellEnd"/>
      <w:r w:rsidR="00B10B0B" w:rsidRPr="0008754B">
        <w:t xml:space="preserve"> window appears to straddle spikes in the renege parameter </w:t>
      </w:r>
      <w:r w:rsidR="00DB0AC6" w:rsidRPr="0008754B">
        <w:t>at</w:t>
      </w:r>
      <w:r w:rsidR="00B10B0B" w:rsidRPr="0008754B">
        <w:t xml:space="preserve"> and shortly before January 2023, which may be caused by data quality issues in the source data (such issues are discussed further in Section </w:t>
      </w:r>
      <w:r w:rsidR="009539DE" w:rsidRPr="0008754B">
        <w:t>7</w:t>
      </w:r>
      <w:r w:rsidR="00B10B0B" w:rsidRPr="0008754B">
        <w:t>).</w:t>
      </w:r>
    </w:p>
    <w:p w14:paraId="33275DD9" w14:textId="77777777" w:rsidR="00B10B0B" w:rsidRPr="0008754B" w:rsidRDefault="00B10B0B" w:rsidP="00B277D3">
      <w:pPr>
        <w:jc w:val="both"/>
      </w:pPr>
    </w:p>
    <w:p w14:paraId="62F4D332" w14:textId="2F03757B" w:rsidR="003628CA" w:rsidRPr="00CD64D9" w:rsidRDefault="00B10B0B" w:rsidP="00B277D3">
      <w:pPr>
        <w:jc w:val="both"/>
      </w:pPr>
      <w:proofErr w:type="gramStart"/>
      <w:r w:rsidRPr="0008754B">
        <w:t>With regard to</w:t>
      </w:r>
      <w:proofErr w:type="gramEnd"/>
      <w:r w:rsidRPr="0008754B">
        <w:t xml:space="preserve"> compartment-level accuracies, the weakest </w:t>
      </w:r>
      <w:r w:rsidR="00F8042A" w:rsidRPr="0008754B">
        <w:t>accuracy</w:t>
      </w:r>
      <w:r w:rsidRPr="0008754B">
        <w:t xml:space="preserve"> scores are for wait times </w:t>
      </w:r>
      <w:proofErr w:type="gramStart"/>
      <w:r w:rsidRPr="0008754B">
        <w:t>in excess of</w:t>
      </w:r>
      <w:proofErr w:type="gramEnd"/>
      <w:r w:rsidRPr="0008754B">
        <w:t xml:space="preserve"> 12 months (22% and 27%</w:t>
      </w:r>
      <w:r w:rsidR="00F8042A" w:rsidRPr="0008754B">
        <w:t xml:space="preserve"> MAPE</w:t>
      </w:r>
      <w:r w:rsidRPr="0008754B">
        <w:t xml:space="preserve"> respectively for the 6- and 12-month </w:t>
      </w:r>
      <w:proofErr w:type="spellStart"/>
      <w:r w:rsidRPr="0008754B">
        <w:t>backtest</w:t>
      </w:r>
      <w:proofErr w:type="spellEnd"/>
      <w:r w:rsidRPr="0008754B">
        <w:t xml:space="preserve"> windows). The reason for this </w:t>
      </w:r>
      <w:r w:rsidR="001D143C" w:rsidRPr="0008754B">
        <w:t xml:space="preserve">is that the values of both the capacity and reneging parameters have been increasing over at least the last year for this compartment (Figure 3, right-most panels). Hence, the </w:t>
      </w:r>
      <w:r w:rsidR="00B553EB" w:rsidRPr="0008754B">
        <w:t xml:space="preserve">estimated </w:t>
      </w:r>
      <w:r w:rsidR="001D143C" w:rsidRPr="0008754B">
        <w:t xml:space="preserve">model parameters are underestimating the true volumes of patients being removed from this compartment in the </w:t>
      </w:r>
      <w:proofErr w:type="spellStart"/>
      <w:r w:rsidR="001D143C" w:rsidRPr="0008754B">
        <w:t>backtest</w:t>
      </w:r>
      <w:proofErr w:type="spellEnd"/>
      <w:r w:rsidR="001D143C" w:rsidRPr="0008754B">
        <w:t xml:space="preserve"> windows, both due to higher treatment selection chances and higher reneging. This not only explains the high</w:t>
      </w:r>
      <w:r w:rsidR="00F8042A" w:rsidRPr="0008754B">
        <w:t>er</w:t>
      </w:r>
      <w:r w:rsidR="001D143C" w:rsidRPr="0008754B">
        <w:t xml:space="preserve"> </w:t>
      </w:r>
      <w:r w:rsidR="00F8042A" w:rsidRPr="0008754B">
        <w:t xml:space="preserve">error </w:t>
      </w:r>
      <w:r w:rsidR="001D143C" w:rsidRPr="0008754B">
        <w:t xml:space="preserve">scores but also why these errors associate with a serial overestimation of numbers in this compartment (Figure 4, right-most panels). </w:t>
      </w:r>
      <w:bookmarkStart w:id="10" w:name="_Hlk188367150"/>
      <w:r w:rsidR="001D143C" w:rsidRPr="0008754B">
        <w:t xml:space="preserve">One explanation </w:t>
      </w:r>
      <w:r w:rsidR="004C5227" w:rsidRPr="0008754B">
        <w:t>for</w:t>
      </w:r>
      <w:r w:rsidR="001D143C" w:rsidRPr="0008754B">
        <w:t xml:space="preserve"> the </w:t>
      </w:r>
      <w:r w:rsidR="003628CA" w:rsidRPr="0008754B">
        <w:t>increasing chance of treatment selection from the final compartment (</w:t>
      </w:r>
      <w:r w:rsidR="00BD4558" w:rsidRPr="0008754B">
        <w:t xml:space="preserve">i.e., the increasing value of the capacity parameter per the upper-right panel of </w:t>
      </w:r>
      <w:r w:rsidR="003628CA" w:rsidRPr="0008754B">
        <w:t xml:space="preserve">Figure 3) is </w:t>
      </w:r>
      <w:r w:rsidR="00BD4558" w:rsidRPr="0008754B">
        <w:t>the</w:t>
      </w:r>
      <w:r w:rsidR="003628CA" w:rsidRPr="0008754B">
        <w:t xml:space="preserve"> NHS</w:t>
      </w:r>
      <w:r w:rsidR="00BD4558" w:rsidRPr="0008754B">
        <w:t>’s</w:t>
      </w:r>
      <w:r w:rsidR="003628CA" w:rsidRPr="0008754B">
        <w:t xml:space="preserve"> efforts to reduce above</w:t>
      </w:r>
      <w:r w:rsidR="00796A0D" w:rsidRPr="0008754B">
        <w:t>-one</w:t>
      </w:r>
      <w:r w:rsidR="003628CA" w:rsidRPr="0008754B">
        <w:t xml:space="preserve">-year treatment waits, following </w:t>
      </w:r>
      <w:r w:rsidR="00BD6D83" w:rsidRPr="0008754B">
        <w:t>the publication of such guidance</w:t>
      </w:r>
      <w:r w:rsidR="003628CA" w:rsidRPr="0008754B">
        <w:t xml:space="preserve"> in February 2022 </w:t>
      </w:r>
      <w:r w:rsidR="00F559CF" w:rsidRPr="0008754B">
        <w:t>[</w:t>
      </w:r>
      <w:r w:rsidR="001B2AA0" w:rsidRPr="0008754B">
        <w:t>24</w:t>
      </w:r>
      <w:r w:rsidR="00F559CF" w:rsidRPr="0008754B">
        <w:t>]</w:t>
      </w:r>
      <w:r w:rsidR="00BD4558" w:rsidRPr="0008754B">
        <w:t>.</w:t>
      </w:r>
      <w:bookmarkEnd w:id="10"/>
    </w:p>
    <w:p w14:paraId="512FB9CA" w14:textId="77777777" w:rsidR="00B10B0B" w:rsidRPr="00CD64D9" w:rsidRDefault="00B10B0B" w:rsidP="00B277D3">
      <w:pPr>
        <w:jc w:val="both"/>
      </w:pPr>
    </w:p>
    <w:p w14:paraId="2EF74C0E" w14:textId="77777777" w:rsidR="00B10B0B" w:rsidRPr="00CD64D9" w:rsidRDefault="00B10B0B" w:rsidP="00B277D3">
      <w:pPr>
        <w:jc w:val="both"/>
      </w:pPr>
    </w:p>
    <w:p w14:paraId="602D8E79" w14:textId="77777777" w:rsidR="00B10B0B" w:rsidRPr="00CD64D9" w:rsidRDefault="00B10B0B" w:rsidP="00B277D3">
      <w:pPr>
        <w:jc w:val="both"/>
      </w:pPr>
    </w:p>
    <w:p w14:paraId="4EBFAC8B" w14:textId="22CE7CFF" w:rsidR="00B10B0B" w:rsidRPr="00CD64D9" w:rsidRDefault="00106A1D" w:rsidP="00B277D3">
      <w:pPr>
        <w:jc w:val="both"/>
      </w:pPr>
      <w:r w:rsidRPr="00CD64D9">
        <w:rPr>
          <w:noProof/>
        </w:rPr>
        <w:lastRenderedPageBreak/>
        <w:drawing>
          <wp:anchor distT="0" distB="0" distL="114300" distR="114300" simplePos="0" relativeHeight="251659264" behindDoc="0" locked="0" layoutInCell="1" allowOverlap="1" wp14:anchorId="195F63DE" wp14:editId="3EE4F82E">
            <wp:simplePos x="0" y="0"/>
            <wp:positionH relativeFrom="margin">
              <wp:align>center</wp:align>
            </wp:positionH>
            <wp:positionV relativeFrom="paragraph">
              <wp:posOffset>0</wp:posOffset>
            </wp:positionV>
            <wp:extent cx="6935470" cy="6162040"/>
            <wp:effectExtent l="0" t="0" r="0" b="0"/>
            <wp:wrapTopAndBottom/>
            <wp:docPr id="117643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5470" cy="616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B429D" w14:textId="77777777" w:rsidR="00B10B0B" w:rsidRPr="00CD64D9" w:rsidRDefault="00B10B0B" w:rsidP="00B277D3">
      <w:pPr>
        <w:jc w:val="both"/>
      </w:pPr>
    </w:p>
    <w:p w14:paraId="5E624CF8" w14:textId="4433B773" w:rsidR="00B10B0B" w:rsidRPr="00CD64D9" w:rsidRDefault="00B10B0B" w:rsidP="00B277D3">
      <w:pPr>
        <w:jc w:val="center"/>
      </w:pPr>
      <w:r w:rsidRPr="00CD64D9">
        <w:rPr>
          <w:b/>
          <w:bCs/>
        </w:rPr>
        <w:t xml:space="preserve">Figure </w:t>
      </w:r>
      <w:r w:rsidR="00E42A3C" w:rsidRPr="00CD64D9">
        <w:rPr>
          <w:b/>
          <w:bCs/>
        </w:rPr>
        <w:t>4</w:t>
      </w:r>
      <w:r w:rsidRPr="00CD64D9">
        <w:t xml:space="preserve">. </w:t>
      </w:r>
      <w:r w:rsidR="00106A1D" w:rsidRPr="00CD64D9">
        <w:t>E</w:t>
      </w:r>
      <w:r w:rsidRPr="00CD64D9">
        <w:t xml:space="preserve">rror in projected wait list size, over the most recent 6- and 12-month periods within the dataset (i.e., to December 2023 inclusive). Mean Absolute Percentage Error (MAPE) </w:t>
      </w:r>
      <w:r w:rsidR="00106A1D" w:rsidRPr="00CD64D9">
        <w:t>and Mean Absolute Error (MAE) are</w:t>
      </w:r>
      <w:r w:rsidRPr="00CD64D9">
        <w:t xml:space="preserve"> indicated in the lower-right of each figure panel. </w:t>
      </w:r>
    </w:p>
    <w:p w14:paraId="7C2FC0F9" w14:textId="77777777" w:rsidR="00B10B0B" w:rsidRPr="00CD64D9" w:rsidRDefault="00B10B0B" w:rsidP="00B277D3">
      <w:pPr>
        <w:jc w:val="both"/>
      </w:pPr>
    </w:p>
    <w:p w14:paraId="34FEB480" w14:textId="77777777" w:rsidR="00B10B0B" w:rsidRPr="00CD64D9" w:rsidRDefault="00B10B0B" w:rsidP="00B277D3">
      <w:pPr>
        <w:jc w:val="both"/>
      </w:pPr>
    </w:p>
    <w:p w14:paraId="4F7EDF33" w14:textId="77777777" w:rsidR="00B10B0B" w:rsidRPr="00CD64D9" w:rsidRDefault="00B10B0B" w:rsidP="00B277D3">
      <w:pPr>
        <w:jc w:val="both"/>
      </w:pPr>
    </w:p>
    <w:p w14:paraId="2A2992C0" w14:textId="77777777" w:rsidR="009539DE" w:rsidRPr="00CD64D9" w:rsidRDefault="009539DE" w:rsidP="00B277D3">
      <w:pPr>
        <w:jc w:val="both"/>
      </w:pPr>
    </w:p>
    <w:p w14:paraId="73191DF7" w14:textId="6DE3D659" w:rsidR="00B10B0B" w:rsidRPr="00CD64D9" w:rsidRDefault="00B10B0B" w:rsidP="00B277D3">
      <w:pPr>
        <w:jc w:val="both"/>
        <w:rPr>
          <w:b/>
          <w:bCs/>
        </w:rPr>
      </w:pPr>
      <w:r w:rsidRPr="00CD64D9">
        <w:rPr>
          <w:b/>
          <w:bCs/>
        </w:rPr>
        <w:t>6. Scenario analysis</w:t>
      </w:r>
    </w:p>
    <w:p w14:paraId="29CF36A4" w14:textId="0D700773" w:rsidR="00223506" w:rsidRPr="00CD64D9" w:rsidRDefault="00223506" w:rsidP="00B277D3">
      <w:pPr>
        <w:jc w:val="both"/>
      </w:pPr>
    </w:p>
    <w:p w14:paraId="643A931C" w14:textId="50DED181" w:rsidR="00B10B0B" w:rsidRPr="00CD64D9" w:rsidRDefault="00A40BE4" w:rsidP="00B277D3">
      <w:pPr>
        <w:jc w:val="both"/>
      </w:pPr>
      <w:r w:rsidRPr="00CD64D9">
        <w:t xml:space="preserve">In this section we continue to use the example application described in </w:t>
      </w:r>
      <w:r w:rsidR="007F4C13" w:rsidRPr="00CD64D9">
        <w:t>S</w:t>
      </w:r>
      <w:r w:rsidRPr="00CD64D9">
        <w:t>ection 4 to demonstrate the potential of the compartmental modelling methodology to make projections of future waiting lists</w:t>
      </w:r>
      <w:r w:rsidR="00120437" w:rsidRPr="00CD64D9">
        <w:t xml:space="preserve"> and waiting times for a </w:t>
      </w:r>
      <w:r w:rsidR="00796A0D" w:rsidRPr="00CD64D9">
        <w:t>set</w:t>
      </w:r>
      <w:r w:rsidR="00120437" w:rsidRPr="00CD64D9">
        <w:t xml:space="preserve"> of example scenarios.</w:t>
      </w:r>
    </w:p>
    <w:p w14:paraId="6819FE86" w14:textId="77777777" w:rsidR="007F4C13" w:rsidRPr="00CD64D9" w:rsidRDefault="007F4C13" w:rsidP="00B277D3">
      <w:pPr>
        <w:jc w:val="both"/>
      </w:pPr>
    </w:p>
    <w:p w14:paraId="023BE407" w14:textId="77777777" w:rsidR="007F4C13" w:rsidRPr="00CD64D9" w:rsidRDefault="007F4C13" w:rsidP="00B277D3">
      <w:pPr>
        <w:jc w:val="both"/>
      </w:pPr>
    </w:p>
    <w:p w14:paraId="06DC6D2A" w14:textId="4B63CF79" w:rsidR="00B10B0B" w:rsidRPr="00CD64D9" w:rsidRDefault="00B10B0B" w:rsidP="00B277D3">
      <w:pPr>
        <w:jc w:val="both"/>
        <w:rPr>
          <w:b/>
          <w:bCs/>
          <w:i/>
          <w:iCs/>
        </w:rPr>
      </w:pPr>
      <w:r w:rsidRPr="00CD64D9">
        <w:rPr>
          <w:b/>
          <w:bCs/>
          <w:i/>
          <w:iCs/>
        </w:rPr>
        <w:lastRenderedPageBreak/>
        <w:t>6.1 Scenarios</w:t>
      </w:r>
    </w:p>
    <w:p w14:paraId="36E05DDC" w14:textId="77777777" w:rsidR="00B10B0B" w:rsidRPr="00CD64D9" w:rsidRDefault="00B10B0B" w:rsidP="00B277D3">
      <w:pPr>
        <w:jc w:val="both"/>
      </w:pPr>
    </w:p>
    <w:p w14:paraId="0D15563C" w14:textId="78637227" w:rsidR="004650AA" w:rsidRPr="00CD64D9" w:rsidRDefault="009F649B" w:rsidP="00B277D3">
      <w:pPr>
        <w:jc w:val="both"/>
      </w:pPr>
      <w:r w:rsidRPr="00CD64D9">
        <w:t>The model makes predictions based on s</w:t>
      </w:r>
      <w:r w:rsidR="00383D17" w:rsidRPr="00CD64D9">
        <w:t xml:space="preserve">cenarios defined in terms of future monthly </w:t>
      </w:r>
      <w:r w:rsidR="004650AA" w:rsidRPr="00CD64D9">
        <w:t>values of</w:t>
      </w:r>
      <w:r w:rsidR="00383D17" w:rsidRPr="00CD64D9">
        <w:t xml:space="preserve"> new referrals</w:t>
      </w:r>
      <w:r w:rsidR="004650AA" w:rsidRPr="00CD64D9">
        <w:t xml:space="preserve">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oMath>
      <w:r w:rsidR="004650AA" w:rsidRPr="00CD64D9">
        <w:t xml:space="preserve"> and treatment capacit</w:t>
      </w:r>
      <w:r w:rsidR="00F83009" w:rsidRPr="00CD64D9">
        <w:t>ies</w:t>
      </w:r>
      <w:r w:rsidR="004650AA" w:rsidRPr="00CD64D9">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t</m:t>
            </m:r>
          </m:e>
        </m:d>
      </m:oMath>
      <w:r w:rsidR="00475A5C" w:rsidRPr="00CD64D9">
        <w:t xml:space="preserve"> where </w:t>
      </w:r>
      <m:oMath>
        <m:r>
          <w:rPr>
            <w:rFonts w:ascii="Cambria Math" w:eastAsiaTheme="minorEastAsia" w:hAnsi="Cambria Math"/>
          </w:rPr>
          <m:t>t&gt;T</m:t>
        </m:r>
      </m:oMath>
      <w:r w:rsidR="00475A5C" w:rsidRPr="00CD64D9">
        <w:rPr>
          <w:rFonts w:eastAsiaTheme="minorEastAsia"/>
        </w:rPr>
        <w:t xml:space="preserve">. These </w:t>
      </w:r>
      <w:r w:rsidR="00ED3202" w:rsidRPr="00CD64D9">
        <w:rPr>
          <w:rFonts w:eastAsiaTheme="minorEastAsia"/>
        </w:rPr>
        <w:t>values can be</w:t>
      </w:r>
      <w:r w:rsidR="00475A5C" w:rsidRPr="00CD64D9">
        <w:rPr>
          <w:rFonts w:eastAsiaTheme="minorEastAsia"/>
        </w:rPr>
        <w:t xml:space="preserve"> </w:t>
      </w:r>
      <w:r w:rsidR="00ED3202" w:rsidRPr="00CD64D9">
        <w:rPr>
          <w:rFonts w:eastAsiaTheme="minorEastAsia"/>
        </w:rPr>
        <w:t xml:space="preserve">forecast into the future based on historical data for these variables. Specifically, 24-month forecasts are obtained </w:t>
      </w:r>
      <w:r w:rsidR="00475A5C" w:rsidRPr="00CD64D9">
        <w:rPr>
          <w:rFonts w:eastAsiaTheme="minorEastAsia"/>
        </w:rPr>
        <w:t>through</w:t>
      </w:r>
      <w:r w:rsidRPr="00CD64D9">
        <w:rPr>
          <w:rFonts w:eastAsiaTheme="minorEastAsia"/>
        </w:rPr>
        <w:t xml:space="preserve"> application</w:t>
      </w:r>
      <w:r w:rsidR="00475A5C" w:rsidRPr="00CD64D9">
        <w:rPr>
          <w:rFonts w:eastAsiaTheme="minorEastAsia"/>
        </w:rPr>
        <w:t xml:space="preserve"> of the TBATS forecasting model</w:t>
      </w:r>
      <w:r w:rsidRPr="00CD64D9">
        <w:rPr>
          <w:rFonts w:eastAsiaTheme="minorEastAsia"/>
        </w:rPr>
        <w:t xml:space="preserve"> </w:t>
      </w:r>
      <w:r w:rsidR="00F559CF" w:rsidRPr="00CD64D9">
        <w:rPr>
          <w:rFonts w:eastAsiaTheme="minorEastAsia"/>
        </w:rPr>
        <w:t>[</w:t>
      </w:r>
      <w:r w:rsidR="001B2AA0" w:rsidRPr="00CD64D9">
        <w:t>25</w:t>
      </w:r>
      <w:r w:rsidR="00F559CF" w:rsidRPr="00CD64D9">
        <w:rPr>
          <w:rFonts w:eastAsiaTheme="minorEastAsia"/>
        </w:rPr>
        <w:t>]</w:t>
      </w:r>
      <w:r w:rsidRPr="00CD64D9">
        <w:rPr>
          <w:rFonts w:eastAsiaTheme="minorEastAsia"/>
        </w:rPr>
        <w:t xml:space="preserve"> to the past 24 months actual data for these variables</w:t>
      </w:r>
      <w:r w:rsidR="00475A5C" w:rsidRPr="00CD64D9">
        <w:rPr>
          <w:rFonts w:eastAsiaTheme="minorEastAsia"/>
        </w:rPr>
        <w:t>.</w:t>
      </w:r>
    </w:p>
    <w:p w14:paraId="5A662323" w14:textId="77777777" w:rsidR="004650AA" w:rsidRPr="00CD64D9" w:rsidRDefault="004650AA" w:rsidP="00B277D3">
      <w:pPr>
        <w:jc w:val="both"/>
      </w:pPr>
    </w:p>
    <w:p w14:paraId="77A72596" w14:textId="1FD31503" w:rsidR="00FE2077" w:rsidRPr="00CD64D9" w:rsidRDefault="00FE2077" w:rsidP="00B277D3">
      <w:pPr>
        <w:jc w:val="both"/>
      </w:pPr>
      <w:r w:rsidRPr="00CD64D9">
        <w:t>Forecasts, on application to the total national wait</w:t>
      </w:r>
      <w:r w:rsidR="00B11EB0" w:rsidRPr="00CD64D9">
        <w:t xml:space="preserve">ing </w:t>
      </w:r>
      <w:r w:rsidRPr="00CD64D9">
        <w:t xml:space="preserve">list (i.e., the modelling granularity considered here, as mentioned in Section </w:t>
      </w:r>
      <w:r w:rsidR="004009F8" w:rsidRPr="00CD64D9">
        <w:t>4</w:t>
      </w:r>
      <w:r w:rsidRPr="00CD64D9">
        <w:t xml:space="preserve">), are provided in Figure </w:t>
      </w:r>
      <w:r w:rsidR="009539DE" w:rsidRPr="00CD64D9">
        <w:t>5</w:t>
      </w:r>
      <w:r w:rsidRPr="00CD64D9">
        <w:t xml:space="preserve">. </w:t>
      </w:r>
      <w:r w:rsidR="00CE6952" w:rsidRPr="00CD64D9">
        <w:t xml:space="preserve">As can be seen, </w:t>
      </w:r>
      <w:r w:rsidR="00304FFB" w:rsidRPr="00CD64D9">
        <w:t>sufficient evidence of</w:t>
      </w:r>
      <w:r w:rsidR="00CE6952" w:rsidRPr="00CD64D9">
        <w:t xml:space="preserve"> trend</w:t>
      </w:r>
      <w:r w:rsidR="00304FFB" w:rsidRPr="00CD64D9">
        <w:t xml:space="preserve"> and seasonal variation</w:t>
      </w:r>
      <w:r w:rsidR="00CE6952" w:rsidRPr="00CD64D9">
        <w:t xml:space="preserve"> was detected </w:t>
      </w:r>
      <w:r w:rsidR="00F83009" w:rsidRPr="00CD64D9">
        <w:t xml:space="preserve">in </w:t>
      </w:r>
      <w:r w:rsidR="005952FD" w:rsidRPr="00CD64D9">
        <w:t>treatment capacit</w:t>
      </w:r>
      <w:r w:rsidR="00F83009" w:rsidRPr="00CD64D9">
        <w:t>ies</w:t>
      </w:r>
      <w:r w:rsidR="005952FD" w:rsidRPr="00CD64D9">
        <w:t xml:space="preserve"> </w:t>
      </w:r>
      <w:r w:rsidRPr="00CD64D9">
        <w:t xml:space="preserve">but not </w:t>
      </w:r>
      <w:r w:rsidR="005952FD" w:rsidRPr="00CD64D9">
        <w:t>referrals</w:t>
      </w:r>
      <w:r w:rsidRPr="00CD64D9">
        <w:t xml:space="preserve">. </w:t>
      </w:r>
      <w:r w:rsidR="00304FFB" w:rsidRPr="00CD64D9">
        <w:t>Results for a</w:t>
      </w:r>
      <w:r w:rsidRPr="00CD64D9">
        <w:t xml:space="preserve"> total of nine scenarios are </w:t>
      </w:r>
      <w:r w:rsidR="008B1A82" w:rsidRPr="00CD64D9">
        <w:t xml:space="preserve">modelled and </w:t>
      </w:r>
      <w:r w:rsidR="00F83009" w:rsidRPr="00CD64D9">
        <w:t xml:space="preserve">presented in </w:t>
      </w:r>
      <w:r w:rsidR="00CE6952" w:rsidRPr="00CD64D9">
        <w:t>S</w:t>
      </w:r>
      <w:r w:rsidR="00F83009" w:rsidRPr="00CD64D9">
        <w:t>ection 6.2</w:t>
      </w:r>
      <w:r w:rsidRPr="00CD64D9">
        <w:t>, based on combinations</w:t>
      </w:r>
      <w:r w:rsidR="00304FFB" w:rsidRPr="00CD64D9">
        <w:t xml:space="preserve"> of the </w:t>
      </w:r>
      <w:r w:rsidRPr="00CD64D9">
        <w:t>central estimates</w:t>
      </w:r>
      <w:r w:rsidR="00B04575" w:rsidRPr="00CD64D9">
        <w:t xml:space="preserve"> (‘expected’ scenarios)</w:t>
      </w:r>
      <w:r w:rsidRPr="00CD64D9">
        <w:t xml:space="preserve"> and upper </w:t>
      </w:r>
      <w:r w:rsidR="00B04575" w:rsidRPr="00CD64D9">
        <w:t xml:space="preserve">(‘high’ scenarios) </w:t>
      </w:r>
      <w:r w:rsidRPr="00CD64D9">
        <w:t xml:space="preserve">and lower </w:t>
      </w:r>
      <w:r w:rsidR="00B04575" w:rsidRPr="00CD64D9">
        <w:t xml:space="preserve">(‘low’ scenarios) </w:t>
      </w:r>
      <w:r w:rsidR="00402F4B" w:rsidRPr="00CD64D9">
        <w:t xml:space="preserve">80% </w:t>
      </w:r>
      <w:r w:rsidR="002074D1">
        <w:t>prediction</w:t>
      </w:r>
      <w:r w:rsidRPr="00CD64D9">
        <w:t xml:space="preserve"> limits</w:t>
      </w:r>
      <w:r w:rsidR="00304FFB" w:rsidRPr="00CD64D9">
        <w:t xml:space="preserve"> for the referrals and treatment capacity forecasts</w:t>
      </w:r>
      <w:r w:rsidRPr="00CD64D9">
        <w:t xml:space="preserve">. </w:t>
      </w:r>
    </w:p>
    <w:p w14:paraId="3B3EF834" w14:textId="77777777" w:rsidR="00CD773F" w:rsidRPr="00CD64D9" w:rsidRDefault="00CD773F" w:rsidP="00B277D3">
      <w:pPr>
        <w:jc w:val="both"/>
      </w:pPr>
    </w:p>
    <w:p w14:paraId="4362E467" w14:textId="77777777" w:rsidR="00304FFB" w:rsidRPr="00CD64D9" w:rsidRDefault="00304FFB" w:rsidP="00B277D3">
      <w:pPr>
        <w:jc w:val="both"/>
      </w:pPr>
    </w:p>
    <w:p w14:paraId="0AABCD91" w14:textId="049AB4D2" w:rsidR="00CD773F" w:rsidRPr="00CD64D9" w:rsidRDefault="00CD773F" w:rsidP="00B277D3">
      <w:pPr>
        <w:jc w:val="center"/>
        <w:rPr>
          <w:noProof/>
        </w:rPr>
      </w:pPr>
    </w:p>
    <w:p w14:paraId="28AE26FB" w14:textId="191574E0" w:rsidR="00106A1D" w:rsidRPr="00CD64D9" w:rsidRDefault="00106A1D" w:rsidP="00B277D3">
      <w:pPr>
        <w:jc w:val="center"/>
        <w:rPr>
          <w:noProof/>
        </w:rPr>
      </w:pPr>
      <w:r w:rsidRPr="00CD64D9">
        <w:rPr>
          <w:noProof/>
        </w:rPr>
        <w:drawing>
          <wp:inline distT="0" distB="0" distL="0" distR="0" wp14:anchorId="075AB0F5" wp14:editId="707E9F37">
            <wp:extent cx="5158596" cy="2579298"/>
            <wp:effectExtent l="0" t="0" r="4445" b="0"/>
            <wp:docPr id="200519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5956" cy="2582978"/>
                    </a:xfrm>
                    <a:prstGeom prst="rect">
                      <a:avLst/>
                    </a:prstGeom>
                    <a:noFill/>
                    <a:ln>
                      <a:noFill/>
                    </a:ln>
                  </pic:spPr>
                </pic:pic>
              </a:graphicData>
            </a:graphic>
          </wp:inline>
        </w:drawing>
      </w:r>
    </w:p>
    <w:p w14:paraId="37D14EAE" w14:textId="77777777" w:rsidR="00106A1D" w:rsidRPr="00CD64D9" w:rsidRDefault="00106A1D" w:rsidP="00B277D3">
      <w:pPr>
        <w:jc w:val="center"/>
      </w:pPr>
    </w:p>
    <w:p w14:paraId="34193A83" w14:textId="77777777" w:rsidR="00FE095B" w:rsidRPr="00CD64D9" w:rsidRDefault="00FE095B" w:rsidP="00B277D3">
      <w:pPr>
        <w:jc w:val="center"/>
        <w:rPr>
          <w:b/>
          <w:bCs/>
        </w:rPr>
      </w:pPr>
    </w:p>
    <w:p w14:paraId="7868044E" w14:textId="5E466337" w:rsidR="00FE2077" w:rsidRPr="00CD64D9" w:rsidRDefault="00FE095B" w:rsidP="00B277D3">
      <w:pPr>
        <w:jc w:val="center"/>
      </w:pPr>
      <w:r w:rsidRPr="00CD64D9">
        <w:rPr>
          <w:b/>
          <w:bCs/>
        </w:rPr>
        <w:t xml:space="preserve">Figure </w:t>
      </w:r>
      <w:r w:rsidR="009539DE" w:rsidRPr="00CD64D9">
        <w:rPr>
          <w:b/>
          <w:bCs/>
        </w:rPr>
        <w:t>5</w:t>
      </w:r>
      <w:r w:rsidRPr="00CD64D9">
        <w:t xml:space="preserve">. </w:t>
      </w:r>
      <w:r w:rsidR="00FE2077" w:rsidRPr="00CD64D9">
        <w:t>Forecasted new referrals and treatment capacity by TBATS method, showing the</w:t>
      </w:r>
      <w:r w:rsidR="00B04575" w:rsidRPr="00CD64D9">
        <w:t xml:space="preserve"> projections </w:t>
      </w:r>
      <w:r w:rsidR="00402F4B" w:rsidRPr="00CD64D9">
        <w:t>on</w:t>
      </w:r>
      <w:r w:rsidR="00B04575" w:rsidRPr="00CD64D9">
        <w:t xml:space="preserve"> which the </w:t>
      </w:r>
      <w:r w:rsidR="008B1A82" w:rsidRPr="00CD64D9">
        <w:t xml:space="preserve">nine </w:t>
      </w:r>
      <w:r w:rsidR="00B04575" w:rsidRPr="00CD64D9">
        <w:t>scenarios are based:</w:t>
      </w:r>
      <w:r w:rsidR="00FE2077" w:rsidRPr="00CD64D9">
        <w:t xml:space="preserve"> central estimate (solid line</w:t>
      </w:r>
      <w:r w:rsidR="00B04575" w:rsidRPr="00CD64D9">
        <w:t>, ‘expected’ scenarios</w:t>
      </w:r>
      <w:r w:rsidR="00FE2077" w:rsidRPr="00CD64D9">
        <w:t xml:space="preserve">) and 80% upper </w:t>
      </w:r>
      <w:r w:rsidR="00B04575" w:rsidRPr="00CD64D9">
        <w:t xml:space="preserve">(‘high’ scenarios) </w:t>
      </w:r>
      <w:r w:rsidR="00FE2077" w:rsidRPr="00CD64D9">
        <w:t>and lower</w:t>
      </w:r>
      <w:r w:rsidR="00B04575" w:rsidRPr="00CD64D9">
        <w:t xml:space="preserve"> (‘low’ scenarios)</w:t>
      </w:r>
      <w:r w:rsidR="00FE2077" w:rsidRPr="00CD64D9">
        <w:t xml:space="preserve"> </w:t>
      </w:r>
      <w:r w:rsidR="002074D1">
        <w:t>prediction</w:t>
      </w:r>
      <w:r w:rsidR="00FE2077" w:rsidRPr="00CD64D9">
        <w:t xml:space="preserve"> limits (dotted lines).</w:t>
      </w:r>
      <w:r w:rsidR="006B775F" w:rsidRPr="00CD64D9">
        <w:t xml:space="preserve"> </w:t>
      </w:r>
      <w:r w:rsidR="00A42AAF" w:rsidRPr="00CD64D9">
        <w:t>The actual data is to</w:t>
      </w:r>
      <w:r w:rsidR="006B775F" w:rsidRPr="00CD64D9">
        <w:t xml:space="preserve"> the left of the vertical line.</w:t>
      </w:r>
    </w:p>
    <w:p w14:paraId="6D45FA66" w14:textId="77777777" w:rsidR="00FE2077" w:rsidRPr="00CD64D9" w:rsidRDefault="00FE2077" w:rsidP="00B277D3">
      <w:pPr>
        <w:jc w:val="center"/>
      </w:pPr>
    </w:p>
    <w:p w14:paraId="5F63C7E6" w14:textId="77777777" w:rsidR="008C62E6" w:rsidRPr="00CD64D9" w:rsidRDefault="008C62E6" w:rsidP="00B277D3">
      <w:pPr>
        <w:jc w:val="both"/>
      </w:pPr>
    </w:p>
    <w:p w14:paraId="3EF1415B" w14:textId="48651AB9" w:rsidR="007C66FD" w:rsidRPr="00CD64D9" w:rsidRDefault="007C66FD" w:rsidP="00B277D3">
      <w:pPr>
        <w:jc w:val="both"/>
      </w:pPr>
    </w:p>
    <w:p w14:paraId="690043ED" w14:textId="6471AC4E" w:rsidR="00B10B0B" w:rsidRPr="00CD64D9" w:rsidRDefault="00B10B0B" w:rsidP="00B277D3">
      <w:pPr>
        <w:rPr>
          <w:b/>
          <w:bCs/>
          <w:i/>
          <w:iCs/>
        </w:rPr>
      </w:pPr>
      <w:r w:rsidRPr="00CD64D9">
        <w:rPr>
          <w:b/>
          <w:bCs/>
          <w:i/>
          <w:iCs/>
        </w:rPr>
        <w:t>6</w:t>
      </w:r>
      <w:r w:rsidR="00223506" w:rsidRPr="00CD64D9">
        <w:rPr>
          <w:b/>
          <w:bCs/>
          <w:i/>
          <w:iCs/>
        </w:rPr>
        <w:t>.</w:t>
      </w:r>
      <w:r w:rsidRPr="00CD64D9">
        <w:rPr>
          <w:b/>
          <w:bCs/>
          <w:i/>
          <w:iCs/>
        </w:rPr>
        <w:t>2</w:t>
      </w:r>
      <w:r w:rsidR="00223506" w:rsidRPr="00CD64D9">
        <w:rPr>
          <w:b/>
          <w:bCs/>
          <w:i/>
          <w:iCs/>
        </w:rPr>
        <w:t xml:space="preserve"> Results</w:t>
      </w:r>
    </w:p>
    <w:p w14:paraId="4D1EC01D" w14:textId="77777777" w:rsidR="00B10B0B" w:rsidRPr="00CD64D9" w:rsidRDefault="00B10B0B" w:rsidP="00B277D3">
      <w:pPr>
        <w:rPr>
          <w:b/>
          <w:bCs/>
        </w:rPr>
      </w:pPr>
    </w:p>
    <w:p w14:paraId="1F214218" w14:textId="1ADFCB4F" w:rsidR="00224550" w:rsidRPr="00CD64D9" w:rsidRDefault="00F3467E" w:rsidP="00B277D3">
      <w:pPr>
        <w:jc w:val="both"/>
      </w:pPr>
      <w:r w:rsidRPr="00CD64D9">
        <w:t>Modelled results</w:t>
      </w:r>
      <w:r w:rsidR="000017F6" w:rsidRPr="00CD64D9">
        <w:t xml:space="preserve"> for the nine scenarios </w:t>
      </w:r>
      <w:r w:rsidRPr="00CD64D9">
        <w:t xml:space="preserve">are provided in Figure </w:t>
      </w:r>
      <w:r w:rsidR="009539DE" w:rsidRPr="00CD64D9">
        <w:t>6</w:t>
      </w:r>
      <w:r w:rsidR="008A7DCF" w:rsidRPr="00CD64D9">
        <w:t xml:space="preserve"> showing total waiting list size</w:t>
      </w:r>
      <w:r w:rsidRPr="00CD64D9">
        <w:t xml:space="preserve"> </w:t>
      </w:r>
      <w:r w:rsidR="008A7DCF" w:rsidRPr="00CD64D9">
        <w:t xml:space="preserve">and waiting time compartment sizes </w:t>
      </w:r>
      <w:r w:rsidRPr="00CD64D9">
        <w:t>for the 24-month projection horizon</w:t>
      </w:r>
      <w:r w:rsidR="000017F6" w:rsidRPr="00CD64D9">
        <w:t>.</w:t>
      </w:r>
      <w:r w:rsidRPr="00CD64D9">
        <w:t xml:space="preserve"> </w:t>
      </w:r>
      <w:r w:rsidR="008A7DCF" w:rsidRPr="00CD64D9">
        <w:t>T</w:t>
      </w:r>
      <w:r w:rsidRPr="00CD64D9">
        <w:t>he effect</w:t>
      </w:r>
      <w:r w:rsidR="008A7DCF" w:rsidRPr="00CD64D9">
        <w:t>s</w:t>
      </w:r>
      <w:r w:rsidRPr="00CD64D9">
        <w:t xml:space="preserve"> of the mo</w:t>
      </w:r>
      <w:r w:rsidR="009D0A1B" w:rsidRPr="00CD64D9">
        <w:t>st</w:t>
      </w:r>
      <w:r w:rsidRPr="00CD64D9">
        <w:t xml:space="preserve"> </w:t>
      </w:r>
      <w:r w:rsidR="000017F6" w:rsidRPr="00CD64D9">
        <w:t>extreme</w:t>
      </w:r>
      <w:r w:rsidRPr="00CD64D9">
        <w:t xml:space="preserve"> scenarios – i.e., high referrals and low capacity (</w:t>
      </w:r>
      <w:r w:rsidR="002B55C5" w:rsidRPr="00CD64D9">
        <w:t>red dotted lines</w:t>
      </w:r>
      <w:r w:rsidRPr="00CD64D9">
        <w:t>) or low referrals and high capacity (</w:t>
      </w:r>
      <w:r w:rsidR="002B55C5" w:rsidRPr="00CD64D9">
        <w:t>green solid</w:t>
      </w:r>
      <w:r w:rsidRPr="00CD64D9">
        <w:t xml:space="preserve"> lines)</w:t>
      </w:r>
      <w:r w:rsidR="008A7DCF" w:rsidRPr="00CD64D9">
        <w:t xml:space="preserve"> can be seen in all the graphs</w:t>
      </w:r>
      <w:r w:rsidR="00953A59" w:rsidRPr="00CD64D9">
        <w:t>, with the</w:t>
      </w:r>
      <w:r w:rsidRPr="00CD64D9">
        <w:t xml:space="preserve"> mo</w:t>
      </w:r>
      <w:r w:rsidR="00953A59" w:rsidRPr="00CD64D9">
        <w:t>re</w:t>
      </w:r>
      <w:r w:rsidRPr="00CD64D9">
        <w:t xml:space="preserve"> immediate</w:t>
      </w:r>
      <w:r w:rsidR="00953A59" w:rsidRPr="00CD64D9">
        <w:t xml:space="preserve"> impacts on </w:t>
      </w:r>
      <w:r w:rsidRPr="00CD64D9">
        <w:t xml:space="preserve">the </w:t>
      </w:r>
      <w:r w:rsidR="009C5F58" w:rsidRPr="00CD64D9">
        <w:t>compartments</w:t>
      </w:r>
      <w:r w:rsidRPr="00CD64D9">
        <w:t xml:space="preserve"> representing lower wait times. This stands to reason</w:t>
      </w:r>
      <w:r w:rsidR="00224550" w:rsidRPr="00CD64D9">
        <w:t xml:space="preserve"> as</w:t>
      </w:r>
      <w:r w:rsidR="009276F9" w:rsidRPr="00CD64D9">
        <w:t xml:space="preserve"> </w:t>
      </w:r>
      <w:r w:rsidR="00224550" w:rsidRPr="00CD64D9">
        <w:t>any new referrals will</w:t>
      </w:r>
      <w:r w:rsidR="009D0A1B" w:rsidRPr="00CD64D9">
        <w:t xml:space="preserve"> first increase</w:t>
      </w:r>
      <w:r w:rsidR="00BF4484" w:rsidRPr="00CD64D9">
        <w:t xml:space="preserve"> the</w:t>
      </w:r>
      <w:r w:rsidR="009D0A1B" w:rsidRPr="00CD64D9">
        <w:t xml:space="preserve"> numbers of patients in the shorter waiting time compartments before possibly moving on to the longer waiting time compartments.</w:t>
      </w:r>
      <w:r w:rsidR="00224550" w:rsidRPr="00CD64D9">
        <w:t xml:space="preserve"> Results show that meeting the different levels of referrals and capacity </w:t>
      </w:r>
      <w:r w:rsidR="00796A0D" w:rsidRPr="00CD64D9">
        <w:t>could</w:t>
      </w:r>
      <w:r w:rsidR="00224550" w:rsidRPr="00CD64D9">
        <w:t xml:space="preserve"> have a significant impact on the </w:t>
      </w:r>
      <w:r w:rsidR="009D0A1B" w:rsidRPr="00CD64D9">
        <w:t xml:space="preserve">total </w:t>
      </w:r>
      <w:r w:rsidR="00224550" w:rsidRPr="00CD64D9">
        <w:t>wait list</w:t>
      </w:r>
      <w:r w:rsidR="009D0A1B" w:rsidRPr="00CD64D9">
        <w:t xml:space="preserve"> and it</w:t>
      </w:r>
      <w:r w:rsidR="009E0687" w:rsidRPr="00CD64D9">
        <w:t>s</w:t>
      </w:r>
      <w:r w:rsidR="009D0A1B" w:rsidRPr="00CD64D9">
        <w:t xml:space="preserve"> </w:t>
      </w:r>
      <w:r w:rsidR="009E0687" w:rsidRPr="00CD64D9">
        <w:t>composition</w:t>
      </w:r>
      <w:r w:rsidR="00224550" w:rsidRPr="00CD64D9">
        <w:t xml:space="preserve">. </w:t>
      </w:r>
      <w:r w:rsidR="0090762F" w:rsidRPr="00CD64D9">
        <w:t>T</w:t>
      </w:r>
      <w:r w:rsidR="00224550" w:rsidRPr="00CD64D9">
        <w:t xml:space="preserve">he total wait list could fall to </w:t>
      </w:r>
      <w:r w:rsidR="00B2379E" w:rsidRPr="00CD64D9">
        <w:t>1.26</w:t>
      </w:r>
      <w:r w:rsidR="003E1CB1" w:rsidRPr="00CD64D9">
        <w:t>m</w:t>
      </w:r>
      <w:r w:rsidR="00096F8E" w:rsidRPr="00CD64D9">
        <w:t xml:space="preserve"> </w:t>
      </w:r>
      <w:r w:rsidR="00224550" w:rsidRPr="00CD64D9">
        <w:t xml:space="preserve">under the most optimistic scenario and could rise to </w:t>
      </w:r>
      <w:r w:rsidR="00B2379E" w:rsidRPr="00CD64D9">
        <w:t>8.51m</w:t>
      </w:r>
      <w:r w:rsidR="00224550" w:rsidRPr="00CD64D9">
        <w:t xml:space="preserve"> under the most pessimistic scenario, by the end of the two-year projection period.</w:t>
      </w:r>
    </w:p>
    <w:p w14:paraId="603E3442" w14:textId="77777777" w:rsidR="0063799A" w:rsidRPr="00CD64D9" w:rsidRDefault="0063799A" w:rsidP="00B277D3">
      <w:pPr>
        <w:jc w:val="both"/>
      </w:pPr>
    </w:p>
    <w:p w14:paraId="61DC27EF" w14:textId="77777777" w:rsidR="008916D4" w:rsidRPr="00CD64D9" w:rsidRDefault="008916D4" w:rsidP="00B277D3">
      <w:pPr>
        <w:jc w:val="both"/>
      </w:pPr>
    </w:p>
    <w:p w14:paraId="6C7C5C4D" w14:textId="6D889F19" w:rsidR="00FE6079" w:rsidRPr="00CD64D9" w:rsidRDefault="00106A1D" w:rsidP="00B277D3">
      <w:pPr>
        <w:jc w:val="center"/>
      </w:pPr>
      <w:r w:rsidRPr="00CD64D9">
        <w:rPr>
          <w:noProof/>
        </w:rPr>
        <w:lastRenderedPageBreak/>
        <w:drawing>
          <wp:anchor distT="0" distB="0" distL="114300" distR="114300" simplePos="0" relativeHeight="251660288" behindDoc="0" locked="0" layoutInCell="1" allowOverlap="1" wp14:anchorId="73CAA1F6" wp14:editId="50FB04A4">
            <wp:simplePos x="0" y="0"/>
            <wp:positionH relativeFrom="margin">
              <wp:align>center</wp:align>
            </wp:positionH>
            <wp:positionV relativeFrom="paragraph">
              <wp:posOffset>0</wp:posOffset>
            </wp:positionV>
            <wp:extent cx="6092190" cy="5330825"/>
            <wp:effectExtent l="0" t="0" r="3810" b="3175"/>
            <wp:wrapTopAndBottom/>
            <wp:docPr id="398254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2190" cy="5330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55226C" w14:textId="77777777" w:rsidR="005515FF" w:rsidRPr="00CD64D9" w:rsidRDefault="005515FF" w:rsidP="00B277D3">
      <w:pPr>
        <w:jc w:val="both"/>
      </w:pPr>
    </w:p>
    <w:p w14:paraId="366272E8" w14:textId="6251F1CA" w:rsidR="005515FF" w:rsidRPr="00CD64D9" w:rsidRDefault="005515FF" w:rsidP="00B277D3">
      <w:pPr>
        <w:jc w:val="center"/>
      </w:pPr>
      <w:r w:rsidRPr="00CD64D9">
        <w:rPr>
          <w:b/>
          <w:bCs/>
        </w:rPr>
        <w:t xml:space="preserve">Figure </w:t>
      </w:r>
      <w:r w:rsidR="009539DE" w:rsidRPr="00CD64D9">
        <w:rPr>
          <w:b/>
          <w:bCs/>
        </w:rPr>
        <w:t>6</w:t>
      </w:r>
      <w:r w:rsidRPr="00CD64D9">
        <w:t xml:space="preserve">. </w:t>
      </w:r>
      <w:r w:rsidR="00154249" w:rsidRPr="00CD64D9">
        <w:t>Projected national wait list size for England over all specialties</w:t>
      </w:r>
      <w:r w:rsidR="000017F6" w:rsidRPr="00CD64D9">
        <w:t xml:space="preserve"> for</w:t>
      </w:r>
      <w:r w:rsidR="009E0687" w:rsidRPr="00CD64D9">
        <w:t xml:space="preserve"> the</w:t>
      </w:r>
      <w:r w:rsidR="000017F6" w:rsidRPr="00CD64D9">
        <w:t xml:space="preserve"> nine </w:t>
      </w:r>
      <w:r w:rsidR="009E0687" w:rsidRPr="00CD64D9">
        <w:t xml:space="preserve">considered </w:t>
      </w:r>
      <w:r w:rsidR="000017F6" w:rsidRPr="00CD64D9">
        <w:t>scenarios</w:t>
      </w:r>
      <w:r w:rsidRPr="00CD64D9">
        <w:t>.</w:t>
      </w:r>
    </w:p>
    <w:p w14:paraId="3BA74B5F" w14:textId="77777777" w:rsidR="0063799A" w:rsidRPr="00CD64D9" w:rsidRDefault="0063799A" w:rsidP="00B277D3">
      <w:pPr>
        <w:jc w:val="both"/>
      </w:pPr>
    </w:p>
    <w:p w14:paraId="479207FF" w14:textId="77777777" w:rsidR="0063799A" w:rsidRPr="00CD64D9" w:rsidRDefault="0063799A" w:rsidP="00B277D3">
      <w:pPr>
        <w:jc w:val="both"/>
      </w:pPr>
    </w:p>
    <w:p w14:paraId="07986376" w14:textId="5E29A130" w:rsidR="00963726" w:rsidRPr="00CD64D9" w:rsidRDefault="007316AA" w:rsidP="00B277D3">
      <w:pPr>
        <w:jc w:val="both"/>
      </w:pPr>
      <w:r w:rsidRPr="00CD64D9">
        <w:t xml:space="preserve">Figure </w:t>
      </w:r>
      <w:r w:rsidR="003628CA" w:rsidRPr="00CD64D9">
        <w:t>7</w:t>
      </w:r>
      <w:r w:rsidRPr="00CD64D9">
        <w:t xml:space="preserve"> presents the </w:t>
      </w:r>
      <w:r w:rsidR="00796A0D" w:rsidRPr="00CD64D9">
        <w:t xml:space="preserve">same </w:t>
      </w:r>
      <w:r w:rsidR="000A6E9A" w:rsidRPr="00CD64D9">
        <w:t xml:space="preserve">projections as </w:t>
      </w:r>
      <w:r w:rsidRPr="00CD64D9">
        <w:t xml:space="preserve">in Figure </w:t>
      </w:r>
      <w:r w:rsidR="003628CA" w:rsidRPr="00CD64D9">
        <w:t>6</w:t>
      </w:r>
      <w:r w:rsidRPr="00CD64D9">
        <w:t xml:space="preserve"> </w:t>
      </w:r>
      <w:r w:rsidR="00796A0D" w:rsidRPr="00CD64D9">
        <w:t xml:space="preserve">but </w:t>
      </w:r>
      <w:r w:rsidRPr="00CD64D9">
        <w:t>in a</w:t>
      </w:r>
      <w:r w:rsidR="00796A0D" w:rsidRPr="00CD64D9">
        <w:t>n alternative</w:t>
      </w:r>
      <w:r w:rsidRPr="00CD64D9">
        <w:t xml:space="preserve"> way – showing</w:t>
      </w:r>
      <w:r w:rsidR="000A6E9A" w:rsidRPr="00CD64D9">
        <w:t xml:space="preserve"> projections of four</w:t>
      </w:r>
      <w:r w:rsidR="001F1914" w:rsidRPr="00CD64D9">
        <w:t xml:space="preserve"> quantiles of the wait time distribution</w:t>
      </w:r>
      <w:r w:rsidR="000A6E9A" w:rsidRPr="00CD64D9">
        <w:t>s (&lt;12, &lt;9, &lt;6 and &lt;3 months)</w:t>
      </w:r>
      <w:r w:rsidR="00A23C14" w:rsidRPr="00CD64D9">
        <w:t xml:space="preserve">; noting that, in all of these, greater </w:t>
      </w:r>
      <w:r w:rsidR="00F10936" w:rsidRPr="00CD64D9">
        <w:t xml:space="preserve">metric </w:t>
      </w:r>
      <w:r w:rsidR="00A23C14" w:rsidRPr="00CD64D9">
        <w:t xml:space="preserve">values correspond </w:t>
      </w:r>
      <w:r w:rsidR="00FE6BD5" w:rsidRPr="00CD64D9">
        <w:t xml:space="preserve">ostensibly </w:t>
      </w:r>
      <w:r w:rsidR="00A23C14" w:rsidRPr="00CD64D9">
        <w:t xml:space="preserve">to better performance, i.e., </w:t>
      </w:r>
      <w:r w:rsidR="000A6E9A" w:rsidRPr="00CD64D9">
        <w:t>greater percentages of</w:t>
      </w:r>
      <w:r w:rsidR="00A23C14" w:rsidRPr="00CD64D9">
        <w:t xml:space="preserve"> </w:t>
      </w:r>
      <w:r w:rsidR="00BF4484" w:rsidRPr="00CD64D9">
        <w:t xml:space="preserve">waiting </w:t>
      </w:r>
      <w:r w:rsidR="00A23C14" w:rsidRPr="00CD64D9">
        <w:t>patients waiting less</w:t>
      </w:r>
      <w:r w:rsidR="00BF4484" w:rsidRPr="00CD64D9">
        <w:t xml:space="preserve"> </w:t>
      </w:r>
      <w:r w:rsidR="000A6E9A" w:rsidRPr="00CD64D9">
        <w:t>than the stated</w:t>
      </w:r>
      <w:r w:rsidR="00A23C14" w:rsidRPr="00CD64D9">
        <w:t xml:space="preserve"> durations</w:t>
      </w:r>
      <w:r w:rsidR="001F1914" w:rsidRPr="00CD64D9">
        <w:t xml:space="preserve">. </w:t>
      </w:r>
      <w:r w:rsidR="008420F4" w:rsidRPr="00CD64D9">
        <w:t xml:space="preserve">Taking first the 12-month threshold (upper panel), projected results appear essentially indistinguishable by the referral scenario over the first 12 months. This is because </w:t>
      </w:r>
      <w:r w:rsidR="006C196C" w:rsidRPr="00CD64D9">
        <w:t xml:space="preserve">it takes 12 months for any referral to no longer feature in the numerator </w:t>
      </w:r>
      <w:r w:rsidR="008420F4" w:rsidRPr="00CD64D9">
        <w:t xml:space="preserve">(i.e., the number of waiting patients waiting under 12 months), and thus to </w:t>
      </w:r>
      <w:r w:rsidR="00D818E0" w:rsidRPr="00CD64D9">
        <w:t xml:space="preserve">significantly </w:t>
      </w:r>
      <w:r w:rsidR="001D358A" w:rsidRPr="00CD64D9">
        <w:t xml:space="preserve">alter </w:t>
      </w:r>
      <w:r w:rsidR="008420F4" w:rsidRPr="00CD64D9">
        <w:t xml:space="preserve">the value of the metric. </w:t>
      </w:r>
      <w:r w:rsidR="00D818E0" w:rsidRPr="00CD64D9">
        <w:t>This is very different to</w:t>
      </w:r>
      <w:r w:rsidR="00FE6BD5" w:rsidRPr="00CD64D9">
        <w:t xml:space="preserve"> results for</w:t>
      </w:r>
      <w:r w:rsidR="00D818E0" w:rsidRPr="00CD64D9">
        <w:t xml:space="preserve"> the 3-month threshold (lower panel), in which the referrals make </w:t>
      </w:r>
      <w:r w:rsidR="001D358A" w:rsidRPr="00CD64D9">
        <w:t xml:space="preserve">a noticeable difference in the initial months. Moreover, </w:t>
      </w:r>
      <w:r w:rsidR="00107650" w:rsidRPr="00CD64D9">
        <w:t xml:space="preserve">at least initially, </w:t>
      </w:r>
      <w:r w:rsidR="001D358A" w:rsidRPr="00CD64D9">
        <w:t xml:space="preserve">higher referrals </w:t>
      </w:r>
      <w:r w:rsidR="00C32112" w:rsidRPr="00CD64D9">
        <w:t>appear</w:t>
      </w:r>
      <w:r w:rsidR="001D358A" w:rsidRPr="00CD64D9">
        <w:t xml:space="preserve"> to </w:t>
      </w:r>
      <w:r w:rsidR="00107650" w:rsidRPr="00CD64D9">
        <w:t>produce</w:t>
      </w:r>
      <w:r w:rsidR="001D358A" w:rsidRPr="00CD64D9">
        <w:t xml:space="preserve"> better performance</w:t>
      </w:r>
      <w:r w:rsidR="00C32112" w:rsidRPr="00CD64D9">
        <w:t xml:space="preserve">. The reason for this prima facie counterintuitive behaviour is that the new referrals </w:t>
      </w:r>
      <w:r w:rsidR="00107650" w:rsidRPr="00CD64D9">
        <w:t xml:space="preserve">increase the numerator as much as the denominator, thus inflating the metric. Soon enough, as the wait time of these new referrals increases, they drop out of the numerator and so depress the metric value – hence, why, for any given capacity scenario, the dotted line (high referrals) ultimately becomes lower than the dashed line (expected referrals), which is </w:t>
      </w:r>
      <w:r w:rsidR="00472AD6" w:rsidRPr="00CD64D9">
        <w:t xml:space="preserve">itself </w:t>
      </w:r>
      <w:r w:rsidR="00107650" w:rsidRPr="00CD64D9">
        <w:t xml:space="preserve">lower than the solid line (low referrals). This </w:t>
      </w:r>
      <w:r w:rsidR="00F10936" w:rsidRPr="00CD64D9">
        <w:lastRenderedPageBreak/>
        <w:t xml:space="preserve">happens for all four thresholds, but – as would be expected – </w:t>
      </w:r>
      <w:r w:rsidR="00963726" w:rsidRPr="00CD64D9">
        <w:t>occurs</w:t>
      </w:r>
      <w:r w:rsidR="00F10936" w:rsidRPr="00CD64D9">
        <w:t xml:space="preserve"> sooner within the projection period </w:t>
      </w:r>
      <w:r w:rsidR="00963726" w:rsidRPr="00CD64D9">
        <w:t xml:space="preserve">for </w:t>
      </w:r>
      <w:r w:rsidR="00F10936" w:rsidRPr="00CD64D9">
        <w:t xml:space="preserve">lower thresholds. </w:t>
      </w:r>
    </w:p>
    <w:p w14:paraId="18312A5E" w14:textId="77777777" w:rsidR="008916D4" w:rsidRPr="00CD64D9" w:rsidRDefault="008916D4" w:rsidP="00B277D3">
      <w:pPr>
        <w:jc w:val="both"/>
      </w:pPr>
    </w:p>
    <w:p w14:paraId="098454B9" w14:textId="77777777" w:rsidR="00963726" w:rsidRPr="00CD64D9" w:rsidRDefault="00963726" w:rsidP="00B277D3">
      <w:pPr>
        <w:jc w:val="both"/>
      </w:pPr>
    </w:p>
    <w:p w14:paraId="614AF937" w14:textId="20C6144B" w:rsidR="00963726" w:rsidRPr="00CD64D9" w:rsidRDefault="00106A1D" w:rsidP="00B277D3">
      <w:pPr>
        <w:jc w:val="center"/>
      </w:pPr>
      <w:r w:rsidRPr="00CD64D9">
        <w:rPr>
          <w:noProof/>
        </w:rPr>
        <w:drawing>
          <wp:inline distT="0" distB="0" distL="0" distR="0" wp14:anchorId="3656A946" wp14:editId="413E4D10">
            <wp:extent cx="4973035" cy="5684807"/>
            <wp:effectExtent l="0" t="0" r="0" b="0"/>
            <wp:docPr id="31828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6756" cy="5689061"/>
                    </a:xfrm>
                    <a:prstGeom prst="rect">
                      <a:avLst/>
                    </a:prstGeom>
                    <a:noFill/>
                    <a:ln>
                      <a:noFill/>
                    </a:ln>
                  </pic:spPr>
                </pic:pic>
              </a:graphicData>
            </a:graphic>
          </wp:inline>
        </w:drawing>
      </w:r>
    </w:p>
    <w:p w14:paraId="14478BC6" w14:textId="77777777" w:rsidR="00963726" w:rsidRPr="00CD64D9" w:rsidRDefault="00963726" w:rsidP="00B277D3">
      <w:pPr>
        <w:jc w:val="center"/>
      </w:pPr>
    </w:p>
    <w:p w14:paraId="17C9E7C6" w14:textId="1459942D" w:rsidR="00963726" w:rsidRPr="00CD64D9" w:rsidRDefault="00963726" w:rsidP="00B277D3">
      <w:pPr>
        <w:jc w:val="center"/>
      </w:pPr>
      <w:r w:rsidRPr="00CD64D9">
        <w:rPr>
          <w:b/>
          <w:bCs/>
        </w:rPr>
        <w:t xml:space="preserve">Figure </w:t>
      </w:r>
      <w:r w:rsidR="003628CA" w:rsidRPr="00CD64D9">
        <w:rPr>
          <w:b/>
          <w:bCs/>
        </w:rPr>
        <w:t>7</w:t>
      </w:r>
      <w:r w:rsidRPr="00CD64D9">
        <w:t>. Projected quantiles of the national wait time distribution for England over all specialties.</w:t>
      </w:r>
    </w:p>
    <w:p w14:paraId="4EA02891" w14:textId="77777777" w:rsidR="00963726" w:rsidRPr="00CD64D9" w:rsidRDefault="00963726" w:rsidP="00B277D3">
      <w:pPr>
        <w:jc w:val="both"/>
      </w:pPr>
    </w:p>
    <w:p w14:paraId="327CBF44" w14:textId="77777777" w:rsidR="008916D4" w:rsidRPr="00CD64D9" w:rsidRDefault="008916D4" w:rsidP="00B277D3">
      <w:pPr>
        <w:jc w:val="both"/>
      </w:pPr>
    </w:p>
    <w:p w14:paraId="40B350DE" w14:textId="762C99E5" w:rsidR="008B344C" w:rsidRPr="00CD64D9" w:rsidRDefault="00820FA2" w:rsidP="00B277D3">
      <w:pPr>
        <w:jc w:val="both"/>
      </w:pPr>
      <w:r w:rsidRPr="00CD64D9">
        <w:t>The projections show that w</w:t>
      </w:r>
      <w:r w:rsidR="00963726" w:rsidRPr="00CD64D9">
        <w:t xml:space="preserve">hile, ultimately, more capacity leads to better performance (i.e., for a given threshold and referral scenario, the green line will always exceed the orange line, which will always exceed the red line), for lower thresholds the opposite appears to occur within the initial months. The reason for this is due to the differences in how patients are </w:t>
      </w:r>
      <w:r w:rsidR="00A94AE8" w:rsidRPr="00CD64D9">
        <w:t>selected from</w:t>
      </w:r>
      <w:r w:rsidR="00963726" w:rsidRPr="00CD64D9">
        <w:t xml:space="preserve"> the wait</w:t>
      </w:r>
      <w:r w:rsidR="00B11EB0" w:rsidRPr="00CD64D9">
        <w:t xml:space="preserve">ing </w:t>
      </w:r>
      <w:r w:rsidR="00963726" w:rsidRPr="00CD64D9">
        <w:t xml:space="preserve">list. As can be seen from Figure </w:t>
      </w:r>
      <w:r w:rsidR="003628CA" w:rsidRPr="00CD64D9">
        <w:t>3</w:t>
      </w:r>
      <w:r w:rsidR="00963726" w:rsidRPr="00CD64D9">
        <w:t xml:space="preserve">, the capacity parameter (Section </w:t>
      </w:r>
      <w:r w:rsidR="003628CA" w:rsidRPr="00CD64D9">
        <w:t>4.2</w:t>
      </w:r>
      <w:r w:rsidR="00963726" w:rsidRPr="00CD64D9">
        <w:t xml:space="preserve">) differs across the wait time </w:t>
      </w:r>
      <w:r w:rsidR="009C5F58" w:rsidRPr="00CD64D9">
        <w:t>compartments</w:t>
      </w:r>
      <w:r w:rsidR="00963726" w:rsidRPr="00CD64D9">
        <w:t xml:space="preserve">, with higher chances of selection for treatment </w:t>
      </w:r>
      <w:r w:rsidR="00D37FD2" w:rsidRPr="00CD64D9">
        <w:t xml:space="preserve">inferred </w:t>
      </w:r>
      <w:r w:rsidR="00963726" w:rsidRPr="00CD64D9">
        <w:t xml:space="preserve">for </w:t>
      </w:r>
      <w:r w:rsidR="00D37FD2" w:rsidRPr="00CD64D9">
        <w:t xml:space="preserve">low and high waits. Given this: with more capacity, those of waits under the 3-month threshold are disproportionately more likely to be selected for treatment, thus reducing the numerator disproportionately more than the denominator, and so depressing the metric value. For the larger 12-month threshold, it is proportionately less likely for a sub-12-month-wait patient to be selected for treatment (given the relatively large value of the capacity parameter for the final </w:t>
      </w:r>
      <w:r w:rsidR="009C5F58" w:rsidRPr="00CD64D9">
        <w:t>compartment</w:t>
      </w:r>
      <w:r w:rsidR="00D37FD2" w:rsidRPr="00CD64D9">
        <w:t xml:space="preserve">) and so the numerator reduces less than the denominator, leading </w:t>
      </w:r>
      <w:r w:rsidR="00D37FD2" w:rsidRPr="00CD64D9">
        <w:lastRenderedPageBreak/>
        <w:t>to the relatively better performance conferred through the higher metric value.</w:t>
      </w:r>
      <w:r w:rsidR="005374F4" w:rsidRPr="00CD64D9">
        <w:t xml:space="preserve"> Note that</w:t>
      </w:r>
      <w:r w:rsidR="003628CA" w:rsidRPr="00CD64D9">
        <w:t>, as previously mentioned (Section 5),</w:t>
      </w:r>
      <w:r w:rsidR="005374F4" w:rsidRPr="00CD64D9">
        <w:t xml:space="preserve"> the increasing chance of treatment selection from the final </w:t>
      </w:r>
      <w:r w:rsidR="009C5F58" w:rsidRPr="00CD64D9">
        <w:t>compartment</w:t>
      </w:r>
      <w:r w:rsidR="005374F4" w:rsidRPr="00CD64D9">
        <w:t xml:space="preserve"> (Figure </w:t>
      </w:r>
      <w:r w:rsidR="003628CA" w:rsidRPr="00CD64D9">
        <w:t>3</w:t>
      </w:r>
      <w:r w:rsidR="005374F4" w:rsidRPr="00CD64D9">
        <w:t xml:space="preserve">, upper-right panel) is </w:t>
      </w:r>
      <w:r w:rsidR="008F2ADE" w:rsidRPr="00CD64D9">
        <w:t>likely</w:t>
      </w:r>
      <w:r w:rsidR="005374F4" w:rsidRPr="00CD64D9">
        <w:t xml:space="preserve"> </w:t>
      </w:r>
      <w:r w:rsidR="008F2ADE" w:rsidRPr="00CD64D9">
        <w:t>explained by</w:t>
      </w:r>
      <w:r w:rsidR="005374F4" w:rsidRPr="00CD64D9">
        <w:t xml:space="preserve"> NHS efforts to reduce </w:t>
      </w:r>
      <w:r w:rsidR="002E3587" w:rsidRPr="00CD64D9">
        <w:t>above</w:t>
      </w:r>
      <w:r w:rsidR="00796A0D" w:rsidRPr="00CD64D9">
        <w:t>-one</w:t>
      </w:r>
      <w:r w:rsidR="002E3587" w:rsidRPr="00CD64D9">
        <w:t>-year</w:t>
      </w:r>
      <w:r w:rsidR="005374F4" w:rsidRPr="00CD64D9">
        <w:t xml:space="preserve"> treatment</w:t>
      </w:r>
      <w:r w:rsidR="002E3587" w:rsidRPr="00CD64D9">
        <w:t xml:space="preserve"> waits</w:t>
      </w:r>
      <w:r w:rsidR="00A94AE8" w:rsidRPr="00CD64D9">
        <w:t xml:space="preserve"> [24]</w:t>
      </w:r>
      <w:r w:rsidR="002E3587" w:rsidRPr="00CD64D9">
        <w:t>.</w:t>
      </w:r>
      <w:r w:rsidR="00742193" w:rsidRPr="00CD64D9">
        <w:t xml:space="preserve"> Note also</w:t>
      </w:r>
      <w:r w:rsidR="00A4555E" w:rsidRPr="00CD64D9">
        <w:t xml:space="preserve"> the higher (albeit not </w:t>
      </w:r>
      <w:r w:rsidR="00742193" w:rsidRPr="00CD64D9">
        <w:t>increasing</w:t>
      </w:r>
      <w:r w:rsidR="00A4555E" w:rsidRPr="00CD64D9">
        <w:t>)</w:t>
      </w:r>
      <w:r w:rsidR="00742193" w:rsidRPr="00CD64D9">
        <w:t xml:space="preserve"> chances of treatment selection </w:t>
      </w:r>
      <w:r w:rsidR="008B344C" w:rsidRPr="00CD64D9">
        <w:t xml:space="preserve">for </w:t>
      </w:r>
      <w:r w:rsidR="00AD3B5B" w:rsidRPr="00CD64D9">
        <w:t>lesser</w:t>
      </w:r>
      <w:r w:rsidR="008B344C" w:rsidRPr="00CD64D9">
        <w:t xml:space="preserve"> waits (i.e., from the lower-order compartments) – this is due to </w:t>
      </w:r>
      <w:r w:rsidR="00DC49C5" w:rsidRPr="00CD64D9">
        <w:t xml:space="preserve">the </w:t>
      </w:r>
      <w:r w:rsidR="002B3359" w:rsidRPr="00CD64D9">
        <w:t>quicker</w:t>
      </w:r>
      <w:r w:rsidR="008D1167" w:rsidRPr="00CD64D9">
        <w:t xml:space="preserve"> treatment of </w:t>
      </w:r>
      <w:r w:rsidR="007B01B8" w:rsidRPr="00CD64D9">
        <w:t>patients</w:t>
      </w:r>
      <w:r w:rsidR="008D1167" w:rsidRPr="00CD64D9">
        <w:t xml:space="preserve"> </w:t>
      </w:r>
      <w:r w:rsidR="009F7747" w:rsidRPr="00CD64D9">
        <w:t xml:space="preserve">whose referrals are </w:t>
      </w:r>
      <w:r w:rsidR="008D1167" w:rsidRPr="00CD64D9">
        <w:t>categoris</w:t>
      </w:r>
      <w:r w:rsidR="007B01B8" w:rsidRPr="00CD64D9">
        <w:t xml:space="preserve">ed as </w:t>
      </w:r>
      <w:r w:rsidR="009F7747" w:rsidRPr="00CD64D9">
        <w:t>‘urgent’</w:t>
      </w:r>
      <w:r w:rsidR="007B01B8" w:rsidRPr="00CD64D9">
        <w:t>.</w:t>
      </w:r>
    </w:p>
    <w:p w14:paraId="2F6A678B" w14:textId="77777777" w:rsidR="00700958" w:rsidRPr="00CD64D9" w:rsidRDefault="00700958" w:rsidP="00B277D3">
      <w:pPr>
        <w:jc w:val="both"/>
      </w:pPr>
    </w:p>
    <w:p w14:paraId="17B44A6F" w14:textId="77777777" w:rsidR="00700958" w:rsidRPr="00CD64D9" w:rsidRDefault="00700958" w:rsidP="00B277D3">
      <w:pPr>
        <w:jc w:val="both"/>
      </w:pPr>
    </w:p>
    <w:p w14:paraId="10A1CE20" w14:textId="2013190A" w:rsidR="00223506" w:rsidRPr="00CD64D9" w:rsidRDefault="00B10B0B" w:rsidP="00B277D3">
      <w:pPr>
        <w:jc w:val="both"/>
        <w:rPr>
          <w:b/>
          <w:bCs/>
          <w:color w:val="4472C4" w:themeColor="accent1"/>
        </w:rPr>
      </w:pPr>
      <w:r w:rsidRPr="00CD64D9">
        <w:rPr>
          <w:b/>
          <w:bCs/>
        </w:rPr>
        <w:t>7</w:t>
      </w:r>
      <w:r w:rsidR="00223506" w:rsidRPr="00CD64D9">
        <w:rPr>
          <w:b/>
          <w:bCs/>
        </w:rPr>
        <w:t>. Discussion</w:t>
      </w:r>
    </w:p>
    <w:p w14:paraId="19B4F5EE" w14:textId="64D453B5" w:rsidR="0023126F" w:rsidRPr="00CD64D9" w:rsidRDefault="0023126F" w:rsidP="00B277D3">
      <w:pPr>
        <w:jc w:val="both"/>
      </w:pPr>
    </w:p>
    <w:p w14:paraId="1D4289CA" w14:textId="25586845" w:rsidR="008651B6" w:rsidRPr="00CD64D9" w:rsidRDefault="000D003E" w:rsidP="00B277D3">
      <w:pPr>
        <w:jc w:val="both"/>
      </w:pPr>
      <w:r w:rsidRPr="00CD64D9">
        <w:t xml:space="preserve">This study and the model developed through this study have helped address a deficit in the </w:t>
      </w:r>
      <w:r w:rsidR="004E0A58" w:rsidRPr="00CD64D9">
        <w:t xml:space="preserve">waiting list modelling </w:t>
      </w:r>
      <w:r w:rsidRPr="00CD64D9">
        <w:t xml:space="preserve">literature </w:t>
      </w:r>
      <w:r w:rsidR="004E0A58" w:rsidRPr="00CD64D9">
        <w:t>concerning</w:t>
      </w:r>
      <w:r w:rsidRPr="00CD64D9">
        <w:t xml:space="preserve"> strategic-use models that are scalable to different settings and scenarios, configurable on routine data, and sufficiently sophisticated to consider waiting times, and not just waiting list size (Section 2). This builds upon the previous literature which has either concerned detailed modelling of waiting times within bespoke projects, or more scalable modelling based on routine data but considering only waiting list size. We now provide </w:t>
      </w:r>
      <w:r w:rsidR="005205DF" w:rsidRPr="00CD64D9">
        <w:t xml:space="preserve">some final comments on the overall approach, </w:t>
      </w:r>
      <w:r w:rsidRPr="00CD64D9">
        <w:t>a discussion of practical implications</w:t>
      </w:r>
      <w:r w:rsidR="007D2E6D" w:rsidRPr="00CD64D9">
        <w:t>,</w:t>
      </w:r>
      <w:r w:rsidRPr="00CD64D9">
        <w:t xml:space="preserve"> and </w:t>
      </w:r>
      <w:r w:rsidR="005205DF" w:rsidRPr="00CD64D9">
        <w:t xml:space="preserve">some </w:t>
      </w:r>
      <w:r w:rsidR="00E94A65" w:rsidRPr="00CD64D9">
        <w:t xml:space="preserve">suggested </w:t>
      </w:r>
      <w:r w:rsidRPr="00CD64D9">
        <w:t>further research opportunities.</w:t>
      </w:r>
    </w:p>
    <w:p w14:paraId="67216B21" w14:textId="77777777" w:rsidR="00A87EB4" w:rsidRPr="00CD64D9" w:rsidRDefault="00A87EB4" w:rsidP="00B277D3">
      <w:pPr>
        <w:jc w:val="both"/>
      </w:pPr>
    </w:p>
    <w:p w14:paraId="0EAB55DC" w14:textId="77777777" w:rsidR="007F4C13" w:rsidRPr="00CD64D9" w:rsidRDefault="007F4C13" w:rsidP="00B277D3">
      <w:pPr>
        <w:jc w:val="both"/>
      </w:pPr>
    </w:p>
    <w:p w14:paraId="0B01E0FC" w14:textId="3BDCD179" w:rsidR="00A87EB4" w:rsidRPr="00CD64D9" w:rsidRDefault="00A87EB4" w:rsidP="00B277D3">
      <w:pPr>
        <w:jc w:val="both"/>
        <w:rPr>
          <w:b/>
          <w:bCs/>
          <w:i/>
          <w:iCs/>
        </w:rPr>
      </w:pPr>
      <w:r w:rsidRPr="00CD64D9">
        <w:rPr>
          <w:b/>
          <w:bCs/>
          <w:i/>
          <w:iCs/>
        </w:rPr>
        <w:t>7.1 Overall approach</w:t>
      </w:r>
    </w:p>
    <w:p w14:paraId="56ECCFF4" w14:textId="77777777" w:rsidR="00D41E95" w:rsidRPr="00CD64D9" w:rsidRDefault="00D41E95" w:rsidP="00B277D3">
      <w:pPr>
        <w:jc w:val="both"/>
      </w:pPr>
    </w:p>
    <w:p w14:paraId="73C4BFA4" w14:textId="4FD7BE7B" w:rsidR="004E0A58" w:rsidRPr="00CD64D9" w:rsidRDefault="00E94A65" w:rsidP="00B277D3">
      <w:pPr>
        <w:jc w:val="both"/>
      </w:pPr>
      <w:r w:rsidRPr="00CD64D9">
        <w:t>T</w:t>
      </w:r>
      <w:r w:rsidR="004E0A58" w:rsidRPr="00CD64D9">
        <w:t>his paper has shown how a compartmental modelling methodology can be used to develop a strategic hospital waiting list model capable of projecting future waiting lists and waiting times based on:</w:t>
      </w:r>
    </w:p>
    <w:p w14:paraId="61BC9DC2" w14:textId="1F7D3665" w:rsidR="004E0A58" w:rsidRPr="00CD64D9" w:rsidRDefault="004E0A58" w:rsidP="00B277D3">
      <w:pPr>
        <w:pStyle w:val="ListParagraph"/>
        <w:numPr>
          <w:ilvl w:val="0"/>
          <w:numId w:val="22"/>
        </w:numPr>
        <w:jc w:val="both"/>
      </w:pPr>
      <w:r w:rsidRPr="00CD64D9">
        <w:rPr>
          <w:b/>
          <w:bCs/>
        </w:rPr>
        <w:t>Starting size and structure of the waiting list</w:t>
      </w:r>
      <w:r w:rsidRPr="00CD64D9">
        <w:t xml:space="preserve">, defined in terms of the numbers of patients who have already been on the waiting list for </w:t>
      </w:r>
      <w:r w:rsidRPr="00CD64D9">
        <w:rPr>
          <w:i/>
          <w:iCs/>
        </w:rPr>
        <w:t>0, 1, 2, …, M-1, M+</w:t>
      </w:r>
      <w:r w:rsidRPr="00CD64D9">
        <w:t xml:space="preserve"> months.</w:t>
      </w:r>
    </w:p>
    <w:p w14:paraId="1BFD0A99" w14:textId="77777777" w:rsidR="004E0A58" w:rsidRPr="00CD64D9" w:rsidRDefault="004E0A58" w:rsidP="00B277D3">
      <w:pPr>
        <w:pStyle w:val="ListParagraph"/>
        <w:numPr>
          <w:ilvl w:val="0"/>
          <w:numId w:val="22"/>
        </w:numPr>
        <w:jc w:val="both"/>
      </w:pPr>
      <w:r w:rsidRPr="00CD64D9">
        <w:rPr>
          <w:b/>
          <w:bCs/>
        </w:rPr>
        <w:t>Future monthly referral rates</w:t>
      </w:r>
      <w:r w:rsidRPr="00CD64D9">
        <w:t xml:space="preserve"> of new patients joining the waiting list.</w:t>
      </w:r>
    </w:p>
    <w:p w14:paraId="558C515E" w14:textId="77777777" w:rsidR="004E0A58" w:rsidRPr="00CD64D9" w:rsidRDefault="004E0A58" w:rsidP="00B277D3">
      <w:pPr>
        <w:pStyle w:val="ListParagraph"/>
        <w:numPr>
          <w:ilvl w:val="0"/>
          <w:numId w:val="22"/>
        </w:numPr>
        <w:jc w:val="both"/>
      </w:pPr>
      <w:r w:rsidRPr="00CD64D9">
        <w:rPr>
          <w:b/>
          <w:bCs/>
        </w:rPr>
        <w:t>Future monthly reneging rates</w:t>
      </w:r>
      <w:r w:rsidRPr="00CD64D9">
        <w:t xml:space="preserve">, and how these are allocated between patients who have already been on the waiting list for </w:t>
      </w:r>
      <w:r w:rsidRPr="00CD64D9">
        <w:rPr>
          <w:i/>
          <w:iCs/>
        </w:rPr>
        <w:t>0, 1, 2, …, M-1, M+</w:t>
      </w:r>
      <w:r w:rsidRPr="00CD64D9">
        <w:t xml:space="preserve"> months.</w:t>
      </w:r>
    </w:p>
    <w:p w14:paraId="031A6F6D" w14:textId="77777777" w:rsidR="004E0A58" w:rsidRPr="00CD64D9" w:rsidRDefault="004E0A58" w:rsidP="00B277D3">
      <w:pPr>
        <w:pStyle w:val="ListParagraph"/>
        <w:numPr>
          <w:ilvl w:val="0"/>
          <w:numId w:val="22"/>
        </w:numPr>
        <w:jc w:val="both"/>
      </w:pPr>
      <w:r w:rsidRPr="00CD64D9">
        <w:rPr>
          <w:b/>
          <w:bCs/>
        </w:rPr>
        <w:t>Future monthly treatment capacity rates</w:t>
      </w:r>
      <w:r w:rsidRPr="00CD64D9">
        <w:t xml:space="preserve">, and how these are allocated between patients who have already been on the waiting list for </w:t>
      </w:r>
      <w:r w:rsidRPr="00CD64D9">
        <w:rPr>
          <w:i/>
          <w:iCs/>
        </w:rPr>
        <w:t>0, 1, 2, …, M-1, M+</w:t>
      </w:r>
      <w:r w:rsidRPr="00CD64D9">
        <w:t xml:space="preserve"> months.</w:t>
      </w:r>
    </w:p>
    <w:p w14:paraId="6F3FB5C9" w14:textId="283147C5" w:rsidR="00A412F6" w:rsidRPr="00CD64D9" w:rsidRDefault="00A412F6" w:rsidP="00B277D3">
      <w:pPr>
        <w:jc w:val="both"/>
      </w:pPr>
    </w:p>
    <w:p w14:paraId="71B6B73F" w14:textId="567BBDF5" w:rsidR="008326E5" w:rsidRPr="00CD64D9" w:rsidRDefault="004E0A58" w:rsidP="00B277D3">
      <w:pPr>
        <w:jc w:val="both"/>
      </w:pPr>
      <w:r w:rsidRPr="00CD64D9">
        <w:t xml:space="preserve">The precise form and calibration of any </w:t>
      </w:r>
      <w:proofErr w:type="gramStart"/>
      <w:r w:rsidRPr="00CD64D9">
        <w:t>particular application</w:t>
      </w:r>
      <w:proofErr w:type="gramEnd"/>
      <w:r w:rsidRPr="00CD64D9">
        <w:t xml:space="preserve"> of the model</w:t>
      </w:r>
      <w:r w:rsidR="00B47A8F" w:rsidRPr="00CD64D9">
        <w:t xml:space="preserve"> will depend on </w:t>
      </w:r>
      <w:r w:rsidR="005A59F1" w:rsidRPr="00CD64D9">
        <w:t xml:space="preserve">the </w:t>
      </w:r>
      <w:r w:rsidR="00DF4335" w:rsidRPr="00CD64D9">
        <w:t xml:space="preserve">data </w:t>
      </w:r>
      <w:r w:rsidR="005A59F1" w:rsidRPr="00CD64D9">
        <w:t xml:space="preserve">and </w:t>
      </w:r>
      <w:r w:rsidR="00DF4335" w:rsidRPr="00CD64D9">
        <w:t xml:space="preserve">parameter </w:t>
      </w:r>
      <w:r w:rsidR="005A59F1" w:rsidRPr="00CD64D9">
        <w:t>assumptions</w:t>
      </w:r>
      <w:r w:rsidR="00D40A1D" w:rsidRPr="00CD64D9">
        <w:t xml:space="preserve">, </w:t>
      </w:r>
      <w:r w:rsidR="00A50773" w:rsidRPr="00CD64D9">
        <w:t>which is</w:t>
      </w:r>
      <w:r w:rsidR="00D40A1D" w:rsidRPr="00CD64D9">
        <w:t xml:space="preserve"> described for our application in </w:t>
      </w:r>
      <w:r w:rsidR="00DF4335" w:rsidRPr="00CD64D9">
        <w:t>Section 4</w:t>
      </w:r>
      <w:r w:rsidR="00D40A1D" w:rsidRPr="00CD64D9">
        <w:t>. It is then important for the intended user to carry out the appropriate validation checks on the model, as demonstrated here in Section 5. If shown to be of acceptable accuracy, the user is then able to apply the model</w:t>
      </w:r>
      <w:r w:rsidR="00DF078C" w:rsidRPr="00CD64D9">
        <w:t xml:space="preserve"> </w:t>
      </w:r>
      <w:r w:rsidR="00D40A1D" w:rsidRPr="00CD64D9">
        <w:t xml:space="preserve">to investigate possible future scenarios </w:t>
      </w:r>
      <w:r w:rsidR="00E94A65" w:rsidRPr="00CD64D9">
        <w:t>(</w:t>
      </w:r>
      <w:r w:rsidR="00D40A1D" w:rsidRPr="00CD64D9">
        <w:t>to the degree of accuracy indicated by the validity tests</w:t>
      </w:r>
      <w:r w:rsidR="00E94A65" w:rsidRPr="00CD64D9">
        <w:t>)</w:t>
      </w:r>
      <w:r w:rsidR="00DF078C" w:rsidRPr="00CD64D9">
        <w:t>, as considered here in Section 6.</w:t>
      </w:r>
    </w:p>
    <w:p w14:paraId="2A585ECD" w14:textId="77777777" w:rsidR="004E0A58" w:rsidRPr="00CD64D9" w:rsidRDefault="004E0A58" w:rsidP="00B277D3">
      <w:pPr>
        <w:jc w:val="both"/>
        <w:rPr>
          <w:b/>
          <w:bCs/>
        </w:rPr>
      </w:pPr>
    </w:p>
    <w:p w14:paraId="535EE388" w14:textId="77777777" w:rsidR="007F4C13" w:rsidRPr="00CD64D9" w:rsidRDefault="007F4C13" w:rsidP="00B277D3">
      <w:pPr>
        <w:jc w:val="both"/>
        <w:rPr>
          <w:b/>
          <w:bCs/>
        </w:rPr>
      </w:pPr>
    </w:p>
    <w:p w14:paraId="311B08D8" w14:textId="2FD4D1A4" w:rsidR="00957011" w:rsidRPr="00CD64D9" w:rsidRDefault="00957011" w:rsidP="00B277D3">
      <w:pPr>
        <w:jc w:val="both"/>
        <w:rPr>
          <w:b/>
          <w:bCs/>
          <w:i/>
          <w:iCs/>
        </w:rPr>
      </w:pPr>
      <w:bookmarkStart w:id="11" w:name="_Hlk171087647"/>
      <w:r w:rsidRPr="00CD64D9">
        <w:rPr>
          <w:b/>
          <w:bCs/>
          <w:i/>
          <w:iCs/>
        </w:rPr>
        <w:t>7.</w:t>
      </w:r>
      <w:r w:rsidR="00A87EB4" w:rsidRPr="00CD64D9">
        <w:rPr>
          <w:b/>
          <w:bCs/>
          <w:i/>
          <w:iCs/>
        </w:rPr>
        <w:t>2</w:t>
      </w:r>
      <w:r w:rsidRPr="00CD64D9">
        <w:rPr>
          <w:b/>
          <w:bCs/>
          <w:i/>
          <w:iCs/>
        </w:rPr>
        <w:t xml:space="preserve"> Practical implications</w:t>
      </w:r>
    </w:p>
    <w:bookmarkEnd w:id="11"/>
    <w:p w14:paraId="39F13D95" w14:textId="3E67DBF8" w:rsidR="00957011" w:rsidRPr="00CD64D9" w:rsidRDefault="00B47A8F" w:rsidP="00B277D3">
      <w:pPr>
        <w:jc w:val="both"/>
      </w:pPr>
      <w:r w:rsidRPr="00CD64D9">
        <w:t xml:space="preserve"> </w:t>
      </w:r>
    </w:p>
    <w:p w14:paraId="0AADCB83" w14:textId="3FF689DD" w:rsidR="00EB55A0" w:rsidRPr="00CD64D9" w:rsidRDefault="00806EFD" w:rsidP="00B277D3">
      <w:pPr>
        <w:jc w:val="both"/>
      </w:pPr>
      <w:r w:rsidRPr="00CD64D9">
        <w:t>T</w:t>
      </w:r>
      <w:r w:rsidR="00957011" w:rsidRPr="00CD64D9">
        <w:t xml:space="preserve">he </w:t>
      </w:r>
      <w:r w:rsidR="00A87EB4" w:rsidRPr="00CD64D9">
        <w:t xml:space="preserve">compartmental model </w:t>
      </w:r>
      <w:r w:rsidRPr="00CD64D9">
        <w:t xml:space="preserve">developed and </w:t>
      </w:r>
      <w:r w:rsidR="00A87EB4" w:rsidRPr="00CD64D9">
        <w:t>demonstrated in this paper</w:t>
      </w:r>
      <w:r w:rsidRPr="00CD64D9">
        <w:t xml:space="preserve"> </w:t>
      </w:r>
      <w:r w:rsidR="00957011" w:rsidRPr="00CD64D9">
        <w:t xml:space="preserve">is designed to represent the key dynamics </w:t>
      </w:r>
      <w:r w:rsidRPr="00CD64D9">
        <w:t xml:space="preserve">of the </w:t>
      </w:r>
      <w:r w:rsidR="00197FA0" w:rsidRPr="00CD64D9">
        <w:t xml:space="preserve">strategic </w:t>
      </w:r>
      <w:r w:rsidRPr="00CD64D9">
        <w:t>elective waiting list problem</w:t>
      </w:r>
      <w:r w:rsidR="00A87EB4" w:rsidRPr="00CD64D9">
        <w:t>,</w:t>
      </w:r>
      <w:r w:rsidRPr="00CD64D9">
        <w:t xml:space="preserve"> </w:t>
      </w:r>
      <w:r w:rsidR="00957011" w:rsidRPr="00CD64D9">
        <w:t xml:space="preserve">and so can </w:t>
      </w:r>
      <w:r w:rsidR="00A87EB4" w:rsidRPr="00CD64D9">
        <w:t xml:space="preserve">potentially </w:t>
      </w:r>
      <w:r w:rsidR="00957011" w:rsidRPr="00CD64D9">
        <w:t xml:space="preserve">be </w:t>
      </w:r>
      <w:r w:rsidRPr="00CD64D9">
        <w:t xml:space="preserve">used to model </w:t>
      </w:r>
      <w:r w:rsidR="00957011" w:rsidRPr="00CD64D9">
        <w:t>the waiting list</w:t>
      </w:r>
      <w:r w:rsidRPr="00CD64D9">
        <w:t xml:space="preserve"> of any country and at any granularity provided the assumptions outlined in Section</w:t>
      </w:r>
      <w:r w:rsidR="00A87EB4" w:rsidRPr="00CD64D9">
        <w:t>s</w:t>
      </w:r>
      <w:r w:rsidRPr="00CD64D9">
        <w:t xml:space="preserve"> 3.1 </w:t>
      </w:r>
      <w:r w:rsidR="00A87EB4" w:rsidRPr="00CD64D9">
        <w:t xml:space="preserve">and 3.2 </w:t>
      </w:r>
      <w:r w:rsidRPr="00CD64D9">
        <w:t xml:space="preserve">are deemed appropriate. In practice, prospective users should carefully inspect their waiting list problem to </w:t>
      </w:r>
      <w:r w:rsidR="00EB55A0" w:rsidRPr="00CD64D9">
        <w:t xml:space="preserve">check adherence to the model assumptions prior to model use and should use their understanding of any </w:t>
      </w:r>
      <w:r w:rsidR="00E70546" w:rsidRPr="00CD64D9">
        <w:t xml:space="preserve">identified </w:t>
      </w:r>
      <w:r w:rsidR="00EB55A0" w:rsidRPr="00CD64D9">
        <w:t>‘gaps’ to contextualise and/or caveat the model outputs.</w:t>
      </w:r>
    </w:p>
    <w:p w14:paraId="33294A68" w14:textId="77777777" w:rsidR="00EB55A0" w:rsidRPr="00CD64D9" w:rsidRDefault="00EB55A0" w:rsidP="00B277D3">
      <w:pPr>
        <w:jc w:val="both"/>
      </w:pPr>
    </w:p>
    <w:p w14:paraId="04E75032" w14:textId="066E6ADC" w:rsidR="000D003E" w:rsidRPr="00CD64D9" w:rsidRDefault="00957011" w:rsidP="00B277D3">
      <w:pPr>
        <w:jc w:val="both"/>
      </w:pPr>
      <w:r w:rsidRPr="00CD64D9">
        <w:t>The model is implemented in an R script</w:t>
      </w:r>
      <w:r w:rsidR="00EB55A0" w:rsidRPr="00CD64D9">
        <w:t>, which is freely available at</w:t>
      </w:r>
      <w:r w:rsidR="00E70546" w:rsidRPr="00CD64D9">
        <w:t xml:space="preserve"> the following repository:</w:t>
      </w:r>
      <w:r w:rsidR="00EB55A0" w:rsidRPr="00CD64D9">
        <w:t xml:space="preserve"> </w:t>
      </w:r>
      <w:hyperlink r:id="rId13" w:history="1">
        <w:r w:rsidR="00AC2EB0" w:rsidRPr="00CD64D9">
          <w:rPr>
            <w:rStyle w:val="Hyperlink"/>
            <w:color w:val="auto"/>
          </w:rPr>
          <w:t>https://github.com/nhs-bnssg-analytics/waitlist-multi-compartment-model</w:t>
        </w:r>
      </w:hyperlink>
      <w:r w:rsidR="00EB55A0" w:rsidRPr="00CD64D9">
        <w:t>.</w:t>
      </w:r>
      <w:r w:rsidR="00AC2EB0" w:rsidRPr="00CD64D9">
        <w:t xml:space="preserve"> </w:t>
      </w:r>
      <w:r w:rsidR="00EB55A0" w:rsidRPr="00CD64D9">
        <w:t xml:space="preserve">For the purposes of the England NHS application considered here, the </w:t>
      </w:r>
      <w:r w:rsidR="00D556DE" w:rsidRPr="00CD64D9">
        <w:t xml:space="preserve">part of the </w:t>
      </w:r>
      <w:r w:rsidR="00EB55A0" w:rsidRPr="00CD64D9">
        <w:t xml:space="preserve">script </w:t>
      </w:r>
      <w:r w:rsidR="00D556DE" w:rsidRPr="00CD64D9">
        <w:t xml:space="preserve">in which data is loaded </w:t>
      </w:r>
      <w:r w:rsidR="00EB55A0" w:rsidRPr="00CD64D9">
        <w:t xml:space="preserve">is </w:t>
      </w:r>
      <w:r w:rsidR="00197FA0" w:rsidRPr="00CD64D9">
        <w:t xml:space="preserve">specifically </w:t>
      </w:r>
      <w:r w:rsidR="00D556DE" w:rsidRPr="00CD64D9">
        <w:t>edited</w:t>
      </w:r>
      <w:r w:rsidR="00EB55A0" w:rsidRPr="00CD64D9">
        <w:t xml:space="preserve"> to input a processed ‘minimum calculation dataset’ resulting from the original </w:t>
      </w:r>
      <w:r w:rsidR="00D556DE" w:rsidRPr="00CD64D9">
        <w:t xml:space="preserve">publicly available </w:t>
      </w:r>
      <w:r w:rsidR="00EB55A0" w:rsidRPr="00CD64D9">
        <w:t>source data [</w:t>
      </w:r>
      <w:r w:rsidR="00BF44D7" w:rsidRPr="00CD64D9">
        <w:t>7</w:t>
      </w:r>
      <w:r w:rsidR="00EB55A0" w:rsidRPr="00CD64D9">
        <w:t xml:space="preserve">]. </w:t>
      </w:r>
      <w:r w:rsidR="00E70546" w:rsidRPr="00CD64D9">
        <w:t>A bespoke ‘</w:t>
      </w:r>
      <w:proofErr w:type="spellStart"/>
      <w:r w:rsidR="00E70546" w:rsidRPr="00CD64D9">
        <w:t>webscraper</w:t>
      </w:r>
      <w:proofErr w:type="spellEnd"/>
      <w:r w:rsidR="00E70546" w:rsidRPr="00CD64D9">
        <w:t xml:space="preserve">’ script (also available at the </w:t>
      </w:r>
      <w:proofErr w:type="gramStart"/>
      <w:r w:rsidR="00E70546" w:rsidRPr="00CD64D9">
        <w:t>aforementioned repository</w:t>
      </w:r>
      <w:proofErr w:type="gramEnd"/>
      <w:r w:rsidR="00E70546" w:rsidRPr="00CD64D9">
        <w:t>) has been developed to perform this task. Th</w:t>
      </w:r>
      <w:r w:rsidR="00197FA0" w:rsidRPr="00CD64D9">
        <w:t>is</w:t>
      </w:r>
      <w:r w:rsidR="00E70546" w:rsidRPr="00CD64D9">
        <w:t xml:space="preserve"> R script takes the latest available source data from the NHS website and processes it into a format suitable for modelling. </w:t>
      </w:r>
      <w:r w:rsidR="00197FA0" w:rsidRPr="00CD64D9">
        <w:t xml:space="preserve">Within the main model implementation </w:t>
      </w:r>
      <w:r w:rsidR="00197FA0" w:rsidRPr="00CD64D9">
        <w:lastRenderedPageBreak/>
        <w:t xml:space="preserve">script, the user may configure </w:t>
      </w:r>
      <w:r w:rsidR="00197FA0" w:rsidRPr="00CD64D9">
        <w:rPr>
          <w:rFonts w:eastAsiaTheme="minorEastAsia"/>
        </w:rPr>
        <w:t xml:space="preserve">the modelling granularity in terms of the hospital trust and specialty combinations to model (more than one combination can be added and modelled on any single run of the script). The user is also required to define </w:t>
      </w:r>
      <w:r w:rsidR="00E70546" w:rsidRPr="00CD64D9">
        <w:rPr>
          <w:rFonts w:eastAsiaTheme="minorEastAsia"/>
        </w:rPr>
        <w:t>the length</w:t>
      </w:r>
      <w:r w:rsidR="00197FA0" w:rsidRPr="00CD64D9">
        <w:rPr>
          <w:rFonts w:eastAsiaTheme="minorEastAsia"/>
        </w:rPr>
        <w:t>s</w:t>
      </w:r>
      <w:r w:rsidR="00E70546" w:rsidRPr="00CD64D9">
        <w:rPr>
          <w:rFonts w:eastAsiaTheme="minorEastAsia"/>
        </w:rPr>
        <w:t xml:space="preserve"> of the calibration window (Sections 4), </w:t>
      </w:r>
      <w:proofErr w:type="spellStart"/>
      <w:r w:rsidR="00E70546" w:rsidRPr="00CD64D9">
        <w:rPr>
          <w:rFonts w:eastAsiaTheme="minorEastAsia"/>
        </w:rPr>
        <w:t>backtest</w:t>
      </w:r>
      <w:proofErr w:type="spellEnd"/>
      <w:r w:rsidR="00E70546" w:rsidRPr="00CD64D9">
        <w:rPr>
          <w:rFonts w:eastAsiaTheme="minorEastAsia"/>
        </w:rPr>
        <w:t xml:space="preserve"> window (Section 5) and </w:t>
      </w:r>
      <w:r w:rsidR="00CE6952" w:rsidRPr="00CD64D9">
        <w:rPr>
          <w:rFonts w:eastAsiaTheme="minorEastAsia"/>
        </w:rPr>
        <w:t>projection horizon</w:t>
      </w:r>
      <w:r w:rsidR="00E70546" w:rsidRPr="00CD64D9">
        <w:rPr>
          <w:rFonts w:eastAsiaTheme="minorEastAsia"/>
        </w:rPr>
        <w:t xml:space="preserve"> (Section 6). Finally, the user may override the forecasting algorithm and manually provide his or her own future monthly values for new referrals and treatment capacit</w:t>
      </w:r>
      <w:r w:rsidR="00725A29" w:rsidRPr="00CD64D9">
        <w:rPr>
          <w:rFonts w:eastAsiaTheme="minorEastAsia"/>
        </w:rPr>
        <w:t>ies</w:t>
      </w:r>
      <w:r w:rsidR="00E70546" w:rsidRPr="00CD64D9">
        <w:rPr>
          <w:rFonts w:eastAsiaTheme="minorEastAsia"/>
        </w:rPr>
        <w:t>, via a spreadsheet input file.</w:t>
      </w:r>
      <w:r w:rsidR="00A412F6" w:rsidRPr="00CD64D9">
        <w:t xml:space="preserve"> Alternatively, given coding in open-source R, the user may readily modify the script itself. For instance, changing the forecasting algorithm from TBATS to ARIMA </w:t>
      </w:r>
      <w:r w:rsidR="00796A0D" w:rsidRPr="00CD64D9">
        <w:t>could</w:t>
      </w:r>
      <w:r w:rsidR="00A412F6" w:rsidRPr="00CD64D9">
        <w:t xml:space="preserve"> be done through editing just one line of code.</w:t>
      </w:r>
    </w:p>
    <w:p w14:paraId="625D9BE2" w14:textId="77777777" w:rsidR="000D003E" w:rsidRPr="00CD64D9" w:rsidRDefault="000D003E" w:rsidP="00B277D3">
      <w:pPr>
        <w:jc w:val="both"/>
      </w:pPr>
    </w:p>
    <w:p w14:paraId="07883536" w14:textId="49B82A8C" w:rsidR="00197FA0" w:rsidRPr="00CD64D9" w:rsidRDefault="00D12D40" w:rsidP="00B277D3">
      <w:pPr>
        <w:jc w:val="both"/>
      </w:pPr>
      <w:r w:rsidRPr="00CD64D9">
        <w:t xml:space="preserve">Upon application of the model, the user should </w:t>
      </w:r>
      <w:r w:rsidR="00B35EEE" w:rsidRPr="00CD64D9">
        <w:t>remain</w:t>
      </w:r>
      <w:r w:rsidRPr="00CD64D9">
        <w:t xml:space="preserve"> vigilant to </w:t>
      </w:r>
      <w:r w:rsidR="00B35EEE" w:rsidRPr="00CD64D9">
        <w:t xml:space="preserve">the various sources of possible </w:t>
      </w:r>
      <w:r w:rsidR="00DF65D3" w:rsidRPr="00CD64D9">
        <w:t xml:space="preserve">model </w:t>
      </w:r>
      <w:r w:rsidR="00B35EEE" w:rsidRPr="00CD64D9">
        <w:t xml:space="preserve">error. We consider these forthwith in respect of </w:t>
      </w:r>
      <w:r w:rsidR="00131E04" w:rsidRPr="00CD64D9">
        <w:t>four</w:t>
      </w:r>
      <w:r w:rsidR="00B35EEE" w:rsidRPr="00CD64D9">
        <w:t xml:space="preserve"> areas:</w:t>
      </w:r>
      <w:r w:rsidR="00131E04" w:rsidRPr="00CD64D9">
        <w:t xml:space="preserve"> </w:t>
      </w:r>
      <w:r w:rsidR="00131E04" w:rsidRPr="00CD64D9">
        <w:rPr>
          <w:i/>
          <w:iCs/>
        </w:rPr>
        <w:t>modelling granularity</w:t>
      </w:r>
      <w:r w:rsidR="00131E04" w:rsidRPr="00CD64D9">
        <w:t>;</w:t>
      </w:r>
      <w:r w:rsidR="00991A67" w:rsidRPr="00CD64D9">
        <w:t xml:space="preserve"> </w:t>
      </w:r>
      <w:r w:rsidR="00991A67" w:rsidRPr="00CD64D9">
        <w:rPr>
          <w:i/>
          <w:iCs/>
        </w:rPr>
        <w:t>data and processing</w:t>
      </w:r>
      <w:r w:rsidR="00991A67" w:rsidRPr="00CD64D9">
        <w:t xml:space="preserve">; </w:t>
      </w:r>
      <w:r w:rsidR="00991A67" w:rsidRPr="00CD64D9">
        <w:rPr>
          <w:i/>
          <w:iCs/>
        </w:rPr>
        <w:t>model calibration</w:t>
      </w:r>
      <w:r w:rsidR="00991A67" w:rsidRPr="00CD64D9">
        <w:t xml:space="preserve">; and </w:t>
      </w:r>
      <w:r w:rsidR="00991A67" w:rsidRPr="00CD64D9">
        <w:rPr>
          <w:i/>
          <w:iCs/>
        </w:rPr>
        <w:t xml:space="preserve">scenario </w:t>
      </w:r>
      <w:r w:rsidR="00EA20FB" w:rsidRPr="00CD64D9">
        <w:rPr>
          <w:i/>
          <w:iCs/>
        </w:rPr>
        <w:t>analysis</w:t>
      </w:r>
      <w:r w:rsidR="00991A67" w:rsidRPr="00CD64D9">
        <w:t>.</w:t>
      </w:r>
    </w:p>
    <w:p w14:paraId="282B8C99" w14:textId="77777777" w:rsidR="00991A67" w:rsidRPr="00CD64D9" w:rsidRDefault="00991A67" w:rsidP="00B277D3">
      <w:pPr>
        <w:jc w:val="both"/>
      </w:pPr>
    </w:p>
    <w:p w14:paraId="1332BA71" w14:textId="11BB6929" w:rsidR="00131E04" w:rsidRPr="00CD64D9" w:rsidRDefault="00131E04" w:rsidP="00B277D3">
      <w:pPr>
        <w:jc w:val="both"/>
      </w:pPr>
      <w:bookmarkStart w:id="12" w:name="_Hlk184226540"/>
      <w:r w:rsidRPr="00CD64D9">
        <w:t xml:space="preserve">In regard of </w:t>
      </w:r>
      <w:r w:rsidRPr="00CD64D9">
        <w:rPr>
          <w:i/>
          <w:iCs/>
        </w:rPr>
        <w:t>modelling granularity</w:t>
      </w:r>
      <w:r w:rsidRPr="00CD64D9">
        <w:t>, overall accuracy</w:t>
      </w:r>
      <w:r w:rsidR="00F126B3" w:rsidRPr="00CD64D9">
        <w:t xml:space="preserve"> may be impacted by the heterogeneity of patients and congruency of processes </w:t>
      </w:r>
      <w:r w:rsidR="00600D88" w:rsidRPr="00CD64D9">
        <w:t>within</w:t>
      </w:r>
      <w:r w:rsidR="00F126B3" w:rsidRPr="00CD64D9">
        <w:t xml:space="preserve"> the </w:t>
      </w:r>
      <w:r w:rsidR="00725A29" w:rsidRPr="00CD64D9">
        <w:t xml:space="preserve">chosen </w:t>
      </w:r>
      <w:r w:rsidR="00F126B3" w:rsidRPr="00CD64D9">
        <w:t xml:space="preserve">trust and specialty coverage. </w:t>
      </w:r>
      <w:r w:rsidR="008F6ABC" w:rsidRPr="00CD64D9">
        <w:t xml:space="preserve">Greater similarity in these aspects would reasonably be expected for lower-level applications of the model, such as to a particular hospital trust and specialty. </w:t>
      </w:r>
      <w:r w:rsidR="00600D88" w:rsidRPr="00CD64D9">
        <w:t xml:space="preserve">The greater diversity of patients and processes </w:t>
      </w:r>
      <w:r w:rsidR="00BE16FA" w:rsidRPr="00CD64D9">
        <w:t xml:space="preserve">captured </w:t>
      </w:r>
      <w:r w:rsidR="00600D88" w:rsidRPr="00CD64D9">
        <w:t xml:space="preserve">in </w:t>
      </w:r>
      <w:r w:rsidR="00BE16FA" w:rsidRPr="00CD64D9">
        <w:t xml:space="preserve">higher-level </w:t>
      </w:r>
      <w:r w:rsidR="00600D88" w:rsidRPr="00CD64D9">
        <w:t>a</w:t>
      </w:r>
      <w:r w:rsidR="008F6ABC" w:rsidRPr="00CD64D9">
        <w:t>pplication</w:t>
      </w:r>
      <w:r w:rsidR="00BE16FA" w:rsidRPr="00CD64D9">
        <w:t>s – such as</w:t>
      </w:r>
      <w:r w:rsidR="008F6ABC" w:rsidRPr="00CD64D9">
        <w:t xml:space="preserve"> to </w:t>
      </w:r>
      <w:r w:rsidR="00CF236E" w:rsidRPr="00CD64D9">
        <w:t xml:space="preserve">the England national waiting list </w:t>
      </w:r>
      <w:r w:rsidR="00BE16FA" w:rsidRPr="00CD64D9">
        <w:t xml:space="preserve">as </w:t>
      </w:r>
      <w:r w:rsidR="00CF236E" w:rsidRPr="00CD64D9">
        <w:t>considered here</w:t>
      </w:r>
      <w:r w:rsidR="00BE16FA" w:rsidRPr="00CD64D9">
        <w:t xml:space="preserve"> – c</w:t>
      </w:r>
      <w:r w:rsidR="00CF236E" w:rsidRPr="00CD64D9">
        <w:t xml:space="preserve">ould </w:t>
      </w:r>
      <w:r w:rsidR="00BE16FA" w:rsidRPr="00CD64D9">
        <w:t xml:space="preserve">mean the resulting parameter estimates are less representative for </w:t>
      </w:r>
      <w:proofErr w:type="gramStart"/>
      <w:r w:rsidR="009E3BEE" w:rsidRPr="00CD64D9">
        <w:t>particular patient</w:t>
      </w:r>
      <w:proofErr w:type="gramEnd"/>
      <w:r w:rsidR="009E3BEE" w:rsidRPr="00CD64D9">
        <w:t xml:space="preserve"> </w:t>
      </w:r>
      <w:r w:rsidR="00725A29" w:rsidRPr="00CD64D9">
        <w:t xml:space="preserve">subgroups whilst </w:t>
      </w:r>
      <w:proofErr w:type="gramStart"/>
      <w:r w:rsidR="00725A29" w:rsidRPr="00CD64D9">
        <w:t xml:space="preserve">still </w:t>
      </w:r>
      <w:r w:rsidR="009E3BEE" w:rsidRPr="00CD64D9">
        <w:t>remaining</w:t>
      </w:r>
      <w:proofErr w:type="gramEnd"/>
      <w:r w:rsidR="009E3BEE" w:rsidRPr="00CD64D9">
        <w:t xml:space="preserve"> overall representative when averaged. </w:t>
      </w:r>
      <w:r w:rsidR="00767093" w:rsidRPr="00CD64D9">
        <w:t xml:space="preserve">Typically, such </w:t>
      </w:r>
      <w:r w:rsidR="00E80883" w:rsidRPr="00CD64D9">
        <w:t xml:space="preserve">matters are a necessary compromise when </w:t>
      </w:r>
      <w:r w:rsidRPr="00CD64D9">
        <w:t>pitching model use toward high</w:t>
      </w:r>
      <w:r w:rsidR="00E80883" w:rsidRPr="00CD64D9">
        <w:t>er</w:t>
      </w:r>
      <w:r w:rsidRPr="00CD64D9">
        <w:t xml:space="preserve">-level strategic </w:t>
      </w:r>
      <w:r w:rsidR="00767093" w:rsidRPr="00CD64D9">
        <w:t xml:space="preserve">and policy </w:t>
      </w:r>
      <w:r w:rsidRPr="00CD64D9">
        <w:t>questions</w:t>
      </w:r>
      <w:r w:rsidR="00E80883" w:rsidRPr="00CD64D9">
        <w:t>. While not considered here, it may be that this issue could be addressed through aggregating the outputs of multiple lower-level applications of the model, i.e., running the model separately over all hospital trusts and specialties of interest, and summing up the resulting compartmental-level project</w:t>
      </w:r>
      <w:r w:rsidR="00D25B51" w:rsidRPr="00CD64D9">
        <w:t>ions for</w:t>
      </w:r>
      <w:r w:rsidR="00E80883" w:rsidRPr="00CD64D9">
        <w:t xml:space="preserve"> numbers waiting.</w:t>
      </w:r>
    </w:p>
    <w:bookmarkEnd w:id="12"/>
    <w:p w14:paraId="2630FB10" w14:textId="77777777" w:rsidR="00131E04" w:rsidRPr="00CD64D9" w:rsidRDefault="00131E04" w:rsidP="00B277D3">
      <w:pPr>
        <w:jc w:val="both"/>
      </w:pPr>
    </w:p>
    <w:p w14:paraId="2D77DF37" w14:textId="2FEDB0C7" w:rsidR="008C0864" w:rsidRPr="00CD64D9" w:rsidRDefault="00552A19" w:rsidP="00B277D3">
      <w:pPr>
        <w:jc w:val="both"/>
      </w:pPr>
      <w:r w:rsidRPr="00CD64D9">
        <w:t xml:space="preserve">In regard of </w:t>
      </w:r>
      <w:r w:rsidRPr="00CD64D9">
        <w:rPr>
          <w:i/>
          <w:iCs/>
        </w:rPr>
        <w:t>data and processing</w:t>
      </w:r>
      <w:r w:rsidRPr="00CD64D9">
        <w:t xml:space="preserve">, accuracy could be affected by underlying data quality issues in the source data and any approximations or treatments necessary to process the source data into the format required by the model. </w:t>
      </w:r>
      <w:r w:rsidR="00B51501" w:rsidRPr="00CD64D9">
        <w:t>For instance, i</w:t>
      </w:r>
      <w:r w:rsidRPr="00CD64D9">
        <w:t xml:space="preserve">n the England NHS application considered here, there </w:t>
      </w:r>
      <w:r w:rsidR="008C0864" w:rsidRPr="00CD64D9">
        <w:t>is a</w:t>
      </w:r>
      <w:r w:rsidRPr="00CD64D9">
        <w:t xml:space="preserve"> </w:t>
      </w:r>
      <w:r w:rsidR="008C0864" w:rsidRPr="00CD64D9">
        <w:t xml:space="preserve">known source data quality issue with under-reporting of new referrals causing negative reneging </w:t>
      </w:r>
      <w:r w:rsidR="00DB0AC6" w:rsidRPr="00CD64D9">
        <w:t>(</w:t>
      </w:r>
      <w:r w:rsidR="008C0864" w:rsidRPr="00CD64D9">
        <w:t>Section 4.2</w:t>
      </w:r>
      <w:r w:rsidR="00DB0AC6" w:rsidRPr="00CD64D9">
        <w:t>)</w:t>
      </w:r>
      <w:r w:rsidR="008C0864" w:rsidRPr="00CD64D9">
        <w:t xml:space="preserve"> and a </w:t>
      </w:r>
      <w:r w:rsidR="00AC2EB0" w:rsidRPr="00CD64D9">
        <w:t>suspected</w:t>
      </w:r>
      <w:r w:rsidR="008C0864" w:rsidRPr="00CD64D9">
        <w:t xml:space="preserve"> data quality issue </w:t>
      </w:r>
      <w:r w:rsidR="00DB0AC6" w:rsidRPr="00CD64D9">
        <w:t xml:space="preserve">yielding spikes in the renege parameters around the turn of 2023 (Section 5). In the data processing step, there is </w:t>
      </w:r>
      <w:r w:rsidR="00AF30B6" w:rsidRPr="00CD64D9">
        <w:t xml:space="preserve">also </w:t>
      </w:r>
      <w:r w:rsidR="00DB0AC6" w:rsidRPr="00CD64D9">
        <w:t xml:space="preserve">a known issue in how data for time spent waiting is approximated, in converting this from weekly data at source </w:t>
      </w:r>
      <w:r w:rsidR="00D60839" w:rsidRPr="00CD64D9">
        <w:t>in</w:t>
      </w:r>
      <w:r w:rsidR="00DB0AC6" w:rsidRPr="00CD64D9">
        <w:t>to the monthly units required for the modelling (Section 4.1).</w:t>
      </w:r>
      <w:r w:rsidR="00B51501" w:rsidRPr="00CD64D9">
        <w:t xml:space="preserve"> Users may be required to take such processing steps </w:t>
      </w:r>
      <w:proofErr w:type="gramStart"/>
      <w:r w:rsidR="00B51501" w:rsidRPr="00CD64D9">
        <w:t>in order to</w:t>
      </w:r>
      <w:proofErr w:type="gramEnd"/>
      <w:r w:rsidR="00B51501" w:rsidRPr="00CD64D9">
        <w:t xml:space="preserve"> ensure the appropriate model </w:t>
      </w:r>
      <w:proofErr w:type="gramStart"/>
      <w:r w:rsidR="00B51501" w:rsidRPr="00CD64D9">
        <w:t>input</w:t>
      </w:r>
      <w:r w:rsidR="00AF30B6" w:rsidRPr="00CD64D9">
        <w:t>s</w:t>
      </w:r>
      <w:r w:rsidR="009E0687" w:rsidRPr="00CD64D9">
        <w:t>,</w:t>
      </w:r>
      <w:r w:rsidR="00B51501" w:rsidRPr="00CD64D9">
        <w:t xml:space="preserve"> </w:t>
      </w:r>
      <w:r w:rsidR="00AF30B6" w:rsidRPr="00CD64D9">
        <w:t>and</w:t>
      </w:r>
      <w:proofErr w:type="gramEnd"/>
      <w:r w:rsidR="00B51501" w:rsidRPr="00CD64D9">
        <w:t xml:space="preserve"> </w:t>
      </w:r>
      <w:r w:rsidR="00F96751" w:rsidRPr="00CD64D9">
        <w:t xml:space="preserve">should </w:t>
      </w:r>
      <w:r w:rsidR="00AF30B6" w:rsidRPr="00CD64D9">
        <w:t xml:space="preserve">therefore </w:t>
      </w:r>
      <w:r w:rsidR="00F96751" w:rsidRPr="00CD64D9">
        <w:t>remain aware of the possible limitations caused.</w:t>
      </w:r>
    </w:p>
    <w:p w14:paraId="2C5FF6D0" w14:textId="77777777" w:rsidR="00991A67" w:rsidRPr="00CD64D9" w:rsidRDefault="00991A67" w:rsidP="00B277D3">
      <w:pPr>
        <w:jc w:val="both"/>
      </w:pPr>
    </w:p>
    <w:p w14:paraId="7EC30C9B" w14:textId="6E2770A5" w:rsidR="006B5BC5" w:rsidRPr="00CD64D9" w:rsidRDefault="00C2004A" w:rsidP="00B277D3">
      <w:pPr>
        <w:jc w:val="both"/>
      </w:pPr>
      <w:bookmarkStart w:id="13" w:name="_Hlk171598759"/>
      <w:r w:rsidRPr="00CD64D9">
        <w:rPr>
          <w:i/>
          <w:iCs/>
        </w:rPr>
        <w:t>Model calibration</w:t>
      </w:r>
      <w:r w:rsidRPr="00CD64D9">
        <w:t xml:space="preserve"> and </w:t>
      </w:r>
      <w:r w:rsidRPr="00CD64D9">
        <w:rPr>
          <w:i/>
          <w:iCs/>
        </w:rPr>
        <w:t xml:space="preserve">scenario </w:t>
      </w:r>
      <w:r w:rsidR="00EA20FB" w:rsidRPr="00CD64D9">
        <w:rPr>
          <w:i/>
          <w:iCs/>
        </w:rPr>
        <w:t>analysis</w:t>
      </w:r>
      <w:r w:rsidRPr="00CD64D9">
        <w:t xml:space="preserve"> are somewhat related </w:t>
      </w:r>
      <w:r w:rsidR="00F94ECC" w:rsidRPr="00CD64D9">
        <w:t>aspects</w:t>
      </w:r>
      <w:r w:rsidRPr="00CD64D9">
        <w:t>, with the former using an analysis of historic data to indicate future behaviour</w:t>
      </w:r>
      <w:r w:rsidR="008E4193" w:rsidRPr="00CD64D9">
        <w:t>s whilst the latter can be used to introduce a wider set of possibilities.</w:t>
      </w:r>
      <w:r w:rsidR="00EA20FB" w:rsidRPr="00CD64D9">
        <w:t xml:space="preserve"> </w:t>
      </w:r>
      <w:r w:rsidR="005363FF" w:rsidRPr="00CD64D9">
        <w:t xml:space="preserve">In regard of </w:t>
      </w:r>
      <w:r w:rsidR="005363FF" w:rsidRPr="00CD64D9">
        <w:rPr>
          <w:i/>
          <w:iCs/>
        </w:rPr>
        <w:t>model calibration</w:t>
      </w:r>
      <w:r w:rsidR="005363FF" w:rsidRPr="00CD64D9">
        <w:t xml:space="preserve">, accuracy </w:t>
      </w:r>
      <w:r w:rsidR="00EE17E1" w:rsidRPr="00CD64D9">
        <w:t xml:space="preserve">is </w:t>
      </w:r>
      <w:r w:rsidR="00DA66BC" w:rsidRPr="00CD64D9">
        <w:t xml:space="preserve">essentially </w:t>
      </w:r>
      <w:r w:rsidR="00EE17E1" w:rsidRPr="00CD64D9">
        <w:t>affected by how well the calibrated capacity and reneging parameters reflect conditions beyond the calibration period</w:t>
      </w:r>
      <w:r w:rsidR="00DA66BC" w:rsidRPr="00CD64D9">
        <w:t xml:space="preserve"> and into the </w:t>
      </w:r>
      <w:r w:rsidR="00AF30B6" w:rsidRPr="00CD64D9">
        <w:t xml:space="preserve">projection </w:t>
      </w:r>
      <w:r w:rsidR="00DA66BC" w:rsidRPr="00CD64D9">
        <w:t>period</w:t>
      </w:r>
      <w:r w:rsidR="00EE17E1" w:rsidRPr="00CD64D9">
        <w:t xml:space="preserve">. As we have seen from Section 5, any fundamental change in </w:t>
      </w:r>
      <w:r w:rsidR="00DA66BC" w:rsidRPr="00CD64D9">
        <w:t xml:space="preserve">reneging </w:t>
      </w:r>
      <w:r w:rsidR="00EE17E1" w:rsidRPr="00CD64D9">
        <w:t xml:space="preserve">behaviour </w:t>
      </w:r>
      <w:r w:rsidR="00DA66BC" w:rsidRPr="00CD64D9">
        <w:t xml:space="preserve">or how capacity is allocated </w:t>
      </w:r>
      <w:r w:rsidR="00EE17E1" w:rsidRPr="00CD64D9">
        <w:t>over time can have a profound impact.</w:t>
      </w:r>
      <w:r w:rsidR="00D60839" w:rsidRPr="00CD64D9">
        <w:t xml:space="preserve"> </w:t>
      </w:r>
      <w:r w:rsidR="00F17298" w:rsidRPr="00CD64D9">
        <w:t xml:space="preserve">While, to a large degree, these future changes are </w:t>
      </w:r>
      <w:r w:rsidR="00AF30B6" w:rsidRPr="00CD64D9">
        <w:t>unknown</w:t>
      </w:r>
      <w:r w:rsidR="00F17298" w:rsidRPr="00CD64D9">
        <w:t xml:space="preserve">, there </w:t>
      </w:r>
      <w:r w:rsidR="00B84B69" w:rsidRPr="00CD64D9">
        <w:t>may, depending on the setting and circumstances, be more appropriate calibration methods other than simply taking the mean over the calibration period, as done here (Section 4.2). For instance, if there is considerabl</w:t>
      </w:r>
      <w:r w:rsidR="00F96751" w:rsidRPr="00CD64D9">
        <w:t>e</w:t>
      </w:r>
      <w:r w:rsidR="00B84B69" w:rsidRPr="00CD64D9">
        <w:t xml:space="preserve"> volatility in the monthly values, then taking the median would </w:t>
      </w:r>
      <w:r w:rsidR="005E16FA" w:rsidRPr="00CD64D9">
        <w:t>reduce</w:t>
      </w:r>
      <w:r w:rsidR="00B84B69" w:rsidRPr="00CD64D9">
        <w:t xml:space="preserve"> the influence of outliers. If there is a compelling trend over the calibration period, then a time-series prediction could be a better model of future behaviour than a constant (mean or median) value. </w:t>
      </w:r>
      <w:bookmarkStart w:id="14" w:name="_Hlk184292053"/>
      <w:bookmarkStart w:id="15" w:name="_Hlk188367024"/>
      <w:r w:rsidR="004C28C8" w:rsidRPr="00CD64D9">
        <w:t>Generally, given the potential for changing waiting list</w:t>
      </w:r>
      <w:r w:rsidR="004F59C9" w:rsidRPr="00CD64D9">
        <w:t xml:space="preserve"> dynamics</w:t>
      </w:r>
      <w:r w:rsidR="004C28C8" w:rsidRPr="00CD64D9">
        <w:t>, we would suggest that the parameters are re-estimated from the latest data whenever the model is run</w:t>
      </w:r>
      <w:r w:rsidR="00615A70" w:rsidRPr="00CD64D9">
        <w:t>, and that caution should be taken when seeking to model the waiting list over periods of significantly differing characteristics where a given parameterisation may be insufficiently representative</w:t>
      </w:r>
      <w:bookmarkEnd w:id="14"/>
      <w:r w:rsidR="00F94ECC" w:rsidRPr="00CD64D9">
        <w:t xml:space="preserve"> throughout</w:t>
      </w:r>
      <w:r w:rsidR="00615A70" w:rsidRPr="00CD64D9">
        <w:t>.</w:t>
      </w:r>
      <w:r w:rsidR="006B5BC5" w:rsidRPr="00CD64D9">
        <w:t xml:space="preserve"> </w:t>
      </w:r>
      <w:bookmarkStart w:id="16" w:name="_Hlk184293148"/>
      <w:bookmarkEnd w:id="15"/>
      <w:r w:rsidR="00EA20FB" w:rsidRPr="00CD64D9">
        <w:t>R</w:t>
      </w:r>
      <w:r w:rsidR="006B5BC5" w:rsidRPr="00CD64D9">
        <w:t xml:space="preserve">egarding the choice of </w:t>
      </w:r>
      <m:oMath>
        <m:r>
          <w:rPr>
            <w:rFonts w:ascii="Cambria Math" w:hAnsi="Cambria Math"/>
          </w:rPr>
          <m:t>M</m:t>
        </m:r>
      </m:oMath>
      <w:r w:rsidR="006B5BC5" w:rsidRPr="00CD64D9">
        <w:t xml:space="preserve">, the ‘last’ compartment for which all patients waiting </w:t>
      </w:r>
      <m:oMath>
        <m:r>
          <w:rPr>
            <w:rFonts w:ascii="Cambria Math" w:hAnsi="Cambria Math"/>
          </w:rPr>
          <m:t>&gt;M</m:t>
        </m:r>
      </m:oMath>
      <w:r w:rsidR="006B5BC5" w:rsidRPr="00CD64D9">
        <w:rPr>
          <w:rFonts w:eastAsiaTheme="minorEastAsia"/>
        </w:rPr>
        <w:t xml:space="preserve"> months are combined</w:t>
      </w:r>
      <w:r w:rsidR="00EA20FB" w:rsidRPr="00CD64D9">
        <w:rPr>
          <w:rFonts w:eastAsiaTheme="minorEastAsia"/>
        </w:rPr>
        <w:t>,</w:t>
      </w:r>
      <w:r w:rsidR="006B5BC5" w:rsidRPr="00CD64D9">
        <w:rPr>
          <w:rFonts w:eastAsiaTheme="minorEastAsia"/>
        </w:rPr>
        <w:t xml:space="preserve"> </w:t>
      </w:r>
      <w:r w:rsidR="00EA20FB" w:rsidRPr="00CD64D9">
        <w:rPr>
          <w:rFonts w:eastAsiaTheme="minorEastAsia"/>
        </w:rPr>
        <w:t>a</w:t>
      </w:r>
      <w:r w:rsidR="006B5BC5" w:rsidRPr="00CD64D9">
        <w:rPr>
          <w:rFonts w:eastAsiaTheme="minorEastAsia"/>
        </w:rPr>
        <w:t xml:space="preserve"> balance should be struck here, given that higher values will provide better discrimination for longer-waiting patients, but may lead to volatile calibrations for the reneging and capacity parameters if there is insufficient data at such wait durations.</w:t>
      </w:r>
    </w:p>
    <w:bookmarkEnd w:id="13"/>
    <w:bookmarkEnd w:id="16"/>
    <w:p w14:paraId="1CB21C7F" w14:textId="77777777" w:rsidR="00476F23" w:rsidRPr="00CD64D9" w:rsidRDefault="00476F23" w:rsidP="00B277D3">
      <w:pPr>
        <w:jc w:val="both"/>
      </w:pPr>
    </w:p>
    <w:p w14:paraId="5C072F31" w14:textId="00E46008" w:rsidR="0029436C" w:rsidRPr="00CD64D9" w:rsidRDefault="009D3F0F" w:rsidP="00B277D3">
      <w:pPr>
        <w:jc w:val="both"/>
      </w:pPr>
      <w:bookmarkStart w:id="17" w:name="_Hlk188872773"/>
      <w:r w:rsidRPr="00CD64D9">
        <w:lastRenderedPageBreak/>
        <w:t>I</w:t>
      </w:r>
      <w:r w:rsidR="002F23CE" w:rsidRPr="00CD64D9">
        <w:t xml:space="preserve">nvestigators may </w:t>
      </w:r>
      <w:r w:rsidRPr="00CD64D9">
        <w:t xml:space="preserve">alternatively </w:t>
      </w:r>
      <w:r w:rsidR="002F23CE" w:rsidRPr="00CD64D9">
        <w:t xml:space="preserve">wish to take a </w:t>
      </w:r>
      <w:r w:rsidR="002F23CE" w:rsidRPr="00CD64D9">
        <w:rPr>
          <w:i/>
          <w:iCs/>
        </w:rPr>
        <w:t>scenario analysis</w:t>
      </w:r>
      <w:r w:rsidR="002F23CE" w:rsidRPr="00CD64D9">
        <w:t xml:space="preserve"> approach to these parameters, in exploring different calibrations for different scenarios under consideration, in a similar way to how the referrals and capacity </w:t>
      </w:r>
      <w:r w:rsidR="00EA20FB" w:rsidRPr="00CD64D9">
        <w:t>projections</w:t>
      </w:r>
      <w:r w:rsidR="002F23CE" w:rsidRPr="00CD64D9">
        <w:t xml:space="preserve"> were set up and modelled (Section 6). </w:t>
      </w:r>
      <w:bookmarkEnd w:id="17"/>
      <w:r w:rsidR="00C50866" w:rsidRPr="00CD64D9">
        <w:t>In regard of the</w:t>
      </w:r>
      <w:r w:rsidR="00EA20FB" w:rsidRPr="00CD64D9">
        <w:t xml:space="preserve"> referrals and capacity projections</w:t>
      </w:r>
      <w:r w:rsidR="00C50866" w:rsidRPr="00CD64D9">
        <w:t xml:space="preserve">, the accuracy of model outputs is of course dependent on how well the corresponding scenario </w:t>
      </w:r>
      <w:r w:rsidR="00EA20FB" w:rsidRPr="00CD64D9">
        <w:t>inputs</w:t>
      </w:r>
      <w:r w:rsidR="00C50866" w:rsidRPr="00CD64D9">
        <w:t xml:space="preserve"> reflect the scenario being investigated. If, as examined here, the scenario is essentially a ‘do nothing different’ scenario, then, as done here, one can simply utilise time-series approaches to project out a trend. Clearly, this is naïve, and there is little guarantee that past trends and behaviour will carry forward. Alternatively, </w:t>
      </w:r>
      <w:r w:rsidR="008E7A68" w:rsidRPr="00CD64D9">
        <w:t xml:space="preserve">bespoke </w:t>
      </w:r>
      <w:r w:rsidR="00C50866" w:rsidRPr="00CD64D9">
        <w:t xml:space="preserve">scenarios can be defined </w:t>
      </w:r>
      <w:r w:rsidR="008E7A68" w:rsidRPr="00CD64D9">
        <w:t xml:space="preserve">based on specific intelligence. For instance, if </w:t>
      </w:r>
      <w:r w:rsidR="00D41E95" w:rsidRPr="00CD64D9">
        <w:t xml:space="preserve">it is known that </w:t>
      </w:r>
      <w:r w:rsidR="008E7A68" w:rsidRPr="00CD64D9">
        <w:t xml:space="preserve">investments </w:t>
      </w:r>
      <w:r w:rsidR="00D41E95" w:rsidRPr="00CD64D9">
        <w:t>will be</w:t>
      </w:r>
      <w:r w:rsidR="008E7A68" w:rsidRPr="00CD64D9">
        <w:t xml:space="preserve"> made to enhance primary and community care provision, then it may reasonably be expected that referrals into secondary care would be lower. Or, if </w:t>
      </w:r>
      <w:r w:rsidR="00D41E95" w:rsidRPr="00CD64D9">
        <w:t>ongoing industrial action is expected, then a bespoke scenario involving reduced treatment capacity levels could be modelled.</w:t>
      </w:r>
      <w:r w:rsidR="0019634A" w:rsidRPr="00CD64D9">
        <w:t xml:space="preserve"> </w:t>
      </w:r>
      <w:bookmarkStart w:id="18" w:name="_Hlk184290947"/>
      <w:r w:rsidR="0019634A" w:rsidRPr="00CD64D9">
        <w:t>Scenarios may also be used to ‘stress test’ the waiting list to determine how robust it may be to unforeseen events</w:t>
      </w:r>
      <w:r w:rsidR="00357083" w:rsidRPr="00CD64D9">
        <w:t xml:space="preserve">. </w:t>
      </w:r>
      <w:r w:rsidR="00DF6C14" w:rsidRPr="00CD64D9">
        <w:t xml:space="preserve">For instance, a pandemic could be modelled by defining a scenario in which </w:t>
      </w:r>
      <w:r w:rsidR="0029436C" w:rsidRPr="00CD64D9">
        <w:t xml:space="preserve">there is a </w:t>
      </w:r>
      <w:r w:rsidR="001225C0" w:rsidRPr="00CD64D9">
        <w:t xml:space="preserve">short but dramatic restriction to capacity to take account of </w:t>
      </w:r>
      <w:r w:rsidR="004C28C8" w:rsidRPr="00CD64D9">
        <w:t xml:space="preserve">temporarily </w:t>
      </w:r>
      <w:r w:rsidR="001225C0" w:rsidRPr="00CD64D9">
        <w:t>heightened non-elective demands on acute resources and infection control measures.</w:t>
      </w:r>
      <w:bookmarkEnd w:id="18"/>
    </w:p>
    <w:p w14:paraId="113D7792" w14:textId="77777777" w:rsidR="0029436C" w:rsidRPr="00CD64D9" w:rsidRDefault="0029436C" w:rsidP="00B277D3">
      <w:pPr>
        <w:jc w:val="both"/>
      </w:pPr>
    </w:p>
    <w:p w14:paraId="407B55CB" w14:textId="77777777" w:rsidR="008651B6" w:rsidRPr="00CD64D9" w:rsidRDefault="008651B6" w:rsidP="00B277D3">
      <w:pPr>
        <w:jc w:val="both"/>
        <w:rPr>
          <w:b/>
          <w:bCs/>
        </w:rPr>
      </w:pPr>
    </w:p>
    <w:p w14:paraId="3A5CCEAD" w14:textId="0134458F" w:rsidR="008651B6" w:rsidRPr="00CD64D9" w:rsidRDefault="008651B6" w:rsidP="00B277D3">
      <w:pPr>
        <w:jc w:val="both"/>
        <w:rPr>
          <w:b/>
          <w:bCs/>
          <w:i/>
          <w:iCs/>
        </w:rPr>
      </w:pPr>
      <w:r w:rsidRPr="00CD64D9">
        <w:rPr>
          <w:b/>
          <w:bCs/>
          <w:i/>
          <w:iCs/>
        </w:rPr>
        <w:t>7.3 Further research</w:t>
      </w:r>
    </w:p>
    <w:p w14:paraId="0965E181" w14:textId="77777777" w:rsidR="00957011" w:rsidRPr="00CD64D9" w:rsidRDefault="00957011" w:rsidP="00B277D3">
      <w:pPr>
        <w:jc w:val="both"/>
      </w:pPr>
    </w:p>
    <w:p w14:paraId="354826A8" w14:textId="26D501FD" w:rsidR="00893970" w:rsidRPr="00CD64D9" w:rsidRDefault="00D41E95" w:rsidP="00AE0E22">
      <w:pPr>
        <w:jc w:val="both"/>
      </w:pPr>
      <w:r w:rsidRPr="00CD64D9">
        <w:t xml:space="preserve">There is </w:t>
      </w:r>
      <w:r w:rsidR="00B47EA4" w:rsidRPr="00CD64D9">
        <w:t>considerable</w:t>
      </w:r>
      <w:r w:rsidRPr="00CD64D9">
        <w:t xml:space="preserve"> scope for </w:t>
      </w:r>
      <w:r w:rsidR="00507C5E" w:rsidRPr="00CD64D9">
        <w:t>further</w:t>
      </w:r>
      <w:r w:rsidRPr="00CD64D9">
        <w:t xml:space="preserve"> investigat</w:t>
      </w:r>
      <w:r w:rsidR="00507C5E" w:rsidRPr="00CD64D9">
        <w:t>ion</w:t>
      </w:r>
      <w:r w:rsidRPr="00CD64D9">
        <w:t xml:space="preserve"> in this domain. From an impact perspective, there is </w:t>
      </w:r>
      <w:r w:rsidR="00B47EA4" w:rsidRPr="00CD64D9">
        <w:t xml:space="preserve">much </w:t>
      </w:r>
      <w:r w:rsidRPr="00CD64D9">
        <w:t>opportunity given the longer waiting lists prompted by COVID-19 and</w:t>
      </w:r>
      <w:r w:rsidR="0020383E" w:rsidRPr="00CD64D9">
        <w:t xml:space="preserve"> the</w:t>
      </w:r>
      <w:r w:rsidRPr="00CD64D9">
        <w:t xml:space="preserve"> </w:t>
      </w:r>
      <w:r w:rsidR="00507C5E" w:rsidRPr="00CD64D9">
        <w:t>recent research starting to highlight the knock-on effects of long waits on other parts of the health service [</w:t>
      </w:r>
      <w:r w:rsidR="00BF44D7" w:rsidRPr="00CD64D9">
        <w:t>2</w:t>
      </w:r>
      <w:r w:rsidR="001B2AA0" w:rsidRPr="00CD64D9">
        <w:t>6,27</w:t>
      </w:r>
      <w:r w:rsidR="00507C5E" w:rsidRPr="00CD64D9">
        <w:t>] and wider economy [</w:t>
      </w:r>
      <w:r w:rsidR="001B2AA0" w:rsidRPr="00CD64D9">
        <w:t>28</w:t>
      </w:r>
      <w:r w:rsidR="00507C5E" w:rsidRPr="00CD64D9">
        <w:t xml:space="preserve">]. From a methodological perspective, this area remains underserved with only a limited number of modelling techniques having been applied to problems in this domain. The </w:t>
      </w:r>
      <w:r w:rsidR="0077621C" w:rsidRPr="00CD64D9">
        <w:t xml:space="preserve">compartmental modelling </w:t>
      </w:r>
      <w:r w:rsidR="00507C5E" w:rsidRPr="00CD64D9">
        <w:t>methodology developed here may provide a useful foundation for future investigators</w:t>
      </w:r>
      <w:r w:rsidR="0077621C" w:rsidRPr="00CD64D9">
        <w:t xml:space="preserve"> to build on</w:t>
      </w:r>
      <w:r w:rsidR="00E2415D" w:rsidRPr="00CD64D9">
        <w:t xml:space="preserve">. One </w:t>
      </w:r>
      <w:r w:rsidR="00A32DF1" w:rsidRPr="00CD64D9">
        <w:t xml:space="preserve">such development </w:t>
      </w:r>
      <w:r w:rsidR="00E2415D" w:rsidRPr="00CD64D9">
        <w:t>option</w:t>
      </w:r>
      <w:r w:rsidR="00A32DF1" w:rsidRPr="00CD64D9">
        <w:t xml:space="preserve"> is to explicitly account for referral priority. N</w:t>
      </w:r>
      <w:r w:rsidR="00E2415D" w:rsidRPr="00CD64D9">
        <w:t>otwithstanding scalability implications</w:t>
      </w:r>
      <w:r w:rsidR="00A32DF1" w:rsidRPr="00CD64D9">
        <w:t xml:space="preserve"> (given bespoke priority schemes in use for different specialties)</w:t>
      </w:r>
      <w:r w:rsidR="00DA6CE1" w:rsidRPr="00CD64D9">
        <w:t xml:space="preserve"> and data limitations </w:t>
      </w:r>
      <w:r w:rsidR="00A32DF1" w:rsidRPr="00CD64D9">
        <w:t xml:space="preserve">at least </w:t>
      </w:r>
      <w:r w:rsidR="00DA6CE1" w:rsidRPr="00CD64D9">
        <w:t>for the application considered here (Section 4.1)</w:t>
      </w:r>
      <w:r w:rsidR="00A32DF1" w:rsidRPr="00CD64D9">
        <w:t>, referral priority</w:t>
      </w:r>
      <w:r w:rsidR="00E2415D" w:rsidRPr="00CD64D9">
        <w:t xml:space="preserve"> could be </w:t>
      </w:r>
      <w:r w:rsidR="00A32DF1" w:rsidRPr="00CD64D9">
        <w:t xml:space="preserve">incorporated through including </w:t>
      </w:r>
      <w:r w:rsidR="00E2415D" w:rsidRPr="00CD64D9">
        <w:t xml:space="preserve">set(s) of </w:t>
      </w:r>
      <w:r w:rsidR="00E2415D" w:rsidRPr="00CD64D9">
        <w:rPr>
          <w:i/>
          <w:iCs/>
        </w:rPr>
        <w:t>M</w:t>
      </w:r>
      <w:r w:rsidR="00E2415D" w:rsidRPr="00CD64D9">
        <w:t xml:space="preserve"> additional compartments for each priority class considered, </w:t>
      </w:r>
      <w:r w:rsidR="000A0876" w:rsidRPr="00CD64D9">
        <w:t xml:space="preserve">with treatment selection rates following a similar parameterisation approach to the capacity parameters </w:t>
      </w:r>
      <w:r w:rsidR="007F2D04" w:rsidRPr="00CD64D9">
        <w:t>as described in</w:t>
      </w:r>
      <w:r w:rsidR="000A0876" w:rsidRPr="00CD64D9">
        <w:t xml:space="preserve"> Section 4.2. Another option could </w:t>
      </w:r>
      <w:r w:rsidR="00AE0E22" w:rsidRPr="00CD64D9">
        <w:t xml:space="preserve">be </w:t>
      </w:r>
      <w:r w:rsidR="000A0876" w:rsidRPr="00CD64D9">
        <w:t>in moving from discrete-time difference equations to a continuous-time formulation and differential equation solution.</w:t>
      </w:r>
      <w:r w:rsidR="00096A1F" w:rsidRPr="00CD64D9">
        <w:t xml:space="preserve"> </w:t>
      </w:r>
      <w:r w:rsidR="00A32DF1" w:rsidRPr="00CD64D9">
        <w:t>Alternatively, r</w:t>
      </w:r>
      <w:r w:rsidR="00096A1F" w:rsidRPr="00CD64D9">
        <w:t xml:space="preserve">esearchers may wish to consider Discrete Event Simulation (DES) methods, </w:t>
      </w:r>
      <w:r w:rsidR="00AE0E22" w:rsidRPr="00CD64D9">
        <w:t xml:space="preserve">whose individual-level ‘tracking’ of patients conveniently permits priority assignment, but whose </w:t>
      </w:r>
      <w:proofErr w:type="gramStart"/>
      <w:r w:rsidR="00AE0E22" w:rsidRPr="00CD64D9">
        <w:t>aforementioned calibration</w:t>
      </w:r>
      <w:proofErr w:type="gramEnd"/>
      <w:r w:rsidR="00AE0E22" w:rsidRPr="00CD64D9">
        <w:t xml:space="preserve"> complexities have – at least to date – restricted scalable model application to multiple </w:t>
      </w:r>
      <w:r w:rsidR="00F34A5E" w:rsidRPr="00CD64D9">
        <w:t>settings and scenarios. The literature would</w:t>
      </w:r>
      <w:r w:rsidR="002F23CE" w:rsidRPr="00CD64D9">
        <w:t xml:space="preserve"> also</w:t>
      </w:r>
      <w:r w:rsidR="00F34A5E" w:rsidRPr="00CD64D9">
        <w:t xml:space="preserve"> be improved through a side-by-side comparison of these different modelling approaches, with a comprehensive review of practicalities, pros and cons.</w:t>
      </w:r>
      <w:r w:rsidR="00893970" w:rsidRPr="00CD64D9">
        <w:rPr>
          <w:b/>
          <w:bCs/>
        </w:rPr>
        <w:br w:type="page"/>
      </w:r>
    </w:p>
    <w:p w14:paraId="7F1E70FF" w14:textId="77777777" w:rsidR="001B2AA0" w:rsidRPr="00CD64D9" w:rsidRDefault="001B2AA0" w:rsidP="001B2AA0">
      <w:pPr>
        <w:jc w:val="both"/>
        <w:rPr>
          <w:b/>
          <w:bCs/>
        </w:rPr>
      </w:pPr>
      <w:bookmarkStart w:id="19" w:name="_Hlk188367545"/>
      <w:r w:rsidRPr="00CD64D9">
        <w:rPr>
          <w:b/>
          <w:bCs/>
        </w:rPr>
        <w:lastRenderedPageBreak/>
        <w:t>References</w:t>
      </w:r>
    </w:p>
    <w:p w14:paraId="4DE1E9D6" w14:textId="77777777" w:rsidR="001B2AA0" w:rsidRPr="00CD64D9" w:rsidRDefault="001B2AA0" w:rsidP="001B2AA0">
      <w:pPr>
        <w:jc w:val="both"/>
      </w:pPr>
    </w:p>
    <w:p w14:paraId="144A3A11" w14:textId="77777777" w:rsidR="001B2AA0" w:rsidRPr="0008754B" w:rsidRDefault="001B2AA0" w:rsidP="001B2AA0">
      <w:pPr>
        <w:ind w:left="720" w:hanging="720"/>
        <w:rPr>
          <w:lang w:val="de-DE"/>
        </w:rPr>
      </w:pPr>
      <w:r w:rsidRPr="00CD64D9">
        <w:t>[1]</w:t>
      </w:r>
      <w:r w:rsidRPr="00CD64D9">
        <w:tab/>
        <w:t xml:space="preserve">Hurst, J., &amp; Siciliani, L. (2003). Tackling excessive waiting times for elective surgery: a comparison of policies in twelve OECD countries. </w:t>
      </w:r>
      <w:hyperlink r:id="rId14" w:history="1">
        <w:r w:rsidRPr="0008754B">
          <w:rPr>
            <w:rStyle w:val="Hyperlink"/>
            <w:color w:val="auto"/>
            <w:lang w:val="de-DE"/>
          </w:rPr>
          <w:t>https://doi.org/10.1787/108471127058</w:t>
        </w:r>
      </w:hyperlink>
      <w:r w:rsidRPr="0008754B">
        <w:rPr>
          <w:lang w:val="de-DE"/>
        </w:rPr>
        <w:t xml:space="preserve">. </w:t>
      </w:r>
    </w:p>
    <w:p w14:paraId="7EA24BA7" w14:textId="77777777" w:rsidR="001B2AA0" w:rsidRPr="0008754B" w:rsidRDefault="001B2AA0" w:rsidP="001B2AA0">
      <w:pPr>
        <w:jc w:val="both"/>
        <w:rPr>
          <w:lang w:val="de-DE"/>
        </w:rPr>
      </w:pPr>
    </w:p>
    <w:p w14:paraId="333D4FB0" w14:textId="77777777" w:rsidR="001B2AA0" w:rsidRPr="00CD64D9" w:rsidRDefault="001B2AA0" w:rsidP="001B2AA0">
      <w:pPr>
        <w:ind w:left="720" w:hanging="720"/>
        <w:jc w:val="both"/>
      </w:pPr>
      <w:r w:rsidRPr="0008754B">
        <w:rPr>
          <w:lang w:val="de-DE"/>
        </w:rPr>
        <w:t>[2]</w:t>
      </w:r>
      <w:r w:rsidRPr="0008754B">
        <w:rPr>
          <w:lang w:val="de-DE"/>
        </w:rPr>
        <w:tab/>
        <w:t xml:space="preserve">Viberg, N., Forsberg, B. C., Borowitz, M., &amp; Molin, R. (2013). </w:t>
      </w:r>
      <w:r w:rsidRPr="00CD64D9">
        <w:t xml:space="preserve">International comparisons of waiting times in health care–Limitations and prospects. Health policy, 112(1-2), 53-61. </w:t>
      </w:r>
      <w:hyperlink r:id="rId15" w:history="1">
        <w:r w:rsidRPr="00CD64D9">
          <w:rPr>
            <w:rStyle w:val="Hyperlink"/>
            <w:color w:val="auto"/>
          </w:rPr>
          <w:t>https://doi.org/10.1016/j.healthpol.2013.06.013</w:t>
        </w:r>
      </w:hyperlink>
      <w:r w:rsidRPr="00CD64D9">
        <w:t xml:space="preserve">. </w:t>
      </w:r>
    </w:p>
    <w:p w14:paraId="5226DCE4" w14:textId="77777777" w:rsidR="001B2AA0" w:rsidRPr="00CD64D9" w:rsidRDefault="001B2AA0" w:rsidP="001B2AA0">
      <w:pPr>
        <w:jc w:val="both"/>
      </w:pPr>
    </w:p>
    <w:p w14:paraId="37F4FB62" w14:textId="77777777" w:rsidR="001B2AA0" w:rsidRPr="00CD64D9" w:rsidRDefault="001B2AA0" w:rsidP="001B2AA0">
      <w:pPr>
        <w:ind w:left="720" w:hanging="720"/>
        <w:jc w:val="both"/>
      </w:pPr>
      <w:r w:rsidRPr="00CD64D9">
        <w:t>[3]</w:t>
      </w:r>
      <w:r w:rsidRPr="00CD64D9">
        <w:tab/>
        <w:t xml:space="preserve">Wall, C., Johnson, T., &amp; de Steiger, R. (2020). Symptom management for patients awaiting joint replacement surgery. Australian journal of general practice, 49(7), 444-446. </w:t>
      </w:r>
      <w:hyperlink r:id="rId16" w:history="1">
        <w:r w:rsidRPr="00CD64D9">
          <w:rPr>
            <w:rStyle w:val="Hyperlink"/>
            <w:color w:val="auto"/>
          </w:rPr>
          <w:t>https://doi.org/10.31128/ajgp-03-20-5286</w:t>
        </w:r>
      </w:hyperlink>
      <w:r w:rsidRPr="00CD64D9">
        <w:t xml:space="preserve">. </w:t>
      </w:r>
    </w:p>
    <w:p w14:paraId="4C5CAF4D" w14:textId="77777777" w:rsidR="001B2AA0" w:rsidRPr="00CD64D9" w:rsidRDefault="001B2AA0" w:rsidP="001B2AA0">
      <w:pPr>
        <w:jc w:val="both"/>
      </w:pPr>
    </w:p>
    <w:p w14:paraId="1ABDE881" w14:textId="77777777" w:rsidR="001B2AA0" w:rsidRPr="00CD64D9" w:rsidRDefault="001B2AA0" w:rsidP="001B2AA0">
      <w:pPr>
        <w:ind w:left="720" w:hanging="720"/>
        <w:jc w:val="both"/>
      </w:pPr>
      <w:r w:rsidRPr="00CD64D9">
        <w:t>[4]</w:t>
      </w:r>
      <w:r w:rsidRPr="00CD64D9">
        <w:tab/>
        <w:t xml:space="preserve">Sobolev, B., Mercer, D., Brown, P., FitzGerald, M., </w:t>
      </w:r>
      <w:proofErr w:type="spellStart"/>
      <w:r w:rsidRPr="00CD64D9">
        <w:t>Jalink</w:t>
      </w:r>
      <w:proofErr w:type="spellEnd"/>
      <w:r w:rsidRPr="00CD64D9">
        <w:t xml:space="preserve">, D., &amp; Shaw, R. (2003). Risk of emergency admission while awaiting elective cholecystectomy. </w:t>
      </w:r>
      <w:proofErr w:type="spellStart"/>
      <w:r w:rsidRPr="00CD64D9">
        <w:t>Cmaj</w:t>
      </w:r>
      <w:proofErr w:type="spellEnd"/>
      <w:r w:rsidRPr="00CD64D9">
        <w:t xml:space="preserve">, 169(7), 662-665. </w:t>
      </w:r>
    </w:p>
    <w:p w14:paraId="028D53F1" w14:textId="77777777" w:rsidR="001B2AA0" w:rsidRPr="00CD64D9" w:rsidRDefault="001B2AA0" w:rsidP="001B2AA0">
      <w:pPr>
        <w:jc w:val="both"/>
      </w:pPr>
    </w:p>
    <w:p w14:paraId="02D9E513" w14:textId="77777777" w:rsidR="001B2AA0" w:rsidRPr="00CD64D9" w:rsidRDefault="001B2AA0" w:rsidP="001B2AA0">
      <w:pPr>
        <w:ind w:left="720" w:hanging="720"/>
        <w:jc w:val="both"/>
      </w:pPr>
      <w:r w:rsidRPr="00CD64D9">
        <w:t>[5]</w:t>
      </w:r>
      <w:r w:rsidRPr="00CD64D9">
        <w:tab/>
        <w:t xml:space="preserve">Tinson, A., Major, A., &amp; Finch, D. (2022). Is poor health driving a rise in economic </w:t>
      </w:r>
      <w:proofErr w:type="gramStart"/>
      <w:r w:rsidRPr="00CD64D9">
        <w:t>inactivity?.</w:t>
      </w:r>
      <w:proofErr w:type="gramEnd"/>
      <w:r w:rsidRPr="00CD64D9">
        <w:t xml:space="preserve"> The Health Foundation. </w:t>
      </w:r>
      <w:hyperlink r:id="rId17" w:history="1">
        <w:r w:rsidRPr="00CD64D9">
          <w:rPr>
            <w:rStyle w:val="Hyperlink"/>
            <w:color w:val="auto"/>
          </w:rPr>
          <w:t>https://www.health.org.uk/news-and-comment/charts-and-infographics/is-poor-health-driving-a-rise-in-economic-inactivity</w:t>
        </w:r>
      </w:hyperlink>
      <w:r w:rsidRPr="00CD64D9">
        <w:t xml:space="preserve">. </w:t>
      </w:r>
    </w:p>
    <w:p w14:paraId="7C35B6EF" w14:textId="77777777" w:rsidR="001B2AA0" w:rsidRPr="00CD64D9" w:rsidRDefault="001B2AA0" w:rsidP="001B2AA0">
      <w:pPr>
        <w:jc w:val="both"/>
      </w:pPr>
    </w:p>
    <w:p w14:paraId="33B7E608" w14:textId="77777777" w:rsidR="001B2AA0" w:rsidRPr="00CD64D9" w:rsidRDefault="001B2AA0" w:rsidP="001B2AA0">
      <w:pPr>
        <w:ind w:left="720" w:hanging="720"/>
        <w:jc w:val="both"/>
      </w:pPr>
      <w:r w:rsidRPr="00CD64D9">
        <w:t>[6]</w:t>
      </w:r>
      <w:r w:rsidRPr="00CD64D9">
        <w:tab/>
        <w:t xml:space="preserve">Van Ginneken, E., Siciliani, L., Reed, S., Eriksen, A., Tille, F., &amp; Zapata, T. (2022). Addressing backlogs and managing waiting lists during and beyond the COVID-19 pandemic. </w:t>
      </w:r>
      <w:proofErr w:type="spellStart"/>
      <w:r w:rsidRPr="00CD64D9">
        <w:t>Eurohealth</w:t>
      </w:r>
      <w:proofErr w:type="spellEnd"/>
      <w:r w:rsidRPr="00CD64D9">
        <w:t xml:space="preserve">, 28(1), 35-40. </w:t>
      </w:r>
    </w:p>
    <w:p w14:paraId="310092CE" w14:textId="77777777" w:rsidR="001B2AA0" w:rsidRPr="00CD64D9" w:rsidRDefault="001B2AA0" w:rsidP="001B2AA0">
      <w:pPr>
        <w:jc w:val="both"/>
      </w:pPr>
    </w:p>
    <w:p w14:paraId="7E0CB0C3" w14:textId="77777777" w:rsidR="001B2AA0" w:rsidRPr="00CD64D9" w:rsidRDefault="001B2AA0" w:rsidP="001B2AA0">
      <w:pPr>
        <w:ind w:left="720" w:hanging="720"/>
        <w:jc w:val="both"/>
      </w:pPr>
      <w:r w:rsidRPr="00CD64D9">
        <w:t>[7]</w:t>
      </w:r>
      <w:r w:rsidRPr="00CD64D9">
        <w:tab/>
        <w:t xml:space="preserve">National Health Service England (2024). Referral to Treatment (RTT) Waiting Times. </w:t>
      </w:r>
      <w:hyperlink r:id="rId18" w:history="1">
        <w:r w:rsidRPr="00CD64D9">
          <w:rPr>
            <w:rStyle w:val="Hyperlink"/>
            <w:color w:val="auto"/>
          </w:rPr>
          <w:t>https://www.england.nhs.uk/statistics/statistical-work-areas/rtt-waiting-times/</w:t>
        </w:r>
      </w:hyperlink>
      <w:r w:rsidRPr="00CD64D9">
        <w:t xml:space="preserve">. </w:t>
      </w:r>
    </w:p>
    <w:p w14:paraId="47E6376E" w14:textId="77777777" w:rsidR="001B2AA0" w:rsidRPr="00CD64D9" w:rsidRDefault="001B2AA0" w:rsidP="001B2AA0">
      <w:pPr>
        <w:jc w:val="both"/>
      </w:pPr>
    </w:p>
    <w:p w14:paraId="65E943E9" w14:textId="77777777" w:rsidR="001B2AA0" w:rsidRPr="00CD64D9" w:rsidRDefault="001B2AA0" w:rsidP="001B2AA0">
      <w:pPr>
        <w:ind w:left="720" w:hanging="720"/>
        <w:jc w:val="both"/>
      </w:pPr>
      <w:r w:rsidRPr="00CD64D9">
        <w:t>[8]</w:t>
      </w:r>
      <w:r w:rsidRPr="00CD64D9">
        <w:tab/>
        <w:t xml:space="preserve">Private Healthcare Information Network (2023). PHIN Private market update: September 2023. </w:t>
      </w:r>
      <w:hyperlink r:id="rId19" w:history="1">
        <w:r w:rsidRPr="00CD64D9">
          <w:rPr>
            <w:rStyle w:val="Hyperlink"/>
            <w:color w:val="auto"/>
          </w:rPr>
          <w:t>https://www.phin.org.uk/news/phin-private-market-update-september-2023</w:t>
        </w:r>
      </w:hyperlink>
      <w:r w:rsidRPr="00CD64D9">
        <w:t xml:space="preserve">. </w:t>
      </w:r>
    </w:p>
    <w:p w14:paraId="40DF3064" w14:textId="77777777" w:rsidR="001B2AA0" w:rsidRPr="00CD64D9" w:rsidRDefault="001B2AA0" w:rsidP="001B2AA0">
      <w:pPr>
        <w:jc w:val="both"/>
      </w:pPr>
    </w:p>
    <w:p w14:paraId="4D5031A3" w14:textId="77777777" w:rsidR="001B2AA0" w:rsidRPr="00CD64D9" w:rsidRDefault="001B2AA0" w:rsidP="001B2AA0">
      <w:pPr>
        <w:ind w:left="720" w:hanging="720"/>
        <w:jc w:val="both"/>
      </w:pPr>
      <w:r w:rsidRPr="00CD64D9">
        <w:t>[9]</w:t>
      </w:r>
      <w:r w:rsidRPr="00CD64D9">
        <w:tab/>
        <w:t xml:space="preserve">Jun, J. B., Jacobson, S. H., &amp; Swisher, J. R. (1999). Application of discrete-event simulation in health care clinics: A survey. Journal of the operational research society, 50, 109-123. </w:t>
      </w:r>
      <w:hyperlink r:id="rId20" w:history="1">
        <w:r w:rsidRPr="00CD64D9">
          <w:rPr>
            <w:rStyle w:val="Hyperlink"/>
            <w:color w:val="auto"/>
          </w:rPr>
          <w:t>https://doi.org/10.1057/palgrave.jors.2600669</w:t>
        </w:r>
      </w:hyperlink>
      <w:r w:rsidRPr="00CD64D9">
        <w:t xml:space="preserve">. </w:t>
      </w:r>
    </w:p>
    <w:p w14:paraId="188D14BB" w14:textId="77777777" w:rsidR="001B2AA0" w:rsidRPr="00CD64D9" w:rsidRDefault="001B2AA0" w:rsidP="001B2AA0">
      <w:pPr>
        <w:jc w:val="both"/>
      </w:pPr>
      <w:r w:rsidRPr="00CD64D9">
        <w:tab/>
      </w:r>
    </w:p>
    <w:p w14:paraId="77610D97" w14:textId="77777777" w:rsidR="001B2AA0" w:rsidRPr="00CD64D9" w:rsidRDefault="001B2AA0" w:rsidP="001B2AA0">
      <w:pPr>
        <w:ind w:left="720" w:hanging="720"/>
        <w:jc w:val="both"/>
      </w:pPr>
      <w:r w:rsidRPr="0008754B">
        <w:rPr>
          <w:lang w:val="it-IT"/>
        </w:rPr>
        <w:t>[10]</w:t>
      </w:r>
      <w:r w:rsidRPr="0008754B">
        <w:rPr>
          <w:lang w:val="it-IT"/>
        </w:rPr>
        <w:tab/>
        <w:t xml:space="preserve">Baril, C., Gascon, V., &amp; Vadeboncoeur, D. (2019). </w:t>
      </w:r>
      <w:r w:rsidRPr="00CD64D9">
        <w:t xml:space="preserve">Discrete-event simulation and design of experiments to study ambulatory patient waiting time in an emergency department. Journal of the Operational Research Society, 70(12), 2019-2038. </w:t>
      </w:r>
      <w:hyperlink r:id="rId21" w:history="1">
        <w:r w:rsidRPr="00CD64D9">
          <w:rPr>
            <w:rStyle w:val="Hyperlink"/>
            <w:color w:val="auto"/>
          </w:rPr>
          <w:t>https://doi.org/10.1080/01605682.2018.1510805</w:t>
        </w:r>
      </w:hyperlink>
      <w:r w:rsidRPr="00CD64D9">
        <w:t xml:space="preserve">. </w:t>
      </w:r>
    </w:p>
    <w:p w14:paraId="61535AE1" w14:textId="77777777" w:rsidR="001B2AA0" w:rsidRPr="00CD64D9" w:rsidRDefault="001B2AA0" w:rsidP="001B2AA0">
      <w:pPr>
        <w:jc w:val="both"/>
      </w:pPr>
    </w:p>
    <w:p w14:paraId="55D261D9" w14:textId="77777777" w:rsidR="001B2AA0" w:rsidRPr="00CD64D9" w:rsidRDefault="001B2AA0" w:rsidP="001B2AA0">
      <w:pPr>
        <w:ind w:left="720" w:hanging="720"/>
        <w:jc w:val="both"/>
      </w:pPr>
      <w:r w:rsidRPr="00CD64D9">
        <w:t>[11]</w:t>
      </w:r>
      <w:r w:rsidRPr="00CD64D9">
        <w:tab/>
        <w:t xml:space="preserve">Griffiths, J. D., Knight, V., &amp; Komenda, I. (2013). Bed management in a critical care unit. IMA Journal of Management Mathematics, 24(2), 137-153. </w:t>
      </w:r>
      <w:hyperlink r:id="rId22" w:history="1">
        <w:r w:rsidRPr="00CD64D9">
          <w:rPr>
            <w:rStyle w:val="Hyperlink"/>
            <w:color w:val="auto"/>
          </w:rPr>
          <w:t>https://doi.org/10.1093/imaman/dpr028</w:t>
        </w:r>
      </w:hyperlink>
      <w:r w:rsidRPr="00CD64D9">
        <w:t xml:space="preserve">. </w:t>
      </w:r>
    </w:p>
    <w:p w14:paraId="0300A232" w14:textId="77777777" w:rsidR="001B2AA0" w:rsidRPr="00CD64D9" w:rsidRDefault="001B2AA0" w:rsidP="001B2AA0">
      <w:pPr>
        <w:jc w:val="both"/>
      </w:pPr>
      <w:r w:rsidRPr="00CD64D9">
        <w:tab/>
      </w:r>
    </w:p>
    <w:p w14:paraId="4A5AFBE8" w14:textId="77777777" w:rsidR="001B2AA0" w:rsidRPr="00CD64D9" w:rsidRDefault="001B2AA0" w:rsidP="001B2AA0">
      <w:pPr>
        <w:ind w:left="720" w:hanging="720"/>
        <w:jc w:val="both"/>
      </w:pPr>
      <w:r w:rsidRPr="00CD64D9">
        <w:t>[12]</w:t>
      </w:r>
      <w:r w:rsidRPr="00CD64D9">
        <w:tab/>
        <w:t xml:space="preserve">Onen-Dumlu, Z., Harper, A. L., Forte, P. G., Powell, A. L., Pitt, M., Vasilakis, C., &amp; Wood, R. M. (2022). Optimising the balance of acute and intermediate care capacity for the complex discharge pathway: Computer modelling study during COVID-19 recovery in England. </w:t>
      </w:r>
      <w:proofErr w:type="spellStart"/>
      <w:r w:rsidRPr="00CD64D9">
        <w:t>Plos</w:t>
      </w:r>
      <w:proofErr w:type="spellEnd"/>
      <w:r w:rsidRPr="00CD64D9">
        <w:t xml:space="preserve"> one, 17(6), e0268837. </w:t>
      </w:r>
      <w:hyperlink r:id="rId23" w:history="1">
        <w:r w:rsidRPr="00CD64D9">
          <w:rPr>
            <w:rStyle w:val="Hyperlink"/>
            <w:color w:val="auto"/>
          </w:rPr>
          <w:t>https://doi.org/10.1371/journal.pone.0268837</w:t>
        </w:r>
      </w:hyperlink>
      <w:r w:rsidRPr="00CD64D9">
        <w:t xml:space="preserve">. </w:t>
      </w:r>
    </w:p>
    <w:p w14:paraId="1F7EBF6A" w14:textId="77777777" w:rsidR="001B2AA0" w:rsidRPr="00CD64D9" w:rsidRDefault="001B2AA0" w:rsidP="001B2AA0">
      <w:pPr>
        <w:jc w:val="both"/>
      </w:pPr>
    </w:p>
    <w:p w14:paraId="5C81FE9A" w14:textId="77777777" w:rsidR="001B2AA0" w:rsidRPr="00CD64D9" w:rsidRDefault="001B2AA0" w:rsidP="001B2AA0">
      <w:pPr>
        <w:ind w:left="720" w:hanging="720"/>
      </w:pPr>
      <w:r w:rsidRPr="00CD64D9">
        <w:t>[13]</w:t>
      </w:r>
      <w:r w:rsidRPr="00CD64D9">
        <w:tab/>
      </w:r>
      <w:r w:rsidRPr="0008754B">
        <w:t xml:space="preserve">Kermack, W. O., &amp; McKendrick, A. G. (1927). </w:t>
      </w:r>
      <w:r w:rsidRPr="00CD64D9">
        <w:t xml:space="preserve">A contribution to the mathematical theory of epidemics. Proceedings of the royal society of </w:t>
      </w:r>
      <w:proofErr w:type="spellStart"/>
      <w:r w:rsidRPr="00CD64D9">
        <w:t>london</w:t>
      </w:r>
      <w:proofErr w:type="spellEnd"/>
      <w:r w:rsidRPr="00CD64D9">
        <w:t xml:space="preserve">. Series A, Containing papers of a mathematical and physical character, 115(772), 700-721. </w:t>
      </w:r>
      <w:hyperlink r:id="rId24" w:history="1">
        <w:r w:rsidRPr="00CD64D9">
          <w:rPr>
            <w:rStyle w:val="Hyperlink"/>
            <w:color w:val="auto"/>
          </w:rPr>
          <w:t>https://doi.org/10.1098/rspa.1927.0118</w:t>
        </w:r>
      </w:hyperlink>
      <w:r w:rsidRPr="00CD64D9">
        <w:t xml:space="preserve">. </w:t>
      </w:r>
    </w:p>
    <w:p w14:paraId="02114386" w14:textId="77777777" w:rsidR="001B2AA0" w:rsidRPr="00CD64D9" w:rsidRDefault="001B2AA0" w:rsidP="001B2AA0">
      <w:pPr>
        <w:jc w:val="both"/>
      </w:pPr>
    </w:p>
    <w:p w14:paraId="6B581C88" w14:textId="77777777" w:rsidR="001B2AA0" w:rsidRPr="00CD64D9" w:rsidRDefault="001B2AA0" w:rsidP="001B2AA0">
      <w:pPr>
        <w:ind w:left="720" w:hanging="720"/>
        <w:jc w:val="both"/>
      </w:pPr>
      <w:r w:rsidRPr="00CD64D9">
        <w:t>[14]</w:t>
      </w:r>
      <w:r w:rsidRPr="00CD64D9">
        <w:tab/>
        <w:t xml:space="preserve">Side, S. (2015). A susceptible-infected-recovered model and simulation for transmission of tuberculosis. Advanced Science Letters, 21(2), 137-139. </w:t>
      </w:r>
      <w:hyperlink r:id="rId25" w:history="1">
        <w:r w:rsidRPr="00CD64D9">
          <w:rPr>
            <w:rStyle w:val="Hyperlink"/>
            <w:color w:val="auto"/>
          </w:rPr>
          <w:t>https://doi.org/10.1166/asl.2015.5840</w:t>
        </w:r>
      </w:hyperlink>
      <w:r w:rsidRPr="00CD64D9">
        <w:t xml:space="preserve">. </w:t>
      </w:r>
    </w:p>
    <w:p w14:paraId="2E4B77BC" w14:textId="77777777" w:rsidR="001B2AA0" w:rsidRPr="00CD64D9" w:rsidRDefault="001B2AA0" w:rsidP="001B2AA0">
      <w:pPr>
        <w:ind w:left="720" w:hanging="720"/>
        <w:jc w:val="both"/>
      </w:pPr>
    </w:p>
    <w:p w14:paraId="203D281D" w14:textId="77777777" w:rsidR="001B2AA0" w:rsidRPr="00CD64D9" w:rsidRDefault="001B2AA0" w:rsidP="001B2AA0">
      <w:pPr>
        <w:ind w:left="720" w:hanging="720"/>
        <w:jc w:val="both"/>
      </w:pPr>
      <w:r w:rsidRPr="00CD64D9">
        <w:lastRenderedPageBreak/>
        <w:t>[15]</w:t>
      </w:r>
      <w:r w:rsidRPr="00CD64D9">
        <w:tab/>
      </w:r>
      <w:proofErr w:type="spellStart"/>
      <w:r w:rsidRPr="00CD64D9">
        <w:t>Chanprasopchai</w:t>
      </w:r>
      <w:proofErr w:type="spellEnd"/>
      <w:r w:rsidRPr="00CD64D9">
        <w:t xml:space="preserve">, P., Tang, I. M., &amp; </w:t>
      </w:r>
      <w:proofErr w:type="spellStart"/>
      <w:r w:rsidRPr="00CD64D9">
        <w:t>Pongsumpun</w:t>
      </w:r>
      <w:proofErr w:type="spellEnd"/>
      <w:r w:rsidRPr="00CD64D9">
        <w:t xml:space="preserve">, P. (2018). SIR model for dengue disease with effect of dengue vaccination. Computational and mathematical methods in medicine, 2018(1), 9861572. </w:t>
      </w:r>
      <w:hyperlink r:id="rId26" w:history="1">
        <w:r w:rsidRPr="00CD64D9">
          <w:rPr>
            <w:rStyle w:val="Hyperlink"/>
            <w:color w:val="auto"/>
          </w:rPr>
          <w:t>https://doi.org/10.1155/2018/9861572</w:t>
        </w:r>
      </w:hyperlink>
      <w:r w:rsidRPr="00CD64D9">
        <w:t xml:space="preserve">. </w:t>
      </w:r>
    </w:p>
    <w:p w14:paraId="65389894" w14:textId="77777777" w:rsidR="001B2AA0" w:rsidRPr="00CD64D9" w:rsidRDefault="001B2AA0" w:rsidP="001B2AA0">
      <w:pPr>
        <w:ind w:left="720" w:hanging="720"/>
        <w:jc w:val="both"/>
      </w:pPr>
    </w:p>
    <w:p w14:paraId="474260DF" w14:textId="77777777" w:rsidR="001B2AA0" w:rsidRPr="0008754B" w:rsidRDefault="001B2AA0" w:rsidP="001B2AA0">
      <w:pPr>
        <w:ind w:left="720" w:hanging="720"/>
        <w:jc w:val="both"/>
      </w:pPr>
      <w:r w:rsidRPr="00CD64D9">
        <w:t>[16]</w:t>
      </w:r>
      <w:r w:rsidRPr="00CD64D9">
        <w:tab/>
        <w:t xml:space="preserve">Cooper, I., Mondal, A., &amp; Antonopoulos, C. G. (2020). </w:t>
      </w:r>
      <w:proofErr w:type="gramStart"/>
      <w:r w:rsidRPr="00CD64D9">
        <w:t>A</w:t>
      </w:r>
      <w:proofErr w:type="gramEnd"/>
      <w:r w:rsidRPr="00CD64D9">
        <w:t xml:space="preserve"> SIR model assumption for the spread of COVID-19 in different communities. </w:t>
      </w:r>
      <w:r w:rsidRPr="0008754B">
        <w:t xml:space="preserve">Chaos, Solitons &amp; Fractals, 139, 110057. </w:t>
      </w:r>
      <w:r>
        <w:fldChar w:fldCharType="begin"/>
      </w:r>
      <w:r>
        <w:instrText>HYPERLINK "https://doi.org/10.1016/j.chaos.2020.110057"</w:instrText>
      </w:r>
      <w:r>
        <w:fldChar w:fldCharType="separate"/>
      </w:r>
      <w:r w:rsidRPr="0008754B">
        <w:rPr>
          <w:rStyle w:val="Hyperlink"/>
          <w:color w:val="auto"/>
        </w:rPr>
        <w:t>https://doi.org/10.1016/j.chaos.2020.110057</w:t>
      </w:r>
      <w:r>
        <w:fldChar w:fldCharType="end"/>
      </w:r>
      <w:r w:rsidRPr="0008754B">
        <w:t xml:space="preserve">. </w:t>
      </w:r>
    </w:p>
    <w:p w14:paraId="588B358F" w14:textId="77777777" w:rsidR="001B2AA0" w:rsidRPr="00CD64D9" w:rsidRDefault="001B2AA0" w:rsidP="001B2AA0">
      <w:pPr>
        <w:jc w:val="both"/>
      </w:pPr>
    </w:p>
    <w:p w14:paraId="6F929406" w14:textId="77777777" w:rsidR="001B2AA0" w:rsidRPr="00CD64D9" w:rsidRDefault="001B2AA0" w:rsidP="001B2AA0">
      <w:pPr>
        <w:ind w:left="720" w:hanging="720"/>
        <w:jc w:val="both"/>
      </w:pPr>
      <w:r w:rsidRPr="00CD64D9">
        <w:t>[17]</w:t>
      </w:r>
      <w:r w:rsidRPr="00CD64D9">
        <w:tab/>
        <w:t xml:space="preserve">Allen, L. J. (1994). Some discrete-time SI, SIR, and SIS epidemic models. Mathematical biosciences, 124(1), 83-105. </w:t>
      </w:r>
      <w:hyperlink r:id="rId27" w:history="1">
        <w:r w:rsidRPr="00CD64D9">
          <w:rPr>
            <w:rStyle w:val="Hyperlink"/>
            <w:color w:val="auto"/>
          </w:rPr>
          <w:t>https://doi.org/10.1016/0025-5564(94)90025-6</w:t>
        </w:r>
      </w:hyperlink>
      <w:r w:rsidRPr="00CD64D9">
        <w:t xml:space="preserve">. </w:t>
      </w:r>
    </w:p>
    <w:p w14:paraId="6545ABA7" w14:textId="77777777" w:rsidR="001B2AA0" w:rsidRPr="00CD64D9" w:rsidRDefault="001B2AA0" w:rsidP="001B2AA0">
      <w:pPr>
        <w:jc w:val="both"/>
      </w:pPr>
    </w:p>
    <w:p w14:paraId="3CD72113" w14:textId="77777777" w:rsidR="001B2AA0" w:rsidRPr="00CD64D9" w:rsidRDefault="001B2AA0" w:rsidP="001B2AA0">
      <w:pPr>
        <w:ind w:left="720" w:hanging="720"/>
        <w:jc w:val="both"/>
      </w:pPr>
      <w:r w:rsidRPr="00CD64D9">
        <w:t>[18]</w:t>
      </w:r>
      <w:r w:rsidRPr="00CD64D9">
        <w:tab/>
        <w:t xml:space="preserve">Worthington, D. (1991). Hospital waiting list management models. Journal of the Operational Research Society, 42, 833-843. </w:t>
      </w:r>
      <w:hyperlink r:id="rId28" w:history="1">
        <w:r w:rsidRPr="00CD64D9">
          <w:rPr>
            <w:rStyle w:val="Hyperlink"/>
            <w:color w:val="auto"/>
          </w:rPr>
          <w:t>https://doi.org/10.1057/jors.1991.164</w:t>
        </w:r>
      </w:hyperlink>
      <w:r w:rsidRPr="00CD64D9">
        <w:t xml:space="preserve">. </w:t>
      </w:r>
    </w:p>
    <w:p w14:paraId="241CB5F6" w14:textId="77777777" w:rsidR="001B2AA0" w:rsidRPr="00CD64D9" w:rsidRDefault="001B2AA0" w:rsidP="001B2AA0">
      <w:pPr>
        <w:jc w:val="both"/>
      </w:pPr>
    </w:p>
    <w:p w14:paraId="7C7D72F5" w14:textId="77777777" w:rsidR="001B2AA0" w:rsidRPr="00CD64D9" w:rsidRDefault="001B2AA0" w:rsidP="001B2AA0">
      <w:pPr>
        <w:ind w:left="720" w:hanging="720"/>
      </w:pPr>
      <w:r w:rsidRPr="0008754B">
        <w:rPr>
          <w:lang w:val="de-DE"/>
        </w:rPr>
        <w:t>[19]</w:t>
      </w:r>
      <w:r w:rsidRPr="0008754B">
        <w:rPr>
          <w:lang w:val="de-DE"/>
        </w:rPr>
        <w:tab/>
        <w:t xml:space="preserve">Vissers, J. M., Van Der Bij, J. D., &amp; Kusters, R. J. (2001). </w:t>
      </w:r>
      <w:r w:rsidRPr="00CD64D9">
        <w:t xml:space="preserve">Towards decision support for waiting lists: an operations management view. Health Care Management Science, 4, 133-142. </w:t>
      </w:r>
      <w:hyperlink r:id="rId29" w:history="1">
        <w:r w:rsidRPr="00CD64D9">
          <w:rPr>
            <w:rStyle w:val="Hyperlink"/>
            <w:color w:val="auto"/>
          </w:rPr>
          <w:t>https://doi.org/10.1023/A:1011409711828</w:t>
        </w:r>
      </w:hyperlink>
      <w:r w:rsidRPr="00CD64D9">
        <w:t xml:space="preserve">. </w:t>
      </w:r>
    </w:p>
    <w:p w14:paraId="73B023FA" w14:textId="77777777" w:rsidR="001B2AA0" w:rsidRPr="00CD64D9" w:rsidRDefault="001B2AA0" w:rsidP="001B2AA0">
      <w:pPr>
        <w:jc w:val="both"/>
      </w:pPr>
    </w:p>
    <w:p w14:paraId="47611B24" w14:textId="77777777" w:rsidR="001B2AA0" w:rsidRPr="00CD64D9" w:rsidRDefault="001B2AA0" w:rsidP="001B2AA0">
      <w:pPr>
        <w:ind w:left="720" w:hanging="720"/>
      </w:pPr>
      <w:r w:rsidRPr="00CD64D9">
        <w:t>[20]</w:t>
      </w:r>
      <w:r w:rsidRPr="00CD64D9">
        <w:tab/>
        <w:t xml:space="preserve">Wood, R. M. (2022). Supporting COVID-19 elective recovery through scalable wait list modelling: Specialty-level application to all hospitals in England. Health Care Management Science, 25(4), 521-525. </w:t>
      </w:r>
      <w:hyperlink r:id="rId30" w:history="1">
        <w:r w:rsidRPr="00CD64D9">
          <w:rPr>
            <w:rStyle w:val="Hyperlink"/>
            <w:color w:val="auto"/>
          </w:rPr>
          <w:t>https://doi.org/10.1007/s10729-022-09615-2</w:t>
        </w:r>
      </w:hyperlink>
      <w:r w:rsidRPr="00CD64D9">
        <w:t xml:space="preserve">. </w:t>
      </w:r>
    </w:p>
    <w:p w14:paraId="735B0E84" w14:textId="77777777" w:rsidR="001B2AA0" w:rsidRPr="00CD64D9" w:rsidRDefault="001B2AA0" w:rsidP="001B2AA0">
      <w:pPr>
        <w:jc w:val="both"/>
      </w:pPr>
    </w:p>
    <w:p w14:paraId="0748C103" w14:textId="77777777" w:rsidR="001B2AA0" w:rsidRPr="00CD64D9" w:rsidRDefault="001B2AA0" w:rsidP="001B2AA0">
      <w:pPr>
        <w:ind w:left="720" w:hanging="720"/>
        <w:jc w:val="both"/>
      </w:pPr>
      <w:r w:rsidRPr="00CD64D9">
        <w:t>[21]</w:t>
      </w:r>
      <w:r w:rsidRPr="00CD64D9">
        <w:tab/>
        <w:t xml:space="preserve">Shah, S. A., Robertson, C., &amp; Sheikh, A. (2024). Effects of the COVID-19 pandemic on NHS England waiting times for elective hospital care: a modelling study. The Lancet, 403(10423), 241-243. </w:t>
      </w:r>
      <w:hyperlink r:id="rId31" w:history="1">
        <w:r w:rsidRPr="00CD64D9">
          <w:rPr>
            <w:rStyle w:val="Hyperlink"/>
            <w:color w:val="auto"/>
          </w:rPr>
          <w:t>https://doi.org/10.1016/S0140-6736(23)02744-7</w:t>
        </w:r>
      </w:hyperlink>
      <w:r w:rsidRPr="00CD64D9">
        <w:t xml:space="preserve">. </w:t>
      </w:r>
    </w:p>
    <w:p w14:paraId="0D2148AA" w14:textId="77777777" w:rsidR="001B2AA0" w:rsidRPr="00CD64D9" w:rsidRDefault="001B2AA0" w:rsidP="001B2AA0">
      <w:pPr>
        <w:jc w:val="both"/>
      </w:pPr>
    </w:p>
    <w:p w14:paraId="50ED5A8E" w14:textId="77777777" w:rsidR="001B2AA0" w:rsidRPr="00CD64D9" w:rsidRDefault="001B2AA0" w:rsidP="001B2AA0">
      <w:pPr>
        <w:ind w:left="720" w:hanging="720"/>
        <w:jc w:val="both"/>
      </w:pPr>
      <w:r w:rsidRPr="00CD64D9">
        <w:t>[22]</w:t>
      </w:r>
      <w:r w:rsidRPr="00CD64D9">
        <w:tab/>
        <w:t xml:space="preserve">Howlett, N. C., &amp; Wood, R. M. (2022). </w:t>
      </w:r>
      <w:proofErr w:type="spellStart"/>
      <w:r w:rsidRPr="00CD64D9">
        <w:t>Modeling</w:t>
      </w:r>
      <w:proofErr w:type="spellEnd"/>
      <w:r w:rsidRPr="00CD64D9">
        <w:t xml:space="preserve"> the recovery of elective waiting lists following COVID-19: scenario projections for England. Value in Health, 25(11), 1805-1813. </w:t>
      </w:r>
      <w:hyperlink r:id="rId32" w:history="1">
        <w:r w:rsidRPr="00CD64D9">
          <w:rPr>
            <w:rStyle w:val="Hyperlink"/>
            <w:color w:val="auto"/>
          </w:rPr>
          <w:t>https://doi.org/10.1016/j.jval.2022.06.016</w:t>
        </w:r>
      </w:hyperlink>
      <w:r w:rsidRPr="00CD64D9">
        <w:t xml:space="preserve">. </w:t>
      </w:r>
    </w:p>
    <w:p w14:paraId="3CB7C749" w14:textId="77777777" w:rsidR="001B2AA0" w:rsidRPr="00CD64D9" w:rsidRDefault="001B2AA0" w:rsidP="001B2AA0">
      <w:pPr>
        <w:jc w:val="both"/>
      </w:pPr>
    </w:p>
    <w:p w14:paraId="71652338" w14:textId="77777777" w:rsidR="001B2AA0" w:rsidRPr="00CD64D9" w:rsidRDefault="001B2AA0" w:rsidP="001B2AA0">
      <w:pPr>
        <w:ind w:left="720" w:hanging="720"/>
        <w:jc w:val="both"/>
      </w:pPr>
      <w:r w:rsidRPr="00CD64D9">
        <w:t>[23]</w:t>
      </w:r>
      <w:r w:rsidRPr="00CD64D9">
        <w:tab/>
        <w:t xml:space="preserve">Office for Statistics Regulation (2024). Accredited official statistics. </w:t>
      </w:r>
      <w:hyperlink r:id="rId33" w:history="1">
        <w:r w:rsidRPr="00CD64D9">
          <w:rPr>
            <w:rStyle w:val="Hyperlink"/>
            <w:color w:val="auto"/>
          </w:rPr>
          <w:t>https://osr.statisticsauthority.gov.uk/accredited-official-statistics/</w:t>
        </w:r>
      </w:hyperlink>
      <w:r w:rsidRPr="00CD64D9">
        <w:t xml:space="preserve">. </w:t>
      </w:r>
    </w:p>
    <w:p w14:paraId="5005042B" w14:textId="77777777" w:rsidR="001B2AA0" w:rsidRPr="00CD64D9" w:rsidRDefault="001B2AA0" w:rsidP="001B2AA0">
      <w:pPr>
        <w:jc w:val="both"/>
      </w:pPr>
    </w:p>
    <w:p w14:paraId="6B7DC3F4" w14:textId="77777777" w:rsidR="001B2AA0" w:rsidRPr="00CD64D9" w:rsidRDefault="001B2AA0" w:rsidP="001B2AA0">
      <w:pPr>
        <w:ind w:left="720" w:hanging="720"/>
      </w:pPr>
      <w:r w:rsidRPr="00CD64D9">
        <w:t>[24]</w:t>
      </w:r>
      <w:r w:rsidRPr="00CD64D9">
        <w:tab/>
        <w:t xml:space="preserve">National Health Service England (2022). Delivery plan for tackling the COVID-19 backlog of elective care. </w:t>
      </w:r>
      <w:hyperlink r:id="rId34" w:history="1">
        <w:r w:rsidRPr="00CD64D9">
          <w:rPr>
            <w:rStyle w:val="Hyperlink"/>
            <w:color w:val="auto"/>
          </w:rPr>
          <w:t>https://www.england.nhs.uk/coronavirus/publication/delivery-plan-for-tackling-the-covid-19-backlog-of-elective-care/</w:t>
        </w:r>
      </w:hyperlink>
      <w:r w:rsidRPr="00CD64D9">
        <w:t xml:space="preserve">. </w:t>
      </w:r>
    </w:p>
    <w:p w14:paraId="52D35BC7" w14:textId="77777777" w:rsidR="001B2AA0" w:rsidRPr="00CD64D9" w:rsidRDefault="001B2AA0" w:rsidP="001B2AA0">
      <w:pPr>
        <w:jc w:val="both"/>
      </w:pPr>
    </w:p>
    <w:p w14:paraId="1174D01D" w14:textId="77777777" w:rsidR="001B2AA0" w:rsidRPr="00CD64D9" w:rsidRDefault="001B2AA0" w:rsidP="001B2AA0">
      <w:pPr>
        <w:ind w:left="720" w:hanging="720"/>
        <w:jc w:val="both"/>
      </w:pPr>
      <w:r w:rsidRPr="00CD64D9">
        <w:t>[25]</w:t>
      </w:r>
      <w:r w:rsidRPr="00CD64D9">
        <w:tab/>
      </w:r>
      <w:r w:rsidRPr="0008754B">
        <w:t xml:space="preserve">De Livera, A. M., Hyndman, R. J., &amp; Snyder, R. D. (2011). </w:t>
      </w:r>
      <w:r w:rsidRPr="00CD64D9">
        <w:t xml:space="preserve">Forecasting time series with complex seasonal patterns using exponential smoothing. Journal of the American statistical association, 106(496), 1513-1527. </w:t>
      </w:r>
      <w:hyperlink r:id="rId35" w:history="1">
        <w:r w:rsidRPr="00CD64D9">
          <w:rPr>
            <w:rStyle w:val="Hyperlink"/>
            <w:color w:val="auto"/>
          </w:rPr>
          <w:t>https://doi.org/10.1198/jasa.2011.tm09771</w:t>
        </w:r>
      </w:hyperlink>
      <w:r w:rsidRPr="00CD64D9">
        <w:t xml:space="preserve">. </w:t>
      </w:r>
    </w:p>
    <w:p w14:paraId="4960B4D0" w14:textId="77777777" w:rsidR="001B2AA0" w:rsidRPr="00CD64D9" w:rsidRDefault="001B2AA0" w:rsidP="001B2AA0">
      <w:pPr>
        <w:jc w:val="both"/>
      </w:pPr>
    </w:p>
    <w:p w14:paraId="1E0565F5" w14:textId="77777777" w:rsidR="001B2AA0" w:rsidRPr="00CD64D9" w:rsidRDefault="001B2AA0" w:rsidP="001B2AA0">
      <w:pPr>
        <w:ind w:left="720" w:hanging="720"/>
        <w:jc w:val="both"/>
      </w:pPr>
      <w:r w:rsidRPr="0008754B">
        <w:t>[26]</w:t>
      </w:r>
      <w:r w:rsidRPr="0008754B">
        <w:tab/>
      </w:r>
      <w:r w:rsidRPr="00CD64D9">
        <w:t xml:space="preserve">Gibbs, N. K., Griffin, S., </w:t>
      </w:r>
      <w:proofErr w:type="spellStart"/>
      <w:r w:rsidRPr="00CD64D9">
        <w:t>Gutacker</w:t>
      </w:r>
      <w:proofErr w:type="spellEnd"/>
      <w:r w:rsidRPr="00CD64D9">
        <w:t xml:space="preserve">, N., Villaseñor, A., &amp; Walker, S. (2024). The Health Impact of Waiting for Elective Procedures in the NHS in England: A </w:t>
      </w:r>
      <w:proofErr w:type="spellStart"/>
      <w:r w:rsidRPr="00CD64D9">
        <w:t>Modeling</w:t>
      </w:r>
      <w:proofErr w:type="spellEnd"/>
      <w:r w:rsidRPr="00CD64D9">
        <w:t xml:space="preserve"> Framework Applied to Coronary Artery Bypass Graft and Total Hip Replacement. Medical Decision Making, 0272989X241256639. </w:t>
      </w:r>
      <w:hyperlink r:id="rId36" w:history="1">
        <w:r w:rsidRPr="00CD64D9">
          <w:rPr>
            <w:rStyle w:val="Hyperlink"/>
            <w:color w:val="auto"/>
          </w:rPr>
          <w:t>https://doi.org/10.1177/0272989X241256639</w:t>
        </w:r>
      </w:hyperlink>
      <w:r w:rsidRPr="00CD64D9">
        <w:t xml:space="preserve">. </w:t>
      </w:r>
    </w:p>
    <w:p w14:paraId="50252C0A" w14:textId="77777777" w:rsidR="001B2AA0" w:rsidRPr="00CD64D9" w:rsidRDefault="001B2AA0" w:rsidP="001B2AA0">
      <w:pPr>
        <w:jc w:val="both"/>
        <w:rPr>
          <w:lang w:val="fr-FR"/>
        </w:rPr>
      </w:pPr>
    </w:p>
    <w:p w14:paraId="3D1752C6" w14:textId="77777777" w:rsidR="001B2AA0" w:rsidRPr="00CD64D9" w:rsidRDefault="001B2AA0" w:rsidP="001B2AA0">
      <w:pPr>
        <w:ind w:left="720" w:hanging="720"/>
      </w:pPr>
      <w:r w:rsidRPr="00CD64D9">
        <w:t>[27]</w:t>
      </w:r>
      <w:r w:rsidRPr="00CD64D9">
        <w:tab/>
        <w:t xml:space="preserve">James, C., Denholm, R., &amp; Wood, R. (2024). The cost of keeping patients </w:t>
      </w:r>
      <w:proofErr w:type="gramStart"/>
      <w:r w:rsidRPr="00CD64D9">
        <w:t>waiting:</w:t>
      </w:r>
      <w:proofErr w:type="gramEnd"/>
      <w:r w:rsidRPr="00CD64D9">
        <w:t xml:space="preserve"> retrospective treatment-control study of additional healthcare utilisation for UK patients awaiting elective treatment. BMC Health Services Research, 24(1), 556. </w:t>
      </w:r>
      <w:hyperlink r:id="rId37" w:history="1">
        <w:r w:rsidRPr="00CD64D9">
          <w:rPr>
            <w:rStyle w:val="Hyperlink"/>
            <w:color w:val="auto"/>
          </w:rPr>
          <w:t>https://doi.org/10.1186/s12913-024-10931-2</w:t>
        </w:r>
      </w:hyperlink>
      <w:r w:rsidRPr="00CD64D9">
        <w:t xml:space="preserve">. </w:t>
      </w:r>
    </w:p>
    <w:p w14:paraId="42CF5949" w14:textId="77777777" w:rsidR="001B2AA0" w:rsidRPr="0008754B" w:rsidRDefault="001B2AA0" w:rsidP="001B2AA0">
      <w:pPr>
        <w:jc w:val="both"/>
      </w:pPr>
    </w:p>
    <w:p w14:paraId="634A5D84" w14:textId="234745B7" w:rsidR="000E3AF0" w:rsidRDefault="001B2AA0" w:rsidP="001B2AA0">
      <w:pPr>
        <w:ind w:left="720" w:hanging="720"/>
      </w:pPr>
      <w:r w:rsidRPr="00CD64D9">
        <w:t>[28]</w:t>
      </w:r>
      <w:r w:rsidRPr="00CD64D9">
        <w:tab/>
        <w:t xml:space="preserve">Office for National Statistics (2023). Rising ill-health and economic inactivity because of long-term sickness, UK: 2019 to 2023. </w:t>
      </w:r>
      <w:hyperlink r:id="rId38" w:history="1">
        <w:r w:rsidRPr="00CD64D9">
          <w:rPr>
            <w:rStyle w:val="Hyperlink"/>
            <w:color w:val="auto"/>
          </w:rPr>
          <w:t>https://www.ons.gov.uk/employmentandlabourmarket/peoplenotinwork/economicinactivity/articles/risingillhealthandeconomicinactivitybecauseoflongtermsicknessuk/2019to2023</w:t>
        </w:r>
      </w:hyperlink>
      <w:r w:rsidRPr="00CD64D9">
        <w:t>.</w:t>
      </w:r>
      <w:bookmarkEnd w:id="19"/>
    </w:p>
    <w:sectPr w:rsidR="000E3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A3E"/>
    <w:multiLevelType w:val="hybridMultilevel"/>
    <w:tmpl w:val="3724E2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C5C62"/>
    <w:multiLevelType w:val="hybridMultilevel"/>
    <w:tmpl w:val="80EC83B8"/>
    <w:lvl w:ilvl="0" w:tplc="047A05B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57E6D"/>
    <w:multiLevelType w:val="hybridMultilevel"/>
    <w:tmpl w:val="E206B69C"/>
    <w:lvl w:ilvl="0" w:tplc="BE264C9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812AA"/>
    <w:multiLevelType w:val="hybridMultilevel"/>
    <w:tmpl w:val="0F8E2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D6AA9"/>
    <w:multiLevelType w:val="hybridMultilevel"/>
    <w:tmpl w:val="3724E286"/>
    <w:lvl w:ilvl="0" w:tplc="51CED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C5C26"/>
    <w:multiLevelType w:val="multilevel"/>
    <w:tmpl w:val="D1F2A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A5E13"/>
    <w:multiLevelType w:val="hybridMultilevel"/>
    <w:tmpl w:val="A5B6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56C59"/>
    <w:multiLevelType w:val="hybridMultilevel"/>
    <w:tmpl w:val="7CD8FB9A"/>
    <w:lvl w:ilvl="0" w:tplc="5650B8F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9739F"/>
    <w:multiLevelType w:val="hybridMultilevel"/>
    <w:tmpl w:val="7F5A35E4"/>
    <w:lvl w:ilvl="0" w:tplc="2C24C4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E506A"/>
    <w:multiLevelType w:val="hybridMultilevel"/>
    <w:tmpl w:val="57E6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15D1B"/>
    <w:multiLevelType w:val="hybridMultilevel"/>
    <w:tmpl w:val="7F5A35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1188A"/>
    <w:multiLevelType w:val="hybridMultilevel"/>
    <w:tmpl w:val="4B123F2C"/>
    <w:lvl w:ilvl="0" w:tplc="019401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03C21"/>
    <w:multiLevelType w:val="hybridMultilevel"/>
    <w:tmpl w:val="85441BBA"/>
    <w:lvl w:ilvl="0" w:tplc="28768D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E797C"/>
    <w:multiLevelType w:val="hybridMultilevel"/>
    <w:tmpl w:val="DB8A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71F9"/>
    <w:multiLevelType w:val="hybridMultilevel"/>
    <w:tmpl w:val="5176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96519"/>
    <w:multiLevelType w:val="hybridMultilevel"/>
    <w:tmpl w:val="3724E2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97649D"/>
    <w:multiLevelType w:val="hybridMultilevel"/>
    <w:tmpl w:val="61601920"/>
    <w:lvl w:ilvl="0" w:tplc="3AD41FFC">
      <w:start w:val="1"/>
      <w:numFmt w:val="bullet"/>
      <w:lvlText w:val=""/>
      <w:lvlJc w:val="left"/>
      <w:pPr>
        <w:ind w:left="720" w:hanging="360"/>
      </w:pPr>
      <w:rPr>
        <w:rFonts w:ascii="Symbol" w:hAnsi="Symbol"/>
      </w:rPr>
    </w:lvl>
    <w:lvl w:ilvl="1" w:tplc="7EEEF0D2">
      <w:start w:val="1"/>
      <w:numFmt w:val="bullet"/>
      <w:lvlText w:val=""/>
      <w:lvlJc w:val="left"/>
      <w:pPr>
        <w:ind w:left="720" w:hanging="360"/>
      </w:pPr>
      <w:rPr>
        <w:rFonts w:ascii="Symbol" w:hAnsi="Symbol"/>
      </w:rPr>
    </w:lvl>
    <w:lvl w:ilvl="2" w:tplc="6C2AF40E">
      <w:start w:val="1"/>
      <w:numFmt w:val="bullet"/>
      <w:lvlText w:val=""/>
      <w:lvlJc w:val="left"/>
      <w:pPr>
        <w:ind w:left="720" w:hanging="360"/>
      </w:pPr>
      <w:rPr>
        <w:rFonts w:ascii="Symbol" w:hAnsi="Symbol"/>
      </w:rPr>
    </w:lvl>
    <w:lvl w:ilvl="3" w:tplc="791A7C7E">
      <w:start w:val="1"/>
      <w:numFmt w:val="bullet"/>
      <w:lvlText w:val=""/>
      <w:lvlJc w:val="left"/>
      <w:pPr>
        <w:ind w:left="720" w:hanging="360"/>
      </w:pPr>
      <w:rPr>
        <w:rFonts w:ascii="Symbol" w:hAnsi="Symbol"/>
      </w:rPr>
    </w:lvl>
    <w:lvl w:ilvl="4" w:tplc="727689DC">
      <w:start w:val="1"/>
      <w:numFmt w:val="bullet"/>
      <w:lvlText w:val=""/>
      <w:lvlJc w:val="left"/>
      <w:pPr>
        <w:ind w:left="720" w:hanging="360"/>
      </w:pPr>
      <w:rPr>
        <w:rFonts w:ascii="Symbol" w:hAnsi="Symbol"/>
      </w:rPr>
    </w:lvl>
    <w:lvl w:ilvl="5" w:tplc="496AE018">
      <w:start w:val="1"/>
      <w:numFmt w:val="bullet"/>
      <w:lvlText w:val=""/>
      <w:lvlJc w:val="left"/>
      <w:pPr>
        <w:ind w:left="720" w:hanging="360"/>
      </w:pPr>
      <w:rPr>
        <w:rFonts w:ascii="Symbol" w:hAnsi="Symbol"/>
      </w:rPr>
    </w:lvl>
    <w:lvl w:ilvl="6" w:tplc="9CFAC570">
      <w:start w:val="1"/>
      <w:numFmt w:val="bullet"/>
      <w:lvlText w:val=""/>
      <w:lvlJc w:val="left"/>
      <w:pPr>
        <w:ind w:left="720" w:hanging="360"/>
      </w:pPr>
      <w:rPr>
        <w:rFonts w:ascii="Symbol" w:hAnsi="Symbol"/>
      </w:rPr>
    </w:lvl>
    <w:lvl w:ilvl="7" w:tplc="17101CE0">
      <w:start w:val="1"/>
      <w:numFmt w:val="bullet"/>
      <w:lvlText w:val=""/>
      <w:lvlJc w:val="left"/>
      <w:pPr>
        <w:ind w:left="720" w:hanging="360"/>
      </w:pPr>
      <w:rPr>
        <w:rFonts w:ascii="Symbol" w:hAnsi="Symbol"/>
      </w:rPr>
    </w:lvl>
    <w:lvl w:ilvl="8" w:tplc="2EEEB654">
      <w:start w:val="1"/>
      <w:numFmt w:val="bullet"/>
      <w:lvlText w:val=""/>
      <w:lvlJc w:val="left"/>
      <w:pPr>
        <w:ind w:left="720" w:hanging="360"/>
      </w:pPr>
      <w:rPr>
        <w:rFonts w:ascii="Symbol" w:hAnsi="Symbol"/>
      </w:rPr>
    </w:lvl>
  </w:abstractNum>
  <w:abstractNum w:abstractNumId="17" w15:restartNumberingAfterBreak="0">
    <w:nsid w:val="47E144D5"/>
    <w:multiLevelType w:val="hybridMultilevel"/>
    <w:tmpl w:val="B6C40DFC"/>
    <w:lvl w:ilvl="0" w:tplc="DEDE7652">
      <w:start w:val="1"/>
      <w:numFmt w:val="bullet"/>
      <w:lvlText w:val=""/>
      <w:lvlJc w:val="left"/>
      <w:pPr>
        <w:ind w:left="720" w:hanging="360"/>
      </w:pPr>
      <w:rPr>
        <w:rFonts w:ascii="Symbol" w:hAnsi="Symbol"/>
      </w:rPr>
    </w:lvl>
    <w:lvl w:ilvl="1" w:tplc="9B98ADFA">
      <w:start w:val="1"/>
      <w:numFmt w:val="bullet"/>
      <w:lvlText w:val=""/>
      <w:lvlJc w:val="left"/>
      <w:pPr>
        <w:ind w:left="720" w:hanging="360"/>
      </w:pPr>
      <w:rPr>
        <w:rFonts w:ascii="Symbol" w:hAnsi="Symbol"/>
      </w:rPr>
    </w:lvl>
    <w:lvl w:ilvl="2" w:tplc="F95E439E">
      <w:start w:val="1"/>
      <w:numFmt w:val="bullet"/>
      <w:lvlText w:val=""/>
      <w:lvlJc w:val="left"/>
      <w:pPr>
        <w:ind w:left="720" w:hanging="360"/>
      </w:pPr>
      <w:rPr>
        <w:rFonts w:ascii="Symbol" w:hAnsi="Symbol"/>
      </w:rPr>
    </w:lvl>
    <w:lvl w:ilvl="3" w:tplc="58FC2114">
      <w:start w:val="1"/>
      <w:numFmt w:val="bullet"/>
      <w:lvlText w:val=""/>
      <w:lvlJc w:val="left"/>
      <w:pPr>
        <w:ind w:left="720" w:hanging="360"/>
      </w:pPr>
      <w:rPr>
        <w:rFonts w:ascii="Symbol" w:hAnsi="Symbol"/>
      </w:rPr>
    </w:lvl>
    <w:lvl w:ilvl="4" w:tplc="42A40536">
      <w:start w:val="1"/>
      <w:numFmt w:val="bullet"/>
      <w:lvlText w:val=""/>
      <w:lvlJc w:val="left"/>
      <w:pPr>
        <w:ind w:left="720" w:hanging="360"/>
      </w:pPr>
      <w:rPr>
        <w:rFonts w:ascii="Symbol" w:hAnsi="Symbol"/>
      </w:rPr>
    </w:lvl>
    <w:lvl w:ilvl="5" w:tplc="297E2AA8">
      <w:start w:val="1"/>
      <w:numFmt w:val="bullet"/>
      <w:lvlText w:val=""/>
      <w:lvlJc w:val="left"/>
      <w:pPr>
        <w:ind w:left="720" w:hanging="360"/>
      </w:pPr>
      <w:rPr>
        <w:rFonts w:ascii="Symbol" w:hAnsi="Symbol"/>
      </w:rPr>
    </w:lvl>
    <w:lvl w:ilvl="6" w:tplc="C688E4EC">
      <w:start w:val="1"/>
      <w:numFmt w:val="bullet"/>
      <w:lvlText w:val=""/>
      <w:lvlJc w:val="left"/>
      <w:pPr>
        <w:ind w:left="720" w:hanging="360"/>
      </w:pPr>
      <w:rPr>
        <w:rFonts w:ascii="Symbol" w:hAnsi="Symbol"/>
      </w:rPr>
    </w:lvl>
    <w:lvl w:ilvl="7" w:tplc="C4C437E4">
      <w:start w:val="1"/>
      <w:numFmt w:val="bullet"/>
      <w:lvlText w:val=""/>
      <w:lvlJc w:val="left"/>
      <w:pPr>
        <w:ind w:left="720" w:hanging="360"/>
      </w:pPr>
      <w:rPr>
        <w:rFonts w:ascii="Symbol" w:hAnsi="Symbol"/>
      </w:rPr>
    </w:lvl>
    <w:lvl w:ilvl="8" w:tplc="8514E438">
      <w:start w:val="1"/>
      <w:numFmt w:val="bullet"/>
      <w:lvlText w:val=""/>
      <w:lvlJc w:val="left"/>
      <w:pPr>
        <w:ind w:left="720" w:hanging="360"/>
      </w:pPr>
      <w:rPr>
        <w:rFonts w:ascii="Symbol" w:hAnsi="Symbol"/>
      </w:rPr>
    </w:lvl>
  </w:abstractNum>
  <w:abstractNum w:abstractNumId="18" w15:restartNumberingAfterBreak="0">
    <w:nsid w:val="480F29CC"/>
    <w:multiLevelType w:val="hybridMultilevel"/>
    <w:tmpl w:val="50E6D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B154F"/>
    <w:multiLevelType w:val="hybridMultilevel"/>
    <w:tmpl w:val="314A4544"/>
    <w:lvl w:ilvl="0" w:tplc="0F0A43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559EF"/>
    <w:multiLevelType w:val="hybridMultilevel"/>
    <w:tmpl w:val="FEB40D00"/>
    <w:lvl w:ilvl="0" w:tplc="19CCE6C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7B1BB2"/>
    <w:multiLevelType w:val="hybridMultilevel"/>
    <w:tmpl w:val="5550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E7A6A"/>
    <w:multiLevelType w:val="hybridMultilevel"/>
    <w:tmpl w:val="EEE42F20"/>
    <w:lvl w:ilvl="0" w:tplc="19CCE6C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B5BE9"/>
    <w:multiLevelType w:val="hybridMultilevel"/>
    <w:tmpl w:val="E1B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0647A"/>
    <w:multiLevelType w:val="hybridMultilevel"/>
    <w:tmpl w:val="8B64E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54930"/>
    <w:multiLevelType w:val="hybridMultilevel"/>
    <w:tmpl w:val="3724E2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FA3E9D"/>
    <w:multiLevelType w:val="hybridMultilevel"/>
    <w:tmpl w:val="911C5EAC"/>
    <w:lvl w:ilvl="0" w:tplc="481243EE">
      <w:start w:val="1"/>
      <w:numFmt w:val="bullet"/>
      <w:lvlText w:val=""/>
      <w:lvlJc w:val="left"/>
      <w:pPr>
        <w:ind w:left="720" w:hanging="360"/>
      </w:pPr>
      <w:rPr>
        <w:rFonts w:ascii="Symbol" w:hAnsi="Symbol"/>
      </w:rPr>
    </w:lvl>
    <w:lvl w:ilvl="1" w:tplc="7B562C60">
      <w:start w:val="1"/>
      <w:numFmt w:val="bullet"/>
      <w:lvlText w:val=""/>
      <w:lvlJc w:val="left"/>
      <w:pPr>
        <w:ind w:left="720" w:hanging="360"/>
      </w:pPr>
      <w:rPr>
        <w:rFonts w:ascii="Symbol" w:hAnsi="Symbol"/>
      </w:rPr>
    </w:lvl>
    <w:lvl w:ilvl="2" w:tplc="D66C9FBA">
      <w:start w:val="1"/>
      <w:numFmt w:val="bullet"/>
      <w:lvlText w:val=""/>
      <w:lvlJc w:val="left"/>
      <w:pPr>
        <w:ind w:left="720" w:hanging="360"/>
      </w:pPr>
      <w:rPr>
        <w:rFonts w:ascii="Symbol" w:hAnsi="Symbol"/>
      </w:rPr>
    </w:lvl>
    <w:lvl w:ilvl="3" w:tplc="44363CE2">
      <w:start w:val="1"/>
      <w:numFmt w:val="bullet"/>
      <w:lvlText w:val=""/>
      <w:lvlJc w:val="left"/>
      <w:pPr>
        <w:ind w:left="720" w:hanging="360"/>
      </w:pPr>
      <w:rPr>
        <w:rFonts w:ascii="Symbol" w:hAnsi="Symbol"/>
      </w:rPr>
    </w:lvl>
    <w:lvl w:ilvl="4" w:tplc="29922C14">
      <w:start w:val="1"/>
      <w:numFmt w:val="bullet"/>
      <w:lvlText w:val=""/>
      <w:lvlJc w:val="left"/>
      <w:pPr>
        <w:ind w:left="720" w:hanging="360"/>
      </w:pPr>
      <w:rPr>
        <w:rFonts w:ascii="Symbol" w:hAnsi="Symbol"/>
      </w:rPr>
    </w:lvl>
    <w:lvl w:ilvl="5" w:tplc="54D83D96">
      <w:start w:val="1"/>
      <w:numFmt w:val="bullet"/>
      <w:lvlText w:val=""/>
      <w:lvlJc w:val="left"/>
      <w:pPr>
        <w:ind w:left="720" w:hanging="360"/>
      </w:pPr>
      <w:rPr>
        <w:rFonts w:ascii="Symbol" w:hAnsi="Symbol"/>
      </w:rPr>
    </w:lvl>
    <w:lvl w:ilvl="6" w:tplc="02ACBA42">
      <w:start w:val="1"/>
      <w:numFmt w:val="bullet"/>
      <w:lvlText w:val=""/>
      <w:lvlJc w:val="left"/>
      <w:pPr>
        <w:ind w:left="720" w:hanging="360"/>
      </w:pPr>
      <w:rPr>
        <w:rFonts w:ascii="Symbol" w:hAnsi="Symbol"/>
      </w:rPr>
    </w:lvl>
    <w:lvl w:ilvl="7" w:tplc="1EE81514">
      <w:start w:val="1"/>
      <w:numFmt w:val="bullet"/>
      <w:lvlText w:val=""/>
      <w:lvlJc w:val="left"/>
      <w:pPr>
        <w:ind w:left="720" w:hanging="360"/>
      </w:pPr>
      <w:rPr>
        <w:rFonts w:ascii="Symbol" w:hAnsi="Symbol"/>
      </w:rPr>
    </w:lvl>
    <w:lvl w:ilvl="8" w:tplc="13342D7C">
      <w:start w:val="1"/>
      <w:numFmt w:val="bullet"/>
      <w:lvlText w:val=""/>
      <w:lvlJc w:val="left"/>
      <w:pPr>
        <w:ind w:left="720" w:hanging="360"/>
      </w:pPr>
      <w:rPr>
        <w:rFonts w:ascii="Symbol" w:hAnsi="Symbol"/>
      </w:rPr>
    </w:lvl>
  </w:abstractNum>
  <w:num w:numId="1" w16cid:durableId="1932619090">
    <w:abstractNumId w:val="1"/>
  </w:num>
  <w:num w:numId="2" w16cid:durableId="779573512">
    <w:abstractNumId w:val="5"/>
  </w:num>
  <w:num w:numId="3" w16cid:durableId="273560725">
    <w:abstractNumId w:val="11"/>
  </w:num>
  <w:num w:numId="4" w16cid:durableId="1624077127">
    <w:abstractNumId w:val="6"/>
  </w:num>
  <w:num w:numId="5" w16cid:durableId="1499347604">
    <w:abstractNumId w:val="2"/>
  </w:num>
  <w:num w:numId="6" w16cid:durableId="1210148742">
    <w:abstractNumId w:val="12"/>
  </w:num>
  <w:num w:numId="7" w16cid:durableId="1876847320">
    <w:abstractNumId w:val="3"/>
  </w:num>
  <w:num w:numId="8" w16cid:durableId="680088946">
    <w:abstractNumId w:val="7"/>
  </w:num>
  <w:num w:numId="9" w16cid:durableId="1193568796">
    <w:abstractNumId w:val="23"/>
  </w:num>
  <w:num w:numId="10" w16cid:durableId="1622566939">
    <w:abstractNumId w:val="13"/>
  </w:num>
  <w:num w:numId="11" w16cid:durableId="53705071">
    <w:abstractNumId w:val="9"/>
  </w:num>
  <w:num w:numId="12" w16cid:durableId="622535716">
    <w:abstractNumId w:val="14"/>
  </w:num>
  <w:num w:numId="13" w16cid:durableId="2146239613">
    <w:abstractNumId w:val="22"/>
  </w:num>
  <w:num w:numId="14" w16cid:durableId="939945131">
    <w:abstractNumId w:val="4"/>
  </w:num>
  <w:num w:numId="15" w16cid:durableId="1438522813">
    <w:abstractNumId w:val="8"/>
  </w:num>
  <w:num w:numId="16" w16cid:durableId="1117681868">
    <w:abstractNumId w:val="19"/>
  </w:num>
  <w:num w:numId="17" w16cid:durableId="641927687">
    <w:abstractNumId w:val="0"/>
  </w:num>
  <w:num w:numId="18" w16cid:durableId="2077316445">
    <w:abstractNumId w:val="25"/>
  </w:num>
  <w:num w:numId="19" w16cid:durableId="963847221">
    <w:abstractNumId w:val="21"/>
  </w:num>
  <w:num w:numId="20" w16cid:durableId="1558783084">
    <w:abstractNumId w:val="20"/>
  </w:num>
  <w:num w:numId="21" w16cid:durableId="719330376">
    <w:abstractNumId w:val="15"/>
  </w:num>
  <w:num w:numId="22" w16cid:durableId="591010313">
    <w:abstractNumId w:val="10"/>
  </w:num>
  <w:num w:numId="23" w16cid:durableId="1625186078">
    <w:abstractNumId w:val="24"/>
  </w:num>
  <w:num w:numId="24" w16cid:durableId="1683777768">
    <w:abstractNumId w:val="18"/>
  </w:num>
  <w:num w:numId="25" w16cid:durableId="849637964">
    <w:abstractNumId w:val="26"/>
  </w:num>
  <w:num w:numId="26" w16cid:durableId="1768966856">
    <w:abstractNumId w:val="17"/>
  </w:num>
  <w:num w:numId="27" w16cid:durableId="753012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5F"/>
    <w:rsid w:val="000017F6"/>
    <w:rsid w:val="000064D4"/>
    <w:rsid w:val="000212B3"/>
    <w:rsid w:val="000218D4"/>
    <w:rsid w:val="000317FF"/>
    <w:rsid w:val="00031D0A"/>
    <w:rsid w:val="000349F0"/>
    <w:rsid w:val="00035682"/>
    <w:rsid w:val="00037E1F"/>
    <w:rsid w:val="000407EF"/>
    <w:rsid w:val="00045BCA"/>
    <w:rsid w:val="00047113"/>
    <w:rsid w:val="000531B9"/>
    <w:rsid w:val="00053403"/>
    <w:rsid w:val="00055F1F"/>
    <w:rsid w:val="00064C43"/>
    <w:rsid w:val="00065672"/>
    <w:rsid w:val="00066662"/>
    <w:rsid w:val="00072F06"/>
    <w:rsid w:val="0008754B"/>
    <w:rsid w:val="00090BAA"/>
    <w:rsid w:val="00093B68"/>
    <w:rsid w:val="00096A1F"/>
    <w:rsid w:val="00096F8E"/>
    <w:rsid w:val="000A0876"/>
    <w:rsid w:val="000A4D3A"/>
    <w:rsid w:val="000A6E9A"/>
    <w:rsid w:val="000B025C"/>
    <w:rsid w:val="000B0689"/>
    <w:rsid w:val="000B3331"/>
    <w:rsid w:val="000B5910"/>
    <w:rsid w:val="000C2085"/>
    <w:rsid w:val="000C5CAC"/>
    <w:rsid w:val="000C6CCD"/>
    <w:rsid w:val="000C74F4"/>
    <w:rsid w:val="000C76A8"/>
    <w:rsid w:val="000D003E"/>
    <w:rsid w:val="000D5EF0"/>
    <w:rsid w:val="000D61BC"/>
    <w:rsid w:val="000D740B"/>
    <w:rsid w:val="000E07F7"/>
    <w:rsid w:val="000E2108"/>
    <w:rsid w:val="000E3940"/>
    <w:rsid w:val="000E3AF0"/>
    <w:rsid w:val="000E3E51"/>
    <w:rsid w:val="000E7122"/>
    <w:rsid w:val="000E71DA"/>
    <w:rsid w:val="000F0CD9"/>
    <w:rsid w:val="000F2321"/>
    <w:rsid w:val="000F79CB"/>
    <w:rsid w:val="00100EBA"/>
    <w:rsid w:val="00103537"/>
    <w:rsid w:val="00106A1D"/>
    <w:rsid w:val="00107650"/>
    <w:rsid w:val="00120158"/>
    <w:rsid w:val="00120437"/>
    <w:rsid w:val="001225C0"/>
    <w:rsid w:val="001228C5"/>
    <w:rsid w:val="00122953"/>
    <w:rsid w:val="00131E04"/>
    <w:rsid w:val="00133281"/>
    <w:rsid w:val="0013353E"/>
    <w:rsid w:val="001343AB"/>
    <w:rsid w:val="00134656"/>
    <w:rsid w:val="0013482C"/>
    <w:rsid w:val="001350B4"/>
    <w:rsid w:val="001352EA"/>
    <w:rsid w:val="00143B44"/>
    <w:rsid w:val="0014532A"/>
    <w:rsid w:val="00154249"/>
    <w:rsid w:val="00157210"/>
    <w:rsid w:val="00160657"/>
    <w:rsid w:val="00161E4B"/>
    <w:rsid w:val="00163EDD"/>
    <w:rsid w:val="0016432B"/>
    <w:rsid w:val="00164678"/>
    <w:rsid w:val="0016758D"/>
    <w:rsid w:val="0017242A"/>
    <w:rsid w:val="00174AE9"/>
    <w:rsid w:val="00174CEC"/>
    <w:rsid w:val="0018526F"/>
    <w:rsid w:val="00190BB6"/>
    <w:rsid w:val="00191262"/>
    <w:rsid w:val="001924A7"/>
    <w:rsid w:val="00193D29"/>
    <w:rsid w:val="0019595D"/>
    <w:rsid w:val="0019628F"/>
    <w:rsid w:val="0019634A"/>
    <w:rsid w:val="00197FA0"/>
    <w:rsid w:val="001A2195"/>
    <w:rsid w:val="001A5A2D"/>
    <w:rsid w:val="001B12E5"/>
    <w:rsid w:val="001B2AA0"/>
    <w:rsid w:val="001B2BC6"/>
    <w:rsid w:val="001B5483"/>
    <w:rsid w:val="001C4729"/>
    <w:rsid w:val="001C6DA0"/>
    <w:rsid w:val="001D0B21"/>
    <w:rsid w:val="001D143C"/>
    <w:rsid w:val="001D232C"/>
    <w:rsid w:val="001D358A"/>
    <w:rsid w:val="001D5B21"/>
    <w:rsid w:val="001D6A19"/>
    <w:rsid w:val="001D6C16"/>
    <w:rsid w:val="001E124E"/>
    <w:rsid w:val="001E4A64"/>
    <w:rsid w:val="001E61C1"/>
    <w:rsid w:val="001E6468"/>
    <w:rsid w:val="001F0F15"/>
    <w:rsid w:val="001F1914"/>
    <w:rsid w:val="001F2A0A"/>
    <w:rsid w:val="001F6388"/>
    <w:rsid w:val="001F6806"/>
    <w:rsid w:val="001F7638"/>
    <w:rsid w:val="001F7A85"/>
    <w:rsid w:val="002017E2"/>
    <w:rsid w:val="00201839"/>
    <w:rsid w:val="00203561"/>
    <w:rsid w:val="0020383E"/>
    <w:rsid w:val="00204E0C"/>
    <w:rsid w:val="00206AD2"/>
    <w:rsid w:val="002074D1"/>
    <w:rsid w:val="00212194"/>
    <w:rsid w:val="00213958"/>
    <w:rsid w:val="0022197C"/>
    <w:rsid w:val="00221A49"/>
    <w:rsid w:val="00223506"/>
    <w:rsid w:val="00224550"/>
    <w:rsid w:val="00224DB1"/>
    <w:rsid w:val="0023126F"/>
    <w:rsid w:val="00232B56"/>
    <w:rsid w:val="00233AA5"/>
    <w:rsid w:val="002359AD"/>
    <w:rsid w:val="00235CA5"/>
    <w:rsid w:val="002366C1"/>
    <w:rsid w:val="002419FD"/>
    <w:rsid w:val="002425C7"/>
    <w:rsid w:val="00247A6A"/>
    <w:rsid w:val="002513C4"/>
    <w:rsid w:val="00254E54"/>
    <w:rsid w:val="002600A5"/>
    <w:rsid w:val="00260DAC"/>
    <w:rsid w:val="00265923"/>
    <w:rsid w:val="002710F5"/>
    <w:rsid w:val="00271CF1"/>
    <w:rsid w:val="0027229A"/>
    <w:rsid w:val="002723A5"/>
    <w:rsid w:val="00275541"/>
    <w:rsid w:val="00282EC1"/>
    <w:rsid w:val="00287B18"/>
    <w:rsid w:val="002907BB"/>
    <w:rsid w:val="00293067"/>
    <w:rsid w:val="00293481"/>
    <w:rsid w:val="0029436C"/>
    <w:rsid w:val="00295261"/>
    <w:rsid w:val="002A006F"/>
    <w:rsid w:val="002A2C0D"/>
    <w:rsid w:val="002A51EC"/>
    <w:rsid w:val="002A5CF8"/>
    <w:rsid w:val="002B0042"/>
    <w:rsid w:val="002B3359"/>
    <w:rsid w:val="002B55C5"/>
    <w:rsid w:val="002B7AC8"/>
    <w:rsid w:val="002C1C4E"/>
    <w:rsid w:val="002D48D4"/>
    <w:rsid w:val="002D7628"/>
    <w:rsid w:val="002E2880"/>
    <w:rsid w:val="002E29B2"/>
    <w:rsid w:val="002E3587"/>
    <w:rsid w:val="002E4192"/>
    <w:rsid w:val="002E7CBC"/>
    <w:rsid w:val="002E7F15"/>
    <w:rsid w:val="002F042E"/>
    <w:rsid w:val="002F23CE"/>
    <w:rsid w:val="002F410B"/>
    <w:rsid w:val="002F682B"/>
    <w:rsid w:val="002F7915"/>
    <w:rsid w:val="00304FFB"/>
    <w:rsid w:val="003059D9"/>
    <w:rsid w:val="00307E53"/>
    <w:rsid w:val="00317BDA"/>
    <w:rsid w:val="00321BB6"/>
    <w:rsid w:val="00323B53"/>
    <w:rsid w:val="0033034C"/>
    <w:rsid w:val="0033059C"/>
    <w:rsid w:val="00332EF5"/>
    <w:rsid w:val="00333105"/>
    <w:rsid w:val="003356FF"/>
    <w:rsid w:val="003376F8"/>
    <w:rsid w:val="00345E4D"/>
    <w:rsid w:val="00345FE3"/>
    <w:rsid w:val="003460BC"/>
    <w:rsid w:val="00352CD3"/>
    <w:rsid w:val="00357083"/>
    <w:rsid w:val="00357624"/>
    <w:rsid w:val="003628CA"/>
    <w:rsid w:val="003634AD"/>
    <w:rsid w:val="00363D21"/>
    <w:rsid w:val="00364118"/>
    <w:rsid w:val="003651CE"/>
    <w:rsid w:val="003659C7"/>
    <w:rsid w:val="00366728"/>
    <w:rsid w:val="00367759"/>
    <w:rsid w:val="00367FF7"/>
    <w:rsid w:val="00376C32"/>
    <w:rsid w:val="0038145D"/>
    <w:rsid w:val="00381925"/>
    <w:rsid w:val="00383D17"/>
    <w:rsid w:val="00397DE0"/>
    <w:rsid w:val="003A28E0"/>
    <w:rsid w:val="003A3443"/>
    <w:rsid w:val="003A3F72"/>
    <w:rsid w:val="003A797B"/>
    <w:rsid w:val="003A7E02"/>
    <w:rsid w:val="003B0AEB"/>
    <w:rsid w:val="003B2967"/>
    <w:rsid w:val="003B4B1C"/>
    <w:rsid w:val="003C0D1A"/>
    <w:rsid w:val="003C1BA8"/>
    <w:rsid w:val="003C408D"/>
    <w:rsid w:val="003C7561"/>
    <w:rsid w:val="003D54FB"/>
    <w:rsid w:val="003D5B9D"/>
    <w:rsid w:val="003D66B9"/>
    <w:rsid w:val="003D713A"/>
    <w:rsid w:val="003E151C"/>
    <w:rsid w:val="003E1866"/>
    <w:rsid w:val="003E1CB1"/>
    <w:rsid w:val="003E44A8"/>
    <w:rsid w:val="003E610E"/>
    <w:rsid w:val="003F0668"/>
    <w:rsid w:val="003F20E3"/>
    <w:rsid w:val="003F3D9E"/>
    <w:rsid w:val="003F6808"/>
    <w:rsid w:val="003F777B"/>
    <w:rsid w:val="004009F8"/>
    <w:rsid w:val="00401466"/>
    <w:rsid w:val="004016F3"/>
    <w:rsid w:val="00402F4B"/>
    <w:rsid w:val="00403E8D"/>
    <w:rsid w:val="004112DD"/>
    <w:rsid w:val="004142BA"/>
    <w:rsid w:val="00414C73"/>
    <w:rsid w:val="00417FF0"/>
    <w:rsid w:val="0042421C"/>
    <w:rsid w:val="00425E4F"/>
    <w:rsid w:val="00432B1E"/>
    <w:rsid w:val="004346BE"/>
    <w:rsid w:val="004375E9"/>
    <w:rsid w:val="00437935"/>
    <w:rsid w:val="00437EC8"/>
    <w:rsid w:val="00437F44"/>
    <w:rsid w:val="00441F2F"/>
    <w:rsid w:val="00441FC1"/>
    <w:rsid w:val="004433C4"/>
    <w:rsid w:val="004455C0"/>
    <w:rsid w:val="00445ED8"/>
    <w:rsid w:val="00450663"/>
    <w:rsid w:val="00450FE2"/>
    <w:rsid w:val="004512F3"/>
    <w:rsid w:val="004516C0"/>
    <w:rsid w:val="0045224C"/>
    <w:rsid w:val="00462A0B"/>
    <w:rsid w:val="004650AA"/>
    <w:rsid w:val="004666D4"/>
    <w:rsid w:val="00470005"/>
    <w:rsid w:val="004713EC"/>
    <w:rsid w:val="00472AD6"/>
    <w:rsid w:val="0047404B"/>
    <w:rsid w:val="004741D4"/>
    <w:rsid w:val="00475A5C"/>
    <w:rsid w:val="00475D8E"/>
    <w:rsid w:val="00476F23"/>
    <w:rsid w:val="00480E4A"/>
    <w:rsid w:val="004821AC"/>
    <w:rsid w:val="004839A3"/>
    <w:rsid w:val="00485613"/>
    <w:rsid w:val="00485FF6"/>
    <w:rsid w:val="0048682C"/>
    <w:rsid w:val="00490A29"/>
    <w:rsid w:val="00491695"/>
    <w:rsid w:val="00492B5B"/>
    <w:rsid w:val="004963C3"/>
    <w:rsid w:val="004A5016"/>
    <w:rsid w:val="004A5D0D"/>
    <w:rsid w:val="004B18FA"/>
    <w:rsid w:val="004B2E75"/>
    <w:rsid w:val="004B4EF0"/>
    <w:rsid w:val="004B6600"/>
    <w:rsid w:val="004B75BE"/>
    <w:rsid w:val="004C28C8"/>
    <w:rsid w:val="004C5227"/>
    <w:rsid w:val="004D5815"/>
    <w:rsid w:val="004E0A58"/>
    <w:rsid w:val="004E2FDC"/>
    <w:rsid w:val="004E3D8D"/>
    <w:rsid w:val="004E6B71"/>
    <w:rsid w:val="004F00CD"/>
    <w:rsid w:val="004F0CE7"/>
    <w:rsid w:val="004F1916"/>
    <w:rsid w:val="004F1A1F"/>
    <w:rsid w:val="004F3B68"/>
    <w:rsid w:val="004F59C9"/>
    <w:rsid w:val="004F7A11"/>
    <w:rsid w:val="0050121A"/>
    <w:rsid w:val="0050465F"/>
    <w:rsid w:val="005048AB"/>
    <w:rsid w:val="00507C5E"/>
    <w:rsid w:val="00510062"/>
    <w:rsid w:val="00513527"/>
    <w:rsid w:val="005205DF"/>
    <w:rsid w:val="00520CCF"/>
    <w:rsid w:val="00521887"/>
    <w:rsid w:val="00522FEE"/>
    <w:rsid w:val="00525042"/>
    <w:rsid w:val="005359E7"/>
    <w:rsid w:val="005363FF"/>
    <w:rsid w:val="00536865"/>
    <w:rsid w:val="00537067"/>
    <w:rsid w:val="005374F4"/>
    <w:rsid w:val="00537E71"/>
    <w:rsid w:val="00541F27"/>
    <w:rsid w:val="00542234"/>
    <w:rsid w:val="0054378B"/>
    <w:rsid w:val="0054392A"/>
    <w:rsid w:val="005515FF"/>
    <w:rsid w:val="00552A19"/>
    <w:rsid w:val="0055332E"/>
    <w:rsid w:val="005537DA"/>
    <w:rsid w:val="005623D0"/>
    <w:rsid w:val="0056281C"/>
    <w:rsid w:val="00564EA3"/>
    <w:rsid w:val="00566CBD"/>
    <w:rsid w:val="005675FC"/>
    <w:rsid w:val="00571183"/>
    <w:rsid w:val="005727D3"/>
    <w:rsid w:val="00573760"/>
    <w:rsid w:val="00576E32"/>
    <w:rsid w:val="00585A3C"/>
    <w:rsid w:val="005866A8"/>
    <w:rsid w:val="00587110"/>
    <w:rsid w:val="00587B9D"/>
    <w:rsid w:val="00590488"/>
    <w:rsid w:val="005910AF"/>
    <w:rsid w:val="005952FD"/>
    <w:rsid w:val="005969B7"/>
    <w:rsid w:val="005A1210"/>
    <w:rsid w:val="005A17C7"/>
    <w:rsid w:val="005A5964"/>
    <w:rsid w:val="005A59F1"/>
    <w:rsid w:val="005A6BEF"/>
    <w:rsid w:val="005B08AC"/>
    <w:rsid w:val="005B10CE"/>
    <w:rsid w:val="005B14CC"/>
    <w:rsid w:val="005B2080"/>
    <w:rsid w:val="005B2D5E"/>
    <w:rsid w:val="005B5100"/>
    <w:rsid w:val="005B5B8D"/>
    <w:rsid w:val="005B6536"/>
    <w:rsid w:val="005B6E2E"/>
    <w:rsid w:val="005C4D89"/>
    <w:rsid w:val="005C5DB2"/>
    <w:rsid w:val="005C70B2"/>
    <w:rsid w:val="005D0657"/>
    <w:rsid w:val="005D264F"/>
    <w:rsid w:val="005D2E19"/>
    <w:rsid w:val="005D33EB"/>
    <w:rsid w:val="005D3589"/>
    <w:rsid w:val="005D4A25"/>
    <w:rsid w:val="005D5EBC"/>
    <w:rsid w:val="005D7B64"/>
    <w:rsid w:val="005E0568"/>
    <w:rsid w:val="005E0963"/>
    <w:rsid w:val="005E16FA"/>
    <w:rsid w:val="005E6985"/>
    <w:rsid w:val="005F3D89"/>
    <w:rsid w:val="005F6162"/>
    <w:rsid w:val="00600C26"/>
    <w:rsid w:val="00600D88"/>
    <w:rsid w:val="00604068"/>
    <w:rsid w:val="0060505E"/>
    <w:rsid w:val="0060767D"/>
    <w:rsid w:val="006131D4"/>
    <w:rsid w:val="00615A70"/>
    <w:rsid w:val="0062312E"/>
    <w:rsid w:val="006237BA"/>
    <w:rsid w:val="00625503"/>
    <w:rsid w:val="00633CF5"/>
    <w:rsid w:val="006341A7"/>
    <w:rsid w:val="0063487E"/>
    <w:rsid w:val="00636F71"/>
    <w:rsid w:val="0063799A"/>
    <w:rsid w:val="00640B8F"/>
    <w:rsid w:val="006430A5"/>
    <w:rsid w:val="00644ED1"/>
    <w:rsid w:val="00645B78"/>
    <w:rsid w:val="0065047D"/>
    <w:rsid w:val="00654735"/>
    <w:rsid w:val="00657836"/>
    <w:rsid w:val="006603B6"/>
    <w:rsid w:val="00660B83"/>
    <w:rsid w:val="00662A86"/>
    <w:rsid w:val="00663333"/>
    <w:rsid w:val="00663407"/>
    <w:rsid w:val="00665B43"/>
    <w:rsid w:val="006711A2"/>
    <w:rsid w:val="0067248D"/>
    <w:rsid w:val="0067433A"/>
    <w:rsid w:val="006770C2"/>
    <w:rsid w:val="006774E2"/>
    <w:rsid w:val="00680866"/>
    <w:rsid w:val="006826B8"/>
    <w:rsid w:val="00682CAD"/>
    <w:rsid w:val="00683744"/>
    <w:rsid w:val="00685E22"/>
    <w:rsid w:val="00686EC1"/>
    <w:rsid w:val="00686EFE"/>
    <w:rsid w:val="00687E3A"/>
    <w:rsid w:val="00690334"/>
    <w:rsid w:val="00692650"/>
    <w:rsid w:val="00693BC4"/>
    <w:rsid w:val="00695844"/>
    <w:rsid w:val="00695D35"/>
    <w:rsid w:val="006A3935"/>
    <w:rsid w:val="006A56F2"/>
    <w:rsid w:val="006A5A65"/>
    <w:rsid w:val="006A7CC6"/>
    <w:rsid w:val="006B2B9A"/>
    <w:rsid w:val="006B5184"/>
    <w:rsid w:val="006B5BC5"/>
    <w:rsid w:val="006B6647"/>
    <w:rsid w:val="006B775F"/>
    <w:rsid w:val="006B7760"/>
    <w:rsid w:val="006C10AE"/>
    <w:rsid w:val="006C1172"/>
    <w:rsid w:val="006C196C"/>
    <w:rsid w:val="006C2F97"/>
    <w:rsid w:val="006C34C4"/>
    <w:rsid w:val="006C35DA"/>
    <w:rsid w:val="006C56B1"/>
    <w:rsid w:val="006C5866"/>
    <w:rsid w:val="006D0BDB"/>
    <w:rsid w:val="006D16C0"/>
    <w:rsid w:val="006D6C8B"/>
    <w:rsid w:val="006D78C7"/>
    <w:rsid w:val="006E3F28"/>
    <w:rsid w:val="006E5F0F"/>
    <w:rsid w:val="006F094F"/>
    <w:rsid w:val="006F65FB"/>
    <w:rsid w:val="006F6FE6"/>
    <w:rsid w:val="00700256"/>
    <w:rsid w:val="00700958"/>
    <w:rsid w:val="0070142F"/>
    <w:rsid w:val="00703CAB"/>
    <w:rsid w:val="00704092"/>
    <w:rsid w:val="00706195"/>
    <w:rsid w:val="00707413"/>
    <w:rsid w:val="00712838"/>
    <w:rsid w:val="007141FE"/>
    <w:rsid w:val="00716230"/>
    <w:rsid w:val="00716B6B"/>
    <w:rsid w:val="00716D5C"/>
    <w:rsid w:val="0071703B"/>
    <w:rsid w:val="00723506"/>
    <w:rsid w:val="00724B92"/>
    <w:rsid w:val="00725A29"/>
    <w:rsid w:val="00725E0F"/>
    <w:rsid w:val="0072613A"/>
    <w:rsid w:val="00727176"/>
    <w:rsid w:val="007316AA"/>
    <w:rsid w:val="00734FDC"/>
    <w:rsid w:val="00736AA5"/>
    <w:rsid w:val="0074176D"/>
    <w:rsid w:val="007419E8"/>
    <w:rsid w:val="00742193"/>
    <w:rsid w:val="00744C0C"/>
    <w:rsid w:val="0075326A"/>
    <w:rsid w:val="0075430C"/>
    <w:rsid w:val="0075519B"/>
    <w:rsid w:val="00757BB2"/>
    <w:rsid w:val="00757C1A"/>
    <w:rsid w:val="00762F12"/>
    <w:rsid w:val="00765261"/>
    <w:rsid w:val="007652F7"/>
    <w:rsid w:val="00767093"/>
    <w:rsid w:val="00767D24"/>
    <w:rsid w:val="007700C8"/>
    <w:rsid w:val="007716AA"/>
    <w:rsid w:val="00774682"/>
    <w:rsid w:val="0077621C"/>
    <w:rsid w:val="00777645"/>
    <w:rsid w:val="00783DFD"/>
    <w:rsid w:val="007875E4"/>
    <w:rsid w:val="007902C1"/>
    <w:rsid w:val="007915C9"/>
    <w:rsid w:val="00792016"/>
    <w:rsid w:val="00792759"/>
    <w:rsid w:val="007938B0"/>
    <w:rsid w:val="00795472"/>
    <w:rsid w:val="00796A0D"/>
    <w:rsid w:val="007A3BAC"/>
    <w:rsid w:val="007A5BB5"/>
    <w:rsid w:val="007B01B8"/>
    <w:rsid w:val="007C01D2"/>
    <w:rsid w:val="007C3E41"/>
    <w:rsid w:val="007C4476"/>
    <w:rsid w:val="007C66FD"/>
    <w:rsid w:val="007D166D"/>
    <w:rsid w:val="007D2E6D"/>
    <w:rsid w:val="007D4F52"/>
    <w:rsid w:val="007D7DF5"/>
    <w:rsid w:val="007E4294"/>
    <w:rsid w:val="007E58D0"/>
    <w:rsid w:val="007E5CD0"/>
    <w:rsid w:val="007F0F95"/>
    <w:rsid w:val="007F184B"/>
    <w:rsid w:val="007F2D04"/>
    <w:rsid w:val="007F4C13"/>
    <w:rsid w:val="00800A7D"/>
    <w:rsid w:val="00802CD0"/>
    <w:rsid w:val="008042CA"/>
    <w:rsid w:val="0080654B"/>
    <w:rsid w:val="00806EFD"/>
    <w:rsid w:val="008135E4"/>
    <w:rsid w:val="00813A33"/>
    <w:rsid w:val="00820FA2"/>
    <w:rsid w:val="00822CF1"/>
    <w:rsid w:val="008261BC"/>
    <w:rsid w:val="008326E5"/>
    <w:rsid w:val="008326F1"/>
    <w:rsid w:val="008420F4"/>
    <w:rsid w:val="0084506D"/>
    <w:rsid w:val="00850099"/>
    <w:rsid w:val="0085074E"/>
    <w:rsid w:val="0085496D"/>
    <w:rsid w:val="00854C25"/>
    <w:rsid w:val="00854FC3"/>
    <w:rsid w:val="008606B3"/>
    <w:rsid w:val="008651B6"/>
    <w:rsid w:val="00870BA3"/>
    <w:rsid w:val="008733C0"/>
    <w:rsid w:val="00874BB5"/>
    <w:rsid w:val="00876487"/>
    <w:rsid w:val="00886A7C"/>
    <w:rsid w:val="008916D4"/>
    <w:rsid w:val="00892CF3"/>
    <w:rsid w:val="00892E9B"/>
    <w:rsid w:val="00893909"/>
    <w:rsid w:val="00893970"/>
    <w:rsid w:val="008A1BE6"/>
    <w:rsid w:val="008A2890"/>
    <w:rsid w:val="008A4AA6"/>
    <w:rsid w:val="008A7DCF"/>
    <w:rsid w:val="008B1A82"/>
    <w:rsid w:val="008B1DC2"/>
    <w:rsid w:val="008B3443"/>
    <w:rsid w:val="008B344C"/>
    <w:rsid w:val="008B478C"/>
    <w:rsid w:val="008B703A"/>
    <w:rsid w:val="008C0864"/>
    <w:rsid w:val="008C3F32"/>
    <w:rsid w:val="008C62E6"/>
    <w:rsid w:val="008C7815"/>
    <w:rsid w:val="008D1167"/>
    <w:rsid w:val="008D19C4"/>
    <w:rsid w:val="008D3E62"/>
    <w:rsid w:val="008D4E49"/>
    <w:rsid w:val="008D54C7"/>
    <w:rsid w:val="008D697C"/>
    <w:rsid w:val="008E0446"/>
    <w:rsid w:val="008E15F1"/>
    <w:rsid w:val="008E2D41"/>
    <w:rsid w:val="008E4193"/>
    <w:rsid w:val="008E5086"/>
    <w:rsid w:val="008E527B"/>
    <w:rsid w:val="008E5CF0"/>
    <w:rsid w:val="008E7A68"/>
    <w:rsid w:val="008F2ADE"/>
    <w:rsid w:val="008F485E"/>
    <w:rsid w:val="008F4A59"/>
    <w:rsid w:val="008F6ABC"/>
    <w:rsid w:val="00906354"/>
    <w:rsid w:val="00906545"/>
    <w:rsid w:val="0090762F"/>
    <w:rsid w:val="00907769"/>
    <w:rsid w:val="00907DF8"/>
    <w:rsid w:val="009131E7"/>
    <w:rsid w:val="0091621B"/>
    <w:rsid w:val="009166DF"/>
    <w:rsid w:val="009179C3"/>
    <w:rsid w:val="009276F9"/>
    <w:rsid w:val="00933ECC"/>
    <w:rsid w:val="0093756E"/>
    <w:rsid w:val="009401E8"/>
    <w:rsid w:val="00940ADB"/>
    <w:rsid w:val="00942F33"/>
    <w:rsid w:val="00944AB0"/>
    <w:rsid w:val="00951E4E"/>
    <w:rsid w:val="009539DE"/>
    <w:rsid w:val="00953A59"/>
    <w:rsid w:val="00953C6B"/>
    <w:rsid w:val="00955BA3"/>
    <w:rsid w:val="00957011"/>
    <w:rsid w:val="009613EF"/>
    <w:rsid w:val="00963726"/>
    <w:rsid w:val="00964353"/>
    <w:rsid w:val="009653DE"/>
    <w:rsid w:val="00966D8E"/>
    <w:rsid w:val="00970ADE"/>
    <w:rsid w:val="009717DE"/>
    <w:rsid w:val="0097429E"/>
    <w:rsid w:val="00974E22"/>
    <w:rsid w:val="0097539B"/>
    <w:rsid w:val="00975DDF"/>
    <w:rsid w:val="00977120"/>
    <w:rsid w:val="00977DD9"/>
    <w:rsid w:val="0098104E"/>
    <w:rsid w:val="00981D6D"/>
    <w:rsid w:val="0098470E"/>
    <w:rsid w:val="009909D1"/>
    <w:rsid w:val="00990EA7"/>
    <w:rsid w:val="00990F2C"/>
    <w:rsid w:val="0099170F"/>
    <w:rsid w:val="00991A67"/>
    <w:rsid w:val="009930E6"/>
    <w:rsid w:val="009A2F2D"/>
    <w:rsid w:val="009A3373"/>
    <w:rsid w:val="009A4833"/>
    <w:rsid w:val="009B0769"/>
    <w:rsid w:val="009B1841"/>
    <w:rsid w:val="009C0E56"/>
    <w:rsid w:val="009C51E9"/>
    <w:rsid w:val="009C5F58"/>
    <w:rsid w:val="009C748F"/>
    <w:rsid w:val="009D0A1B"/>
    <w:rsid w:val="009D3F0F"/>
    <w:rsid w:val="009D54D2"/>
    <w:rsid w:val="009E0687"/>
    <w:rsid w:val="009E09F4"/>
    <w:rsid w:val="009E1E2F"/>
    <w:rsid w:val="009E28E9"/>
    <w:rsid w:val="009E3BEE"/>
    <w:rsid w:val="009F268A"/>
    <w:rsid w:val="009F512C"/>
    <w:rsid w:val="009F5FFC"/>
    <w:rsid w:val="009F649B"/>
    <w:rsid w:val="009F69B5"/>
    <w:rsid w:val="009F7747"/>
    <w:rsid w:val="00A01159"/>
    <w:rsid w:val="00A03160"/>
    <w:rsid w:val="00A12FD3"/>
    <w:rsid w:val="00A1337F"/>
    <w:rsid w:val="00A16DE8"/>
    <w:rsid w:val="00A22860"/>
    <w:rsid w:val="00A22B60"/>
    <w:rsid w:val="00A2343B"/>
    <w:rsid w:val="00A23C14"/>
    <w:rsid w:val="00A25061"/>
    <w:rsid w:val="00A26F30"/>
    <w:rsid w:val="00A313E4"/>
    <w:rsid w:val="00A32DF1"/>
    <w:rsid w:val="00A33051"/>
    <w:rsid w:val="00A3402A"/>
    <w:rsid w:val="00A4096D"/>
    <w:rsid w:val="00A40BE4"/>
    <w:rsid w:val="00A412F6"/>
    <w:rsid w:val="00A42AAF"/>
    <w:rsid w:val="00A44230"/>
    <w:rsid w:val="00A4555E"/>
    <w:rsid w:val="00A50773"/>
    <w:rsid w:val="00A51E39"/>
    <w:rsid w:val="00A54486"/>
    <w:rsid w:val="00A544EB"/>
    <w:rsid w:val="00A57CCE"/>
    <w:rsid w:val="00A61706"/>
    <w:rsid w:val="00A65667"/>
    <w:rsid w:val="00A66973"/>
    <w:rsid w:val="00A67DAA"/>
    <w:rsid w:val="00A7017E"/>
    <w:rsid w:val="00A750DA"/>
    <w:rsid w:val="00A76155"/>
    <w:rsid w:val="00A7691C"/>
    <w:rsid w:val="00A7722B"/>
    <w:rsid w:val="00A81FEF"/>
    <w:rsid w:val="00A831C4"/>
    <w:rsid w:val="00A84A42"/>
    <w:rsid w:val="00A87EB4"/>
    <w:rsid w:val="00A93001"/>
    <w:rsid w:val="00A9306A"/>
    <w:rsid w:val="00A930E5"/>
    <w:rsid w:val="00A94995"/>
    <w:rsid w:val="00A94AE8"/>
    <w:rsid w:val="00A97098"/>
    <w:rsid w:val="00AA0398"/>
    <w:rsid w:val="00AA386A"/>
    <w:rsid w:val="00AA4675"/>
    <w:rsid w:val="00AA6EC8"/>
    <w:rsid w:val="00AA6F58"/>
    <w:rsid w:val="00AA777D"/>
    <w:rsid w:val="00AB1B21"/>
    <w:rsid w:val="00AB3954"/>
    <w:rsid w:val="00AB41DA"/>
    <w:rsid w:val="00AC2AA4"/>
    <w:rsid w:val="00AC2EB0"/>
    <w:rsid w:val="00AC7477"/>
    <w:rsid w:val="00AC74B0"/>
    <w:rsid w:val="00AC7E1B"/>
    <w:rsid w:val="00AD026A"/>
    <w:rsid w:val="00AD18E1"/>
    <w:rsid w:val="00AD3B5B"/>
    <w:rsid w:val="00AD4EB7"/>
    <w:rsid w:val="00AE0E22"/>
    <w:rsid w:val="00AE3652"/>
    <w:rsid w:val="00AE4BC4"/>
    <w:rsid w:val="00AF30B6"/>
    <w:rsid w:val="00AF7E48"/>
    <w:rsid w:val="00B03156"/>
    <w:rsid w:val="00B04575"/>
    <w:rsid w:val="00B10B0B"/>
    <w:rsid w:val="00B1126E"/>
    <w:rsid w:val="00B11EB0"/>
    <w:rsid w:val="00B12A1A"/>
    <w:rsid w:val="00B15D05"/>
    <w:rsid w:val="00B16DCA"/>
    <w:rsid w:val="00B177A1"/>
    <w:rsid w:val="00B17CE1"/>
    <w:rsid w:val="00B23424"/>
    <w:rsid w:val="00B2351A"/>
    <w:rsid w:val="00B2379E"/>
    <w:rsid w:val="00B23FCC"/>
    <w:rsid w:val="00B26228"/>
    <w:rsid w:val="00B2716D"/>
    <w:rsid w:val="00B277D3"/>
    <w:rsid w:val="00B2794C"/>
    <w:rsid w:val="00B33D76"/>
    <w:rsid w:val="00B346B8"/>
    <w:rsid w:val="00B35217"/>
    <w:rsid w:val="00B35EEE"/>
    <w:rsid w:val="00B40728"/>
    <w:rsid w:val="00B40D58"/>
    <w:rsid w:val="00B4328E"/>
    <w:rsid w:val="00B45223"/>
    <w:rsid w:val="00B47987"/>
    <w:rsid w:val="00B47A8F"/>
    <w:rsid w:val="00B47EA4"/>
    <w:rsid w:val="00B50B15"/>
    <w:rsid w:val="00B51501"/>
    <w:rsid w:val="00B553EB"/>
    <w:rsid w:val="00B735BE"/>
    <w:rsid w:val="00B76084"/>
    <w:rsid w:val="00B768DD"/>
    <w:rsid w:val="00B77572"/>
    <w:rsid w:val="00B8338C"/>
    <w:rsid w:val="00B83A51"/>
    <w:rsid w:val="00B84B69"/>
    <w:rsid w:val="00B850CB"/>
    <w:rsid w:val="00B86C29"/>
    <w:rsid w:val="00B97FEA"/>
    <w:rsid w:val="00BA4353"/>
    <w:rsid w:val="00BA77F4"/>
    <w:rsid w:val="00BB00E9"/>
    <w:rsid w:val="00BB08D2"/>
    <w:rsid w:val="00BB12EE"/>
    <w:rsid w:val="00BB21F6"/>
    <w:rsid w:val="00BB2331"/>
    <w:rsid w:val="00BB2EEB"/>
    <w:rsid w:val="00BB4EDC"/>
    <w:rsid w:val="00BB576F"/>
    <w:rsid w:val="00BB5895"/>
    <w:rsid w:val="00BB6F84"/>
    <w:rsid w:val="00BC0275"/>
    <w:rsid w:val="00BC1989"/>
    <w:rsid w:val="00BC2477"/>
    <w:rsid w:val="00BC4280"/>
    <w:rsid w:val="00BC664A"/>
    <w:rsid w:val="00BC7DD7"/>
    <w:rsid w:val="00BD1F19"/>
    <w:rsid w:val="00BD23AD"/>
    <w:rsid w:val="00BD2A19"/>
    <w:rsid w:val="00BD4558"/>
    <w:rsid w:val="00BD5BC6"/>
    <w:rsid w:val="00BD6D83"/>
    <w:rsid w:val="00BD7E25"/>
    <w:rsid w:val="00BE05C2"/>
    <w:rsid w:val="00BE16FA"/>
    <w:rsid w:val="00BE24D2"/>
    <w:rsid w:val="00BE34B8"/>
    <w:rsid w:val="00BE4FC8"/>
    <w:rsid w:val="00BE500A"/>
    <w:rsid w:val="00BE58CA"/>
    <w:rsid w:val="00BF3853"/>
    <w:rsid w:val="00BF4484"/>
    <w:rsid w:val="00BF44D7"/>
    <w:rsid w:val="00BF668B"/>
    <w:rsid w:val="00BF68DF"/>
    <w:rsid w:val="00C02D86"/>
    <w:rsid w:val="00C0562E"/>
    <w:rsid w:val="00C0737E"/>
    <w:rsid w:val="00C07425"/>
    <w:rsid w:val="00C10FA3"/>
    <w:rsid w:val="00C11018"/>
    <w:rsid w:val="00C128E0"/>
    <w:rsid w:val="00C2004A"/>
    <w:rsid w:val="00C202D8"/>
    <w:rsid w:val="00C20701"/>
    <w:rsid w:val="00C20EAA"/>
    <w:rsid w:val="00C254EC"/>
    <w:rsid w:val="00C3022B"/>
    <w:rsid w:val="00C315BE"/>
    <w:rsid w:val="00C31A30"/>
    <w:rsid w:val="00C32112"/>
    <w:rsid w:val="00C443BE"/>
    <w:rsid w:val="00C47EBB"/>
    <w:rsid w:val="00C50866"/>
    <w:rsid w:val="00C50DE7"/>
    <w:rsid w:val="00C57718"/>
    <w:rsid w:val="00C604D3"/>
    <w:rsid w:val="00C6087A"/>
    <w:rsid w:val="00C61283"/>
    <w:rsid w:val="00C72A35"/>
    <w:rsid w:val="00C8062A"/>
    <w:rsid w:val="00C83130"/>
    <w:rsid w:val="00C84954"/>
    <w:rsid w:val="00C958BD"/>
    <w:rsid w:val="00C97A9E"/>
    <w:rsid w:val="00C97AD1"/>
    <w:rsid w:val="00CA0971"/>
    <w:rsid w:val="00CA5A8C"/>
    <w:rsid w:val="00CB0020"/>
    <w:rsid w:val="00CB15F3"/>
    <w:rsid w:val="00CB5C7D"/>
    <w:rsid w:val="00CB681E"/>
    <w:rsid w:val="00CB6931"/>
    <w:rsid w:val="00CB772E"/>
    <w:rsid w:val="00CC1353"/>
    <w:rsid w:val="00CC741F"/>
    <w:rsid w:val="00CD4A40"/>
    <w:rsid w:val="00CD64D9"/>
    <w:rsid w:val="00CD773F"/>
    <w:rsid w:val="00CE10E0"/>
    <w:rsid w:val="00CE4E7C"/>
    <w:rsid w:val="00CE6952"/>
    <w:rsid w:val="00CE6B1E"/>
    <w:rsid w:val="00CE7A4D"/>
    <w:rsid w:val="00CF236E"/>
    <w:rsid w:val="00CF605B"/>
    <w:rsid w:val="00CF6395"/>
    <w:rsid w:val="00D00977"/>
    <w:rsid w:val="00D00CFF"/>
    <w:rsid w:val="00D01CFC"/>
    <w:rsid w:val="00D12D40"/>
    <w:rsid w:val="00D1637D"/>
    <w:rsid w:val="00D22E43"/>
    <w:rsid w:val="00D23461"/>
    <w:rsid w:val="00D25B51"/>
    <w:rsid w:val="00D25EDB"/>
    <w:rsid w:val="00D267AF"/>
    <w:rsid w:val="00D271AD"/>
    <w:rsid w:val="00D31B92"/>
    <w:rsid w:val="00D346D4"/>
    <w:rsid w:val="00D352E7"/>
    <w:rsid w:val="00D35ADD"/>
    <w:rsid w:val="00D36ED8"/>
    <w:rsid w:val="00D373E7"/>
    <w:rsid w:val="00D37F03"/>
    <w:rsid w:val="00D37FD2"/>
    <w:rsid w:val="00D40A1D"/>
    <w:rsid w:val="00D41E95"/>
    <w:rsid w:val="00D41F7E"/>
    <w:rsid w:val="00D446D5"/>
    <w:rsid w:val="00D50AA8"/>
    <w:rsid w:val="00D54C48"/>
    <w:rsid w:val="00D556DE"/>
    <w:rsid w:val="00D604AD"/>
    <w:rsid w:val="00D60839"/>
    <w:rsid w:val="00D61C7E"/>
    <w:rsid w:val="00D63A8B"/>
    <w:rsid w:val="00D6552C"/>
    <w:rsid w:val="00D70816"/>
    <w:rsid w:val="00D711CB"/>
    <w:rsid w:val="00D73267"/>
    <w:rsid w:val="00D73B2A"/>
    <w:rsid w:val="00D76F90"/>
    <w:rsid w:val="00D818E0"/>
    <w:rsid w:val="00D8362B"/>
    <w:rsid w:val="00D8742E"/>
    <w:rsid w:val="00D875FB"/>
    <w:rsid w:val="00D90797"/>
    <w:rsid w:val="00D94941"/>
    <w:rsid w:val="00D94E94"/>
    <w:rsid w:val="00D95087"/>
    <w:rsid w:val="00D95301"/>
    <w:rsid w:val="00D97C6F"/>
    <w:rsid w:val="00DA095C"/>
    <w:rsid w:val="00DA5F02"/>
    <w:rsid w:val="00DA66BC"/>
    <w:rsid w:val="00DA6CE1"/>
    <w:rsid w:val="00DA7FFA"/>
    <w:rsid w:val="00DB0AC6"/>
    <w:rsid w:val="00DB2F24"/>
    <w:rsid w:val="00DB56C6"/>
    <w:rsid w:val="00DB627E"/>
    <w:rsid w:val="00DB7C21"/>
    <w:rsid w:val="00DC49C5"/>
    <w:rsid w:val="00DC6CE0"/>
    <w:rsid w:val="00DD5EDA"/>
    <w:rsid w:val="00DD7C75"/>
    <w:rsid w:val="00DE3D94"/>
    <w:rsid w:val="00DE4319"/>
    <w:rsid w:val="00DE648F"/>
    <w:rsid w:val="00DF074A"/>
    <w:rsid w:val="00DF078C"/>
    <w:rsid w:val="00DF211B"/>
    <w:rsid w:val="00DF4335"/>
    <w:rsid w:val="00DF65D3"/>
    <w:rsid w:val="00DF6C14"/>
    <w:rsid w:val="00E0273C"/>
    <w:rsid w:val="00E02B13"/>
    <w:rsid w:val="00E05FB1"/>
    <w:rsid w:val="00E06C47"/>
    <w:rsid w:val="00E13EB3"/>
    <w:rsid w:val="00E154F9"/>
    <w:rsid w:val="00E201B9"/>
    <w:rsid w:val="00E231E9"/>
    <w:rsid w:val="00E2415D"/>
    <w:rsid w:val="00E27507"/>
    <w:rsid w:val="00E31E81"/>
    <w:rsid w:val="00E336DD"/>
    <w:rsid w:val="00E34571"/>
    <w:rsid w:val="00E34CFE"/>
    <w:rsid w:val="00E35046"/>
    <w:rsid w:val="00E42A3C"/>
    <w:rsid w:val="00E4492A"/>
    <w:rsid w:val="00E516B8"/>
    <w:rsid w:val="00E51E48"/>
    <w:rsid w:val="00E6378A"/>
    <w:rsid w:val="00E67BB3"/>
    <w:rsid w:val="00E70546"/>
    <w:rsid w:val="00E70E0C"/>
    <w:rsid w:val="00E74520"/>
    <w:rsid w:val="00E755E3"/>
    <w:rsid w:val="00E761D4"/>
    <w:rsid w:val="00E76861"/>
    <w:rsid w:val="00E80671"/>
    <w:rsid w:val="00E80883"/>
    <w:rsid w:val="00E80DF8"/>
    <w:rsid w:val="00E82FB8"/>
    <w:rsid w:val="00E84A35"/>
    <w:rsid w:val="00E907F2"/>
    <w:rsid w:val="00E9085A"/>
    <w:rsid w:val="00E92A85"/>
    <w:rsid w:val="00E94A65"/>
    <w:rsid w:val="00EA1649"/>
    <w:rsid w:val="00EA1D04"/>
    <w:rsid w:val="00EA20FB"/>
    <w:rsid w:val="00EA27B2"/>
    <w:rsid w:val="00EA3F41"/>
    <w:rsid w:val="00EA4D0E"/>
    <w:rsid w:val="00EA6313"/>
    <w:rsid w:val="00EA75D9"/>
    <w:rsid w:val="00EB10F9"/>
    <w:rsid w:val="00EB487C"/>
    <w:rsid w:val="00EB55A0"/>
    <w:rsid w:val="00EC0185"/>
    <w:rsid w:val="00EC66C6"/>
    <w:rsid w:val="00EC7268"/>
    <w:rsid w:val="00ED00E2"/>
    <w:rsid w:val="00ED3202"/>
    <w:rsid w:val="00ED4392"/>
    <w:rsid w:val="00ED52DA"/>
    <w:rsid w:val="00ED78BC"/>
    <w:rsid w:val="00EE1436"/>
    <w:rsid w:val="00EE17E1"/>
    <w:rsid w:val="00EE4AB0"/>
    <w:rsid w:val="00EF07DB"/>
    <w:rsid w:val="00EF12F2"/>
    <w:rsid w:val="00EF1DB8"/>
    <w:rsid w:val="00EF59D8"/>
    <w:rsid w:val="00EF77A9"/>
    <w:rsid w:val="00F011A0"/>
    <w:rsid w:val="00F02E51"/>
    <w:rsid w:val="00F0445A"/>
    <w:rsid w:val="00F0676E"/>
    <w:rsid w:val="00F074A8"/>
    <w:rsid w:val="00F10936"/>
    <w:rsid w:val="00F10B69"/>
    <w:rsid w:val="00F10BE0"/>
    <w:rsid w:val="00F11E2A"/>
    <w:rsid w:val="00F11EBE"/>
    <w:rsid w:val="00F126B3"/>
    <w:rsid w:val="00F12F5D"/>
    <w:rsid w:val="00F16D80"/>
    <w:rsid w:val="00F16EAC"/>
    <w:rsid w:val="00F17297"/>
    <w:rsid w:val="00F17298"/>
    <w:rsid w:val="00F17C2E"/>
    <w:rsid w:val="00F209BF"/>
    <w:rsid w:val="00F24549"/>
    <w:rsid w:val="00F24C2F"/>
    <w:rsid w:val="00F25B61"/>
    <w:rsid w:val="00F27C41"/>
    <w:rsid w:val="00F318B3"/>
    <w:rsid w:val="00F32402"/>
    <w:rsid w:val="00F32903"/>
    <w:rsid w:val="00F3467E"/>
    <w:rsid w:val="00F34A5E"/>
    <w:rsid w:val="00F402F1"/>
    <w:rsid w:val="00F4380C"/>
    <w:rsid w:val="00F506A4"/>
    <w:rsid w:val="00F531DA"/>
    <w:rsid w:val="00F548AB"/>
    <w:rsid w:val="00F54B6B"/>
    <w:rsid w:val="00F551FE"/>
    <w:rsid w:val="00F559CF"/>
    <w:rsid w:val="00F62E4C"/>
    <w:rsid w:val="00F643F7"/>
    <w:rsid w:val="00F718EC"/>
    <w:rsid w:val="00F77D57"/>
    <w:rsid w:val="00F8042A"/>
    <w:rsid w:val="00F81E0B"/>
    <w:rsid w:val="00F81F5F"/>
    <w:rsid w:val="00F82EAB"/>
    <w:rsid w:val="00F83009"/>
    <w:rsid w:val="00F84C99"/>
    <w:rsid w:val="00F87C6E"/>
    <w:rsid w:val="00F94ECC"/>
    <w:rsid w:val="00F9671E"/>
    <w:rsid w:val="00F96751"/>
    <w:rsid w:val="00FA0B4B"/>
    <w:rsid w:val="00FA316D"/>
    <w:rsid w:val="00FA6982"/>
    <w:rsid w:val="00FB0198"/>
    <w:rsid w:val="00FB1EDF"/>
    <w:rsid w:val="00FB2040"/>
    <w:rsid w:val="00FB38F2"/>
    <w:rsid w:val="00FB4910"/>
    <w:rsid w:val="00FB4CD0"/>
    <w:rsid w:val="00FB69AC"/>
    <w:rsid w:val="00FC2259"/>
    <w:rsid w:val="00FC6B75"/>
    <w:rsid w:val="00FC736F"/>
    <w:rsid w:val="00FD1445"/>
    <w:rsid w:val="00FE095B"/>
    <w:rsid w:val="00FE2077"/>
    <w:rsid w:val="00FE43F3"/>
    <w:rsid w:val="00FE6079"/>
    <w:rsid w:val="00FE66D8"/>
    <w:rsid w:val="00FE6AB1"/>
    <w:rsid w:val="00FE6BD5"/>
    <w:rsid w:val="00FF0249"/>
    <w:rsid w:val="00FF12E8"/>
    <w:rsid w:val="00FF406C"/>
    <w:rsid w:val="00FF7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5E2E"/>
  <w15:chartTrackingRefBased/>
  <w15:docId w15:val="{5662759C-1763-4699-8516-56573B56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13"/>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093B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7413"/>
  </w:style>
  <w:style w:type="paragraph" w:styleId="ListParagraph">
    <w:name w:val="List Paragraph"/>
    <w:basedOn w:val="Normal"/>
    <w:uiPriority w:val="34"/>
    <w:qFormat/>
    <w:rsid w:val="00223506"/>
    <w:pPr>
      <w:ind w:left="720"/>
      <w:contextualSpacing/>
    </w:pPr>
  </w:style>
  <w:style w:type="character" w:styleId="Hyperlink">
    <w:name w:val="Hyperlink"/>
    <w:basedOn w:val="DefaultParagraphFont"/>
    <w:uiPriority w:val="99"/>
    <w:unhideWhenUsed/>
    <w:rsid w:val="0023126F"/>
    <w:rPr>
      <w:color w:val="0563C1" w:themeColor="hyperlink"/>
      <w:u w:val="single"/>
    </w:rPr>
  </w:style>
  <w:style w:type="character" w:styleId="UnresolvedMention">
    <w:name w:val="Unresolved Mention"/>
    <w:basedOn w:val="DefaultParagraphFont"/>
    <w:uiPriority w:val="99"/>
    <w:semiHidden/>
    <w:unhideWhenUsed/>
    <w:rsid w:val="0023126F"/>
    <w:rPr>
      <w:color w:val="605E5C"/>
      <w:shd w:val="clear" w:color="auto" w:fill="E1DFDD"/>
    </w:rPr>
  </w:style>
  <w:style w:type="character" w:styleId="PlaceholderText">
    <w:name w:val="Placeholder Text"/>
    <w:basedOn w:val="DefaultParagraphFont"/>
    <w:uiPriority w:val="99"/>
    <w:semiHidden/>
    <w:rsid w:val="00BE24D2"/>
    <w:rPr>
      <w:color w:val="808080"/>
    </w:rPr>
  </w:style>
  <w:style w:type="character" w:styleId="CommentReference">
    <w:name w:val="annotation reference"/>
    <w:basedOn w:val="DefaultParagraphFont"/>
    <w:uiPriority w:val="99"/>
    <w:semiHidden/>
    <w:unhideWhenUsed/>
    <w:rsid w:val="00C07425"/>
    <w:rPr>
      <w:sz w:val="16"/>
      <w:szCs w:val="16"/>
    </w:rPr>
  </w:style>
  <w:style w:type="paragraph" w:styleId="CommentText">
    <w:name w:val="annotation text"/>
    <w:basedOn w:val="Normal"/>
    <w:link w:val="CommentTextChar"/>
    <w:uiPriority w:val="99"/>
    <w:unhideWhenUsed/>
    <w:rsid w:val="00C07425"/>
    <w:rPr>
      <w:sz w:val="20"/>
      <w:szCs w:val="20"/>
    </w:rPr>
  </w:style>
  <w:style w:type="character" w:customStyle="1" w:styleId="CommentTextChar">
    <w:name w:val="Comment Text Char"/>
    <w:basedOn w:val="DefaultParagraphFont"/>
    <w:link w:val="CommentText"/>
    <w:uiPriority w:val="99"/>
    <w:rsid w:val="00C0742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7425"/>
    <w:rPr>
      <w:b/>
      <w:bCs/>
    </w:rPr>
  </w:style>
  <w:style w:type="character" w:customStyle="1" w:styleId="CommentSubjectChar">
    <w:name w:val="Comment Subject Char"/>
    <w:basedOn w:val="CommentTextChar"/>
    <w:link w:val="CommentSubject"/>
    <w:uiPriority w:val="99"/>
    <w:semiHidden/>
    <w:rsid w:val="00C0742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B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331"/>
    <w:rPr>
      <w:rFonts w:ascii="Segoe UI" w:hAnsi="Segoe UI" w:cs="Segoe UI"/>
      <w:sz w:val="18"/>
      <w:szCs w:val="18"/>
    </w:rPr>
  </w:style>
  <w:style w:type="table" w:styleId="TableGrid">
    <w:name w:val="Table Grid"/>
    <w:basedOn w:val="TableNormal"/>
    <w:uiPriority w:val="39"/>
    <w:rsid w:val="00C60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3B6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00CFF"/>
    <w:rPr>
      <w:color w:val="954F72" w:themeColor="followedHyperlink"/>
      <w:u w:val="single"/>
    </w:rPr>
  </w:style>
  <w:style w:type="paragraph" w:styleId="Revision">
    <w:name w:val="Revision"/>
    <w:hidden/>
    <w:uiPriority w:val="99"/>
    <w:semiHidden/>
    <w:rsid w:val="00A750DA"/>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nhs-bnssg-analytics/waitlist-multi-compartment-model" TargetMode="External"/><Relationship Id="rId18" Type="http://schemas.openxmlformats.org/officeDocument/2006/relationships/hyperlink" Target="https://www.england.nhs.uk/statistics/statistical-work-areas/rtt-waiting-times/" TargetMode="External"/><Relationship Id="rId26" Type="http://schemas.openxmlformats.org/officeDocument/2006/relationships/hyperlink" Target="https://doi.org/10.1155/2018/9861572" TargetMode="External"/><Relationship Id="rId39" Type="http://schemas.openxmlformats.org/officeDocument/2006/relationships/fontTable" Target="fontTable.xml"/><Relationship Id="rId21" Type="http://schemas.openxmlformats.org/officeDocument/2006/relationships/hyperlink" Target="https://doi.org/10.1080/01605682.2018.1510805" TargetMode="External"/><Relationship Id="rId34" Type="http://schemas.openxmlformats.org/officeDocument/2006/relationships/hyperlink" Target="https://www.england.nhs.uk/coronavirus/publication/delivery-plan-for-tackling-the-covid-19-backlog-of-elective-care/" TargetMode="External"/><Relationship Id="rId7" Type="http://schemas.openxmlformats.org/officeDocument/2006/relationships/hyperlink" Target="https://github.com/nhs-bnssg-analytics/waitlist-multi-compartment-model" TargetMode="External"/><Relationship Id="rId12" Type="http://schemas.openxmlformats.org/officeDocument/2006/relationships/image" Target="media/image7.png"/><Relationship Id="rId17" Type="http://schemas.openxmlformats.org/officeDocument/2006/relationships/hyperlink" Target="https://www.health.org.uk/news-and-comment/charts-and-infographics/is-poor-health-driving-a-rise-in-economic-inactivity" TargetMode="External"/><Relationship Id="rId25" Type="http://schemas.openxmlformats.org/officeDocument/2006/relationships/hyperlink" Target="https://doi.org/10.1166/asl.2015.5840" TargetMode="External"/><Relationship Id="rId33" Type="http://schemas.openxmlformats.org/officeDocument/2006/relationships/hyperlink" Target="https://osr.statisticsauthority.gov.uk/accredited-official-statistics/" TargetMode="External"/><Relationship Id="rId38" Type="http://schemas.openxmlformats.org/officeDocument/2006/relationships/hyperlink" Target="https://www.ons.gov.uk/employmentandlabourmarket/peoplenotinwork/economicinactivity/articles/risingillhealthandeconomicinactivitybecauseoflongtermsicknessuk/2019to2023" TargetMode="External"/><Relationship Id="rId2" Type="http://schemas.openxmlformats.org/officeDocument/2006/relationships/styles" Target="styles.xml"/><Relationship Id="rId16" Type="http://schemas.openxmlformats.org/officeDocument/2006/relationships/hyperlink" Target="https://doi.org/10.31128/ajgp-03-20-5286" TargetMode="External"/><Relationship Id="rId20" Type="http://schemas.openxmlformats.org/officeDocument/2006/relationships/hyperlink" Target="https://doi.org/10.1057/palgrave.jors.2600669" TargetMode="External"/><Relationship Id="rId29" Type="http://schemas.openxmlformats.org/officeDocument/2006/relationships/hyperlink" Target="https://doi.org/10.1023/A:101140971182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s://doi.org/10.1098/rspa.1927.0118" TargetMode="External"/><Relationship Id="rId32" Type="http://schemas.openxmlformats.org/officeDocument/2006/relationships/hyperlink" Target="https://doi.org/10.1016/j.jval.2022.06.016" TargetMode="External"/><Relationship Id="rId37" Type="http://schemas.openxmlformats.org/officeDocument/2006/relationships/hyperlink" Target="https://doi.org/10.1186/s12913-024-10931-2"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16/j.healthpol.2013.06.013" TargetMode="External"/><Relationship Id="rId23" Type="http://schemas.openxmlformats.org/officeDocument/2006/relationships/hyperlink" Target="https://doi.org/10.1371/journal.pone.0268837" TargetMode="External"/><Relationship Id="rId28" Type="http://schemas.openxmlformats.org/officeDocument/2006/relationships/hyperlink" Target="https://doi.org/10.1057/jors.1991.164" TargetMode="External"/><Relationship Id="rId36" Type="http://schemas.openxmlformats.org/officeDocument/2006/relationships/hyperlink" Target="https://doi.org/10.1177/0272989X241256639" TargetMode="External"/><Relationship Id="rId10" Type="http://schemas.openxmlformats.org/officeDocument/2006/relationships/image" Target="media/image5.png"/><Relationship Id="rId19" Type="http://schemas.openxmlformats.org/officeDocument/2006/relationships/hyperlink" Target="https://www.phin.org.uk/news/phin-private-market-update-september-2023" TargetMode="External"/><Relationship Id="rId31" Type="http://schemas.openxmlformats.org/officeDocument/2006/relationships/hyperlink" Target="https://doi.org/10.1016/S0140-6736(23)02744-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787/108471127058" TargetMode="External"/><Relationship Id="rId22" Type="http://schemas.openxmlformats.org/officeDocument/2006/relationships/hyperlink" Target="https://doi.org/10.1093/imaman/dpr028" TargetMode="External"/><Relationship Id="rId27" Type="http://schemas.openxmlformats.org/officeDocument/2006/relationships/hyperlink" Target="https://doi.org/10.1016/0025-5564(94)90025-6" TargetMode="External"/><Relationship Id="rId30" Type="http://schemas.openxmlformats.org/officeDocument/2006/relationships/hyperlink" Target="https://doi.org/10.1007/s10729-022-09615-2" TargetMode="External"/><Relationship Id="rId35" Type="http://schemas.openxmlformats.org/officeDocument/2006/relationships/hyperlink" Target="https://doi.org/10.1198/jasa.2011.tm09771"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9563</Words>
  <Characters>54513</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Richard (NHS BRISTOL, NORTH SOMERSET AND SOUTH GLOUCESTERSHIRE ICB - 15C)</dc:creator>
  <cp:keywords/>
  <dc:description/>
  <cp:lastModifiedBy>Worthington, David</cp:lastModifiedBy>
  <cp:revision>2</cp:revision>
  <cp:lastPrinted>2024-06-12T14:33:00Z</cp:lastPrinted>
  <dcterms:created xsi:type="dcterms:W3CDTF">2025-07-15T14:52:00Z</dcterms:created>
  <dcterms:modified xsi:type="dcterms:W3CDTF">2025-07-15T14:52:00Z</dcterms:modified>
</cp:coreProperties>
</file>