
<file path=[Content_Types].xml><?xml version="1.0" encoding="utf-8"?>
<Types xmlns="http://schemas.openxmlformats.org/package/2006/content-types">
  <Default Extension="xml" ContentType="application/xml"/>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32576A">
      <w:pPr>
        <w:pStyle w:val="34"/>
        <w:adjustRightInd w:val="0"/>
        <w:snapToGrid w:val="0"/>
        <w:ind w:firstLine="180" w:firstLineChars="100"/>
        <w:rPr>
          <w:color w:val="000000" w:themeColor="text1"/>
          <w:sz w:val="18"/>
          <w:szCs w:val="18"/>
        </w:rPr>
      </w:pPr>
      <w:r>
        <w:rPr>
          <w:color w:val="000000" w:themeColor="text1"/>
          <w:sz w:val="18"/>
          <w:szCs w:val="18"/>
        </w:rPr>
        <w:footnoteReference w:id="0" w:customMarkFollows="1"/>
        <w:sym w:font="Symbol" w:char="F020"/>
      </w:r>
    </w:p>
    <w:p w14:paraId="57187BE8">
      <w:pPr>
        <w:pStyle w:val="30"/>
        <w:framePr/>
        <w:rPr>
          <w:color w:val="000000" w:themeColor="text1"/>
          <w:kern w:val="28"/>
          <w:sz w:val="44"/>
          <w:szCs w:val="44"/>
        </w:rPr>
      </w:pPr>
      <w:r>
        <w:rPr>
          <w:color w:val="000000" w:themeColor="text1"/>
          <w:kern w:val="28"/>
          <w:sz w:val="44"/>
          <w:szCs w:val="44"/>
        </w:rPr>
        <w:t>Estimating Spatio-temporally Continuous GEDI Aboveground Biomass Density During 2015-2020 from Multi-Source Data Using Machine Learning and Deep Learning</w:t>
      </w:r>
    </w:p>
    <w:p w14:paraId="68740537">
      <w:pPr>
        <w:pStyle w:val="30"/>
        <w:framePr/>
        <w:rPr>
          <w:color w:val="000000" w:themeColor="text1"/>
          <w:sz w:val="20"/>
          <w:szCs w:val="21"/>
          <w:vertAlign w:val="superscript"/>
          <w:lang w:eastAsia="zh-CN"/>
        </w:rPr>
      </w:pPr>
      <w:r>
        <w:rPr>
          <w:color w:val="000000" w:themeColor="text1"/>
          <w:sz w:val="20"/>
          <w:szCs w:val="21"/>
          <w:lang w:eastAsia="zh-CN"/>
        </w:rPr>
        <w:t>Xia Wang, Yihang Zhang, Peter M. Atkinson, and Kerong Zhang</w:t>
      </w:r>
    </w:p>
    <w:p w14:paraId="7EB71085">
      <w:pPr>
        <w:pStyle w:val="29"/>
        <w:spacing w:before="0"/>
        <w:ind w:firstLine="204"/>
        <w:rPr>
          <w:color w:val="000000" w:themeColor="text1"/>
        </w:rPr>
      </w:pPr>
      <w:r>
        <w:rPr>
          <w:i/>
          <w:iCs/>
          <w:color w:val="000000" w:themeColor="text1"/>
        </w:rPr>
        <w:t>Abstract</w:t>
      </w:r>
      <w:r>
        <w:rPr>
          <w:color w:val="000000" w:themeColor="text1"/>
        </w:rPr>
        <w:t>—</w:t>
      </w:r>
      <w:r>
        <w:rPr>
          <w:color w:val="000000" w:themeColor="text1"/>
          <w:lang w:eastAsia="zh-CN"/>
        </w:rPr>
        <w:t xml:space="preserve">Accurate estimation of forest aboveground biomass density is essential for quantifying terrestrial carbon exchange. NASA’s Global Ecosystem Dynamics Investigation (GEDI) LiDAR mission has ushered in a new era of high-quality aboveground biomass density (AGBD) estimation from space. Owing to GEDI’s LiDAR data collection, </w:t>
      </w:r>
      <w:r>
        <w:rPr>
          <w:rFonts w:hint="eastAsia"/>
          <w:color w:val="000000" w:themeColor="text1"/>
          <w:lang w:eastAsia="zh-CN"/>
        </w:rPr>
        <w:t xml:space="preserve">one of the GEDI </w:t>
      </w:r>
      <w:r>
        <w:rPr>
          <w:color w:val="000000" w:themeColor="text1"/>
          <w:lang w:eastAsia="zh-CN"/>
        </w:rPr>
        <w:t xml:space="preserve">AGBD </w:t>
      </w:r>
      <w:r>
        <w:rPr>
          <w:rFonts w:hint="eastAsia"/>
          <w:color w:val="000000" w:themeColor="text1"/>
          <w:lang w:eastAsia="zh-CN"/>
        </w:rPr>
        <w:t>products</w:t>
      </w:r>
      <w:r>
        <w:rPr>
          <w:color w:val="000000" w:themeColor="text1"/>
          <w:lang w:eastAsia="zh-CN"/>
        </w:rPr>
        <w:t xml:space="preserve"> are </w:t>
      </w:r>
      <w:r>
        <w:rPr>
          <w:rFonts w:hint="eastAsia"/>
          <w:color w:val="000000" w:themeColor="text1"/>
          <w:lang w:eastAsia="zh-CN"/>
        </w:rPr>
        <w:t>presented</w:t>
      </w:r>
      <w:r>
        <w:rPr>
          <w:color w:val="000000" w:themeColor="text1"/>
          <w:lang w:eastAsia="zh-CN"/>
        </w:rPr>
        <w:t xml:space="preserve"> as 1 km spatial discontinuity grids, limiting practical application. This study proposes a method based on machine learning and deep learning to estimate spatio-temporally continuous GEDI AGBD and its associated uncertainty (standard error) during 2015-2020 </w:t>
      </w:r>
      <w:bookmarkStart w:id="0" w:name="_Hlk211782987"/>
      <w:r>
        <w:rPr>
          <w:color w:val="000000" w:themeColor="text1"/>
          <w:lang w:eastAsia="zh-CN"/>
        </w:rPr>
        <w:t>using multi-source optical, SAR, LiDAR, topographic, and climatic data.</w:t>
      </w:r>
      <w:bookmarkEnd w:id="0"/>
      <w:r>
        <w:rPr>
          <w:color w:val="000000" w:themeColor="text1"/>
          <w:lang w:eastAsia="zh-CN"/>
        </w:rPr>
        <w:t xml:space="preserve"> MODIS vegetation continuous field (VCF) was used as an indicator to select unchanged GEDI AGBD samples in 2020 for each year from 2015 to 2020</w:t>
      </w:r>
      <w:r>
        <w:rPr>
          <w:rFonts w:hint="eastAsia"/>
          <w:color w:val="000000" w:themeColor="text1"/>
          <w:lang w:eastAsia="zh-CN"/>
        </w:rPr>
        <w:t xml:space="preserve">, </w:t>
      </w:r>
      <w:r>
        <w:rPr>
          <w:color w:val="000000" w:themeColor="text1"/>
          <w:lang w:eastAsia="zh-CN"/>
        </w:rPr>
        <w:t>resulting in 1,800–2,400 samples per year. The selected annual training samples were then used to estimate annual spatially continuous GEDI AGBD and uncertainty. Experiments in China’s Han River Basin demonstrated that integrating all available datasets resulted in a more accurate spatial continuous GEDI AGBD map in 2020 compared to use any single dataset. Convolutional neural network (CNN) considering spatial neighboring information (CNN_spatial) outperformed 1-D CNN and four benchmark machine learning methods</w:t>
      </w:r>
      <w:r>
        <w:rPr>
          <w:rFonts w:hint="eastAsia"/>
          <w:color w:val="000000" w:themeColor="text1"/>
          <w:lang w:eastAsia="zh-CN"/>
        </w:rPr>
        <w:t xml:space="preserve"> of </w:t>
      </w:r>
      <w:bookmarkStart w:id="1" w:name="_Hlk211784869"/>
      <w:r>
        <w:rPr>
          <w:color w:val="000000" w:themeColor="text1"/>
        </w:rPr>
        <w:t>extreme learning machines (ELM)</w:t>
      </w:r>
      <w:r>
        <w:rPr>
          <w:rFonts w:hint="eastAsia"/>
          <w:color w:val="000000" w:themeColor="text1"/>
          <w:lang w:eastAsia="zh-CN"/>
        </w:rPr>
        <w:t xml:space="preserve">, </w:t>
      </w:r>
      <w:r>
        <w:rPr>
          <w:color w:val="000000" w:themeColor="text1"/>
        </w:rPr>
        <w:t>generalized regression neural network (GRNN)</w:t>
      </w:r>
      <w:r>
        <w:rPr>
          <w:rFonts w:hint="eastAsia"/>
          <w:color w:val="000000" w:themeColor="text1"/>
          <w:lang w:eastAsia="zh-CN"/>
        </w:rPr>
        <w:t xml:space="preserve">, </w:t>
      </w:r>
      <w:r>
        <w:rPr>
          <w:color w:val="000000" w:themeColor="text1"/>
        </w:rPr>
        <w:t>support vector regression (SVR)</w:t>
      </w:r>
      <w:r>
        <w:rPr>
          <w:rFonts w:hint="eastAsia"/>
          <w:color w:val="000000" w:themeColor="text1"/>
          <w:lang w:eastAsia="zh-CN"/>
        </w:rPr>
        <w:t xml:space="preserve"> and </w:t>
      </w:r>
      <w:r>
        <w:rPr>
          <w:color w:val="000000" w:themeColor="text1"/>
        </w:rPr>
        <w:t>random forest (RF)</w:t>
      </w:r>
      <w:bookmarkEnd w:id="1"/>
      <w:r>
        <w:rPr>
          <w:color w:val="000000" w:themeColor="text1"/>
          <w:lang w:eastAsia="zh-CN"/>
        </w:rPr>
        <w:t xml:space="preserve"> with an R</w:t>
      </w:r>
      <w:r>
        <w:rPr>
          <w:rFonts w:hint="eastAsia"/>
          <w:color w:val="000000" w:themeColor="text1"/>
          <w:vertAlign w:val="superscript"/>
          <w:lang w:eastAsia="zh-CN"/>
        </w:rPr>
        <w:t>2</w:t>
      </w:r>
      <w:r>
        <w:rPr>
          <w:color w:val="000000" w:themeColor="text1"/>
          <w:lang w:eastAsia="zh-CN"/>
        </w:rPr>
        <w:t xml:space="preserve"> of 0.8232 and RMSE of 27.7557. Using the unchanged GEDI AGBD training samples resulted in more accurate GEDI AGBD maps (R</w:t>
      </w:r>
      <w:r>
        <w:rPr>
          <w:rFonts w:hint="eastAsia"/>
          <w:color w:val="000000" w:themeColor="text1"/>
          <w:vertAlign w:val="superscript"/>
          <w:lang w:eastAsia="zh-CN"/>
        </w:rPr>
        <w:t>2</w:t>
      </w:r>
      <w:r>
        <w:rPr>
          <w:color w:val="000000" w:themeColor="text1"/>
          <w:lang w:eastAsia="zh-CN"/>
        </w:rPr>
        <w:t xml:space="preserve">&gt;0.82) during 2015-2020 than using the training samples from 2020 alone. </w:t>
      </w:r>
      <w:r>
        <w:rPr>
          <w:rFonts w:hint="eastAsia"/>
          <w:color w:val="000000" w:themeColor="text1"/>
          <w:lang w:eastAsia="zh-CN"/>
        </w:rPr>
        <w:t xml:space="preserve">From 2015 to 2020, 2.16% of AGBD pixels in Han River Basin experienced a relatively significant increase, while </w:t>
      </w:r>
      <w:r>
        <w:rPr>
          <w:color w:val="000000" w:themeColor="text1"/>
          <w:lang w:eastAsia="zh-CN"/>
        </w:rPr>
        <w:t>1.24% showed a relatively significant decrease.</w:t>
      </w:r>
      <w:r>
        <w:rPr>
          <w:rFonts w:hint="eastAsia"/>
          <w:color w:val="000000" w:themeColor="text1"/>
          <w:lang w:eastAsia="zh-CN"/>
        </w:rPr>
        <w:t xml:space="preserve"> Compared with the ESA_CCI and China</w:t>
      </w:r>
      <w:r>
        <w:rPr>
          <w:color w:val="000000" w:themeColor="text1"/>
          <w:lang w:eastAsia="zh-CN"/>
        </w:rPr>
        <w:t>’</w:t>
      </w:r>
      <w:r>
        <w:rPr>
          <w:rFonts w:hint="eastAsia"/>
          <w:color w:val="000000" w:themeColor="text1"/>
          <w:lang w:eastAsia="zh-CN"/>
        </w:rPr>
        <w:t xml:space="preserve">s AGBD products, our </w:t>
      </w:r>
      <w:r>
        <w:rPr>
          <w:color w:val="000000" w:themeColor="text1"/>
          <w:lang w:eastAsia="zh-CN"/>
        </w:rPr>
        <w:t xml:space="preserve">estimates achieve </w:t>
      </w:r>
      <w:r>
        <w:rPr>
          <w:rFonts w:hint="eastAsia"/>
          <w:color w:val="000000" w:themeColor="text1"/>
          <w:lang w:eastAsia="zh-CN"/>
        </w:rPr>
        <w:t>better</w:t>
      </w:r>
      <w:r>
        <w:rPr>
          <w:color w:val="000000" w:themeColor="text1"/>
          <w:lang w:eastAsia="zh-CN"/>
        </w:rPr>
        <w:t xml:space="preserve"> accuracy relative to the field plot data</w:t>
      </w:r>
      <w:r>
        <w:rPr>
          <w:rFonts w:hint="eastAsia"/>
          <w:color w:val="000000" w:themeColor="text1"/>
          <w:lang w:eastAsia="zh-CN"/>
        </w:rPr>
        <w:t xml:space="preserve">. </w:t>
      </w:r>
      <w:r>
        <w:rPr>
          <w:color w:val="000000" w:themeColor="text1"/>
          <w:lang w:eastAsia="zh-CN"/>
        </w:rPr>
        <w:t>The proposed method offers a solution to generate high-quality spatio-temporally continuous GEDI AGBD in large-scale complex forest landscapes.</w:t>
      </w:r>
    </w:p>
    <w:p w14:paraId="6BDA5E60">
      <w:pPr>
        <w:pStyle w:val="33"/>
        <w:rPr>
          <w:color w:val="000000" w:themeColor="text1"/>
        </w:rPr>
      </w:pPr>
      <w:bookmarkStart w:id="2" w:name="PointTmp"/>
      <w:r>
        <w:rPr>
          <w:i/>
          <w:iCs/>
          <w:color w:val="000000" w:themeColor="text1"/>
        </w:rPr>
        <w:t>Index Terms</w:t>
      </w:r>
      <w:r>
        <w:rPr>
          <w:color w:val="000000" w:themeColor="text1"/>
        </w:rPr>
        <w:t>—GEDI, aboveground biomass, deep learning, machine learning, Han River Basin.</w:t>
      </w:r>
    </w:p>
    <w:bookmarkEnd w:id="2"/>
    <w:p w14:paraId="336370BA">
      <w:pPr>
        <w:pStyle w:val="2"/>
        <w:rPr>
          <w:b/>
          <w:color w:val="000000" w:themeColor="text1"/>
        </w:rPr>
      </w:pPr>
      <w:r>
        <w:rPr>
          <w:b/>
          <w:color w:val="000000" w:themeColor="text1"/>
        </w:rPr>
        <w:t>I</w:t>
      </w:r>
      <w:r>
        <w:rPr>
          <w:b/>
          <w:color w:val="000000" w:themeColor="text1"/>
          <w:sz w:val="16"/>
          <w:szCs w:val="16"/>
        </w:rPr>
        <w:t>NTRODUCTION</w:t>
      </w:r>
    </w:p>
    <w:p w14:paraId="621D0678">
      <w:pPr>
        <w:keepNext/>
        <w:framePr w:dropCap="drop" w:lines="3" w:wrap="around" w:vAnchor="text" w:hAnchor="text"/>
        <w:pBdr>
          <w:top w:val="none" w:color="auto" w:sz="0" w:space="0"/>
          <w:left w:val="none" w:color="auto" w:sz="0" w:space="0"/>
        </w:pBdr>
        <w:spacing w:line="724" w:lineRule="exact"/>
        <w:textAlignment w:val="baseline"/>
        <w:rPr>
          <w:smallCaps/>
          <w:color w:val="000000" w:themeColor="text1"/>
          <w:position w:val="-9"/>
          <w:sz w:val="97"/>
        </w:rPr>
      </w:pPr>
      <w:r>
        <w:rPr>
          <w:smallCaps/>
          <w:color w:val="000000" w:themeColor="text1"/>
          <w:position w:val="-9"/>
          <w:sz w:val="97"/>
        </w:rPr>
        <w:t>C</w:t>
      </w:r>
    </w:p>
    <w:p w14:paraId="35F63F46">
      <w:pPr>
        <w:jc w:val="both"/>
        <w:rPr>
          <w:color w:val="000000" w:themeColor="text1"/>
        </w:rPr>
      </w:pPr>
      <w:r>
        <w:rPr>
          <w:color w:val="000000" w:themeColor="text1"/>
          <w:szCs w:val="21"/>
        </w:rPr>
        <w:t xml:space="preserve">ONSIDERING </w:t>
      </w:r>
      <w:r>
        <w:rPr>
          <w:color w:val="000000" w:themeColor="text1"/>
        </w:rPr>
        <w:t xml:space="preserve">the global impact of rising carbon dioxide on climate change, governments and organizations, including the Reducing Emissions from Deforestation and Degradation-plus (REDD+) program, have reached an international consensus to preserve and enhance forest biomass stocks worldwide </w:t>
      </w:r>
      <w:r>
        <w:rPr>
          <w:color w:val="000000" w:themeColor="text1"/>
        </w:rPr>
        <w:fldChar w:fldCharType="begin"/>
      </w:r>
      <w:r>
        <w:rPr>
          <w:color w:val="000000" w:themeColor="text1"/>
        </w:rPr>
        <w:instrText xml:space="preserve"> ADDIN EN.CITE &lt;EndNote&gt;&lt;Cite&gt;&lt;Author&gt;Sperry&lt;/Author&gt;&lt;Year&gt;2019&lt;/Year&gt;&lt;RecNum&gt;163&lt;/RecNum&gt;&lt;DisplayText&gt;[1]&lt;/DisplayText&gt;&lt;record&gt;&lt;rec-number&gt;163&lt;/rec-number&gt;&lt;foreign-keys&gt;&lt;key app="EN" db-id="pv902f0emrpxwae0aecvvpapa20ep02dp9fp" timestamp="1664720176"&gt;163&lt;/key&gt;&lt;/foreign-keys&gt;&lt;ref-type name="Journal Article"&gt;17&lt;/ref-type&gt;&lt;contributors&gt;&lt;authors&gt;&lt;author&gt;Sperry, John S.&lt;/author&gt;&lt;author&gt;Venturas, Martin D.&lt;/author&gt;&lt;author&gt;Todd, Henry N.&lt;/author&gt;&lt;author&gt;Trugman, Anna T.&lt;/author&gt;&lt;author&gt;Anderegg, William R. L.&lt;/author&gt;&lt;author&gt;Wang, Yujie&lt;/author&gt;&lt;author&gt;Tai, Xiaonan&lt;/author&gt;&lt;/authors&gt;&lt;/contributors&gt;&lt;titles&gt;&lt;title&gt;The impact of rising CO2 and acclimation on the response of US forests to global warming&lt;/title&gt;&lt;secondary-title&gt;Proceedings of the National Academy of Sciences&lt;/secondary-title&gt;&lt;/titles&gt;&lt;periodical&gt;&lt;full-title&gt;Proceedings of the National Academy of Sciences&lt;/full-title&gt;&lt;abbr-1&gt;Proc. Natl. Acad. Sci. U.S.A.&lt;/abbr-1&gt;&lt;/periodical&gt;&lt;pages&gt;25734-25744&lt;/pages&gt;&lt;volume&gt;116&lt;/volume&gt;&lt;number&gt;51&lt;/number&gt;&lt;dates&gt;&lt;year&gt;2019&lt;/year&gt;&lt;pub-dates&gt;&lt;date&gt;2019/12/17&lt;/date&gt;&lt;/pub-dates&gt;&lt;/dates&gt;&lt;publisher&gt;Proceedings of the National Academy of Sciences&lt;/publisher&gt;&lt;urls&gt;&lt;related-urls&gt;&lt;url&gt;https://doi.org/10.1073/pnas.1913072116&lt;/url&gt;&lt;/related-urls&gt;&lt;/urls&gt;&lt;electronic-resource-num&gt;https://doi.org/10.1073/pnas.1913072116&lt;/electronic-resource-num&gt;&lt;access-date&gt;2022/10/02&lt;/access-date&gt;&lt;/record&gt;&lt;/Cite&gt;&lt;/EndNote&gt;</w:instrText>
      </w:r>
      <w:r>
        <w:rPr>
          <w:color w:val="000000" w:themeColor="text1"/>
        </w:rPr>
        <w:fldChar w:fldCharType="separate"/>
      </w:r>
      <w:r>
        <w:rPr>
          <w:color w:val="000000" w:themeColor="text1"/>
        </w:rPr>
        <w:t>[1]</w:t>
      </w:r>
      <w:r>
        <w:rPr>
          <w:color w:val="000000" w:themeColor="text1"/>
        </w:rPr>
        <w:fldChar w:fldCharType="end"/>
      </w:r>
      <w:r>
        <w:rPr>
          <w:color w:val="000000" w:themeColor="text1"/>
        </w:rPr>
        <w:t xml:space="preserve">. Forest aboveground biomass (AGB) is the primary carbon store in the forest ecosystem, and changes caused by anthropogenic activities and climate change affect carbon exchange in the terrestrial system </w:t>
      </w:r>
      <w:r>
        <w:rPr>
          <w:color w:val="000000" w:themeColor="text1"/>
        </w:rPr>
        <w:fldChar w:fldCharType="begin"/>
      </w:r>
      <w:r>
        <w:rPr>
          <w:color w:val="000000" w:themeColor="text1"/>
        </w:rPr>
        <w:instrText xml:space="preserve"> ADDIN EN.CITE &lt;EndNote&gt;&lt;Cite&gt;&lt;Author&gt;Cooper&lt;/Author&gt;&lt;Year&gt;2021&lt;/Year&gt;&lt;RecNum&gt;167&lt;/RecNum&gt;&lt;DisplayText&gt;[2]&lt;/DisplayText&gt;&lt;record&gt;&lt;rec-number&gt;167&lt;/rec-number&gt;&lt;foreign-keys&gt;&lt;key app="EN" db-id="pv902f0emrpxwae0aecvvpapa20ep02dp9fp" timestamp="1664723152"&gt;167&lt;/key&gt;&lt;/foreign-keys&gt;&lt;ref-type name="Journal Article"&gt;17&lt;/ref-type&gt;&lt;contributors&gt;&lt;authors&gt;&lt;author&gt;Cooper, Sam&lt;/author&gt;&lt;author&gt;Okujeni, Akpona&lt;/author&gt;&lt;author&gt;Pflugmacher, Dirk&lt;/author&gt;&lt;author&gt;van der Linden, Sebastian&lt;/author&gt;&lt;author&gt;Hostert, Patrick&lt;/author&gt;&lt;/authors&gt;&lt;/contributors&gt;&lt;titles&gt;&lt;title&gt;Combining simulated hyperspectral EnMAP and Landsat time series for forest aboveground biomass mapping&lt;/title&gt;&lt;secondary-title&gt;International Journal of Applied Earth Observation and Geoinformation&lt;/secondary-title&gt;&lt;/titles&gt;&lt;periodical&gt;&lt;full-title&gt;International Journal of Applied Earth Observation and Geoinformation&lt;/full-title&gt;&lt;abbr-1&gt;Int. J. Appl. Earth Obs. Geoinf.&lt;/abbr-1&gt;&lt;/periodical&gt;&lt;pages&gt;102307&lt;/pages&gt;&lt;volume&gt;98&lt;/volume&gt;&lt;keywords&gt;&lt;keyword&gt;Forest aboveground biomass&lt;/keyword&gt;&lt;keyword&gt;EnMAP&lt;/keyword&gt;&lt;keyword&gt;Hyperspectral&lt;/keyword&gt;&lt;keyword&gt;Landsat&lt;/keyword&gt;&lt;keyword&gt;Multi-sensor&lt;/keyword&gt;&lt;keyword&gt;California&lt;/keyword&gt;&lt;/keywords&gt;&lt;dates&gt;&lt;year&gt;2021&lt;/year&gt;&lt;pub-dates&gt;&lt;date&gt;2021/06/01/&lt;/date&gt;&lt;/pub-dates&gt;&lt;/dates&gt;&lt;isbn&gt;1569-8432&lt;/isbn&gt;&lt;urls&gt;&lt;related-urls&gt;&lt;url&gt;https://www.sciencedirect.com/science/article/pii/S0303243421000143&lt;/url&gt;&lt;/related-urls&gt;&lt;/urls&gt;&lt;electronic-resource-num&gt;https://doi.org/10.1016/j.jag.2021.102307&lt;/electronic-resource-num&gt;&lt;/record&gt;&lt;/Cite&gt;&lt;/EndNote&gt;</w:instrText>
      </w:r>
      <w:r>
        <w:rPr>
          <w:color w:val="000000" w:themeColor="text1"/>
        </w:rPr>
        <w:fldChar w:fldCharType="separate"/>
      </w:r>
      <w:r>
        <w:rPr>
          <w:color w:val="000000" w:themeColor="text1"/>
        </w:rPr>
        <w:t>[2]</w:t>
      </w:r>
      <w:r>
        <w:rPr>
          <w:color w:val="000000" w:themeColor="text1"/>
        </w:rPr>
        <w:fldChar w:fldCharType="end"/>
      </w:r>
      <w:r>
        <w:rPr>
          <w:color w:val="000000" w:themeColor="text1"/>
        </w:rPr>
        <w:t>. Therefore, timely AGB estimates at regional and national scales are urgently required to support forest management and policy development.</w:t>
      </w:r>
    </w:p>
    <w:p w14:paraId="42E6224B">
      <w:pPr>
        <w:ind w:firstLine="400" w:firstLineChars="200"/>
        <w:jc w:val="both"/>
        <w:rPr>
          <w:color w:val="000000" w:themeColor="text1"/>
        </w:rPr>
      </w:pPr>
      <w:r>
        <w:rPr>
          <w:color w:val="000000" w:themeColor="text1"/>
          <w:lang w:eastAsia="zh-CN"/>
        </w:rPr>
        <w:t xml:space="preserve">Ground data provide accurate AGB estimates at local scales but are often costly to </w:t>
      </w:r>
      <w:r>
        <w:rPr>
          <w:rFonts w:hint="eastAsia"/>
          <w:color w:val="000000" w:themeColor="text1"/>
          <w:lang w:eastAsia="zh-CN"/>
        </w:rPr>
        <w:t>collect</w:t>
      </w:r>
      <w:r>
        <w:rPr>
          <w:color w:val="000000" w:themeColor="text1"/>
          <w:lang w:eastAsia="zh-CN"/>
        </w:rPr>
        <w:t xml:space="preserve">. When combined with ground observations, remote sensing has become an alternative </w:t>
      </w:r>
      <w:r>
        <w:rPr>
          <w:rFonts w:hint="eastAsia"/>
          <w:color w:val="000000" w:themeColor="text1"/>
          <w:lang w:eastAsia="zh-CN"/>
        </w:rPr>
        <w:t xml:space="preserve">data source </w:t>
      </w:r>
      <w:r>
        <w:rPr>
          <w:color w:val="000000" w:themeColor="text1"/>
          <w:lang w:eastAsia="zh-CN"/>
        </w:rPr>
        <w:t>for accurate AGB estimation in recent decades, owing to its continuous and repetitive observation capabilities</w:t>
      </w:r>
      <w:r>
        <w:rPr>
          <w:color w:val="000000" w:themeColor="text1"/>
        </w:rPr>
        <w:t xml:space="preserve"> </w:t>
      </w:r>
      <w:r>
        <w:rPr>
          <w:color w:val="000000" w:themeColor="text1"/>
        </w:rPr>
        <w:fldChar w:fldCharType="begin">
          <w:fldData xml:space="preserve">PEVuZE5vdGU+PENpdGU+PEF1dGhvcj5TdTwvQXV0aG9yPjxZZWFyPjIwMTY8L1llYXI+PFJlY051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==
</w:fldData>
        </w:fldChar>
      </w:r>
      <w:r>
        <w:rPr>
          <w:color w:val="000000" w:themeColor="text1"/>
        </w:rPr>
        <w:instrText xml:space="preserve"> ADDIN EN.CITE </w:instrText>
      </w:r>
      <w:r>
        <w:rPr>
          <w:color w:val="000000" w:themeColor="text1"/>
        </w:rPr>
        <w:fldChar w:fldCharType="begin">
          <w:fldData xml:space="preserve">PEVuZE5vdGU+PENpdGU+PEF1dGhvcj5TdTwvQXV0aG9yPjxZZWFyPjIwMTY8L1llYXI+PFJlY051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==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[3, 4]</w:t>
      </w:r>
      <w:r>
        <w:rPr>
          <w:color w:val="000000" w:themeColor="text1"/>
        </w:rPr>
        <w:fldChar w:fldCharType="end"/>
      </w:r>
      <w:r>
        <w:rPr>
          <w:color w:val="000000" w:themeColor="text1"/>
        </w:rPr>
        <w:t xml:space="preserve">. As listed in Table </w: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1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w:t>
      </w:r>
      <w:r>
        <w:rPr>
          <w:color w:val="000000" w:themeColor="text1"/>
        </w:rPr>
        <w:fldChar w:fldCharType="end"/>
      </w:r>
      <w:r>
        <w:rPr>
          <w:color w:val="000000" w:themeColor="text1"/>
        </w:rPr>
        <w:t xml:space="preserve">, since </w:t>
      </w:r>
      <w:r>
        <w:rPr>
          <w:color w:val="000000" w:themeColor="text1"/>
        </w:rPr>
        <w:fldChar w:fldCharType="begin"/>
      </w:r>
      <w:r>
        <w:rPr>
          <w:color w:val="000000" w:themeColor="text1"/>
        </w:rPr>
        <w:instrText xml:space="preserve"> ADDIN EN.CITE &lt;EndNote&gt;&lt;Cite AuthorYear="1"&gt;&lt;Author&gt;Ruesch&lt;/Author&gt;&lt;Year&gt;2008&lt;/Year&gt;&lt;RecNum&gt;182&lt;/RecNum&gt;&lt;DisplayText&gt;Ruesch and Gibbs [5]&lt;/DisplayText&gt;&lt;record&gt;&lt;rec-number&gt;182&lt;/rec-number&gt;&lt;foreign-keys&gt;&lt;key app="EN" db-id="pv902f0emrpxwae0aecvvpapa20ep02dp9fp" timestamp="1664750867"&gt;182&lt;/key&gt;&lt;/foreign-keys&gt;&lt;ref-type name="Journal Article"&gt;17&lt;/ref-type&gt;&lt;contributors&gt;&lt;authors&gt;&lt;author&gt;Ruesch, Aaron &lt;/author&gt;&lt;author&gt;Gibbs, Holly K. &lt;/author&gt;&lt;/authors&gt;&lt;/contributors&gt;&lt;titles&gt;&lt;title&gt;New IPCC Tier-1 Global Biomass Carbon Map For the Year 2000&lt;/title&gt;&lt;secondary-title&gt;Carbon Dioxide Information Analysis Center, Oak Ridge National Laboratory, Oak Ridge, Tennessee&lt;/secondary-title&gt;&lt;/titles&gt;&lt;periodical&gt;&lt;full-title&gt;Carbon Dioxide Information Analysis Center, Oak Ridge National Laboratory, Oak Ridge, Tennessee&lt;/full-title&gt;&lt;/periodical&gt;&lt;dates&gt;&lt;year&gt;2008&lt;/year&gt;&lt;/dates&gt;&lt;urls&gt;&lt;/urls&gt;&lt;/record&gt;&lt;/Cite&gt;&lt;/EndNote&gt;</w:instrText>
      </w:r>
      <w:r>
        <w:rPr>
          <w:color w:val="000000" w:themeColor="text1"/>
        </w:rPr>
        <w:fldChar w:fldCharType="separate"/>
      </w:r>
      <w:r>
        <w:rPr>
          <w:color w:val="000000" w:themeColor="text1"/>
        </w:rPr>
        <w:t>Ruesch and Gibbs [5]</w:t>
      </w:r>
      <w:r>
        <w:rPr>
          <w:color w:val="000000" w:themeColor="text1"/>
        </w:rPr>
        <w:fldChar w:fldCharType="end"/>
      </w:r>
      <w:r>
        <w:rPr>
          <w:color w:val="000000" w:themeColor="text1"/>
        </w:rPr>
        <w:t xml:space="preserve"> released the first global biomass map with 1 km spatial resolution in 2008, many satellite-driven global AGB products ranging from 30 m to 1000 m have been developed by integrating remote sensing images and f</w:t>
      </w:r>
      <w:r>
        <w:rPr>
          <w:color w:val="000000" w:themeColor="text1"/>
          <w:sz w:val="18"/>
          <w:szCs w:val="18"/>
        </w:rPr>
        <w:t>ield inventory</w:t>
      </w:r>
      <w:r>
        <w:rPr>
          <w:color w:val="000000" w:themeColor="text1"/>
        </w:rPr>
        <w:t xml:space="preserve"> samples </w:t>
      </w:r>
      <w:r>
        <w:rPr>
          <w:color w:val="000000" w:themeColor="text1"/>
        </w:rPr>
        <w:fldChar w:fldCharType="begin">
          <w:fldData xml:space="preserve">PEVuZE5vdGU+PENpdGU+PEF1dGhvcj5EdW5jYW5zb248L0F1dGhvcj48WWVhcj4yMDE5PC9ZZWFy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</w:fldData>
        </w:fldChar>
      </w:r>
      <w:r>
        <w:rPr>
          <w:color w:val="000000" w:themeColor="text1"/>
        </w:rPr>
        <w:instrText xml:space="preserve"> ADDIN EN.CITE </w:instrText>
      </w:r>
      <w:r>
        <w:rPr>
          <w:color w:val="000000" w:themeColor="text1"/>
        </w:rPr>
        <w:fldChar w:fldCharType="begin">
          <w:fldData xml:space="preserve">PEVuZE5vdGU+PENpdGU+PEF1dGhvcj5EdW5jYW5zb248L0F1dGhvcj48WWVhcj4yMDE5PC9ZZWFy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[6, 7]</w:t>
      </w:r>
      <w:r>
        <w:rPr>
          <w:color w:val="000000" w:themeColor="text1"/>
        </w:rPr>
        <w:fldChar w:fldCharType="end"/>
      </w:r>
      <w:r>
        <w:rPr>
          <w:color w:val="000000" w:themeColor="text1"/>
        </w:rPr>
        <w:t xml:space="preserve">. These global AGB products play an important role in providing </w:t>
      </w:r>
      <w:r>
        <w:rPr>
          <w:rFonts w:hint="eastAsia"/>
          <w:color w:val="000000" w:themeColor="text1"/>
        </w:rPr>
        <w:t>wall</w:t>
      </w:r>
      <w:r>
        <w:rPr>
          <w:color w:val="000000" w:themeColor="text1"/>
        </w:rPr>
        <w:t xml:space="preserve">-to-wall estimates of the carbon cycle in the forest ecosystem, particularly for remote regions. Among various global AGB products, the 1 km spatial resolution aboveground biomass density (AGBD) map retrieved from NASA’s GEDI LiDAR mission represents a new era of AGB inference </w:t>
      </w:r>
      <w:r>
        <w:rPr>
          <w:color w:val="000000" w:themeColor="text1"/>
        </w:rPr>
        <w:fldChar w:fldCharType="begin">
          <w:fldData xml:space="preserve">PEVuZE5vdGU+PENpdGU+PEF1dGhvcj5EdWJheWFoPC9BdXRob3I+PFllYXI+MjAyMjwvWWVhcj48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</w:fldData>
        </w:fldChar>
      </w:r>
      <w:r>
        <w:rPr>
          <w:color w:val="000000" w:themeColor="text1"/>
        </w:rPr>
        <w:instrText xml:space="preserve"> ADDIN EN.CITE </w:instrText>
      </w:r>
      <w:r>
        <w:rPr>
          <w:color w:val="000000" w:themeColor="text1"/>
        </w:rPr>
        <w:fldChar w:fldCharType="begin">
          <w:fldData xml:space="preserve">PEVuZE5vdGU+PENpdGU+PEF1dGhvcj5EdWJheWFoPC9BdXRob3I+PFllYXI+MjAyMjwvWWVhcj48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[8, 9]</w:t>
      </w:r>
      <w:r>
        <w:rPr>
          <w:color w:val="000000" w:themeColor="text1"/>
        </w:rPr>
        <w:fldChar w:fldCharType="end"/>
      </w:r>
      <w:r>
        <w:rPr>
          <w:color w:val="000000" w:themeColor="text1"/>
        </w:rPr>
        <w:t>.</w:t>
      </w:r>
    </w:p>
    <w:p w14:paraId="11BE6420">
      <w:pPr>
        <w:ind w:firstLine="400" w:firstLineChars="200"/>
        <w:jc w:val="both"/>
        <w:rPr>
          <w:color w:val="000000" w:themeColor="text1"/>
          <w:szCs w:val="21"/>
        </w:rPr>
      </w:pPr>
      <w:r>
        <w:rPr>
          <w:color w:val="000000" w:themeColor="text1"/>
        </w:rPr>
        <w:t>Estimati</w:t>
      </w:r>
      <w:r>
        <w:rPr>
          <w:rFonts w:hint="eastAsia"/>
          <w:color w:val="000000" w:themeColor="text1"/>
        </w:rPr>
        <w:t>n</w:t>
      </w:r>
      <w:r>
        <w:rPr>
          <w:color w:val="000000" w:themeColor="text1"/>
        </w:rPr>
        <w:t xml:space="preserve">g GEDI AGBD </w:t>
      </w:r>
      <w:r>
        <w:rPr>
          <w:rFonts w:hint="eastAsia"/>
          <w:color w:val="000000" w:themeColor="text1"/>
        </w:rPr>
        <w:t>map</w:t>
      </w:r>
      <w:r>
        <w:rPr>
          <w:color w:val="000000" w:themeColor="text1"/>
        </w:rPr>
        <w:t xml:space="preserve"> is based directly on the vegetation canopy vertical structure extracted from the LiDAR footprints, which is currently considered the most accurate and efficient way to quantify AGB from space </w:t>
      </w:r>
      <w:r>
        <w:rPr>
          <w:color w:val="000000" w:themeColor="text1"/>
        </w:rPr>
        <w:fldChar w:fldCharType="begin">
          <w:fldData xml:space="preserve">PEVuZE5vdGU+PENpdGU+PEF1dGhvcj5XdWxkZXI8L0F1dGhvcj48WWVhcj4yMDEyPC9ZZWFyPjxS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</w:fldData>
        </w:fldChar>
      </w:r>
      <w:r>
        <w:rPr>
          <w:color w:val="000000" w:themeColor="text1"/>
        </w:rPr>
        <w:instrText xml:space="preserve"> ADDIN EN.CITE </w:instrText>
      </w:r>
      <w:r>
        <w:rPr>
          <w:color w:val="000000" w:themeColor="text1"/>
        </w:rPr>
        <w:fldChar w:fldCharType="begin">
          <w:fldData xml:space="preserve">PEVuZE5vdGU+PENpdGU+PEF1dGhvcj5XdWxkZXI8L0F1dGhvcj48WWVhcj4yMDEyPC9ZZWFyPjxS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[10, 11]</w:t>
      </w:r>
      <w:r>
        <w:rPr>
          <w:color w:val="000000" w:themeColor="text1"/>
        </w:rPr>
        <w:fldChar w:fldCharType="end"/>
      </w:r>
      <w:r>
        <w:rPr>
          <w:color w:val="000000" w:themeColor="text1"/>
        </w:rPr>
        <w:t xml:space="preserve">. In the past, LiDAR data from </w:t>
      </w:r>
      <w:bookmarkStart w:id="3" w:name="_Hlk118128705"/>
      <w:r>
        <w:rPr>
          <w:color w:val="000000" w:themeColor="text1"/>
        </w:rPr>
        <w:t>ICESat Geoscience laser altimeter system (GLAS)</w:t>
      </w:r>
      <w:bookmarkEnd w:id="3"/>
      <w:r>
        <w:rPr>
          <w:color w:val="000000" w:themeColor="text1"/>
        </w:rPr>
        <w:t xml:space="preserve"> and airborne laser</w:t>
      </w:r>
      <w:r>
        <w:rPr>
          <w:color w:val="000000" w:themeColor="text1"/>
          <w:szCs w:val="21"/>
        </w:rPr>
        <w:t xml:space="preserve"> scanner were commonly used as the training samples to predict AGB. </w:t>
      </w:r>
      <w:bookmarkStart w:id="4" w:name="_Hlk148616448"/>
      <w:r>
        <w:rPr>
          <w:color w:val="000000" w:themeColor="text1"/>
          <w:szCs w:val="21"/>
        </w:rPr>
        <w:t xml:space="preserve">More recently, the ICESat-2 provides an efficient way to estimate wall-to-wall AGB maps with machine learning and deep learning methods by integrating Landsat and Sentinel-1 images </w:t>
      </w:r>
      <w:bookmarkStart w:id="5" w:name="_Hlk148641462"/>
      <w:r>
        <w:rPr>
          <w:color w:val="000000" w:themeColor="text1"/>
          <w:szCs w:val="21"/>
        </w:rPr>
        <w:fldChar w:fldCharType="begin">
          <w:fldData xml:space="preserve">PEVuZE5vdGU+PENpdGU+PEF1dGhvcj5MaXU8L0F1dGhvcj48WWVhcj4yMDIyPC9ZZWFyPjxSZWNO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PEVuZE5vdGU+PENpdGU+PEF1dGhvcj5MaXU8L0F1dGhvcj48WWVhcj4yMDIyPC9ZZWFyPjxSZWNO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[12-14]</w:t>
      </w:r>
      <w:r>
        <w:rPr>
          <w:color w:val="000000" w:themeColor="text1"/>
          <w:szCs w:val="21"/>
        </w:rPr>
        <w:fldChar w:fldCharType="end"/>
      </w:r>
      <w:bookmarkEnd w:id="5"/>
      <w:r>
        <w:rPr>
          <w:color w:val="000000" w:themeColor="text1"/>
          <w:szCs w:val="21"/>
        </w:rPr>
        <w:t>.</w:t>
      </w:r>
      <w:bookmarkEnd w:id="4"/>
      <w:r>
        <w:rPr>
          <w:color w:val="000000" w:themeColor="text1"/>
          <w:szCs w:val="21"/>
        </w:rPr>
        <w:t xml:space="preserve"> However, ICESat and ICESat-2 were not</w:t>
      </w:r>
      <w:r>
        <w:rPr>
          <w:color w:val="000000" w:themeColor="text1"/>
        </w:rPr>
        <w:t xml:space="preserve"> </w:t>
      </w:r>
      <w:r>
        <w:rPr>
          <w:color w:val="000000" w:themeColor="text1"/>
          <w:szCs w:val="21"/>
        </w:rPr>
        <w:t xml:space="preserve">originally designed for forest AGB measurement </w:t>
      </w:r>
      <w:r>
        <w:rPr>
          <w:color w:val="000000" w:themeColor="text1"/>
          <w:szCs w:val="21"/>
        </w:rPr>
        <w:fldChar w:fldCharType="begin">
          <w:fldData xml:space="preserve">PEVuZE5vdGU+PENpdGU+PEF1dGhvcj5NaXRjaGFyZDwvQXV0aG9yPjxZZWFyPjIwMTQ8L1llYXI+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PEVuZE5vdGU+PENpdGU+PEF1dGhvcj5NaXRjaGFyZDwvQXV0aG9yPjxZZWFyPjIwMTQ8L1llYXI+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[15]</w:t>
      </w:r>
      <w:r>
        <w:rPr>
          <w:color w:val="000000" w:themeColor="text1"/>
          <w:szCs w:val="21"/>
        </w:rPr>
        <w:fldChar w:fldCharType="end"/>
      </w:r>
      <w:r>
        <w:rPr>
          <w:color w:val="000000" w:themeColor="text1"/>
          <w:szCs w:val="21"/>
        </w:rPr>
        <w:t xml:space="preserve">. </w:t>
      </w:r>
      <w:bookmarkStart w:id="6" w:name="_Hlk148616419"/>
      <w:r>
        <w:rPr>
          <w:color w:val="000000" w:themeColor="text1"/>
          <w:szCs w:val="21"/>
        </w:rPr>
        <w:t xml:space="preserve">For the GEDI LiDAR footprint, it was designed particularly for fine-resolution observations of forest vertical structure and has been utilized for wall-to-wall AGB estimation with machine learning and deep learning methods by integrating multi-source data, such as Sentinel-2 and Sentinel-1 images </w:t>
      </w:r>
      <w:r>
        <w:rPr>
          <w:color w:val="000000" w:themeColor="text1"/>
          <w:szCs w:val="21"/>
        </w:rPr>
        <w:fldChar w:fldCharType="begin">
          <w:fldData xml:space="preserve">PEVuZE5vdGU+PENpdGU+PEF1dGhvcj5DaGVuPC9BdXRob3I+PFllYXI+MjAyMTwvWWVhcj48UmVj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PEVuZE5vdGU+PENpdGU+PEF1dGhvcj5DaGVuPC9BdXRob3I+PFllYXI+MjAyMTwvWWVhcj48UmVj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[16, 17]</w:t>
      </w:r>
      <w:r>
        <w:rPr>
          <w:color w:val="000000" w:themeColor="text1"/>
          <w:szCs w:val="21"/>
        </w:rPr>
        <w:fldChar w:fldCharType="end"/>
      </w:r>
      <w:r>
        <w:rPr>
          <w:color w:val="000000" w:themeColor="text1"/>
          <w:szCs w:val="21"/>
        </w:rPr>
        <w:t xml:space="preserve">, Landsat images </w:t>
      </w:r>
      <w:r>
        <w:rPr>
          <w:color w:val="000000" w:themeColor="text1"/>
          <w:szCs w:val="21"/>
        </w:rPr>
        <w:fldChar w:fldCharType="begin">
          <w:fldData xml:space="preserve">PEVuZE5vdGU+PENpdGU+PEF1dGhvcj5LYXNob25nd2U8L0F1dGhvcj48WWVhcj4yMDIzPC9ZZWFy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PEVuZE5vdGU+PENpdGU+PEF1dGhvcj5LYXNob25nd2U8L0F1dGhvcj48WWVhcj4yMDIzPC9ZZWFy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[18, 19]</w:t>
      </w:r>
      <w:r>
        <w:rPr>
          <w:color w:val="000000" w:themeColor="text1"/>
          <w:szCs w:val="21"/>
        </w:rPr>
        <w:fldChar w:fldCharType="end"/>
      </w:r>
      <w:r>
        <w:rPr>
          <w:color w:val="000000" w:themeColor="text1"/>
          <w:szCs w:val="21"/>
        </w:rPr>
        <w:t xml:space="preserve">, ICESat-2 and NISAR data </w:t>
      </w:r>
      <w:r>
        <w:rPr>
          <w:color w:val="000000" w:themeColor="text1"/>
          <w:szCs w:val="21"/>
        </w:rPr>
        <w:fldChar w:fldCharType="begin"/>
      </w:r>
      <w:r>
        <w:rPr>
          <w:color w:val="000000" w:themeColor="text1"/>
          <w:szCs w:val="21"/>
        </w:rPr>
        <w:instrText xml:space="preserve"> ADDIN EN.CITE &lt;EndNote&gt;&lt;Cite&gt;&lt;Author&gt;Silva&lt;/Author&gt;&lt;Year&gt;2021&lt;/Year&gt;&lt;RecNum&gt;198&lt;/RecNum&gt;&lt;DisplayText&gt;[20]&lt;/DisplayText&gt;&lt;record&gt;&lt;rec-number&gt;198&lt;/rec-number&gt;&lt;foreign-keys&gt;&lt;key app="EN" db-id="pv902f0emrpxwae0aecvvpapa20ep02dp9fp" timestamp="1667234753"&gt;198&lt;/key&gt;&lt;/foreign-keys&gt;&lt;ref-type name="Journal Article"&gt;17&lt;/ref-type&gt;&lt;contributors&gt;&lt;authors&gt;&lt;author&gt;Silva, Carlos Alberto&lt;/author&gt;&lt;author&gt;Duncanson, Laura&lt;/author&gt;&lt;author&gt;Hancock, Steven&lt;/author&gt;&lt;author&gt;Neuenschwander, Amy&lt;/author&gt;&lt;author&gt;Thomas, Nathan&lt;/author&gt;&lt;author&gt;Hofton, Michelle&lt;/author&gt;&lt;author&gt;Fatoyinbo, Lola&lt;/author&gt;&lt;author&gt;Simard, Marc&lt;/author&gt;&lt;author&gt;Marshak, Charles Z.&lt;/author&gt;&lt;author&gt;Armston, John&lt;/author&gt;&lt;author&gt;Lutchke, Scott&lt;/author&gt;&lt;author&gt;Dubayah, Ralph&lt;/author&gt;&lt;/authors&gt;&lt;/contributors&gt;&lt;titles&gt;&lt;title&gt;Fusing simulated GEDI, ICESat-2 and NISAR data for regional aboveground biomass mapping&lt;/title&gt;&lt;secondary-title&gt;Remote Sensing of Environment&lt;/secondary-title&gt;&lt;/titles&gt;&lt;periodical&gt;&lt;full-title&gt;Remote Sensing of Environment&lt;/full-title&gt;&lt;abbr-1&gt;Remote Sens. Environ.&lt;/abbr-1&gt;&lt;/periodical&gt;&lt;pages&gt;112234&lt;/pages&gt;&lt;volume&gt;253&lt;/volume&gt;&lt;keywords&gt;&lt;keyword&gt;Biomass&lt;/keyword&gt;&lt;keyword&gt;Lidar&lt;/keyword&gt;&lt;keyword&gt;Mapping&lt;/keyword&gt;&lt;keyword&gt;Fusion&lt;/keyword&gt;&lt;keyword&gt;Temperate forest&lt;/keyword&gt;&lt;keyword&gt;L-band SAR&lt;/keyword&gt;&lt;/keywords&gt;&lt;dates&gt;&lt;year&gt;2021&lt;/year&gt;&lt;pub-dates&gt;&lt;date&gt;2021/02/01/&lt;/date&gt;&lt;/pub-dates&gt;&lt;/dates&gt;&lt;isbn&gt;0034-4257&lt;/isbn&gt;&lt;urls&gt;&lt;related-urls&gt;&lt;url&gt;https://www.sciencedirect.com/science/article/pii/S0034425720306076&lt;/url&gt;&lt;/related-urls&gt;&lt;/urls&gt;&lt;electronic-resource-num&gt;https://doi.org/10.1016/j.rse.2020.112234&lt;/electronic-resource-num&gt;&lt;/record&gt;&lt;/Cite&gt;&lt;/EndNote&gt;</w:instrText>
      </w:r>
      <w:r>
        <w:rPr>
          <w:color w:val="000000" w:themeColor="text1"/>
          <w:szCs w:val="21"/>
        </w:rPr>
        <w:fldChar w:fldCharType="separate"/>
      </w:r>
      <w:r>
        <w:rPr>
          <w:color w:val="000000" w:themeColor="text1"/>
          <w:szCs w:val="21"/>
        </w:rPr>
        <w:t>[20]</w:t>
      </w:r>
      <w:r>
        <w:rPr>
          <w:color w:val="000000" w:themeColor="text1"/>
          <w:szCs w:val="21"/>
        </w:rPr>
        <w:fldChar w:fldCharType="end"/>
      </w:r>
      <w:r>
        <w:rPr>
          <w:color w:val="000000" w:themeColor="text1"/>
          <w:szCs w:val="21"/>
        </w:rPr>
        <w:t xml:space="preserve">, ALOS-2 PALSAR-2 </w:t>
      </w:r>
      <w:r>
        <w:rPr>
          <w:color w:val="000000" w:themeColor="text1"/>
          <w:szCs w:val="21"/>
        </w:rPr>
        <w:fldChar w:fldCharType="begin"/>
      </w:r>
      <w:r>
        <w:rPr>
          <w:color w:val="000000" w:themeColor="text1"/>
          <w:szCs w:val="21"/>
        </w:rPr>
        <w:instrText xml:space="preserve"> ADDIN EN.CITE &lt;EndNote&gt;&lt;Cite&gt;&lt;Author&gt;Padalia&lt;/Author&gt;&lt;Year&gt;2023&lt;/Year&gt;&lt;RecNum&gt;343&lt;/RecNum&gt;&lt;DisplayText&gt;[21]&lt;/DisplayText&gt;&lt;record&gt;&lt;rec-number&gt;343&lt;/rec-number&gt;&lt;foreign-keys&gt;&lt;key app="EN" db-id="pv902f0emrpxwae0aecvvpapa20ep02dp9fp" timestamp="1697715994"&gt;343&lt;/key&gt;&lt;/foreign-keys&gt;&lt;ref-type name="Journal Article"&gt;17&lt;/ref-type&gt;&lt;contributors&gt;&lt;authors&gt;&lt;author&gt;Padalia, Hitendra&lt;/author&gt;&lt;author&gt;Prakash, Ankit&lt;/author&gt;&lt;author&gt;Watham, Taibanganba&lt;/author&gt;&lt;/authors&gt;&lt;/contributors&gt;&lt;titles&gt;&lt;title&gt;Modelling aboveground biomass of a multistage managed forest through synergistic use of Landsat-OLI, ALOS-2 L-band SAR and GEDI metrics&lt;/title&gt;&lt;secondary-title&gt;Ecological Informatics&lt;/secondary-title&gt;&lt;/titles&gt;&lt;periodical&gt;&lt;full-title&gt;Ecological Informatics&lt;/full-title&gt;&lt;abbr-1&gt;Ecol. Inf.&lt;/abbr-1&gt;&lt;/periodical&gt;&lt;pages&gt;102234&lt;/pages&gt;&lt;volume&gt;77&lt;/volume&gt;&lt;keywords&gt;&lt;keyword&gt;Canopy height&lt;/keyword&gt;&lt;keyword&gt;Himalaya&lt;/keyword&gt;&lt;keyword&gt;LiDAR&lt;/keyword&gt;&lt;keyword&gt;GEDI&lt;/keyword&gt;&lt;keyword&gt;RADAR&lt;/keyword&gt;&lt;/keywords&gt;&lt;dates&gt;&lt;year&gt;2023&lt;/year&gt;&lt;pub-dates&gt;&lt;date&gt;2023/11/01/&lt;/date&gt;&lt;/pub-dates&gt;&lt;/dates&gt;&lt;isbn&gt;1574-9541&lt;/isbn&gt;&lt;urls&gt;&lt;related-urls&gt;&lt;url&gt;https://www.sciencedirect.com/science/article/pii/S1574954123002637&lt;/url&gt;&lt;/related-urls&gt;&lt;/urls&gt;&lt;electronic-resource-num&gt;https://doi.org/10.1016/j.ecoinf.2023.102234&lt;/electronic-resource-num&gt;&lt;/record&gt;&lt;/Cite&gt;&lt;/EndNote&gt;</w:instrText>
      </w:r>
      <w:r>
        <w:rPr>
          <w:color w:val="000000" w:themeColor="text1"/>
          <w:szCs w:val="21"/>
        </w:rPr>
        <w:fldChar w:fldCharType="separate"/>
      </w:r>
      <w:r>
        <w:rPr>
          <w:color w:val="000000" w:themeColor="text1"/>
          <w:szCs w:val="21"/>
        </w:rPr>
        <w:t>[21]</w:t>
      </w:r>
      <w:r>
        <w:rPr>
          <w:color w:val="000000" w:themeColor="text1"/>
          <w:szCs w:val="21"/>
        </w:rPr>
        <w:fldChar w:fldCharType="end"/>
      </w:r>
      <w:r>
        <w:rPr>
          <w:color w:val="000000" w:themeColor="text1"/>
          <w:szCs w:val="21"/>
        </w:rPr>
        <w:t xml:space="preserve"> </w:t>
      </w:r>
      <w:r>
        <w:rPr>
          <w:rFonts w:hint="eastAsia"/>
          <w:color w:val="000000" w:themeColor="text1"/>
          <w:szCs w:val="21"/>
        </w:rPr>
        <w:t>a</w:t>
      </w:r>
      <w:r>
        <w:rPr>
          <w:color w:val="000000" w:themeColor="text1"/>
          <w:szCs w:val="21"/>
        </w:rPr>
        <w:t xml:space="preserve">nd TanDEM-X data </w:t>
      </w:r>
      <w:r>
        <w:rPr>
          <w:color w:val="000000" w:themeColor="text1"/>
          <w:szCs w:val="21"/>
        </w:rPr>
        <w:fldChar w:fldCharType="begin"/>
      </w:r>
      <w:r>
        <w:rPr>
          <w:color w:val="000000" w:themeColor="text1"/>
          <w:szCs w:val="21"/>
        </w:rPr>
        <w:instrText xml:space="preserve"> ADDIN EN.CITE &lt;EndNote&gt;&lt;Cite&gt;&lt;Author&gt;Choi&lt;/Author&gt;&lt;Year&gt;2023&lt;/Year&gt;&lt;RecNum&gt;341&lt;/RecNum&gt;&lt;DisplayText&gt;[22]&lt;/DisplayText&gt;&lt;record&gt;&lt;rec-number&gt;341&lt;/rec-number&gt;&lt;foreign-keys&gt;&lt;key app="EN" db-id="pv902f0emrpxwae0aecvvpapa20ep02dp9fp" timestamp="1697715985"&gt;341&lt;/key&gt;&lt;/foreign-keys&gt;&lt;ref-type name="Journal Article"&gt;17&lt;/ref-type&gt;&lt;contributors&gt;&lt;authors&gt;&lt;author&gt;C. Choi&lt;/author&gt;&lt;author&gt;M. Pardini&lt;/author&gt;&lt;author&gt;J. Armston&lt;/author&gt;&lt;author&gt;K. P. Papathanassiou&lt;/author&gt;&lt;/authors&gt;&lt;/contributors&gt;&lt;titles&gt;&lt;title&gt;Forest Biomass Mapping Using Continuous InSAR and Discrete Waveform Lidar Measurements: A TanDEM-X/GEDI Test Study&lt;/title&gt;&lt;secondary-title&gt;IEEE Journal of Selected Topics in Applied Earth Observations and Remote Sensing&lt;/secondary-title&gt;&lt;/titles&gt;&lt;periodical&gt;&lt;full-title&gt;IEEE Journal of Selected Topics in Applied Earth Observations and Remote Sensing&lt;/full-title&gt;&lt;abbr-1&gt;IEEE J. Sel. Top. Appl. Earth Obs. Remote Sens.&lt;/abbr-1&gt;&lt;/periodical&gt;&lt;pages&gt;7675-7689&lt;/pages&gt;&lt;volume&gt;16&lt;/volume&gt;&lt;dates&gt;&lt;year&gt;2023&lt;/year&gt;&lt;/dates&gt;&lt;isbn&gt;2151-1535&lt;/isbn&gt;&lt;urls&gt;&lt;/urls&gt;&lt;electronic-resource-num&gt;https://doi.org/10.1109/JSTARS.2023.3302026&lt;/electronic-resource-num&gt;&lt;/record&gt;&lt;/Cite&gt;&lt;/EndNote&gt;</w:instrText>
      </w:r>
      <w:r>
        <w:rPr>
          <w:color w:val="000000" w:themeColor="text1"/>
          <w:szCs w:val="21"/>
        </w:rPr>
        <w:fldChar w:fldCharType="separate"/>
      </w:r>
      <w:r>
        <w:rPr>
          <w:color w:val="000000" w:themeColor="text1"/>
          <w:szCs w:val="21"/>
        </w:rPr>
        <w:t>[22]</w:t>
      </w:r>
      <w:r>
        <w:rPr>
          <w:color w:val="000000" w:themeColor="text1"/>
          <w:szCs w:val="21"/>
        </w:rPr>
        <w:fldChar w:fldCharType="end"/>
      </w:r>
      <w:r>
        <w:rPr>
          <w:color w:val="000000" w:themeColor="text1"/>
          <w:szCs w:val="21"/>
        </w:rPr>
        <w:t xml:space="preserve">. </w:t>
      </w:r>
      <w:bookmarkEnd w:id="6"/>
      <w:bookmarkStart w:id="7" w:name="_Hlk148616480"/>
      <w:r>
        <w:rPr>
          <w:color w:val="000000" w:themeColor="text1"/>
          <w:szCs w:val="21"/>
        </w:rPr>
        <w:t xml:space="preserve">Compared to optical and synthetic aperture radar (SAR) satellite sensor images, LiDAR is more sensitive to vegetation vertical structure and doesn't suffer from saturation </w:t>
      </w:r>
      <w:r>
        <w:rPr>
          <w:rFonts w:hint="eastAsia"/>
          <w:color w:val="000000" w:themeColor="text1"/>
          <w:szCs w:val="21"/>
        </w:rPr>
        <w:t>caused</w:t>
      </w:r>
      <w:r>
        <w:rPr>
          <w:color w:val="000000" w:themeColor="text1"/>
          <w:szCs w:val="21"/>
        </w:rPr>
        <w:t xml:space="preserve"> by AGB accumulation during forest growth </w:t>
      </w:r>
      <w:r>
        <w:rPr>
          <w:color w:val="000000" w:themeColor="text1"/>
          <w:szCs w:val="21"/>
        </w:rPr>
        <w:fldChar w:fldCharType="begin"/>
      </w:r>
      <w:r>
        <w:rPr>
          <w:color w:val="000000" w:themeColor="text1"/>
          <w:szCs w:val="21"/>
        </w:rPr>
        <w:instrText xml:space="preserve"> ADDIN EN.CITE &lt;EndNote&gt;&lt;Cite&gt;&lt;Author&gt;Silva&lt;/Author&gt;&lt;Year&gt;2021&lt;/Year&gt;&lt;RecNum&gt;198&lt;/RecNum&gt;&lt;DisplayText&gt;[20]&lt;/DisplayText&gt;&lt;record&gt;&lt;rec-number&gt;198&lt;/rec-number&gt;&lt;foreign-keys&gt;&lt;key app="EN" db-id="pv902f0emrpxwae0aecvvpapa20ep02dp9fp" timestamp="1667234753"&gt;198&lt;/key&gt;&lt;/foreign-keys&gt;&lt;ref-type name="Journal Article"&gt;17&lt;/ref-type&gt;&lt;contributors&gt;&lt;authors&gt;&lt;author&gt;Silva, Carlos Alberto&lt;/author&gt;&lt;author&gt;Duncanson, Laura&lt;/author&gt;&lt;author&gt;Hancock, Steven&lt;/author&gt;&lt;author&gt;Neuenschwander, Amy&lt;/author&gt;&lt;author&gt;Thomas, Nathan&lt;/author&gt;&lt;author&gt;Hofton, Michelle&lt;/author&gt;&lt;author&gt;Fatoyinbo, Lola&lt;/author&gt;&lt;author&gt;Simard, Marc&lt;/author&gt;&lt;author&gt;Marshak, Charles Z.&lt;/author&gt;&lt;author&gt;Armston, John&lt;/author&gt;&lt;author&gt;Lutchke, Scott&lt;/author&gt;&lt;author&gt;Dubayah, Ralph&lt;/author&gt;&lt;/authors&gt;&lt;/contributors&gt;&lt;titles&gt;&lt;title&gt;Fusing simulated GEDI, ICESat-2 and NISAR data for regional aboveground biomass mapping&lt;/title&gt;&lt;secondary-title&gt;Remote Sensing of Environment&lt;/secondary-title&gt;&lt;/titles&gt;&lt;periodical&gt;&lt;full-title&gt;Remote Sensing of Environment&lt;/full-title&gt;&lt;abbr-1&gt;Remote Sens. Environ.&lt;/abbr-1&gt;&lt;/periodical&gt;&lt;pages&gt;112234&lt;/pages&gt;&lt;volume&gt;253&lt;/volume&gt;&lt;keywords&gt;&lt;keyword&gt;Biomass&lt;/keyword&gt;&lt;keyword&gt;Lidar&lt;/keyword&gt;&lt;keyword&gt;Mapping&lt;/keyword&gt;&lt;keyword&gt;Fusion&lt;/keyword&gt;&lt;keyword&gt;Temperate forest&lt;/keyword&gt;&lt;keyword&gt;L-band SAR&lt;/keyword&gt;&lt;/keywords&gt;&lt;dates&gt;&lt;year&gt;2021&lt;/year&gt;&lt;pub-dates&gt;&lt;date&gt;2021/02/01/&lt;/date&gt;&lt;/pub-dates&gt;&lt;/dates&gt;&lt;isbn&gt;0034-4257&lt;/isbn&gt;&lt;urls&gt;&lt;related-urls&gt;&lt;url&gt;https://www.sciencedirect.com/science/article/pii/S0034425720306076&lt;/url&gt;&lt;/related-urls&gt;&lt;/urls&gt;&lt;electronic-resource-num&gt;https://doi.org/10.1016/j.rse.2020.112234&lt;/electronic-resource-num&gt;&lt;/record&gt;&lt;/Cite&gt;&lt;/EndNote&gt;</w:instrText>
      </w:r>
      <w:r>
        <w:rPr>
          <w:color w:val="000000" w:themeColor="text1"/>
          <w:szCs w:val="21"/>
        </w:rPr>
        <w:fldChar w:fldCharType="separate"/>
      </w:r>
      <w:r>
        <w:rPr>
          <w:color w:val="000000" w:themeColor="text1"/>
          <w:szCs w:val="21"/>
        </w:rPr>
        <w:t>[20]</w:t>
      </w:r>
      <w:r>
        <w:rPr>
          <w:color w:val="000000" w:themeColor="text1"/>
          <w:szCs w:val="21"/>
        </w:rPr>
        <w:fldChar w:fldCharType="end"/>
      </w:r>
      <w:r>
        <w:rPr>
          <w:color w:val="000000" w:themeColor="text1"/>
          <w:szCs w:val="21"/>
        </w:rPr>
        <w:t xml:space="preserve">. Given the global coverage and particularly design for forests 3D structure, the global product of NASA’s GEDI AGBD map (see Table </w:t>
      </w:r>
      <w:r>
        <w:rPr>
          <w:color w:val="000000" w:themeColor="text1"/>
          <w:szCs w:val="21"/>
        </w:rPr>
        <w:fldChar w:fldCharType="begin"/>
      </w:r>
      <w:r>
        <w:rPr>
          <w:color w:val="000000" w:themeColor="text1"/>
          <w:szCs w:val="21"/>
          <w:lang w:eastAsia="zh-CN"/>
        </w:rPr>
        <w:instrText xml:space="preserve"> </w:instrText>
      </w:r>
      <w:r>
        <w:rPr>
          <w:rFonts w:hint="eastAsia"/>
          <w:color w:val="000000" w:themeColor="text1"/>
          <w:szCs w:val="21"/>
          <w:lang w:eastAsia="zh-CN"/>
        </w:rPr>
        <w:instrText xml:space="preserve">= 1 \* ROMAN</w:instrText>
      </w:r>
      <w:r>
        <w:rPr>
          <w:color w:val="000000" w:themeColor="text1"/>
          <w:szCs w:val="21"/>
          <w:lang w:eastAsia="zh-CN"/>
        </w:rPr>
        <w:instrText xml:space="preserve"> </w:instrText>
      </w:r>
      <w:r>
        <w:rPr>
          <w:color w:val="000000" w:themeColor="text1"/>
          <w:szCs w:val="21"/>
        </w:rPr>
        <w:fldChar w:fldCharType="separate"/>
      </w:r>
      <w:r>
        <w:rPr>
          <w:color w:val="000000" w:themeColor="text1"/>
          <w:szCs w:val="21"/>
          <w:lang w:eastAsia="zh-CN"/>
        </w:rPr>
        <w:t>I</w:t>
      </w:r>
      <w:r>
        <w:rPr>
          <w:color w:val="000000" w:themeColor="text1"/>
          <w:szCs w:val="21"/>
        </w:rPr>
        <w:fldChar w:fldCharType="end"/>
      </w:r>
      <w:r>
        <w:rPr>
          <w:color w:val="000000" w:themeColor="text1"/>
          <w:szCs w:val="21"/>
        </w:rPr>
        <w:t xml:space="preserve">) is expected to have higher accuracy and wider application than many previous AGB products </w:t>
      </w:r>
      <w:r>
        <w:rPr>
          <w:color w:val="000000" w:themeColor="text1"/>
          <w:szCs w:val="21"/>
        </w:rPr>
        <w:fldChar w:fldCharType="begin">
          <w:fldData xml:space="preserve">PEVuZE5vdGU+PENpdGU+PEF1dGhvcj5EdW5jYW5zb248L0F1dGhvcj48WWVhcj4yMDIyPC9ZZWFy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PEVuZE5vdGU+PENpdGU+PEF1dGhvcj5EdW5jYW5zb248L0F1dGhvcj48WWVhcj4yMDIyPC9ZZWFy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[9]</w:t>
      </w:r>
      <w:r>
        <w:rPr>
          <w:color w:val="000000" w:themeColor="text1"/>
          <w:szCs w:val="21"/>
        </w:rPr>
        <w:fldChar w:fldCharType="end"/>
      </w:r>
      <w:r>
        <w:rPr>
          <w:color w:val="000000" w:themeColor="text1"/>
          <w:szCs w:val="21"/>
        </w:rPr>
        <w:t>. Unfortunately, the GEDI AGBD map is presented only as spatial discontinuity grids at a spatial resolution of 1 km in 2020,</w:t>
      </w:r>
      <w:r>
        <w:rPr>
          <w:rFonts w:hint="eastAsia"/>
          <w:color w:val="000000" w:themeColor="text1"/>
          <w:szCs w:val="21"/>
          <w:lang w:eastAsia="zh-CN"/>
        </w:rPr>
        <w:t xml:space="preserve"> as well as the 25 m footprints of GEDI AGBD collected from 2019 to 2024,</w:t>
      </w:r>
      <w:r>
        <w:rPr>
          <w:color w:val="000000" w:themeColor="text1"/>
          <w:szCs w:val="21"/>
        </w:rPr>
        <w:t xml:space="preserve"> and spatio-temporally continuous AGBD estimation is lacking.</w:t>
      </w:r>
    </w:p>
    <w:bookmarkEnd w:id="7"/>
    <w:p w14:paraId="5013E109">
      <w:pPr>
        <w:ind w:firstLine="400" w:firstLineChars="200"/>
        <w:jc w:val="both"/>
        <w:rPr>
          <w:color w:val="000000" w:themeColor="text1"/>
          <w:szCs w:val="21"/>
          <w:lang w:eastAsia="zh-CN"/>
        </w:rPr>
      </w:pPr>
      <w:r>
        <w:rPr>
          <w:color w:val="000000" w:themeColor="text1"/>
        </w:rPr>
        <w:t>The GEDI L4B AGBD grid is produced by averaging all available high-quality GEDI L4A raster AGBD footprints, thereby reducing the uncertainty associated with individual GEDI AGBD footprint estimates.</w:t>
      </w:r>
      <w:r>
        <w:rPr>
          <w:rFonts w:hint="eastAsia"/>
          <w:color w:val="000000" w:themeColor="text1"/>
          <w:lang w:eastAsia="zh-CN"/>
        </w:rPr>
        <w:t xml:space="preserve"> </w:t>
      </w:r>
      <w:r>
        <w:rPr>
          <w:color w:val="000000" w:themeColor="text1"/>
          <w:szCs w:val="21"/>
        </w:rPr>
        <w:t xml:space="preserve">With the GEDI AGBD grids in 2020, the wall-to-wall estimation of spatially continuous AGBD maps by integrating optical and SAR satellite sensor images is of great interest. Among optical satellite sensor images, the Moderate Resolution Imaging Spectroradiometer (MODIS) is used widely for AGB estimation due to its fine temporal resolution </w:t>
      </w:r>
      <w:r>
        <w:rPr>
          <w:color w:val="000000" w:themeColor="text1"/>
          <w:szCs w:val="21"/>
        </w:rPr>
        <w:fldChar w:fldCharType="begin">
          <w:fldData xml:space="preserve">PEVuZE5vdGU+PENpdGU+PEF1dGhvcj5MaTwvQXV0aG9yPjxZZWFyPjIwMTg8L1llYXI+PFJlY051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PEVuZE5vdGU+PENpdGU+PEF1dGhvcj5MaTwvQXV0aG9yPjxZZWFyPjIwMTg8L1llYXI+PFJlY051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[23, 24]</w:t>
      </w:r>
      <w:r>
        <w:rPr>
          <w:color w:val="000000" w:themeColor="text1"/>
          <w:szCs w:val="21"/>
        </w:rPr>
        <w:fldChar w:fldCharType="end"/>
      </w:r>
      <w:r>
        <w:rPr>
          <w:color w:val="000000" w:themeColor="text1"/>
          <w:szCs w:val="21"/>
        </w:rPr>
        <w:t xml:space="preserve">. </w:t>
      </w:r>
      <w:r>
        <w:rPr>
          <w:color w:val="000000" w:themeColor="text1"/>
        </w:rPr>
        <w:t>MODIS vegetation indices, including the widely used Normalized Difference Vegetation Index (NDVI) and leaf area index (LAI), are advantageous for estimating AGB</w:t>
      </w:r>
      <w:r>
        <w:rPr>
          <w:color w:val="000000" w:themeColor="text1"/>
          <w:szCs w:val="21"/>
        </w:rPr>
        <w:t xml:space="preserve"> stocks</w:t>
      </w:r>
      <w:r>
        <w:rPr>
          <w:color w:val="000000" w:themeColor="text1"/>
        </w:rPr>
        <w:t xml:space="preserve"> </w:t>
      </w:r>
      <w:r>
        <w:rPr>
          <w:color w:val="000000" w:themeColor="text1"/>
          <w:szCs w:val="21"/>
        </w:rPr>
        <w:t xml:space="preserve">in various forest types </w:t>
      </w:r>
      <w:r>
        <w:rPr>
          <w:color w:val="000000" w:themeColor="text1"/>
          <w:szCs w:val="21"/>
        </w:rPr>
        <w:fldChar w:fldCharType="begin">
          <w:fldData xml:space="preserve">PEVuZE5vdGU+PENpdGU+PEF1dGhvcj5NYWlyZTwvQXV0aG9yPjxZZWFyPjIwMTE8L1llYXI+PFJl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PEVuZE5vdGU+PENpdGU+PEF1dGhvcj5NYWlyZTwvQXV0aG9yPjxZZWFyPjIwMTE8L1llYXI+PFJl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[23, 25-27]</w:t>
      </w:r>
      <w:r>
        <w:rPr>
          <w:color w:val="000000" w:themeColor="text1"/>
          <w:szCs w:val="21"/>
        </w:rPr>
        <w:fldChar w:fldCharType="end"/>
      </w:r>
      <w:r>
        <w:rPr>
          <w:color w:val="000000" w:themeColor="text1"/>
          <w:szCs w:val="21"/>
        </w:rPr>
        <w:t xml:space="preserve">. Additionally, the MODIS vegetation continuous field (VCF) product offers a tree canopy cover percentage layer for all forest types, serving as a potential indicator for AGB estimation </w:t>
      </w:r>
      <w:r>
        <w:rPr>
          <w:color w:val="000000" w:themeColor="text1"/>
          <w:szCs w:val="21"/>
        </w:rPr>
        <w:fldChar w:fldCharType="begin"/>
      </w:r>
      <w:r>
        <w:rPr>
          <w:color w:val="000000" w:themeColor="text1"/>
          <w:szCs w:val="21"/>
        </w:rPr>
        <w:instrText xml:space="preserve"> ADDIN EN.CITE &lt;EndNote&gt;&lt;Cite&gt;&lt;Author&gt;Anaya&lt;/Author&gt;&lt;Year&gt;2009&lt;/Year&gt;&lt;RecNum&gt;213&lt;/RecNum&gt;&lt;DisplayText&gt;[27]&lt;/DisplayText&gt;&lt;record&gt;&lt;rec-number&gt;213&lt;/rec-number&gt;&lt;foreign-keys&gt;&lt;key app="EN" db-id="pv902f0emrpxwae0aecvvpapa20ep02dp9fp" timestamp="1667316654"&gt;213&lt;/key&gt;&lt;/foreign-keys&gt;&lt;ref-type name="Journal Article"&gt;17&lt;/ref-type&gt;&lt;contributors&gt;&lt;authors&gt;&lt;author&gt;Anaya, Jesús A.&lt;/author&gt;&lt;author&gt;Chuvieco, Emilio&lt;/author&gt;&lt;author&gt;Palacios-Orueta, Alicia&lt;/author&gt;&lt;/authors&gt;&lt;/contributors&gt;&lt;titles&gt;&lt;title&gt;Aboveground biomass assessment in Colombia: A remote sensing approach&lt;/title&gt;&lt;secondary-title&gt;Forest Ecology and Management&lt;/secondary-title&gt;&lt;/titles&gt;&lt;periodical&gt;&lt;full-title&gt;Forest Ecology and Management&lt;/full-title&gt;&lt;abbr-1&gt;For. Ecol. Manage.&lt;/abbr-1&gt;&lt;/periodical&gt;&lt;pages&gt;1237-1246&lt;/pages&gt;&lt;volume&gt;257&lt;/volume&gt;&lt;number&gt;4&lt;/number&gt;&lt;keywords&gt;&lt;keyword&gt;Biomass&lt;/keyword&gt;&lt;keyword&gt;Tropics&lt;/keyword&gt;&lt;keyword&gt;MODIS&lt;/keyword&gt;&lt;keyword&gt;VCF&lt;/keyword&gt;&lt;keyword&gt;EVI&lt;/keyword&gt;&lt;/keywords&gt;&lt;dates&gt;&lt;year&gt;2009&lt;/year&gt;&lt;pub-dates&gt;&lt;date&gt;2009/02/20/&lt;/date&gt;&lt;/pub-dates&gt;&lt;/dates&gt;&lt;isbn&gt;0378-1127&lt;/isbn&gt;&lt;urls&gt;&lt;related-urls&gt;&lt;url&gt;https://www.sciencedirect.com/science/article/pii/S0378112708008426&lt;/url&gt;&lt;/related-urls&gt;&lt;/urls&gt;&lt;electronic-resource-num&gt;https://doi.org/10.1016/j.foreco.2008.11.016&lt;/electronic-resource-num&gt;&lt;/record&gt;&lt;/Cite&gt;&lt;/EndNote&gt;</w:instrText>
      </w:r>
      <w:r>
        <w:rPr>
          <w:color w:val="000000" w:themeColor="text1"/>
          <w:szCs w:val="21"/>
        </w:rPr>
        <w:fldChar w:fldCharType="separate"/>
      </w:r>
      <w:r>
        <w:rPr>
          <w:color w:val="000000" w:themeColor="text1"/>
          <w:szCs w:val="21"/>
        </w:rPr>
        <w:t>[27]</w:t>
      </w:r>
      <w:r>
        <w:rPr>
          <w:color w:val="000000" w:themeColor="text1"/>
          <w:szCs w:val="21"/>
        </w:rPr>
        <w:fldChar w:fldCharType="end"/>
      </w:r>
      <w:r>
        <w:rPr>
          <w:color w:val="000000" w:themeColor="text1"/>
          <w:szCs w:val="21"/>
        </w:rPr>
        <w:t>.</w:t>
      </w:r>
      <w:r>
        <w:rPr>
          <w:color w:val="000000" w:themeColor="text1"/>
        </w:rPr>
        <w:t xml:space="preserve"> However, optical satellite sensor images are not sensitive to vegetation vertical structure and saturate quickly when estimating AGB accumulation from forest growth.</w:t>
      </w:r>
      <w:r>
        <w:rPr>
          <w:rFonts w:hint="eastAsia"/>
          <w:color w:val="000000" w:themeColor="text1"/>
          <w:lang w:eastAsia="zh-CN"/>
        </w:rPr>
        <w:t xml:space="preserve"> </w:t>
      </w:r>
    </w:p>
    <w:p w14:paraId="25AD0611">
      <w:pPr>
        <w:ind w:firstLine="400" w:firstLineChars="200"/>
        <w:jc w:val="both"/>
        <w:rPr>
          <w:color w:val="000000" w:themeColor="text1"/>
          <w:szCs w:val="21"/>
        </w:rPr>
      </w:pPr>
      <w:r>
        <w:rPr>
          <w:color w:val="000000" w:themeColor="text1"/>
          <w:szCs w:val="21"/>
        </w:rPr>
        <w:pict>
          <v:shape id="文本框 2" o:spid="_x0000_s8805" o:spt="202" type="#_x0000_t202" style="position:absolute;left:0pt;margin-left:-2.75pt;margin-top:487.45pt;height:203.3pt;width:523.65pt;mso-position-horizontal-relative:margin;mso-position-vertical-relative:margin;mso-wrap-distance-bottom:3.6pt;mso-wrap-distance-left:9pt;mso-wrap-distance-right:9pt;mso-wrap-distance-top:3.6pt;z-index:251677696;mso-width-relative:margin;mso-height-relative:margin;"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">
            <v:path/>
            <v:fill focussize="0,0"/>
            <v:stroke on="f" joinstyle="miter"/>
            <v:imagedata o:title=""/>
            <o:lock v:ext="edit"/>
            <v:textbox>
              <w:txbxContent>
                <w:p w14:paraId="7730BBC6">
                  <w:pPr>
                    <w:pStyle w:val="66"/>
                    <w:rPr>
                      <w:color w:val="000000" w:themeColor="text1"/>
                    </w:rPr>
                  </w:pPr>
                  <w:r>
                    <w:rPr>
                      <w:rFonts w:hint="eastAsia"/>
                      <w:color w:val="000000" w:themeColor="text1"/>
                    </w:rPr>
                    <w:t>Tab</w:t>
                  </w:r>
                  <w:r>
                    <w:rPr>
                      <w:color w:val="000000" w:themeColor="text1"/>
                    </w:rPr>
                    <w:t xml:space="preserve">le </w: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1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w:t>
                  </w:r>
                  <w:r>
                    <w:rPr>
                      <w:color w:val="000000" w:themeColor="text1"/>
                    </w:rPr>
                    <w:fldChar w:fldCharType="end"/>
                  </w:r>
                </w:p>
                <w:p w14:paraId="23A096A3">
                  <w:pPr>
                    <w:pStyle w:val="67"/>
                    <w:rPr>
                      <w:color w:val="000000" w:themeColor="text1"/>
                    </w:rPr>
                  </w:pPr>
                  <w:r>
                    <w:rPr>
                      <w:color w:val="000000" w:themeColor="text1"/>
                    </w:rPr>
                    <w:t>Summary of satellite-driven global</w:t>
                  </w:r>
                  <w:r>
                    <w:rPr>
                      <w:rFonts w:hint="eastAsia"/>
                      <w:color w:val="000000" w:themeColor="text1"/>
                      <w:lang w:eastAsia="zh-CN"/>
                    </w:rPr>
                    <w:t xml:space="preserve"> </w:t>
                  </w:r>
                  <w:r>
                    <w:rPr>
                      <w:color w:val="000000" w:themeColor="text1"/>
                    </w:rPr>
                    <w:t>aboveground biomass products.</w:t>
                  </w:r>
                </w:p>
                <w:tbl>
                  <w:tblPr>
                    <w:tblStyle w:val="21"/>
                    <w:tblW w:w="10653" w:type="dxa"/>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76"/>
                    <w:gridCol w:w="1233"/>
                    <w:gridCol w:w="1058"/>
                    <w:gridCol w:w="1312"/>
                    <w:gridCol w:w="2012"/>
                    <w:gridCol w:w="1272"/>
                    <w:gridCol w:w="1145"/>
                    <w:gridCol w:w="1145"/>
                  </w:tblGrid>
                  <w:tr w14:paraId="6D21EA58">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 w:hRule="atLeast"/>
                      <w:jc w:val="center"/>
                    </w:trPr>
                    <w:tc>
                      <w:tcPr>
                        <w:tcW w:w="1476" w:type="dxa"/>
                        <w:tcBorders>
                          <w:top w:val="single" w:color="auto" w:sz="4" w:space="0"/>
                          <w:bottom w:val="single" w:color="auto" w:sz="4" w:space="0"/>
                        </w:tcBorders>
                        <w:vAlign w:val="center"/>
                      </w:tcPr>
                      <w:p w14:paraId="62BFC0DB">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N</w:t>
                        </w:r>
                        <w:r>
                          <w:rPr>
                            <w:color w:val="000000" w:themeColor="text1"/>
                            <w:sz w:val="16"/>
                            <w:szCs w:val="16"/>
                            <w:lang w:eastAsia="zh-CN"/>
                          </w:rPr>
                          <w:t>ame</w:t>
                        </w:r>
                      </w:p>
                    </w:tc>
                    <w:tc>
                      <w:tcPr>
                        <w:tcW w:w="1233" w:type="dxa"/>
                        <w:tcBorders>
                          <w:top w:val="single" w:color="auto" w:sz="4" w:space="0"/>
                          <w:bottom w:val="single" w:color="auto" w:sz="4" w:space="0"/>
                        </w:tcBorders>
                        <w:vAlign w:val="center"/>
                      </w:tcPr>
                      <w:p w14:paraId="715682FF">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S</w:t>
                        </w:r>
                        <w:r>
                          <w:rPr>
                            <w:color w:val="000000" w:themeColor="text1"/>
                            <w:sz w:val="16"/>
                            <w:szCs w:val="16"/>
                            <w:lang w:eastAsia="zh-CN"/>
                          </w:rPr>
                          <w:t>patial resolution</w:t>
                        </w:r>
                      </w:p>
                    </w:tc>
                    <w:tc>
                      <w:tcPr>
                        <w:tcW w:w="1058" w:type="dxa"/>
                        <w:tcBorders>
                          <w:top w:val="single" w:color="auto" w:sz="4" w:space="0"/>
                          <w:bottom w:val="single" w:color="auto" w:sz="4" w:space="0"/>
                        </w:tcBorders>
                        <w:vAlign w:val="center"/>
                      </w:tcPr>
                      <w:p w14:paraId="1EEC70FE">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Temporal coverage</w:t>
                        </w:r>
                      </w:p>
                    </w:tc>
                    <w:tc>
                      <w:tcPr>
                        <w:tcW w:w="1312" w:type="dxa"/>
                        <w:tcBorders>
                          <w:top w:val="single" w:color="auto" w:sz="4" w:space="0"/>
                          <w:bottom w:val="single" w:color="auto" w:sz="4" w:space="0"/>
                        </w:tcBorders>
                        <w:vAlign w:val="center"/>
                      </w:tcPr>
                      <w:p w14:paraId="6FB77997">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Satellite data</w:t>
                        </w:r>
                      </w:p>
                    </w:tc>
                    <w:tc>
                      <w:tcPr>
                        <w:tcW w:w="2012" w:type="dxa"/>
                        <w:tcBorders>
                          <w:top w:val="single" w:color="auto" w:sz="4" w:space="0"/>
                          <w:bottom w:val="single" w:color="auto" w:sz="4" w:space="0"/>
                        </w:tcBorders>
                        <w:vAlign w:val="center"/>
                      </w:tcPr>
                      <w:p w14:paraId="6CC09455">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Auxiliary data</w:t>
                        </w:r>
                      </w:p>
                    </w:tc>
                    <w:tc>
                      <w:tcPr>
                        <w:tcW w:w="1272" w:type="dxa"/>
                        <w:tcBorders>
                          <w:top w:val="single" w:color="auto" w:sz="4" w:space="0"/>
                          <w:bottom w:val="single" w:color="auto" w:sz="4" w:space="0"/>
                        </w:tcBorders>
                        <w:vAlign w:val="center"/>
                      </w:tcPr>
                      <w:p w14:paraId="33077219">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Estimation model</w:t>
                        </w:r>
                      </w:p>
                    </w:tc>
                    <w:tc>
                      <w:tcPr>
                        <w:tcW w:w="1145" w:type="dxa"/>
                        <w:tcBorders>
                          <w:top w:val="single" w:color="auto" w:sz="4" w:space="0"/>
                          <w:bottom w:val="single" w:color="auto" w:sz="4" w:space="0"/>
                        </w:tcBorders>
                        <w:vAlign w:val="center"/>
                      </w:tcPr>
                      <w:p w14:paraId="3FB0EE3E">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Affiliation</w:t>
                        </w:r>
                      </w:p>
                    </w:tc>
                    <w:tc>
                      <w:tcPr>
                        <w:tcW w:w="1145" w:type="dxa"/>
                        <w:tcBorders>
                          <w:top w:val="single" w:color="auto" w:sz="4" w:space="0"/>
                          <w:bottom w:val="single" w:color="auto" w:sz="4" w:space="0"/>
                        </w:tcBorders>
                        <w:vAlign w:val="center"/>
                      </w:tcPr>
                      <w:p w14:paraId="47B1D9F9">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Reference</w:t>
                        </w:r>
                      </w:p>
                    </w:tc>
                  </w:tr>
                  <w:tr w14:paraId="09544B62">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476" w:type="dxa"/>
                        <w:tcBorders>
                          <w:top w:val="single" w:color="auto" w:sz="4" w:space="0"/>
                          <w:bottom w:val="nil"/>
                        </w:tcBorders>
                        <w:vAlign w:val="center"/>
                      </w:tcPr>
                      <w:p w14:paraId="49283240">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Aboveground live woody biomass density</w:t>
                        </w:r>
                      </w:p>
                    </w:tc>
                    <w:tc>
                      <w:tcPr>
                        <w:tcW w:w="1233" w:type="dxa"/>
                        <w:tcBorders>
                          <w:top w:val="single" w:color="auto" w:sz="4" w:space="0"/>
                          <w:bottom w:val="nil"/>
                        </w:tcBorders>
                        <w:vAlign w:val="center"/>
                      </w:tcPr>
                      <w:p w14:paraId="261C8A9B">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3</w:t>
                        </w:r>
                        <w:r>
                          <w:rPr>
                            <w:color w:val="000000" w:themeColor="text1"/>
                            <w:sz w:val="16"/>
                            <w:szCs w:val="16"/>
                            <w:lang w:eastAsia="zh-CN"/>
                          </w:rPr>
                          <w:t>0 m</w:t>
                        </w:r>
                      </w:p>
                    </w:tc>
                    <w:tc>
                      <w:tcPr>
                        <w:tcW w:w="1058" w:type="dxa"/>
                        <w:tcBorders>
                          <w:top w:val="single" w:color="auto" w:sz="4" w:space="0"/>
                          <w:bottom w:val="nil"/>
                        </w:tcBorders>
                        <w:vAlign w:val="center"/>
                      </w:tcPr>
                      <w:p w14:paraId="2FFE2F7B">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circa</w:t>
                        </w:r>
                        <w:r>
                          <w:rPr>
                            <w:rFonts w:hint="eastAsia"/>
                            <w:color w:val="000000" w:themeColor="text1"/>
                            <w:sz w:val="16"/>
                            <w:szCs w:val="16"/>
                            <w:lang w:eastAsia="zh-CN"/>
                          </w:rPr>
                          <w:t xml:space="preserve"> 2</w:t>
                        </w:r>
                        <w:r>
                          <w:rPr>
                            <w:color w:val="000000" w:themeColor="text1"/>
                            <w:sz w:val="16"/>
                            <w:szCs w:val="16"/>
                            <w:lang w:eastAsia="zh-CN"/>
                          </w:rPr>
                          <w:t>000</w:t>
                        </w:r>
                      </w:p>
                    </w:tc>
                    <w:tc>
                      <w:tcPr>
                        <w:tcW w:w="1312" w:type="dxa"/>
                        <w:tcBorders>
                          <w:top w:val="single" w:color="auto" w:sz="4" w:space="0"/>
                          <w:bottom w:val="nil"/>
                        </w:tcBorders>
                        <w:vAlign w:val="center"/>
                      </w:tcPr>
                      <w:p w14:paraId="45704CFD">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Landsat-5/7</w:t>
                        </w:r>
                      </w:p>
                    </w:tc>
                    <w:tc>
                      <w:tcPr>
                        <w:tcW w:w="2012" w:type="dxa"/>
                        <w:tcBorders>
                          <w:top w:val="single" w:color="auto" w:sz="4" w:space="0"/>
                          <w:bottom w:val="nil"/>
                        </w:tcBorders>
                        <w:vAlign w:val="center"/>
                      </w:tcPr>
                      <w:p w14:paraId="00464E72">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Field inventory, ICESat LiDAR, tree canopy cover</w:t>
                        </w:r>
                      </w:p>
                    </w:tc>
                    <w:tc>
                      <w:tcPr>
                        <w:tcW w:w="1272" w:type="dxa"/>
                        <w:tcBorders>
                          <w:top w:val="single" w:color="auto" w:sz="4" w:space="0"/>
                          <w:bottom w:val="nil"/>
                        </w:tcBorders>
                        <w:vAlign w:val="center"/>
                      </w:tcPr>
                      <w:p w14:paraId="243C184C">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R</w:t>
                        </w:r>
                        <w:r>
                          <w:rPr>
                            <w:color w:val="000000" w:themeColor="text1"/>
                            <w:sz w:val="16"/>
                            <w:szCs w:val="16"/>
                            <w:lang w:eastAsia="zh-CN"/>
                          </w:rPr>
                          <w:t>andom forest</w:t>
                        </w:r>
                      </w:p>
                    </w:tc>
                    <w:tc>
                      <w:tcPr>
                        <w:tcW w:w="1145" w:type="dxa"/>
                        <w:tcBorders>
                          <w:top w:val="single" w:color="auto" w:sz="4" w:space="0"/>
                          <w:bottom w:val="nil"/>
                        </w:tcBorders>
                        <w:vAlign w:val="center"/>
                      </w:tcPr>
                      <w:p w14:paraId="307CEDE2">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World Resources Institute</w:t>
                        </w:r>
                      </w:p>
                    </w:tc>
                    <w:tc>
                      <w:tcPr>
                        <w:tcW w:w="1145" w:type="dxa"/>
                        <w:tcBorders>
                          <w:top w:val="single" w:color="auto" w:sz="4" w:space="0"/>
                          <w:bottom w:val="nil"/>
                        </w:tcBorders>
                        <w:vAlign w:val="center"/>
                      </w:tcPr>
                      <w:p w14:paraId="6EC7685F">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Harris, et al. [</w:t>
                        </w:r>
                        <w:r>
                          <w:rPr>
                            <w:rFonts w:hint="eastAsia"/>
                            <w:color w:val="000000" w:themeColor="text1"/>
                            <w:sz w:val="16"/>
                            <w:szCs w:val="16"/>
                            <w:lang w:eastAsia="zh-CN"/>
                          </w:rPr>
                          <w:t>37</w:t>
                        </w:r>
                        <w:r>
                          <w:rPr>
                            <w:color w:val="000000" w:themeColor="text1"/>
                            <w:sz w:val="16"/>
                            <w:szCs w:val="16"/>
                            <w:lang w:eastAsia="zh-CN"/>
                          </w:rPr>
                          <w:t>]</w:t>
                        </w:r>
                      </w:p>
                    </w:tc>
                  </w:tr>
                  <w:tr w14:paraId="4535EC7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 w:hRule="atLeast"/>
                      <w:jc w:val="center"/>
                    </w:trPr>
                    <w:tc>
                      <w:tcPr>
                        <w:tcW w:w="1476" w:type="dxa"/>
                        <w:tcBorders>
                          <w:top w:val="nil"/>
                        </w:tcBorders>
                        <w:vAlign w:val="center"/>
                      </w:tcPr>
                      <w:p w14:paraId="01DCA561">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 xml:space="preserve">Global </w:t>
                        </w:r>
                        <w:r>
                          <w:rPr>
                            <w:color w:val="000000" w:themeColor="text1"/>
                            <w:sz w:val="16"/>
                            <w:szCs w:val="16"/>
                            <w:lang w:eastAsia="zh-CN"/>
                          </w:rPr>
                          <w:t>ESA_CCI Biomass</w:t>
                        </w:r>
                      </w:p>
                    </w:tc>
                    <w:tc>
                      <w:tcPr>
                        <w:tcW w:w="1233" w:type="dxa"/>
                        <w:tcBorders>
                          <w:top w:val="nil"/>
                        </w:tcBorders>
                        <w:vAlign w:val="center"/>
                      </w:tcPr>
                      <w:p w14:paraId="08C12540">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1</w:t>
                        </w:r>
                        <w:r>
                          <w:rPr>
                            <w:color w:val="000000" w:themeColor="text1"/>
                            <w:sz w:val="16"/>
                            <w:szCs w:val="16"/>
                            <w:lang w:eastAsia="zh-CN"/>
                          </w:rPr>
                          <w:t>00 m</w:t>
                        </w:r>
                      </w:p>
                    </w:tc>
                    <w:tc>
                      <w:tcPr>
                        <w:tcW w:w="1058" w:type="dxa"/>
                        <w:tcBorders>
                          <w:top w:val="nil"/>
                        </w:tcBorders>
                        <w:vAlign w:val="center"/>
                      </w:tcPr>
                      <w:p w14:paraId="74BEC5C4">
                        <w:pPr>
                          <w:autoSpaceDE w:val="0"/>
                          <w:autoSpaceDN w:val="0"/>
                          <w:adjustRightInd w:val="0"/>
                          <w:snapToGrid w:val="0"/>
                          <w:jc w:val="center"/>
                          <w:rPr>
                            <w:color w:val="000000" w:themeColor="text1"/>
                            <w:sz w:val="16"/>
                            <w:szCs w:val="16"/>
                            <w:lang w:eastAsia="zh-CN"/>
                          </w:rPr>
                        </w:pPr>
                        <w:bookmarkStart w:id="39" w:name="_Hlk211677840"/>
                        <w:r>
                          <w:rPr>
                            <w:color w:val="000000" w:themeColor="text1"/>
                            <w:sz w:val="16"/>
                            <w:szCs w:val="16"/>
                            <w:lang w:eastAsia="zh-CN"/>
                          </w:rPr>
                          <w:t>2007, 2010, 2015</w:t>
                        </w:r>
                        <w:r>
                          <w:rPr>
                            <w:rFonts w:hint="eastAsia"/>
                            <w:color w:val="000000" w:themeColor="text1"/>
                            <w:sz w:val="16"/>
                            <w:szCs w:val="16"/>
                            <w:lang w:eastAsia="zh-CN"/>
                          </w:rPr>
                          <w:t>-2022</w:t>
                        </w:r>
                        <w:bookmarkEnd w:id="39"/>
                      </w:p>
                    </w:tc>
                    <w:tc>
                      <w:tcPr>
                        <w:tcW w:w="1312" w:type="dxa"/>
                        <w:tcBorders>
                          <w:top w:val="nil"/>
                        </w:tcBorders>
                        <w:vAlign w:val="center"/>
                      </w:tcPr>
                      <w:p w14:paraId="55B5E5E8">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ALOS-1 and ALOS-2,</w:t>
                        </w:r>
                        <w:r>
                          <w:rPr>
                            <w:rFonts w:hint="eastAsia"/>
                            <w:color w:val="000000" w:themeColor="text1"/>
                            <w:sz w:val="16"/>
                            <w:szCs w:val="16"/>
                            <w:lang w:eastAsia="zh-CN"/>
                          </w:rPr>
                          <w:t xml:space="preserve"> S</w:t>
                        </w:r>
                        <w:r>
                          <w:rPr>
                            <w:color w:val="000000" w:themeColor="text1"/>
                            <w:sz w:val="16"/>
                            <w:szCs w:val="16"/>
                            <w:lang w:eastAsia="zh-CN"/>
                          </w:rPr>
                          <w:t>entinel-1</w:t>
                        </w:r>
                      </w:p>
                    </w:tc>
                    <w:tc>
                      <w:tcPr>
                        <w:tcW w:w="2012" w:type="dxa"/>
                        <w:tcBorders>
                          <w:top w:val="nil"/>
                        </w:tcBorders>
                        <w:vAlign w:val="center"/>
                      </w:tcPr>
                      <w:p w14:paraId="3E41CD9F">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ICESat LiDAR, land cover, DEM, canopy density and height</w:t>
                        </w:r>
                      </w:p>
                    </w:tc>
                    <w:tc>
                      <w:tcPr>
                        <w:tcW w:w="1272" w:type="dxa"/>
                        <w:tcBorders>
                          <w:top w:val="nil"/>
                        </w:tcBorders>
                        <w:vAlign w:val="center"/>
                      </w:tcPr>
                      <w:p w14:paraId="7D7A2C84">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Semi-empirical model</w:t>
                        </w:r>
                      </w:p>
                    </w:tc>
                    <w:tc>
                      <w:tcPr>
                        <w:tcW w:w="1145" w:type="dxa"/>
                        <w:tcBorders>
                          <w:top w:val="nil"/>
                        </w:tcBorders>
                        <w:vAlign w:val="center"/>
                      </w:tcPr>
                      <w:p w14:paraId="530AC966">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European Space Agency (ESA)</w:t>
                        </w:r>
                      </w:p>
                    </w:tc>
                    <w:tc>
                      <w:tcPr>
                        <w:tcW w:w="1145" w:type="dxa"/>
                        <w:tcBorders>
                          <w:top w:val="nil"/>
                          <w:bottom w:val="nil"/>
                        </w:tcBorders>
                        <w:vAlign w:val="center"/>
                      </w:tcPr>
                      <w:p w14:paraId="48032106">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Santoro, et al. [3</w:t>
                        </w:r>
                        <w:r>
                          <w:rPr>
                            <w:rFonts w:hint="eastAsia"/>
                            <w:color w:val="000000" w:themeColor="text1"/>
                            <w:sz w:val="16"/>
                            <w:szCs w:val="16"/>
                            <w:lang w:eastAsia="zh-CN"/>
                          </w:rPr>
                          <w:t>1</w:t>
                        </w:r>
                        <w:r>
                          <w:rPr>
                            <w:color w:val="000000" w:themeColor="text1"/>
                            <w:sz w:val="16"/>
                            <w:szCs w:val="16"/>
                            <w:lang w:eastAsia="zh-CN"/>
                          </w:rPr>
                          <w:t>]</w:t>
                        </w:r>
                      </w:p>
                    </w:tc>
                  </w:tr>
                  <w:tr w14:paraId="4EF5D49F">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 w:hRule="atLeast"/>
                      <w:jc w:val="center"/>
                    </w:trPr>
                    <w:tc>
                      <w:tcPr>
                        <w:tcW w:w="1476" w:type="dxa"/>
                        <w:vAlign w:val="center"/>
                      </w:tcPr>
                      <w:p w14:paraId="40BEA877">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Globally harmonized AGBC map</w:t>
                        </w:r>
                      </w:p>
                    </w:tc>
                    <w:tc>
                      <w:tcPr>
                        <w:tcW w:w="1233" w:type="dxa"/>
                        <w:vAlign w:val="center"/>
                      </w:tcPr>
                      <w:p w14:paraId="6D51BF62">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3</w:t>
                        </w:r>
                        <w:r>
                          <w:rPr>
                            <w:color w:val="000000" w:themeColor="text1"/>
                            <w:sz w:val="16"/>
                            <w:szCs w:val="16"/>
                            <w:lang w:eastAsia="zh-CN"/>
                          </w:rPr>
                          <w:t>00 m</w:t>
                        </w:r>
                      </w:p>
                    </w:tc>
                    <w:tc>
                      <w:tcPr>
                        <w:tcW w:w="1058" w:type="dxa"/>
                        <w:vAlign w:val="center"/>
                      </w:tcPr>
                      <w:p w14:paraId="742810DA">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2</w:t>
                        </w:r>
                        <w:r>
                          <w:rPr>
                            <w:color w:val="000000" w:themeColor="text1"/>
                            <w:sz w:val="16"/>
                            <w:szCs w:val="16"/>
                            <w:lang w:eastAsia="zh-CN"/>
                          </w:rPr>
                          <w:t>010</w:t>
                        </w:r>
                      </w:p>
                    </w:tc>
                    <w:tc>
                      <w:tcPr>
                        <w:tcW w:w="1312" w:type="dxa"/>
                        <w:vAlign w:val="center"/>
                      </w:tcPr>
                      <w:p w14:paraId="401B7DF2">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MERIS, Spaceborne optical and SAR</w:t>
                        </w:r>
                      </w:p>
                    </w:tc>
                    <w:tc>
                      <w:tcPr>
                        <w:tcW w:w="2012" w:type="dxa"/>
                        <w:vAlign w:val="center"/>
                      </w:tcPr>
                      <w:p w14:paraId="79BB8567">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Various forest aboveground biomass maps, land covers, tree cover</w:t>
                        </w:r>
                      </w:p>
                    </w:tc>
                    <w:tc>
                      <w:tcPr>
                        <w:tcW w:w="1272" w:type="dxa"/>
                        <w:vAlign w:val="center"/>
                      </w:tcPr>
                      <w:p w14:paraId="29F9AE1D">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Harmonization approach</w:t>
                        </w:r>
                      </w:p>
                    </w:tc>
                    <w:tc>
                      <w:tcPr>
                        <w:tcW w:w="1145" w:type="dxa"/>
                        <w:vAlign w:val="center"/>
                      </w:tcPr>
                      <w:p w14:paraId="6A996560">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University of Wisconsin-Madison</w:t>
                        </w:r>
                      </w:p>
                    </w:tc>
                    <w:tc>
                      <w:tcPr>
                        <w:tcW w:w="1145" w:type="dxa"/>
                        <w:tcBorders>
                          <w:top w:val="nil"/>
                          <w:bottom w:val="nil"/>
                        </w:tcBorders>
                        <w:vAlign w:val="center"/>
                      </w:tcPr>
                      <w:p w14:paraId="745823B9">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Spawn, et al. [</w:t>
                        </w:r>
                        <w:r>
                          <w:rPr>
                            <w:rFonts w:hint="eastAsia"/>
                            <w:color w:val="000000" w:themeColor="text1"/>
                            <w:sz w:val="16"/>
                            <w:szCs w:val="16"/>
                            <w:lang w:eastAsia="zh-CN"/>
                          </w:rPr>
                          <w:t>35</w:t>
                        </w:r>
                        <w:r>
                          <w:rPr>
                            <w:color w:val="000000" w:themeColor="text1"/>
                            <w:sz w:val="16"/>
                            <w:szCs w:val="16"/>
                            <w:lang w:eastAsia="zh-CN"/>
                          </w:rPr>
                          <w:t>]</w:t>
                        </w:r>
                      </w:p>
                    </w:tc>
                  </w:tr>
                  <w:tr w14:paraId="0401548A">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 w:hRule="atLeast"/>
                      <w:jc w:val="center"/>
                    </w:trPr>
                    <w:tc>
                      <w:tcPr>
                        <w:tcW w:w="1476" w:type="dxa"/>
                        <w:vAlign w:val="center"/>
                      </w:tcPr>
                      <w:p w14:paraId="47EABD5D">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Global wall-to-wall forest AGB map</w:t>
                        </w:r>
                      </w:p>
                    </w:tc>
                    <w:tc>
                      <w:tcPr>
                        <w:tcW w:w="1233" w:type="dxa"/>
                        <w:vAlign w:val="center"/>
                      </w:tcPr>
                      <w:p w14:paraId="136F7E51">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1</w:t>
                        </w:r>
                        <w:r>
                          <w:rPr>
                            <w:color w:val="000000" w:themeColor="text1"/>
                            <w:sz w:val="16"/>
                            <w:szCs w:val="16"/>
                            <w:lang w:eastAsia="zh-CN"/>
                          </w:rPr>
                          <w:t>000 m</w:t>
                        </w:r>
                      </w:p>
                    </w:tc>
                    <w:tc>
                      <w:tcPr>
                        <w:tcW w:w="1058" w:type="dxa"/>
                        <w:vAlign w:val="center"/>
                      </w:tcPr>
                      <w:p w14:paraId="374DA19F">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2</w:t>
                        </w:r>
                        <w:r>
                          <w:rPr>
                            <w:color w:val="000000" w:themeColor="text1"/>
                            <w:sz w:val="16"/>
                            <w:szCs w:val="16"/>
                            <w:lang w:eastAsia="zh-CN"/>
                          </w:rPr>
                          <w:t>004</w:t>
                        </w:r>
                      </w:p>
                    </w:tc>
                    <w:tc>
                      <w:tcPr>
                        <w:tcW w:w="1312" w:type="dxa"/>
                        <w:vAlign w:val="center"/>
                      </w:tcPr>
                      <w:p w14:paraId="383E3371">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M</w:t>
                        </w:r>
                        <w:r>
                          <w:rPr>
                            <w:color w:val="000000" w:themeColor="text1"/>
                            <w:sz w:val="16"/>
                            <w:szCs w:val="16"/>
                            <w:lang w:eastAsia="zh-CN"/>
                          </w:rPr>
                          <w:t>ODIS, GLAS</w:t>
                        </w:r>
                      </w:p>
                    </w:tc>
                    <w:tc>
                      <w:tcPr>
                        <w:tcW w:w="2012" w:type="dxa"/>
                        <w:vAlign w:val="center"/>
                      </w:tcPr>
                      <w:p w14:paraId="4548585B">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Field inventory, DEM, land cover, climatic data</w:t>
                        </w:r>
                      </w:p>
                    </w:tc>
                    <w:tc>
                      <w:tcPr>
                        <w:tcW w:w="1272" w:type="dxa"/>
                        <w:vAlign w:val="center"/>
                      </w:tcPr>
                      <w:p w14:paraId="037280E4">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R</w:t>
                        </w:r>
                        <w:r>
                          <w:rPr>
                            <w:color w:val="000000" w:themeColor="text1"/>
                            <w:sz w:val="16"/>
                            <w:szCs w:val="16"/>
                            <w:lang w:eastAsia="zh-CN"/>
                          </w:rPr>
                          <w:t>andom forest</w:t>
                        </w:r>
                      </w:p>
                    </w:tc>
                    <w:tc>
                      <w:tcPr>
                        <w:tcW w:w="1145" w:type="dxa"/>
                        <w:vAlign w:val="center"/>
                      </w:tcPr>
                      <w:p w14:paraId="5AC75888">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C</w:t>
                        </w:r>
                        <w:r>
                          <w:rPr>
                            <w:color w:val="000000" w:themeColor="text1"/>
                            <w:sz w:val="16"/>
                            <w:szCs w:val="16"/>
                            <w:lang w:eastAsia="zh-CN"/>
                          </w:rPr>
                          <w:t>hinese Academy of Sciences</w:t>
                        </w:r>
                      </w:p>
                    </w:tc>
                    <w:tc>
                      <w:tcPr>
                        <w:tcW w:w="1145" w:type="dxa"/>
                        <w:tcBorders>
                          <w:top w:val="nil"/>
                          <w:bottom w:val="nil"/>
                        </w:tcBorders>
                        <w:vAlign w:val="center"/>
                      </w:tcPr>
                      <w:p w14:paraId="0CE0F877">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Hu, et al. [</w:t>
                        </w:r>
                        <w:r>
                          <w:rPr>
                            <w:rFonts w:hint="eastAsia"/>
                            <w:color w:val="000000" w:themeColor="text1"/>
                            <w:sz w:val="16"/>
                            <w:szCs w:val="16"/>
                            <w:lang w:eastAsia="zh-CN"/>
                          </w:rPr>
                          <w:t>7</w:t>
                        </w:r>
                        <w:r>
                          <w:rPr>
                            <w:color w:val="000000" w:themeColor="text1"/>
                            <w:sz w:val="16"/>
                            <w:szCs w:val="16"/>
                            <w:lang w:eastAsia="zh-CN"/>
                          </w:rPr>
                          <w:t>]</w:t>
                        </w:r>
                      </w:p>
                    </w:tc>
                  </w:tr>
                  <w:tr w14:paraId="28D59C5D">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 w:hRule="atLeast"/>
                      <w:jc w:val="center"/>
                    </w:trPr>
                    <w:tc>
                      <w:tcPr>
                        <w:tcW w:w="1476" w:type="dxa"/>
                        <w:vAlign w:val="center"/>
                      </w:tcPr>
                      <w:p w14:paraId="3D50B489">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 xml:space="preserve">GEDI L4B Gridded </w:t>
                        </w:r>
                        <w:r>
                          <w:rPr>
                            <w:rFonts w:hint="eastAsia"/>
                            <w:color w:val="000000" w:themeColor="text1"/>
                            <w:sz w:val="16"/>
                            <w:szCs w:val="16"/>
                            <w:lang w:eastAsia="zh-CN"/>
                          </w:rPr>
                          <w:t>AGBD</w:t>
                        </w:r>
                      </w:p>
                    </w:tc>
                    <w:tc>
                      <w:tcPr>
                        <w:tcW w:w="1233" w:type="dxa"/>
                        <w:vAlign w:val="center"/>
                      </w:tcPr>
                      <w:p w14:paraId="5C2ACFA6">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1000 m</w:t>
                        </w:r>
                      </w:p>
                    </w:tc>
                    <w:tc>
                      <w:tcPr>
                        <w:tcW w:w="1058" w:type="dxa"/>
                        <w:vAlign w:val="center"/>
                      </w:tcPr>
                      <w:p w14:paraId="716CF203">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2019-2021</w:t>
                        </w:r>
                      </w:p>
                    </w:tc>
                    <w:tc>
                      <w:tcPr>
                        <w:tcW w:w="1312" w:type="dxa"/>
                        <w:vAlign w:val="center"/>
                      </w:tcPr>
                      <w:p w14:paraId="7B8D4DB4">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 xml:space="preserve">GEDI LiDAR </w:t>
                        </w:r>
                        <w:r>
                          <w:rPr>
                            <w:rFonts w:hint="eastAsia"/>
                            <w:color w:val="000000" w:themeColor="text1"/>
                            <w:sz w:val="16"/>
                            <w:szCs w:val="16"/>
                            <w:lang w:eastAsia="zh-CN"/>
                          </w:rPr>
                          <w:t>footprints</w:t>
                        </w:r>
                      </w:p>
                    </w:tc>
                    <w:tc>
                      <w:tcPr>
                        <w:tcW w:w="2012" w:type="dxa"/>
                        <w:vAlign w:val="center"/>
                      </w:tcPr>
                      <w:p w14:paraId="76EAF2E4">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Field inventory, airborne laser</w:t>
                        </w:r>
                      </w:p>
                    </w:tc>
                    <w:tc>
                      <w:tcPr>
                        <w:tcW w:w="1272" w:type="dxa"/>
                        <w:vAlign w:val="center"/>
                      </w:tcPr>
                      <w:p w14:paraId="2E750273">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Mean of AGBD f</w:t>
                        </w:r>
                        <w:r>
                          <w:rPr>
                            <w:color w:val="000000" w:themeColor="text1"/>
                            <w:sz w:val="16"/>
                            <w:szCs w:val="16"/>
                            <w:lang w:eastAsia="zh-CN"/>
                          </w:rPr>
                          <w:t>ootprint</w:t>
                        </w:r>
                      </w:p>
                    </w:tc>
                    <w:tc>
                      <w:tcPr>
                        <w:tcW w:w="1145" w:type="dxa"/>
                        <w:vAlign w:val="center"/>
                      </w:tcPr>
                      <w:p w14:paraId="59EBC5B9">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University of Maryland</w:t>
                        </w:r>
                      </w:p>
                    </w:tc>
                    <w:tc>
                      <w:tcPr>
                        <w:tcW w:w="1145" w:type="dxa"/>
                        <w:tcBorders>
                          <w:top w:val="nil"/>
                          <w:bottom w:val="nil"/>
                        </w:tcBorders>
                        <w:vAlign w:val="center"/>
                      </w:tcPr>
                      <w:p w14:paraId="2B5643DB">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Dubayah, et al. [</w:t>
                        </w:r>
                        <w:r>
                          <w:rPr>
                            <w:rFonts w:hint="eastAsia"/>
                            <w:color w:val="000000" w:themeColor="text1"/>
                            <w:sz w:val="16"/>
                            <w:szCs w:val="16"/>
                            <w:lang w:eastAsia="zh-CN"/>
                          </w:rPr>
                          <w:t>8</w:t>
                        </w:r>
                        <w:r>
                          <w:rPr>
                            <w:color w:val="000000" w:themeColor="text1"/>
                            <w:sz w:val="16"/>
                            <w:szCs w:val="16"/>
                            <w:lang w:eastAsia="zh-CN"/>
                          </w:rPr>
                          <w:t>]</w:t>
                        </w:r>
                      </w:p>
                    </w:tc>
                  </w:tr>
                  <w:tr w14:paraId="303F7E4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 w:hRule="atLeast"/>
                      <w:jc w:val="center"/>
                    </w:trPr>
                    <w:tc>
                      <w:tcPr>
                        <w:tcW w:w="1476" w:type="dxa"/>
                        <w:vAlign w:val="center"/>
                      </w:tcPr>
                      <w:p w14:paraId="5239AE60">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 xml:space="preserve">GEDI L4A Raster </w:t>
                        </w:r>
                        <w:r>
                          <w:rPr>
                            <w:rFonts w:hint="eastAsia"/>
                            <w:color w:val="000000" w:themeColor="text1"/>
                            <w:sz w:val="16"/>
                            <w:szCs w:val="16"/>
                            <w:lang w:eastAsia="zh-CN"/>
                          </w:rPr>
                          <w:t>AGBD</w:t>
                        </w:r>
                      </w:p>
                    </w:tc>
                    <w:tc>
                      <w:tcPr>
                        <w:tcW w:w="1233" w:type="dxa"/>
                        <w:vAlign w:val="center"/>
                      </w:tcPr>
                      <w:p w14:paraId="09E3848D">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25</w:t>
                        </w:r>
                        <w:r>
                          <w:rPr>
                            <w:color w:val="000000" w:themeColor="text1"/>
                            <w:sz w:val="16"/>
                            <w:szCs w:val="16"/>
                            <w:lang w:eastAsia="zh-CN"/>
                          </w:rPr>
                          <w:t xml:space="preserve"> m</w:t>
                        </w:r>
                      </w:p>
                    </w:tc>
                    <w:tc>
                      <w:tcPr>
                        <w:tcW w:w="1058" w:type="dxa"/>
                        <w:vAlign w:val="center"/>
                      </w:tcPr>
                      <w:p w14:paraId="7860C95F">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2019-2024</w:t>
                        </w:r>
                      </w:p>
                    </w:tc>
                    <w:tc>
                      <w:tcPr>
                        <w:tcW w:w="1312" w:type="dxa"/>
                        <w:vAlign w:val="center"/>
                      </w:tcPr>
                      <w:p w14:paraId="341A2B89">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 xml:space="preserve">GEDI LiDAR </w:t>
                        </w:r>
                        <w:r>
                          <w:rPr>
                            <w:rFonts w:hint="eastAsia"/>
                            <w:color w:val="000000" w:themeColor="text1"/>
                            <w:sz w:val="16"/>
                            <w:szCs w:val="16"/>
                            <w:lang w:eastAsia="zh-CN"/>
                          </w:rPr>
                          <w:t>footprints</w:t>
                        </w:r>
                      </w:p>
                    </w:tc>
                    <w:tc>
                      <w:tcPr>
                        <w:tcW w:w="2012" w:type="dxa"/>
                        <w:vAlign w:val="center"/>
                      </w:tcPr>
                      <w:p w14:paraId="6B050181">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Field inventory, airborne laser</w:t>
                        </w:r>
                      </w:p>
                    </w:tc>
                    <w:tc>
                      <w:tcPr>
                        <w:tcW w:w="1272" w:type="dxa"/>
                        <w:vAlign w:val="center"/>
                      </w:tcPr>
                      <w:p w14:paraId="3A17B0CB">
                        <w:pPr>
                          <w:autoSpaceDE w:val="0"/>
                          <w:autoSpaceDN w:val="0"/>
                          <w:adjustRightInd w:val="0"/>
                          <w:snapToGrid w:val="0"/>
                          <w:jc w:val="center"/>
                          <w:rPr>
                            <w:color w:val="000000" w:themeColor="text1"/>
                            <w:sz w:val="16"/>
                            <w:szCs w:val="16"/>
                            <w:lang w:eastAsia="zh-CN"/>
                          </w:rPr>
                        </w:pPr>
                        <w:r>
                          <w:rPr>
                            <w:rFonts w:hint="eastAsia"/>
                            <w:color w:val="000000" w:themeColor="text1"/>
                            <w:sz w:val="16"/>
                            <w:szCs w:val="16"/>
                            <w:lang w:eastAsia="zh-CN"/>
                          </w:rPr>
                          <w:t>AGBD f</w:t>
                        </w:r>
                        <w:r>
                          <w:rPr>
                            <w:color w:val="000000" w:themeColor="text1"/>
                            <w:sz w:val="16"/>
                            <w:szCs w:val="16"/>
                            <w:lang w:eastAsia="zh-CN"/>
                          </w:rPr>
                          <w:t>ootprint</w:t>
                        </w:r>
                        <w:r>
                          <w:rPr>
                            <w:rFonts w:hint="eastAsia"/>
                            <w:color w:val="000000" w:themeColor="text1"/>
                            <w:sz w:val="16"/>
                            <w:szCs w:val="16"/>
                            <w:lang w:eastAsia="zh-CN"/>
                          </w:rPr>
                          <w:t xml:space="preserve"> estimation</w:t>
                        </w:r>
                      </w:p>
                    </w:tc>
                    <w:tc>
                      <w:tcPr>
                        <w:tcW w:w="1145" w:type="dxa"/>
                        <w:vAlign w:val="center"/>
                      </w:tcPr>
                      <w:p w14:paraId="39E62A32">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University of Maryland</w:t>
                        </w:r>
                      </w:p>
                    </w:tc>
                    <w:tc>
                      <w:tcPr>
                        <w:tcW w:w="1145" w:type="dxa"/>
                        <w:tcBorders>
                          <w:top w:val="nil"/>
                          <w:bottom w:val="single" w:color="auto" w:sz="4" w:space="0"/>
                        </w:tcBorders>
                        <w:vAlign w:val="center"/>
                      </w:tcPr>
                      <w:p w14:paraId="4DEDA0D2">
                        <w:pPr>
                          <w:autoSpaceDE w:val="0"/>
                          <w:autoSpaceDN w:val="0"/>
                          <w:adjustRightInd w:val="0"/>
                          <w:snapToGrid w:val="0"/>
                          <w:jc w:val="center"/>
                          <w:rPr>
                            <w:color w:val="000000" w:themeColor="text1"/>
                            <w:sz w:val="16"/>
                            <w:szCs w:val="16"/>
                            <w:lang w:eastAsia="zh-CN"/>
                          </w:rPr>
                        </w:pPr>
                        <w:r>
                          <w:rPr>
                            <w:color w:val="000000" w:themeColor="text1"/>
                            <w:sz w:val="16"/>
                            <w:szCs w:val="16"/>
                            <w:lang w:eastAsia="zh-CN"/>
                          </w:rPr>
                          <w:t>Dubayah, et al. [</w:t>
                        </w:r>
                        <w:r>
                          <w:rPr>
                            <w:rFonts w:hint="eastAsia"/>
                            <w:color w:val="000000" w:themeColor="text1"/>
                            <w:sz w:val="16"/>
                            <w:szCs w:val="16"/>
                            <w:lang w:eastAsia="zh-CN"/>
                          </w:rPr>
                          <w:t>8</w:t>
                        </w:r>
                        <w:r>
                          <w:rPr>
                            <w:color w:val="000000" w:themeColor="text1"/>
                            <w:sz w:val="16"/>
                            <w:szCs w:val="16"/>
                            <w:lang w:eastAsia="zh-CN"/>
                          </w:rPr>
                          <w:t>]</w:t>
                        </w:r>
                      </w:p>
                    </w:tc>
                  </w:tr>
                </w:tbl>
                <w:p w14:paraId="2045AEB7">
                  <w:pPr>
                    <w:jc w:val="center"/>
                    <w:rPr>
                      <w:color w:val="000000" w:themeColor="text1"/>
                    </w:rPr>
                  </w:pPr>
                </w:p>
              </w:txbxContent>
            </v:textbox>
            <w10:wrap type="square"/>
          </v:shape>
        </w:pict>
      </w:r>
      <w:r>
        <w:rPr>
          <w:rFonts w:hint="eastAsia"/>
          <w:color w:val="000000" w:themeColor="text1"/>
          <w:szCs w:val="21"/>
        </w:rPr>
        <w:t>C</w:t>
      </w:r>
      <w:r>
        <w:rPr>
          <w:color w:val="000000" w:themeColor="text1"/>
          <w:szCs w:val="21"/>
        </w:rPr>
        <w:t xml:space="preserve">ompared to optical satellite sensor images, SAR images have the capability to penetrate cloud cover and mitigate the impact of </w:t>
      </w:r>
      <w:r>
        <w:rPr>
          <w:color w:val="000000" w:themeColor="text1"/>
        </w:rPr>
        <w:t xml:space="preserve">AGB saturation to some extent </w:t>
      </w:r>
      <w:r>
        <w:rPr>
          <w:color w:val="000000" w:themeColor="text1"/>
          <w:szCs w:val="21"/>
        </w:rPr>
        <w:fldChar w:fldCharType="begin"/>
      </w:r>
      <w:r>
        <w:rPr>
          <w:color w:val="000000" w:themeColor="text1"/>
          <w:szCs w:val="21"/>
        </w:rPr>
        <w:instrText xml:space="preserve"> ADDIN EN.CITE &lt;EndNote&gt;&lt;Cite&gt;&lt;Author&gt;Englhart&lt;/Author&gt;&lt;Year&gt;2011&lt;/Year&gt;&lt;RecNum&gt;204&lt;/RecNum&gt;&lt;DisplayText&gt;[28]&lt;/DisplayText&gt;&lt;record&gt;&lt;rec-number&gt;204&lt;/rec-number&gt;&lt;foreign-keys&gt;&lt;key app="EN" db-id="pv902f0emrpxwae0aecvvpapa20ep02dp9fp" timestamp="1667251943"&gt;204&lt;/key&gt;&lt;/foreign-keys&gt;&lt;ref-type name="Journal Article"&gt;17&lt;/ref-type&gt;&lt;contributors&gt;&lt;authors&gt;&lt;author&gt;Englhart, S.&lt;/author&gt;&lt;author&gt;Keuck, V.&lt;/author&gt;&lt;author&gt;Siegert, F.&lt;/author&gt;&lt;/authors&gt;&lt;/contributors&gt;&lt;titles&gt;&lt;title&gt;Aboveground biomass retrieval in tropical forests — The potential of combined X- and L-band SAR data use&lt;/title&gt;&lt;secondary-title&gt;Remote Sensing of Environment&lt;/secondary-title&gt;&lt;/titles&gt;&lt;periodical&gt;&lt;full-title&gt;Remote Sensing of Environment&lt;/full-title&gt;&lt;abbr-1&gt;Remote Sens. Environ.&lt;/abbr-1&gt;&lt;/periodical&gt;&lt;pages&gt;1260-1271&lt;/pages&gt;&lt;volume&gt;115&lt;/volume&gt;&lt;number&gt;5&lt;/number&gt;&lt;keywords&gt;&lt;keyword&gt;ALOS PALSAR&lt;/keyword&gt;&lt;keyword&gt;Biomass&lt;/keyword&gt;&lt;keyword&gt;Forest&lt;/keyword&gt;&lt;keyword&gt;Indonesia&lt;/keyword&gt;&lt;keyword&gt;REDD&lt;/keyword&gt;&lt;keyword&gt;TerraSAR-X&lt;/keyword&gt;&lt;/keywords&gt;&lt;dates&gt;&lt;year&gt;2011&lt;/year&gt;&lt;pub-dates&gt;&lt;date&gt;2011/05/15/&lt;/date&gt;&lt;/pub-dates&gt;&lt;/dates&gt;&lt;isbn&gt;0034-4257&lt;/isbn&gt;&lt;urls&gt;&lt;related-urls&gt;&lt;url&gt;https://www.sciencedirect.com/science/article/pii/S0034425711000216&lt;/url&gt;&lt;/related-urls&gt;&lt;/urls&gt;&lt;electronic-resource-num&gt;https://doi.org/10.1016/j.rse.2011.01.008&lt;/electronic-resource-num&gt;&lt;/record&gt;&lt;/Cite&gt;&lt;/EndNote&gt;</w:instrText>
      </w:r>
      <w:r>
        <w:rPr>
          <w:color w:val="000000" w:themeColor="text1"/>
          <w:szCs w:val="21"/>
        </w:rPr>
        <w:fldChar w:fldCharType="separate"/>
      </w:r>
      <w:r>
        <w:rPr>
          <w:color w:val="000000" w:themeColor="text1"/>
          <w:szCs w:val="21"/>
        </w:rPr>
        <w:t>[28]</w:t>
      </w:r>
      <w:r>
        <w:rPr>
          <w:color w:val="000000" w:themeColor="text1"/>
          <w:szCs w:val="21"/>
        </w:rPr>
        <w:fldChar w:fldCharType="end"/>
      </w:r>
      <w:r>
        <w:rPr>
          <w:color w:val="000000" w:themeColor="text1"/>
          <w:szCs w:val="21"/>
        </w:rPr>
        <w:t xml:space="preserve">. The C and X bands of Sentinel-1 and TerraSAR are considered too short to penetrate tree canopy cover </w:t>
      </w:r>
      <w:r>
        <w:rPr>
          <w:color w:val="000000" w:themeColor="text1"/>
          <w:szCs w:val="21"/>
        </w:rPr>
        <w:fldChar w:fldCharType="begin"/>
      </w:r>
      <w:r>
        <w:rPr>
          <w:color w:val="000000" w:themeColor="text1"/>
          <w:szCs w:val="21"/>
        </w:rPr>
        <w:instrText xml:space="preserve"> ADDIN EN.CITE &lt;EndNote&gt;&lt;Cite&gt;&lt;Author&gt;Cartus&lt;/Author&gt;&lt;Year&gt;2022&lt;/Year&gt;&lt;RecNum&gt;206&lt;/RecNum&gt;&lt;DisplayText&gt;[29]&lt;/DisplayText&gt;&lt;record&gt;&lt;rec-number&gt;206&lt;/rec-number&gt;&lt;foreign-keys&gt;&lt;key app="EN" db-id="pv902f0emrpxwae0aecvvpapa20ep02dp9fp" timestamp="1667291363"&gt;206&lt;/key&gt;&lt;/foreign-keys&gt;&lt;ref-type name="Journal Article"&gt;17&lt;/ref-type&gt;&lt;contributors&gt;&lt;authors&gt;&lt;author&gt;O. Cartus&lt;/author&gt;&lt;author&gt;M. Santoro&lt;/author&gt;&lt;author&gt;U. Wegmüller&lt;/author&gt;&lt;author&gt;N. Labrière&lt;/author&gt;&lt;author&gt;J. Chave&lt;/author&gt;&lt;/authors&gt;&lt;/contributors&gt;&lt;titles&gt;&lt;title&gt;Sentinel-1 Coherence for Mapping Above-Ground Biomass in Semiarid Forest Areas&lt;/title&gt;&lt;secondary-title&gt;IEEE Geoscience and Remote Sensing Letters&lt;/secondary-title&gt;&lt;/titles&gt;&lt;periodical&gt;&lt;full-title&gt;IEEE Geoscience and Remote Sensing Letters&lt;/full-title&gt;&lt;abbr-1&gt;IEEE Geosci. Remote Sens. Lett.&lt;/abbr-1&gt;&lt;/periodical&gt;&lt;pages&gt;1-5&lt;/pages&gt;&lt;volume&gt;19&lt;/volume&gt;&lt;dates&gt;&lt;year&gt;2022&lt;/year&gt;&lt;/dates&gt;&lt;isbn&gt;1558-0571&lt;/isbn&gt;&lt;urls&gt;&lt;/urls&gt;&lt;electronic-resource-num&gt;https://doi.org/10.1109/LGRS.2021.3071949&lt;/electronic-resource-num&gt;&lt;/record&gt;&lt;/Cite&gt;&lt;/EndNote&gt;</w:instrText>
      </w:r>
      <w:r>
        <w:rPr>
          <w:color w:val="000000" w:themeColor="text1"/>
          <w:szCs w:val="21"/>
        </w:rPr>
        <w:fldChar w:fldCharType="separate"/>
      </w:r>
      <w:r>
        <w:rPr>
          <w:color w:val="000000" w:themeColor="text1"/>
          <w:szCs w:val="21"/>
        </w:rPr>
        <w:t>[29]</w:t>
      </w:r>
      <w:r>
        <w:rPr>
          <w:color w:val="000000" w:themeColor="text1"/>
          <w:szCs w:val="21"/>
        </w:rPr>
        <w:fldChar w:fldCharType="end"/>
      </w:r>
      <w:r>
        <w:rPr>
          <w:color w:val="000000" w:themeColor="text1"/>
          <w:szCs w:val="21"/>
        </w:rPr>
        <w:t xml:space="preserve">, while the longer L-band SAR of ALOS PALSAR is widely used for AGB estimation </w:t>
      </w:r>
      <w:r>
        <w:rPr>
          <w:color w:val="000000" w:themeColor="text1"/>
          <w:szCs w:val="21"/>
        </w:rPr>
        <w:fldChar w:fldCharType="begin"/>
      </w:r>
      <w:r>
        <w:rPr>
          <w:color w:val="000000" w:themeColor="text1"/>
          <w:szCs w:val="21"/>
        </w:rPr>
        <w:instrText xml:space="preserve"> ADDIN EN.CITE &lt;EndNote&gt;&lt;Cite&gt;&lt;Author&gt;Carreiras&lt;/Author&gt;&lt;Year&gt;2012&lt;/Year&gt;&lt;RecNum&gt;207&lt;/RecNum&gt;&lt;DisplayText&gt;[30]&lt;/DisplayText&gt;&lt;record&gt;&lt;rec-number&gt;207&lt;/rec-number&gt;&lt;foreign-keys&gt;&lt;key app="EN" db-id="pv902f0emrpxwae0aecvvpapa20ep02dp9fp" timestamp="1667296110"&gt;207&lt;/key&gt;&lt;/foreign-keys&gt;&lt;ref-type name="Journal Article"&gt;17&lt;/ref-type&gt;&lt;contributors&gt;&lt;authors&gt;&lt;author&gt;Carreiras, João M. B.&lt;/author&gt;&lt;author&gt;Vasconcelos, Maria J.&lt;/author&gt;&lt;author&gt;Lucas, Richard M.&lt;/author&gt;&lt;/authors&gt;&lt;/contributors&gt;&lt;titles&gt;&lt;title&gt;Understanding the relationship between aboveground biomass and ALOS PALSAR data in the forests of Guinea-Bissau (West Africa)&lt;/title&gt;&lt;secondary-title&gt;Remote Sensing of Environment&lt;/secondary-title&gt;&lt;/titles&gt;&lt;periodical&gt;&lt;full-title&gt;Remote Sensing of Environment&lt;/full-title&gt;&lt;abbr-1&gt;Remote Sens. Environ.&lt;/abbr-1&gt;&lt;/periodical&gt;&lt;pages&gt;426-442&lt;/pages&gt;&lt;volume&gt;121&lt;/volume&gt;&lt;keywords&gt;&lt;keyword&gt;Guinea-Bissau&lt;/keyword&gt;&lt;keyword&gt;West Africa&lt;/keyword&gt;&lt;keyword&gt;Aboveground biomass&lt;/keyword&gt;&lt;keyword&gt;REDD+&lt;/keyword&gt;&lt;keyword&gt;Remote sensing&lt;/keyword&gt;&lt;keyword&gt;ALOS PALSAR&lt;/keyword&gt;&lt;keyword&gt;Bagging stochastic gradient boosting (BagSGB)&lt;/keyword&gt;&lt;/keywords&gt;&lt;dates&gt;&lt;year&gt;2012&lt;/year&gt;&lt;pub-dates&gt;&lt;date&gt;2012/06/01/&lt;/date&gt;&lt;/pub-dates&gt;&lt;/dates&gt;&lt;isbn&gt;0034-4257&lt;/isbn&gt;&lt;urls&gt;&lt;related-urls&gt;&lt;url&gt;https://www.sciencedirect.com/science/article/pii/S0034425712001058&lt;/url&gt;&lt;/related-urls&gt;&lt;/urls&gt;&lt;electronic-resource-num&gt;https://doi.org/10.1016/j.rse.2012.02.012&lt;/electronic-resource-num&gt;&lt;/record&gt;&lt;/Cite&gt;&lt;/EndNote&gt;</w:instrText>
      </w:r>
      <w:r>
        <w:rPr>
          <w:color w:val="000000" w:themeColor="text1"/>
          <w:szCs w:val="21"/>
        </w:rPr>
        <w:fldChar w:fldCharType="separate"/>
      </w:r>
      <w:r>
        <w:rPr>
          <w:color w:val="000000" w:themeColor="text1"/>
          <w:szCs w:val="21"/>
        </w:rPr>
        <w:t>[30]</w:t>
      </w:r>
      <w:r>
        <w:rPr>
          <w:color w:val="000000" w:themeColor="text1"/>
          <w:szCs w:val="21"/>
        </w:rPr>
        <w:fldChar w:fldCharType="end"/>
      </w:r>
      <w:r>
        <w:rPr>
          <w:color w:val="000000" w:themeColor="text1"/>
          <w:szCs w:val="21"/>
        </w:rPr>
        <w:t xml:space="preserve">. As listed in Table </w:t>
      </w:r>
      <w:r>
        <w:rPr>
          <w:color w:val="000000" w:themeColor="text1"/>
          <w:szCs w:val="21"/>
        </w:rPr>
        <w:fldChar w:fldCharType="begin"/>
      </w:r>
      <w:r>
        <w:rPr>
          <w:color w:val="000000" w:themeColor="text1"/>
          <w:szCs w:val="21"/>
          <w:lang w:eastAsia="zh-CN"/>
        </w:rPr>
        <w:instrText xml:space="preserve"> </w:instrText>
      </w:r>
      <w:r>
        <w:rPr>
          <w:rFonts w:hint="eastAsia"/>
          <w:color w:val="000000" w:themeColor="text1"/>
          <w:szCs w:val="21"/>
          <w:lang w:eastAsia="zh-CN"/>
        </w:rPr>
        <w:instrText xml:space="preserve">= 1 \* ROMAN</w:instrText>
      </w:r>
      <w:r>
        <w:rPr>
          <w:color w:val="000000" w:themeColor="text1"/>
          <w:szCs w:val="21"/>
          <w:lang w:eastAsia="zh-CN"/>
        </w:rPr>
        <w:instrText xml:space="preserve"> </w:instrText>
      </w:r>
      <w:r>
        <w:rPr>
          <w:color w:val="000000" w:themeColor="text1"/>
          <w:szCs w:val="21"/>
        </w:rPr>
        <w:fldChar w:fldCharType="separate"/>
      </w:r>
      <w:r>
        <w:rPr>
          <w:color w:val="000000" w:themeColor="text1"/>
          <w:szCs w:val="21"/>
          <w:lang w:eastAsia="zh-CN"/>
        </w:rPr>
        <w:t>I</w:t>
      </w:r>
      <w:r>
        <w:rPr>
          <w:color w:val="000000" w:themeColor="text1"/>
          <w:szCs w:val="21"/>
        </w:rPr>
        <w:fldChar w:fldCharType="end"/>
      </w:r>
      <w:r>
        <w:rPr>
          <w:color w:val="000000" w:themeColor="text1"/>
          <w:szCs w:val="21"/>
        </w:rPr>
        <w:t xml:space="preserve">, the global AGB maps of ESA Biomass_CCI in 2010, 2017 and 2018 were estimated mainly from ALOS PALSAR images, and Sentinel-1 images were used for gap-filling </w:t>
      </w:r>
      <w:r>
        <w:rPr>
          <w:color w:val="000000" w:themeColor="text1"/>
          <w:szCs w:val="21"/>
        </w:rPr>
        <w:fldChar w:fldCharType="begin">
          <w:fldData xml:space="preserve">PEVuZE5vdGU+PENpdGU+PEF1dGhvcj5TYW50b3JvPC9BdXRob3I+PFllYXI+MjAyMTwvWWVhcj48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PEVuZE5vdGU+PENpdGU+PEF1dGhvcj5TYW50b3JvPC9BdXRob3I+PFllYXI+MjAyMTwvWWVhcj48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[31]</w:t>
      </w:r>
      <w:r>
        <w:rPr>
          <w:color w:val="000000" w:themeColor="text1"/>
          <w:szCs w:val="21"/>
        </w:rPr>
        <w:fldChar w:fldCharType="end"/>
      </w:r>
      <w:r>
        <w:rPr>
          <w:color w:val="000000" w:themeColor="text1"/>
          <w:szCs w:val="21"/>
        </w:rPr>
        <w:t xml:space="preserve">. However, forest cover and urban impervious surfaces have similar backscattering features in the PALSAR and PALSAR-2 images because of the complex building orientations in cities </w:t>
      </w:r>
      <w:r>
        <w:rPr>
          <w:color w:val="000000" w:themeColor="text1"/>
          <w:szCs w:val="21"/>
        </w:rPr>
        <w:fldChar w:fldCharType="begin">
          <w:fldData xml:space="preserve">PEVuZE5vdGU+PENpdGU+PEF1dGhvcj5Eb25nPC9BdXRob3I+PFllYXI+MjAxMjwvWWVhcj48UmVj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PEVuZE5vdGU+PENpdGU+PEF1dGhvcj5Eb25nPC9BdXRob3I+PFllYXI+MjAxMjwvWWVhcj48UmVj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[32-34]</w:t>
      </w:r>
      <w:r>
        <w:rPr>
          <w:color w:val="000000" w:themeColor="text1"/>
          <w:szCs w:val="21"/>
        </w:rPr>
        <w:fldChar w:fldCharType="end"/>
      </w:r>
      <w:r>
        <w:rPr>
          <w:color w:val="000000" w:themeColor="text1"/>
          <w:szCs w:val="21"/>
        </w:rPr>
        <w:t>.</w:t>
      </w:r>
    </w:p>
    <w:p w14:paraId="79CE6DF3">
      <w:pPr>
        <w:ind w:firstLine="400" w:firstLineChars="200"/>
        <w:jc w:val="both"/>
        <w:rPr>
          <w:color w:val="000000" w:themeColor="text1"/>
          <w:szCs w:val="21"/>
        </w:rPr>
      </w:pPr>
      <w:r>
        <w:rPr>
          <w:color w:val="000000" w:themeColor="text1"/>
        </w:rPr>
        <w:t xml:space="preserve">Associated strengths and weaknesses exist inevitably for both optical and SAR images, but they are naturally synergistic with each other for AGB estimation </w:t>
      </w:r>
      <w:r>
        <w:rPr>
          <w:color w:val="000000" w:themeColor="text1"/>
        </w:rPr>
        <w:fldChar w:fldCharType="begin">
          <w:fldData xml:space="preserve">PEVuZE5vdGU+PENpdGU+PEF1dGhvcj5TdTwvQXV0aG9yPjxZZWFyPjIwMTY8L1llYXI+PFJlY051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</w:fldData>
        </w:fldChar>
      </w:r>
      <w:r>
        <w:rPr>
          <w:color w:val="000000" w:themeColor="text1"/>
        </w:rPr>
        <w:instrText xml:space="preserve"> ADDIN EN.CITE </w:instrText>
      </w:r>
      <w:r>
        <w:rPr>
          <w:color w:val="000000" w:themeColor="text1"/>
        </w:rPr>
        <w:fldChar w:fldCharType="begin">
          <w:fldData xml:space="preserve">PEVuZE5vdGU+PENpdGU+PEF1dGhvcj5TdTwvQXV0aG9yPjxZZWFyPjIwMTY8L1llYXI+PFJlY051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[3, 35]</w:t>
      </w:r>
      <w:r>
        <w:rPr>
          <w:color w:val="000000" w:themeColor="text1"/>
        </w:rPr>
        <w:fldChar w:fldCharType="end"/>
      </w:r>
      <w:r>
        <w:rPr>
          <w:color w:val="000000" w:themeColor="text1"/>
        </w:rPr>
        <w:t xml:space="preserve">. Most satellite-driven AGB retrieval methods can only estimate spatially continuous AGB for the data collection time of training samples. Thus, these methods are unsuitable for generating time-series AGB maps, essential for accurately monitoring of net carbon changes in forest ecosystems </w:t>
      </w:r>
      <w:r>
        <w:rPr>
          <w:color w:val="000000" w:themeColor="text1"/>
          <w:szCs w:val="21"/>
        </w:rPr>
        <w:fldChar w:fldCharType="begin">
          <w:fldData xml:space="preserve">PEVuZE5vdGU+PENpdGU+PEF1dGhvcj5CYWNjaW5pPC9BdXRob3I+PFllYXI+MjAxNzwvWWVhcj48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PEVuZE5vdGU+PENpdGU+PEF1dGhvcj5CYWNjaW5pPC9BdXRob3I+PFllYXI+MjAxNzwvWWVhcj48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[36, 37]</w:t>
      </w:r>
      <w:r>
        <w:rPr>
          <w:color w:val="000000" w:themeColor="text1"/>
          <w:szCs w:val="21"/>
        </w:rPr>
        <w:fldChar w:fldCharType="end"/>
      </w:r>
      <w:r>
        <w:rPr>
          <w:color w:val="000000" w:themeColor="text1"/>
          <w:szCs w:val="21"/>
        </w:rPr>
        <w:t xml:space="preserve">. Given the limitations of estimating and specializing GEDI AGBD over time using data from the satellite sensors mentioned above, this study’s main goals are to: </w:t>
      </w:r>
      <w:bookmarkStart w:id="8" w:name="_Hlk119011997"/>
    </w:p>
    <w:p w14:paraId="7F5CF0D2">
      <w:pPr>
        <w:pStyle w:val="58"/>
        <w:widowControl/>
        <w:numPr>
          <w:ilvl w:val="0"/>
          <w:numId w:val="4"/>
        </w:numPr>
        <w:ind w:firstLineChars="0"/>
        <w:contextualSpacing/>
        <w:rPr>
          <w:rFonts w:ascii="Times New Roman" w:hAnsi="Times New Roman" w:cs="Times New Roman"/>
          <w:color w:val="000000" w:themeColor="text1"/>
          <w:szCs w:val="21"/>
        </w:rPr>
      </w:pPr>
      <w:r>
        <w:rPr>
          <w:rFonts w:ascii="Times New Roman" w:hAnsi="Times New Roman" w:cs="Times New Roman"/>
          <w:color w:val="000000" w:themeColor="text1"/>
          <w:szCs w:val="21"/>
        </w:rPr>
        <w:t>evaluate the performance of machine learning and deep learning regression methods in estimating spatially continuous GEDI AGBD by integrating multi-source remote sensing data;</w:t>
      </w:r>
    </w:p>
    <w:p w14:paraId="2B8F97B6">
      <w:pPr>
        <w:pStyle w:val="58"/>
        <w:widowControl/>
        <w:numPr>
          <w:ilvl w:val="0"/>
          <w:numId w:val="4"/>
        </w:numPr>
        <w:ind w:firstLineChars="0"/>
        <w:contextualSpacing/>
        <w:rPr>
          <w:rFonts w:ascii="Times New Roman" w:hAnsi="Times New Roman" w:cs="Times New Roman"/>
          <w:color w:val="000000" w:themeColor="text1"/>
          <w:szCs w:val="21"/>
        </w:rPr>
      </w:pPr>
      <w:r>
        <w:rPr>
          <w:rFonts w:ascii="Times New Roman" w:hAnsi="Times New Roman" w:cs="Times New Roman"/>
          <w:color w:val="000000" w:themeColor="text1"/>
          <w:szCs w:val="21"/>
        </w:rPr>
        <w:t>compare the effectiveness of GEDI AGBD estimation using three distinct datasets: PALSAR-2, MODIS vegetation indices, and topography and climate data;</w:t>
      </w:r>
    </w:p>
    <w:p w14:paraId="3EBBD87D">
      <w:pPr>
        <w:pStyle w:val="58"/>
        <w:widowControl/>
        <w:numPr>
          <w:ilvl w:val="0"/>
          <w:numId w:val="4"/>
        </w:numPr>
        <w:ind w:firstLineChars="0"/>
        <w:contextualSpacing/>
        <w:rPr>
          <w:rFonts w:ascii="Times New Roman" w:hAnsi="Times New Roman" w:cs="Times New Roman"/>
          <w:color w:val="000000" w:themeColor="text1"/>
          <w:szCs w:val="21"/>
        </w:rPr>
      </w:pPr>
      <w:r>
        <w:rPr>
          <w:rFonts w:ascii="Times New Roman" w:hAnsi="Times New Roman" w:cs="Times New Roman"/>
          <w:color w:val="000000" w:themeColor="text1"/>
          <w:szCs w:val="21"/>
        </w:rPr>
        <w:t>analyze the spatio-temporal dynamics of AGB and carbon in a complex forest landscape, using GEDI AGBD data, with a focus on the Han River basin in China.</w:t>
      </w:r>
    </w:p>
    <w:p w14:paraId="476D162A">
      <w:pPr>
        <w:ind w:firstLine="400" w:firstLineChars="200"/>
        <w:jc w:val="both"/>
        <w:rPr>
          <w:color w:val="000000" w:themeColor="text1"/>
          <w:szCs w:val="21"/>
          <w:lang w:eastAsia="zh-CN"/>
        </w:rPr>
      </w:pPr>
      <w:r>
        <w:rPr>
          <w:color w:val="000000" w:themeColor="text1"/>
          <w:szCs w:val="21"/>
        </w:rPr>
        <w:t>To achieve these objectives, we’ve developed a comprehensive methodological framework to generate high-quality, spatio-temporally continuous GEDI AGBD estimates and their corresponding standard errors. Our overarching aim is to propel the utilization and impact of GEDI AGBD data in practical applications.</w:t>
      </w:r>
      <w:r>
        <w:rPr>
          <w:rFonts w:hint="eastAsia"/>
          <w:color w:val="000000" w:themeColor="text1"/>
          <w:szCs w:val="21"/>
          <w:lang w:eastAsia="zh-CN"/>
        </w:rPr>
        <w:t xml:space="preserve"> </w:t>
      </w:r>
      <w:r>
        <w:rPr>
          <w:color w:val="000000" w:themeColor="text1"/>
          <w:szCs w:val="21"/>
          <w:lang w:eastAsia="zh-CN"/>
        </w:rPr>
        <w:t>The remainder of this paper is organized as follows: Section II</w:t>
      </w:r>
      <w:r>
        <w:rPr>
          <w:rFonts w:hint="eastAsia"/>
          <w:color w:val="000000" w:themeColor="text1"/>
          <w:szCs w:val="21"/>
          <w:lang w:eastAsia="zh-CN"/>
        </w:rPr>
        <w:t xml:space="preserve"> introduces t</w:t>
      </w:r>
      <w:r>
        <w:rPr>
          <w:color w:val="000000" w:themeColor="text1"/>
          <w:szCs w:val="21"/>
          <w:lang w:eastAsia="zh-CN"/>
        </w:rPr>
        <w:t xml:space="preserve">he study areas and dataset. The </w:t>
      </w:r>
      <w:r>
        <w:rPr>
          <w:rFonts w:hint="eastAsia"/>
          <w:color w:val="000000" w:themeColor="text1"/>
          <w:szCs w:val="21"/>
          <w:lang w:eastAsia="zh-CN"/>
        </w:rPr>
        <w:t>methodology</w:t>
      </w:r>
      <w:r>
        <w:rPr>
          <w:color w:val="000000" w:themeColor="text1"/>
          <w:szCs w:val="21"/>
          <w:lang w:eastAsia="zh-CN"/>
        </w:rPr>
        <w:t xml:space="preserve"> </w:t>
      </w:r>
      <w:r>
        <w:rPr>
          <w:rFonts w:hint="eastAsia"/>
          <w:color w:val="000000" w:themeColor="text1"/>
          <w:szCs w:val="21"/>
          <w:lang w:eastAsia="zh-CN"/>
        </w:rPr>
        <w:t>and results are</w:t>
      </w:r>
      <w:r>
        <w:rPr>
          <w:color w:val="000000" w:themeColor="text1"/>
          <w:szCs w:val="21"/>
          <w:lang w:eastAsia="zh-CN"/>
        </w:rPr>
        <w:t xml:space="preserve"> </w:t>
      </w:r>
      <w:r>
        <w:rPr>
          <w:rFonts w:hint="eastAsia"/>
          <w:color w:val="000000" w:themeColor="text1"/>
          <w:szCs w:val="21"/>
          <w:lang w:eastAsia="zh-CN"/>
        </w:rPr>
        <w:t>presented</w:t>
      </w:r>
      <w:r>
        <w:rPr>
          <w:color w:val="000000" w:themeColor="text1"/>
          <w:szCs w:val="21"/>
          <w:lang w:eastAsia="zh-CN"/>
        </w:rPr>
        <w:t xml:space="preserve"> in Section III</w:t>
      </w:r>
      <w:r>
        <w:rPr>
          <w:rFonts w:hint="eastAsia"/>
          <w:color w:val="000000" w:themeColor="text1"/>
          <w:szCs w:val="21"/>
          <w:lang w:eastAsia="zh-CN"/>
        </w:rPr>
        <w:t xml:space="preserve"> and</w:t>
      </w:r>
      <w:r>
        <w:rPr>
          <w:color w:val="000000" w:themeColor="text1"/>
          <w:szCs w:val="21"/>
          <w:lang w:eastAsia="zh-CN"/>
        </w:rPr>
        <w:t xml:space="preserve"> Section IV </w:t>
      </w:r>
      <w:r>
        <w:rPr>
          <w:rFonts w:hint="eastAsia"/>
          <w:color w:val="000000" w:themeColor="text1"/>
          <w:szCs w:val="21"/>
          <w:lang w:eastAsia="zh-CN"/>
        </w:rPr>
        <w:t>respectively. S</w:t>
      </w:r>
      <w:r>
        <w:rPr>
          <w:color w:val="000000" w:themeColor="text1"/>
          <w:szCs w:val="21"/>
          <w:lang w:eastAsia="zh-CN"/>
        </w:rPr>
        <w:t>ection V provides a discussion. Conclusions are summarized in Section VI.</w:t>
      </w:r>
    </w:p>
    <w:bookmarkEnd w:id="8"/>
    <w:p w14:paraId="0FD9CF29">
      <w:pPr>
        <w:pStyle w:val="72"/>
        <w:rPr>
          <w:color w:val="000000" w:themeColor="text1"/>
        </w:rPr>
      </w:pP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2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II</w:t>
      </w:r>
      <w:r>
        <w:rPr>
          <w:color w:val="000000" w:themeColor="text1"/>
        </w:rPr>
        <w:fldChar w:fldCharType="end"/>
      </w:r>
      <w:r>
        <w:rPr>
          <w:color w:val="000000" w:themeColor="text1"/>
        </w:rPr>
        <w:t>. Study area and data</w:t>
      </w:r>
    </w:p>
    <w:p w14:paraId="31ED170F">
      <w:pPr>
        <w:pStyle w:val="3"/>
        <w:jc w:val="both"/>
        <w:rPr>
          <w:color w:val="000000" w:themeColor="text1"/>
        </w:rPr>
      </w:pPr>
      <w:r>
        <w:rPr>
          <w:color w:val="000000" w:themeColor="text1"/>
        </w:rPr>
        <w:t>Study area</w:t>
      </w:r>
      <w:r>
        <w:rPr>
          <w:rFonts w:hint="eastAsia"/>
          <w:color w:val="000000" w:themeColor="text1"/>
          <w:lang w:eastAsia="zh-CN"/>
        </w:rPr>
        <w:t xml:space="preserve"> and field plots</w:t>
      </w:r>
    </w:p>
    <w:p w14:paraId="6F9A7902">
      <w:pPr>
        <w:ind w:firstLine="400" w:firstLineChars="200"/>
        <w:jc w:val="both"/>
        <w:rPr>
          <w:color w:val="000000" w:themeColor="text1"/>
        </w:rPr>
      </w:pPr>
      <w:r>
        <w:rPr>
          <w:color w:val="000000" w:themeColor="text1"/>
        </w:rPr>
        <w:t>The study area, the Han River Basin, is located in central China (Fig. 1(a)) and serves as the largest tributary of China's Yangtze River. The elevation ranges from 0 m to 3500 m</w:t>
      </w:r>
      <w:r>
        <w:rPr>
          <w:rFonts w:hint="eastAsia"/>
          <w:color w:val="000000" w:themeColor="text1"/>
        </w:rPr>
        <w:t>.</w:t>
      </w:r>
      <w:r>
        <w:rPr>
          <w:color w:val="000000" w:themeColor="text1"/>
        </w:rPr>
        <w:t xml:space="preserve"> The climate is characterized as a northern subtropical monsoon, with annual average temperature ranging from 12°C to 16°C and an average annual precipitation of 804 mm </w:t>
      </w:r>
      <w:r>
        <w:rPr>
          <w:color w:val="000000" w:themeColor="text1"/>
        </w:rPr>
        <w:fldChar w:fldCharType="begin"/>
      </w:r>
      <w:r>
        <w:rPr>
          <w:color w:val="000000" w:themeColor="text1"/>
        </w:rPr>
        <w:instrText xml:space="preserve"> ADDIN EN.CITE &lt;EndNote&gt;&lt;Cite&gt;&lt;Author&gt;Liu&lt;/Author&gt;&lt;Year&gt;2011&lt;/Year&gt;&lt;RecNum&gt;216&lt;/RecNum&gt;&lt;DisplayText&gt;[38]&lt;/DisplayText&gt;&lt;record&gt;&lt;rec-number&gt;216&lt;/rec-number&gt;&lt;foreign-keys&gt;&lt;key app="EN" db-id="pv902f0emrpxwae0aecvvpapa20ep02dp9fp" timestamp="1667341129"&gt;216&lt;/key&gt;&lt;/foreign-keys&gt;&lt;ref-type name="Journal Article"&gt;17&lt;/ref-type&gt;&lt;contributors&gt;&lt;authors&gt;&lt;author&gt;Liu, Wenzhi&lt;/author&gt;&lt;author&gt;Liu, Guihua&lt;/author&gt;&lt;author&gt;Zhang, Quanfa&lt;/author&gt;&lt;/authors&gt;&lt;/contributors&gt;&lt;titles&gt;&lt;title&gt;Influence of Vegetation Characteristics on Soil Denitrification in Shoreline Wetlands of the Danjiangkou Reservoir in China&lt;/title&gt;&lt;secondary-title&gt;CLEAN – Soil, Air, Water&lt;/secondary-title&gt;&lt;/titles&gt;&lt;periodical&gt;&lt;full-title&gt;CLEAN – Soil, Air, Water&lt;/full-title&gt;&lt;/periodical&gt;&lt;pages&gt;109-115&lt;/pages&gt;&lt;volume&gt;39&lt;/volume&gt;&lt;number&gt;2&lt;/number&gt;&lt;keywords&gt;&lt;keyword&gt;Agricultural runoff&lt;/keyword&gt;&lt;keyword&gt;DEA&lt;/keyword&gt;&lt;keyword&gt;Eutrophication&lt;/keyword&gt;&lt;keyword&gt;Nitrogen&lt;/keyword&gt;&lt;keyword&gt;Restoration&lt;/keyword&gt;&lt;/keywords&gt;&lt;dates&gt;&lt;year&gt;2011&lt;/year&gt;&lt;pub-dates&gt;&lt;date&gt;2011/02/01&lt;/date&gt;&lt;/pub-dates&gt;&lt;/dates&gt;&lt;publisher&gt;John Wiley &amp;amp; Sons, Ltd&lt;/publisher&gt;&lt;isbn&gt;1863-0650&lt;/isbn&gt;&lt;urls&gt;&lt;related-urls&gt;&lt;url&gt;https://doi.org/10.1002/clen.200900212&lt;/url&gt;&lt;/related-urls&gt;&lt;/urls&gt;&lt;electronic-resource-num&gt;https://doi.org/10.1002/clen.200900212&lt;/electronic-resource-num&gt;&lt;access-date&gt;2022/11/01&lt;/access-date&gt;&lt;/record&gt;&lt;/Cite&gt;&lt;/EndNote&gt;</w:instrText>
      </w:r>
      <w:r>
        <w:rPr>
          <w:color w:val="000000" w:themeColor="text1"/>
        </w:rPr>
        <w:fldChar w:fldCharType="separate"/>
      </w:r>
      <w:r>
        <w:rPr>
          <w:color w:val="000000" w:themeColor="text1"/>
        </w:rPr>
        <w:t>[38]</w:t>
      </w:r>
      <w:r>
        <w:rPr>
          <w:color w:val="000000" w:themeColor="text1"/>
        </w:rPr>
        <w:fldChar w:fldCharType="end"/>
      </w:r>
      <w:r>
        <w:rPr>
          <w:color w:val="000000" w:themeColor="text1"/>
        </w:rPr>
        <w:t xml:space="preserve">. Danjiangkou Reservoir, serving as the source of China’s South-to-North Water Transfer Middle Route Project, is situated within the Han River Basin and acts as one of the designated experimental areas for China’s Six Key Forestry &amp; Ecological Programs. Therefore, forest is the dominant land cover in the western and central mountain regions of the Han River Basin (Fig. 1(b)), and there has been a substantial increase in forest restoration activities, such as reforestation and afforestation, in recent decades </w:t>
      </w:r>
      <w:r>
        <w:rPr>
          <w:color w:val="000000" w:themeColor="text1"/>
        </w:rPr>
        <w:fldChar w:fldCharType="begin">
          <w:fldData xml:space="preserve">PEVuZE5vdGU+PENpdGU+PEF1dGhvcj5RaTwvQXV0aG9yPjxZZWFyPjIwMTk8L1llYXI+PFJlY051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</w:fldData>
        </w:fldChar>
      </w:r>
      <w:r>
        <w:rPr>
          <w:color w:val="000000" w:themeColor="text1"/>
        </w:rPr>
        <w:instrText xml:space="preserve"> ADDIN EN.CITE </w:instrText>
      </w:r>
      <w:r>
        <w:rPr>
          <w:color w:val="000000" w:themeColor="text1"/>
        </w:rPr>
        <w:fldChar w:fldCharType="begin">
          <w:fldData xml:space="preserve">PEVuZE5vdGU+PENpdGU+PEF1dGhvcj5RaTwvQXV0aG9yPjxZZWFyPjIwMTk8L1llYXI+PFJlY051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[39, 40]</w:t>
      </w:r>
      <w:r>
        <w:rPr>
          <w:color w:val="000000" w:themeColor="text1"/>
        </w:rPr>
        <w:fldChar w:fldCharType="end"/>
      </w:r>
      <w:r>
        <w:rPr>
          <w:color w:val="000000" w:themeColor="text1"/>
        </w:rPr>
        <w:t xml:space="preserve">. According to a report on the global land cover change from 1982 to 2016, the Han River Basin stands out as one of the most notable forest restoration among China and the worldwide, owing to the successful forest management and protection polices </w:t>
      </w:r>
      <w:r>
        <w:rPr>
          <w:color w:val="000000" w:themeColor="text1"/>
        </w:rPr>
        <w:fldChar w:fldCharType="begin"/>
      </w:r>
      <w:r>
        <w:rPr>
          <w:color w:val="000000" w:themeColor="text1"/>
        </w:rPr>
        <w:instrText xml:space="preserve"> ADDIN EN.CITE &lt;EndNote&gt;&lt;Cite&gt;&lt;Author&gt;Song&lt;/Author&gt;&lt;Year&gt;2018&lt;/Year&gt;&lt;RecNum&gt;238&lt;/RecNum&gt;&lt;DisplayText&gt;[41]&lt;/DisplayText&gt;&lt;record&gt;&lt;rec-number&gt;238&lt;/rec-number&gt;&lt;foreign-keys&gt;&lt;key app="EN" db-id="pv902f0emrpxwae0aecvvpapa20ep02dp9fp" timestamp="1670249737"&gt;238&lt;/key&gt;&lt;/foreign-keys&gt;&lt;ref-type name="Journal Article"&gt;17&lt;/ref-type&gt;&lt;contributors&gt;&lt;authors&gt;&lt;author&gt;Song, Xiao-Peng&lt;/author&gt;&lt;author&gt;Hansen, Matthew C.&lt;/author&gt;&lt;author&gt;Stehman, Stephen V.&lt;/author&gt;&lt;author&gt;Potapov, Peter V.&lt;/author&gt;&lt;author&gt;Tyukavina, Alexandra&lt;/author&gt;&lt;author&gt;Vermote, Eric F.&lt;/author&gt;&lt;author&gt;Townshend, John R.&lt;/author&gt;&lt;/authors&gt;&lt;/contributors&gt;&lt;titles&gt;&lt;title&gt;Global land change from 1982 to 2016&lt;/title&gt;&lt;secondary-title&gt;Nature&lt;/secondary-title&gt;&lt;/titles&gt;&lt;periodical&gt;&lt;full-title&gt;Nature&lt;/full-title&gt;&lt;/periodical&gt;&lt;pages&gt;639-643&lt;/pages&gt;&lt;volume&gt;560&lt;/volume&gt;&lt;number&gt;7720&lt;/number&gt;&lt;dates&gt;&lt;year&gt;2018&lt;/year&gt;&lt;pub-dates&gt;&lt;date&gt;2018/08/01&lt;/date&gt;&lt;/pub-dates&gt;&lt;/dates&gt;&lt;isbn&gt;1476-4687&lt;/isbn&gt;&lt;urls&gt;&lt;related-urls&gt;&lt;url&gt;https://doi.org/10.1038/s41586-018-0411-9&lt;/url&gt;&lt;/related-urls&gt;&lt;/urls&gt;&lt;electronic-resource-num&gt;https://doi.org/10.1038/s41586-018-0411-9&lt;/electronic-resource-num&gt;&lt;/record&gt;&lt;/Cite&gt;&lt;/EndNote&gt;</w:instrText>
      </w:r>
      <w:r>
        <w:rPr>
          <w:color w:val="000000" w:themeColor="text1"/>
        </w:rPr>
        <w:fldChar w:fldCharType="separate"/>
      </w:r>
      <w:r>
        <w:rPr>
          <w:color w:val="000000" w:themeColor="text1"/>
        </w:rPr>
        <w:t>[41]</w:t>
      </w:r>
      <w:r>
        <w:rPr>
          <w:color w:val="000000" w:themeColor="text1"/>
        </w:rPr>
        <w:fldChar w:fldCharType="end"/>
      </w:r>
      <w:r>
        <w:rPr>
          <w:color w:val="000000" w:themeColor="text1"/>
        </w:rPr>
        <w:t>. Therefore, quantifying the spatio-temporal dynamic of AGB in China’s Han River Basin, against the backdrop of substantial forest restoration, is a matter of significant interest.</w:t>
      </w:r>
    </w:p>
    <w:p w14:paraId="14212469">
      <w:pPr>
        <w:ind w:firstLine="400" w:firstLineChars="200"/>
        <w:jc w:val="both"/>
        <w:rPr>
          <w:color w:val="000000" w:themeColor="text1"/>
        </w:rPr>
      </w:pPr>
      <w:r>
        <w:rPr>
          <w:color w:val="000000" w:themeColor="text1"/>
        </w:rPr>
        <w:pict>
          <v:shape id="_x0000_s8740" o:spid="_x0000_s8740" o:spt="202" type="#_x0000_t202" style="position:absolute;left:0pt;height:370.45pt;width:517.6pt;mso-position-horizontal:center;mso-position-horizontal-relative:margin;mso-position-vertical:top;mso-position-vertical-relative:margin;mso-wrap-distance-bottom:0pt;mso-wrap-distance-left:9pt;mso-wrap-distance-right:9pt;mso-wrap-distance-top:0pt;z-index:251659264;mso-width-relative:page;mso-height-relative:page;" stroked="f" coordsize="21600,21600">
            <v:path/>
            <v:fill focussize="0,0"/>
            <v:stroke on="f" joinstyle="miter"/>
            <v:imagedata o:title=""/>
            <o:lock v:ext="edit"/>
            <v:textbox inset="0mm,0mm,0mm,0mm">
              <w:txbxContent>
                <w:p w14:paraId="3C450381">
                  <w:pPr>
                    <w:jc w:val="center"/>
                  </w:pPr>
                  <w:r>
                    <w:drawing>
                      <wp:inline distT="0" distB="0" distL="0" distR="0">
                        <wp:extent cx="6514465" cy="4130675"/>
                        <wp:effectExtent l="0" t="0" r="0" b="0"/>
                        <wp:docPr id="1481386858" name="图片 19"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86858" name="图片 19" descr="地图&#10;&#10;AI 生成的内容可能不正确。"/>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6519933" cy="4134086"/>
                                </a:xfrm>
                                <a:prstGeom prst="rect">
                                  <a:avLst/>
                                </a:prstGeom>
                              </pic:spPr>
                            </pic:pic>
                          </a:graphicData>
                        </a:graphic>
                      </wp:inline>
                    </w:drawing>
                  </w:r>
                </w:p>
                <w:p w14:paraId="3EA434EB">
                  <w:pPr>
                    <w:pStyle w:val="74"/>
                    <w:rPr>
                      <w:color w:val="000000" w:themeColor="text1"/>
                    </w:rPr>
                  </w:pPr>
                  <w:r>
                    <w:rPr>
                      <w:rFonts w:hint="eastAsia"/>
                      <w:b/>
                      <w:bCs/>
                    </w:rPr>
                    <w:t>F</w:t>
                  </w:r>
                  <w:r>
                    <w:rPr>
                      <w:b/>
                      <w:bCs/>
                    </w:rPr>
                    <w:t xml:space="preserve">ig. 1. </w:t>
                  </w:r>
                  <w:r>
                    <w:t>Stud</w:t>
                  </w:r>
                  <w:r>
                    <w:rPr>
                      <w:color w:val="000000" w:themeColor="text1"/>
                    </w:rPr>
                    <w:t xml:space="preserve">y area and </w:t>
                  </w:r>
                  <w:r>
                    <w:rPr>
                      <w:rFonts w:hint="eastAsia"/>
                      <w:color w:val="000000" w:themeColor="text1"/>
                      <w:lang w:eastAsia="zh-CN"/>
                    </w:rPr>
                    <w:t>field plots</w:t>
                  </w:r>
                  <w:r>
                    <w:rPr>
                      <w:color w:val="000000" w:themeColor="text1"/>
                    </w:rPr>
                    <w:t xml:space="preserve">. (a) Geolocation of China’s Han </w:t>
                  </w:r>
                  <w:r>
                    <w:rPr>
                      <w:rFonts w:hint="eastAsia"/>
                      <w:color w:val="000000" w:themeColor="text1"/>
                    </w:rPr>
                    <w:t>R</w:t>
                  </w:r>
                  <w:r>
                    <w:rPr>
                      <w:color w:val="000000" w:themeColor="text1"/>
                    </w:rPr>
                    <w:t>iver basi</w:t>
                  </w:r>
                  <w:r>
                    <w:rPr>
                      <w:rFonts w:hint="eastAsia"/>
                      <w:color w:val="000000" w:themeColor="text1"/>
                      <w:lang w:eastAsia="zh-CN"/>
                    </w:rPr>
                    <w:t>n</w:t>
                  </w:r>
                  <w:r>
                    <w:rPr>
                      <w:color w:val="000000" w:themeColor="text1"/>
                    </w:rPr>
                    <w:t xml:space="preserve">; (b) MODIS VCF tree canopy cover image </w:t>
                  </w:r>
                  <w:r>
                    <w:rPr>
                      <w:rFonts w:hint="eastAsia"/>
                      <w:color w:val="000000" w:themeColor="text1"/>
                    </w:rPr>
                    <w:t>in</w:t>
                  </w:r>
                  <w:r>
                    <w:rPr>
                      <w:color w:val="000000" w:themeColor="text1"/>
                    </w:rPr>
                    <w:t xml:space="preserve"> 2020</w:t>
                  </w:r>
                  <w:r>
                    <w:rPr>
                      <w:rFonts w:hint="eastAsia"/>
                      <w:color w:val="000000" w:themeColor="text1"/>
                      <w:lang w:eastAsia="zh-CN"/>
                    </w:rPr>
                    <w:t xml:space="preserve"> and spatial distribution of 182 field plots used for calculating reference above-ground biomass density (AGBD) in </w:t>
                  </w:r>
                  <w:r>
                    <w:rPr>
                      <w:color w:val="000000" w:themeColor="text1"/>
                    </w:rPr>
                    <w:t xml:space="preserve">China’s Han </w:t>
                  </w:r>
                  <w:r>
                    <w:rPr>
                      <w:rFonts w:hint="eastAsia"/>
                      <w:color w:val="000000" w:themeColor="text1"/>
                    </w:rPr>
                    <w:t>R</w:t>
                  </w:r>
                  <w:r>
                    <w:rPr>
                      <w:color w:val="000000" w:themeColor="text1"/>
                    </w:rPr>
                    <w:t>iver basi</w:t>
                  </w:r>
                  <w:r>
                    <w:rPr>
                      <w:rFonts w:hint="eastAsia"/>
                      <w:color w:val="000000" w:themeColor="text1"/>
                      <w:lang w:eastAsia="zh-CN"/>
                    </w:rPr>
                    <w:t>n</w:t>
                  </w:r>
                  <w:r>
                    <w:rPr>
                      <w:color w:val="000000" w:themeColor="text1"/>
                    </w:rPr>
                    <w:t xml:space="preserve">; UAV true color image of </w:t>
                  </w:r>
                  <w:bookmarkStart w:id="40" w:name="_Hlk119049145"/>
                  <w:r>
                    <w:rPr>
                      <w:color w:val="000000" w:themeColor="text1"/>
                    </w:rPr>
                    <w:t xml:space="preserve">(c) arborvitae </w:t>
                  </w:r>
                  <w:bookmarkEnd w:id="40"/>
                  <w:r>
                    <w:rPr>
                      <w:color w:val="000000" w:themeColor="text1"/>
                    </w:rPr>
                    <w:t xml:space="preserve">forests and (d) chestnut forests in December 2020 at Danjiangkou, Hubei; (e) </w:t>
                  </w:r>
                  <w:bookmarkStart w:id="41" w:name="_Hlk119049120"/>
                  <w:r>
                    <w:rPr>
                      <w:color w:val="000000" w:themeColor="text1"/>
                    </w:rPr>
                    <w:t xml:space="preserve">Masson pine forests </w:t>
                  </w:r>
                  <w:bookmarkEnd w:id="41"/>
                  <w:r>
                    <w:rPr>
                      <w:color w:val="000000" w:themeColor="text1"/>
                    </w:rPr>
                    <w:t>and (f) mixed forests (</w:t>
                  </w:r>
                  <w:bookmarkStart w:id="42" w:name="_Hlk141541481"/>
                  <w:r>
                    <w:rPr>
                      <w:color w:val="000000" w:themeColor="text1"/>
                    </w:rPr>
                    <w:t>arborvitae and chestnut</w:t>
                  </w:r>
                  <w:bookmarkEnd w:id="42"/>
                  <w:r>
                    <w:rPr>
                      <w:color w:val="000000" w:themeColor="text1"/>
                    </w:rPr>
                    <w:t>) in December 2020 at Nanzhang; (g) MODIS NDVI dynamics of various typical land covers in the Han River basin, China.</w:t>
                  </w:r>
                </w:p>
                <w:p w14:paraId="3C8EF908">
                  <w:pPr>
                    <w:pStyle w:val="17"/>
                    <w:spacing w:before="120" w:beforeLines="50"/>
                    <w:ind w:firstLine="0"/>
                    <w:rPr>
                      <w:lang w:eastAsia="zh-CN"/>
                    </w:rPr>
                  </w:pPr>
                </w:p>
              </w:txbxContent>
            </v:textbox>
            <w10:wrap type="square"/>
          </v:shape>
        </w:pict>
      </w:r>
      <w:r>
        <w:rPr>
          <w:color w:val="000000" w:themeColor="text1"/>
        </w:rPr>
        <w:t xml:space="preserve">The extensive forest cover in the Han River Basin not only delivers vital ecosystem services but also serves as a source of high-quality water for the South-to-North Water Transfer Middle Route Project. Due to the synergistic influence of climate, topography and forest protection policies, the forest landscape in the Han River Basin is complex. It primary consists of evergreen forest, such as arborvitae (Fig. 1(c)) and Masson pine (Fig. 1(e)), as well as deciduous broadleaf forest, predominantly comprised of </w:t>
      </w:r>
      <w:bookmarkStart w:id="9" w:name="_Hlk118295390"/>
      <w:r>
        <w:rPr>
          <w:color w:val="000000" w:themeColor="text1"/>
        </w:rPr>
        <w:t xml:space="preserve">chestnut </w:t>
      </w:r>
      <w:bookmarkEnd w:id="9"/>
      <w:r>
        <w:rPr>
          <w:color w:val="000000" w:themeColor="text1"/>
        </w:rPr>
        <w:t>(Fig. 1(d)) and mixed forest of arborvitae and chestnut (Fig. 1(f)). As depicted in Fig. 1(g), various forests within the Han River Basin exhibit distinct NDVI dynamics, and they hold significantly varying aboveground forest biomass stocks. However, to the best of our knowledge, there have been few studies on forest biomass and carbon stocks in the Han River Basin, and a precise estimation of AGB in this area is lacking.</w:t>
      </w:r>
    </w:p>
    <w:p w14:paraId="3694BA59">
      <w:pPr>
        <w:ind w:firstLine="400" w:firstLineChars="200"/>
        <w:jc w:val="both"/>
        <w:rPr>
          <w:color w:val="000000" w:themeColor="text1"/>
          <w:lang w:eastAsia="zh-CN"/>
        </w:rPr>
      </w:pPr>
      <w:r>
        <w:rPr>
          <w:color w:val="000000" w:themeColor="text1"/>
          <w:lang w:eastAsia="zh-CN"/>
        </w:rPr>
        <w:t xml:space="preserve">As shown in Fig. 1(b), a total of 182 field plots were collected to calculate AGBD in the Han River Basin around 2017. Most plots (&gt;80%) were surveyed during the growing season (May–October) of 2017 and 2018, while the remainder were collected in 2015 and 2016. Each plot was rectangular, with dimensions of either 30 m × 40 m or 20 m × 60 m, corresponding to an area of 1,200 m² (0.12 ha). For each plot, the dominant tree species, geographic coordinates, slope, elevation, and topography were recorded. Within each plot, all trees with a diameter at breast height (DBH) &gt; 5 cm and </w:t>
      </w:r>
      <w:r>
        <w:rPr>
          <w:rFonts w:hint="eastAsia"/>
          <w:color w:val="000000" w:themeColor="text1"/>
          <w:lang w:eastAsia="zh-CN"/>
        </w:rPr>
        <w:t xml:space="preserve">canopy </w:t>
      </w:r>
      <w:r>
        <w:rPr>
          <w:color w:val="000000" w:themeColor="text1"/>
          <w:lang w:eastAsia="zh-CN"/>
        </w:rPr>
        <w:t xml:space="preserve">height &gt; 2 m were measured, including their species, DBH, and height. Total AGB per plot was calculated as the sum of the species-specific AGB values for all trees, using the allometric </w:t>
      </w:r>
      <w:r>
        <w:rPr>
          <w:color w:val="000000" w:themeColor="text1"/>
        </w:rPr>
        <w:pict>
          <v:shape id="_x0000_s8786" o:spid="_x0000_s8786" o:spt="202" type="#_x0000_t202" style="position:absolute;left:0pt;height:311.55pt;width:517.6pt;mso-position-horizontal:center;mso-position-horizontal-relative:margin;mso-position-vertical:top;mso-position-vertical-relative:margin;mso-wrap-distance-bottom:0pt;mso-wrap-distance-left:9pt;mso-wrap-distance-right:9pt;mso-wrap-distance-top:0pt;z-index:251663360;mso-width-relative:page;mso-height-relative:page;" stroked="f" coordsize="21600,21600">
            <v:path/>
            <v:fill focussize="0,0"/>
            <v:stroke on="f" joinstyle="miter"/>
            <v:imagedata o:title=""/>
            <o:lock v:ext="edit"/>
            <v:textbox inset="0mm,0mm,0mm,0mm">
              <w:txbxContent>
                <w:p w14:paraId="6C1A7EE9">
                  <w:pPr>
                    <w:jc w:val="center"/>
                  </w:pPr>
                  <w:r>
                    <w:drawing>
                      <wp:inline distT="0" distB="0" distL="0" distR="0">
                        <wp:extent cx="5681980" cy="3774440"/>
                        <wp:effectExtent l="0" t="0" r="0" b="0"/>
                        <wp:docPr id="1495714367" name="图片 1495714367"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14367" name="图片 1495714367" descr="图示, 工程绘图&#10;&#10;描述已自动生成"/>
                                <pic:cNvPicPr>
                                  <a:picLocks noChangeAspect="1"/>
                                </pic:cNvPicPr>
                              </pic:nvPicPr>
                              <pic:blipFill>
                                <a:blip r:embed="rId8"/>
                                <a:stretch>
                                  <a:fillRect/>
                                </a:stretch>
                              </pic:blipFill>
                              <pic:spPr>
                                <a:xfrm>
                                  <a:off x="0" y="0"/>
                                  <a:ext cx="5726478" cy="3804322"/>
                                </a:xfrm>
                                <a:prstGeom prst="rect">
                                  <a:avLst/>
                                </a:prstGeom>
                              </pic:spPr>
                            </pic:pic>
                          </a:graphicData>
                        </a:graphic>
                      </wp:inline>
                    </w:drawing>
                  </w:r>
                </w:p>
                <w:p w14:paraId="4F839978">
                  <w:pPr>
                    <w:pStyle w:val="74"/>
                    <w:jc w:val="left"/>
                    <w:rPr>
                      <w:lang w:eastAsia="zh-CN"/>
                    </w:rPr>
                  </w:pPr>
                  <w:r>
                    <w:rPr>
                      <w:rFonts w:hint="eastAsia"/>
                      <w:b/>
                      <w:bCs/>
                    </w:rPr>
                    <w:t>F</w:t>
                  </w:r>
                  <w:r>
                    <w:rPr>
                      <w:b/>
                      <w:bCs/>
                    </w:rPr>
                    <w:t>ig. 2.</w:t>
                  </w:r>
                  <w:r>
                    <w:t xml:space="preserve"> GEDI AGBD g</w:t>
                  </w:r>
                  <w:r>
                    <w:rPr>
                      <w:rFonts w:hint="eastAsia"/>
                    </w:rPr>
                    <w:t>rid</w:t>
                  </w:r>
                  <w:r>
                    <w:t xml:space="preserve">s and standard error for the year 2020 in China’s Han River basin. (a) GEDI AGBD grids; </w:t>
                  </w:r>
                  <w:r>
                    <w:rPr>
                      <w:rFonts w:hint="eastAsia"/>
                    </w:rPr>
                    <w:t>(</w:t>
                  </w:r>
                  <w:r>
                    <w:t>b) Standard error of GEDI AGBD grids.</w:t>
                  </w:r>
                </w:p>
              </w:txbxContent>
            </v:textbox>
            <w10:wrap type="square"/>
          </v:shape>
        </w:pict>
      </w:r>
      <w:r>
        <w:rPr>
          <w:color w:val="000000" w:themeColor="text1"/>
          <w:lang w:eastAsia="zh-CN"/>
        </w:rPr>
        <w:t xml:space="preserve">equations developed for China’s tree species </w:t>
      </w:r>
      <w:r>
        <w:rPr>
          <w:color w:val="000000" w:themeColor="text1"/>
          <w:lang w:eastAsia="zh-CN"/>
        </w:rPr>
        <w:fldChar w:fldCharType="begin"/>
      </w:r>
      <w:r>
        <w:rPr>
          <w:color w:val="000000" w:themeColor="text1"/>
          <w:lang w:eastAsia="zh-CN"/>
        </w:rPr>
        <w:instrText xml:space="preserve"> ADDIN EN.CITE &lt;EndNote&gt;&lt;Cite&gt;&lt;Author&gt;Luo&lt;/Author&gt;&lt;Year&gt;2020&lt;/Year&gt;&lt;RecNum&gt;483&lt;/RecNum&gt;&lt;DisplayText&gt;[42]&lt;/DisplayText&gt;&lt;record&gt;&lt;rec-number&gt;483&lt;/rec-number&gt;&lt;foreign-keys&gt;&lt;key app="EN" db-id="pv902f0emrpxwae0aecvvpapa20ep02dp9fp" timestamp="1760753954"&gt;483&lt;/key&gt;&lt;/foreign-keys&gt;&lt;ref-type name="Journal Article"&gt;17&lt;/ref-type&gt;&lt;contributors&gt;&lt;authors&gt;&lt;author&gt;Luo, Y.&lt;/author&gt;&lt;author&gt;Wang, X.&lt;/author&gt;&lt;author&gt;Ouyang, Z.&lt;/author&gt;&lt;author&gt;Lu, F.&lt;/author&gt;&lt;author&gt;Feng, L.&lt;/author&gt;&lt;author&gt;Tao, J.&lt;/author&gt;&lt;/authors&gt;&lt;/contributors&gt;&lt;titles&gt;&lt;title&gt;A review of biomass equations for China&amp;apos;s tree species&lt;/title&gt;&lt;secondary-title&gt;Earth System Science Data&lt;/secondary-title&gt;&lt;/titles&gt;&lt;periodical&gt;&lt;full-title&gt;Earth System Science Data&lt;/full-title&gt;&lt;abbr-1&gt;Earth Syst. Sci. Data&lt;/abbr-1&gt;&lt;/periodical&gt;&lt;pages&gt;21-40&lt;/pages&gt;&lt;volume&gt;12&lt;/volume&gt;&lt;number&gt;1&lt;/number&gt;&lt;dates&gt;&lt;year&gt;2020&lt;/year&gt;&lt;/dates&gt;&lt;publisher&gt;Copernicus Publications&lt;/publisher&gt;&lt;isbn&gt;1866-3516&lt;/isbn&gt;&lt;urls&gt;&lt;related-urls&gt;&lt;url&gt;https://essd.copernicus.org/articles/12/21/2020/&lt;/url&gt;&lt;/related-urls&gt;&lt;pdf-urls&gt;&lt;url&gt;https://essd.copernicus.org/articles/12/21/2020/essd-12-21-2020.pdf&lt;/url&gt;&lt;/pdf-urls&gt;&lt;/urls&gt;&lt;electronic-resource-num&gt;10.5194/essd-12-21-2020&lt;/electronic-resource-num&gt;&lt;/record&gt;&lt;/Cite&gt;&lt;/EndNote&gt;</w:instrText>
      </w:r>
      <w:r>
        <w:rPr>
          <w:color w:val="000000" w:themeColor="text1"/>
          <w:lang w:eastAsia="zh-CN"/>
        </w:rPr>
        <w:fldChar w:fldCharType="separate"/>
      </w:r>
      <w:r>
        <w:rPr>
          <w:color w:val="000000" w:themeColor="text1"/>
          <w:lang w:eastAsia="zh-CN"/>
        </w:rPr>
        <w:t>[42]</w:t>
      </w:r>
      <w:r>
        <w:rPr>
          <w:color w:val="000000" w:themeColor="text1"/>
          <w:lang w:eastAsia="zh-CN"/>
        </w:rPr>
        <w:fldChar w:fldCharType="end"/>
      </w:r>
      <w:r>
        <w:rPr>
          <w:color w:val="000000" w:themeColor="text1"/>
          <w:lang w:eastAsia="zh-CN"/>
        </w:rPr>
        <w:t>. The plot-level AGB estimates (0.12 ha) were converted</w:t>
      </w:r>
      <w:r>
        <w:rPr>
          <w:rFonts w:hint="eastAsia"/>
          <w:color w:val="000000" w:themeColor="text1"/>
          <w:lang w:eastAsia="zh-CN"/>
        </w:rPr>
        <w:t xml:space="preserve"> finally</w:t>
      </w:r>
      <w:r>
        <w:rPr>
          <w:color w:val="000000" w:themeColor="text1"/>
          <w:lang w:eastAsia="zh-CN"/>
        </w:rPr>
        <w:t xml:space="preserve"> to AGBD units (Mg/ha).</w:t>
      </w:r>
    </w:p>
    <w:p w14:paraId="567E8C29">
      <w:pPr>
        <w:pStyle w:val="3"/>
        <w:jc w:val="both"/>
        <w:rPr>
          <w:color w:val="000000" w:themeColor="text1"/>
        </w:rPr>
      </w:pPr>
      <w:r>
        <w:rPr>
          <w:color w:val="000000" w:themeColor="text1"/>
        </w:rPr>
        <w:t>Datasets</w:t>
      </w:r>
    </w:p>
    <w:p w14:paraId="4FD3EDB1">
      <w:pPr>
        <w:ind w:firstLine="400" w:firstLineChars="200"/>
        <w:jc w:val="both"/>
        <w:rPr>
          <w:color w:val="000000" w:themeColor="text1"/>
        </w:rPr>
      </w:pPr>
      <w:r>
        <w:rPr>
          <w:rFonts w:hint="eastAsia"/>
          <w:color w:val="000000" w:themeColor="text1"/>
        </w:rPr>
        <w:t>T</w:t>
      </w:r>
      <w:r>
        <w:rPr>
          <w:color w:val="000000" w:themeColor="text1"/>
        </w:rPr>
        <w:t xml:space="preserve">he proposed method utilized three types of remote sensing data, namely PALSAR-2, MODIS indices, and topography and climate data (as shown in Table </w: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2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II</w:t>
      </w:r>
      <w:r>
        <w:rPr>
          <w:color w:val="000000" w:themeColor="text1"/>
        </w:rPr>
        <w:fldChar w:fldCharType="end"/>
      </w:r>
      <w:r>
        <w:rPr>
          <w:color w:val="000000" w:themeColor="text1"/>
        </w:rPr>
        <w:t xml:space="preserve">), to provide covariates for estimating spatio-temporally continuous </w:t>
      </w:r>
      <w:r>
        <w:rPr>
          <w:rFonts w:hint="eastAsia"/>
          <w:color w:val="000000" w:themeColor="text1"/>
        </w:rPr>
        <w:t>GEDI</w:t>
      </w:r>
      <w:r>
        <w:rPr>
          <w:color w:val="000000" w:themeColor="text1"/>
        </w:rPr>
        <w:t xml:space="preserve"> AGBD and its standard error for the years 2015-2020 in China’s Han River Basin. Yearly ALOS-2 PALSAR-2 L-band HH and HV polarization images since 2015 were employed for the L-band SAR image. The ALOS-2 PALSAR-2 HH and HV polarization data are initially presented as digital number (DN) values and need to be converted into backscatter coefficients </w:t>
      </w:r>
      <m:oMath>
        <m:r>
          <m:rPr/>
          <w:rPr>
            <w:rFonts w:ascii="Cambria Math" w:hAnsi="Cambria Math"/>
            <w:color w:val="000000" w:themeColor="text1"/>
          </w:rPr>
          <m:t>γ</m:t>
        </m:r>
        <m:d>
          <m:dPr>
            <m:ctrlPr>
              <w:rPr>
                <w:rFonts w:ascii="Cambria Math" w:hAnsi="Cambria Math"/>
                <w:i/>
                <w:color w:val="000000" w:themeColor="text1"/>
              </w:rPr>
            </m:ctrlPr>
          </m:dPr>
          <m:e>
            <m:r>
              <m:rPr/>
              <w:rPr>
                <w:rFonts w:ascii="Cambria Math" w:hAnsi="Cambria Math"/>
                <w:color w:val="000000" w:themeColor="text1"/>
              </w:rPr>
              <m:t>dB</m:t>
            </m:r>
            <m:ctrlPr>
              <w:rPr>
                <w:rFonts w:ascii="Cambria Math" w:hAnsi="Cambria Math"/>
                <w:i/>
                <w:color w:val="000000" w:themeColor="text1"/>
              </w:rPr>
            </m:ctrlPr>
          </m:e>
        </m:d>
      </m:oMath>
      <w:r>
        <w:rPr>
          <w:color w:val="000000" w:themeColor="text1"/>
        </w:rPr>
        <w:t xml:space="preserve"> (Equation 1).</w:t>
      </w:r>
    </w:p>
    <w:p w14:paraId="10526F41">
      <w:pPr>
        <w:jc w:val="right"/>
        <w:rPr>
          <w:color w:val="000000" w:themeColor="text1"/>
        </w:rPr>
      </w:pPr>
      <m:oMath>
        <m:r>
          <m:rPr/>
          <w:rPr>
            <w:rFonts w:ascii="Cambria Math" w:hAnsi="Cambria Math"/>
            <w:color w:val="000000" w:themeColor="text1"/>
          </w:rPr>
          <m:t>γ</m:t>
        </m:r>
        <m:d>
          <m:dPr>
            <m:ctrlPr>
              <w:rPr>
                <w:rFonts w:ascii="Cambria Math" w:hAnsi="Cambria Math"/>
                <w:i/>
                <w:color w:val="000000" w:themeColor="text1"/>
              </w:rPr>
            </m:ctrlPr>
          </m:dPr>
          <m:e>
            <m:r>
              <m:rPr/>
              <w:rPr>
                <w:rFonts w:ascii="Cambria Math" w:hAnsi="Cambria Math"/>
                <w:color w:val="000000" w:themeColor="text1"/>
              </w:rPr>
              <m:t>dB</m:t>
            </m:r>
            <m:ctrlPr>
              <w:rPr>
                <w:rFonts w:ascii="Cambria Math" w:hAnsi="Cambria Math"/>
                <w:i/>
                <w:color w:val="000000" w:themeColor="text1"/>
              </w:rPr>
            </m:ctrlPr>
          </m:e>
        </m:d>
        <m:r>
          <m:rPr/>
          <w:rPr>
            <w:rFonts w:ascii="Cambria Math" w:hAnsi="Cambria Math"/>
            <w:color w:val="000000" w:themeColor="text1"/>
          </w:rPr>
          <m:t>=10×</m:t>
        </m:r>
        <m:sSub>
          <m:sSubPr>
            <m:ctrlPr>
              <w:rPr>
                <w:rFonts w:ascii="Cambria Math" w:hAnsi="Cambria Math"/>
                <w:i/>
                <w:color w:val="000000" w:themeColor="text1"/>
              </w:rPr>
            </m:ctrlPr>
          </m:sSubPr>
          <m:e>
            <m:r>
              <m:rPr/>
              <w:rPr>
                <w:rFonts w:ascii="Cambria Math" w:hAnsi="Cambria Math"/>
                <w:color w:val="000000" w:themeColor="text1"/>
              </w:rPr>
              <m:t>log</m:t>
            </m:r>
            <m:ctrlPr>
              <w:rPr>
                <w:rFonts w:ascii="Cambria Math" w:hAnsi="Cambria Math"/>
                <w:i/>
                <w:color w:val="000000" w:themeColor="text1"/>
              </w:rPr>
            </m:ctrlPr>
          </m:e>
          <m:sub>
            <m:r>
              <m:rPr/>
              <w:rPr>
                <w:rFonts w:ascii="Cambria Math" w:hAnsi="Cambria Math"/>
                <w:color w:val="000000" w:themeColor="text1"/>
              </w:rPr>
              <m:t>10</m:t>
            </m:r>
            <m:ctrlPr>
              <w:rPr>
                <w:rFonts w:ascii="Cambria Math" w:hAnsi="Cambria Math"/>
                <w:i/>
                <w:color w:val="000000" w:themeColor="text1"/>
              </w:rPr>
            </m:ctrlPr>
          </m:sub>
        </m:sSub>
        <m:sSup>
          <m:sSupPr>
            <m:ctrlPr>
              <w:rPr>
                <w:rFonts w:ascii="Cambria Math" w:hAnsi="Cambria Math"/>
                <w:i/>
                <w:color w:val="000000" w:themeColor="text1"/>
              </w:rPr>
            </m:ctrlPr>
          </m:sSupPr>
          <m:e>
            <m:r>
              <m:rPr/>
              <w:rPr>
                <w:rFonts w:ascii="Cambria Math" w:hAnsi="Cambria Math"/>
                <w:color w:val="000000" w:themeColor="text1"/>
              </w:rPr>
              <m:t>DN</m:t>
            </m:r>
            <m:ctrlPr>
              <w:rPr>
                <w:rFonts w:ascii="Cambria Math" w:hAnsi="Cambria Math"/>
                <w:i/>
                <w:color w:val="000000" w:themeColor="text1"/>
              </w:rPr>
            </m:ctrlPr>
          </m:e>
          <m:sup>
            <m:r>
              <m:rPr/>
              <w:rPr>
                <w:rFonts w:ascii="Cambria Math" w:hAnsi="Cambria Math"/>
                <w:color w:val="000000" w:themeColor="text1"/>
              </w:rPr>
              <m:t>2</m:t>
            </m:r>
            <m:ctrlPr>
              <w:rPr>
                <w:rFonts w:ascii="Cambria Math" w:hAnsi="Cambria Math"/>
                <w:i/>
                <w:color w:val="000000" w:themeColor="text1"/>
              </w:rPr>
            </m:ctrlPr>
          </m:sup>
        </m:sSup>
        <m:r>
          <m:rPr/>
          <w:rPr>
            <w:rFonts w:ascii="Cambria Math" w:hAnsi="Cambria Math"/>
            <w:color w:val="000000" w:themeColor="text1"/>
          </w:rPr>
          <m:t>+C</m:t>
        </m:r>
      </m:oMath>
      <w:r>
        <w:rPr>
          <w:color w:val="000000" w:themeColor="text1"/>
        </w:rPr>
        <w:t>,                           (1)</w:t>
      </w:r>
    </w:p>
    <w:p w14:paraId="4582BCD2">
      <w:pPr>
        <w:jc w:val="both"/>
        <w:rPr>
          <w:color w:val="000000" w:themeColor="text1"/>
        </w:rPr>
      </w:pPr>
      <w:r>
        <w:rPr>
          <w:color w:val="000000" w:themeColor="text1"/>
        </w:rPr>
        <w:t xml:space="preserve">where </w:t>
      </w:r>
      <w:r>
        <w:rPr>
          <w:i/>
          <w:iCs/>
          <w:color w:val="000000" w:themeColor="text1"/>
        </w:rPr>
        <w:t>C</w:t>
      </w:r>
      <w:r>
        <w:rPr>
          <w:color w:val="000000" w:themeColor="text1"/>
        </w:rPr>
        <w:t xml:space="preserve"> is the absolute calibration factor, which consistently equals to -83 for PALSAR-2. In addition to HH and HV, the difference and ratio between these polarizations were employed as covariates in this research.</w:t>
      </w:r>
    </w:p>
    <w:p w14:paraId="4392A492">
      <w:pPr>
        <w:ind w:firstLine="400" w:firstLineChars="200"/>
        <w:jc w:val="both"/>
        <w:rPr>
          <w:color w:val="000000" w:themeColor="text1"/>
        </w:rPr>
      </w:pPr>
      <w:r>
        <w:rPr>
          <w:color w:val="000000" w:themeColor="text1"/>
        </w:rPr>
        <w:pict>
          <v:shape id="_x0000_s8787" o:spid="_x0000_s8787" o:spt="202" type="#_x0000_t202" style="position:absolute;left:0pt;height:127.45pt;width:517.6pt;mso-position-horizontal:center;mso-position-horizontal-relative:margin;mso-position-vertical:bottom;mso-position-vertical-relative:margin;mso-wrap-distance-bottom:0pt;mso-wrap-distance-left:9pt;mso-wrap-distance-right:9pt;mso-wrap-distance-top:0pt;z-index:251664384;mso-width-relative:page;mso-height-relative:page;" stroked="f" coordsize="21600,21600">
            <v:path/>
            <v:fill focussize="0,0"/>
            <v:stroke on="f" joinstyle="miter"/>
            <v:imagedata o:title=""/>
            <o:lock v:ext="edit"/>
            <v:textbox inset="0mm,0mm,0mm,0mm">
              <w:txbxContent>
                <w:p w14:paraId="55BFB4B2">
                  <w:pPr>
                    <w:pStyle w:val="66"/>
                    <w:rPr>
                      <w:lang w:eastAsia="zh-CN"/>
                    </w:rPr>
                  </w:pPr>
                  <w:r>
                    <w:rPr>
                      <w:lang w:eastAsia="zh-CN"/>
                    </w:rPr>
                    <w:t xml:space="preserve">Table </w:t>
                  </w:r>
                  <w:r>
                    <w:rPr>
                      <w:lang w:eastAsia="zh-CN"/>
                    </w:rPr>
                    <w:fldChar w:fldCharType="begin"/>
                  </w:r>
                  <w:r>
                    <w:rPr>
                      <w:lang w:eastAsia="zh-CN"/>
                    </w:rPr>
                    <w:instrText xml:space="preserve"> </w:instrText>
                  </w:r>
                  <w:r>
                    <w:rPr>
                      <w:rFonts w:hint="eastAsia"/>
                      <w:lang w:eastAsia="zh-CN"/>
                    </w:rPr>
                    <w:instrText xml:space="preserve">= 2 \* ROMAN</w:instrText>
                  </w:r>
                  <w:r>
                    <w:rPr>
                      <w:lang w:eastAsia="zh-CN"/>
                    </w:rPr>
                    <w:instrText xml:space="preserve"> </w:instrText>
                  </w:r>
                  <w:r>
                    <w:rPr>
                      <w:lang w:eastAsia="zh-CN"/>
                    </w:rPr>
                    <w:fldChar w:fldCharType="separate"/>
                  </w:r>
                  <w:r>
                    <w:rPr>
                      <w:lang w:eastAsia="zh-CN"/>
                    </w:rPr>
                    <w:t>II</w:t>
                  </w:r>
                  <w:r>
                    <w:rPr>
                      <w:lang w:eastAsia="zh-CN"/>
                    </w:rPr>
                    <w:fldChar w:fldCharType="end"/>
                  </w:r>
                </w:p>
                <w:p w14:paraId="3684021B">
                  <w:pPr>
                    <w:pStyle w:val="67"/>
                    <w:rPr>
                      <w:lang w:eastAsia="zh-CN"/>
                    </w:rPr>
                  </w:pPr>
                  <w:r>
                    <w:rPr>
                      <w:lang w:eastAsia="zh-CN"/>
                    </w:rPr>
                    <w:t xml:space="preserve"> Summary of the datasets used to estimate spatio-temporally continuous AGBD and its uncertainty.</w:t>
                  </w:r>
                </w:p>
                <w:tbl>
                  <w:tblPr>
                    <w:tblStyle w:val="21"/>
                    <w:tblW w:w="10430" w:type="dxa"/>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021"/>
                    <w:gridCol w:w="1968"/>
                    <w:gridCol w:w="1512"/>
                    <w:gridCol w:w="2060"/>
                    <w:gridCol w:w="2869"/>
                  </w:tblGrid>
                  <w:tr w14:paraId="60023DC7">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PrEx>
                    <w:trPr>
                      <w:trHeight w:val="191" w:hRule="atLeast"/>
                      <w:jc w:val="center"/>
                    </w:trPr>
                    <w:tc>
                      <w:tcPr>
                        <w:tcW w:w="2021" w:type="dxa"/>
                        <w:tcBorders>
                          <w:top w:val="single" w:color="auto" w:sz="4" w:space="0"/>
                          <w:bottom w:val="single" w:color="auto" w:sz="4" w:space="0"/>
                        </w:tcBorders>
                        <w:vAlign w:val="center"/>
                      </w:tcPr>
                      <w:p w14:paraId="01519FCD">
                        <w:pPr>
                          <w:autoSpaceDE w:val="0"/>
                          <w:autoSpaceDN w:val="0"/>
                          <w:adjustRightInd w:val="0"/>
                          <w:snapToGrid w:val="0"/>
                          <w:jc w:val="center"/>
                          <w:rPr>
                            <w:sz w:val="16"/>
                            <w:szCs w:val="16"/>
                            <w:lang w:eastAsia="zh-CN"/>
                          </w:rPr>
                        </w:pPr>
                        <w:r>
                          <w:rPr>
                            <w:rFonts w:hint="eastAsia"/>
                            <w:sz w:val="16"/>
                            <w:szCs w:val="16"/>
                            <w:lang w:eastAsia="zh-CN"/>
                          </w:rPr>
                          <w:t>Data</w:t>
                        </w:r>
                        <w:r>
                          <w:rPr>
                            <w:sz w:val="16"/>
                            <w:szCs w:val="16"/>
                            <w:lang w:eastAsia="zh-CN"/>
                          </w:rPr>
                          <w:t xml:space="preserve">set </w:t>
                        </w:r>
                        <w:r>
                          <w:rPr>
                            <w:rFonts w:hint="eastAsia"/>
                            <w:sz w:val="16"/>
                            <w:szCs w:val="16"/>
                            <w:lang w:eastAsia="zh-CN"/>
                          </w:rPr>
                          <w:t>ty</w:t>
                        </w:r>
                        <w:r>
                          <w:rPr>
                            <w:sz w:val="16"/>
                            <w:szCs w:val="16"/>
                            <w:lang w:eastAsia="zh-CN"/>
                          </w:rPr>
                          <w:t>pe</w:t>
                        </w:r>
                      </w:p>
                    </w:tc>
                    <w:tc>
                      <w:tcPr>
                        <w:tcW w:w="1968" w:type="dxa"/>
                        <w:tcBorders>
                          <w:top w:val="single" w:color="auto" w:sz="4" w:space="0"/>
                          <w:bottom w:val="single" w:color="auto" w:sz="4" w:space="0"/>
                        </w:tcBorders>
                        <w:vAlign w:val="center"/>
                      </w:tcPr>
                      <w:p w14:paraId="336C34B8">
                        <w:pPr>
                          <w:autoSpaceDE w:val="0"/>
                          <w:autoSpaceDN w:val="0"/>
                          <w:adjustRightInd w:val="0"/>
                          <w:snapToGrid w:val="0"/>
                          <w:jc w:val="center"/>
                          <w:rPr>
                            <w:sz w:val="16"/>
                            <w:szCs w:val="16"/>
                            <w:lang w:eastAsia="zh-CN"/>
                          </w:rPr>
                        </w:pPr>
                        <w:r>
                          <w:rPr>
                            <w:rFonts w:hint="eastAsia"/>
                            <w:sz w:val="16"/>
                            <w:szCs w:val="16"/>
                            <w:lang w:eastAsia="zh-CN"/>
                          </w:rPr>
                          <w:t>V</w:t>
                        </w:r>
                        <w:r>
                          <w:rPr>
                            <w:sz w:val="16"/>
                            <w:szCs w:val="16"/>
                            <w:lang w:eastAsia="zh-CN"/>
                          </w:rPr>
                          <w:t>ariable source</w:t>
                        </w:r>
                      </w:p>
                    </w:tc>
                    <w:tc>
                      <w:tcPr>
                        <w:tcW w:w="1512" w:type="dxa"/>
                        <w:tcBorders>
                          <w:top w:val="single" w:color="auto" w:sz="4" w:space="0"/>
                          <w:bottom w:val="single" w:color="auto" w:sz="4" w:space="0"/>
                        </w:tcBorders>
                        <w:vAlign w:val="center"/>
                      </w:tcPr>
                      <w:p w14:paraId="592F47FE">
                        <w:pPr>
                          <w:autoSpaceDE w:val="0"/>
                          <w:autoSpaceDN w:val="0"/>
                          <w:adjustRightInd w:val="0"/>
                          <w:snapToGrid w:val="0"/>
                          <w:jc w:val="center"/>
                          <w:rPr>
                            <w:sz w:val="16"/>
                            <w:szCs w:val="16"/>
                            <w:lang w:eastAsia="zh-CN"/>
                          </w:rPr>
                        </w:pPr>
                        <w:r>
                          <w:rPr>
                            <w:sz w:val="16"/>
                            <w:szCs w:val="16"/>
                            <w:lang w:eastAsia="zh-CN"/>
                          </w:rPr>
                          <w:t>Spatial resolution</w:t>
                        </w:r>
                      </w:p>
                    </w:tc>
                    <w:tc>
                      <w:tcPr>
                        <w:tcW w:w="2060" w:type="dxa"/>
                        <w:tcBorders>
                          <w:top w:val="single" w:color="auto" w:sz="4" w:space="0"/>
                          <w:bottom w:val="single" w:color="auto" w:sz="4" w:space="0"/>
                        </w:tcBorders>
                        <w:vAlign w:val="center"/>
                      </w:tcPr>
                      <w:p w14:paraId="05E9B5C1">
                        <w:pPr>
                          <w:autoSpaceDE w:val="0"/>
                          <w:autoSpaceDN w:val="0"/>
                          <w:adjustRightInd w:val="0"/>
                          <w:snapToGrid w:val="0"/>
                          <w:jc w:val="center"/>
                          <w:rPr>
                            <w:sz w:val="16"/>
                            <w:szCs w:val="16"/>
                            <w:lang w:eastAsia="zh-CN"/>
                          </w:rPr>
                        </w:pPr>
                        <w:r>
                          <w:rPr>
                            <w:rFonts w:hint="eastAsia"/>
                            <w:sz w:val="16"/>
                            <w:szCs w:val="16"/>
                            <w:lang w:eastAsia="zh-CN"/>
                          </w:rPr>
                          <w:t>F</w:t>
                        </w:r>
                        <w:r>
                          <w:rPr>
                            <w:sz w:val="16"/>
                            <w:szCs w:val="16"/>
                            <w:lang w:eastAsia="zh-CN"/>
                          </w:rPr>
                          <w:t>requency</w:t>
                        </w:r>
                      </w:p>
                    </w:tc>
                    <w:tc>
                      <w:tcPr>
                        <w:tcW w:w="2869" w:type="dxa"/>
                        <w:tcBorders>
                          <w:top w:val="single" w:color="auto" w:sz="4" w:space="0"/>
                          <w:bottom w:val="single" w:color="auto" w:sz="4" w:space="0"/>
                        </w:tcBorders>
                        <w:vAlign w:val="center"/>
                      </w:tcPr>
                      <w:p w14:paraId="71EE5A11">
                        <w:pPr>
                          <w:autoSpaceDE w:val="0"/>
                          <w:autoSpaceDN w:val="0"/>
                          <w:adjustRightInd w:val="0"/>
                          <w:snapToGrid w:val="0"/>
                          <w:jc w:val="center"/>
                          <w:rPr>
                            <w:sz w:val="16"/>
                            <w:szCs w:val="16"/>
                            <w:lang w:eastAsia="zh-CN"/>
                          </w:rPr>
                        </w:pPr>
                        <w:r>
                          <w:rPr>
                            <w:rFonts w:hint="eastAsia"/>
                            <w:sz w:val="16"/>
                            <w:szCs w:val="16"/>
                            <w:lang w:eastAsia="zh-CN"/>
                          </w:rPr>
                          <w:t>P</w:t>
                        </w:r>
                        <w:r>
                          <w:rPr>
                            <w:sz w:val="16"/>
                            <w:szCs w:val="16"/>
                            <w:lang w:eastAsia="zh-CN"/>
                          </w:rPr>
                          <w:t>roduct name</w:t>
                        </w:r>
                      </w:p>
                    </w:tc>
                  </w:tr>
                  <w:tr w14:paraId="02DF316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 w:hRule="atLeast"/>
                      <w:jc w:val="center"/>
                    </w:trPr>
                    <w:tc>
                      <w:tcPr>
                        <w:tcW w:w="2021" w:type="dxa"/>
                        <w:tcBorders>
                          <w:top w:val="single" w:color="auto" w:sz="4" w:space="0"/>
                        </w:tcBorders>
                        <w:vAlign w:val="center"/>
                      </w:tcPr>
                      <w:p w14:paraId="5108E205">
                        <w:pPr>
                          <w:autoSpaceDE w:val="0"/>
                          <w:autoSpaceDN w:val="0"/>
                          <w:adjustRightInd w:val="0"/>
                          <w:snapToGrid w:val="0"/>
                          <w:jc w:val="center"/>
                          <w:rPr>
                            <w:sz w:val="16"/>
                            <w:szCs w:val="16"/>
                            <w:lang w:eastAsia="zh-CN"/>
                          </w:rPr>
                        </w:pPr>
                        <w:r>
                          <w:rPr>
                            <w:sz w:val="16"/>
                            <w:szCs w:val="16"/>
                            <w:lang w:eastAsia="zh-CN"/>
                          </w:rPr>
                          <w:t>PALSAR-2</w:t>
                        </w:r>
                      </w:p>
                    </w:tc>
                    <w:tc>
                      <w:tcPr>
                        <w:tcW w:w="1968" w:type="dxa"/>
                        <w:tcBorders>
                          <w:top w:val="single" w:color="auto" w:sz="4" w:space="0"/>
                        </w:tcBorders>
                        <w:vAlign w:val="center"/>
                      </w:tcPr>
                      <w:p w14:paraId="5CD3B4C7">
                        <w:pPr>
                          <w:autoSpaceDE w:val="0"/>
                          <w:autoSpaceDN w:val="0"/>
                          <w:adjustRightInd w:val="0"/>
                          <w:snapToGrid w:val="0"/>
                          <w:jc w:val="center"/>
                          <w:rPr>
                            <w:sz w:val="16"/>
                            <w:szCs w:val="16"/>
                            <w:lang w:eastAsia="zh-CN"/>
                          </w:rPr>
                        </w:pPr>
                        <w:r>
                          <w:rPr>
                            <w:rFonts w:hint="eastAsia"/>
                            <w:sz w:val="16"/>
                            <w:szCs w:val="16"/>
                            <w:lang w:eastAsia="zh-CN"/>
                          </w:rPr>
                          <w:t>H</w:t>
                        </w:r>
                        <w:r>
                          <w:rPr>
                            <w:sz w:val="16"/>
                            <w:szCs w:val="16"/>
                            <w:lang w:eastAsia="zh-CN"/>
                          </w:rPr>
                          <w:t>H, HV, HH-HV, HH/HV</w:t>
                        </w:r>
                      </w:p>
                    </w:tc>
                    <w:tc>
                      <w:tcPr>
                        <w:tcW w:w="1512" w:type="dxa"/>
                        <w:tcBorders>
                          <w:top w:val="single" w:color="auto" w:sz="4" w:space="0"/>
                        </w:tcBorders>
                        <w:vAlign w:val="center"/>
                      </w:tcPr>
                      <w:p w14:paraId="40CB23C3">
                        <w:pPr>
                          <w:autoSpaceDE w:val="0"/>
                          <w:autoSpaceDN w:val="0"/>
                          <w:adjustRightInd w:val="0"/>
                          <w:snapToGrid w:val="0"/>
                          <w:jc w:val="center"/>
                          <w:rPr>
                            <w:sz w:val="16"/>
                            <w:szCs w:val="16"/>
                            <w:lang w:eastAsia="zh-CN"/>
                          </w:rPr>
                        </w:pPr>
                        <w:r>
                          <w:rPr>
                            <w:rFonts w:hint="eastAsia"/>
                            <w:sz w:val="16"/>
                            <w:szCs w:val="16"/>
                            <w:lang w:eastAsia="zh-CN"/>
                          </w:rPr>
                          <w:t>2</w:t>
                        </w:r>
                        <w:r>
                          <w:rPr>
                            <w:sz w:val="16"/>
                            <w:szCs w:val="16"/>
                            <w:lang w:eastAsia="zh-CN"/>
                          </w:rPr>
                          <w:t>5 m</w:t>
                        </w:r>
                      </w:p>
                    </w:tc>
                    <w:tc>
                      <w:tcPr>
                        <w:tcW w:w="2060" w:type="dxa"/>
                        <w:tcBorders>
                          <w:top w:val="single" w:color="auto" w:sz="4" w:space="0"/>
                        </w:tcBorders>
                        <w:vAlign w:val="center"/>
                      </w:tcPr>
                      <w:p w14:paraId="4C27D824">
                        <w:pPr>
                          <w:autoSpaceDE w:val="0"/>
                          <w:autoSpaceDN w:val="0"/>
                          <w:adjustRightInd w:val="0"/>
                          <w:snapToGrid w:val="0"/>
                          <w:jc w:val="center"/>
                          <w:rPr>
                            <w:sz w:val="16"/>
                            <w:szCs w:val="16"/>
                            <w:lang w:eastAsia="zh-CN"/>
                          </w:rPr>
                        </w:pPr>
                        <w:r>
                          <w:rPr>
                            <w:rFonts w:hint="eastAsia"/>
                            <w:sz w:val="16"/>
                            <w:szCs w:val="16"/>
                            <w:lang w:eastAsia="zh-CN"/>
                          </w:rPr>
                          <w:t>Y</w:t>
                        </w:r>
                        <w:r>
                          <w:rPr>
                            <w:sz w:val="16"/>
                            <w:szCs w:val="16"/>
                            <w:lang w:eastAsia="zh-CN"/>
                          </w:rPr>
                          <w:t>early</w:t>
                        </w:r>
                      </w:p>
                    </w:tc>
                    <w:tc>
                      <w:tcPr>
                        <w:tcW w:w="2869" w:type="dxa"/>
                        <w:tcBorders>
                          <w:top w:val="single" w:color="auto" w:sz="4" w:space="0"/>
                        </w:tcBorders>
                        <w:vAlign w:val="center"/>
                      </w:tcPr>
                      <w:p w14:paraId="2F9BB0ED">
                        <w:pPr>
                          <w:autoSpaceDE w:val="0"/>
                          <w:autoSpaceDN w:val="0"/>
                          <w:adjustRightInd w:val="0"/>
                          <w:snapToGrid w:val="0"/>
                          <w:jc w:val="center"/>
                          <w:rPr>
                            <w:sz w:val="16"/>
                            <w:szCs w:val="16"/>
                            <w:lang w:eastAsia="zh-CN"/>
                          </w:rPr>
                        </w:pPr>
                        <w:r>
                          <w:rPr>
                            <w:sz w:val="16"/>
                            <w:szCs w:val="16"/>
                            <w:lang w:eastAsia="zh-CN"/>
                          </w:rPr>
                          <w:t>PALSAR/PALSAR-2 mosaic</w:t>
                        </w:r>
                      </w:p>
                    </w:tc>
                  </w:tr>
                  <w:tr w14:paraId="4C7C3D3C">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2" w:hRule="atLeast"/>
                      <w:jc w:val="center"/>
                    </w:trPr>
                    <w:tc>
                      <w:tcPr>
                        <w:tcW w:w="2021" w:type="dxa"/>
                        <w:vAlign w:val="center"/>
                      </w:tcPr>
                      <w:p w14:paraId="47769322">
                        <w:pPr>
                          <w:autoSpaceDE w:val="0"/>
                          <w:autoSpaceDN w:val="0"/>
                          <w:adjustRightInd w:val="0"/>
                          <w:snapToGrid w:val="0"/>
                          <w:jc w:val="center"/>
                          <w:rPr>
                            <w:sz w:val="16"/>
                            <w:szCs w:val="16"/>
                            <w:lang w:eastAsia="zh-CN"/>
                          </w:rPr>
                        </w:pPr>
                        <w:r>
                          <w:rPr>
                            <w:rFonts w:hint="eastAsia"/>
                            <w:sz w:val="16"/>
                            <w:szCs w:val="16"/>
                            <w:lang w:eastAsia="zh-CN"/>
                          </w:rPr>
                          <w:t>M</w:t>
                        </w:r>
                        <w:r>
                          <w:rPr>
                            <w:sz w:val="16"/>
                            <w:szCs w:val="16"/>
                            <w:lang w:eastAsia="zh-CN"/>
                          </w:rPr>
                          <w:t>ODIS vegetation indices</w:t>
                        </w:r>
                      </w:p>
                    </w:tc>
                    <w:tc>
                      <w:tcPr>
                        <w:tcW w:w="1968" w:type="dxa"/>
                        <w:vAlign w:val="center"/>
                      </w:tcPr>
                      <w:p w14:paraId="2AF755F9">
                        <w:pPr>
                          <w:autoSpaceDE w:val="0"/>
                          <w:autoSpaceDN w:val="0"/>
                          <w:adjustRightInd w:val="0"/>
                          <w:snapToGrid w:val="0"/>
                          <w:jc w:val="center"/>
                          <w:rPr>
                            <w:sz w:val="16"/>
                            <w:szCs w:val="16"/>
                            <w:lang w:eastAsia="zh-CN"/>
                          </w:rPr>
                        </w:pPr>
                        <w:r>
                          <w:rPr>
                            <w:sz w:val="16"/>
                            <w:szCs w:val="16"/>
                            <w:lang w:eastAsia="zh-CN"/>
                          </w:rPr>
                          <w:t>NDVI</w:t>
                        </w:r>
                        <w:r>
                          <w:rPr>
                            <w:rFonts w:hint="eastAsia"/>
                            <w:sz w:val="16"/>
                            <w:szCs w:val="16"/>
                            <w:lang w:eastAsia="zh-CN"/>
                          </w:rPr>
                          <w:t>,</w:t>
                        </w:r>
                        <w:r>
                          <w:rPr>
                            <w:sz w:val="16"/>
                            <w:szCs w:val="16"/>
                            <w:lang w:eastAsia="zh-CN"/>
                          </w:rPr>
                          <w:t xml:space="preserve"> EVI, </w:t>
                        </w:r>
                        <w:r>
                          <w:rPr>
                            <w:rFonts w:hint="eastAsia"/>
                            <w:sz w:val="16"/>
                            <w:szCs w:val="16"/>
                            <w:lang w:eastAsia="zh-CN"/>
                          </w:rPr>
                          <w:t>V</w:t>
                        </w:r>
                        <w:r>
                          <w:rPr>
                            <w:sz w:val="16"/>
                            <w:szCs w:val="16"/>
                            <w:lang w:eastAsia="zh-CN"/>
                          </w:rPr>
                          <w:t>CF, NPP, GPP, LAI, FPAR</w:t>
                        </w:r>
                      </w:p>
                    </w:tc>
                    <w:tc>
                      <w:tcPr>
                        <w:tcW w:w="1512" w:type="dxa"/>
                        <w:vAlign w:val="center"/>
                      </w:tcPr>
                      <w:p w14:paraId="6DA9FB09">
                        <w:pPr>
                          <w:autoSpaceDE w:val="0"/>
                          <w:autoSpaceDN w:val="0"/>
                          <w:adjustRightInd w:val="0"/>
                          <w:snapToGrid w:val="0"/>
                          <w:jc w:val="center"/>
                          <w:rPr>
                            <w:sz w:val="16"/>
                            <w:szCs w:val="16"/>
                            <w:lang w:eastAsia="zh-CN"/>
                          </w:rPr>
                        </w:pPr>
                        <w:r>
                          <w:rPr>
                            <w:rFonts w:hint="eastAsia"/>
                            <w:sz w:val="16"/>
                            <w:szCs w:val="16"/>
                            <w:lang w:eastAsia="zh-CN"/>
                          </w:rPr>
                          <w:t>2</w:t>
                        </w:r>
                        <w:r>
                          <w:rPr>
                            <w:sz w:val="16"/>
                            <w:szCs w:val="16"/>
                            <w:lang w:eastAsia="zh-CN"/>
                          </w:rPr>
                          <w:t>50-500 m</w:t>
                        </w:r>
                      </w:p>
                    </w:tc>
                    <w:tc>
                      <w:tcPr>
                        <w:tcW w:w="2060" w:type="dxa"/>
                        <w:vAlign w:val="center"/>
                      </w:tcPr>
                      <w:p w14:paraId="2D107059">
                        <w:pPr>
                          <w:autoSpaceDE w:val="0"/>
                          <w:autoSpaceDN w:val="0"/>
                          <w:adjustRightInd w:val="0"/>
                          <w:snapToGrid w:val="0"/>
                          <w:jc w:val="center"/>
                          <w:rPr>
                            <w:sz w:val="16"/>
                            <w:szCs w:val="16"/>
                            <w:lang w:eastAsia="zh-CN"/>
                          </w:rPr>
                        </w:pPr>
                        <w:r>
                          <w:rPr>
                            <w:sz w:val="16"/>
                            <w:szCs w:val="16"/>
                            <w:lang w:eastAsia="zh-CN"/>
                          </w:rPr>
                          <w:t xml:space="preserve">NDVI and EVI: </w:t>
                        </w:r>
                        <w:r>
                          <w:rPr>
                            <w:rFonts w:hint="eastAsia"/>
                            <w:sz w:val="16"/>
                            <w:szCs w:val="16"/>
                            <w:lang w:eastAsia="zh-CN"/>
                          </w:rPr>
                          <w:t>1</w:t>
                        </w:r>
                        <w:r>
                          <w:rPr>
                            <w:sz w:val="16"/>
                            <w:szCs w:val="16"/>
                            <w:lang w:eastAsia="zh-CN"/>
                          </w:rPr>
                          <w:t>6 days,</w:t>
                        </w:r>
                      </w:p>
                      <w:p w14:paraId="6AB2C558">
                        <w:pPr>
                          <w:autoSpaceDE w:val="0"/>
                          <w:autoSpaceDN w:val="0"/>
                          <w:adjustRightInd w:val="0"/>
                          <w:snapToGrid w:val="0"/>
                          <w:jc w:val="center"/>
                          <w:rPr>
                            <w:sz w:val="16"/>
                            <w:szCs w:val="16"/>
                            <w:lang w:eastAsia="zh-CN"/>
                          </w:rPr>
                        </w:pPr>
                        <w:r>
                          <w:rPr>
                            <w:rFonts w:hint="eastAsia"/>
                            <w:sz w:val="16"/>
                            <w:szCs w:val="16"/>
                            <w:lang w:eastAsia="zh-CN"/>
                          </w:rPr>
                          <w:t>V</w:t>
                        </w:r>
                        <w:r>
                          <w:rPr>
                            <w:sz w:val="16"/>
                            <w:szCs w:val="16"/>
                            <w:lang w:eastAsia="zh-CN"/>
                          </w:rPr>
                          <w:t>CF and NPP: yearly,</w:t>
                        </w:r>
                      </w:p>
                      <w:p w14:paraId="6749B7F4">
                        <w:pPr>
                          <w:autoSpaceDE w:val="0"/>
                          <w:autoSpaceDN w:val="0"/>
                          <w:adjustRightInd w:val="0"/>
                          <w:snapToGrid w:val="0"/>
                          <w:jc w:val="center"/>
                          <w:rPr>
                            <w:sz w:val="16"/>
                            <w:szCs w:val="16"/>
                            <w:lang w:eastAsia="zh-CN"/>
                          </w:rPr>
                        </w:pPr>
                        <w:r>
                          <w:rPr>
                            <w:rFonts w:hint="eastAsia"/>
                            <w:sz w:val="16"/>
                            <w:szCs w:val="16"/>
                            <w:lang w:eastAsia="zh-CN"/>
                          </w:rPr>
                          <w:t>GPP,</w:t>
                        </w:r>
                        <w:r>
                          <w:rPr>
                            <w:sz w:val="16"/>
                            <w:szCs w:val="16"/>
                            <w:lang w:eastAsia="zh-CN"/>
                          </w:rPr>
                          <w:t xml:space="preserve"> </w:t>
                        </w:r>
                        <w:r>
                          <w:rPr>
                            <w:rFonts w:hint="eastAsia"/>
                            <w:sz w:val="16"/>
                            <w:szCs w:val="16"/>
                            <w:lang w:eastAsia="zh-CN"/>
                          </w:rPr>
                          <w:t>LAI</w:t>
                        </w:r>
                        <w:r>
                          <w:rPr>
                            <w:sz w:val="16"/>
                            <w:szCs w:val="16"/>
                            <w:lang w:eastAsia="zh-CN"/>
                          </w:rPr>
                          <w:t xml:space="preserve"> and FPAR: 8 days</w:t>
                        </w:r>
                      </w:p>
                    </w:tc>
                    <w:tc>
                      <w:tcPr>
                        <w:tcW w:w="2869" w:type="dxa"/>
                        <w:vAlign w:val="center"/>
                      </w:tcPr>
                      <w:p w14:paraId="1222F691">
                        <w:pPr>
                          <w:autoSpaceDE w:val="0"/>
                          <w:autoSpaceDN w:val="0"/>
                          <w:adjustRightInd w:val="0"/>
                          <w:snapToGrid w:val="0"/>
                          <w:jc w:val="center"/>
                          <w:rPr>
                            <w:sz w:val="16"/>
                            <w:szCs w:val="16"/>
                            <w:lang w:eastAsia="zh-CN"/>
                          </w:rPr>
                        </w:pPr>
                        <w:r>
                          <w:rPr>
                            <w:sz w:val="16"/>
                            <w:szCs w:val="16"/>
                            <w:lang w:eastAsia="zh-CN"/>
                          </w:rPr>
                          <w:t xml:space="preserve">NDVI and EVI: </w:t>
                        </w:r>
                        <w:r>
                          <w:rPr>
                            <w:rFonts w:hint="eastAsia"/>
                            <w:sz w:val="16"/>
                            <w:szCs w:val="16"/>
                            <w:lang w:eastAsia="zh-CN"/>
                          </w:rPr>
                          <w:t>M</w:t>
                        </w:r>
                        <w:r>
                          <w:rPr>
                            <w:sz w:val="16"/>
                            <w:szCs w:val="16"/>
                            <w:lang w:eastAsia="zh-CN"/>
                          </w:rPr>
                          <w:t xml:space="preserve">OD13Q1, VCF: </w:t>
                        </w:r>
                        <w:r>
                          <w:rPr>
                            <w:rFonts w:hint="eastAsia"/>
                            <w:sz w:val="16"/>
                            <w:szCs w:val="16"/>
                            <w:lang w:eastAsia="zh-CN"/>
                          </w:rPr>
                          <w:t>M</w:t>
                        </w:r>
                        <w:r>
                          <w:rPr>
                            <w:sz w:val="16"/>
                            <w:szCs w:val="16"/>
                            <w:lang w:eastAsia="zh-CN"/>
                          </w:rPr>
                          <w:t>OD44B, NPP: MOD17A3HGF,</w:t>
                        </w:r>
                      </w:p>
                      <w:p w14:paraId="6259D3DE">
                        <w:pPr>
                          <w:autoSpaceDE w:val="0"/>
                          <w:autoSpaceDN w:val="0"/>
                          <w:adjustRightInd w:val="0"/>
                          <w:snapToGrid w:val="0"/>
                          <w:jc w:val="center"/>
                          <w:rPr>
                            <w:sz w:val="16"/>
                            <w:szCs w:val="16"/>
                            <w:lang w:eastAsia="zh-CN"/>
                          </w:rPr>
                        </w:pPr>
                        <w:r>
                          <w:rPr>
                            <w:rFonts w:hint="eastAsia"/>
                            <w:sz w:val="16"/>
                            <w:szCs w:val="16"/>
                            <w:lang w:eastAsia="zh-CN"/>
                          </w:rPr>
                          <w:t>G</w:t>
                        </w:r>
                        <w:r>
                          <w:rPr>
                            <w:sz w:val="16"/>
                            <w:szCs w:val="16"/>
                            <w:lang w:eastAsia="zh-CN"/>
                          </w:rPr>
                          <w:t>PP: MOD17A2H,</w:t>
                        </w:r>
                      </w:p>
                      <w:p w14:paraId="2B21D885">
                        <w:pPr>
                          <w:autoSpaceDE w:val="0"/>
                          <w:autoSpaceDN w:val="0"/>
                          <w:adjustRightInd w:val="0"/>
                          <w:snapToGrid w:val="0"/>
                          <w:jc w:val="center"/>
                          <w:rPr>
                            <w:sz w:val="16"/>
                            <w:szCs w:val="16"/>
                            <w:lang w:eastAsia="zh-CN"/>
                          </w:rPr>
                        </w:pPr>
                        <w:r>
                          <w:rPr>
                            <w:rFonts w:hint="eastAsia"/>
                            <w:sz w:val="16"/>
                            <w:szCs w:val="16"/>
                            <w:lang w:eastAsia="zh-CN"/>
                          </w:rPr>
                          <w:t>L</w:t>
                        </w:r>
                        <w:r>
                          <w:rPr>
                            <w:sz w:val="16"/>
                            <w:szCs w:val="16"/>
                            <w:lang w:eastAsia="zh-CN"/>
                          </w:rPr>
                          <w:t xml:space="preserve">AI and </w:t>
                        </w:r>
                        <w:r>
                          <w:rPr>
                            <w:rFonts w:hint="eastAsia"/>
                            <w:sz w:val="16"/>
                            <w:szCs w:val="16"/>
                            <w:lang w:eastAsia="zh-CN"/>
                          </w:rPr>
                          <w:t>F</w:t>
                        </w:r>
                        <w:r>
                          <w:rPr>
                            <w:sz w:val="16"/>
                            <w:szCs w:val="16"/>
                            <w:lang w:eastAsia="zh-CN"/>
                          </w:rPr>
                          <w:t>PAR: MOD15A2H</w:t>
                        </w:r>
                      </w:p>
                    </w:tc>
                  </w:tr>
                  <w:tr w14:paraId="07D6C0E5">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 w:hRule="atLeast"/>
                      <w:jc w:val="center"/>
                    </w:trPr>
                    <w:tc>
                      <w:tcPr>
                        <w:tcW w:w="2021" w:type="dxa"/>
                        <w:vAlign w:val="center"/>
                      </w:tcPr>
                      <w:p w14:paraId="5545F53F">
                        <w:pPr>
                          <w:autoSpaceDE w:val="0"/>
                          <w:autoSpaceDN w:val="0"/>
                          <w:adjustRightInd w:val="0"/>
                          <w:snapToGrid w:val="0"/>
                          <w:jc w:val="center"/>
                          <w:rPr>
                            <w:sz w:val="16"/>
                            <w:szCs w:val="16"/>
                            <w:lang w:eastAsia="zh-CN"/>
                          </w:rPr>
                        </w:pPr>
                        <w:r>
                          <w:rPr>
                            <w:sz w:val="16"/>
                            <w:szCs w:val="16"/>
                            <w:lang w:eastAsia="zh-CN"/>
                          </w:rPr>
                          <w:t>Topography and climate data</w:t>
                        </w:r>
                      </w:p>
                    </w:tc>
                    <w:tc>
                      <w:tcPr>
                        <w:tcW w:w="1968" w:type="dxa"/>
                        <w:vAlign w:val="center"/>
                      </w:tcPr>
                      <w:p w14:paraId="77DE528B">
                        <w:pPr>
                          <w:autoSpaceDE w:val="0"/>
                          <w:autoSpaceDN w:val="0"/>
                          <w:adjustRightInd w:val="0"/>
                          <w:snapToGrid w:val="0"/>
                          <w:jc w:val="center"/>
                          <w:rPr>
                            <w:sz w:val="16"/>
                            <w:szCs w:val="16"/>
                            <w:lang w:eastAsia="zh-CN"/>
                          </w:rPr>
                        </w:pPr>
                        <w:r>
                          <w:rPr>
                            <w:sz w:val="16"/>
                            <w:szCs w:val="16"/>
                            <w:lang w:eastAsia="zh-CN"/>
                          </w:rPr>
                          <w:t>DEM, Slope, LST, ET</w:t>
                        </w:r>
                      </w:p>
                    </w:tc>
                    <w:tc>
                      <w:tcPr>
                        <w:tcW w:w="1512" w:type="dxa"/>
                        <w:vAlign w:val="center"/>
                      </w:tcPr>
                      <w:p w14:paraId="2711847A">
                        <w:pPr>
                          <w:autoSpaceDE w:val="0"/>
                          <w:autoSpaceDN w:val="0"/>
                          <w:adjustRightInd w:val="0"/>
                          <w:snapToGrid w:val="0"/>
                          <w:jc w:val="center"/>
                          <w:rPr>
                            <w:sz w:val="16"/>
                            <w:szCs w:val="16"/>
                            <w:lang w:eastAsia="zh-CN"/>
                          </w:rPr>
                        </w:pPr>
                        <w:r>
                          <w:rPr>
                            <w:rFonts w:hint="eastAsia"/>
                            <w:sz w:val="16"/>
                            <w:szCs w:val="16"/>
                            <w:lang w:eastAsia="zh-CN"/>
                          </w:rPr>
                          <w:t>3</w:t>
                        </w:r>
                        <w:r>
                          <w:rPr>
                            <w:sz w:val="16"/>
                            <w:szCs w:val="16"/>
                            <w:lang w:eastAsia="zh-CN"/>
                          </w:rPr>
                          <w:t>0-1000 m</w:t>
                        </w:r>
                      </w:p>
                    </w:tc>
                    <w:tc>
                      <w:tcPr>
                        <w:tcW w:w="2060" w:type="dxa"/>
                        <w:vAlign w:val="center"/>
                      </w:tcPr>
                      <w:p w14:paraId="6613F809">
                        <w:pPr>
                          <w:autoSpaceDE w:val="0"/>
                          <w:autoSpaceDN w:val="0"/>
                          <w:adjustRightInd w:val="0"/>
                          <w:snapToGrid w:val="0"/>
                          <w:jc w:val="center"/>
                          <w:rPr>
                            <w:sz w:val="16"/>
                            <w:szCs w:val="16"/>
                            <w:lang w:eastAsia="zh-CN"/>
                          </w:rPr>
                        </w:pPr>
                        <w:r>
                          <w:rPr>
                            <w:rFonts w:hint="eastAsia"/>
                            <w:sz w:val="16"/>
                            <w:szCs w:val="16"/>
                            <w:lang w:eastAsia="zh-CN"/>
                          </w:rPr>
                          <w:t>D</w:t>
                        </w:r>
                        <w:r>
                          <w:rPr>
                            <w:sz w:val="16"/>
                            <w:szCs w:val="16"/>
                            <w:lang w:eastAsia="zh-CN"/>
                          </w:rPr>
                          <w:t xml:space="preserve">EM and </w:t>
                        </w:r>
                        <w:r>
                          <w:rPr>
                            <w:rFonts w:hint="eastAsia"/>
                            <w:sz w:val="16"/>
                            <w:szCs w:val="16"/>
                            <w:lang w:eastAsia="zh-CN"/>
                          </w:rPr>
                          <w:t>S</w:t>
                        </w:r>
                        <w:r>
                          <w:rPr>
                            <w:sz w:val="16"/>
                            <w:szCs w:val="16"/>
                            <w:lang w:eastAsia="zh-CN"/>
                          </w:rPr>
                          <w:t>lope: 2000,</w:t>
                        </w:r>
                      </w:p>
                      <w:p w14:paraId="271F688F">
                        <w:pPr>
                          <w:autoSpaceDE w:val="0"/>
                          <w:autoSpaceDN w:val="0"/>
                          <w:adjustRightInd w:val="0"/>
                          <w:snapToGrid w:val="0"/>
                          <w:jc w:val="center"/>
                          <w:rPr>
                            <w:sz w:val="16"/>
                            <w:szCs w:val="16"/>
                            <w:lang w:eastAsia="zh-CN"/>
                          </w:rPr>
                        </w:pPr>
                        <w:r>
                          <w:rPr>
                            <w:rFonts w:hint="eastAsia"/>
                            <w:sz w:val="16"/>
                            <w:szCs w:val="16"/>
                            <w:lang w:eastAsia="zh-CN"/>
                          </w:rPr>
                          <w:t>L</w:t>
                        </w:r>
                        <w:r>
                          <w:rPr>
                            <w:sz w:val="16"/>
                            <w:szCs w:val="16"/>
                            <w:lang w:eastAsia="zh-CN"/>
                          </w:rPr>
                          <w:t>ST and ET: 8 days</w:t>
                        </w:r>
                      </w:p>
                    </w:tc>
                    <w:tc>
                      <w:tcPr>
                        <w:tcW w:w="2869" w:type="dxa"/>
                        <w:vAlign w:val="center"/>
                      </w:tcPr>
                      <w:p w14:paraId="7AFAF004">
                        <w:pPr>
                          <w:autoSpaceDE w:val="0"/>
                          <w:autoSpaceDN w:val="0"/>
                          <w:adjustRightInd w:val="0"/>
                          <w:snapToGrid w:val="0"/>
                          <w:jc w:val="center"/>
                          <w:rPr>
                            <w:sz w:val="16"/>
                            <w:szCs w:val="16"/>
                            <w:lang w:eastAsia="zh-CN"/>
                          </w:rPr>
                        </w:pPr>
                        <w:r>
                          <w:rPr>
                            <w:sz w:val="16"/>
                            <w:szCs w:val="16"/>
                            <w:lang w:eastAsia="zh-CN"/>
                          </w:rPr>
                          <w:t xml:space="preserve">DEM and Slope: </w:t>
                        </w:r>
                        <w:r>
                          <w:rPr>
                            <w:rFonts w:hint="eastAsia"/>
                            <w:sz w:val="16"/>
                            <w:szCs w:val="16"/>
                            <w:lang w:eastAsia="zh-CN"/>
                          </w:rPr>
                          <w:t>S</w:t>
                        </w:r>
                        <w:r>
                          <w:rPr>
                            <w:sz w:val="16"/>
                            <w:szCs w:val="16"/>
                            <w:lang w:eastAsia="zh-CN"/>
                          </w:rPr>
                          <w:t>TRM, LST: MOD11A1, ET: MOD16A2</w:t>
                        </w:r>
                      </w:p>
                    </w:tc>
                  </w:tr>
                  <w:tr w14:paraId="683DED64">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 w:hRule="atLeast"/>
                      <w:jc w:val="center"/>
                    </w:trPr>
                    <w:tc>
                      <w:tcPr>
                        <w:tcW w:w="2021" w:type="dxa"/>
                        <w:vAlign w:val="center"/>
                      </w:tcPr>
                      <w:p w14:paraId="54B2B2FC">
                        <w:pPr>
                          <w:autoSpaceDE w:val="0"/>
                          <w:autoSpaceDN w:val="0"/>
                          <w:adjustRightInd w:val="0"/>
                          <w:snapToGrid w:val="0"/>
                          <w:jc w:val="center"/>
                          <w:rPr>
                            <w:sz w:val="16"/>
                            <w:szCs w:val="16"/>
                            <w:lang w:eastAsia="zh-CN"/>
                          </w:rPr>
                        </w:pPr>
                        <w:r>
                          <w:rPr>
                            <w:rFonts w:hint="eastAsia"/>
                            <w:sz w:val="16"/>
                            <w:szCs w:val="16"/>
                            <w:lang w:eastAsia="zh-CN"/>
                          </w:rPr>
                          <w:t>G</w:t>
                        </w:r>
                        <w:r>
                          <w:rPr>
                            <w:sz w:val="16"/>
                            <w:szCs w:val="16"/>
                            <w:lang w:eastAsia="zh-CN"/>
                          </w:rPr>
                          <w:t>EDI AGBD and standard error grids</w:t>
                        </w:r>
                      </w:p>
                    </w:tc>
                    <w:tc>
                      <w:tcPr>
                        <w:tcW w:w="1968" w:type="dxa"/>
                        <w:vAlign w:val="center"/>
                      </w:tcPr>
                      <w:p w14:paraId="66894450">
                        <w:pPr>
                          <w:autoSpaceDE w:val="0"/>
                          <w:autoSpaceDN w:val="0"/>
                          <w:adjustRightInd w:val="0"/>
                          <w:snapToGrid w:val="0"/>
                          <w:jc w:val="center"/>
                          <w:rPr>
                            <w:sz w:val="16"/>
                            <w:szCs w:val="16"/>
                            <w:lang w:eastAsia="zh-CN"/>
                          </w:rPr>
                        </w:pPr>
                        <w:r>
                          <w:rPr>
                            <w:rFonts w:hint="eastAsia"/>
                            <w:sz w:val="16"/>
                            <w:szCs w:val="16"/>
                            <w:lang w:eastAsia="zh-CN"/>
                          </w:rPr>
                          <w:t>A</w:t>
                        </w:r>
                        <w:r>
                          <w:rPr>
                            <w:sz w:val="16"/>
                            <w:szCs w:val="16"/>
                            <w:lang w:eastAsia="zh-CN"/>
                          </w:rPr>
                          <w:t>GBD</w:t>
                        </w:r>
                      </w:p>
                    </w:tc>
                    <w:tc>
                      <w:tcPr>
                        <w:tcW w:w="1512" w:type="dxa"/>
                        <w:vAlign w:val="center"/>
                      </w:tcPr>
                      <w:p w14:paraId="3B0E97F1">
                        <w:pPr>
                          <w:autoSpaceDE w:val="0"/>
                          <w:autoSpaceDN w:val="0"/>
                          <w:adjustRightInd w:val="0"/>
                          <w:snapToGrid w:val="0"/>
                          <w:jc w:val="center"/>
                          <w:rPr>
                            <w:sz w:val="16"/>
                            <w:szCs w:val="16"/>
                            <w:lang w:eastAsia="zh-CN"/>
                          </w:rPr>
                        </w:pPr>
                        <w:r>
                          <w:rPr>
                            <w:rFonts w:hint="eastAsia"/>
                            <w:sz w:val="16"/>
                            <w:szCs w:val="16"/>
                            <w:lang w:eastAsia="zh-CN"/>
                          </w:rPr>
                          <w:t>1</w:t>
                        </w:r>
                        <w:r>
                          <w:rPr>
                            <w:sz w:val="16"/>
                            <w:szCs w:val="16"/>
                            <w:lang w:eastAsia="zh-CN"/>
                          </w:rPr>
                          <w:t>000 m</w:t>
                        </w:r>
                      </w:p>
                    </w:tc>
                    <w:tc>
                      <w:tcPr>
                        <w:tcW w:w="2060" w:type="dxa"/>
                        <w:vAlign w:val="center"/>
                      </w:tcPr>
                      <w:p w14:paraId="39E7BB16">
                        <w:pPr>
                          <w:autoSpaceDE w:val="0"/>
                          <w:autoSpaceDN w:val="0"/>
                          <w:adjustRightInd w:val="0"/>
                          <w:snapToGrid w:val="0"/>
                          <w:jc w:val="center"/>
                          <w:rPr>
                            <w:sz w:val="16"/>
                            <w:szCs w:val="16"/>
                            <w:lang w:eastAsia="zh-CN"/>
                          </w:rPr>
                        </w:pPr>
                        <w:r>
                          <w:rPr>
                            <w:rFonts w:hint="eastAsia"/>
                            <w:sz w:val="16"/>
                            <w:szCs w:val="16"/>
                            <w:lang w:eastAsia="zh-CN"/>
                          </w:rPr>
                          <w:t>Y</w:t>
                        </w:r>
                        <w:r>
                          <w:rPr>
                            <w:sz w:val="16"/>
                            <w:szCs w:val="16"/>
                            <w:lang w:eastAsia="zh-CN"/>
                          </w:rPr>
                          <w:t>early</w:t>
                        </w:r>
                      </w:p>
                    </w:tc>
                    <w:tc>
                      <w:tcPr>
                        <w:tcW w:w="2869" w:type="dxa"/>
                        <w:vAlign w:val="center"/>
                      </w:tcPr>
                      <w:p w14:paraId="0A012039">
                        <w:pPr>
                          <w:autoSpaceDE w:val="0"/>
                          <w:autoSpaceDN w:val="0"/>
                          <w:adjustRightInd w:val="0"/>
                          <w:snapToGrid w:val="0"/>
                          <w:jc w:val="center"/>
                          <w:rPr>
                            <w:sz w:val="16"/>
                            <w:szCs w:val="16"/>
                            <w:lang w:eastAsia="zh-CN"/>
                          </w:rPr>
                        </w:pPr>
                        <w:r>
                          <w:rPr>
                            <w:sz w:val="16"/>
                            <w:szCs w:val="16"/>
                            <w:lang w:eastAsia="zh-CN"/>
                          </w:rPr>
                          <w:t>GEDI L4B AGBD (version 2)</w:t>
                        </w:r>
                      </w:p>
                    </w:tc>
                  </w:tr>
                </w:tbl>
                <w:p w14:paraId="2AC9087F">
                  <w:pPr>
                    <w:pStyle w:val="74"/>
                    <w:jc w:val="left"/>
                    <w:rPr>
                      <w:lang w:eastAsia="zh-CN"/>
                    </w:rPr>
                  </w:pPr>
                </w:p>
              </w:txbxContent>
            </v:textbox>
            <w10:wrap type="square"/>
          </v:shape>
        </w:pict>
      </w:r>
      <w:r>
        <w:rPr>
          <w:color w:val="000000" w:themeColor="text1"/>
        </w:rPr>
        <w:t xml:space="preserve">The MOD13Q1 vegetation index product was used to supply MODIS NDVI and EVI images at 16-day intervals. The yearly mean images complied from 23 MODIS NDVI and EVI images for each year within the period from 2015 to 2020 were used as the covariates. For the array of potential products available through MODIS, this study incorporated five specific ones: vegetation continuous field (VCF), net primary production (NPP), gross primary product (GPP), leaf area index (LAI), and fraction of photosynthetically active radiation (FPAR). Notably, the yearly mean images of </w:t>
      </w:r>
      <w:r>
        <w:rPr>
          <w:rFonts w:hint="eastAsia"/>
          <w:color w:val="000000" w:themeColor="text1"/>
        </w:rPr>
        <w:t>GPP,</w:t>
      </w:r>
      <w:r>
        <w:rPr>
          <w:color w:val="000000" w:themeColor="text1"/>
        </w:rPr>
        <w:t xml:space="preserve"> </w:t>
      </w:r>
      <w:r>
        <w:rPr>
          <w:rFonts w:hint="eastAsia"/>
          <w:color w:val="000000" w:themeColor="text1"/>
        </w:rPr>
        <w:t>LAI</w:t>
      </w:r>
      <w:r>
        <w:rPr>
          <w:color w:val="000000" w:themeColor="text1"/>
        </w:rPr>
        <w:t>, and FPAR were used as the covariates of the regression models. The tree canopy cover map (Fig. 1(b)) contained in the yearly MODIS VCF product (MOD44B) was used as one of the covariates to provide forest cover information. The yearly MODIS NPP product from MOD17A3HGF and 8-day MODI GPP product from MOD17A2H were used to provide vegetation carbon and water cycle information. The 8-day MODIS LAI and FPAR product from MOD15A2H was used to provide information related to vegetation growth and photosynthesis. As for GPP, LAI and FPAR, the covariates were constructed using the annual mean images generated from the yearly 8-day MODIS products.</w:t>
      </w:r>
    </w:p>
    <w:p w14:paraId="6BC05E89">
      <w:pPr>
        <w:ind w:firstLine="400" w:firstLineChars="200"/>
        <w:jc w:val="both"/>
        <w:rPr>
          <w:color w:val="000000" w:themeColor="text1"/>
        </w:rPr>
      </w:pPr>
      <w:r>
        <w:rPr>
          <w:color w:val="000000" w:themeColor="text1"/>
          <w:lang w:eastAsia="zh-CN"/>
        </w:rPr>
        <w:pict>
          <v:shape id="_x0000_s8790" o:spid="_x0000_s8790" o:spt="202" type="#_x0000_t202" style="position:absolute;left:0pt;height:220.5pt;width:251.65pt;mso-position-horizontal:left;mso-position-horizontal-relative:margin;mso-position-vertical:top;mso-position-vertical-relative:margin;mso-wrap-distance-bottom:0pt;mso-wrap-distance-left:9pt;mso-wrap-distance-right:9pt;mso-wrap-distance-top:0pt;z-index:251666432;mso-width-relative:page;mso-height-relative:page;" stroked="f" coordsize="21600,21600">
            <v:path/>
            <v:fill focussize="0,0"/>
            <v:stroke on="f" joinstyle="miter"/>
            <v:imagedata o:title=""/>
            <o:lock v:ext="edit"/>
            <v:textbox inset="0mm,0mm,0mm,0mm">
              <w:txbxContent>
                <w:p w14:paraId="18855798">
                  <w:pPr>
                    <w:jc w:val="center"/>
                    <w:rPr>
                      <w:color w:val="000000" w:themeColor="text1"/>
                      <w:szCs w:val="21"/>
                    </w:rPr>
                  </w:pPr>
                  <w:r>
                    <w:rPr>
                      <w:color w:val="000000" w:themeColor="text1"/>
                      <w:szCs w:val="21"/>
                    </w:rPr>
                    <w:drawing>
                      <wp:inline distT="0" distB="0" distL="0" distR="0">
                        <wp:extent cx="3086735" cy="2550795"/>
                        <wp:effectExtent l="0" t="0" r="0" b="1905"/>
                        <wp:docPr id="498154609" name="图片 498154609" descr="图表, 树状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54609" name="图片 498154609" descr="图表, 树状图&#10;&#10;AI 生成的内容可能不正确。"/>
                                <pic:cNvPicPr>
                                  <a:picLocks noChangeAspect="1"/>
                                </pic:cNvPicPr>
                              </pic:nvPicPr>
                              <pic:blipFill>
                                <a:blip r:embed="rId9"/>
                                <a:stretch>
                                  <a:fillRect/>
                                </a:stretch>
                              </pic:blipFill>
                              <pic:spPr>
                                <a:xfrm>
                                  <a:off x="0" y="0"/>
                                  <a:ext cx="3086818" cy="2551289"/>
                                </a:xfrm>
                                <a:prstGeom prst="rect">
                                  <a:avLst/>
                                </a:prstGeom>
                              </pic:spPr>
                            </pic:pic>
                          </a:graphicData>
                        </a:graphic>
                      </wp:inline>
                    </w:drawing>
                  </w:r>
                </w:p>
                <w:p w14:paraId="4E7E249B">
                  <w:pPr>
                    <w:pStyle w:val="74"/>
                    <w:rPr>
                      <w:color w:val="000000" w:themeColor="text1"/>
                      <w:lang w:eastAsia="zh-CN"/>
                    </w:rPr>
                  </w:pPr>
                  <w:r>
                    <w:rPr>
                      <w:rFonts w:hint="eastAsia"/>
                      <w:b/>
                      <w:bCs/>
                      <w:color w:val="000000" w:themeColor="text1"/>
                    </w:rPr>
                    <w:t>F</w:t>
                  </w:r>
                  <w:r>
                    <w:rPr>
                      <w:b/>
                      <w:bCs/>
                      <w:color w:val="000000" w:themeColor="text1"/>
                    </w:rPr>
                    <w:t xml:space="preserve">ig. </w:t>
                  </w:r>
                  <w:r>
                    <w:rPr>
                      <w:rFonts w:hint="eastAsia"/>
                      <w:b/>
                      <w:bCs/>
                      <w:color w:val="000000" w:themeColor="text1"/>
                      <w:lang w:eastAsia="zh-CN"/>
                    </w:rPr>
                    <w:t>3</w:t>
                  </w:r>
                  <w:r>
                    <w:rPr>
                      <w:b/>
                      <w:bCs/>
                      <w:color w:val="000000" w:themeColor="text1"/>
                    </w:rPr>
                    <w:t>.</w:t>
                  </w:r>
                  <w:r>
                    <w:rPr>
                      <w:color w:val="000000" w:themeColor="text1"/>
                    </w:rPr>
                    <w:t xml:space="preserve"> Correlation coefficients map between multiple variables.</w:t>
                  </w:r>
                </w:p>
              </w:txbxContent>
            </v:textbox>
            <w10:wrap type="square"/>
          </v:shape>
        </w:pict>
      </w:r>
      <w:r>
        <w:rPr>
          <w:color w:val="000000" w:themeColor="text1"/>
          <w:lang w:eastAsia="zh-CN"/>
        </w:rPr>
        <w:pict>
          <v:shape id="_x0000_s8789" o:spid="_x0000_s8789" o:spt="202" type="#_x0000_t202" style="position:absolute;left:0pt;height:354.65pt;width:251.65pt;mso-position-horizontal:right;mso-position-horizontal-relative:margin;mso-position-vertical:top;mso-position-vertical-relative:margin;mso-wrap-distance-bottom:0pt;mso-wrap-distance-left:9pt;mso-wrap-distance-right:9pt;mso-wrap-distance-top:0pt;z-index:251665408;mso-width-relative:page;mso-height-relative:page;" stroked="f" coordsize="21600,21600">
            <v:path/>
            <v:fill focussize="0,0"/>
            <v:stroke on="f" joinstyle="miter"/>
            <v:imagedata o:title=""/>
            <o:lock v:ext="edit"/>
            <v:textbox inset="0mm,0mm,0mm,0mm">
              <w:txbxContent>
                <w:p w14:paraId="28E153EC">
                  <w:pPr>
                    <w:jc w:val="center"/>
                  </w:pPr>
                  <w:r>
                    <w:rPr>
                      <w:szCs w:val="21"/>
                    </w:rPr>
                    <w:drawing>
                      <wp:inline distT="0" distB="0" distL="0" distR="0">
                        <wp:extent cx="3067050" cy="4168140"/>
                        <wp:effectExtent l="0" t="0" r="0" b="3810"/>
                        <wp:docPr id="1331911189"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11189" name="图片 1" descr="图示&#10;&#10;描述已自动生成"/>
                                <pic:cNvPicPr>
                                  <a:picLocks noChangeAspect="1"/>
                                </pic:cNvPicPr>
                              </pic:nvPicPr>
                              <pic:blipFill>
                                <a:blip r:embed="rId10"/>
                                <a:stretch>
                                  <a:fillRect/>
                                </a:stretch>
                              </pic:blipFill>
                              <pic:spPr>
                                <a:xfrm>
                                  <a:off x="0" y="0"/>
                                  <a:ext cx="3160551" cy="4294914"/>
                                </a:xfrm>
                                <a:prstGeom prst="rect">
                                  <a:avLst/>
                                </a:prstGeom>
                              </pic:spPr>
                            </pic:pic>
                          </a:graphicData>
                        </a:graphic>
                      </wp:inline>
                    </w:drawing>
                  </w:r>
                </w:p>
                <w:p w14:paraId="675D604B">
                  <w:pPr>
                    <w:pStyle w:val="74"/>
                    <w:spacing w:before="120" w:beforeLines="50"/>
                    <w:rPr>
                      <w:lang w:eastAsia="zh-CN"/>
                    </w:rPr>
                  </w:pPr>
                  <w:r>
                    <w:rPr>
                      <w:rFonts w:hint="eastAsia"/>
                      <w:b/>
                      <w:bCs/>
                      <w:color w:val="000000" w:themeColor="text1"/>
                    </w:rPr>
                    <w:t>Fig</w:t>
                  </w:r>
                  <w:r>
                    <w:rPr>
                      <w:b/>
                      <w:bCs/>
                      <w:color w:val="000000" w:themeColor="text1"/>
                    </w:rPr>
                    <w:t xml:space="preserve">. </w:t>
                  </w:r>
                  <w:r>
                    <w:rPr>
                      <w:rFonts w:hint="eastAsia"/>
                      <w:b/>
                      <w:bCs/>
                      <w:color w:val="000000" w:themeColor="text1"/>
                      <w:lang w:eastAsia="zh-CN"/>
                    </w:rPr>
                    <w:t>4</w:t>
                  </w:r>
                  <w:r>
                    <w:rPr>
                      <w:b/>
                      <w:bCs/>
                      <w:color w:val="000000" w:themeColor="text1"/>
                    </w:rPr>
                    <w:t xml:space="preserve">. </w:t>
                  </w:r>
                  <w:r>
                    <w:rPr>
                      <w:color w:val="000000" w:themeColor="text1"/>
                    </w:rPr>
                    <w:t>Flowchart of the pro</w:t>
                  </w:r>
                  <w:r>
                    <w:t>posed method.</w:t>
                  </w:r>
                </w:p>
              </w:txbxContent>
            </v:textbox>
            <w10:wrap type="square"/>
          </v:shape>
        </w:pict>
      </w:r>
      <w:r>
        <w:rPr>
          <w:rFonts w:hint="eastAsia"/>
          <w:color w:val="000000" w:themeColor="text1"/>
        </w:rPr>
        <w:t>T</w:t>
      </w:r>
      <w:r>
        <w:rPr>
          <w:color w:val="000000" w:themeColor="text1"/>
        </w:rPr>
        <w:t xml:space="preserve">he western Han River Basin is characterized by mountainous terrain, with forest covers closely tied to the distribution of topography. Therefore, SRTM DEM and Slope were employed as covariates to provide terrain information. Additionally, the 8-day MODIS land surface temperature (LST) product and evapotranspiration (ET) product were used to provide climate information, in which the </w:t>
      </w:r>
      <w:r>
        <w:rPr>
          <w:rFonts w:hint="eastAsia"/>
          <w:color w:val="000000" w:themeColor="text1"/>
        </w:rPr>
        <w:t>year</w:t>
      </w:r>
      <w:r>
        <w:rPr>
          <w:color w:val="000000" w:themeColor="text1"/>
        </w:rPr>
        <w:t>ly mean images of 46 MODIS LST and ET for each year from 2015 to 2020 were employed as covariates.</w:t>
      </w:r>
    </w:p>
    <w:p w14:paraId="4DF7A461">
      <w:pPr>
        <w:ind w:firstLine="400" w:firstLineChars="200"/>
        <w:jc w:val="both"/>
        <w:rPr>
          <w:color w:val="000000" w:themeColor="text1"/>
          <w:lang w:eastAsia="zh-CN"/>
        </w:rPr>
      </w:pPr>
      <w:r>
        <w:rPr>
          <w:color w:val="000000" w:themeColor="text1"/>
        </w:rPr>
        <w:t xml:space="preserve">The 1 km spatial resolution GEDI L4B AGBD (version 2) product was used in this study. It was generated from the 25 m GEDI LiDAR grids collected from April 2019 to August 2021, alongside additional field inventory data. As depicted in Fig. 2(a), numerous gaps </w:t>
      </w:r>
      <w:r>
        <w:rPr>
          <w:rFonts w:hint="eastAsia"/>
          <w:color w:val="000000" w:themeColor="text1"/>
        </w:rPr>
        <w:t>are</w:t>
      </w:r>
      <w:r>
        <w:rPr>
          <w:color w:val="000000" w:themeColor="text1"/>
        </w:rPr>
        <w:t xml:space="preserve"> evident in the GEDI AGBD grids. The standard error, represented as uncertainty in Fig. 2(b), from the mean aboveground biomass density in the GEDI L4B AGBD grids product was also used here for high-quality data selection and predicting uncertainty. In the GEDI AGBD and standard error grids maps, we randomly selected 8000 sample pixels for use as training data in the subsequent machine learning and deep learning regression models and an additional 2000 sample pixels were designated as validation data, in which the ratio of training to validation samples was maintained at 1:4. Table </w: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2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II</w:t>
      </w:r>
      <w:r>
        <w:rPr>
          <w:color w:val="000000" w:themeColor="text1"/>
        </w:rPr>
        <w:fldChar w:fldCharType="end"/>
      </w:r>
      <w:r>
        <w:rPr>
          <w:color w:val="000000" w:themeColor="text1"/>
        </w:rPr>
        <w:t xml:space="preserve"> provides a summary of all </w:t>
      </w:r>
      <w:r>
        <w:rPr>
          <w:rFonts w:hint="eastAsia"/>
          <w:color w:val="000000" w:themeColor="text1"/>
          <w:lang w:eastAsia="zh-CN"/>
        </w:rPr>
        <w:t xml:space="preserve">satellite </w:t>
      </w:r>
      <w:r>
        <w:rPr>
          <w:color w:val="000000" w:themeColor="text1"/>
        </w:rPr>
        <w:t>sensors and the corresponding extracted data used as covariates, along with details on spatial and temporal resolution.</w:t>
      </w:r>
      <w:r>
        <w:rPr>
          <w:rFonts w:hint="eastAsia"/>
          <w:color w:val="000000" w:themeColor="text1"/>
          <w:lang w:eastAsia="zh-CN"/>
        </w:rPr>
        <w:t xml:space="preserve"> </w:t>
      </w:r>
    </w:p>
    <w:p w14:paraId="306A0BC2">
      <w:pPr>
        <w:ind w:firstLine="400" w:firstLineChars="200"/>
        <w:jc w:val="both"/>
        <w:rPr>
          <w:color w:val="000000" w:themeColor="text1"/>
          <w:lang w:eastAsia="zh-CN"/>
        </w:rPr>
      </w:pPr>
      <w:r>
        <w:rPr>
          <w:color w:val="000000" w:themeColor="text1"/>
          <w:lang w:eastAsia="zh-CN"/>
        </w:rPr>
        <w:t xml:space="preserve">A correlation coefficient map (Fig. </w:t>
      </w:r>
      <w:r>
        <w:rPr>
          <w:rFonts w:hint="eastAsia"/>
          <w:color w:val="000000" w:themeColor="text1"/>
          <w:lang w:eastAsia="zh-CN"/>
        </w:rPr>
        <w:t>3</w:t>
      </w:r>
      <w:r>
        <w:rPr>
          <w:color w:val="000000" w:themeColor="text1"/>
          <w:lang w:eastAsia="zh-CN"/>
        </w:rPr>
        <w:t xml:space="preserve">) was generated to illustrate the relationships among the 15 covariates </w:t>
      </w:r>
      <w:r>
        <w:rPr>
          <w:rFonts w:hint="eastAsia"/>
          <w:color w:val="000000" w:themeColor="text1"/>
          <w:lang w:eastAsia="zh-CN"/>
        </w:rPr>
        <w:t xml:space="preserve">and GEDI AGBD </w:t>
      </w:r>
      <w:r>
        <w:rPr>
          <w:color w:val="000000" w:themeColor="text1"/>
          <w:lang w:eastAsia="zh-CN"/>
        </w:rPr>
        <w:t xml:space="preserve">(Table II) used in the </w:t>
      </w:r>
      <w:r>
        <w:rPr>
          <w:rFonts w:hint="eastAsia"/>
          <w:color w:val="000000" w:themeColor="text1"/>
          <w:lang w:eastAsia="zh-CN"/>
        </w:rPr>
        <w:t>following</w:t>
      </w:r>
      <w:r>
        <w:rPr>
          <w:color w:val="000000" w:themeColor="text1"/>
          <w:lang w:eastAsia="zh-CN"/>
        </w:rPr>
        <w:t xml:space="preserve"> machine learning and deep learning regression models. When assessing correlations between the covariates and the dependent variable (GEDI AGBD), MODIS VCF shows the strongest positive correlation (0.84), followed by Slope (0.81) and DEM (0.80). Interestingly, AGBD exhibits negative correlations with HH/HV (–0.73) and LST (–0.83), likely because forests with high AGBD tend to have lower HH/HV and LST values compared to non-forest areas. Overall, a clear relationship between GEDI AGBD and the input variables is observed in Fig. 3, with all correlation coefficients exceeding 0.15 and </w:t>
      </w:r>
      <w:r>
        <w:rPr>
          <w:rFonts w:hint="eastAsia"/>
          <w:color w:val="000000" w:themeColor="text1"/>
          <w:lang w:eastAsia="zh-CN"/>
        </w:rPr>
        <w:t xml:space="preserve">most of them </w:t>
      </w:r>
      <w:r>
        <w:rPr>
          <w:color w:val="000000" w:themeColor="text1"/>
          <w:lang w:eastAsia="zh-CN"/>
        </w:rPr>
        <w:t>greater than 0.5.</w:t>
      </w:r>
      <w:r>
        <w:rPr>
          <w:rFonts w:hint="eastAsia"/>
          <w:color w:val="000000" w:themeColor="text1"/>
          <w:lang w:eastAsia="zh-CN"/>
        </w:rPr>
        <w:t xml:space="preserve"> </w:t>
      </w:r>
      <w:r>
        <w:rPr>
          <w:color w:val="000000" w:themeColor="text1"/>
          <w:lang w:eastAsia="zh-CN"/>
        </w:rPr>
        <w:t>Among the covariates, the strongest positive inter-correlation (0.91) occurs between HV and HH, while the strongest negative correlation (–0.93) is found between LST and DEM, indicating a robust inverse relationship. Each covariate contributes unique information and cannot be substituted by others.</w:t>
      </w:r>
      <w:r>
        <w:rPr>
          <w:rFonts w:hint="eastAsia"/>
          <w:color w:val="000000" w:themeColor="text1"/>
          <w:lang w:eastAsia="zh-CN"/>
        </w:rPr>
        <w:t xml:space="preserve"> </w:t>
      </w:r>
    </w:p>
    <w:p w14:paraId="7741253F">
      <w:pPr>
        <w:pStyle w:val="72"/>
        <w:rPr>
          <w:color w:val="000000" w:themeColor="text1"/>
        </w:rPr>
      </w:pPr>
      <w:r>
        <w:rPr>
          <w:color w:val="000000" w:themeColor="text1"/>
        </w:rPr>
        <w:fldChar w:fldCharType="begin"/>
      </w:r>
      <w:r>
        <w:rPr>
          <w:color w:val="000000" w:themeColor="text1"/>
          <w:lang w:eastAsia="zh-CN"/>
        </w:rPr>
        <w:instrText xml:space="preserve"> = 3 \* ROMAN </w:instrText>
      </w:r>
      <w:r>
        <w:rPr>
          <w:color w:val="000000" w:themeColor="text1"/>
        </w:rPr>
        <w:fldChar w:fldCharType="separate"/>
      </w:r>
      <w:r>
        <w:rPr>
          <w:color w:val="000000" w:themeColor="text1"/>
          <w:lang w:eastAsia="zh-CN"/>
        </w:rPr>
        <w:t>III</w:t>
      </w:r>
      <w:r>
        <w:rPr>
          <w:color w:val="000000" w:themeColor="text1"/>
        </w:rPr>
        <w:fldChar w:fldCharType="end"/>
      </w:r>
      <w:r>
        <w:rPr>
          <w:color w:val="000000" w:themeColor="text1"/>
        </w:rPr>
        <w:t>. Methodology</w:t>
      </w:r>
    </w:p>
    <w:p w14:paraId="193EE670">
      <w:pPr>
        <w:ind w:firstLine="400" w:firstLineChars="200"/>
        <w:jc w:val="both"/>
        <w:rPr>
          <w:color w:val="000000" w:themeColor="text1"/>
          <w:lang w:eastAsia="zh-CN"/>
        </w:rPr>
      </w:pPr>
      <w:r>
        <w:rPr>
          <w:rFonts w:hint="eastAsia"/>
          <w:color w:val="000000" w:themeColor="text1"/>
          <w:lang w:eastAsia="zh-CN"/>
        </w:rPr>
        <w:t>W</w:t>
      </w:r>
      <w:r>
        <w:rPr>
          <w:color w:val="000000" w:themeColor="text1"/>
        </w:rPr>
        <w:t xml:space="preserve">ith the training samples extracted from GEDI AGBD and standard error grids, we developed a method based on machine learning and deep learning regression models to estimate spatio-temporally continuous GEDI AGBD and its associated uncertainty using PALSAR-2, MODIS and topography and climate data throughout the period from 2015 to 2020. According to Table </w:t>
      </w:r>
      <w:r>
        <w:rPr>
          <w:color w:val="000000" w:themeColor="text1"/>
        </w:rPr>
        <w:fldChar w:fldCharType="begin"/>
      </w:r>
      <w:r>
        <w:rPr>
          <w:color w:val="000000" w:themeColor="text1"/>
          <w:lang w:eastAsia="zh-CN"/>
        </w:rPr>
        <w:instrText xml:space="preserve"> = 2 \* ROMAN </w:instrText>
      </w:r>
      <w:r>
        <w:rPr>
          <w:color w:val="000000" w:themeColor="text1"/>
        </w:rPr>
        <w:fldChar w:fldCharType="separate"/>
      </w:r>
      <w:r>
        <w:rPr>
          <w:color w:val="000000" w:themeColor="text1"/>
          <w:lang w:eastAsia="zh-CN"/>
        </w:rPr>
        <w:t>II</w:t>
      </w:r>
      <w:r>
        <w:rPr>
          <w:color w:val="000000" w:themeColor="text1"/>
        </w:rPr>
        <w:fldChar w:fldCharType="end"/>
      </w:r>
      <w:r>
        <w:rPr>
          <w:color w:val="000000" w:themeColor="text1"/>
        </w:rPr>
        <w:t xml:space="preserve">, the training and prediction processes in the regression models encompassed a total of 15 covariates: four PALSAR-2 polarizations (HH, HV, HH-HV, and HH/HV), seven MODIS indies (NDVI, EVI, VCF, NPP, GPP, GPP, LAI, LAI, and FPAR), and four topography and climate data (DEM, Slope, LS and ET). The GEDI AGBD grids were employed as the dependent variable, representing the variable that we aimed to estimate. The 8000 GEDI AGBD training samples and 2000 validation samples from the year 2020 were utilized for machine learning and deep learning regression models to estimate a spatial continuous GEDI AGBD map in 2020. However, it is worth noting that training and validation samples are not accessible for the years from 2015 to 2019. To address this, we developed a method (as illustrated in Fig. </w:t>
      </w:r>
      <w:r>
        <w:rPr>
          <w:rFonts w:hint="eastAsia"/>
          <w:color w:val="000000" w:themeColor="text1"/>
          <w:lang w:eastAsia="zh-CN"/>
        </w:rPr>
        <w:t>4</w:t>
      </w:r>
      <w:r>
        <w:rPr>
          <w:color w:val="000000" w:themeColor="text1"/>
        </w:rPr>
        <w:t>) for estimating spatio-temporal GEDI AGBD maps from 2015 to 2020.</w:t>
      </w:r>
      <w:r>
        <w:rPr>
          <w:rFonts w:hint="eastAsia"/>
          <w:color w:val="000000" w:themeColor="text1"/>
          <w:lang w:eastAsia="zh-CN"/>
        </w:rPr>
        <w:t xml:space="preserve"> </w:t>
      </w:r>
    </w:p>
    <w:p w14:paraId="1D1B169B">
      <w:pPr>
        <w:pStyle w:val="3"/>
        <w:numPr>
          <w:ilvl w:val="1"/>
          <w:numId w:val="5"/>
        </w:numPr>
        <w:jc w:val="both"/>
        <w:rPr>
          <w:color w:val="000000" w:themeColor="text1"/>
        </w:rPr>
      </w:pPr>
      <w:r>
        <w:rPr>
          <w:color w:val="000000" w:themeColor="text1"/>
        </w:rPr>
        <w:t xml:space="preserve"> Change detection of GEDI AGBD samples</w:t>
      </w:r>
    </w:p>
    <w:p w14:paraId="333EE976">
      <w:pPr>
        <w:jc w:val="both"/>
        <w:rPr>
          <w:color w:val="000000" w:themeColor="text1"/>
        </w:rPr>
      </w:pPr>
      <w:bookmarkStart w:id="10" w:name="_Hlk211783345"/>
      <w:r>
        <w:rPr>
          <w:color w:val="000000" w:themeColor="text1"/>
        </w:rPr>
        <w:t>The tree canopy cover data in MODIS VCF showed a strong correlation with the aboveground biomass of various forest types, including primary and secondary forests</w:t>
      </w:r>
      <w:bookmarkEnd w:id="10"/>
      <w:r>
        <w:rPr>
          <w:color w:val="000000" w:themeColor="text1"/>
        </w:rPr>
        <w:t xml:space="preserve"> </w:t>
      </w:r>
      <w:r>
        <w:rPr>
          <w:color w:val="000000" w:themeColor="text1"/>
        </w:rPr>
        <w:fldChar w:fldCharType="begin"/>
      </w:r>
      <w:r>
        <w:rPr>
          <w:color w:val="000000" w:themeColor="text1"/>
        </w:rPr>
        <w:instrText xml:space="preserve"> ADDIN EN.CITE &lt;EndNote&gt;&lt;Cite&gt;&lt;Author&gt;Anaya&lt;/Author&gt;&lt;Year&gt;2009&lt;/Year&gt;&lt;RecNum&gt;213&lt;/RecNum&gt;&lt;DisplayText&gt;[27]&lt;/DisplayText&gt;&lt;record&gt;&lt;rec-number&gt;213&lt;/rec-number&gt;&lt;foreign-keys&gt;&lt;key app="EN" db-id="pv902f0emrpxwae0aecvvpapa20ep02dp9fp" timestamp="1667316654"&gt;213&lt;/key&gt;&lt;/foreign-keys&gt;&lt;ref-type name="Journal Article"&gt;17&lt;/ref-type&gt;&lt;contributors&gt;&lt;authors&gt;&lt;author&gt;Anaya, Jesús A.&lt;/author&gt;&lt;author&gt;Chuvieco, Emilio&lt;/author&gt;&lt;author&gt;Palacios-Orueta, Alicia&lt;/author&gt;&lt;/authors&gt;&lt;/contributors&gt;&lt;titles&gt;&lt;title&gt;Aboveground biomass assessment in Colombia: A remote sensing approach&lt;/title&gt;&lt;secondary-title&gt;Forest Ecology and Management&lt;/secondary-title&gt;&lt;/titles&gt;&lt;periodical&gt;&lt;full-title&gt;Forest Ecology and Management&lt;/full-title&gt;&lt;abbr-1&gt;For. Ecol. Manage.&lt;/abbr-1&gt;&lt;/periodical&gt;&lt;pages&gt;1237-1246&lt;/pages&gt;&lt;volume&gt;257&lt;/volume&gt;&lt;number&gt;4&lt;/number&gt;&lt;keywords&gt;&lt;keyword&gt;Biomass&lt;/keyword&gt;&lt;keyword&gt;Tropics&lt;/keyword&gt;&lt;keyword&gt;MODIS&lt;/keyword&gt;&lt;keyword&gt;VCF&lt;/keyword&gt;&lt;keyword&gt;EVI&lt;/keyword&gt;&lt;/keywords&gt;&lt;dates&gt;&lt;year&gt;2009&lt;/year&gt;&lt;pub-dates&gt;&lt;date&gt;2009/02/20/&lt;/date&gt;&lt;/pub-dates&gt;&lt;/dates&gt;&lt;isbn&gt;0378-1127&lt;/isbn&gt;&lt;urls&gt;&lt;related-urls&gt;&lt;url&gt;https://www.sciencedirect.com/science/article/pii/S0378112708008426&lt;/url&gt;&lt;/related-urls&gt;&lt;/urls&gt;&lt;electronic-resource-num&gt;https://doi.org/10.1016/j.foreco.2008.11.016&lt;/electronic-resource-num&gt;&lt;/record&gt;&lt;/Cite&gt;&lt;/EndNote&gt;</w:instrText>
      </w:r>
      <w:r>
        <w:rPr>
          <w:color w:val="000000" w:themeColor="text1"/>
        </w:rPr>
        <w:fldChar w:fldCharType="separate"/>
      </w:r>
      <w:r>
        <w:rPr>
          <w:color w:val="000000" w:themeColor="text1"/>
        </w:rPr>
        <w:t>[27]</w:t>
      </w:r>
      <w:r>
        <w:rPr>
          <w:color w:val="000000" w:themeColor="text1"/>
        </w:rPr>
        <w:fldChar w:fldCharType="end"/>
      </w:r>
      <w:r>
        <w:rPr>
          <w:color w:val="000000" w:themeColor="text1"/>
        </w:rPr>
        <w:t>. In this research, we also observed a significant association between AGBD derived from the GEDI AGBD grids and the MODIS VCF in the Han River Basin, indicated by a coefficient of determination (</w:t>
      </w:r>
      <w:r>
        <w:rPr>
          <w:i/>
          <w:iCs/>
          <w:color w:val="000000" w:themeColor="text1"/>
        </w:rPr>
        <w:t>R</w:t>
      </w:r>
      <w:r>
        <w:rPr>
          <w:color w:val="000000" w:themeColor="text1"/>
          <w:vertAlign w:val="superscript"/>
        </w:rPr>
        <w:t>2</w:t>
      </w:r>
      <w:r>
        <w:rPr>
          <w:color w:val="000000" w:themeColor="text1"/>
        </w:rPr>
        <w:t>) of 0.70 (</w:t>
      </w:r>
      <w:r>
        <w:rPr>
          <w:i/>
          <w:iCs/>
          <w:color w:val="000000" w:themeColor="text1"/>
        </w:rPr>
        <w:t xml:space="preserve">p </w:t>
      </w:r>
      <w:r>
        <w:rPr>
          <w:color w:val="000000" w:themeColor="text1"/>
        </w:rPr>
        <w:t xml:space="preserve">&lt; 0.001) as shown in Fig. </w:t>
      </w:r>
      <w:r>
        <w:rPr>
          <w:rFonts w:hint="eastAsia"/>
          <w:color w:val="000000" w:themeColor="text1"/>
          <w:lang w:eastAsia="zh-CN"/>
        </w:rPr>
        <w:t>5</w:t>
      </w:r>
      <w:r>
        <w:rPr>
          <w:color w:val="000000" w:themeColor="text1"/>
        </w:rPr>
        <w:t xml:space="preserve">. </w:t>
      </w:r>
    </w:p>
    <w:p w14:paraId="0F8F33B4">
      <w:pPr>
        <w:ind w:firstLine="400" w:firstLineChars="200"/>
        <w:jc w:val="both"/>
        <w:rPr>
          <w:color w:val="000000" w:themeColor="text1"/>
        </w:rPr>
      </w:pPr>
      <w:bookmarkStart w:id="11" w:name="_Hlk211783373"/>
      <w:r>
        <w:rPr>
          <w:color w:val="000000" w:themeColor="text1"/>
        </w:rPr>
        <w:t xml:space="preserve">The tree canopy cover data from MODIS VCF at various time pints served as an indicator to select unchanged GEDI AGBD samples from 2015 to 2019. </w:t>
      </w:r>
      <w:bookmarkEnd w:id="11"/>
      <w:r>
        <w:rPr>
          <w:color w:val="000000" w:themeColor="text1"/>
        </w:rPr>
        <w:t xml:space="preserve">Each of the GEDI AGBD samples from 2020 corresponds to a pixel </w:t>
      </w:r>
      <w:r>
        <w:rPr>
          <w:i/>
          <w:iCs/>
          <w:color w:val="000000" w:themeColor="text1"/>
        </w:rPr>
        <w:t>x</w:t>
      </w:r>
      <w:r>
        <w:rPr>
          <w:color w:val="000000" w:themeColor="text1"/>
          <w:vertAlign w:val="subscript"/>
        </w:rPr>
        <w:t>2020</w:t>
      </w:r>
      <w:r>
        <w:rPr>
          <w:color w:val="000000" w:themeColor="text1"/>
        </w:rPr>
        <w:t xml:space="preserve"> in the MODIS VCF image in 2020 and a pixel </w:t>
      </w:r>
      <w:r>
        <w:rPr>
          <w:i/>
          <w:iCs/>
          <w:color w:val="000000" w:themeColor="text1"/>
        </w:rPr>
        <w:t>x</w:t>
      </w:r>
      <w:r>
        <w:rPr>
          <w:color w:val="000000" w:themeColor="text1"/>
          <w:vertAlign w:val="subscript"/>
        </w:rPr>
        <w:t>i</w:t>
      </w:r>
      <w:r>
        <w:rPr>
          <w:color w:val="000000" w:themeColor="text1"/>
        </w:rPr>
        <w:t xml:space="preserve"> in the MODIS VCF image for a specific year during 2015-2020. Rather than directly utilizing individual VCF pixels at two different time points to identify unchanged samples, we </w:t>
      </w:r>
      <w:bookmarkStart w:id="12" w:name="_Hlk211783406"/>
      <w:r>
        <w:rPr>
          <w:color w:val="000000" w:themeColor="text1"/>
        </w:rPr>
        <w:t xml:space="preserve">employed a neighborhood system centered on pixels </w:t>
      </w:r>
      <w:r>
        <w:rPr>
          <w:i/>
          <w:iCs/>
          <w:color w:val="000000" w:themeColor="text1"/>
        </w:rPr>
        <w:t>x</w:t>
      </w:r>
      <w:r>
        <w:rPr>
          <w:color w:val="000000" w:themeColor="text1"/>
          <w:vertAlign w:val="subscript"/>
        </w:rPr>
        <w:t>i</w:t>
      </w:r>
      <w:r>
        <w:rPr>
          <w:color w:val="000000" w:themeColor="text1"/>
        </w:rPr>
        <w:t xml:space="preserve">(2020) and </w:t>
      </w:r>
      <w:r>
        <w:rPr>
          <w:i/>
          <w:iCs/>
          <w:color w:val="000000" w:themeColor="text1"/>
        </w:rPr>
        <w:t>x</w:t>
      </w:r>
      <w:r>
        <w:rPr>
          <w:color w:val="000000" w:themeColor="text1"/>
          <w:vertAlign w:val="subscript"/>
        </w:rPr>
        <w:t>i</w:t>
      </w:r>
      <w:r>
        <w:rPr>
          <w:color w:val="000000" w:themeColor="text1"/>
        </w:rPr>
        <w:t>(</w:t>
      </w:r>
      <w:r>
        <w:rPr>
          <w:i/>
          <w:iCs/>
          <w:color w:val="000000" w:themeColor="text1"/>
        </w:rPr>
        <w:t>t</w:t>
      </w:r>
      <w:r>
        <w:rPr>
          <w:color w:val="000000" w:themeColor="text1"/>
        </w:rPr>
        <w:t>) to offer more robust and reliable information regarding VCF change.</w:t>
      </w:r>
      <w:bookmarkEnd w:id="12"/>
      <w:r>
        <w:rPr>
          <w:color w:val="000000" w:themeColor="text1"/>
        </w:rPr>
        <w:t xml:space="preserve"> The neighborhood system is composed of </w:t>
      </w:r>
      <w:r>
        <w:rPr>
          <w:i/>
          <w:iCs/>
          <w:color w:val="000000" w:themeColor="text1"/>
        </w:rPr>
        <w:t xml:space="preserve">w </w:t>
      </w:r>
      <w:r>
        <w:rPr>
          <w:color w:val="000000" w:themeColor="text1"/>
        </w:rPr>
        <w:t xml:space="preserve">× </w:t>
      </w:r>
      <w:r>
        <w:rPr>
          <w:i/>
          <w:iCs/>
          <w:color w:val="000000" w:themeColor="text1"/>
        </w:rPr>
        <w:t>w</w:t>
      </w:r>
      <w:r>
        <w:rPr>
          <w:color w:val="000000" w:themeColor="text1"/>
        </w:rPr>
        <w:t xml:space="preserve"> pixels centered at pixel </w:t>
      </w:r>
      <w:r>
        <w:rPr>
          <w:i/>
          <w:iCs/>
          <w:color w:val="000000" w:themeColor="text1"/>
        </w:rPr>
        <w:t>x</w:t>
      </w:r>
      <w:r>
        <w:rPr>
          <w:color w:val="000000" w:themeColor="text1"/>
          <w:vertAlign w:val="subscript"/>
        </w:rPr>
        <w:t>i</w:t>
      </w:r>
      <w:r>
        <w:rPr>
          <w:color w:val="000000" w:themeColor="text1"/>
        </w:rPr>
        <w:t>(</w:t>
      </w:r>
      <w:r>
        <w:rPr>
          <w:i/>
          <w:iCs/>
          <w:color w:val="000000" w:themeColor="text1"/>
        </w:rPr>
        <w:t>t</w:t>
      </w:r>
      <w:r>
        <w:rPr>
          <w:color w:val="000000" w:themeColor="text1"/>
        </w:rPr>
        <w:t xml:space="preserve">). The choice of unchanged GEDI AGBD samples at year </w:t>
      </w:r>
      <w:r>
        <w:rPr>
          <w:i/>
          <w:iCs/>
          <w:color w:val="000000" w:themeColor="text1"/>
        </w:rPr>
        <w:t>t</w:t>
      </w:r>
      <w:r>
        <w:rPr>
          <w:color w:val="000000" w:themeColor="text1"/>
        </w:rPr>
        <w:t xml:space="preserve"> is then expressed as (Equation 2 and Equation 3).</w:t>
      </w:r>
    </w:p>
    <w:p w14:paraId="03BF4015">
      <w:pPr>
        <w:jc w:val="both"/>
        <w:rPr>
          <w:iCs/>
          <w:color w:val="000000" w:themeColor="text1"/>
          <w:sz w:val="18"/>
          <w:szCs w:val="18"/>
        </w:rPr>
      </w:pPr>
      <m:oMath>
        <m:r>
          <m:rPr/>
          <w:rPr>
            <w:rFonts w:ascii="Cambria Math" w:hAnsi="Cambria Math"/>
            <w:color w:val="000000" w:themeColor="text1"/>
            <w:sz w:val="18"/>
            <w:szCs w:val="18"/>
          </w:rPr>
          <m:t>Sample</m:t>
        </m:r>
        <m:d>
          <m:dPr>
            <m:ctrlPr>
              <w:rPr>
                <w:rFonts w:ascii="Cambria Math" w:hAnsi="Cambria Math"/>
                <w:i/>
                <w:color w:val="000000" w:themeColor="text1"/>
                <w:sz w:val="18"/>
                <w:szCs w:val="18"/>
              </w:rPr>
            </m:ctrlPr>
          </m:dPr>
          <m:e>
            <m:sSub>
              <m:sSubPr>
                <m:ctrlPr>
                  <w:rPr>
                    <w:rFonts w:ascii="Cambria Math" w:hAnsi="Cambria Math"/>
                    <w:i/>
                    <w:color w:val="000000" w:themeColor="text1"/>
                    <w:sz w:val="18"/>
                    <w:szCs w:val="18"/>
                  </w:rPr>
                </m:ctrlPr>
              </m:sSubPr>
              <m:e>
                <m:r>
                  <m:rPr/>
                  <w:rPr>
                    <w:rFonts w:ascii="Cambria Math" w:hAnsi="Cambria Math"/>
                    <w:color w:val="000000" w:themeColor="text1"/>
                    <w:sz w:val="18"/>
                    <w:szCs w:val="18"/>
                  </w:rPr>
                  <m:t>x</m:t>
                </m:r>
                <m:ctrlPr>
                  <w:rPr>
                    <w:rFonts w:ascii="Cambria Math" w:hAnsi="Cambria Math"/>
                    <w:i/>
                    <w:color w:val="000000" w:themeColor="text1"/>
                    <w:sz w:val="18"/>
                    <w:szCs w:val="18"/>
                  </w:rPr>
                </m:ctrlPr>
              </m:e>
              <m:sub>
                <m:r>
                  <m:rPr/>
                  <w:rPr>
                    <w:rFonts w:ascii="Cambria Math" w:hAnsi="Cambria Math"/>
                    <w:color w:val="000000" w:themeColor="text1"/>
                    <w:sz w:val="18"/>
                    <w:szCs w:val="18"/>
                  </w:rPr>
                  <m:t>i</m:t>
                </m:r>
                <m:ctrlPr>
                  <w:rPr>
                    <w:rFonts w:ascii="Cambria Math" w:hAnsi="Cambria Math"/>
                    <w:i/>
                    <w:color w:val="000000" w:themeColor="text1"/>
                    <w:sz w:val="18"/>
                    <w:szCs w:val="18"/>
                  </w:rPr>
                </m:ctrlPr>
              </m:sub>
            </m:sSub>
            <m:d>
              <m:dPr>
                <m:ctrlPr>
                  <w:rPr>
                    <w:rFonts w:ascii="Cambria Math" w:hAnsi="Cambria Math"/>
                    <w:i/>
                    <w:color w:val="000000" w:themeColor="text1"/>
                    <w:sz w:val="18"/>
                    <w:szCs w:val="18"/>
                  </w:rPr>
                </m:ctrlPr>
              </m:dPr>
              <m:e>
                <m:r>
                  <m:rPr/>
                  <w:rPr>
                    <w:rFonts w:ascii="Cambria Math" w:hAnsi="Cambria Math"/>
                    <w:color w:val="000000" w:themeColor="text1"/>
                    <w:sz w:val="18"/>
                    <w:szCs w:val="18"/>
                  </w:rPr>
                  <m:t>t</m:t>
                </m:r>
                <m:ctrlPr>
                  <w:rPr>
                    <w:rFonts w:ascii="Cambria Math" w:hAnsi="Cambria Math"/>
                    <w:i/>
                    <w:color w:val="000000" w:themeColor="text1"/>
                    <w:sz w:val="18"/>
                    <w:szCs w:val="18"/>
                  </w:rPr>
                </m:ctrlPr>
              </m:e>
            </m:d>
            <m:ctrlPr>
              <w:rPr>
                <w:rFonts w:ascii="Cambria Math" w:hAnsi="Cambria Math"/>
                <w:i/>
                <w:color w:val="000000" w:themeColor="text1"/>
                <w:sz w:val="18"/>
                <w:szCs w:val="18"/>
              </w:rPr>
            </m:ctrlPr>
          </m:e>
        </m:d>
        <m:r>
          <m:rPr/>
          <w:rPr>
            <w:rFonts w:ascii="Cambria Math" w:hAnsi="Cambria Math"/>
            <w:color w:val="000000" w:themeColor="text1"/>
            <w:sz w:val="18"/>
            <w:szCs w:val="18"/>
          </w:rPr>
          <m:t>=</m:t>
        </m:r>
        <m:d>
          <m:dPr>
            <m:begChr m:val="{"/>
            <m:endChr m:val=""/>
            <m:ctrlPr>
              <w:rPr>
                <w:rFonts w:ascii="Cambria Math" w:hAnsi="Cambria Math"/>
                <w:i/>
                <w:color w:val="000000" w:themeColor="text1"/>
                <w:sz w:val="18"/>
                <w:szCs w:val="18"/>
              </w:rPr>
            </m:ctrlPr>
          </m:dPr>
          <m:e>
            <m:eqArr>
              <m:eqArrPr>
                <m:ctrlPr>
                  <w:rPr>
                    <w:rFonts w:ascii="Cambria Math" w:hAnsi="Cambria Math"/>
                    <w:i/>
                    <w:color w:val="000000" w:themeColor="text1"/>
                    <w:sz w:val="18"/>
                    <w:szCs w:val="18"/>
                  </w:rPr>
                </m:ctrlPr>
              </m:eqArrPr>
              <m:e>
                <m:r>
                  <m:rPr/>
                  <w:rPr>
                    <w:rFonts w:ascii="Cambria Math" w:hAnsi="Cambria Math"/>
                    <w:color w:val="000000" w:themeColor="text1"/>
                    <w:sz w:val="18"/>
                    <w:szCs w:val="18"/>
                  </w:rPr>
                  <m:t>Sample(</m:t>
                </m:r>
                <m:sSub>
                  <m:sSubPr>
                    <m:ctrlPr>
                      <w:rPr>
                        <w:rFonts w:ascii="Cambria Math" w:hAnsi="Cambria Math"/>
                        <w:i/>
                        <w:color w:val="000000" w:themeColor="text1"/>
                        <w:sz w:val="18"/>
                        <w:szCs w:val="18"/>
                      </w:rPr>
                    </m:ctrlPr>
                  </m:sSubPr>
                  <m:e>
                    <m:r>
                      <m:rPr/>
                      <w:rPr>
                        <w:rFonts w:ascii="Cambria Math" w:hAnsi="Cambria Math"/>
                        <w:color w:val="000000" w:themeColor="text1"/>
                        <w:sz w:val="18"/>
                        <w:szCs w:val="18"/>
                      </w:rPr>
                      <m:t>x</m:t>
                    </m:r>
                    <m:ctrlPr>
                      <w:rPr>
                        <w:rFonts w:ascii="Cambria Math" w:hAnsi="Cambria Math"/>
                        <w:i/>
                        <w:color w:val="000000" w:themeColor="text1"/>
                        <w:sz w:val="18"/>
                        <w:szCs w:val="18"/>
                      </w:rPr>
                    </m:ctrlPr>
                  </m:e>
                  <m:sub>
                    <m:r>
                      <m:rPr/>
                      <w:rPr>
                        <w:rFonts w:ascii="Cambria Math" w:hAnsi="Cambria Math"/>
                        <w:color w:val="000000" w:themeColor="text1"/>
                        <w:sz w:val="18"/>
                        <w:szCs w:val="18"/>
                      </w:rPr>
                      <m:t>i</m:t>
                    </m:r>
                    <m:ctrlPr>
                      <w:rPr>
                        <w:rFonts w:ascii="Cambria Math" w:hAnsi="Cambria Math"/>
                        <w:i/>
                        <w:color w:val="000000" w:themeColor="text1"/>
                        <w:sz w:val="18"/>
                        <w:szCs w:val="18"/>
                      </w:rPr>
                    </m:ctrlPr>
                  </m:sub>
                </m:sSub>
                <m:r>
                  <m:rPr/>
                  <w:rPr>
                    <w:rFonts w:ascii="Cambria Math" w:hAnsi="Cambria Math"/>
                    <w:color w:val="000000" w:themeColor="text1"/>
                    <w:sz w:val="18"/>
                    <w:szCs w:val="18"/>
                  </w:rPr>
                  <m:t xml:space="preserve">(2020)),     if </m:t>
                </m:r>
                <m:d>
                  <m:dPr>
                    <m:begChr m:val="|"/>
                    <m:endChr m:val="|"/>
                    <m:ctrlPr>
                      <w:rPr>
                        <w:rFonts w:ascii="Cambria Math" w:hAnsi="Cambria Math"/>
                        <w:i/>
                        <w:color w:val="000000" w:themeColor="text1"/>
                        <w:sz w:val="18"/>
                        <w:szCs w:val="18"/>
                      </w:rPr>
                    </m:ctrlPr>
                  </m:dPr>
                  <m:e>
                    <m:sSubSup>
                      <m:sSubSupPr>
                        <m:ctrlPr>
                          <w:rPr>
                            <w:rFonts w:ascii="Cambria Math" w:hAnsi="Cambria Math"/>
                            <w:i/>
                            <w:color w:val="000000" w:themeColor="text1"/>
                            <w:sz w:val="18"/>
                            <w:szCs w:val="18"/>
                          </w:rPr>
                        </m:ctrlPr>
                      </m:sSubSupPr>
                      <m:e>
                        <m:r>
                          <m:rPr/>
                          <w:rPr>
                            <w:rFonts w:ascii="Cambria Math" w:hAnsi="Cambria Math"/>
                            <w:color w:val="000000" w:themeColor="text1"/>
                            <w:sz w:val="18"/>
                            <w:szCs w:val="18"/>
                          </w:rPr>
                          <m:t>VCF</m:t>
                        </m:r>
                        <m:ctrlPr>
                          <w:rPr>
                            <w:rFonts w:ascii="Cambria Math" w:hAnsi="Cambria Math"/>
                            <w:i/>
                            <w:color w:val="000000" w:themeColor="text1"/>
                            <w:sz w:val="18"/>
                            <w:szCs w:val="18"/>
                          </w:rPr>
                        </m:ctrlPr>
                      </m:e>
                      <m:sub>
                        <m:sSub>
                          <m:sSubPr>
                            <m:ctrlPr>
                              <w:rPr>
                                <w:rFonts w:ascii="Cambria Math" w:hAnsi="Cambria Math"/>
                                <w:i/>
                                <w:color w:val="000000" w:themeColor="text1"/>
                                <w:sz w:val="18"/>
                                <w:szCs w:val="18"/>
                              </w:rPr>
                            </m:ctrlPr>
                          </m:sSubPr>
                          <m:e>
                            <m:r>
                              <m:rPr/>
                              <w:rPr>
                                <w:rFonts w:ascii="Cambria Math" w:hAnsi="Cambria Math"/>
                                <w:color w:val="000000" w:themeColor="text1"/>
                                <w:sz w:val="18"/>
                                <w:szCs w:val="18"/>
                              </w:rPr>
                              <m:t>x</m:t>
                            </m:r>
                            <m:ctrlPr>
                              <w:rPr>
                                <w:rFonts w:ascii="Cambria Math" w:hAnsi="Cambria Math"/>
                                <w:i/>
                                <w:color w:val="000000" w:themeColor="text1"/>
                                <w:sz w:val="18"/>
                                <w:szCs w:val="18"/>
                              </w:rPr>
                            </m:ctrlPr>
                          </m:e>
                          <m:sub>
                            <m:r>
                              <m:rPr/>
                              <w:rPr>
                                <w:rFonts w:ascii="Cambria Math" w:hAnsi="Cambria Math"/>
                                <w:color w:val="000000" w:themeColor="text1"/>
                                <w:sz w:val="18"/>
                                <w:szCs w:val="18"/>
                              </w:rPr>
                              <m:t>i</m:t>
                            </m:r>
                            <m:ctrlPr>
                              <w:rPr>
                                <w:rFonts w:ascii="Cambria Math" w:hAnsi="Cambria Math"/>
                                <w:i/>
                                <w:color w:val="000000" w:themeColor="text1"/>
                                <w:sz w:val="18"/>
                                <w:szCs w:val="18"/>
                              </w:rPr>
                            </m:ctrlPr>
                          </m:sub>
                        </m:sSub>
                        <m:r>
                          <m:rPr/>
                          <w:rPr>
                            <w:rFonts w:ascii="Cambria Math" w:hAnsi="Cambria Math"/>
                            <w:color w:val="000000" w:themeColor="text1"/>
                            <w:sz w:val="18"/>
                            <w:szCs w:val="18"/>
                          </w:rPr>
                          <m:t>(2020)</m:t>
                        </m:r>
                        <m:ctrlPr>
                          <w:rPr>
                            <w:rFonts w:ascii="Cambria Math" w:hAnsi="Cambria Math"/>
                            <w:i/>
                            <w:color w:val="000000" w:themeColor="text1"/>
                            <w:sz w:val="18"/>
                            <w:szCs w:val="18"/>
                          </w:rPr>
                        </m:ctrlPr>
                      </m:sub>
                      <m:sup>
                        <m:r>
                          <m:rPr/>
                          <w:rPr>
                            <w:rFonts w:ascii="Cambria Math" w:hAnsi="Cambria Math"/>
                            <w:color w:val="000000" w:themeColor="text1"/>
                            <w:sz w:val="18"/>
                            <w:szCs w:val="18"/>
                          </w:rPr>
                          <m:t>N</m:t>
                        </m:r>
                        <m:ctrlPr>
                          <w:rPr>
                            <w:rFonts w:ascii="Cambria Math" w:hAnsi="Cambria Math"/>
                            <w:i/>
                            <w:color w:val="000000" w:themeColor="text1"/>
                            <w:sz w:val="18"/>
                            <w:szCs w:val="18"/>
                          </w:rPr>
                        </m:ctrlPr>
                      </m:sup>
                    </m:sSubSup>
                    <m:r>
                      <m:rPr/>
                      <w:rPr>
                        <w:rFonts w:ascii="Cambria Math" w:hAnsi="Cambria Math"/>
                        <w:color w:val="000000" w:themeColor="text1"/>
                        <w:sz w:val="18"/>
                        <w:szCs w:val="18"/>
                      </w:rPr>
                      <m:t>−</m:t>
                    </m:r>
                    <m:sSubSup>
                      <m:sSubSupPr>
                        <m:ctrlPr>
                          <w:rPr>
                            <w:rFonts w:ascii="Cambria Math" w:hAnsi="Cambria Math"/>
                            <w:i/>
                            <w:color w:val="000000" w:themeColor="text1"/>
                            <w:sz w:val="18"/>
                            <w:szCs w:val="18"/>
                          </w:rPr>
                        </m:ctrlPr>
                      </m:sSubSupPr>
                      <m:e>
                        <m:r>
                          <m:rPr/>
                          <w:rPr>
                            <w:rFonts w:ascii="Cambria Math" w:hAnsi="Cambria Math"/>
                            <w:color w:val="000000" w:themeColor="text1"/>
                            <w:sz w:val="18"/>
                            <w:szCs w:val="18"/>
                          </w:rPr>
                          <m:t>VCF</m:t>
                        </m:r>
                        <m:ctrlPr>
                          <w:rPr>
                            <w:rFonts w:ascii="Cambria Math" w:hAnsi="Cambria Math"/>
                            <w:i/>
                            <w:color w:val="000000" w:themeColor="text1"/>
                            <w:sz w:val="18"/>
                            <w:szCs w:val="18"/>
                          </w:rPr>
                        </m:ctrlPr>
                      </m:e>
                      <m:sub>
                        <m:sSub>
                          <m:sSubPr>
                            <m:ctrlPr>
                              <w:rPr>
                                <w:rFonts w:ascii="Cambria Math" w:hAnsi="Cambria Math"/>
                                <w:i/>
                                <w:color w:val="000000" w:themeColor="text1"/>
                                <w:sz w:val="18"/>
                                <w:szCs w:val="18"/>
                              </w:rPr>
                            </m:ctrlPr>
                          </m:sSubPr>
                          <m:e>
                            <m:r>
                              <m:rPr/>
                              <w:rPr>
                                <w:rFonts w:ascii="Cambria Math" w:hAnsi="Cambria Math"/>
                                <w:color w:val="000000" w:themeColor="text1"/>
                                <w:sz w:val="18"/>
                                <w:szCs w:val="18"/>
                              </w:rPr>
                              <m:t>x</m:t>
                            </m:r>
                            <m:ctrlPr>
                              <w:rPr>
                                <w:rFonts w:ascii="Cambria Math" w:hAnsi="Cambria Math"/>
                                <w:i/>
                                <w:color w:val="000000" w:themeColor="text1"/>
                                <w:sz w:val="18"/>
                                <w:szCs w:val="18"/>
                              </w:rPr>
                            </m:ctrlPr>
                          </m:e>
                          <m:sub>
                            <m:r>
                              <m:rPr/>
                              <w:rPr>
                                <w:rFonts w:ascii="Cambria Math" w:hAnsi="Cambria Math"/>
                                <w:color w:val="000000" w:themeColor="text1"/>
                                <w:sz w:val="18"/>
                                <w:szCs w:val="18"/>
                              </w:rPr>
                              <m:t>i</m:t>
                            </m:r>
                            <m:ctrlPr>
                              <w:rPr>
                                <w:rFonts w:ascii="Cambria Math" w:hAnsi="Cambria Math"/>
                                <w:i/>
                                <w:color w:val="000000" w:themeColor="text1"/>
                                <w:sz w:val="18"/>
                                <w:szCs w:val="18"/>
                              </w:rPr>
                            </m:ctrlPr>
                          </m:sub>
                        </m:sSub>
                        <m:r>
                          <m:rPr/>
                          <w:rPr>
                            <w:rFonts w:ascii="Cambria Math" w:hAnsi="Cambria Math"/>
                            <w:color w:val="000000" w:themeColor="text1"/>
                            <w:sz w:val="18"/>
                            <w:szCs w:val="18"/>
                          </w:rPr>
                          <m:t>(t)</m:t>
                        </m:r>
                        <m:ctrlPr>
                          <w:rPr>
                            <w:rFonts w:ascii="Cambria Math" w:hAnsi="Cambria Math"/>
                            <w:i/>
                            <w:color w:val="000000" w:themeColor="text1"/>
                            <w:sz w:val="18"/>
                            <w:szCs w:val="18"/>
                          </w:rPr>
                        </m:ctrlPr>
                      </m:sub>
                      <m:sup>
                        <m:r>
                          <m:rPr/>
                          <w:rPr>
                            <w:rFonts w:ascii="Cambria Math" w:hAnsi="Cambria Math"/>
                            <w:color w:val="000000" w:themeColor="text1"/>
                            <w:sz w:val="18"/>
                            <w:szCs w:val="18"/>
                          </w:rPr>
                          <m:t>N</m:t>
                        </m:r>
                        <m:ctrlPr>
                          <w:rPr>
                            <w:rFonts w:ascii="Cambria Math" w:hAnsi="Cambria Math"/>
                            <w:i/>
                            <w:color w:val="000000" w:themeColor="text1"/>
                            <w:sz w:val="18"/>
                            <w:szCs w:val="18"/>
                          </w:rPr>
                        </m:ctrlPr>
                      </m:sup>
                    </m:sSubSup>
                    <m:ctrlPr>
                      <w:rPr>
                        <w:rFonts w:ascii="Cambria Math" w:hAnsi="Cambria Math"/>
                        <w:i/>
                        <w:color w:val="000000" w:themeColor="text1"/>
                        <w:sz w:val="18"/>
                        <w:szCs w:val="18"/>
                      </w:rPr>
                    </m:ctrlPr>
                  </m:e>
                </m:d>
                <m:r>
                  <m:rPr/>
                  <w:rPr>
                    <w:rFonts w:ascii="Cambria Math" w:hAnsi="Cambria Math"/>
                    <w:color w:val="000000" w:themeColor="text1"/>
                    <w:sz w:val="18"/>
                    <w:szCs w:val="18"/>
                  </w:rPr>
                  <m:t>≤theta</m:t>
                </m:r>
                <m:ctrlPr>
                  <w:rPr>
                    <w:rFonts w:ascii="Cambria Math" w:hAnsi="Cambria Math"/>
                    <w:i/>
                    <w:color w:val="000000" w:themeColor="text1"/>
                    <w:sz w:val="18"/>
                    <w:szCs w:val="18"/>
                  </w:rPr>
                </m:ctrlPr>
              </m:e>
              <m:e>
                <m:r>
                  <m:rPr/>
                  <w:rPr>
                    <w:rFonts w:ascii="Cambria Math" w:hAnsi="Cambria Math"/>
                    <w:color w:val="000000" w:themeColor="text1"/>
                    <w:sz w:val="18"/>
                    <w:szCs w:val="18"/>
                  </w:rPr>
                  <m:t>Changed,                                                     otherwise</m:t>
                </m:r>
                <m:ctrlPr>
                  <w:rPr>
                    <w:rFonts w:ascii="Cambria Math" w:hAnsi="Cambria Math"/>
                    <w:i/>
                    <w:color w:val="000000" w:themeColor="text1"/>
                    <w:sz w:val="18"/>
                    <w:szCs w:val="18"/>
                  </w:rPr>
                </m:ctrlPr>
              </m:e>
            </m:eqArr>
            <m:ctrlPr>
              <w:rPr>
                <w:rFonts w:ascii="Cambria Math" w:hAnsi="Cambria Math"/>
                <w:i/>
                <w:color w:val="000000" w:themeColor="text1"/>
                <w:sz w:val="18"/>
                <w:szCs w:val="18"/>
              </w:rPr>
            </m:ctrlPr>
          </m:e>
        </m:d>
      </m:oMath>
      <w:r>
        <w:rPr>
          <w:color w:val="000000" w:themeColor="text1"/>
          <w:sz w:val="18"/>
          <w:szCs w:val="18"/>
        </w:rPr>
        <w:t xml:space="preserve">   </w:t>
      </w:r>
      <w:r>
        <w:rPr>
          <w:rFonts w:hint="eastAsia"/>
          <w:color w:val="000000" w:themeColor="text1"/>
          <w:sz w:val="18"/>
          <w:szCs w:val="18"/>
          <w:lang w:eastAsia="zh-CN"/>
        </w:rPr>
        <w:t xml:space="preserve">      </w:t>
      </w:r>
      <w:r>
        <w:rPr>
          <w:color w:val="000000" w:themeColor="text1"/>
          <w:sz w:val="18"/>
          <w:szCs w:val="18"/>
        </w:rPr>
        <w:t xml:space="preserve">  (2)</w:t>
      </w:r>
    </w:p>
    <w:p w14:paraId="5B0A283D">
      <w:pPr>
        <w:jc w:val="right"/>
        <w:rPr>
          <w:color w:val="000000" w:themeColor="text1"/>
          <w:sz w:val="18"/>
          <w:szCs w:val="18"/>
        </w:rPr>
      </w:pPr>
      <w:r>
        <w:rPr>
          <w:color w:val="000000" w:themeColor="text1"/>
        </w:rPr>
        <w:pict>
          <v:shape id="_x0000_s8769" o:spid="_x0000_s8769" o:spt="202" type="#_x0000_t202" style="position:absolute;left:0pt;height:192.5pt;width:251.65pt;mso-position-horizontal:left;mso-position-horizontal-relative:margin;mso-position-vertical:top;mso-position-vertical-relative:margin;mso-wrap-distance-bottom:0pt;mso-wrap-distance-left:9pt;mso-wrap-distance-right:9pt;mso-wrap-distance-top:0pt;z-index:251660288;mso-width-relative:page;mso-height-relative:page;" stroked="f" coordsize="21600,21600">
            <v:path/>
            <v:fill focussize="0,0"/>
            <v:stroke on="f" joinstyle="miter"/>
            <v:imagedata o:title=""/>
            <o:lock v:ext="edit"/>
            <v:textbox inset="0mm,0mm,0mm,0mm">
              <w:txbxContent>
                <w:p w14:paraId="7C7FF278">
                  <w:pPr>
                    <w:jc w:val="center"/>
                  </w:pPr>
                  <w:r>
                    <w:rPr>
                      <w:szCs w:val="21"/>
                    </w:rPr>
                    <w:drawing>
                      <wp:inline distT="0" distB="0" distL="0" distR="0">
                        <wp:extent cx="3153410" cy="2135505"/>
                        <wp:effectExtent l="0" t="0" r="0" b="0"/>
                        <wp:docPr id="1165699125" name="图片 116569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99125" name="图片 11656991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207457" cy="2172520"/>
                                </a:xfrm>
                                <a:prstGeom prst="rect">
                                  <a:avLst/>
                                </a:prstGeom>
                                <a:noFill/>
                                <a:ln>
                                  <a:noFill/>
                                </a:ln>
                              </pic:spPr>
                            </pic:pic>
                          </a:graphicData>
                        </a:graphic>
                      </wp:inline>
                    </w:drawing>
                  </w:r>
                </w:p>
                <w:p w14:paraId="5385E160">
                  <w:pPr>
                    <w:pStyle w:val="74"/>
                    <w:rPr>
                      <w:lang w:eastAsia="zh-CN"/>
                    </w:rPr>
                  </w:pPr>
                  <w:r>
                    <w:rPr>
                      <w:rFonts w:hint="eastAsia"/>
                      <w:b/>
                      <w:bCs/>
                    </w:rPr>
                    <w:t>F</w:t>
                  </w:r>
                  <w:r>
                    <w:rPr>
                      <w:b/>
                      <w:bCs/>
                    </w:rPr>
                    <w:t xml:space="preserve">ig. </w:t>
                  </w:r>
                  <w:r>
                    <w:rPr>
                      <w:rFonts w:hint="eastAsia"/>
                      <w:b/>
                      <w:bCs/>
                      <w:color w:val="000000" w:themeColor="text1"/>
                      <w:lang w:eastAsia="zh-CN"/>
                    </w:rPr>
                    <w:t>5</w:t>
                  </w:r>
                  <w:r>
                    <w:rPr>
                      <w:b/>
                      <w:bCs/>
                      <w:color w:val="000000" w:themeColor="text1"/>
                    </w:rPr>
                    <w:t xml:space="preserve">. </w:t>
                  </w:r>
                  <w:r>
                    <w:rPr>
                      <w:color w:val="000000" w:themeColor="text1"/>
                    </w:rPr>
                    <w:t>Relationship between the GEDI AGBD grids and MODIS VCF tree canopy cover.</w:t>
                  </w:r>
                </w:p>
              </w:txbxContent>
            </v:textbox>
            <w10:wrap type="square"/>
          </v:shape>
        </w:pict>
      </w:r>
      <w:r>
        <w:rPr>
          <w:color w:val="000000" w:themeColor="text1"/>
          <w:sz w:val="18"/>
          <w:szCs w:val="18"/>
        </w:rPr>
        <w:t xml:space="preserve">  </w:t>
      </w:r>
      <m:oMath>
        <m:sSubSup>
          <m:sSubSupPr>
            <m:ctrlPr>
              <w:rPr>
                <w:rFonts w:ascii="Cambria Math" w:hAnsi="Cambria Math"/>
                <w:i/>
                <w:color w:val="000000" w:themeColor="text1"/>
                <w:sz w:val="18"/>
                <w:szCs w:val="18"/>
              </w:rPr>
            </m:ctrlPr>
          </m:sSubSupPr>
          <m:e>
            <m:r>
              <m:rPr/>
              <w:rPr>
                <w:rFonts w:ascii="Cambria Math" w:hAnsi="Cambria Math"/>
                <w:color w:val="000000" w:themeColor="text1"/>
                <w:sz w:val="18"/>
                <w:szCs w:val="18"/>
              </w:rPr>
              <m:t>VCF</m:t>
            </m:r>
            <m:ctrlPr>
              <w:rPr>
                <w:rFonts w:ascii="Cambria Math" w:hAnsi="Cambria Math"/>
                <w:i/>
                <w:color w:val="000000" w:themeColor="text1"/>
                <w:sz w:val="18"/>
                <w:szCs w:val="18"/>
              </w:rPr>
            </m:ctrlPr>
          </m:e>
          <m:sub>
            <m:sSub>
              <m:sSubPr>
                <m:ctrlPr>
                  <w:rPr>
                    <w:rFonts w:ascii="Cambria Math" w:hAnsi="Cambria Math"/>
                    <w:i/>
                    <w:color w:val="000000" w:themeColor="text1"/>
                    <w:sz w:val="18"/>
                    <w:szCs w:val="18"/>
                  </w:rPr>
                </m:ctrlPr>
              </m:sSubPr>
              <m:e>
                <m:r>
                  <m:rPr/>
                  <w:rPr>
                    <w:rFonts w:ascii="Cambria Math" w:hAnsi="Cambria Math"/>
                    <w:color w:val="000000" w:themeColor="text1"/>
                    <w:sz w:val="18"/>
                    <w:szCs w:val="18"/>
                  </w:rPr>
                  <m:t>x</m:t>
                </m:r>
                <m:ctrlPr>
                  <w:rPr>
                    <w:rFonts w:ascii="Cambria Math" w:hAnsi="Cambria Math"/>
                    <w:i/>
                    <w:color w:val="000000" w:themeColor="text1"/>
                    <w:sz w:val="18"/>
                    <w:szCs w:val="18"/>
                  </w:rPr>
                </m:ctrlPr>
              </m:e>
              <m:sub>
                <m:r>
                  <m:rPr/>
                  <w:rPr>
                    <w:rFonts w:ascii="Cambria Math" w:hAnsi="Cambria Math"/>
                    <w:color w:val="000000" w:themeColor="text1"/>
                    <w:sz w:val="18"/>
                    <w:szCs w:val="18"/>
                  </w:rPr>
                  <m:t>i</m:t>
                </m:r>
                <m:ctrlPr>
                  <w:rPr>
                    <w:rFonts w:ascii="Cambria Math" w:hAnsi="Cambria Math"/>
                    <w:i/>
                    <w:color w:val="000000" w:themeColor="text1"/>
                    <w:sz w:val="18"/>
                    <w:szCs w:val="18"/>
                  </w:rPr>
                </m:ctrlPr>
              </m:sub>
            </m:sSub>
            <m:r>
              <m:rPr/>
              <w:rPr>
                <w:rFonts w:ascii="Cambria Math" w:hAnsi="Cambria Math"/>
                <w:color w:val="000000" w:themeColor="text1"/>
                <w:sz w:val="18"/>
                <w:szCs w:val="18"/>
              </w:rPr>
              <m:t>(t)</m:t>
            </m:r>
            <m:ctrlPr>
              <w:rPr>
                <w:rFonts w:ascii="Cambria Math" w:hAnsi="Cambria Math"/>
                <w:i/>
                <w:color w:val="000000" w:themeColor="text1"/>
                <w:sz w:val="18"/>
                <w:szCs w:val="18"/>
              </w:rPr>
            </m:ctrlPr>
          </m:sub>
          <m:sup>
            <m:r>
              <m:rPr/>
              <w:rPr>
                <w:rFonts w:ascii="Cambria Math" w:hAnsi="Cambria Math"/>
                <w:color w:val="000000" w:themeColor="text1"/>
                <w:sz w:val="18"/>
                <w:szCs w:val="18"/>
              </w:rPr>
              <m:t>N</m:t>
            </m:r>
            <m:ctrlPr>
              <w:rPr>
                <w:rFonts w:ascii="Cambria Math" w:hAnsi="Cambria Math"/>
                <w:i/>
                <w:color w:val="000000" w:themeColor="text1"/>
                <w:sz w:val="18"/>
                <w:szCs w:val="18"/>
              </w:rPr>
            </m:ctrlPr>
          </m:sup>
        </m:sSubSup>
        <m:r>
          <m:rPr/>
          <w:rPr>
            <w:rFonts w:ascii="Cambria Math" w:hAnsi="Cambria Math"/>
            <w:color w:val="000000" w:themeColor="text1"/>
            <w:sz w:val="18"/>
            <w:szCs w:val="18"/>
          </w:rPr>
          <m:t>=</m:t>
        </m:r>
        <m:f>
          <m:fPr>
            <m:ctrlPr>
              <w:rPr>
                <w:rFonts w:ascii="Cambria Math" w:hAnsi="Cambria Math"/>
                <w:i/>
                <w:color w:val="000000" w:themeColor="text1"/>
                <w:sz w:val="18"/>
                <w:szCs w:val="18"/>
              </w:rPr>
            </m:ctrlPr>
          </m:fPr>
          <m:num>
            <m:nary>
              <m:naryPr>
                <m:chr m:val="∑"/>
                <m:limLoc m:val="undOvr"/>
                <m:supHide m:val="1"/>
                <m:ctrlPr>
                  <w:rPr>
                    <w:rFonts w:ascii="Cambria Math" w:hAnsi="Cambria Math"/>
                    <w:i/>
                    <w:color w:val="000000" w:themeColor="text1"/>
                    <w:sz w:val="18"/>
                    <w:szCs w:val="18"/>
                  </w:rPr>
                </m:ctrlPr>
              </m:naryPr>
              <m:sub>
                <m:r>
                  <m:rPr/>
                  <w:rPr>
                    <w:rFonts w:ascii="Cambria Math" w:hAnsi="Cambria Math"/>
                    <w:color w:val="000000" w:themeColor="text1"/>
                    <w:sz w:val="18"/>
                    <w:szCs w:val="18"/>
                  </w:rPr>
                  <m:t>j∈N</m:t>
                </m:r>
                <m:ctrlPr>
                  <w:rPr>
                    <w:rFonts w:ascii="Cambria Math" w:hAnsi="Cambria Math"/>
                    <w:i/>
                    <w:color w:val="000000" w:themeColor="text1"/>
                    <w:sz w:val="18"/>
                    <w:szCs w:val="18"/>
                  </w:rPr>
                </m:ctrlPr>
              </m:sub>
              <m:sup>
                <m:ctrlPr>
                  <w:rPr>
                    <w:rFonts w:ascii="Cambria Math" w:hAnsi="Cambria Math"/>
                    <w:i/>
                    <w:color w:val="000000" w:themeColor="text1"/>
                    <w:sz w:val="18"/>
                    <w:szCs w:val="18"/>
                  </w:rPr>
                </m:ctrlPr>
              </m:sup>
              <m:e>
                <m:r>
                  <m:rPr/>
                  <w:rPr>
                    <w:rFonts w:ascii="Cambria Math" w:hAnsi="Cambria Math"/>
                    <w:color w:val="000000" w:themeColor="text1"/>
                    <w:sz w:val="18"/>
                    <w:szCs w:val="18"/>
                  </w:rPr>
                  <m:t>VCF</m:t>
                </m:r>
                <m:d>
                  <m:dPr>
                    <m:ctrlPr>
                      <w:rPr>
                        <w:rFonts w:ascii="Cambria Math" w:hAnsi="Cambria Math"/>
                        <w:i/>
                        <w:color w:val="000000" w:themeColor="text1"/>
                        <w:sz w:val="18"/>
                        <w:szCs w:val="18"/>
                      </w:rPr>
                    </m:ctrlPr>
                  </m:dPr>
                  <m:e>
                    <m:sSub>
                      <m:sSubPr>
                        <m:ctrlPr>
                          <w:rPr>
                            <w:rFonts w:ascii="Cambria Math" w:hAnsi="Cambria Math"/>
                            <w:i/>
                            <w:color w:val="000000" w:themeColor="text1"/>
                            <w:sz w:val="18"/>
                            <w:szCs w:val="18"/>
                          </w:rPr>
                        </m:ctrlPr>
                      </m:sSubPr>
                      <m:e>
                        <m:r>
                          <m:rPr/>
                          <w:rPr>
                            <w:rFonts w:ascii="Cambria Math" w:hAnsi="Cambria Math"/>
                            <w:color w:val="000000" w:themeColor="text1"/>
                            <w:sz w:val="18"/>
                            <w:szCs w:val="18"/>
                          </w:rPr>
                          <m:t>x</m:t>
                        </m:r>
                        <m:ctrlPr>
                          <w:rPr>
                            <w:rFonts w:ascii="Cambria Math" w:hAnsi="Cambria Math"/>
                            <w:i/>
                            <w:color w:val="000000" w:themeColor="text1"/>
                            <w:sz w:val="18"/>
                            <w:szCs w:val="18"/>
                          </w:rPr>
                        </m:ctrlPr>
                      </m:e>
                      <m:sub>
                        <m:r>
                          <m:rPr/>
                          <w:rPr>
                            <w:rFonts w:ascii="Cambria Math" w:hAnsi="Cambria Math"/>
                            <w:color w:val="000000" w:themeColor="text1"/>
                            <w:sz w:val="18"/>
                            <w:szCs w:val="18"/>
                          </w:rPr>
                          <m:t>i</m:t>
                        </m:r>
                        <m:ctrlPr>
                          <w:rPr>
                            <w:rFonts w:ascii="Cambria Math" w:hAnsi="Cambria Math"/>
                            <w:i/>
                            <w:color w:val="000000" w:themeColor="text1"/>
                            <w:sz w:val="18"/>
                            <w:szCs w:val="18"/>
                          </w:rPr>
                        </m:ctrlPr>
                      </m:sub>
                    </m:sSub>
                    <m:r>
                      <m:rPr/>
                      <w:rPr>
                        <w:rFonts w:ascii="Cambria Math" w:hAnsi="Cambria Math"/>
                        <w:color w:val="000000" w:themeColor="text1"/>
                        <w:sz w:val="18"/>
                        <w:szCs w:val="18"/>
                      </w:rPr>
                      <m:t>(t,j)</m:t>
                    </m:r>
                    <m:ctrlPr>
                      <w:rPr>
                        <w:rFonts w:ascii="Cambria Math" w:hAnsi="Cambria Math"/>
                        <w:i/>
                        <w:color w:val="000000" w:themeColor="text1"/>
                        <w:sz w:val="18"/>
                        <w:szCs w:val="18"/>
                      </w:rPr>
                    </m:ctrlPr>
                  </m:e>
                </m:d>
                <m:ctrlPr>
                  <w:rPr>
                    <w:rFonts w:ascii="Cambria Math" w:hAnsi="Cambria Math"/>
                    <w:i/>
                    <w:color w:val="000000" w:themeColor="text1"/>
                    <w:sz w:val="18"/>
                    <w:szCs w:val="18"/>
                  </w:rPr>
                </m:ctrlPr>
              </m:e>
            </m:nary>
            <m:ctrlPr>
              <w:rPr>
                <w:rFonts w:ascii="Cambria Math" w:hAnsi="Cambria Math"/>
                <w:i/>
                <w:color w:val="000000" w:themeColor="text1"/>
                <w:sz w:val="18"/>
                <w:szCs w:val="18"/>
              </w:rPr>
            </m:ctrlPr>
          </m:num>
          <m:den>
            <m:r>
              <m:rPr/>
              <w:rPr>
                <w:rFonts w:ascii="Cambria Math" w:hAnsi="Cambria Math"/>
                <w:color w:val="000000" w:themeColor="text1"/>
                <w:sz w:val="18"/>
                <w:szCs w:val="18"/>
              </w:rPr>
              <m:t>w∗w</m:t>
            </m:r>
            <m:ctrlPr>
              <w:rPr>
                <w:rFonts w:ascii="Cambria Math" w:hAnsi="Cambria Math"/>
                <w:i/>
                <w:color w:val="000000" w:themeColor="text1"/>
                <w:sz w:val="18"/>
                <w:szCs w:val="18"/>
              </w:rPr>
            </m:ctrlPr>
          </m:den>
        </m:f>
        <m:r>
          <m:rPr/>
          <w:rPr>
            <w:rFonts w:ascii="Cambria Math" w:hAnsi="Cambria Math"/>
            <w:color w:val="000000" w:themeColor="text1"/>
            <w:sz w:val="18"/>
            <w:szCs w:val="18"/>
          </w:rPr>
          <m:t>,     t∈[2015,2016,⋯,2020]</m:t>
        </m:r>
      </m:oMath>
      <w:r>
        <w:rPr>
          <w:color w:val="000000" w:themeColor="text1"/>
          <w:sz w:val="18"/>
          <w:szCs w:val="18"/>
        </w:rPr>
        <w:t xml:space="preserve">   </w:t>
      </w:r>
      <w:r>
        <w:rPr>
          <w:rFonts w:hint="eastAsia"/>
          <w:color w:val="000000" w:themeColor="text1"/>
          <w:sz w:val="18"/>
          <w:szCs w:val="18"/>
          <w:lang w:eastAsia="zh-CN"/>
        </w:rPr>
        <w:t xml:space="preserve">    </w:t>
      </w:r>
      <w:r>
        <w:rPr>
          <w:color w:val="000000" w:themeColor="text1"/>
          <w:sz w:val="18"/>
          <w:szCs w:val="18"/>
        </w:rPr>
        <w:t xml:space="preserve">  (3)</w:t>
      </w:r>
    </w:p>
    <w:p w14:paraId="2FB6985C">
      <w:pPr>
        <w:jc w:val="both"/>
        <w:rPr>
          <w:color w:val="000000" w:themeColor="text1"/>
        </w:rPr>
      </w:pPr>
      <w:r>
        <w:rPr>
          <w:color w:val="000000" w:themeColor="text1"/>
        </w:rPr>
        <w:t xml:space="preserve">in which </w:t>
      </w:r>
      <m:oMath>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(t)</m:t>
        </m:r>
      </m:oMath>
      <w:r>
        <w:rPr>
          <w:color w:val="000000" w:themeColor="text1"/>
        </w:rPr>
        <w:t xml:space="preserve"> is the location of pixel </w:t>
      </w:r>
      <m:oMath>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oMath>
      <w:r>
        <w:rPr>
          <w:color w:val="000000" w:themeColor="text1"/>
        </w:rPr>
        <w:t xml:space="preserve"> at time </w:t>
      </w:r>
      <w:r>
        <w:rPr>
          <w:i/>
          <w:iCs/>
          <w:color w:val="000000" w:themeColor="text1"/>
        </w:rPr>
        <w:t>t</w:t>
      </w:r>
      <w:r>
        <w:rPr>
          <w:color w:val="000000" w:themeColor="text1"/>
        </w:rPr>
        <w:t xml:space="preserve">. </w:t>
      </w:r>
      <m:oMath>
        <m:sSubSup>
          <m:sSubSupPr>
            <m:ctrlPr>
              <w:rPr>
                <w:rFonts w:ascii="Cambria Math" w:hAnsi="Cambria Math"/>
                <w:i/>
                <w:color w:val="000000" w:themeColor="text1"/>
              </w:rPr>
            </m:ctrlPr>
          </m:sSubSupPr>
          <m:e>
            <m:r>
              <m:rPr/>
              <w:rPr>
                <w:rFonts w:ascii="Cambria Math" w:hAnsi="Cambria Math"/>
                <w:color w:val="000000" w:themeColor="text1"/>
              </w:rPr>
              <m:t>VCF</m:t>
            </m:r>
            <m:ctrlPr>
              <w:rPr>
                <w:rFonts w:ascii="Cambria Math" w:hAnsi="Cambria Math"/>
                <w:i/>
                <w:color w:val="000000" w:themeColor="text1"/>
              </w:rPr>
            </m:ctrlPr>
          </m:e>
          <m:sub>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(t)</m:t>
            </m:r>
            <m:ctrlPr>
              <w:rPr>
                <w:rFonts w:ascii="Cambria Math" w:hAnsi="Cambria Math"/>
                <w:i/>
                <w:color w:val="000000" w:themeColor="text1"/>
              </w:rPr>
            </m:ctrlPr>
          </m:sub>
          <m:sup>
            <m:r>
              <m:rPr/>
              <w:rPr>
                <w:rFonts w:ascii="Cambria Math" w:hAnsi="Cambria Math"/>
                <w:color w:val="000000" w:themeColor="text1"/>
              </w:rPr>
              <m:t>N</m:t>
            </m:r>
            <m:ctrlPr>
              <w:rPr>
                <w:rFonts w:ascii="Cambria Math" w:hAnsi="Cambria Math"/>
                <w:i/>
                <w:color w:val="000000" w:themeColor="text1"/>
              </w:rPr>
            </m:ctrlPr>
          </m:sup>
        </m:sSubSup>
      </m:oMath>
      <w:r>
        <w:rPr>
          <w:color w:val="000000" w:themeColor="text1"/>
        </w:rPr>
        <w:t xml:space="preserve"> represents the tree canopy percentage value in the MODIS VCF image for the neighborhood system </w:t>
      </w:r>
      <w:r>
        <w:rPr>
          <w:i/>
          <w:iCs/>
          <w:color w:val="000000" w:themeColor="text1"/>
        </w:rPr>
        <w:t>N</w:t>
      </w:r>
      <w:r>
        <w:rPr>
          <w:color w:val="000000" w:themeColor="text1"/>
        </w:rPr>
        <w:t xml:space="preserve"> centered at pixel </w:t>
      </w:r>
      <m:oMath>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(t)</m:t>
        </m:r>
      </m:oMath>
      <w:r>
        <w:rPr>
          <w:color w:val="000000" w:themeColor="text1"/>
        </w:rPr>
        <w:t xml:space="preserve">, and it can be calculated with equation (3). </w:t>
      </w:r>
      <w:r>
        <w:rPr>
          <w:i/>
          <w:iCs/>
          <w:color w:val="000000" w:themeColor="text1"/>
        </w:rPr>
        <w:t>w</w:t>
      </w:r>
      <w:r>
        <w:rPr>
          <w:color w:val="000000" w:themeColor="text1"/>
        </w:rPr>
        <w:t xml:space="preserve"> is the radius of neighborhood system </w:t>
      </w:r>
      <w:r>
        <w:rPr>
          <w:i/>
          <w:iCs/>
          <w:color w:val="000000" w:themeColor="text1"/>
        </w:rPr>
        <w:t>N</w:t>
      </w:r>
      <w:r>
        <w:rPr>
          <w:color w:val="000000" w:themeColor="text1"/>
        </w:rPr>
        <w:t xml:space="preserve">. </w:t>
      </w:r>
      <m:oMath>
        <m:r>
          <m:rPr/>
          <w:rPr>
            <w:rFonts w:ascii="Cambria Math" w:hAnsi="Cambria Math"/>
            <w:color w:val="000000" w:themeColor="text1"/>
          </w:rPr>
          <m:t>Sample(</m:t>
        </m:r>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(t))</m:t>
        </m:r>
      </m:oMath>
      <w:r>
        <w:rPr>
          <w:color w:val="000000" w:themeColor="text1"/>
        </w:rPr>
        <w:t xml:space="preserve"> is the GEDI AGBD of the sample at the location of pixel </w:t>
      </w:r>
      <m:oMath>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oMath>
      <w:r>
        <w:rPr>
          <w:color w:val="000000" w:themeColor="text1"/>
        </w:rPr>
        <w:t xml:space="preserve"> at time </w:t>
      </w:r>
      <w:r>
        <w:rPr>
          <w:i/>
          <w:iCs/>
          <w:color w:val="000000" w:themeColor="text1"/>
        </w:rPr>
        <w:t>t</w:t>
      </w:r>
      <w:r>
        <w:rPr>
          <w:color w:val="000000" w:themeColor="text1"/>
        </w:rPr>
        <w:t>.</w:t>
      </w:r>
    </w:p>
    <w:p w14:paraId="0AFFBFFE">
      <w:pPr>
        <w:ind w:firstLine="400" w:firstLineChars="200"/>
        <w:jc w:val="both"/>
        <w:rPr>
          <w:color w:val="000000" w:themeColor="text1"/>
        </w:rPr>
      </w:pPr>
      <w:r>
        <w:rPr>
          <w:color w:val="000000" w:themeColor="text1"/>
        </w:rPr>
        <w:t xml:space="preserve">Based on equations (2) and (3), as shown in Fig. </w:t>
      </w:r>
      <w:r>
        <w:rPr>
          <w:rFonts w:hint="eastAsia"/>
          <w:color w:val="000000" w:themeColor="text1"/>
          <w:lang w:eastAsia="zh-CN"/>
        </w:rPr>
        <w:t>6</w:t>
      </w:r>
      <w:r>
        <w:rPr>
          <w:color w:val="000000" w:themeColor="text1"/>
        </w:rPr>
        <w:t xml:space="preserve">, if the difference between the mean tree canopy percentage value for the neighborhood system surrounding pixel </w:t>
      </w:r>
      <m:oMath>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oMath>
      <w:r>
        <w:rPr>
          <w:color w:val="000000" w:themeColor="text1"/>
        </w:rPr>
        <w:t xml:space="preserve"> at time </w:t>
      </w:r>
      <w:r>
        <w:rPr>
          <w:i/>
          <w:iCs/>
          <w:color w:val="000000" w:themeColor="text1"/>
        </w:rPr>
        <w:t>t</w:t>
      </w:r>
      <w:r>
        <w:rPr>
          <w:color w:val="000000" w:themeColor="text1"/>
        </w:rPr>
        <w:t xml:space="preserve"> and 2020 is smaller than the specified threshold </w:t>
      </w:r>
      <w:r>
        <w:rPr>
          <w:i/>
          <w:iCs/>
          <w:color w:val="000000" w:themeColor="text1"/>
        </w:rPr>
        <w:t>theta</w:t>
      </w:r>
      <w:r>
        <w:rPr>
          <w:color w:val="000000" w:themeColor="text1"/>
        </w:rPr>
        <w:t xml:space="preserve"> (for example, 3% in this research, selected from the range of 0-10%), and then </w:t>
      </w:r>
      <m:oMath>
        <m:r>
          <m:rPr/>
          <w:rPr>
            <w:rFonts w:ascii="Cambria Math" w:hAnsi="Cambria Math"/>
            <w:color w:val="000000" w:themeColor="text1"/>
          </w:rPr>
          <m:t>Sample(</m:t>
        </m:r>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(t))</m:t>
        </m:r>
      </m:oMath>
      <w:r>
        <w:rPr>
          <w:color w:val="000000" w:themeColor="text1"/>
        </w:rPr>
        <w:t xml:space="preserve"> is deemed sufficiently similar to </w:t>
      </w:r>
      <m:oMath>
        <m:r>
          <m:rPr/>
          <w:rPr>
            <w:rFonts w:ascii="Cambria Math" w:hAnsi="Cambria Math"/>
            <w:color w:val="000000" w:themeColor="text1"/>
          </w:rPr>
          <m:t>Sample(</m:t>
        </m:r>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(2020))</m:t>
        </m:r>
      </m:oMath>
      <w:r>
        <w:rPr>
          <w:color w:val="000000" w:themeColor="text1"/>
        </w:rPr>
        <w:t xml:space="preserve">. Ideally, the value of ‘theta’ could be set to 0, but it can be stringent overly to search for a sufficient number of samples from the training data collected in 2020. Conversely, if the value of ‘theta’ is set too high, it will result in the inclusion of numerous suboptimal samples, consequently increasing the computational cost of nonlinear regression models. However, when the difference between the two time points is substantial, </w:t>
      </w:r>
      <m:oMath>
        <m:r>
          <m:rPr/>
          <w:rPr>
            <w:rFonts w:ascii="Cambria Math" w:hAnsi="Cambria Math"/>
            <w:color w:val="000000" w:themeColor="text1"/>
          </w:rPr>
          <m:t>Sample(</m:t>
        </m:r>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(t))</m:t>
        </m:r>
      </m:oMath>
      <w:r>
        <w:rPr>
          <w:color w:val="000000" w:themeColor="text1"/>
        </w:rPr>
        <w:t xml:space="preserve"> is regarded as having undergone significant changes in comparison to </w:t>
      </w:r>
      <m:oMath>
        <m:r>
          <m:rPr/>
          <w:rPr>
            <w:rFonts w:ascii="Cambria Math" w:hAnsi="Cambria Math"/>
            <w:color w:val="000000" w:themeColor="text1"/>
          </w:rPr>
          <m:t>Sample(</m:t>
        </m:r>
        <m:sSub>
          <m:sSubPr>
            <m:ctrlPr>
              <w:rPr>
                <w:rFonts w:ascii="Cambria Math" w:hAnsi="Cambria Math"/>
                <w:i/>
                <w:color w:val="000000" w:themeColor="text1"/>
              </w:rPr>
            </m:ctrlPr>
          </m:sSubPr>
          <m:e>
            <m:r>
              <m:rPr/>
              <w:rPr>
                <w:rFonts w:ascii="Cambria Math" w:hAnsi="Cambria Math"/>
                <w:color w:val="000000" w:themeColor="text1"/>
              </w:rPr>
              <m:t>x</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(2020))</m:t>
        </m:r>
      </m:oMath>
      <w:r>
        <w:rPr>
          <w:color w:val="000000" w:themeColor="text1"/>
        </w:rPr>
        <w:t>, and the sample in 2020 is not inherited.</w:t>
      </w:r>
    </w:p>
    <w:p w14:paraId="10751A17">
      <w:pPr>
        <w:ind w:firstLine="400" w:firstLineChars="200"/>
        <w:jc w:val="both"/>
        <w:rPr>
          <w:color w:val="000000" w:themeColor="text1"/>
        </w:rPr>
      </w:pPr>
      <w:r>
        <w:rPr>
          <w:color w:val="000000" w:themeColor="text1"/>
        </w:rPr>
        <w:pict>
          <v:shape id="_x0000_s8773" o:spid="_x0000_s8773" o:spt="202" type="#_x0000_t202" style="position:absolute;left:0pt;height:180pt;width:516.05pt;mso-position-horizontal:center;mso-position-horizontal-relative:margin;mso-position-vertical:bottom;mso-position-vertical-relative:margin;mso-wrap-distance-bottom:0pt;mso-wrap-distance-left:9pt;mso-wrap-distance-right:9pt;mso-wrap-distance-top:0pt;z-index:251661312;mso-width-relative:page;mso-height-relative:page;" stroked="f" coordsize="21600,21600">
            <v:path/>
            <v:fill focussize="0,0"/>
            <v:stroke on="f" joinstyle="miter"/>
            <v:imagedata o:title=""/>
            <o:lock v:ext="edit"/>
            <v:textbox inset="0mm,0mm,0mm,0mm">
              <w:txbxContent>
                <w:p w14:paraId="72F3DD8F">
                  <w:pPr>
                    <w:jc w:val="center"/>
                  </w:pPr>
                  <w:r>
                    <w:rPr>
                      <w:szCs w:val="21"/>
                    </w:rPr>
                    <w:drawing>
                      <wp:inline distT="0" distB="0" distL="0" distR="0">
                        <wp:extent cx="6153150" cy="2056765"/>
                        <wp:effectExtent l="0" t="0" r="0" b="635"/>
                        <wp:docPr id="1997276022" name="图片 1997276022"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76022" name="图片 1997276022" descr="图表, 散点图&#10;&#10;描述已自动生成"/>
                                <pic:cNvPicPr>
                                  <a:picLocks noChangeAspect="1"/>
                                </pic:cNvPicPr>
                              </pic:nvPicPr>
                              <pic:blipFill>
                                <a:blip r:embed="rId12"/>
                                <a:stretch>
                                  <a:fillRect/>
                                </a:stretch>
                              </pic:blipFill>
                              <pic:spPr>
                                <a:xfrm>
                                  <a:off x="0" y="0"/>
                                  <a:ext cx="6281277" cy="2100138"/>
                                </a:xfrm>
                                <a:prstGeom prst="rect">
                                  <a:avLst/>
                                </a:prstGeom>
                              </pic:spPr>
                            </pic:pic>
                          </a:graphicData>
                        </a:graphic>
                      </wp:inline>
                    </w:drawing>
                  </w:r>
                </w:p>
                <w:p w14:paraId="10879DC1">
                  <w:pPr>
                    <w:pStyle w:val="74"/>
                    <w:rPr>
                      <w:lang w:eastAsia="zh-CN"/>
                    </w:rPr>
                  </w:pPr>
                  <w:r>
                    <w:rPr>
                      <w:rFonts w:hint="eastAsia"/>
                      <w:b/>
                      <w:bCs/>
                    </w:rPr>
                    <w:t>F</w:t>
                  </w:r>
                  <w:r>
                    <w:rPr>
                      <w:b/>
                      <w:bCs/>
                    </w:rPr>
                    <w:t>ig</w:t>
                  </w:r>
                  <w:r>
                    <w:rPr>
                      <w:b/>
                      <w:bCs/>
                      <w:color w:val="000000" w:themeColor="text1"/>
                    </w:rPr>
                    <w:t xml:space="preserve">. </w:t>
                  </w:r>
                  <w:r>
                    <w:rPr>
                      <w:rFonts w:hint="eastAsia"/>
                      <w:b/>
                      <w:bCs/>
                      <w:color w:val="000000" w:themeColor="text1"/>
                      <w:lang w:eastAsia="zh-CN"/>
                    </w:rPr>
                    <w:t>6</w:t>
                  </w:r>
                  <w:r>
                    <w:rPr>
                      <w:b/>
                      <w:bCs/>
                      <w:color w:val="000000" w:themeColor="text1"/>
                    </w:rPr>
                    <w:t>.</w:t>
                  </w:r>
                  <w:r>
                    <w:rPr>
                      <w:color w:val="000000" w:themeColor="text1"/>
                    </w:rPr>
                    <w:t xml:space="preserve"> Illustratio</w:t>
                  </w:r>
                  <w:r>
                    <w:t xml:space="preserve">n of the selection of GEDI AGBD samples during 2015-2020, where the radius </w:t>
                  </w:r>
                  <w:r>
                    <w:rPr>
                      <w:i/>
                      <w:iCs/>
                    </w:rPr>
                    <w:t>w</w:t>
                  </w:r>
                  <w:r>
                    <w:t xml:space="preserve"> is set to 3.</w:t>
                  </w:r>
                </w:p>
              </w:txbxContent>
            </v:textbox>
            <w10:wrap type="square"/>
          </v:shape>
        </w:pict>
      </w:r>
      <w:r>
        <w:rPr>
          <w:color w:val="000000" w:themeColor="text1"/>
        </w:rPr>
        <w:t>The Change detection method for GEDI AGBD samples is applicable to all years within the 2015-2020 period. If we narrow our focus on 2020, the VCF difference indicated in equation (2) would be 0, resulting in the application of all samples to the year 2020. Furthermore, both the training samples (8000) and validation samples (2000) would be chosen for the period from 2015 to 2020 using equations (2) and (3).</w:t>
      </w:r>
    </w:p>
    <w:p w14:paraId="77769B46">
      <w:pPr>
        <w:pStyle w:val="3"/>
        <w:jc w:val="both"/>
        <w:rPr>
          <w:color w:val="000000" w:themeColor="text1"/>
        </w:rPr>
      </w:pPr>
      <w:bookmarkStart w:id="13" w:name="_Hlk118396873"/>
      <w:r>
        <w:rPr>
          <w:color w:val="000000" w:themeColor="text1"/>
        </w:rPr>
        <w:t>GEDI AGBD estimation with machine learning and deep learning regression models</w:t>
      </w:r>
    </w:p>
    <w:bookmarkEnd w:id="13"/>
    <w:p w14:paraId="1C2FD21B">
      <w:pPr>
        <w:ind w:firstLine="400" w:firstLineChars="200"/>
        <w:jc w:val="both"/>
        <w:rPr>
          <w:color w:val="000000" w:themeColor="text1"/>
        </w:rPr>
      </w:pPr>
      <w:r>
        <w:rPr>
          <w:color w:val="000000" w:themeColor="text1"/>
        </w:rPr>
        <w:t xml:space="preserve">With the above collected GEDI AGBD grids samples for each year during 2015-2020, nonlinear regression methods based on machine learning and deep learning are employed to estimate the spatially continuous GEDI AGBD maps. To be specific, the estimation of GEDI AGBD in year </w:t>
      </w:r>
      <w:r>
        <w:rPr>
          <w:i/>
          <w:iCs/>
          <w:color w:val="000000" w:themeColor="text1"/>
        </w:rPr>
        <w:t xml:space="preserve">t </w:t>
      </w:r>
      <w:r>
        <w:rPr>
          <w:color w:val="000000" w:themeColor="text1"/>
        </w:rPr>
        <w:t>using nonlinear regression can be formulated as:</w:t>
      </w:r>
    </w:p>
    <w:p w14:paraId="719C0B14">
      <w:pPr>
        <w:jc w:val="right"/>
        <w:rPr>
          <w:color w:val="000000" w:themeColor="text1"/>
          <w:sz w:val="18"/>
        </w:rPr>
      </w:pPr>
      <m:oMath>
        <m:r>
          <m:rPr/>
          <w:rPr>
            <w:rFonts w:ascii="Cambria Math" w:hAnsi="Cambria Math"/>
            <w:color w:val="000000" w:themeColor="text1"/>
            <w:sz w:val="18"/>
            <w:szCs w:val="18"/>
          </w:rPr>
          <m:t>Agbd(t)=NLregression([</m:t>
        </m:r>
        <m:r>
          <m:rPr/>
          <w:rPr>
            <w:rFonts w:ascii="Cambria Math" w:hAnsi="Cambria Math"/>
            <w:color w:val="000000" w:themeColor="text1"/>
            <w:sz w:val="18"/>
          </w:rPr>
          <m:t>Sample</m:t>
        </m:r>
        <m:d>
          <m:dPr>
            <m:ctrlPr>
              <w:rPr>
                <w:rFonts w:ascii="Cambria Math" w:hAnsi="Cambria Math"/>
                <w:i/>
                <w:color w:val="000000" w:themeColor="text1"/>
                <w:sz w:val="18"/>
              </w:rPr>
            </m:ctrlPr>
          </m:dPr>
          <m:e>
            <m:sSub>
              <m:sSubPr>
                <m:ctrlPr>
                  <w:rPr>
                    <w:rFonts w:ascii="Cambria Math" w:hAnsi="Cambria Math"/>
                    <w:i/>
                    <w:color w:val="000000" w:themeColor="text1"/>
                    <w:sz w:val="18"/>
                  </w:rPr>
                </m:ctrlPr>
              </m:sSubPr>
              <m:e>
                <m:r>
                  <m:rPr/>
                  <w:rPr>
                    <w:rFonts w:ascii="Cambria Math" w:hAnsi="Cambria Math"/>
                    <w:color w:val="000000" w:themeColor="text1"/>
                    <w:sz w:val="18"/>
                  </w:rPr>
                  <m:t>x</m:t>
                </m:r>
                <m:ctrlPr>
                  <w:rPr>
                    <w:rFonts w:ascii="Cambria Math" w:hAnsi="Cambria Math"/>
                    <w:i/>
                    <w:color w:val="000000" w:themeColor="text1"/>
                    <w:sz w:val="18"/>
                  </w:rPr>
                </m:ctrlPr>
              </m:e>
              <m:sub>
                <m:r>
                  <m:rPr/>
                  <w:rPr>
                    <w:rFonts w:ascii="Cambria Math" w:hAnsi="Cambria Math"/>
                    <w:color w:val="000000" w:themeColor="text1"/>
                    <w:sz w:val="18"/>
                  </w:rPr>
                  <m:t>i</m:t>
                </m:r>
                <m:ctrlPr>
                  <w:rPr>
                    <w:rFonts w:ascii="Cambria Math" w:hAnsi="Cambria Math"/>
                    <w:i/>
                    <w:color w:val="000000" w:themeColor="text1"/>
                    <w:sz w:val="18"/>
                  </w:rPr>
                </m:ctrlPr>
              </m:sub>
            </m:sSub>
            <m:d>
              <m:dPr>
                <m:ctrlPr>
                  <w:rPr>
                    <w:rFonts w:ascii="Cambria Math" w:hAnsi="Cambria Math"/>
                    <w:i/>
                    <w:color w:val="000000" w:themeColor="text1"/>
                    <w:sz w:val="18"/>
                  </w:rPr>
                </m:ctrlPr>
              </m:dPr>
              <m:e>
                <m:r>
                  <m:rPr/>
                  <w:rPr>
                    <w:rFonts w:ascii="Cambria Math" w:hAnsi="Cambria Math"/>
                    <w:color w:val="000000" w:themeColor="text1"/>
                    <w:sz w:val="18"/>
                  </w:rPr>
                  <m:t>t</m:t>
                </m:r>
                <m:ctrlPr>
                  <w:rPr>
                    <w:rFonts w:ascii="Cambria Math" w:hAnsi="Cambria Math"/>
                    <w:i/>
                    <w:color w:val="000000" w:themeColor="text1"/>
                    <w:sz w:val="18"/>
                  </w:rPr>
                </m:ctrlPr>
              </m:e>
            </m:d>
            <m:r>
              <m:rPr/>
              <w:rPr>
                <w:rFonts w:ascii="Cambria Math" w:hAnsi="Cambria Math"/>
                <w:color w:val="000000" w:themeColor="text1"/>
                <w:sz w:val="18"/>
              </w:rPr>
              <m:t>,train</m:t>
            </m:r>
            <m:ctrlPr>
              <w:rPr>
                <w:rFonts w:ascii="Cambria Math" w:hAnsi="Cambria Math"/>
                <w:i/>
                <w:color w:val="000000" w:themeColor="text1"/>
                <w:sz w:val="18"/>
              </w:rPr>
            </m:ctrlPr>
          </m:e>
        </m:d>
        <m:r>
          <m:rPr/>
          <w:rPr>
            <w:rFonts w:ascii="Cambria Math" w:hAnsi="Cambria Math"/>
            <w:color w:val="000000" w:themeColor="text1"/>
            <w:sz w:val="18"/>
          </w:rPr>
          <m:t>,i=1,2,⋯M]</m:t>
        </m:r>
        <m:r>
          <m:rPr/>
          <w:rPr>
            <w:rFonts w:ascii="Cambria Math" w:hAnsi="Cambria Math"/>
            <w:color w:val="000000" w:themeColor="text1"/>
            <w:sz w:val="18"/>
            <w:szCs w:val="18"/>
          </w:rPr>
          <m:t>)</m:t>
        </m:r>
      </m:oMath>
      <w:r>
        <w:rPr>
          <w:color w:val="000000" w:themeColor="text1"/>
          <w:sz w:val="18"/>
          <w:szCs w:val="18"/>
        </w:rPr>
        <w:t>, (4)</w:t>
      </w:r>
    </w:p>
    <w:p w14:paraId="0A620417">
      <w:pPr>
        <w:jc w:val="both"/>
        <w:rPr>
          <w:color w:val="000000" w:themeColor="text1"/>
        </w:rPr>
      </w:pPr>
      <w:r>
        <w:rPr>
          <w:color w:val="000000" w:themeColor="text1"/>
        </w:rPr>
        <w:pict>
          <v:shape id="_x0000_s8775" o:spid="_x0000_s8775" o:spt="202" type="#_x0000_t202" style="position:absolute;left:0pt;height:295.1pt;width:516.05pt;mso-position-horizontal:center;mso-position-horizontal-relative:margin;mso-position-vertical:top;mso-position-vertical-relative:margin;mso-wrap-distance-bottom:0pt;mso-wrap-distance-left:9pt;mso-wrap-distance-right:9pt;mso-wrap-distance-top:0pt;z-index:251662336;mso-width-relative:page;mso-height-relative:page;" stroked="f" coordsize="21600,21600">
            <v:path/>
            <v:fill focussize="0,0"/>
            <v:stroke on="f" joinstyle="miter"/>
            <v:imagedata o:title=""/>
            <o:lock v:ext="edit"/>
            <v:textbox inset="0mm,0mm,0mm,0mm">
              <w:txbxContent>
                <w:p w14:paraId="3AA8F524">
                  <w:pPr>
                    <w:jc w:val="center"/>
                  </w:pPr>
                  <w:r>
                    <w:drawing>
                      <wp:inline distT="0" distB="0" distL="0" distR="0">
                        <wp:extent cx="5407660" cy="3554730"/>
                        <wp:effectExtent l="0" t="0" r="0" b="0"/>
                        <wp:docPr id="1019234598" name="图片 1019234598" descr="图片包含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34598" name="图片 1019234598" descr="图片包含 表格&#10;&#10;描述已自动生成"/>
                                <pic:cNvPicPr>
                                  <a:picLocks noChangeAspect="1"/>
                                </pic:cNvPicPr>
                              </pic:nvPicPr>
                              <pic:blipFill>
                                <a:blip r:embed="rId13"/>
                                <a:stretch>
                                  <a:fillRect/>
                                </a:stretch>
                              </pic:blipFill>
                              <pic:spPr>
                                <a:xfrm>
                                  <a:off x="0" y="0"/>
                                  <a:ext cx="5472504" cy="3597686"/>
                                </a:xfrm>
                                <a:prstGeom prst="rect">
                                  <a:avLst/>
                                </a:prstGeom>
                              </pic:spPr>
                            </pic:pic>
                          </a:graphicData>
                        </a:graphic>
                      </wp:inline>
                    </w:drawing>
                  </w:r>
                </w:p>
                <w:p w14:paraId="3D7101D4">
                  <w:pPr>
                    <w:pStyle w:val="74"/>
                    <w:rPr>
                      <w:lang w:eastAsia="zh-CN"/>
                    </w:rPr>
                  </w:pPr>
                  <w:r>
                    <w:rPr>
                      <w:rFonts w:hint="eastAsia"/>
                      <w:b/>
                      <w:bCs/>
                    </w:rPr>
                    <w:t>F</w:t>
                  </w:r>
                  <w:r>
                    <w:rPr>
                      <w:b/>
                      <w:bCs/>
                    </w:rPr>
                    <w:t>i</w:t>
                  </w:r>
                  <w:r>
                    <w:rPr>
                      <w:b/>
                      <w:bCs/>
                      <w:color w:val="000000" w:themeColor="text1"/>
                    </w:rPr>
                    <w:t xml:space="preserve">g. </w:t>
                  </w:r>
                  <w:r>
                    <w:rPr>
                      <w:rFonts w:hint="eastAsia"/>
                      <w:b/>
                      <w:bCs/>
                      <w:color w:val="000000" w:themeColor="text1"/>
                      <w:lang w:eastAsia="zh-CN"/>
                    </w:rPr>
                    <w:t>7</w:t>
                  </w:r>
                  <w:r>
                    <w:rPr>
                      <w:b/>
                      <w:bCs/>
                      <w:color w:val="000000" w:themeColor="text1"/>
                    </w:rPr>
                    <w:t>.</w:t>
                  </w:r>
                  <w:r>
                    <w:rPr>
                      <w:color w:val="000000" w:themeColor="text1"/>
                    </w:rPr>
                    <w:t xml:space="preserve"> Archi</w:t>
                  </w:r>
                  <w:r>
                    <w:t>tecture of the CNN and CNN_spatial regression networks.</w:t>
                  </w:r>
                </w:p>
              </w:txbxContent>
            </v:textbox>
            <w10:wrap type="square"/>
          </v:shape>
        </w:pict>
      </w:r>
      <w:r>
        <w:rPr>
          <w:color w:val="000000" w:themeColor="text1"/>
          <w:szCs w:val="21"/>
        </w:rPr>
        <w:t>in which</w:t>
      </w:r>
      <w:r>
        <w:rPr>
          <w:i/>
          <w:color w:val="000000" w:themeColor="text1"/>
        </w:rPr>
        <w:t xml:space="preserve"> </w:t>
      </w:r>
      <m:oMath>
        <m:r>
          <m:rPr/>
          <w:rPr>
            <w:rFonts w:ascii="Cambria Math" w:hAnsi="Cambria Math"/>
            <w:color w:val="000000" w:themeColor="text1"/>
          </w:rPr>
          <m:t>Agbd(t)</m:t>
        </m:r>
      </m:oMath>
      <w:r>
        <w:rPr>
          <w:i/>
          <w:color w:val="000000" w:themeColor="text1"/>
        </w:rPr>
        <w:t xml:space="preserve"> </w:t>
      </w:r>
      <w:r>
        <w:rPr>
          <w:iCs/>
          <w:color w:val="000000" w:themeColor="text1"/>
        </w:rPr>
        <w:t xml:space="preserve">is the spatially continuous AGBD map in year </w:t>
      </w:r>
      <w:r>
        <w:rPr>
          <w:i/>
          <w:color w:val="000000" w:themeColor="text1"/>
        </w:rPr>
        <w:t>t</w:t>
      </w:r>
      <w:r>
        <w:rPr>
          <w:iCs/>
          <w:color w:val="000000" w:themeColor="text1"/>
        </w:rPr>
        <w:t>.</w:t>
      </w:r>
      <w:r>
        <w:rPr>
          <w:color w:val="000000" w:themeColor="text1"/>
          <w:szCs w:val="21"/>
        </w:rPr>
        <w:t xml:space="preserve"> </w:t>
      </w:r>
      <m:oMath>
        <m:r>
          <m:rPr/>
          <w:rPr>
            <w:rFonts w:ascii="Cambria Math" w:hAnsi="Cambria Math"/>
            <w:color w:val="000000" w:themeColor="text1"/>
          </w:rPr>
          <m:t>NLregression(∙)</m:t>
        </m:r>
      </m:oMath>
      <w:r>
        <w:rPr>
          <w:color w:val="000000" w:themeColor="text1"/>
        </w:rPr>
        <w:t xml:space="preserve"> is the nonlinear regression model. </w:t>
      </w:r>
      <w:r>
        <w:rPr>
          <w:i/>
          <w:iCs/>
          <w:color w:val="000000" w:themeColor="text1"/>
        </w:rPr>
        <w:t>M</w:t>
      </w:r>
      <w:r>
        <w:rPr>
          <w:color w:val="000000" w:themeColor="text1"/>
        </w:rPr>
        <w:t xml:space="preserve"> is the number of training samples in year </w:t>
      </w:r>
      <w:r>
        <w:rPr>
          <w:i/>
          <w:iCs/>
          <w:color w:val="000000" w:themeColor="text1"/>
        </w:rPr>
        <w:t xml:space="preserve">t </w:t>
      </w:r>
      <w:r>
        <w:rPr>
          <w:color w:val="000000" w:themeColor="text1"/>
        </w:rPr>
        <w:t xml:space="preserve">and generated from the above change detection approach. </w:t>
      </w:r>
      <m:oMath>
        <m:r>
          <m:rPr/>
          <w:rPr>
            <w:rFonts w:ascii="Cambria Math" w:hAnsi="Cambria Math"/>
            <w:color w:val="000000" w:themeColor="text1"/>
          </w:rPr>
          <m:t>[</m:t>
        </m:r>
        <m:r>
          <m:rPr/>
          <w:rPr>
            <w:rFonts w:ascii="Cambria Math" w:hAnsi="Cambria Math"/>
            <w:color w:val="000000" w:themeColor="text1"/>
            <w:szCs w:val="21"/>
          </w:rPr>
          <m:t>Sample</m:t>
        </m:r>
        <m:d>
          <m:dPr>
            <m:ctrlPr>
              <w:rPr>
                <w:rFonts w:ascii="Cambria Math" w:hAnsi="Cambria Math"/>
                <w:i/>
                <w:color w:val="000000" w:themeColor="text1"/>
                <w:szCs w:val="21"/>
              </w:rPr>
            </m:ctrlPr>
          </m:dPr>
          <m:e>
            <m:sSub>
              <m:sSubPr>
                <m:ctrlPr>
                  <w:rPr>
                    <w:rFonts w:ascii="Cambria Math" w:hAnsi="Cambria Math"/>
                    <w:i/>
                    <w:color w:val="000000" w:themeColor="text1"/>
                    <w:szCs w:val="21"/>
                  </w:rPr>
                </m:ctrlPr>
              </m:sSubPr>
              <m:e>
                <m:r>
                  <m:rPr/>
                  <w:rPr>
                    <w:rFonts w:ascii="Cambria Math" w:hAnsi="Cambria Math"/>
                    <w:color w:val="000000" w:themeColor="text1"/>
                    <w:szCs w:val="21"/>
                  </w:rPr>
                  <m:t>x</m:t>
                </m:r>
                <m:ctrlPr>
                  <w:rPr>
                    <w:rFonts w:ascii="Cambria Math" w:hAnsi="Cambria Math"/>
                    <w:i/>
                    <w:color w:val="000000" w:themeColor="text1"/>
                    <w:szCs w:val="21"/>
                  </w:rPr>
                </m:ctrlPr>
              </m:e>
              <m:sub>
                <m:r>
                  <m:rPr/>
                  <w:rPr>
                    <w:rFonts w:ascii="Cambria Math" w:hAnsi="Cambria Math"/>
                    <w:color w:val="000000" w:themeColor="text1"/>
                    <w:szCs w:val="21"/>
                  </w:rPr>
                  <m:t>i</m:t>
                </m:r>
                <m:ctrlPr>
                  <w:rPr>
                    <w:rFonts w:ascii="Cambria Math" w:hAnsi="Cambria Math"/>
                    <w:i/>
                    <w:color w:val="000000" w:themeColor="text1"/>
                    <w:szCs w:val="21"/>
                  </w:rPr>
                </m:ctrlPr>
              </m:sub>
            </m:sSub>
            <m:d>
              <m:dPr>
                <m:ctrlPr>
                  <w:rPr>
                    <w:rFonts w:ascii="Cambria Math" w:hAnsi="Cambria Math"/>
                    <w:i/>
                    <w:color w:val="000000" w:themeColor="text1"/>
                    <w:szCs w:val="21"/>
                  </w:rPr>
                </m:ctrlPr>
              </m:dPr>
              <m:e>
                <m:r>
                  <m:rPr/>
                  <w:rPr>
                    <w:rFonts w:ascii="Cambria Math" w:hAnsi="Cambria Math"/>
                    <w:color w:val="000000" w:themeColor="text1"/>
                    <w:szCs w:val="21"/>
                  </w:rPr>
                  <m:t>t</m:t>
                </m:r>
                <m:ctrlPr>
                  <w:rPr>
                    <w:rFonts w:ascii="Cambria Math" w:hAnsi="Cambria Math"/>
                    <w:i/>
                    <w:color w:val="000000" w:themeColor="text1"/>
                    <w:szCs w:val="21"/>
                  </w:rPr>
                </m:ctrlPr>
              </m:e>
            </m:d>
            <m:r>
              <m:rPr/>
              <w:rPr>
                <w:rFonts w:ascii="Cambria Math" w:hAnsi="Cambria Math"/>
                <w:color w:val="000000" w:themeColor="text1"/>
                <w:szCs w:val="21"/>
              </w:rPr>
              <m:t>,train</m:t>
            </m:r>
            <m:ctrlPr>
              <w:rPr>
                <w:rFonts w:ascii="Cambria Math" w:hAnsi="Cambria Math"/>
                <w:i/>
                <w:color w:val="000000" w:themeColor="text1"/>
                <w:szCs w:val="21"/>
              </w:rPr>
            </m:ctrlPr>
          </m:e>
        </m:d>
        <m:r>
          <m:rPr/>
          <w:rPr>
            <w:rFonts w:ascii="Cambria Math" w:hAnsi="Cambria Math"/>
            <w:color w:val="000000" w:themeColor="text1"/>
            <w:szCs w:val="21"/>
          </w:rPr>
          <m:t>,i=1,2,⋯M]</m:t>
        </m:r>
      </m:oMath>
      <w:r>
        <w:rPr>
          <w:color w:val="000000" w:themeColor="text1"/>
          <w:szCs w:val="21"/>
        </w:rPr>
        <w:t xml:space="preserve"> refers to the selected training dataset, which includes 15 covariates of HH, HV, HH-HV, HH/HV, NDVI, EVI, VCF, NPP, GPP, GPP, LAI, LAI, and FPAR, DEM, Slope, LS and ET. The corresponding GEDI AGBD </w:t>
      </w:r>
      <w:r>
        <w:rPr>
          <w:color w:val="000000" w:themeColor="text1"/>
        </w:rPr>
        <w:t xml:space="preserve">grids </w:t>
      </w:r>
      <w:r>
        <w:rPr>
          <w:color w:val="000000" w:themeColor="text1"/>
          <w:szCs w:val="21"/>
        </w:rPr>
        <w:t xml:space="preserve">are the dependent variable. </w:t>
      </w:r>
      <w:bookmarkStart w:id="14" w:name="_Hlk148615699"/>
      <w:bookmarkStart w:id="15" w:name="_Hlk148002029"/>
      <w:r>
        <w:rPr>
          <w:color w:val="000000" w:themeColor="text1"/>
          <w:szCs w:val="21"/>
        </w:rPr>
        <w:t>After fitting the training model based on the</w:t>
      </w:r>
      <w:r>
        <w:rPr>
          <w:color w:val="000000" w:themeColor="text1"/>
        </w:rPr>
        <w:t xml:space="preserve"> </w:t>
      </w:r>
      <w:r>
        <w:rPr>
          <w:color w:val="000000" w:themeColor="text1"/>
          <w:szCs w:val="21"/>
        </w:rPr>
        <w:t xml:space="preserve">training samples with the use of equation (4), the model was then employed to predict the spatially continuous GEDI AGBD map, denoted as </w:t>
      </w:r>
      <m:oMath>
        <m:r>
          <m:rPr/>
          <w:rPr>
            <w:rFonts w:ascii="Cambria Math" w:hAnsi="Cambria Math"/>
            <w:color w:val="000000" w:themeColor="text1"/>
          </w:rPr>
          <m:t>Agbd(t)</m:t>
        </m:r>
      </m:oMath>
      <w:r>
        <w:rPr>
          <w:color w:val="000000" w:themeColor="text1"/>
        </w:rPr>
        <w:t xml:space="preserve">, </w:t>
      </w:r>
      <w:r>
        <w:rPr>
          <w:color w:val="000000" w:themeColor="text1"/>
          <w:szCs w:val="21"/>
        </w:rPr>
        <w:t xml:space="preserve">with the input of </w:t>
      </w:r>
      <w:r>
        <w:rPr>
          <w:color w:val="000000" w:themeColor="text1"/>
        </w:rPr>
        <w:t xml:space="preserve">15 covariates for the year </w:t>
      </w:r>
      <w:r>
        <w:rPr>
          <w:i/>
          <w:iCs/>
          <w:color w:val="000000" w:themeColor="text1"/>
        </w:rPr>
        <w:t>t</w:t>
      </w:r>
      <w:r>
        <w:rPr>
          <w:color w:val="000000" w:themeColor="text1"/>
        </w:rPr>
        <w:t>.</w:t>
      </w:r>
      <w:bookmarkEnd w:id="14"/>
      <w:r>
        <w:rPr>
          <w:color w:val="000000" w:themeColor="text1"/>
        </w:rPr>
        <w:t xml:space="preserve"> </w:t>
      </w:r>
      <w:bookmarkEnd w:id="15"/>
      <w:r>
        <w:rPr>
          <w:color w:val="000000" w:themeColor="text1"/>
        </w:rPr>
        <w:t>In the subsequent experiment, the covariates from each type of dataset were individually tested, and the outcomes of combing all 15 covariates were subsequently compared.</w:t>
      </w:r>
    </w:p>
    <w:p w14:paraId="6D43A9B7">
      <w:pPr>
        <w:ind w:firstLine="400" w:firstLineChars="200"/>
        <w:jc w:val="both"/>
        <w:rPr>
          <w:color w:val="000000" w:themeColor="text1"/>
        </w:rPr>
      </w:pPr>
      <w:r>
        <w:rPr>
          <w:color w:val="000000" w:themeColor="text1"/>
        </w:rPr>
        <w:t xml:space="preserve">To construct the nonlinear regression model of </w:t>
      </w:r>
      <m:oMath>
        <m:r>
          <m:rPr/>
          <w:rPr>
            <w:rFonts w:ascii="Cambria Math" w:hAnsi="Cambria Math"/>
            <w:color w:val="000000" w:themeColor="text1"/>
          </w:rPr>
          <m:t>NLregression(∙)</m:t>
        </m:r>
      </m:oMath>
      <w:r>
        <w:rPr>
          <w:color w:val="000000" w:themeColor="text1"/>
        </w:rPr>
        <w:t xml:space="preserve"> shown in equation (4), a range of machine learning and deep learning methods can be employed </w:t>
      </w:r>
      <w:r>
        <w:rPr>
          <w:color w:val="000000" w:themeColor="text1"/>
        </w:rPr>
        <w:fldChar w:fldCharType="begin"/>
      </w:r>
      <w:r>
        <w:rPr>
          <w:color w:val="000000" w:themeColor="text1"/>
        </w:rPr>
        <w:instrText xml:space="preserve"> ADDIN EN.CITE &lt;EndNote&gt;&lt;Cite&gt;&lt;Author&gt;Muro&lt;/Author&gt;&lt;Year&gt;2022&lt;/Year&gt;&lt;RecNum&gt;309&lt;/RecNum&gt;&lt;DisplayText&gt;[43]&lt;/DisplayText&gt;&lt;record&gt;&lt;rec-number&gt;309&lt;/rec-number&gt;&lt;foreign-keys&gt;&lt;key app="EN" db-id="pv902f0emrpxwae0aecvvpapa20ep02dp9fp" timestamp="1690249538"&gt;309&lt;/key&gt;&lt;/foreign-keys&gt;&lt;ref-type name="Journal Article"&gt;17&lt;/ref-type&gt;&lt;contributors&gt;&lt;authors&gt;&lt;author&gt;Muro, Javier&lt;/author&gt;&lt;author&gt;Linstädter, Anja&lt;/author&gt;&lt;author&gt;Magdon, Paul&lt;/author&gt;&lt;author&gt;Wöllauer, Stephan&lt;/author&gt;&lt;author&gt;Männer, Florian A.&lt;/author&gt;&lt;author&gt;Schwarz, Lisa-Maricia&lt;/author&gt;&lt;author&gt;Ghazaryan, Gohar&lt;/author&gt;&lt;author&gt;Schultz, Johannes&lt;/author&gt;&lt;author&gt;Malenovský, Zbyněk&lt;/author&gt;&lt;author&gt;Dubovyk, Olena&lt;/author&gt;&lt;/authors&gt;&lt;/contributors&gt;&lt;titles&gt;&lt;title&gt;Predicting plant biomass and species richness in temperate grasslands across regions, time, and land management with remote sensing and deep learning&lt;/title&gt;&lt;secondary-title&gt;Remote Sensing of Environment&lt;/secondary-title&gt;&lt;/titles&gt;&lt;periodical&gt;&lt;full-title&gt;Remote Sensing of Environment&lt;/full-title&gt;&lt;abbr-1&gt;Remote Sens. Environ.&lt;/abbr-1&gt;&lt;/periodical&gt;&lt;pages&gt;113262&lt;/pages&gt;&lt;volume&gt;282&lt;/volume&gt;&lt;keywords&gt;&lt;keyword&gt;Sentinel-2&lt;/keyword&gt;&lt;keyword&gt;Sentinel-1, biodiversity&lt;/keyword&gt;&lt;keyword&gt;Machine learning&lt;/keyword&gt;&lt;keyword&gt;Modelling&lt;/keyword&gt;&lt;keyword&gt;Rao&amp;apos;s Q&lt;/keyword&gt;&lt;/keywords&gt;&lt;dates&gt;&lt;year&gt;2022&lt;/year&gt;&lt;pub-dates&gt;&lt;date&gt;2022/12/01/&lt;/date&gt;&lt;/pub-dates&gt;&lt;/dates&gt;&lt;isbn&gt;0034-4257&lt;/isbn&gt;&lt;urls&gt;&lt;related-urls&gt;&lt;url&gt;https://www.sciencedirect.com/science/article/pii/S0034425722003686&lt;/url&gt;&lt;/related-urls&gt;&lt;/urls&gt;&lt;electronic-resource-num&gt;https://doi.org/10.1016/j.rse.2022.113262&lt;/electronic-resource-num&gt;&lt;/record&gt;&lt;/Cite&gt;&lt;/EndNote&gt;</w:instrText>
      </w:r>
      <w:r>
        <w:rPr>
          <w:color w:val="000000" w:themeColor="text1"/>
        </w:rPr>
        <w:fldChar w:fldCharType="separate"/>
      </w:r>
      <w:r>
        <w:rPr>
          <w:color w:val="000000" w:themeColor="text1"/>
        </w:rPr>
        <w:t>[43]</w:t>
      </w:r>
      <w:r>
        <w:rPr>
          <w:color w:val="000000" w:themeColor="text1"/>
        </w:rPr>
        <w:fldChar w:fldCharType="end"/>
      </w:r>
      <w:r>
        <w:rPr>
          <w:color w:val="000000" w:themeColor="text1"/>
        </w:rPr>
        <w:t xml:space="preserve">. In this study, the machine learning focuses on commonly employed methods, including extreme learning machines (ELM) </w:t>
      </w:r>
      <w:r>
        <w:rPr>
          <w:color w:val="000000" w:themeColor="text1"/>
        </w:rPr>
        <w:fldChar w:fldCharType="begin"/>
      </w:r>
      <w:r>
        <w:rPr>
          <w:color w:val="000000" w:themeColor="text1"/>
        </w:rPr>
        <w:instrText xml:space="preserve"> ADDIN EN.CITE &lt;EndNote&gt;&lt;Cite&gt;&lt;Author&gt;Huang&lt;/Author&gt;&lt;Year&gt;2006&lt;/Year&gt;&lt;RecNum&gt;310&lt;/RecNum&gt;&lt;DisplayText&gt;[44]&lt;/DisplayText&gt;&lt;record&gt;&lt;rec-number&gt;310&lt;/rec-number&gt;&lt;foreign-keys&gt;&lt;key app="EN" db-id="pv902f0emrpxwae0aecvvpapa20ep02dp9fp" timestamp="1690254173"&gt;310&lt;/key&gt;&lt;/foreign-keys&gt;&lt;ref-type name="Journal Article"&gt;17&lt;/ref-type&gt;&lt;contributors&gt;&lt;authors&gt;&lt;author&gt;Huang, Guang-Bin&lt;/author&gt;&lt;author&gt;Zhu, Qin-Yu&lt;/author&gt;&lt;author&gt;Siew, Chee-Kheong&lt;/author&gt;&lt;/authors&gt;&lt;/contributors&gt;&lt;titles&gt;&lt;title&gt;Extreme learning machine: Theory and applications&lt;/title&gt;&lt;secondary-title&gt;Neurocomputing&lt;/secondary-title&gt;&lt;/titles&gt;&lt;periodical&gt;&lt;full-title&gt;Neurocomputing&lt;/full-title&gt;&lt;/periodical&gt;&lt;pages&gt;489-501&lt;/pages&gt;&lt;volume&gt;70&lt;/volume&gt;&lt;number&gt;1&lt;/number&gt;&lt;keywords&gt;&lt;keyword&gt;Feedforward neural networks&lt;/keyword&gt;&lt;keyword&gt;Back-propagation algorithm&lt;/keyword&gt;&lt;keyword&gt;Extreme learning machine&lt;/keyword&gt;&lt;keyword&gt;Support vector machine&lt;/keyword&gt;&lt;keyword&gt;Real-time learning&lt;/keyword&gt;&lt;keyword&gt;Random node&lt;/keyword&gt;&lt;/keywords&gt;&lt;dates&gt;&lt;year&gt;2006&lt;/year&gt;&lt;pub-dates&gt;&lt;date&gt;2006/12/01/&lt;/date&gt;&lt;/pub-dates&gt;&lt;/dates&gt;&lt;isbn&gt;0925-2312&lt;/isbn&gt;&lt;urls&gt;&lt;related-urls&gt;&lt;url&gt;https://www.sciencedirect.com/science/article/pii/S0925231206000385&lt;/url&gt;&lt;/related-urls&gt;&lt;/urls&gt;&lt;electronic-resource-num&gt;https://doi.org/10.1016/j.neucom.2005.12.126&lt;/electronic-resource-num&gt;&lt;/record&gt;&lt;/Cite&gt;&lt;/EndNote&gt;</w:instrText>
      </w:r>
      <w:r>
        <w:rPr>
          <w:color w:val="000000" w:themeColor="text1"/>
        </w:rPr>
        <w:fldChar w:fldCharType="separate"/>
      </w:r>
      <w:r>
        <w:rPr>
          <w:color w:val="000000" w:themeColor="text1"/>
        </w:rPr>
        <w:t>[44]</w:t>
      </w:r>
      <w:r>
        <w:rPr>
          <w:color w:val="000000" w:themeColor="text1"/>
        </w:rPr>
        <w:fldChar w:fldCharType="end"/>
      </w:r>
      <w:r>
        <w:rPr>
          <w:color w:val="000000" w:themeColor="text1"/>
        </w:rPr>
        <w:t xml:space="preserve">, generalized regression neural network (GRNN) </w:t>
      </w:r>
      <w:r>
        <w:rPr>
          <w:color w:val="000000" w:themeColor="text1"/>
        </w:rPr>
        <w:fldChar w:fldCharType="begin"/>
      </w:r>
      <w:r>
        <w:rPr>
          <w:color w:val="000000" w:themeColor="text1"/>
        </w:rPr>
        <w:instrText xml:space="preserve"> ADDIN EN.CITE &lt;EndNote&gt;&lt;Cite&gt;&lt;Author&gt;Specht&lt;/Author&gt;&lt;Year&gt;1991&lt;/Year&gt;&lt;RecNum&gt;311&lt;/RecNum&gt;&lt;DisplayText&gt;[45]&lt;/DisplayText&gt;&lt;record&gt;&lt;rec-number&gt;311&lt;/rec-number&gt;&lt;foreign-keys&gt;&lt;key app="EN" db-id="pv902f0emrpxwae0aecvvpapa20ep02dp9fp" timestamp="1690254319"&gt;311&lt;/key&gt;&lt;/foreign-keys&gt;&lt;ref-type name="Journal Article"&gt;17&lt;/ref-type&gt;&lt;contributors&gt;&lt;authors&gt;&lt;author&gt;D. F. Specht&lt;/author&gt;&lt;/authors&gt;&lt;/contributors&gt;&lt;titles&gt;&lt;title&gt;A general regression neural network&lt;/title&gt;&lt;secondary-title&gt;IEEE Transactions on Neural Networks&lt;/secondary-title&gt;&lt;/titles&gt;&lt;periodical&gt;&lt;full-title&gt;IEEE Transactions on Neural Networks&lt;/full-title&gt;&lt;abbr-1&gt;IEEE Trans. Neural Networks&lt;/abbr-1&gt;&lt;/periodical&gt;&lt;pages&gt;568-576&lt;/pages&gt;&lt;volume&gt;2&lt;/volume&gt;&lt;number&gt;6&lt;/number&gt;&lt;dates&gt;&lt;year&gt;1991&lt;/year&gt;&lt;/dates&gt;&lt;isbn&gt;1941-0093&lt;/isbn&gt;&lt;urls&gt;&lt;/urls&gt;&lt;electronic-resource-num&gt;https://doi.org/10.1109/72.97934&lt;/electronic-resource-num&gt;&lt;/record&gt;&lt;/Cite&gt;&lt;/EndNote&gt;</w:instrText>
      </w:r>
      <w:r>
        <w:rPr>
          <w:color w:val="000000" w:themeColor="text1"/>
        </w:rPr>
        <w:fldChar w:fldCharType="separate"/>
      </w:r>
      <w:r>
        <w:rPr>
          <w:color w:val="000000" w:themeColor="text1"/>
        </w:rPr>
        <w:t>[45]</w:t>
      </w:r>
      <w:r>
        <w:rPr>
          <w:color w:val="000000" w:themeColor="text1"/>
        </w:rPr>
        <w:fldChar w:fldCharType="end"/>
      </w:r>
      <w:r>
        <w:rPr>
          <w:color w:val="000000" w:themeColor="text1"/>
        </w:rPr>
        <w:t xml:space="preserve">, support vector regression (SVR) </w:t>
      </w:r>
      <w:r>
        <w:rPr>
          <w:color w:val="000000" w:themeColor="text1"/>
        </w:rPr>
        <w:fldChar w:fldCharType="begin"/>
      </w:r>
      <w:r>
        <w:rPr>
          <w:color w:val="000000" w:themeColor="text1"/>
        </w:rPr>
        <w:instrText xml:space="preserve"> ADDIN EN.CITE &lt;EndNote&gt;&lt;Cite&gt;&lt;Author&gt;Chang&lt;/Author&gt;&lt;Year&gt;2011&lt;/Year&gt;&lt;RecNum&gt;312&lt;/RecNum&gt;&lt;DisplayText&gt;[46]&lt;/DisplayText&gt;&lt;record&gt;&lt;rec-number&gt;312&lt;/rec-number&gt;&lt;foreign-keys&gt;&lt;key app="EN" db-id="pv902f0emrpxwae0aecvvpapa20ep02dp9fp" timestamp="1690254738"&gt;312&lt;/key&gt;&lt;/foreign-keys&gt;&lt;ref-type name="Journal Article"&gt;17&lt;/ref-type&gt;&lt;contributors&gt;&lt;authors&gt;&lt;author&gt;Chih-Chung Chang&lt;/author&gt;&lt;author&gt;Chih-Jen Lin&lt;/author&gt;&lt;/authors&gt;&lt;/contributors&gt;&lt;titles&gt;&lt;title&gt;LIBSVM: A library for support vector machines&lt;/title&gt;&lt;secondary-title&gt;ACM Transactions on Intelligent Systems and Technology&lt;/secondary-title&gt;&lt;alt-title&gt;J ACM Trans. Intell. Syst. Technol.&lt;/alt-title&gt;&lt;/titles&gt;&lt;alt-periodical&gt;&lt;abbr-1&gt;J ACM Trans. Intell. Syst. Technol.&lt;/abbr-1&gt;&lt;/alt-periodical&gt;&lt;pages&gt;Article 27&lt;/pages&gt;&lt;volume&gt;2&lt;/volume&gt;&lt;number&gt;3 %J ACM Trans. Intell. Syst. Technol.&lt;/number&gt;&lt;keywords&gt;&lt;keyword&gt;Classification LIBSVM optimization regression support vector machines SVM&lt;/keyword&gt;&lt;/keywords&gt;&lt;dates&gt;&lt;year&gt;2011&lt;/year&gt;&lt;/dates&gt;&lt;isbn&gt;2157-6904&lt;/isbn&gt;&lt;urls&gt;&lt;related-urls&gt;&lt;url&gt;https://doi.org/10.1145/1961189.1961199&lt;/url&gt;&lt;/related-urls&gt;&lt;/urls&gt;&lt;electronic-resource-num&gt;https://doi.org/10.1145/1961189.1961199&lt;/electronic-resource-num&gt;&lt;/record&gt;&lt;/Cite&gt;&lt;/EndNote&gt;</w:instrText>
      </w:r>
      <w:r>
        <w:rPr>
          <w:color w:val="000000" w:themeColor="text1"/>
        </w:rPr>
        <w:fldChar w:fldCharType="separate"/>
      </w:r>
      <w:r>
        <w:rPr>
          <w:color w:val="000000" w:themeColor="text1"/>
        </w:rPr>
        <w:t>[46]</w:t>
      </w:r>
      <w:r>
        <w:rPr>
          <w:color w:val="000000" w:themeColor="text1"/>
        </w:rPr>
        <w:fldChar w:fldCharType="end"/>
      </w:r>
      <w:r>
        <w:rPr>
          <w:color w:val="000000" w:themeColor="text1"/>
        </w:rPr>
        <w:t xml:space="preserve">, and random forest (RF) </w:t>
      </w:r>
      <w:r>
        <w:rPr>
          <w:color w:val="000000" w:themeColor="text1"/>
        </w:rPr>
        <w:fldChar w:fldCharType="begin"/>
      </w:r>
      <w:r>
        <w:rPr>
          <w:color w:val="000000" w:themeColor="text1"/>
        </w:rPr>
        <w:instrText xml:space="preserve"> ADDIN EN.CITE &lt;EndNote&gt;&lt;Cite&gt;&lt;Author&gt;Breiman&lt;/Author&gt;&lt;Year&gt;2001&lt;/Year&gt;&lt;RecNum&gt;217&lt;/RecNum&gt;&lt;DisplayText&gt;[47]&lt;/DisplayText&gt;&lt;record&gt;&lt;rec-number&gt;217&lt;/rec-number&gt;&lt;foreign-keys&gt;&lt;key app="EN" db-id="pv902f0emrpxwae0aecvvpapa20ep02dp9fp" timestamp="1667505487"&gt;217&lt;/key&gt;&lt;/foreign-keys&gt;&lt;ref-type name="Journal Article"&gt;17&lt;/ref-type&gt;&lt;contributors&gt;&lt;authors&gt;&lt;author&gt;Breiman, Leo&lt;/author&gt;&lt;/authors&gt;&lt;/contributors&gt;&lt;titles&gt;&lt;title&gt;Random Forests&lt;/title&gt;&lt;secondary-title&gt;Machine Learning&lt;/secondary-title&gt;&lt;/titles&gt;&lt;periodical&gt;&lt;full-title&gt;Machine Learning&lt;/full-title&gt;&lt;/periodical&gt;&lt;pages&gt;5-32&lt;/pages&gt;&lt;volume&gt;45&lt;/volume&gt;&lt;number&gt;1&lt;/number&gt;&lt;dates&gt;&lt;year&gt;2001&lt;/year&gt;&lt;pub-dates&gt;&lt;date&gt;2001/10/01&lt;/date&gt;&lt;/pub-dates&gt;&lt;/dates&gt;&lt;isbn&gt;1573-0565&lt;/isbn&gt;&lt;urls&gt;&lt;related-urls&gt;&lt;url&gt;https://doi.org/10.1023/A:1010933404324&lt;/url&gt;&lt;/related-urls&gt;&lt;/urls&gt;&lt;electronic-resource-num&gt;https://doi.org/10.1023/A:1010933404324&lt;/electronic-resource-num&gt;&lt;/record&gt;&lt;/Cite&gt;&lt;/EndNote&gt;</w:instrText>
      </w:r>
      <w:r>
        <w:rPr>
          <w:color w:val="000000" w:themeColor="text1"/>
        </w:rPr>
        <w:fldChar w:fldCharType="separate"/>
      </w:r>
      <w:r>
        <w:rPr>
          <w:color w:val="000000" w:themeColor="text1"/>
        </w:rPr>
        <w:t>[47]</w:t>
      </w:r>
      <w:r>
        <w:rPr>
          <w:color w:val="000000" w:themeColor="text1"/>
        </w:rPr>
        <w:fldChar w:fldCharType="end"/>
      </w:r>
      <w:r>
        <w:rPr>
          <w:color w:val="000000" w:themeColor="text1"/>
        </w:rPr>
        <w:t xml:space="preserve">. Deep learning is based on the convolutional neural network (CNN) for regression </w:t>
      </w:r>
      <w:r>
        <w:rPr>
          <w:color w:val="000000" w:themeColor="text1"/>
        </w:rPr>
        <w:fldChar w:fldCharType="begin"/>
      </w:r>
      <w:r>
        <w:rPr>
          <w:color w:val="000000" w:themeColor="text1"/>
        </w:rPr>
        <w:instrText xml:space="preserve"> ADDIN EN.CITE &lt;EndNote&gt;&lt;Cite&gt;&lt;Author&gt;Pyo&lt;/Author&gt;&lt;Year&gt;2019&lt;/Year&gt;&lt;RecNum&gt;314&lt;/RecNum&gt;&lt;DisplayText&gt;[48]&lt;/DisplayText&gt;&lt;record&gt;&lt;rec-number&gt;314&lt;/rec-number&gt;&lt;foreign-keys&gt;&lt;key app="EN" db-id="pv902f0emrpxwae0aecvvpapa20ep02dp9fp" timestamp="1690255168"&gt;314&lt;/key&gt;&lt;/foreign-keys&gt;&lt;ref-type name="Journal Article"&gt;17&lt;/ref-type&gt;&lt;contributors&gt;&lt;authors&gt;&lt;author&gt;Pyo, JongCheol&lt;/author&gt;&lt;author&gt;Duan, Hongtao&lt;/author&gt;&lt;author&gt;Baek, Sangsoo&lt;/author&gt;&lt;author&gt;Kim, Moon Sung&lt;/author&gt;&lt;author&gt;Jeon, Taegyun&lt;/author&gt;&lt;author&gt;Kwon, Yong Sung&lt;/author&gt;&lt;author&gt;Lee, Hyuk&lt;/author&gt;&lt;author&gt;Cho, Kyung Hwa&lt;/author&gt;&lt;/authors&gt;&lt;/contributors&gt;&lt;titles&gt;&lt;title&gt;A convolutional neural network regression for quantifying cyanobacteria using hyperspectral imagery&lt;/title&gt;&lt;secondary-title&gt;Remote Sensing of Environment&lt;/secondary-title&gt;&lt;/titles&gt;&lt;periodical&gt;&lt;full-title&gt;Remote Sensing of Environment&lt;/full-title&gt;&lt;abbr-1&gt;Remote Sens. Environ.&lt;/abbr-1&gt;&lt;/periodical&gt;&lt;pages&gt;111350&lt;/pages&gt;&lt;volume&gt;233&lt;/volume&gt;&lt;keywords&gt;&lt;keyword&gt;Convolutional neural network&lt;/keyword&gt;&lt;keyword&gt;Phycocyanin&lt;/keyword&gt;&lt;keyword&gt;Chlorophyll-a&lt;/keyword&gt;&lt;keyword&gt;Hyperspectral image&lt;/keyword&gt;&lt;keyword&gt;Regression&lt;/keyword&gt;&lt;/keywords&gt;&lt;dates&gt;&lt;year&gt;2019&lt;/year&gt;&lt;pub-dates&gt;&lt;date&gt;2019/11/01/&lt;/date&gt;&lt;/pub-dates&gt;&lt;/dates&gt;&lt;isbn&gt;0034-4257&lt;/isbn&gt;&lt;urls&gt;&lt;related-urls&gt;&lt;url&gt;https://www.sciencedirect.com/science/article/pii/S0034425719303694&lt;/url&gt;&lt;/related-urls&gt;&lt;/urls&gt;&lt;electronic-resource-num&gt;https://doi.org/10.1016/j.rse.2019.111350&lt;/electronic-resource-num&gt;&lt;/record&gt;&lt;/Cite&gt;&lt;/EndNote&gt;</w:instrText>
      </w:r>
      <w:r>
        <w:rPr>
          <w:color w:val="000000" w:themeColor="text1"/>
        </w:rPr>
        <w:fldChar w:fldCharType="separate"/>
      </w:r>
      <w:r>
        <w:rPr>
          <w:color w:val="000000" w:themeColor="text1"/>
        </w:rPr>
        <w:t>[48]</w:t>
      </w:r>
      <w:r>
        <w:rPr>
          <w:color w:val="000000" w:themeColor="text1"/>
        </w:rPr>
        <w:fldChar w:fldCharType="end"/>
      </w:r>
      <w:r>
        <w:rPr>
          <w:color w:val="000000" w:themeColor="text1"/>
        </w:rPr>
        <w:t>. The machine learning and deep learning methods were carried out using MATLAB R2022a on a system equipped with an Intel (R) Core (TM) i9-9880H CPU and an NVIDIA GeForce GTX 1650 GPU with 16 GB of memory. More information about the methods is briefly listed as follows:</w:t>
      </w:r>
    </w:p>
    <w:p w14:paraId="57D2B6A2">
      <w:pPr>
        <w:pStyle w:val="77"/>
        <w:numPr>
          <w:ilvl w:val="1"/>
          <w:numId w:val="6"/>
        </w:numPr>
        <w:rPr>
          <w:rFonts w:ascii="Times New Roman" w:hAnsi="Times New Roman" w:cs="Times New Roman"/>
          <w:color w:val="000000" w:themeColor="text1"/>
        </w:rPr>
      </w:pPr>
      <w:r>
        <w:rPr>
          <w:rFonts w:ascii="Times New Roman" w:hAnsi="Times New Roman" w:cs="Times New Roman"/>
          <w:color w:val="000000" w:themeColor="text1"/>
        </w:rPr>
        <w:t xml:space="preserve">ELM: As a single hidden layer feedforward neural network, ELM consists of the input layer, hidden layer and output layer, which are fully connected to one another </w:t>
      </w:r>
      <w:r>
        <w:rPr>
          <w:rFonts w:ascii="Times New Roman" w:hAnsi="Times New Roman" w:cs="Times New Roman"/>
          <w:color w:val="000000" w:themeColor="text1"/>
        </w:rPr>
        <w:fldChar w:fldCharType="begin"/>
      </w:r>
      <w:r>
        <w:rPr>
          <w:rFonts w:ascii="Times New Roman" w:hAnsi="Times New Roman" w:cs="Times New Roman"/>
          <w:color w:val="000000" w:themeColor="text1"/>
        </w:rPr>
        <w:instrText xml:space="preserve"> ADDIN EN.CITE &lt;EndNote&gt;&lt;Cite&gt;&lt;Author&gt;Huang&lt;/Author&gt;&lt;Year&gt;2006&lt;/Year&gt;&lt;RecNum&gt;310&lt;/RecNum&gt;&lt;DisplayText&gt;[44]&lt;/DisplayText&gt;&lt;record&gt;&lt;rec-number&gt;310&lt;/rec-number&gt;&lt;foreign-keys&gt;&lt;key app="EN" db-id="pv902f0emrpxwae0aecvvpapa20ep02dp9fp" timestamp="1690254173"&gt;310&lt;/key&gt;&lt;/foreign-keys&gt;&lt;ref-type name="Journal Article"&gt;17&lt;/ref-type&gt;&lt;contributors&gt;&lt;authors&gt;&lt;author&gt;Huang, Guang-Bin&lt;/author&gt;&lt;author&gt;Zhu, Qin-Yu&lt;/author&gt;&lt;author&gt;Siew, Chee-Kheong&lt;/author&gt;&lt;/authors&gt;&lt;/contributors&gt;&lt;titles&gt;&lt;title&gt;Extreme learning machine: Theory and applications&lt;/title&gt;&lt;secondary-title&gt;Neurocomputing&lt;/secondary-title&gt;&lt;/titles&gt;&lt;periodical&gt;&lt;full-title&gt;Neurocomputing&lt;/full-title&gt;&lt;/periodical&gt;&lt;pages&gt;489-501&lt;/pages&gt;&lt;volume&gt;70&lt;/volume&gt;&lt;number&gt;1&lt;/number&gt;&lt;keywords&gt;&lt;keyword&gt;Feedforward neural networks&lt;/keyword&gt;&lt;keyword&gt;Back-propagation algorithm&lt;/keyword&gt;&lt;keyword&gt;Extreme learning machine&lt;/keyword&gt;&lt;keyword&gt;Support vector machine&lt;/keyword&gt;&lt;keyword&gt;Real-time learning&lt;/keyword&gt;&lt;keyword&gt;Random node&lt;/keyword&gt;&lt;/keywords&gt;&lt;dates&gt;&lt;year&gt;2006&lt;/year&gt;&lt;pub-dates&gt;&lt;date&gt;2006/12/01/&lt;/date&gt;&lt;/pub-dates&gt;&lt;/dates&gt;&lt;isbn&gt;0925-2312&lt;/isbn&gt;&lt;urls&gt;&lt;related-urls&gt;&lt;url&gt;https://www.sciencedirect.com/science/article/pii/S0925231206000385&lt;/url&gt;&lt;/related-urls&gt;&lt;/urls&gt;&lt;electronic-resource-num&gt;https://doi.org/10.1016/j.neucom.2005.12.126&lt;/electronic-resource-num&gt;&lt;/record&gt;&lt;/Cite&gt;&lt;/EndNote&gt;</w:instrText>
      </w:r>
      <w:r>
        <w:rPr>
          <w:rFonts w:ascii="Times New Roman" w:hAnsi="Times New Roman" w:cs="Times New Roman"/>
          <w:color w:val="000000" w:themeColor="text1"/>
        </w:rPr>
        <w:fldChar w:fldCharType="separate"/>
      </w:r>
      <w:r>
        <w:rPr>
          <w:rFonts w:ascii="Times New Roman" w:hAnsi="Times New Roman" w:cs="Times New Roman"/>
          <w:color w:val="000000" w:themeColor="text1"/>
        </w:rPr>
        <w:t>[44]</w:t>
      </w:r>
      <w:r>
        <w:rPr>
          <w:rFonts w:ascii="Times New Roman" w:hAnsi="Times New Roman" w:cs="Times New Roman"/>
          <w:color w:val="000000" w:themeColor="text1"/>
        </w:rPr>
        <w:fldChar w:fldCharType="end"/>
      </w:r>
      <w:r>
        <w:rPr>
          <w:rFonts w:ascii="Times New Roman" w:hAnsi="Times New Roman" w:cs="Times New Roman"/>
          <w:color w:val="000000" w:themeColor="text1"/>
        </w:rPr>
        <w:t>. ELM acquires the optimal solution by randomly generating the connection weights between the input and hidden layer. The number of hidden neurons is set to 100.</w:t>
      </w:r>
    </w:p>
    <w:p w14:paraId="49B54715">
      <w:pPr>
        <w:pStyle w:val="77"/>
        <w:numPr>
          <w:ilvl w:val="1"/>
          <w:numId w:val="6"/>
        </w:numPr>
        <w:rPr>
          <w:rFonts w:ascii="Times New Roman" w:hAnsi="Times New Roman" w:cs="Times New Roman"/>
          <w:color w:val="000000" w:themeColor="text1"/>
        </w:rPr>
      </w:pPr>
      <w:r>
        <w:rPr>
          <w:rFonts w:ascii="Times New Roman" w:hAnsi="Times New Roman" w:cs="Times New Roman"/>
          <w:color w:val="000000" w:themeColor="text1"/>
        </w:rPr>
        <w:t xml:space="preserve">GRNN: As a radial neural network, GRNN consists of an input layer, a pattern layer, a summation layer, and an output layer </w:t>
      </w:r>
      <w:r>
        <w:rPr>
          <w:rFonts w:ascii="Times New Roman" w:hAnsi="Times New Roman" w:cs="Times New Roman"/>
          <w:color w:val="000000" w:themeColor="text1"/>
        </w:rPr>
        <w:fldChar w:fldCharType="begin"/>
      </w:r>
      <w:r>
        <w:rPr>
          <w:rFonts w:ascii="Times New Roman" w:hAnsi="Times New Roman" w:cs="Times New Roman"/>
          <w:color w:val="000000" w:themeColor="text1"/>
        </w:rPr>
        <w:instrText xml:space="preserve"> ADDIN EN.CITE &lt;EndNote&gt;&lt;Cite&gt;&lt;Author&gt;Specht&lt;/Author&gt;&lt;Year&gt;1991&lt;/Year&gt;&lt;RecNum&gt;311&lt;/RecNum&gt;&lt;DisplayText&gt;[45]&lt;/DisplayText&gt;&lt;record&gt;&lt;rec-number&gt;311&lt;/rec-number&gt;&lt;foreign-keys&gt;&lt;key app="EN" db-id="pv902f0emrpxwae0aecvvpapa20ep02dp9fp" timestamp="1690254319"&gt;311&lt;/key&gt;&lt;/foreign-keys&gt;&lt;ref-type name="Journal Article"&gt;17&lt;/ref-type&gt;&lt;contributors&gt;&lt;authors&gt;&lt;author&gt;D. F. Specht&lt;/author&gt;&lt;/authors&gt;&lt;/contributors&gt;&lt;titles&gt;&lt;title&gt;A general regression neural network&lt;/title&gt;&lt;secondary-title&gt;IEEE Transactions on Neural Networks&lt;/secondary-title&gt;&lt;/titles&gt;&lt;periodical&gt;&lt;full-title&gt;IEEE Transactions on Neural Networks&lt;/full-title&gt;&lt;abbr-1&gt;IEEE Trans. Neural Networks&lt;/abbr-1&gt;&lt;/periodical&gt;&lt;pages&gt;568-576&lt;/pages&gt;&lt;volume&gt;2&lt;/volume&gt;&lt;number&gt;6&lt;/number&gt;&lt;dates&gt;&lt;year&gt;1991&lt;/year&gt;&lt;/dates&gt;&lt;isbn&gt;1941-0093&lt;/isbn&gt;&lt;urls&gt;&lt;/urls&gt;&lt;electronic-resource-num&gt;https://doi.org/10.1109/72.97934&lt;/electronic-resource-num&gt;&lt;/record&gt;&lt;/Cite&gt;&lt;/EndNote&gt;</w:instrText>
      </w:r>
      <w:r>
        <w:rPr>
          <w:rFonts w:ascii="Times New Roman" w:hAnsi="Times New Roman" w:cs="Times New Roman"/>
          <w:color w:val="000000" w:themeColor="text1"/>
        </w:rPr>
        <w:fldChar w:fldCharType="separate"/>
      </w:r>
      <w:r>
        <w:rPr>
          <w:rFonts w:ascii="Times New Roman" w:hAnsi="Times New Roman" w:cs="Times New Roman"/>
          <w:color w:val="000000" w:themeColor="text1"/>
        </w:rPr>
        <w:t>[45]</w:t>
      </w:r>
      <w:r>
        <w:rPr>
          <w:rFonts w:ascii="Times New Roman" w:hAnsi="Times New Roman" w:cs="Times New Roman"/>
          <w:color w:val="000000" w:themeColor="text1"/>
        </w:rPr>
        <w:fldChar w:fldCharType="end"/>
      </w:r>
      <w:r>
        <w:rPr>
          <w:rFonts w:ascii="Times New Roman" w:hAnsi="Times New Roman" w:cs="Times New Roman"/>
          <w:color w:val="000000" w:themeColor="text1"/>
        </w:rPr>
        <w:t>. It has advantages in converging to the optimal regression surface with more sample size accumulation and can provide robust prediction results with small sample data. The spread of radial basis functions is set to 0.1.</w:t>
      </w:r>
    </w:p>
    <w:p w14:paraId="4A74CF7D">
      <w:pPr>
        <w:pStyle w:val="77"/>
        <w:numPr>
          <w:ilvl w:val="1"/>
          <w:numId w:val="6"/>
        </w:numPr>
        <w:rPr>
          <w:rFonts w:ascii="Times New Roman" w:hAnsi="Times New Roman" w:cs="Times New Roman"/>
          <w:color w:val="000000" w:themeColor="text1"/>
        </w:rPr>
      </w:pPr>
      <w:r>
        <w:rPr>
          <w:rFonts w:ascii="Times New Roman" w:hAnsi="Times New Roman" w:cs="Times New Roman"/>
          <w:color w:val="000000" w:themeColor="text1"/>
        </w:rPr>
        <w:t xml:space="preserve">SVR: Based on the statistical learning theory, SVR aims to establish a regression model as a decision function and calculates the loss by specifying the minimum error </w:t>
      </w:r>
      <w:r>
        <w:rPr>
          <w:rFonts w:ascii="Times New Roman" w:hAnsi="Times New Roman" w:cs="Times New Roman"/>
          <w:color w:val="000000" w:themeColor="text1"/>
        </w:rPr>
        <w:fldChar w:fldCharType="begin"/>
      </w:r>
      <w:r>
        <w:rPr>
          <w:rFonts w:ascii="Times New Roman" w:hAnsi="Times New Roman" w:cs="Times New Roman"/>
          <w:color w:val="000000" w:themeColor="text1"/>
        </w:rPr>
        <w:instrText xml:space="preserve"> ADDIN EN.CITE &lt;EndNote&gt;&lt;Cite&gt;&lt;Author&gt;Chang&lt;/Author&gt;&lt;Year&gt;2011&lt;/Year&gt;&lt;RecNum&gt;312&lt;/RecNum&gt;&lt;DisplayText&gt;[46]&lt;/DisplayText&gt;&lt;record&gt;&lt;rec-number&gt;312&lt;/rec-number&gt;&lt;foreign-keys&gt;&lt;key app="EN" db-id="pv902f0emrpxwae0aecvvpapa20ep02dp9fp" timestamp="1690254738"&gt;312&lt;/key&gt;&lt;/foreign-keys&gt;&lt;ref-type name="Journal Article"&gt;17&lt;/ref-type&gt;&lt;contributors&gt;&lt;authors&gt;&lt;author&gt;Chih-Chung Chang&lt;/author&gt;&lt;author&gt;Chih-Jen Lin&lt;/author&gt;&lt;/authors&gt;&lt;/contributors&gt;&lt;titles&gt;&lt;title&gt;LIBSVM: A library for support vector machines&lt;/title&gt;&lt;secondary-title&gt;ACM Transactions on Intelligent Systems and Technology&lt;/secondary-title&gt;&lt;alt-title&gt;J ACM Trans. Intell. Syst. Technol.&lt;/alt-title&gt;&lt;/titles&gt;&lt;alt-periodical&gt;&lt;abbr-1&gt;J ACM Trans. Intell. Syst. Technol.&lt;/abbr-1&gt;&lt;/alt-periodical&gt;&lt;pages&gt;Article 27&lt;/pages&gt;&lt;volume&gt;2&lt;/volume&gt;&lt;number&gt;3 %J ACM Trans. Intell. Syst. Technol.&lt;/number&gt;&lt;keywords&gt;&lt;keyword&gt;Classification LIBSVM optimization regression support vector machines SVM&lt;/keyword&gt;&lt;/keywords&gt;&lt;dates&gt;&lt;year&gt;2011&lt;/year&gt;&lt;/dates&gt;&lt;isbn&gt;2157-6904&lt;/isbn&gt;&lt;urls&gt;&lt;related-urls&gt;&lt;url&gt;https://doi.org/10.1145/1961189.1961199&lt;/url&gt;&lt;/related-urls&gt;&lt;/urls&gt;&lt;electronic-resource-num&gt;https://doi.org/10.1145/1961189.1961199&lt;/electronic-resource-num&gt;&lt;/record&gt;&lt;/Cite&gt;&lt;/EndNote&gt;</w:instrText>
      </w:r>
      <w:r>
        <w:rPr>
          <w:rFonts w:ascii="Times New Roman" w:hAnsi="Times New Roman" w:cs="Times New Roman"/>
          <w:color w:val="000000" w:themeColor="text1"/>
        </w:rPr>
        <w:fldChar w:fldCharType="separate"/>
      </w:r>
      <w:r>
        <w:rPr>
          <w:rFonts w:ascii="Times New Roman" w:hAnsi="Times New Roman" w:cs="Times New Roman"/>
          <w:color w:val="000000" w:themeColor="text1"/>
        </w:rPr>
        <w:t>[46]</w:t>
      </w:r>
      <w:r>
        <w:rPr>
          <w:rFonts w:ascii="Times New Roman" w:hAnsi="Times New Roman" w:cs="Times New Roman"/>
          <w:color w:val="000000" w:themeColor="text1"/>
        </w:rPr>
        <w:fldChar w:fldCharType="end"/>
      </w:r>
      <w:r>
        <w:rPr>
          <w:rFonts w:ascii="Times New Roman" w:hAnsi="Times New Roman" w:cs="Times New Roman"/>
          <w:color w:val="000000" w:themeColor="text1"/>
        </w:rPr>
        <w:t>. It is an approximate implementation of structural risk minimization by introducing linear and nonlinear kernel functions. The Gaussian kernel function is used here.</w:t>
      </w:r>
    </w:p>
    <w:p w14:paraId="7E48C699">
      <w:pPr>
        <w:pStyle w:val="77"/>
        <w:numPr>
          <w:ilvl w:val="1"/>
          <w:numId w:val="6"/>
        </w:numPr>
        <w:rPr>
          <w:rFonts w:ascii="Times New Roman" w:hAnsi="Times New Roman" w:cs="Times New Roman"/>
          <w:color w:val="000000" w:themeColor="text1"/>
        </w:rPr>
      </w:pPr>
      <w:r>
        <w:rPr>
          <w:rFonts w:ascii="Times New Roman" w:hAnsi="Times New Roman" w:cs="Times New Roman"/>
          <w:color w:val="000000" w:themeColor="text1"/>
        </w:rPr>
        <w:t xml:space="preserve">RF: As a nonlinear ensemble method, RF builds a certain number (e.g., 200) of random individual decision regression trees for the bootstrap sample and then predicts the result by averaging all the predictions of the individual regression trees </w:t>
      </w:r>
      <w:r>
        <w:rPr>
          <w:rFonts w:ascii="Times New Roman" w:hAnsi="Times New Roman" w:cs="Times New Roman"/>
          <w:color w:val="000000" w:themeColor="text1"/>
        </w:rPr>
        <w:fldChar w:fldCharType="begin"/>
      </w:r>
      <w:r>
        <w:rPr>
          <w:rFonts w:ascii="Times New Roman" w:hAnsi="Times New Roman" w:cs="Times New Roman"/>
          <w:color w:val="000000" w:themeColor="text1"/>
        </w:rPr>
        <w:instrText xml:space="preserve"> ADDIN EN.CITE &lt;EndNote&gt;&lt;Cite&gt;&lt;Author&gt;Breiman&lt;/Author&gt;&lt;Year&gt;2001&lt;/Year&gt;&lt;RecNum&gt;217&lt;/RecNum&gt;&lt;DisplayText&gt;[47]&lt;/DisplayText&gt;&lt;record&gt;&lt;rec-number&gt;217&lt;/rec-number&gt;&lt;foreign-keys&gt;&lt;key app="EN" db-id="pv902f0emrpxwae0aecvvpapa20ep02dp9fp" timestamp="1667505487"&gt;217&lt;/key&gt;&lt;/foreign-keys&gt;&lt;ref-type name="Journal Article"&gt;17&lt;/ref-type&gt;&lt;contributors&gt;&lt;authors&gt;&lt;author&gt;Breiman, Leo&lt;/author&gt;&lt;/authors&gt;&lt;/contributors&gt;&lt;titles&gt;&lt;title&gt;Random Forests&lt;/title&gt;&lt;secondary-title&gt;Machine Learning&lt;/secondary-title&gt;&lt;/titles&gt;&lt;periodical&gt;&lt;full-title&gt;Machine Learning&lt;/full-title&gt;&lt;/periodical&gt;&lt;pages&gt;5-32&lt;/pages&gt;&lt;volume&gt;45&lt;/volume&gt;&lt;number&gt;1&lt;/number&gt;&lt;dates&gt;&lt;year&gt;2001&lt;/year&gt;&lt;pub-dates&gt;&lt;date&gt;2001/10/01&lt;/date&gt;&lt;/pub-dates&gt;&lt;/dates&gt;&lt;isbn&gt;1573-0565&lt;/isbn&gt;&lt;urls&gt;&lt;related-urls&gt;&lt;url&gt;https://doi.org/10.1023/A:1010933404324&lt;/url&gt;&lt;/related-urls&gt;&lt;/urls&gt;&lt;electronic-resource-num&gt;https://doi.org/10.1023/A:1010933404324&lt;/electronic-resource-num&gt;&lt;/record&gt;&lt;/Cite&gt;&lt;/EndNote&gt;</w:instrText>
      </w:r>
      <w:r>
        <w:rPr>
          <w:rFonts w:ascii="Times New Roman" w:hAnsi="Times New Roman" w:cs="Times New Roman"/>
          <w:color w:val="000000" w:themeColor="text1"/>
        </w:rPr>
        <w:fldChar w:fldCharType="separate"/>
      </w:r>
      <w:r>
        <w:rPr>
          <w:rFonts w:ascii="Times New Roman" w:hAnsi="Times New Roman" w:cs="Times New Roman"/>
          <w:color w:val="000000" w:themeColor="text1"/>
        </w:rPr>
        <w:t>[47]</w:t>
      </w:r>
      <w:r>
        <w:rPr>
          <w:rFonts w:ascii="Times New Roman" w:hAnsi="Times New Roman" w:cs="Times New Roman"/>
          <w:color w:val="000000" w:themeColor="text1"/>
        </w:rPr>
        <w:fldChar w:fldCharType="end"/>
      </w:r>
      <w:r>
        <w:rPr>
          <w:rFonts w:ascii="Times New Roman" w:hAnsi="Times New Roman" w:cs="Times New Roman"/>
          <w:color w:val="000000" w:themeColor="text1"/>
        </w:rPr>
        <w:t>. It holds the superiority of having interpretable results and surviving the common overfitting issue when dealing with high dimensional covariate.</w:t>
      </w:r>
    </w:p>
    <w:p w14:paraId="48F7D3C4">
      <w:pPr>
        <w:pStyle w:val="77"/>
        <w:numPr>
          <w:ilvl w:val="1"/>
          <w:numId w:val="6"/>
        </w:numPr>
        <w:rPr>
          <w:rFonts w:ascii="Times New Roman" w:hAnsi="Times New Roman" w:cs="Times New Roman"/>
          <w:color w:val="000000" w:themeColor="text1"/>
        </w:rPr>
      </w:pPr>
      <w:r>
        <w:rPr>
          <w:rFonts w:ascii="Times New Roman" w:hAnsi="Times New Roman" w:cs="Times New Roman"/>
          <w:color w:val="000000" w:themeColor="text1"/>
        </w:rPr>
        <w:t xml:space="preserve">CNN: As a feed-forward artificial neural network, CNN follows the method of gradient descent and extracts image features from training data using a small number of convolution kernel parameters. </w:t>
      </w:r>
      <w:r>
        <w:rPr>
          <w:color w:val="000000" w:themeColor="text1"/>
          <w:szCs w:val="21"/>
        </w:rPr>
        <w:pict>
          <v:shape id="_x0000_s8793" o:spid="_x0000_s8793" o:spt="202" type="#_x0000_t202" style="position:absolute;left:0pt;height:388.8pt;width:251.65pt;mso-position-horizontal:right;mso-position-horizontal-relative:margin;mso-position-vertical:top;mso-position-vertical-relative:margin;mso-wrap-distance-bottom:0pt;mso-wrap-distance-left:9pt;mso-wrap-distance-right:9pt;mso-wrap-distance-top:0pt;z-index:251667456;mso-width-relative:page;mso-height-relative:page;" stroked="f" coordsize="21600,21600">
            <v:path/>
            <v:fill focussize="0,0"/>
            <v:stroke on="f" joinstyle="miter"/>
            <v:imagedata o:title=""/>
            <o:lock v:ext="edit"/>
            <v:textbox inset="0mm,0mm,0mm,0mm">
              <w:txbxContent>
                <w:p w14:paraId="1FE8920A">
                  <w:r>
                    <w:rPr>
                      <w:szCs w:val="21"/>
                    </w:rPr>
                    <w:drawing>
                      <wp:inline distT="0" distB="0" distL="0" distR="0">
                        <wp:extent cx="3145155" cy="4235450"/>
                        <wp:effectExtent l="0" t="0" r="0" b="0"/>
                        <wp:docPr id="871528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528736" name="图片 1"/>
                                <pic:cNvPicPr>
                                  <a:picLocks noChangeAspect="1"/>
                                </pic:cNvPicPr>
                              </pic:nvPicPr>
                              <pic:blipFill>
                                <a:blip r:embed="rId14"/>
                                <a:stretch>
                                  <a:fillRect/>
                                </a:stretch>
                              </pic:blipFill>
                              <pic:spPr>
                                <a:xfrm>
                                  <a:off x="0" y="0"/>
                                  <a:ext cx="3148779" cy="4239742"/>
                                </a:xfrm>
                                <a:prstGeom prst="rect">
                                  <a:avLst/>
                                </a:prstGeom>
                              </pic:spPr>
                            </pic:pic>
                          </a:graphicData>
                        </a:graphic>
                      </wp:inline>
                    </w:drawing>
                  </w:r>
                </w:p>
                <w:p w14:paraId="3837438E">
                  <w:pPr>
                    <w:pStyle w:val="74"/>
                    <w:rPr>
                      <w:lang w:eastAsia="zh-CN"/>
                    </w:rPr>
                  </w:pPr>
                  <w:r>
                    <w:rPr>
                      <w:rFonts w:hint="eastAsia"/>
                      <w:b/>
                      <w:bCs/>
                    </w:rPr>
                    <w:t>F</w:t>
                  </w:r>
                  <w:r>
                    <w:rPr>
                      <w:b/>
                      <w:bCs/>
                    </w:rPr>
                    <w:t>ig</w:t>
                  </w:r>
                  <w:r>
                    <w:rPr>
                      <w:b/>
                      <w:bCs/>
                      <w:color w:val="000000" w:themeColor="text1"/>
                    </w:rPr>
                    <w:t xml:space="preserve">. </w:t>
                  </w:r>
                  <w:r>
                    <w:rPr>
                      <w:rFonts w:hint="eastAsia"/>
                      <w:b/>
                      <w:bCs/>
                      <w:color w:val="000000" w:themeColor="text1"/>
                      <w:lang w:eastAsia="zh-CN"/>
                    </w:rPr>
                    <w:t>8</w:t>
                  </w:r>
                  <w:r>
                    <w:rPr>
                      <w:b/>
                      <w:bCs/>
                      <w:color w:val="000000" w:themeColor="text1"/>
                    </w:rPr>
                    <w:t xml:space="preserve">. </w:t>
                  </w:r>
                  <w:r>
                    <w:rPr>
                      <w:color w:val="000000" w:themeColor="text1"/>
                    </w:rPr>
                    <w:t>Accuracy assessment of six metrics (</w:t>
                  </w:r>
                  <w:r>
                    <w:rPr>
                      <w:i/>
                      <w:iCs/>
                      <w:color w:val="000000" w:themeColor="text1"/>
                    </w:rPr>
                    <w:t>R</w:t>
                  </w:r>
                  <w:r>
                    <w:rPr>
                      <w:color w:val="000000" w:themeColor="text1"/>
                      <w:vertAlign w:val="superscript"/>
                    </w:rPr>
                    <w:t>2</w:t>
                  </w:r>
                  <w:r>
                    <w:rPr>
                      <w:color w:val="000000" w:themeColor="text1"/>
                    </w:rPr>
                    <w:t xml:space="preserve">, </w:t>
                  </w:r>
                  <w:r>
                    <w:rPr>
                      <w:i/>
                      <w:iCs/>
                      <w:color w:val="000000" w:themeColor="text1"/>
                    </w:rPr>
                    <w:t>IOA</w:t>
                  </w:r>
                  <w:r>
                    <w:rPr>
                      <w:color w:val="000000" w:themeColor="text1"/>
                    </w:rPr>
                    <w:t xml:space="preserve">, </w:t>
                  </w:r>
                  <w:r>
                    <w:rPr>
                      <w:i/>
                      <w:iCs/>
                      <w:color w:val="000000" w:themeColor="text1"/>
                    </w:rPr>
                    <w:t>RMSE</w:t>
                  </w:r>
                  <w:r>
                    <w:rPr>
                      <w:color w:val="000000" w:themeColor="text1"/>
                    </w:rPr>
                    <w:t xml:space="preserve">, </w:t>
                  </w:r>
                  <w:r>
                    <w:rPr>
                      <w:i/>
                      <w:iCs/>
                      <w:color w:val="000000" w:themeColor="text1"/>
                    </w:rPr>
                    <w:t>rRSME</w:t>
                  </w:r>
                  <w:r>
                    <w:rPr>
                      <w:color w:val="000000" w:themeColor="text1"/>
                    </w:rPr>
                    <w:t xml:space="preserve">, </w:t>
                  </w:r>
                  <w:r>
                    <w:rPr>
                      <w:i/>
                      <w:iCs/>
                      <w:color w:val="000000" w:themeColor="text1"/>
                    </w:rPr>
                    <w:t>MAE</w:t>
                  </w:r>
                  <w:r>
                    <w:rPr>
                      <w:color w:val="000000" w:themeColor="text1"/>
                    </w:rPr>
                    <w:t xml:space="preserve">, </w:t>
                  </w:r>
                  <w:r>
                    <w:rPr>
                      <w:i/>
                      <w:iCs/>
                      <w:color w:val="000000" w:themeColor="text1"/>
                    </w:rPr>
                    <w:t>ME</w:t>
                  </w:r>
                  <w:r>
                    <w:rPr>
                      <w:color w:val="000000" w:themeColor="text1"/>
                    </w:rPr>
                    <w:t>) and scatterplots for the six results based on the 2000 validation samples. (a) ELM r</w:t>
                  </w:r>
                  <w:r>
                    <w:t>egression result; (b) GRNN regression result; (c) SVR regression result; (d) RF regression result; (e) CNN regression result and (f) CNN_spatial regression result.</w:t>
                  </w:r>
                </w:p>
              </w:txbxContent>
            </v:textbox>
            <w10:wrap type="square"/>
          </v:shape>
        </w:pict>
      </w:r>
      <w:r>
        <w:rPr>
          <w:rFonts w:ascii="Times New Roman" w:hAnsi="Times New Roman" w:cs="Times New Roman"/>
          <w:color w:val="000000" w:themeColor="text1"/>
        </w:rPr>
        <w:t xml:space="preserve">Based on the concatenated pooling layer, CNN can achieve the goals of compressing the dimension of data and weakening overfitting issue, and then improve the fault tolerance rate and learn the deeper features of the multi-source data. CNN is widely used to provide solutions for classification and segmentation problems in remote sensing, and it also can be adjusted to solve regression issue. As shown in Fig. </w:t>
      </w:r>
      <w:r>
        <w:rPr>
          <w:rFonts w:hint="eastAsia" w:ascii="Times New Roman" w:hAnsi="Times New Roman" w:cs="Times New Roman"/>
          <w:color w:val="000000" w:themeColor="text1"/>
        </w:rPr>
        <w:t>7</w:t>
      </w:r>
      <w:r>
        <w:rPr>
          <w:rFonts w:ascii="Times New Roman" w:hAnsi="Times New Roman" w:cs="Times New Roman"/>
          <w:color w:val="000000" w:themeColor="text1"/>
        </w:rPr>
        <w:t xml:space="preserve">, we built two CNN regression networks to estimate AGBD in this study. With the same 1-D input data as the four machine learning methods, the first 1-D CNN model is built with six 1-D convolutional layers, two averaging pooling layers, one dropout layer, one fully connected layer and one regression layer. Moreover, to consider the spatial dependence of AGBD distribution, not only the single pixel value for each covariate but also its spatial neighborhoods within a neighboring window system (for example, </w:t>
      </w:r>
      <w:r>
        <w:rPr>
          <w:rFonts w:ascii="Times New Roman" w:hAnsi="Times New Roman" w:cs="Times New Roman"/>
          <w:i/>
          <w:iCs/>
          <w:color w:val="000000" w:themeColor="text1"/>
        </w:rPr>
        <w:t>w</w:t>
      </w:r>
      <w:r>
        <w:rPr>
          <w:rFonts w:ascii="Times New Roman" w:hAnsi="Times New Roman" w:cs="Times New Roman"/>
          <w:color w:val="000000" w:themeColor="text1"/>
        </w:rPr>
        <w:t xml:space="preserve"> = 5, which was chosen from the range of 3-11 by considering the tradeoff between the accuracy and computation time) are used as the 2-D input data of the CNN model, which is denoted as CNN_spatial. As shown in Fig. </w:t>
      </w:r>
      <w:r>
        <w:rPr>
          <w:rFonts w:hint="eastAsia" w:ascii="Times New Roman" w:hAnsi="Times New Roman" w:cs="Times New Roman"/>
          <w:color w:val="000000" w:themeColor="text1"/>
        </w:rPr>
        <w:t>7</w:t>
      </w:r>
      <w:r>
        <w:rPr>
          <w:rFonts w:ascii="Times New Roman" w:hAnsi="Times New Roman" w:cs="Times New Roman"/>
          <w:color w:val="000000" w:themeColor="text1"/>
        </w:rPr>
        <w:t>, the 2-D convolutional layers and averaging pooling layers are used in the CNN_spatial model. The Deep Learning Toolbox in MATLAB R2022a was used to complete the building of CNN and CNN_spatial models, and many parameters used the default values.</w:t>
      </w:r>
    </w:p>
    <w:p w14:paraId="6683ED87">
      <w:pPr>
        <w:pStyle w:val="3"/>
        <w:jc w:val="both"/>
        <w:rPr>
          <w:color w:val="000000" w:themeColor="text1"/>
        </w:rPr>
      </w:pPr>
      <w:r>
        <w:rPr>
          <w:color w:val="000000" w:themeColor="text1"/>
        </w:rPr>
        <w:t>Uncertainty of the spatio-temporally continuous GEDI AGBD</w:t>
      </w:r>
    </w:p>
    <w:p w14:paraId="6E3C4063">
      <w:pPr>
        <w:ind w:firstLine="400" w:firstLineChars="200"/>
        <w:jc w:val="both"/>
        <w:rPr>
          <w:color w:val="000000" w:themeColor="text1"/>
        </w:rPr>
      </w:pPr>
      <w:r>
        <w:rPr>
          <w:color w:val="000000" w:themeColor="text1"/>
        </w:rPr>
        <w:t xml:space="preserve">The uncertainty in the spatial continuous GEDI AGBD map for year </w:t>
      </w:r>
      <w:r>
        <w:rPr>
          <w:i/>
          <w:iCs/>
          <w:color w:val="000000" w:themeColor="text1"/>
        </w:rPr>
        <w:t>t</w:t>
      </w:r>
      <w:r>
        <w:rPr>
          <w:color w:val="000000" w:themeColor="text1"/>
        </w:rPr>
        <w:t xml:space="preserve"> primarily arises from the uncertainty associated with the training samples extracted from the original GEDI AGBD grids. In fact, each dependent variable within the GEDI AGBD training samples comprises an AGBD value along with its corresponding standard error. The AGBD value of a training sample can vary within a range of ± one standard error, and when performing nonlinear regression estimation based on the training samples, it’s crucial to account for the influence of this standard error. Assuming that all AGBD values of the training samples for the year </w:t>
      </w:r>
      <w:r>
        <w:rPr>
          <w:i/>
          <w:iCs/>
          <w:color w:val="000000" w:themeColor="text1"/>
        </w:rPr>
        <w:t>t</w:t>
      </w:r>
      <w:r>
        <w:rPr>
          <w:color w:val="000000" w:themeColor="text1"/>
        </w:rPr>
        <w:t xml:space="preserve"> are adjusted by adding the corresponding ± one standard error, the estimation of spatially continuous GEDI AGBD map is represented by equation (5) and equation (6).</w:t>
      </w:r>
    </w:p>
    <w:p w14:paraId="187F08D5">
      <w:pPr>
        <w:jc w:val="right"/>
        <w:rPr>
          <w:color w:val="000000" w:themeColor="text1"/>
          <w:sz w:val="18"/>
          <w:szCs w:val="18"/>
        </w:rPr>
      </w:pPr>
      <m:oMath>
        <m:r>
          <m:rPr/>
          <w:rPr>
            <w:rFonts w:ascii="Cambria Math" w:hAnsi="Cambria Math"/>
            <w:color w:val="000000" w:themeColor="text1"/>
            <w:sz w:val="18"/>
            <w:szCs w:val="18"/>
          </w:rPr>
          <m:t>Agb(t, +</m:t>
        </m:r>
        <m:r>
          <m:rPr>
            <m:sty m:val="p"/>
          </m:rPr>
          <w:rPr>
            <w:rFonts w:ascii="Cambria Math" w:hAnsi="Cambria Math"/>
            <w:color w:val="000000" w:themeColor="text1"/>
            <w:sz w:val="18"/>
            <w:szCs w:val="18"/>
          </w:rPr>
          <m:t>SE</m:t>
        </m:r>
        <m:r>
          <m:rPr/>
          <w:rPr>
            <w:rFonts w:ascii="Cambria Math" w:hAnsi="Cambria Math"/>
            <w:color w:val="000000" w:themeColor="text1"/>
            <w:sz w:val="18"/>
            <w:szCs w:val="18"/>
          </w:rPr>
          <m:t>)=NLregression([</m:t>
        </m:r>
        <m:r>
          <m:rPr/>
          <w:rPr>
            <w:rFonts w:ascii="Cambria Math" w:hAnsi="Cambria Math"/>
            <w:color w:val="000000" w:themeColor="text1"/>
            <w:sz w:val="18"/>
          </w:rPr>
          <m:t>Sample</m:t>
        </m:r>
        <m:d>
          <m:dPr>
            <m:ctrlPr>
              <w:rPr>
                <w:rFonts w:ascii="Cambria Math" w:hAnsi="Cambria Math"/>
                <w:i/>
                <w:color w:val="000000" w:themeColor="text1"/>
                <w:sz w:val="18"/>
              </w:rPr>
            </m:ctrlPr>
          </m:dPr>
          <m:e>
            <m:sSub>
              <m:sSubPr>
                <m:ctrlPr>
                  <w:rPr>
                    <w:rFonts w:ascii="Cambria Math" w:hAnsi="Cambria Math"/>
                    <w:i/>
                    <w:color w:val="000000" w:themeColor="text1"/>
                    <w:sz w:val="18"/>
                  </w:rPr>
                </m:ctrlPr>
              </m:sSubPr>
              <m:e>
                <m:r>
                  <m:rPr/>
                  <w:rPr>
                    <w:rFonts w:ascii="Cambria Math" w:hAnsi="Cambria Math"/>
                    <w:color w:val="000000" w:themeColor="text1"/>
                    <w:sz w:val="18"/>
                  </w:rPr>
                  <m:t>x</m:t>
                </m:r>
                <m:ctrlPr>
                  <w:rPr>
                    <w:rFonts w:ascii="Cambria Math" w:hAnsi="Cambria Math"/>
                    <w:i/>
                    <w:color w:val="000000" w:themeColor="text1"/>
                    <w:sz w:val="18"/>
                  </w:rPr>
                </m:ctrlPr>
              </m:e>
              <m:sub>
                <m:r>
                  <m:rPr/>
                  <w:rPr>
                    <w:rFonts w:ascii="Cambria Math" w:hAnsi="Cambria Math"/>
                    <w:color w:val="000000" w:themeColor="text1"/>
                    <w:sz w:val="18"/>
                  </w:rPr>
                  <m:t>i</m:t>
                </m:r>
                <m:ctrlPr>
                  <w:rPr>
                    <w:rFonts w:ascii="Cambria Math" w:hAnsi="Cambria Math"/>
                    <w:i/>
                    <w:color w:val="000000" w:themeColor="text1"/>
                    <w:sz w:val="18"/>
                  </w:rPr>
                </m:ctrlPr>
              </m:sub>
            </m:sSub>
            <m:d>
              <m:dPr>
                <m:ctrlPr>
                  <w:rPr>
                    <w:rFonts w:ascii="Cambria Math" w:hAnsi="Cambria Math"/>
                    <w:i/>
                    <w:color w:val="000000" w:themeColor="text1"/>
                    <w:sz w:val="18"/>
                  </w:rPr>
                </m:ctrlPr>
              </m:dPr>
              <m:e>
                <m:r>
                  <m:rPr/>
                  <w:rPr>
                    <w:rFonts w:ascii="Cambria Math" w:hAnsi="Cambria Math"/>
                    <w:color w:val="000000" w:themeColor="text1"/>
                    <w:sz w:val="18"/>
                  </w:rPr>
                  <m:t>t</m:t>
                </m:r>
                <m:ctrlPr>
                  <w:rPr>
                    <w:rFonts w:ascii="Cambria Math" w:hAnsi="Cambria Math"/>
                    <w:i/>
                    <w:color w:val="000000" w:themeColor="text1"/>
                    <w:sz w:val="18"/>
                  </w:rPr>
                </m:ctrlPr>
              </m:e>
            </m:d>
            <m:r>
              <m:rPr/>
              <w:rPr>
                <w:rFonts w:ascii="Cambria Math" w:hAnsi="Cambria Math"/>
                <w:color w:val="000000" w:themeColor="text1"/>
                <w:sz w:val="18"/>
              </w:rPr>
              <m:t>,train(+</m:t>
            </m:r>
            <m:r>
              <m:rPr>
                <m:sty m:val="p"/>
              </m:rPr>
              <w:rPr>
                <w:rFonts w:ascii="Cambria Math" w:hAnsi="Cambria Math"/>
                <w:color w:val="000000" w:themeColor="text1"/>
                <w:sz w:val="18"/>
              </w:rPr>
              <m:t>SE</m:t>
            </m:r>
            <m:r>
              <m:rPr/>
              <w:rPr>
                <w:rFonts w:ascii="Cambria Math" w:hAnsi="Cambria Math"/>
                <w:color w:val="000000" w:themeColor="text1"/>
                <w:sz w:val="18"/>
              </w:rPr>
              <m:t>)</m:t>
            </m:r>
            <m:ctrlPr>
              <w:rPr>
                <w:rFonts w:ascii="Cambria Math" w:hAnsi="Cambria Math"/>
                <w:i/>
                <w:color w:val="000000" w:themeColor="text1"/>
                <w:sz w:val="18"/>
              </w:rPr>
            </m:ctrlPr>
          </m:e>
        </m:d>
        <m:r>
          <m:rPr/>
          <w:rPr>
            <w:rFonts w:ascii="Cambria Math" w:hAnsi="Cambria Math"/>
            <w:color w:val="000000" w:themeColor="text1"/>
            <w:sz w:val="18"/>
          </w:rPr>
          <m:t>,i=1,2,⋯M]</m:t>
        </m:r>
        <m:r>
          <m:rPr/>
          <w:rPr>
            <w:rFonts w:ascii="Cambria Math" w:hAnsi="Cambria Math"/>
            <w:color w:val="000000" w:themeColor="text1"/>
            <w:sz w:val="18"/>
            <w:szCs w:val="18"/>
          </w:rPr>
          <m:t>)</m:t>
        </m:r>
      </m:oMath>
      <w:r>
        <w:rPr>
          <w:color w:val="000000" w:themeColor="text1"/>
          <w:sz w:val="18"/>
          <w:szCs w:val="18"/>
        </w:rPr>
        <w:t>,                                         (5)</w:t>
      </w:r>
    </w:p>
    <w:p w14:paraId="5C829863">
      <w:pPr>
        <w:jc w:val="right"/>
        <w:rPr>
          <w:color w:val="000000" w:themeColor="text1"/>
          <w:sz w:val="18"/>
        </w:rPr>
      </w:pPr>
      <m:oMath>
        <m:r>
          <m:rPr/>
          <w:rPr>
            <w:rFonts w:ascii="Cambria Math" w:hAnsi="Cambria Math"/>
            <w:color w:val="000000" w:themeColor="text1"/>
            <w:sz w:val="18"/>
            <w:szCs w:val="18"/>
          </w:rPr>
          <m:t>Agb(t, −</m:t>
        </m:r>
        <m:r>
          <m:rPr>
            <m:sty m:val="p"/>
          </m:rPr>
          <w:rPr>
            <w:rFonts w:ascii="Cambria Math" w:hAnsi="Cambria Math"/>
            <w:color w:val="000000" w:themeColor="text1"/>
            <w:sz w:val="18"/>
            <w:szCs w:val="18"/>
          </w:rPr>
          <m:t>SE</m:t>
        </m:r>
        <m:r>
          <m:rPr/>
          <w:rPr>
            <w:rFonts w:ascii="Cambria Math" w:hAnsi="Cambria Math"/>
            <w:color w:val="000000" w:themeColor="text1"/>
            <w:sz w:val="18"/>
            <w:szCs w:val="18"/>
          </w:rPr>
          <m:t>)=NLregression([</m:t>
        </m:r>
        <m:r>
          <m:rPr/>
          <w:rPr>
            <w:rFonts w:ascii="Cambria Math" w:hAnsi="Cambria Math"/>
            <w:color w:val="000000" w:themeColor="text1"/>
            <w:sz w:val="18"/>
          </w:rPr>
          <m:t>Sample</m:t>
        </m:r>
        <m:d>
          <m:dPr>
            <m:ctrlPr>
              <w:rPr>
                <w:rFonts w:ascii="Cambria Math" w:hAnsi="Cambria Math"/>
                <w:i/>
                <w:color w:val="000000" w:themeColor="text1"/>
                <w:sz w:val="18"/>
              </w:rPr>
            </m:ctrlPr>
          </m:dPr>
          <m:e>
            <m:sSub>
              <m:sSubPr>
                <m:ctrlPr>
                  <w:rPr>
                    <w:rFonts w:ascii="Cambria Math" w:hAnsi="Cambria Math"/>
                    <w:i/>
                    <w:color w:val="000000" w:themeColor="text1"/>
                    <w:sz w:val="18"/>
                  </w:rPr>
                </m:ctrlPr>
              </m:sSubPr>
              <m:e>
                <m:r>
                  <m:rPr/>
                  <w:rPr>
                    <w:rFonts w:ascii="Cambria Math" w:hAnsi="Cambria Math"/>
                    <w:color w:val="000000" w:themeColor="text1"/>
                    <w:sz w:val="18"/>
                  </w:rPr>
                  <m:t>x</m:t>
                </m:r>
                <m:ctrlPr>
                  <w:rPr>
                    <w:rFonts w:ascii="Cambria Math" w:hAnsi="Cambria Math"/>
                    <w:i/>
                    <w:color w:val="000000" w:themeColor="text1"/>
                    <w:sz w:val="18"/>
                  </w:rPr>
                </m:ctrlPr>
              </m:e>
              <m:sub>
                <m:r>
                  <m:rPr/>
                  <w:rPr>
                    <w:rFonts w:ascii="Cambria Math" w:hAnsi="Cambria Math"/>
                    <w:color w:val="000000" w:themeColor="text1"/>
                    <w:sz w:val="18"/>
                  </w:rPr>
                  <m:t>i</m:t>
                </m:r>
                <m:ctrlPr>
                  <w:rPr>
                    <w:rFonts w:ascii="Cambria Math" w:hAnsi="Cambria Math"/>
                    <w:i/>
                    <w:color w:val="000000" w:themeColor="text1"/>
                    <w:sz w:val="18"/>
                  </w:rPr>
                </m:ctrlPr>
              </m:sub>
            </m:sSub>
            <m:d>
              <m:dPr>
                <m:ctrlPr>
                  <w:rPr>
                    <w:rFonts w:ascii="Cambria Math" w:hAnsi="Cambria Math"/>
                    <w:i/>
                    <w:color w:val="000000" w:themeColor="text1"/>
                    <w:sz w:val="18"/>
                  </w:rPr>
                </m:ctrlPr>
              </m:dPr>
              <m:e>
                <m:r>
                  <m:rPr/>
                  <w:rPr>
                    <w:rFonts w:ascii="Cambria Math" w:hAnsi="Cambria Math"/>
                    <w:color w:val="000000" w:themeColor="text1"/>
                    <w:sz w:val="18"/>
                  </w:rPr>
                  <m:t>t</m:t>
                </m:r>
                <m:ctrlPr>
                  <w:rPr>
                    <w:rFonts w:ascii="Cambria Math" w:hAnsi="Cambria Math"/>
                    <w:i/>
                    <w:color w:val="000000" w:themeColor="text1"/>
                    <w:sz w:val="18"/>
                  </w:rPr>
                </m:ctrlPr>
              </m:e>
            </m:d>
            <m:r>
              <m:rPr/>
              <w:rPr>
                <w:rFonts w:ascii="Cambria Math" w:hAnsi="Cambria Math"/>
                <w:color w:val="000000" w:themeColor="text1"/>
                <w:sz w:val="18"/>
              </w:rPr>
              <m:t>,train(−</m:t>
            </m:r>
            <m:r>
              <m:rPr>
                <m:sty m:val="p"/>
              </m:rPr>
              <w:rPr>
                <w:rFonts w:ascii="Cambria Math" w:hAnsi="Cambria Math"/>
                <w:color w:val="000000" w:themeColor="text1"/>
                <w:sz w:val="18"/>
              </w:rPr>
              <m:t>SE</m:t>
            </m:r>
            <m:r>
              <m:rPr/>
              <w:rPr>
                <w:rFonts w:ascii="Cambria Math" w:hAnsi="Cambria Math"/>
                <w:color w:val="000000" w:themeColor="text1"/>
                <w:sz w:val="18"/>
              </w:rPr>
              <m:t>)</m:t>
            </m:r>
            <m:ctrlPr>
              <w:rPr>
                <w:rFonts w:ascii="Cambria Math" w:hAnsi="Cambria Math"/>
                <w:i/>
                <w:color w:val="000000" w:themeColor="text1"/>
                <w:sz w:val="18"/>
              </w:rPr>
            </m:ctrlPr>
          </m:e>
        </m:d>
        <m:r>
          <m:rPr/>
          <w:rPr>
            <w:rFonts w:ascii="Cambria Math" w:hAnsi="Cambria Math"/>
            <w:color w:val="000000" w:themeColor="text1"/>
            <w:sz w:val="18"/>
          </w:rPr>
          <m:t>,i=1,2,⋯M]</m:t>
        </m:r>
        <m:r>
          <m:rPr/>
          <w:rPr>
            <w:rFonts w:ascii="Cambria Math" w:hAnsi="Cambria Math"/>
            <w:color w:val="000000" w:themeColor="text1"/>
            <w:sz w:val="18"/>
            <w:szCs w:val="18"/>
          </w:rPr>
          <m:t>)</m:t>
        </m:r>
      </m:oMath>
      <w:r>
        <w:rPr>
          <w:color w:val="000000" w:themeColor="text1"/>
          <w:sz w:val="18"/>
          <w:szCs w:val="18"/>
        </w:rPr>
        <w:t>,                                           (6)</w:t>
      </w:r>
    </w:p>
    <w:p w14:paraId="191CF2F9">
      <w:pPr>
        <w:jc w:val="both"/>
        <w:rPr>
          <w:color w:val="000000" w:themeColor="text1"/>
        </w:rPr>
      </w:pPr>
      <w:r>
        <w:rPr>
          <w:color w:val="000000" w:themeColor="text1"/>
        </w:rPr>
        <w:t xml:space="preserve">where the </w:t>
      </w:r>
      <m:oMath>
        <m:r>
          <m:rPr/>
          <w:rPr>
            <w:rFonts w:ascii="Cambria Math" w:hAnsi="Cambria Math"/>
            <w:color w:val="000000" w:themeColor="text1"/>
          </w:rPr>
          <m:t>train(+</m:t>
        </m:r>
        <m:r>
          <m:rPr>
            <m:sty m:val="p"/>
          </m:rPr>
          <w:rPr>
            <w:rFonts w:ascii="Cambria Math" w:hAnsi="Cambria Math"/>
            <w:color w:val="000000" w:themeColor="text1"/>
          </w:rPr>
          <m:t>SE</m:t>
        </m:r>
        <m:r>
          <m:rPr/>
          <w:rPr>
            <w:rFonts w:ascii="Cambria Math" w:hAnsi="Cambria Math"/>
            <w:color w:val="000000" w:themeColor="text1"/>
          </w:rPr>
          <m:t>)</m:t>
        </m:r>
      </m:oMath>
      <w:r>
        <w:rPr>
          <w:color w:val="000000" w:themeColor="text1"/>
        </w:rPr>
        <w:t xml:space="preserve"> and </w:t>
      </w:r>
      <m:oMath>
        <m:r>
          <m:rPr/>
          <w:rPr>
            <w:rFonts w:ascii="Cambria Math" w:hAnsi="Cambria Math"/>
            <w:color w:val="000000" w:themeColor="text1"/>
          </w:rPr>
          <m:t>train(−</m:t>
        </m:r>
        <m:r>
          <m:rPr>
            <m:sty m:val="p"/>
          </m:rPr>
          <w:rPr>
            <w:rFonts w:ascii="Cambria Math" w:hAnsi="Cambria Math"/>
            <w:color w:val="000000" w:themeColor="text1"/>
          </w:rPr>
          <m:t>SE</m:t>
        </m:r>
        <m:r>
          <m:rPr/>
          <w:rPr>
            <w:rFonts w:ascii="Cambria Math" w:hAnsi="Cambria Math"/>
            <w:color w:val="000000" w:themeColor="text1"/>
          </w:rPr>
          <m:t>)</m:t>
        </m:r>
      </m:oMath>
      <w:r>
        <w:rPr>
          <w:color w:val="000000" w:themeColor="text1"/>
        </w:rPr>
        <w:t xml:space="preserve"> are training samples with GEDI AGBD values adding and subtracting one standard error, respectively. </w:t>
      </w:r>
      <m:oMath>
        <m:r>
          <m:rPr/>
          <w:rPr>
            <w:rFonts w:ascii="Cambria Math" w:hAnsi="Cambria Math"/>
            <w:color w:val="000000" w:themeColor="text1"/>
          </w:rPr>
          <m:t>Agb(t, +</m:t>
        </m:r>
        <m:r>
          <m:rPr>
            <m:sty m:val="p"/>
          </m:rPr>
          <w:rPr>
            <w:rFonts w:ascii="Cambria Math" w:hAnsi="Cambria Math"/>
            <w:color w:val="000000" w:themeColor="text1"/>
          </w:rPr>
          <m:t>SE</m:t>
        </m:r>
        <m:r>
          <m:rPr/>
          <w:rPr>
            <w:rFonts w:ascii="Cambria Math" w:hAnsi="Cambria Math"/>
            <w:color w:val="000000" w:themeColor="text1"/>
          </w:rPr>
          <m:t>)</m:t>
        </m:r>
      </m:oMath>
      <w:r>
        <w:rPr>
          <w:color w:val="000000" w:themeColor="text1"/>
        </w:rPr>
        <w:t xml:space="preserve"> and </w:t>
      </w:r>
      <m:oMath>
        <m:r>
          <m:rPr/>
          <w:rPr>
            <w:rFonts w:ascii="Cambria Math" w:hAnsi="Cambria Math"/>
            <w:color w:val="000000" w:themeColor="text1"/>
          </w:rPr>
          <m:t>Agb(t, −</m:t>
        </m:r>
        <m:r>
          <m:rPr>
            <m:sty m:val="p"/>
          </m:rPr>
          <w:rPr>
            <w:rFonts w:ascii="Cambria Math" w:hAnsi="Cambria Math"/>
            <w:color w:val="000000" w:themeColor="text1"/>
          </w:rPr>
          <m:t>SE</m:t>
        </m:r>
        <m:r>
          <m:rPr/>
          <w:rPr>
            <w:rFonts w:ascii="Cambria Math" w:hAnsi="Cambria Math"/>
            <w:color w:val="000000" w:themeColor="text1"/>
          </w:rPr>
          <m:t>)</m:t>
        </m:r>
      </m:oMath>
      <w:r>
        <w:rPr>
          <w:color w:val="000000" w:themeColor="text1"/>
        </w:rPr>
        <w:t xml:space="preserve"> are the AGBD maps estimated with training samples </w:t>
      </w:r>
      <m:oMath>
        <m:r>
          <m:rPr/>
          <w:rPr>
            <w:rFonts w:ascii="Cambria Math" w:hAnsi="Cambria Math"/>
            <w:color w:val="000000" w:themeColor="text1"/>
          </w:rPr>
          <m:t>train(+</m:t>
        </m:r>
        <m:r>
          <m:rPr>
            <m:sty m:val="p"/>
          </m:rPr>
          <w:rPr>
            <w:rFonts w:ascii="Cambria Math" w:hAnsi="Cambria Math"/>
            <w:color w:val="000000" w:themeColor="text1"/>
          </w:rPr>
          <m:t>SE</m:t>
        </m:r>
        <m:r>
          <m:rPr/>
          <w:rPr>
            <w:rFonts w:ascii="Cambria Math" w:hAnsi="Cambria Math"/>
            <w:color w:val="000000" w:themeColor="text1"/>
          </w:rPr>
          <m:t>)</m:t>
        </m:r>
      </m:oMath>
      <w:r>
        <w:rPr>
          <w:color w:val="000000" w:themeColor="text1"/>
        </w:rPr>
        <w:t xml:space="preserve"> and </w:t>
      </w:r>
      <m:oMath>
        <m:r>
          <m:rPr/>
          <w:rPr>
            <w:rFonts w:ascii="Cambria Math" w:hAnsi="Cambria Math"/>
            <w:color w:val="000000" w:themeColor="text1"/>
          </w:rPr>
          <m:t>train(−</m:t>
        </m:r>
        <m:r>
          <m:rPr>
            <m:sty m:val="p"/>
          </m:rPr>
          <w:rPr>
            <w:rFonts w:ascii="Cambria Math" w:hAnsi="Cambria Math"/>
            <w:color w:val="000000" w:themeColor="text1"/>
          </w:rPr>
          <m:t>SE</m:t>
        </m:r>
        <m:r>
          <m:rPr/>
          <w:rPr>
            <w:rFonts w:ascii="Cambria Math" w:hAnsi="Cambria Math"/>
            <w:color w:val="000000" w:themeColor="text1"/>
          </w:rPr>
          <m:t>)</m:t>
        </m:r>
      </m:oMath>
      <w:r>
        <w:rPr>
          <w:color w:val="000000" w:themeColor="text1"/>
        </w:rPr>
        <w:t xml:space="preserve">. Based on AGBD maps estimated with equations (4), (5) and (6), the standard error for the spatial continuous GEDI AGBD map </w:t>
      </w:r>
      <m:oMath>
        <m:r>
          <m:rPr/>
          <w:rPr>
            <w:rFonts w:ascii="Cambria Math" w:hAnsi="Cambria Math"/>
            <w:color w:val="000000" w:themeColor="text1"/>
          </w:rPr>
          <m:t>Agb(t)</m:t>
        </m:r>
      </m:oMath>
      <w:r>
        <w:rPr>
          <w:color w:val="000000" w:themeColor="text1"/>
        </w:rPr>
        <w:t xml:space="preserve"> in Section 3.2 can be expressed by equation (7).</w:t>
      </w:r>
    </w:p>
    <w:p w14:paraId="06A1E83E">
      <w:pPr>
        <w:spacing w:line="360" w:lineRule="auto"/>
        <w:jc w:val="right"/>
        <w:rPr>
          <w:color w:val="000000" w:themeColor="text1"/>
          <w:szCs w:val="21"/>
        </w:rPr>
      </w:pPr>
      <m:oMath>
        <m:r>
          <m:rPr/>
          <w:rPr>
            <w:rFonts w:ascii="Cambria Math" w:hAnsi="Cambria Math"/>
            <w:color w:val="000000" w:themeColor="text1"/>
          </w:rPr>
          <m:t>SEagb</m:t>
        </m:r>
        <m:d>
          <m:dPr>
            <m:ctrlPr>
              <w:rPr>
                <w:rFonts w:ascii="Cambria Math" w:hAnsi="Cambria Math"/>
                <w:i/>
                <w:color w:val="000000" w:themeColor="text1"/>
              </w:rPr>
            </m:ctrlPr>
          </m:dPr>
          <m:e>
            <m:r>
              <m:rPr/>
              <w:rPr>
                <w:rFonts w:ascii="Cambria Math" w:hAnsi="Cambria Math"/>
                <w:color w:val="000000" w:themeColor="text1"/>
              </w:rPr>
              <m:t>t</m:t>
            </m:r>
            <m:ctrlPr>
              <w:rPr>
                <w:rFonts w:ascii="Cambria Math" w:hAnsi="Cambria Math"/>
                <w:i/>
                <w:color w:val="000000" w:themeColor="text1"/>
              </w:rPr>
            </m:ctrlPr>
          </m:e>
        </m:d>
        <m:r>
          <m:rPr/>
          <w:rPr>
            <w:rFonts w:ascii="Cambria Math" w:hAnsi="Cambria Math"/>
            <w:color w:val="000000" w:themeColor="text1"/>
          </w:rPr>
          <m:t>=0.5×(</m:t>
        </m:r>
        <m:d>
          <m:dPr>
            <m:begChr m:val="|"/>
            <m:endChr m:val="|"/>
            <m:ctrlPr>
              <w:rPr>
                <w:rFonts w:ascii="Cambria Math" w:hAnsi="Cambria Math"/>
                <w:i/>
                <w:color w:val="000000" w:themeColor="text1"/>
              </w:rPr>
            </m:ctrlPr>
          </m:dPr>
          <m:e>
            <m:r>
              <m:rPr/>
              <w:rPr>
                <w:rFonts w:ascii="Cambria Math" w:hAnsi="Cambria Math"/>
                <w:color w:val="000000" w:themeColor="text1"/>
              </w:rPr>
              <m:t>Agb</m:t>
            </m:r>
            <m:d>
              <m:dPr>
                <m:ctrlPr>
                  <w:rPr>
                    <w:rFonts w:ascii="Cambria Math" w:hAnsi="Cambria Math"/>
                    <w:i/>
                    <w:color w:val="000000" w:themeColor="text1"/>
                  </w:rPr>
                </m:ctrlPr>
              </m:dPr>
              <m:e>
                <m:r>
                  <m:rPr/>
                  <w:rPr>
                    <w:rFonts w:ascii="Cambria Math" w:hAnsi="Cambria Math"/>
                    <w:color w:val="000000" w:themeColor="text1"/>
                  </w:rPr>
                  <m:t>t</m:t>
                </m:r>
                <m:ctrlPr>
                  <w:rPr>
                    <w:rFonts w:ascii="Cambria Math" w:hAnsi="Cambria Math"/>
                    <w:i/>
                    <w:color w:val="000000" w:themeColor="text1"/>
                  </w:rPr>
                </m:ctrlPr>
              </m:e>
            </m:d>
            <m:r>
              <m:rPr/>
              <w:rPr>
                <w:rFonts w:ascii="Cambria Math" w:hAnsi="Cambria Math"/>
                <w:color w:val="000000" w:themeColor="text1"/>
              </w:rPr>
              <m:t>−Agb(t, +</m:t>
            </m:r>
            <m:r>
              <m:rPr>
                <m:sty m:val="p"/>
              </m:rPr>
              <w:rPr>
                <w:rFonts w:ascii="Cambria Math" w:hAnsi="Cambria Math"/>
                <w:color w:val="000000" w:themeColor="text1"/>
              </w:rPr>
              <m:t>SE</m:t>
            </m:r>
            <m:r>
              <m:rPr/>
              <w:rPr>
                <w:rFonts w:ascii="Cambria Math" w:hAnsi="Cambria Math"/>
                <w:color w:val="000000" w:themeColor="text1"/>
              </w:rPr>
              <m:t>)</m:t>
            </m:r>
            <m:ctrlPr>
              <w:rPr>
                <w:rFonts w:ascii="Cambria Math" w:hAnsi="Cambria Math"/>
                <w:i/>
                <w:color w:val="000000" w:themeColor="text1"/>
              </w:rPr>
            </m:ctrlPr>
          </m:e>
        </m:d>
        <m:r>
          <m:rPr/>
          <w:rPr>
            <w:rFonts w:ascii="Cambria Math" w:hAnsi="Cambria Math"/>
            <w:color w:val="000000" w:themeColor="text1"/>
          </w:rPr>
          <m:t>+</m:t>
        </m:r>
        <m:d>
          <m:dPr>
            <m:begChr m:val="|"/>
            <m:endChr m:val="|"/>
            <m:ctrlPr>
              <w:rPr>
                <w:rFonts w:ascii="Cambria Math" w:hAnsi="Cambria Math"/>
                <w:i/>
                <w:color w:val="000000" w:themeColor="text1"/>
              </w:rPr>
            </m:ctrlPr>
          </m:dPr>
          <m:e>
            <m:r>
              <m:rPr/>
              <w:rPr>
                <w:rFonts w:ascii="Cambria Math" w:hAnsi="Cambria Math"/>
                <w:color w:val="000000" w:themeColor="text1"/>
              </w:rPr>
              <m:t>Agb</m:t>
            </m:r>
            <m:d>
              <m:dPr>
                <m:ctrlPr>
                  <w:rPr>
                    <w:rFonts w:ascii="Cambria Math" w:hAnsi="Cambria Math"/>
                    <w:i/>
                    <w:color w:val="000000" w:themeColor="text1"/>
                  </w:rPr>
                </m:ctrlPr>
              </m:dPr>
              <m:e>
                <m:r>
                  <m:rPr/>
                  <w:rPr>
                    <w:rFonts w:ascii="Cambria Math" w:hAnsi="Cambria Math"/>
                    <w:color w:val="000000" w:themeColor="text1"/>
                  </w:rPr>
                  <m:t>t</m:t>
                </m:r>
                <m:ctrlPr>
                  <w:rPr>
                    <w:rFonts w:ascii="Cambria Math" w:hAnsi="Cambria Math"/>
                    <w:i/>
                    <w:color w:val="000000" w:themeColor="text1"/>
                  </w:rPr>
                </m:ctrlPr>
              </m:e>
            </m:d>
            <m:r>
              <m:rPr/>
              <w:rPr>
                <w:rFonts w:ascii="Cambria Math" w:hAnsi="Cambria Math"/>
                <w:color w:val="000000" w:themeColor="text1"/>
              </w:rPr>
              <m:t>−Agb(t, −</m:t>
            </m:r>
            <m:r>
              <m:rPr>
                <m:sty m:val="p"/>
              </m:rPr>
              <w:rPr>
                <w:rFonts w:ascii="Cambria Math" w:hAnsi="Cambria Math"/>
                <w:color w:val="000000" w:themeColor="text1"/>
              </w:rPr>
              <m:t>SE</m:t>
            </m:r>
            <m:r>
              <m:rPr/>
              <w:rPr>
                <w:rFonts w:ascii="Cambria Math" w:hAnsi="Cambria Math"/>
                <w:color w:val="000000" w:themeColor="text1"/>
              </w:rPr>
              <m:t>)</m:t>
            </m:r>
            <m:ctrlPr>
              <w:rPr>
                <w:rFonts w:ascii="Cambria Math" w:hAnsi="Cambria Math"/>
                <w:i/>
                <w:color w:val="000000" w:themeColor="text1"/>
              </w:rPr>
            </m:ctrlPr>
          </m:e>
        </m:d>
        <m:r>
          <m:rPr/>
          <w:rPr>
            <w:rFonts w:ascii="Cambria Math" w:hAnsi="Cambria Math"/>
            <w:color w:val="000000" w:themeColor="text1"/>
          </w:rPr>
          <m:t>)</m:t>
        </m:r>
      </m:oMath>
      <w:r>
        <w:rPr>
          <w:color w:val="000000" w:themeColor="text1"/>
        </w:rPr>
        <w:t>,                       (7)</w:t>
      </w:r>
    </w:p>
    <w:p w14:paraId="0C574554">
      <w:pPr>
        <w:jc w:val="both"/>
        <w:rPr>
          <w:b/>
          <w:bCs/>
          <w:color w:val="000000" w:themeColor="text1"/>
          <w:szCs w:val="21"/>
        </w:rPr>
      </w:pPr>
      <w:r>
        <w:rPr>
          <w:color w:val="000000" w:themeColor="text1"/>
          <w:szCs w:val="21"/>
        </w:rPr>
        <w:t xml:space="preserve">in which </w:t>
      </w:r>
      <m:oMath>
        <m:r>
          <m:rPr/>
          <w:rPr>
            <w:rFonts w:ascii="Cambria Math" w:hAnsi="Cambria Math"/>
            <w:color w:val="000000" w:themeColor="text1"/>
          </w:rPr>
          <m:t>SEagb</m:t>
        </m:r>
        <m:d>
          <m:dPr>
            <m:ctrlPr>
              <w:rPr>
                <w:rFonts w:ascii="Cambria Math" w:hAnsi="Cambria Math"/>
                <w:i/>
                <w:color w:val="000000" w:themeColor="text1"/>
              </w:rPr>
            </m:ctrlPr>
          </m:dPr>
          <m:e>
            <m:r>
              <m:rPr/>
              <w:rPr>
                <w:rFonts w:ascii="Cambria Math" w:hAnsi="Cambria Math"/>
                <w:color w:val="000000" w:themeColor="text1"/>
              </w:rPr>
              <m:t>t</m:t>
            </m:r>
            <m:ctrlPr>
              <w:rPr>
                <w:rFonts w:ascii="Cambria Math" w:hAnsi="Cambria Math"/>
                <w:i/>
                <w:color w:val="000000" w:themeColor="text1"/>
              </w:rPr>
            </m:ctrlPr>
          </m:e>
        </m:d>
      </m:oMath>
      <w:r>
        <w:rPr>
          <w:color w:val="000000" w:themeColor="text1"/>
        </w:rPr>
        <w:t xml:space="preserve"> is the standard error map associated with the estimated </w:t>
      </w:r>
      <w:r>
        <w:rPr>
          <w:color w:val="000000" w:themeColor="text1"/>
          <w:szCs w:val="21"/>
        </w:rPr>
        <w:t xml:space="preserve">spatial continuous GEDI AGBD map </w:t>
      </w:r>
      <m:oMath>
        <m:r>
          <m:rPr/>
          <w:rPr>
            <w:rFonts w:ascii="Cambria Math" w:hAnsi="Cambria Math"/>
            <w:color w:val="000000" w:themeColor="text1"/>
          </w:rPr>
          <m:t>Agb(t)</m:t>
        </m:r>
      </m:oMath>
      <w:r>
        <w:rPr>
          <w:color w:val="000000" w:themeColor="text1"/>
        </w:rPr>
        <w:t>, and it can be calculated for all the estimated AGBD maps during 2015-2020.</w:t>
      </w:r>
    </w:p>
    <w:p w14:paraId="0B0B60D7">
      <w:pPr>
        <w:pStyle w:val="3"/>
        <w:numPr>
          <w:ilvl w:val="0"/>
          <w:numId w:val="0"/>
        </w:numPr>
        <w:jc w:val="both"/>
        <w:rPr>
          <w:color w:val="000000" w:themeColor="text1"/>
          <w:lang w:eastAsia="zh-CN"/>
        </w:rPr>
      </w:pPr>
      <w:r>
        <w:rPr>
          <w:color w:val="000000" w:themeColor="text1"/>
        </w:rPr>
        <w:t>D. Accuracy assessment</w:t>
      </w:r>
      <w:r>
        <w:rPr>
          <w:rFonts w:hint="eastAsia"/>
          <w:color w:val="000000" w:themeColor="text1"/>
          <w:lang w:eastAsia="zh-CN"/>
        </w:rPr>
        <w:t xml:space="preserve"> and comparison</w:t>
      </w:r>
    </w:p>
    <w:p w14:paraId="4E8EC9DB">
      <w:pPr>
        <w:ind w:firstLine="400" w:firstLineChars="200"/>
        <w:jc w:val="both"/>
        <w:rPr>
          <w:color w:val="000000" w:themeColor="text1"/>
        </w:rPr>
      </w:pPr>
      <w:r>
        <w:rPr>
          <w:color w:val="000000" w:themeColor="text1"/>
          <w:szCs w:val="21"/>
        </w:rPr>
        <w:t xml:space="preserve">The Accuracy assessment of the </w:t>
      </w:r>
      <w:r>
        <w:rPr>
          <w:color w:val="000000" w:themeColor="text1"/>
        </w:rPr>
        <w:t>spatially continuous GEDI AGBD maps generated by different methods was based on the randomly selected 2000 validation samples for each year within 2015-2020</w:t>
      </w:r>
      <w:r>
        <w:rPr>
          <w:rFonts w:hint="eastAsia"/>
          <w:color w:val="000000" w:themeColor="text1"/>
          <w:lang w:eastAsia="zh-CN"/>
        </w:rPr>
        <w:t>, as well as the reference AGBD collected from the 182 field plots around 2017</w:t>
      </w:r>
      <w:r>
        <w:rPr>
          <w:color w:val="000000" w:themeColor="text1"/>
        </w:rPr>
        <w:t>. Six accuracy metrics were employed to assess the generated AGBD maps: coefficient of determination (</w:t>
      </w:r>
      <w:r>
        <w:rPr>
          <w:i/>
          <w:iCs/>
          <w:color w:val="000000" w:themeColor="text1"/>
        </w:rPr>
        <w:t>R</w:t>
      </w:r>
      <w:r>
        <w:rPr>
          <w:color w:val="000000" w:themeColor="text1"/>
          <w:vertAlign w:val="superscript"/>
        </w:rPr>
        <w:t>2</w:t>
      </w:r>
      <w:r>
        <w:rPr>
          <w:color w:val="000000" w:themeColor="text1"/>
        </w:rPr>
        <w:t xml:space="preserve">) (equation (8)), </w:t>
      </w:r>
      <w:bookmarkStart w:id="16" w:name="_Hlk141694804"/>
      <w:r>
        <w:rPr>
          <w:color w:val="000000" w:themeColor="text1"/>
        </w:rPr>
        <w:t>index of agreement (</w:t>
      </w:r>
      <w:r>
        <w:rPr>
          <w:i/>
          <w:iCs/>
          <w:color w:val="000000" w:themeColor="text1"/>
        </w:rPr>
        <w:t>IOA</w:t>
      </w:r>
      <w:r>
        <w:rPr>
          <w:color w:val="000000" w:themeColor="text1"/>
        </w:rPr>
        <w:t>)</w:t>
      </w:r>
      <w:bookmarkEnd w:id="16"/>
      <w:r>
        <w:rPr>
          <w:color w:val="000000" w:themeColor="text1"/>
        </w:rPr>
        <w:t xml:space="preserve"> (equation (9)), root mean square error (</w:t>
      </w:r>
      <w:r>
        <w:rPr>
          <w:i/>
          <w:iCs/>
          <w:color w:val="000000" w:themeColor="text1"/>
        </w:rPr>
        <w:t>RMSE</w:t>
      </w:r>
      <w:r>
        <w:rPr>
          <w:color w:val="000000" w:themeColor="text1"/>
        </w:rPr>
        <w:t xml:space="preserve">) (equation (10)), </w:t>
      </w:r>
      <w:bookmarkStart w:id="17" w:name="_Hlk141694819"/>
      <w:r>
        <w:rPr>
          <w:color w:val="000000" w:themeColor="text1"/>
        </w:rPr>
        <w:t>relative root mean square error (</w:t>
      </w:r>
      <w:r>
        <w:rPr>
          <w:i/>
          <w:iCs/>
          <w:color w:val="000000" w:themeColor="text1"/>
        </w:rPr>
        <w:t>rRMSE</w:t>
      </w:r>
      <w:r>
        <w:rPr>
          <w:color w:val="000000" w:themeColor="text1"/>
        </w:rPr>
        <w:t xml:space="preserve">) </w:t>
      </w:r>
      <w:bookmarkEnd w:id="17"/>
      <w:r>
        <w:rPr>
          <w:color w:val="000000" w:themeColor="text1"/>
        </w:rPr>
        <w:t>(equation (11)), mean absolute difference (</w:t>
      </w:r>
      <w:r>
        <w:rPr>
          <w:i/>
          <w:iCs/>
          <w:color w:val="000000" w:themeColor="text1"/>
        </w:rPr>
        <w:t>MAE</w:t>
      </w:r>
      <w:r>
        <w:rPr>
          <w:color w:val="000000" w:themeColor="text1"/>
        </w:rPr>
        <w:t>) (equation (12)) and mean error (</w:t>
      </w:r>
      <w:r>
        <w:rPr>
          <w:i/>
          <w:iCs/>
          <w:color w:val="000000" w:themeColor="text1"/>
        </w:rPr>
        <w:t>ME</w:t>
      </w:r>
      <w:r>
        <w:rPr>
          <w:color w:val="000000" w:themeColor="text1"/>
        </w:rPr>
        <w:t>) (equation (13)).</w:t>
      </w:r>
    </w:p>
    <w:p w14:paraId="56E2C7C6">
      <w:pPr>
        <w:wordWrap w:val="0"/>
        <w:spacing w:line="360" w:lineRule="auto"/>
        <w:jc w:val="right"/>
        <w:rPr>
          <w:color w:val="000000" w:themeColor="text1"/>
        </w:rPr>
      </w:pPr>
      <m:oMath>
        <m:sSup>
          <m:sSupPr>
            <m:ctrlPr>
              <w:rPr>
                <w:rFonts w:ascii="Cambria Math" w:hAnsi="Cambria Math"/>
                <w:i/>
                <w:color w:val="000000" w:themeColor="text1"/>
              </w:rPr>
            </m:ctrlPr>
          </m:sSupPr>
          <m:e>
            <m:r>
              <m:rPr/>
              <w:rPr>
                <w:rFonts w:ascii="Cambria Math" w:hAnsi="Cambria Math"/>
                <w:color w:val="000000" w:themeColor="text1"/>
              </w:rPr>
              <m:t>R</m:t>
            </m:r>
            <m:ctrlPr>
              <w:rPr>
                <w:rFonts w:ascii="Cambria Math" w:hAnsi="Cambria Math"/>
                <w:i/>
                <w:color w:val="000000" w:themeColor="text1"/>
              </w:rPr>
            </m:ctrlPr>
          </m:e>
          <m:sup>
            <m:r>
              <m:rPr/>
              <w:rPr>
                <w:rFonts w:ascii="Cambria Math" w:hAnsi="Cambria Math"/>
                <w:color w:val="000000" w:themeColor="text1"/>
              </w:rPr>
              <m:t>2</m:t>
            </m:r>
            <m:ctrlPr>
              <w:rPr>
                <w:rFonts w:ascii="Cambria Math" w:hAnsi="Cambria Math"/>
                <w:i/>
                <w:color w:val="000000" w:themeColor="text1"/>
              </w:rPr>
            </m:ctrlPr>
          </m:sup>
        </m:sSup>
        <m:r>
          <m:rPr/>
          <w:rPr>
            <w:rFonts w:ascii="Cambria Math" w:hAnsi="Cambria Math"/>
            <w:color w:val="000000" w:themeColor="text1"/>
          </w:rPr>
          <m:t>=1−</m:t>
        </m:r>
        <m:f>
          <m:fPr>
            <m:ctrlPr>
              <w:rPr>
                <w:rFonts w:ascii="Cambria Math" w:hAnsi="Cambria Math"/>
                <w:i/>
                <w:color w:val="000000" w:themeColor="text1"/>
              </w:rPr>
            </m:ctrlPr>
          </m:fPr>
          <m:num>
            <m:nary>
              <m:naryPr>
                <m:chr m:val="∑"/>
                <m:limLoc m:val="subSup"/>
                <m:ctrlPr>
                  <w:rPr>
                    <w:rFonts w:ascii="Cambria Math" w:hAnsi="Cambria Math"/>
                    <w:i/>
                    <w:color w:val="000000" w:themeColor="text1"/>
                  </w:rPr>
                </m:ctrlPr>
              </m:naryPr>
              <m:sub>
                <m:r>
                  <m:rPr/>
                  <w:rPr>
                    <w:rFonts w:ascii="Cambria Math" w:hAnsi="Cambria Math"/>
                    <w:color w:val="000000" w:themeColor="text1"/>
                  </w:rPr>
                  <m:t>i</m:t>
                </m:r>
                <m:ctrlPr>
                  <w:rPr>
                    <w:rFonts w:ascii="Cambria Math" w:hAnsi="Cambria Math"/>
                    <w:i/>
                    <w:color w:val="000000" w:themeColor="text1"/>
                  </w:rPr>
                </m:ctrlPr>
              </m:sub>
              <m:sup>
                <m:r>
                  <m:rPr/>
                  <w:rPr>
                    <w:rFonts w:ascii="Cambria Math" w:hAnsi="Cambria Math"/>
                    <w:color w:val="000000" w:themeColor="text1"/>
                  </w:rPr>
                  <m:t>N</m:t>
                </m:r>
                <m:ctrlPr>
                  <w:rPr>
                    <w:rFonts w:ascii="Cambria Math" w:hAnsi="Cambria Math"/>
                    <w:i/>
                    <w:color w:val="000000" w:themeColor="text1"/>
                  </w:rPr>
                </m:ctrlPr>
              </m:sup>
              <m:e>
                <m:sSup>
                  <m:sSupPr>
                    <m:ctrlPr>
                      <w:rPr>
                        <w:rFonts w:ascii="Cambria Math" w:hAnsi="Cambria Math"/>
                        <w:i/>
                        <w:color w:val="000000" w:themeColor="text1"/>
                      </w:rPr>
                    </m:ctrlPr>
                  </m:sSupPr>
                  <m:e>
                    <m:r>
                      <m:rPr/>
                      <w:rPr>
                        <w:rFonts w:ascii="Cambria Math" w:hAns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sSub>
                      <m:sSubPr>
                        <m:ctrlPr>
                          <w:rPr>
                            <w:rFonts w:ascii="Cambria Math" w:hAnsi="Cambria Math"/>
                            <w:i/>
                            <w:color w:val="000000" w:themeColor="text1"/>
                          </w:rPr>
                        </m:ctrlPr>
                      </m:sSubPr>
                      <m:e>
                        <m:r>
                          <m:rPr/>
                          <w:rPr>
                            <w:rFonts w:ascii="Cambria Math" w:hAnsi="Cambria Math"/>
                            <w:color w:val="000000" w:themeColor="text1"/>
                          </w:rPr>
                          <m:t>y</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ctrlPr>
                      <w:rPr>
                        <w:rFonts w:ascii="Cambria Math" w:hAnsi="Cambria Math"/>
                        <w:i/>
                        <w:color w:val="000000" w:themeColor="text1"/>
                      </w:rPr>
                    </m:ctrlPr>
                  </m:e>
                  <m:sup>
                    <m:r>
                      <m:rPr/>
                      <w:rPr>
                        <w:rFonts w:ascii="Cambria Math" w:hAnsi="Cambria Math"/>
                        <w:color w:val="000000" w:themeColor="text1"/>
                      </w:rPr>
                      <m:t>2</m:t>
                    </m:r>
                    <m:ctrlPr>
                      <w:rPr>
                        <w:rFonts w:ascii="Cambria Math" w:hAnsi="Cambria Math"/>
                        <w:i/>
                        <w:color w:val="000000" w:themeColor="text1"/>
                      </w:rPr>
                    </m:ctrlPr>
                  </m:sup>
                </m:sSup>
                <m:ctrlPr>
                  <w:rPr>
                    <w:rFonts w:ascii="Cambria Math" w:hAnsi="Cambria Math"/>
                    <w:i/>
                    <w:color w:val="000000" w:themeColor="text1"/>
                  </w:rPr>
                </m:ctrlPr>
              </m:e>
            </m:nary>
            <m:ctrlPr>
              <w:rPr>
                <w:rFonts w:ascii="Cambria Math" w:hAnsi="Cambria Math"/>
                <w:i/>
                <w:color w:val="000000" w:themeColor="text1"/>
              </w:rPr>
            </m:ctrlPr>
          </m:num>
          <m:den>
            <m:nary>
              <m:naryPr>
                <m:chr m:val="∑"/>
                <m:limLoc m:val="subSup"/>
                <m:ctrlPr>
                  <w:rPr>
                    <w:rFonts w:ascii="Cambria Math" w:hAnsi="Cambria Math"/>
                    <w:i/>
                    <w:color w:val="000000" w:themeColor="text1"/>
                  </w:rPr>
                </m:ctrlPr>
              </m:naryPr>
              <m:sub>
                <m:r>
                  <m:rPr/>
                  <w:rPr>
                    <w:rFonts w:ascii="Cambria Math" w:hAnsi="Cambria Math"/>
                    <w:color w:val="000000" w:themeColor="text1"/>
                  </w:rPr>
                  <m:t>i</m:t>
                </m:r>
                <m:ctrlPr>
                  <w:rPr>
                    <w:rFonts w:ascii="Cambria Math" w:hAnsi="Cambria Math"/>
                    <w:i/>
                    <w:color w:val="000000" w:themeColor="text1"/>
                  </w:rPr>
                </m:ctrlPr>
              </m:sub>
              <m:sup>
                <m:r>
                  <m:rPr/>
                  <w:rPr>
                    <w:rFonts w:ascii="Cambria Math" w:hAnsi="Cambria Math"/>
                    <w:color w:val="000000" w:themeColor="text1"/>
                  </w:rPr>
                  <m:t>N</m:t>
                </m:r>
                <m:ctrlPr>
                  <w:rPr>
                    <w:rFonts w:ascii="Cambria Math" w:hAnsi="Cambria Math"/>
                    <w:i/>
                    <w:color w:val="000000" w:themeColor="text1"/>
                  </w:rPr>
                </m:ctrlPr>
              </m:sup>
              <m:e>
                <m:sSup>
                  <m:sSupPr>
                    <m:ctrlPr>
                      <w:rPr>
                        <w:rFonts w:ascii="Cambria Math" w:hAnsi="Cambria Math"/>
                        <w:i/>
                        <w:color w:val="000000" w:themeColor="text1"/>
                      </w:rPr>
                    </m:ctrlPr>
                  </m:sSupPr>
                  <m:e>
                    <m:r>
                      <m:rPr/>
                      <w:rPr>
                        <w:rFonts w:ascii="Cambria Math" w:hAnsi="Cambria Math"/>
                        <w:color w:val="000000" w:themeColor="text1"/>
                      </w:rPr>
                      <m:t>(</m:t>
                    </m:r>
                    <m:sSub>
                      <m:sSubPr>
                        <m:ctrlPr>
                          <w:rPr>
                            <w:rFonts w:ascii="Cambria Math" w:hAnsi="Cambria Math"/>
                            <w:i/>
                            <w:color w:val="000000" w:themeColor="text1"/>
                          </w:rPr>
                        </m:ctrlPr>
                      </m:sSubPr>
                      <m:e>
                        <m:r>
                          <m:rPr/>
                          <w:rPr>
                            <w:rFonts w:ascii="Cambria Math" w:hAnsi="Cambria Math"/>
                            <w:color w:val="000000" w:themeColor="text1"/>
                          </w:rPr>
                          <m:t>y</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acc>
                      <m:accPr>
                        <m:chr m:val="̅"/>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r>
                      <m:rPr/>
                      <w:rPr>
                        <w:rFonts w:ascii="Cambria Math" w:hAnsi="Cambria Math"/>
                        <w:color w:val="000000" w:themeColor="text1"/>
                      </w:rPr>
                      <m:t>)</m:t>
                    </m:r>
                    <m:ctrlPr>
                      <w:rPr>
                        <w:rFonts w:ascii="Cambria Math" w:hAnsi="Cambria Math"/>
                        <w:i/>
                        <w:color w:val="000000" w:themeColor="text1"/>
                      </w:rPr>
                    </m:ctrlPr>
                  </m:e>
                  <m:sup>
                    <m:r>
                      <m:rPr/>
                      <w:rPr>
                        <w:rFonts w:ascii="Cambria Math" w:hAnsi="Cambria Math"/>
                        <w:color w:val="000000" w:themeColor="text1"/>
                      </w:rPr>
                      <m:t>2</m:t>
                    </m:r>
                    <m:ctrlPr>
                      <w:rPr>
                        <w:rFonts w:ascii="Cambria Math" w:hAnsi="Cambria Math"/>
                        <w:i/>
                        <w:color w:val="000000" w:themeColor="text1"/>
                      </w:rPr>
                    </m:ctrlPr>
                  </m:sup>
                </m:sSup>
                <m:ctrlPr>
                  <w:rPr>
                    <w:rFonts w:ascii="Cambria Math" w:hAnsi="Cambria Math"/>
                    <w:i/>
                    <w:color w:val="000000" w:themeColor="text1"/>
                  </w:rPr>
                </m:ctrlPr>
              </m:e>
            </m:nary>
            <m:ctrlPr>
              <w:rPr>
                <w:rFonts w:ascii="Cambria Math" w:hAnsi="Cambria Math"/>
                <w:i/>
                <w:color w:val="000000" w:themeColor="text1"/>
              </w:rPr>
            </m:ctrlPr>
          </m:den>
        </m:f>
      </m:oMath>
      <w:r>
        <w:rPr>
          <w:color w:val="000000" w:themeColor="text1"/>
        </w:rPr>
        <w:t>,                                (8)</w:t>
      </w:r>
    </w:p>
    <w:p w14:paraId="5516E260">
      <w:pPr>
        <w:wordWrap w:val="0"/>
        <w:spacing w:line="360" w:lineRule="auto"/>
        <w:jc w:val="right"/>
        <w:rPr>
          <w:color w:val="000000" w:themeColor="text1"/>
        </w:rPr>
      </w:pPr>
      <w:bookmarkStart w:id="18" w:name="_Hlk141694853"/>
      <m:oMath>
        <m:r>
          <m:rPr/>
          <w:rPr>
            <w:rFonts w:ascii="Cambria Math" w:hAnsi="Cambria Math"/>
            <w:color w:val="000000" w:themeColor="text1"/>
          </w:rPr>
          <m:t>IOA=</m:t>
        </m:r>
        <m:d>
          <m:dPr>
            <m:begChr m:val="["/>
            <m:endChr m:val="]"/>
            <m:ctrlPr>
              <w:rPr>
                <w:rFonts w:ascii="Cambria Math" w:hAnsi="Cambria Math"/>
                <w:i/>
                <w:color w:val="000000" w:themeColor="text1"/>
              </w:rPr>
            </m:ctrlPr>
          </m:dPr>
          <m:e>
            <m:r>
              <m:rPr/>
              <w:rPr>
                <w:rFonts w:ascii="Cambria Math" w:hAnsi="Cambria Math"/>
                <w:color w:val="000000" w:themeColor="text1"/>
              </w:rPr>
              <m:t>1−</m:t>
            </m:r>
            <m:f>
              <m:fPr>
                <m:ctrlPr>
                  <w:rPr>
                    <w:rFonts w:ascii="Cambria Math" w:hAnsi="Cambria Math"/>
                    <w:i/>
                    <w:color w:val="000000" w:themeColor="text1"/>
                  </w:rPr>
                </m:ctrlPr>
              </m:fPr>
              <m:num>
                <m:nary>
                  <m:naryPr>
                    <m:chr m:val="∑"/>
                    <m:limLoc m:val="subSup"/>
                    <m:supHide m:val="1"/>
                    <m:ctrlPr>
                      <w:rPr>
                        <w:rFonts w:ascii="Cambria Math" w:hAnsi="Cambria Math"/>
                        <w:i/>
                        <w:color w:val="000000" w:themeColor="text1"/>
                      </w:rPr>
                    </m:ctrlPr>
                  </m:naryPr>
                  <m:sub>
                    <m:r>
                      <m:rPr/>
                      <w:rPr>
                        <w:rFonts w:ascii="Cambria Math" w:hAnsi="Cambria Math"/>
                        <w:color w:val="000000" w:themeColor="text1"/>
                      </w:rPr>
                      <m:t>i</m:t>
                    </m:r>
                    <m:ctrlPr>
                      <w:rPr>
                        <w:rFonts w:ascii="Cambria Math" w:hAnsi="Cambria Math"/>
                        <w:i/>
                        <w:color w:val="000000" w:themeColor="text1"/>
                      </w:rPr>
                    </m:ctrlPr>
                  </m:sub>
                  <m:sup>
                    <m:ctrlPr>
                      <w:rPr>
                        <w:rFonts w:ascii="Cambria Math" w:hAnsi="Cambria Math"/>
                        <w:i/>
                        <w:color w:val="000000" w:themeColor="text1"/>
                      </w:rPr>
                    </m:ctrlPr>
                  </m:sup>
                  <m:e>
                    <m:sSup>
                      <m:sSupPr>
                        <m:ctrlPr>
                          <w:rPr>
                            <w:rFonts w:ascii="Cambria Math" w:hAnsi="Cambria Math"/>
                            <w:i/>
                            <w:color w:val="000000" w:themeColor="text1"/>
                          </w:rPr>
                        </m:ctrlPr>
                      </m:sSupPr>
                      <m:e>
                        <m:d>
                          <m:dPr>
                            <m:ctrlPr>
                              <w:rPr>
                                <w:rFonts w:ascii="Cambria Math" w:hAnsi="Cambria Math"/>
                                <w:i/>
                                <w:color w:val="000000" w:themeColor="text1"/>
                              </w:rPr>
                            </m:ctrlPr>
                          </m:dPr>
                          <m:e>
                            <m:sSub>
                              <m:sSubPr>
                                <m:ctrlPr>
                                  <w:rPr>
                                    <w:rFonts w:ascii="Cambria Math" w:hAnsi="Cambria Math"/>
                                    <w:i/>
                                    <w:color w:val="000000" w:themeColor="text1"/>
                                  </w:rPr>
                                </m:ctrlPr>
                              </m:sSubPr>
                              <m:e>
                                <m:acc>
                                  <m:accPr>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sSub>
                              <m:sSubPr>
                                <m:ctrlPr>
                                  <w:rPr>
                                    <w:rFonts w:ascii="Cambria Math" w:hAnsi="Cambria Math"/>
                                    <w:i/>
                                    <w:color w:val="000000" w:themeColor="text1"/>
                                  </w:rPr>
                                </m:ctrlPr>
                              </m:sSubPr>
                              <m:e>
                                <m:r>
                                  <m:rPr/>
                                  <w:rPr>
                                    <w:rFonts w:ascii="Cambria Math" w:hAnsi="Cambria Math"/>
                                    <w:color w:val="000000" w:themeColor="text1"/>
                                  </w:rPr>
                                  <m:t>y</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ctrlPr>
                              <w:rPr>
                                <w:rFonts w:ascii="Cambria Math" w:hAnsi="Cambria Math"/>
                                <w:i/>
                                <w:color w:val="000000" w:themeColor="text1"/>
                              </w:rPr>
                            </m:ctrlPr>
                          </m:e>
                        </m:d>
                        <m:ctrlPr>
                          <w:rPr>
                            <w:rFonts w:ascii="Cambria Math" w:hAnsi="Cambria Math"/>
                            <w:i/>
                            <w:color w:val="000000" w:themeColor="text1"/>
                          </w:rPr>
                        </m:ctrlPr>
                      </m:e>
                      <m:sup>
                        <m:r>
                          <m:rPr/>
                          <w:rPr>
                            <w:rFonts w:ascii="Cambria Math" w:hAnsi="Cambria Math"/>
                            <w:color w:val="000000" w:themeColor="text1"/>
                          </w:rPr>
                          <m:t>2</m:t>
                        </m:r>
                        <m:ctrlPr>
                          <w:rPr>
                            <w:rFonts w:ascii="Cambria Math" w:hAnsi="Cambria Math"/>
                            <w:i/>
                            <w:color w:val="000000" w:themeColor="text1"/>
                          </w:rPr>
                        </m:ctrlPr>
                      </m:sup>
                    </m:sSup>
                    <m:ctrlPr>
                      <w:rPr>
                        <w:rFonts w:ascii="Cambria Math" w:hAnsi="Cambria Math"/>
                        <w:i/>
                        <w:color w:val="000000" w:themeColor="text1"/>
                      </w:rPr>
                    </m:ctrlPr>
                  </m:e>
                </m:nary>
                <m:ctrlPr>
                  <w:rPr>
                    <w:rFonts w:ascii="Cambria Math" w:hAnsi="Cambria Math"/>
                    <w:i/>
                    <w:color w:val="000000" w:themeColor="text1"/>
                  </w:rPr>
                </m:ctrlPr>
              </m:num>
              <m:den>
                <m:nary>
                  <m:naryPr>
                    <m:chr m:val="∑"/>
                    <m:limLoc m:val="subSup"/>
                    <m:supHide m:val="1"/>
                    <m:ctrlPr>
                      <w:rPr>
                        <w:rFonts w:ascii="Cambria Math" w:hAnsi="Cambria Math"/>
                        <w:i/>
                        <w:color w:val="000000" w:themeColor="text1"/>
                      </w:rPr>
                    </m:ctrlPr>
                  </m:naryPr>
                  <m:sub>
                    <m:r>
                      <m:rPr/>
                      <w:rPr>
                        <w:rFonts w:ascii="Cambria Math" w:hAnsi="Cambria Math"/>
                        <w:color w:val="000000" w:themeColor="text1"/>
                      </w:rPr>
                      <m:t>i</m:t>
                    </m:r>
                    <m:ctrlPr>
                      <w:rPr>
                        <w:rFonts w:ascii="Cambria Math" w:hAnsi="Cambria Math"/>
                        <w:i/>
                        <w:color w:val="000000" w:themeColor="text1"/>
                      </w:rPr>
                    </m:ctrlPr>
                  </m:sub>
                  <m:sup>
                    <m:ctrlPr>
                      <w:rPr>
                        <w:rFonts w:ascii="Cambria Math" w:hAnsi="Cambria Math"/>
                        <w:i/>
                        <w:color w:val="000000" w:themeColor="text1"/>
                      </w:rPr>
                    </m:ctrlPr>
                  </m:sup>
                  <m:e>
                    <m:sSup>
                      <m:sSupPr>
                        <m:ctrlPr>
                          <w:rPr>
                            <w:rFonts w:ascii="Cambria Math" w:hAnsi="Cambria Math"/>
                            <w:i/>
                            <w:color w:val="000000" w:themeColor="text1"/>
                          </w:rPr>
                        </m:ctrlPr>
                      </m:sSupPr>
                      <m:e>
                        <m:d>
                          <m:dPr>
                            <m:ctrlPr>
                              <w:rPr>
                                <w:rFonts w:ascii="Cambria Math" w:hAnsi="Cambria Math"/>
                                <w:i/>
                                <w:color w:val="000000" w:themeColor="text1"/>
                              </w:rPr>
                            </m:ctrlPr>
                          </m:dPr>
                          <m:e>
                            <m:d>
                              <m:dPr>
                                <m:begChr m:val="|"/>
                                <m:endChr m:val="|"/>
                                <m:ctrlPr>
                                  <w:rPr>
                                    <w:rFonts w:ascii="Cambria Math" w:hAnsi="Cambria Math"/>
                                    <w:i/>
                                    <w:color w:val="000000" w:themeColor="text1"/>
                                  </w:rPr>
                                </m:ctrlPr>
                              </m:dPr>
                              <m:e>
                                <m:acc>
                                  <m:accPr>
                                    <m:chr m:val="̅"/>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r>
                                  <m:rPr/>
                                  <w:rPr>
                                    <w:rFonts w:ascii="Cambria Math" w:hAnsi="Cambria Math"/>
                                    <w:color w:val="000000" w:themeColor="text1"/>
                                  </w:rPr>
                                  <m:t>−</m:t>
                                </m:r>
                                <m:sSub>
                                  <m:sSubPr>
                                    <m:ctrlPr>
                                      <w:rPr>
                                        <w:rFonts w:ascii="Cambria Math" w:hAnsi="Cambria Math"/>
                                        <w:i/>
                                        <w:color w:val="000000" w:themeColor="text1"/>
                                      </w:rPr>
                                    </m:ctrlPr>
                                  </m:sSubPr>
                                  <m:e>
                                    <m:r>
                                      <m:rPr/>
                                      <w:rPr>
                                        <w:rFonts w:ascii="Cambria Math" w:hAnsi="Cambria Math"/>
                                        <w:color w:val="000000" w:themeColor="text1"/>
                                      </w:rPr>
                                      <m:t>y</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ctrlPr>
                                  <w:rPr>
                                    <w:rFonts w:ascii="Cambria Math" w:hAnsi="Cambria Math"/>
                                    <w:i/>
                                    <w:color w:val="000000" w:themeColor="text1"/>
                                  </w:rPr>
                                </m:ctrlPr>
                              </m:e>
                            </m:d>
                            <m:r>
                              <m:rP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acc>
                                      <m:accPr>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sSub>
                                  <m:sSubPr>
                                    <m:ctrlPr>
                                      <w:rPr>
                                        <w:rFonts w:ascii="Cambria Math" w:hAnsi="Cambria Math"/>
                                        <w:i/>
                                        <w:color w:val="000000" w:themeColor="text1"/>
                                      </w:rPr>
                                    </m:ctrlPr>
                                  </m:sSubPr>
                                  <m:e>
                                    <m:r>
                                      <m:rPr/>
                                      <w:rPr>
                                        <w:rFonts w:ascii="Cambria Math" w:hAnsi="Cambria Math"/>
                                        <w:color w:val="000000" w:themeColor="text1"/>
                                      </w:rPr>
                                      <m:t>y</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ctrlPr>
                                  <w:rPr>
                                    <w:rFonts w:ascii="Cambria Math" w:hAnsi="Cambria Math"/>
                                    <w:i/>
                                    <w:color w:val="000000" w:themeColor="text1"/>
                                  </w:rPr>
                                </m:ctrlPr>
                              </m:e>
                            </m:d>
                            <m:ctrlPr>
                              <w:rPr>
                                <w:rFonts w:ascii="Cambria Math" w:hAnsi="Cambria Math"/>
                                <w:i/>
                                <w:color w:val="000000" w:themeColor="text1"/>
                              </w:rPr>
                            </m:ctrlPr>
                          </m:e>
                        </m:d>
                        <m:ctrlPr>
                          <w:rPr>
                            <w:rFonts w:ascii="Cambria Math" w:hAnsi="Cambria Math"/>
                            <w:i/>
                            <w:color w:val="000000" w:themeColor="text1"/>
                          </w:rPr>
                        </m:ctrlPr>
                      </m:e>
                      <m:sup>
                        <m:r>
                          <m:rPr/>
                          <w:rPr>
                            <w:rFonts w:ascii="Cambria Math" w:hAnsi="Cambria Math"/>
                            <w:color w:val="000000" w:themeColor="text1"/>
                          </w:rPr>
                          <m:t>2</m:t>
                        </m:r>
                        <m:ctrlPr>
                          <w:rPr>
                            <w:rFonts w:ascii="Cambria Math" w:hAnsi="Cambria Math"/>
                            <w:i/>
                            <w:color w:val="000000" w:themeColor="text1"/>
                          </w:rPr>
                        </m:ctrlPr>
                      </m:sup>
                    </m:sSup>
                    <m:ctrlPr>
                      <w:rPr>
                        <w:rFonts w:ascii="Cambria Math" w:hAnsi="Cambria Math"/>
                        <w:i/>
                        <w:color w:val="000000" w:themeColor="text1"/>
                      </w:rPr>
                    </m:ctrlPr>
                  </m:e>
                </m:nary>
                <m:ctrlPr>
                  <w:rPr>
                    <w:rFonts w:ascii="Cambria Math" w:hAnsi="Cambria Math"/>
                    <w:i/>
                    <w:color w:val="000000" w:themeColor="text1"/>
                  </w:rPr>
                </m:ctrlPr>
              </m:den>
            </m:f>
            <m:ctrlPr>
              <w:rPr>
                <w:rFonts w:ascii="Cambria Math" w:hAnsi="Cambria Math"/>
                <w:i/>
                <w:color w:val="000000" w:themeColor="text1"/>
              </w:rPr>
            </m:ctrlPr>
          </m:e>
        </m:d>
        <m:r>
          <m:rPr/>
          <w:rPr>
            <w:rFonts w:ascii="Cambria Math" w:hAnsi="Cambria Math"/>
            <w:color w:val="000000" w:themeColor="text1"/>
          </w:rPr>
          <m:t>×100%</m:t>
        </m:r>
      </m:oMath>
      <w:r>
        <w:rPr>
          <w:color w:val="000000" w:themeColor="text1"/>
        </w:rPr>
        <w:t>,                (9)</w:t>
      </w:r>
    </w:p>
    <w:bookmarkEnd w:id="18"/>
    <w:p w14:paraId="69F768D8">
      <w:pPr>
        <w:wordWrap w:val="0"/>
        <w:spacing w:line="360" w:lineRule="auto"/>
        <w:jc w:val="right"/>
        <w:rPr>
          <w:color w:val="000000" w:themeColor="text1"/>
          <w:szCs w:val="21"/>
        </w:rPr>
      </w:pPr>
      <m:oMath>
        <m:r>
          <m:rPr/>
          <w:rPr>
            <w:rFonts w:ascii="Cambria Math" w:hAnsi="Cambria Math"/>
            <w:color w:val="000000" w:themeColor="text1"/>
          </w:rPr>
          <m:t>RMSE=</m:t>
        </m:r>
        <m:rad>
          <m:radPr>
            <m:degHide m:val="1"/>
            <m:ctrlPr>
              <w:rPr>
                <w:rFonts w:ascii="Cambria Math" w:hAnsi="Cambria Math"/>
                <w:i/>
                <w:color w:val="000000" w:themeColor="text1"/>
              </w:rPr>
            </m:ctrlPr>
          </m:radPr>
          <m:deg>
            <m:ctrlPr>
              <w:rPr>
                <w:rFonts w:ascii="Cambria Math" w:hAnsi="Cambria Math"/>
                <w:i/>
                <w:color w:val="000000" w:themeColor="text1"/>
              </w:rPr>
            </m:ctrlPr>
          </m:deg>
          <m:e>
            <m:f>
              <m:fPr>
                <m:ctrlPr>
                  <w:rPr>
                    <w:rFonts w:ascii="Cambria Math" w:hAnsi="Cambria Math"/>
                    <w:i/>
                    <w:color w:val="000000" w:themeColor="text1"/>
                  </w:rPr>
                </m:ctrlPr>
              </m:fPr>
              <m:num>
                <m:r>
                  <m:rPr/>
                  <w:rPr>
                    <w:rFonts w:ascii="Cambria Math" w:hAnsi="Cambria Math"/>
                    <w:color w:val="000000" w:themeColor="text1"/>
                  </w:rPr>
                  <m:t>1</m:t>
                </m:r>
                <m:ctrlPr>
                  <w:rPr>
                    <w:rFonts w:ascii="Cambria Math" w:hAnsi="Cambria Math"/>
                    <w:i/>
                    <w:color w:val="000000" w:themeColor="text1"/>
                  </w:rPr>
                </m:ctrlPr>
              </m:num>
              <m:den>
                <m:r>
                  <m:rPr/>
                  <w:rPr>
                    <w:rFonts w:ascii="Cambria Math" w:hAnsi="Cambria Math"/>
                    <w:color w:val="000000" w:themeColor="text1"/>
                  </w:rPr>
                  <m:t>N</m:t>
                </m:r>
                <m:ctrlPr>
                  <w:rPr>
                    <w:rFonts w:ascii="Cambria Math" w:hAnsi="Cambria Math"/>
                    <w:i/>
                    <w:color w:val="000000" w:themeColor="text1"/>
                  </w:rPr>
                </m:ctrlPr>
              </m:den>
            </m:f>
            <m:nary>
              <m:naryPr>
                <m:chr m:val="∑"/>
                <m:limLoc m:val="subSup"/>
                <m:ctrlPr>
                  <w:rPr>
                    <w:rFonts w:ascii="Cambria Math" w:hAnsi="Cambria Math"/>
                    <w:i/>
                    <w:color w:val="000000" w:themeColor="text1"/>
                  </w:rPr>
                </m:ctrlPr>
              </m:naryPr>
              <m:sub>
                <m:r>
                  <m:rPr/>
                  <w:rPr>
                    <w:rFonts w:ascii="Cambria Math" w:hAnsi="Cambria Math"/>
                    <w:color w:val="000000" w:themeColor="text1"/>
                  </w:rPr>
                  <m:t>i</m:t>
                </m:r>
                <m:ctrlPr>
                  <w:rPr>
                    <w:rFonts w:ascii="Cambria Math" w:hAnsi="Cambria Math"/>
                    <w:i/>
                    <w:color w:val="000000" w:themeColor="text1"/>
                  </w:rPr>
                </m:ctrlPr>
              </m:sub>
              <m:sup>
                <m:r>
                  <m:rPr/>
                  <w:rPr>
                    <w:rFonts w:ascii="Cambria Math" w:hAnsi="Cambria Math"/>
                    <w:color w:val="000000" w:themeColor="text1"/>
                  </w:rPr>
                  <m:t>N</m:t>
                </m:r>
                <m:ctrlPr>
                  <w:rPr>
                    <w:rFonts w:ascii="Cambria Math" w:hAnsi="Cambria Math"/>
                    <w:i/>
                    <w:color w:val="000000" w:themeColor="text1"/>
                  </w:rPr>
                </m:ctrlPr>
              </m:sup>
              <m:e>
                <m:sSup>
                  <m:sSupPr>
                    <m:ctrlPr>
                      <w:rPr>
                        <w:rFonts w:ascii="Cambria Math" w:hAnsi="Cambria Math"/>
                        <w:i/>
                        <w:color w:val="000000" w:themeColor="text1"/>
                      </w:rPr>
                    </m:ctrlPr>
                  </m:sSupPr>
                  <m:e>
                    <m:r>
                      <m:rPr/>
                      <w:rPr>
                        <w:rFonts w:ascii="Cambria Math" w:hAns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sSub>
                      <m:sSubPr>
                        <m:ctrlPr>
                          <w:rPr>
                            <w:rFonts w:ascii="Cambria Math" w:hAnsi="Cambria Math"/>
                            <w:i/>
                            <w:color w:val="000000" w:themeColor="text1"/>
                          </w:rPr>
                        </m:ctrlPr>
                      </m:sSubPr>
                      <m:e>
                        <m:r>
                          <m:rPr/>
                          <w:rPr>
                            <w:rFonts w:ascii="Cambria Math" w:hAnsi="Cambria Math"/>
                            <w:color w:val="000000" w:themeColor="text1"/>
                          </w:rPr>
                          <m:t>y</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ctrlPr>
                      <w:rPr>
                        <w:rFonts w:ascii="Cambria Math" w:hAnsi="Cambria Math"/>
                        <w:i/>
                        <w:color w:val="000000" w:themeColor="text1"/>
                      </w:rPr>
                    </m:ctrlPr>
                  </m:e>
                  <m:sup>
                    <m:r>
                      <m:rPr/>
                      <w:rPr>
                        <w:rFonts w:ascii="Cambria Math" w:hAnsi="Cambria Math"/>
                        <w:color w:val="000000" w:themeColor="text1"/>
                      </w:rPr>
                      <m:t>2</m:t>
                    </m:r>
                    <m:ctrlPr>
                      <w:rPr>
                        <w:rFonts w:ascii="Cambria Math" w:hAnsi="Cambria Math"/>
                        <w:i/>
                        <w:color w:val="000000" w:themeColor="text1"/>
                      </w:rPr>
                    </m:ctrlPr>
                  </m:sup>
                </m:sSup>
                <m:ctrlPr>
                  <w:rPr>
                    <w:rFonts w:ascii="Cambria Math" w:hAnsi="Cambria Math"/>
                    <w:i/>
                    <w:color w:val="000000" w:themeColor="text1"/>
                  </w:rPr>
                </m:ctrlPr>
              </m:e>
            </m:nary>
            <m:ctrlPr>
              <w:rPr>
                <w:rFonts w:ascii="Cambria Math" w:hAnsi="Cambria Math"/>
                <w:i/>
                <w:color w:val="000000" w:themeColor="text1"/>
              </w:rPr>
            </m:ctrlPr>
          </m:e>
        </m:rad>
      </m:oMath>
      <w:r>
        <w:rPr>
          <w:color w:val="000000" w:themeColor="text1"/>
        </w:rPr>
        <w:t xml:space="preserve">,   </w:t>
      </w:r>
      <w:r>
        <w:rPr>
          <w:color w:val="000000" w:themeColor="text1"/>
          <w:szCs w:val="21"/>
        </w:rPr>
        <w:t xml:space="preserve">                          (10)</w:t>
      </w:r>
    </w:p>
    <w:p w14:paraId="537E1CDB">
      <w:pPr>
        <w:wordWrap w:val="0"/>
        <w:spacing w:line="360" w:lineRule="auto"/>
        <w:jc w:val="right"/>
        <w:rPr>
          <w:color w:val="000000" w:themeColor="text1"/>
          <w:szCs w:val="21"/>
        </w:rPr>
      </w:pPr>
      <w:bookmarkStart w:id="19" w:name="_Hlk141694859"/>
      <m:oMath>
        <m:r>
          <m:rPr/>
          <w:rPr>
            <w:rFonts w:ascii="Cambria Math" w:hAnsi="Cambria Math"/>
            <w:color w:val="000000" w:themeColor="text1"/>
          </w:rPr>
          <m:t>rRMSE=</m:t>
        </m:r>
        <m:f>
          <m:fPr>
            <m:ctrlPr>
              <w:rPr>
                <w:rFonts w:ascii="Cambria Math" w:hAnsi="Cambria Math"/>
                <w:i/>
                <w:color w:val="000000" w:themeColor="text1"/>
              </w:rPr>
            </m:ctrlPr>
          </m:fPr>
          <m:num>
            <m:r>
              <m:rPr/>
              <w:rPr>
                <w:rFonts w:ascii="Cambria Math" w:hAnsi="Cambria Math"/>
                <w:color w:val="000000" w:themeColor="text1"/>
              </w:rPr>
              <m:t>RMSE</m:t>
            </m:r>
            <m:ctrlPr>
              <w:rPr>
                <w:rFonts w:ascii="Cambria Math" w:hAnsi="Cambria Math"/>
                <w:i/>
                <w:color w:val="000000" w:themeColor="text1"/>
              </w:rPr>
            </m:ctrlPr>
          </m:num>
          <m:den>
            <m:acc>
              <m:accPr>
                <m:chr m:val="̅"/>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ctrlPr>
              <w:rPr>
                <w:rFonts w:ascii="Cambria Math" w:hAnsi="Cambria Math"/>
                <w:i/>
                <w:color w:val="000000" w:themeColor="text1"/>
              </w:rPr>
            </m:ctrlPr>
          </m:den>
        </m:f>
        <m:r>
          <m:rPr/>
          <w:rPr>
            <w:rFonts w:ascii="Cambria Math" w:hAnsi="Cambria Math"/>
            <w:color w:val="000000" w:themeColor="text1"/>
          </w:rPr>
          <m:t>×100%</m:t>
        </m:r>
      </m:oMath>
      <w:r>
        <w:rPr>
          <w:color w:val="000000" w:themeColor="text1"/>
        </w:rPr>
        <w:t>,                            (11)</w:t>
      </w:r>
    </w:p>
    <w:bookmarkEnd w:id="19"/>
    <w:p w14:paraId="2825D71A">
      <w:pPr>
        <w:wordWrap w:val="0"/>
        <w:spacing w:line="360" w:lineRule="auto"/>
        <w:jc w:val="right"/>
        <w:rPr>
          <w:color w:val="000000" w:themeColor="text1"/>
        </w:rPr>
      </w:pPr>
      <m:oMath>
        <m:r>
          <m:rPr/>
          <w:rPr>
            <w:rFonts w:ascii="Cambria Math" w:hAnsi="Cambria Math"/>
            <w:color w:val="000000" w:themeColor="text1"/>
          </w:rPr>
          <m:t>MAE=</m:t>
        </m:r>
        <m:f>
          <m:fPr>
            <m:ctrlPr>
              <w:rPr>
                <w:rFonts w:ascii="Cambria Math" w:hAnsi="Cambria Math"/>
                <w:i/>
                <w:color w:val="000000" w:themeColor="text1"/>
              </w:rPr>
            </m:ctrlPr>
          </m:fPr>
          <m:num>
            <m:r>
              <m:rPr/>
              <w:rPr>
                <w:rFonts w:ascii="Cambria Math" w:hAnsi="Cambria Math"/>
                <w:color w:val="000000" w:themeColor="text1"/>
              </w:rPr>
              <m:t>1</m:t>
            </m:r>
            <m:ctrlPr>
              <w:rPr>
                <w:rFonts w:ascii="Cambria Math" w:hAnsi="Cambria Math"/>
                <w:i/>
                <w:color w:val="000000" w:themeColor="text1"/>
              </w:rPr>
            </m:ctrlPr>
          </m:num>
          <m:den>
            <m:r>
              <m:rPr/>
              <w:rPr>
                <w:rFonts w:ascii="Cambria Math" w:hAnsi="Cambria Math"/>
                <w:color w:val="000000" w:themeColor="text1"/>
              </w:rPr>
              <m:t>N</m:t>
            </m:r>
            <m:ctrlPr>
              <w:rPr>
                <w:rFonts w:ascii="Cambria Math" w:hAnsi="Cambria Math"/>
                <w:i/>
                <w:color w:val="000000" w:themeColor="text1"/>
              </w:rPr>
            </m:ctrlPr>
          </m:den>
        </m:f>
        <m:nary>
          <m:naryPr>
            <m:chr m:val="∑"/>
            <m:limLoc m:val="subSup"/>
            <m:ctrlPr>
              <w:rPr>
                <w:rFonts w:ascii="Cambria Math" w:hAnsi="Cambria Math"/>
                <w:i/>
                <w:color w:val="000000" w:themeColor="text1"/>
              </w:rPr>
            </m:ctrlPr>
          </m:naryPr>
          <m:sub>
            <m:r>
              <m:rPr/>
              <w:rPr>
                <w:rFonts w:ascii="Cambria Math" w:hAnsi="Cambria Math"/>
                <w:color w:val="000000" w:themeColor="text1"/>
              </w:rPr>
              <m:t>i</m:t>
            </m:r>
            <m:ctrlPr>
              <w:rPr>
                <w:rFonts w:ascii="Cambria Math" w:hAnsi="Cambria Math"/>
                <w:i/>
                <w:color w:val="000000" w:themeColor="text1"/>
              </w:rPr>
            </m:ctrlPr>
          </m:sub>
          <m:sup>
            <m:r>
              <m:rPr/>
              <w:rPr>
                <w:rFonts w:ascii="Cambria Math" w:hAnsi="Cambria Math"/>
                <w:color w:val="000000" w:themeColor="text1"/>
              </w:rPr>
              <m:t>N</m:t>
            </m:r>
            <m:ctrlPr>
              <w:rPr>
                <w:rFonts w:ascii="Cambria Math" w:hAnsi="Cambria Math"/>
                <w:i/>
                <w:color w:val="000000" w:themeColor="text1"/>
              </w:rPr>
            </m:ctrlPr>
          </m:sup>
          <m:e>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acc>
                      <m:accPr>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sSub>
                  <m:sSubPr>
                    <m:ctrlPr>
                      <w:rPr>
                        <w:rFonts w:ascii="Cambria Math" w:hAnsi="Cambria Math"/>
                        <w:i/>
                        <w:color w:val="000000" w:themeColor="text1"/>
                      </w:rPr>
                    </m:ctrlPr>
                  </m:sSubPr>
                  <m:e>
                    <m:r>
                      <m:rPr/>
                      <w:rPr>
                        <w:rFonts w:ascii="Cambria Math" w:hAnsi="Cambria Math"/>
                        <w:color w:val="000000" w:themeColor="text1"/>
                      </w:rPr>
                      <m:t>y</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ctrlPr>
                  <w:rPr>
                    <w:rFonts w:ascii="Cambria Math" w:hAnsi="Cambria Math"/>
                    <w:i/>
                    <w:color w:val="000000" w:themeColor="text1"/>
                  </w:rPr>
                </m:ctrlPr>
              </m:e>
            </m:d>
            <m:ctrlPr>
              <w:rPr>
                <w:rFonts w:ascii="Cambria Math" w:hAnsi="Cambria Math"/>
                <w:i/>
                <w:color w:val="000000" w:themeColor="text1"/>
              </w:rPr>
            </m:ctrlPr>
          </m:e>
        </m:nary>
      </m:oMath>
      <w:r>
        <w:rPr>
          <w:color w:val="000000" w:themeColor="text1"/>
        </w:rPr>
        <w:t>,                              (12)</w:t>
      </w:r>
    </w:p>
    <w:p w14:paraId="4EB9B63E">
      <w:pPr>
        <w:wordWrap w:val="0"/>
        <w:spacing w:line="360" w:lineRule="auto"/>
        <w:jc w:val="right"/>
        <w:rPr>
          <w:color w:val="000000" w:themeColor="text1"/>
        </w:rPr>
      </w:pPr>
      <m:oMath>
        <m:r>
          <m:rPr/>
          <w:rPr>
            <w:rFonts w:ascii="Cambria Math" w:hAnsi="Cambria Math"/>
            <w:color w:val="000000" w:themeColor="text1"/>
          </w:rPr>
          <m:t>ME=</m:t>
        </m:r>
        <m:f>
          <m:fPr>
            <m:ctrlPr>
              <w:rPr>
                <w:rFonts w:ascii="Cambria Math" w:hAnsi="Cambria Math"/>
                <w:i/>
                <w:color w:val="000000" w:themeColor="text1"/>
              </w:rPr>
            </m:ctrlPr>
          </m:fPr>
          <m:num>
            <m:r>
              <m:rPr/>
              <w:rPr>
                <w:rFonts w:ascii="Cambria Math" w:hAnsi="Cambria Math"/>
                <w:color w:val="000000" w:themeColor="text1"/>
              </w:rPr>
              <m:t>1</m:t>
            </m:r>
            <m:ctrlPr>
              <w:rPr>
                <w:rFonts w:ascii="Cambria Math" w:hAnsi="Cambria Math"/>
                <w:i/>
                <w:color w:val="000000" w:themeColor="text1"/>
              </w:rPr>
            </m:ctrlPr>
          </m:num>
          <m:den>
            <m:r>
              <m:rPr/>
              <w:rPr>
                <w:rFonts w:ascii="Cambria Math" w:hAnsi="Cambria Math"/>
                <w:color w:val="000000" w:themeColor="text1"/>
              </w:rPr>
              <m:t>N</m:t>
            </m:r>
            <m:ctrlPr>
              <w:rPr>
                <w:rFonts w:ascii="Cambria Math" w:hAnsi="Cambria Math"/>
                <w:i/>
                <w:color w:val="000000" w:themeColor="text1"/>
              </w:rPr>
            </m:ctrlPr>
          </m:den>
        </m:f>
        <m:nary>
          <m:naryPr>
            <m:chr m:val="∑"/>
            <m:limLoc m:val="subSup"/>
            <m:ctrlPr>
              <w:rPr>
                <w:rFonts w:ascii="Cambria Math" w:hAnsi="Cambria Math"/>
                <w:i/>
                <w:color w:val="000000" w:themeColor="text1"/>
              </w:rPr>
            </m:ctrlPr>
          </m:naryPr>
          <m:sub>
            <m:r>
              <m:rPr/>
              <w:rPr>
                <w:rFonts w:ascii="Cambria Math" w:hAnsi="Cambria Math"/>
                <w:color w:val="000000" w:themeColor="text1"/>
              </w:rPr>
              <m:t>i</m:t>
            </m:r>
            <m:ctrlPr>
              <w:rPr>
                <w:rFonts w:ascii="Cambria Math" w:hAnsi="Cambria Math"/>
                <w:i/>
                <w:color w:val="000000" w:themeColor="text1"/>
              </w:rPr>
            </m:ctrlPr>
          </m:sub>
          <m:sup>
            <m:r>
              <m:rPr/>
              <w:rPr>
                <w:rFonts w:ascii="Cambria Math" w:hAnsi="Cambria Math"/>
                <w:color w:val="000000" w:themeColor="text1"/>
              </w:rPr>
              <m:t>N</m:t>
            </m:r>
            <m:ctrlPr>
              <w:rPr>
                <w:rFonts w:ascii="Cambria Math" w:hAnsi="Cambria Math"/>
                <w:i/>
                <w:color w:val="000000" w:themeColor="text1"/>
              </w:rPr>
            </m:ctrlPr>
          </m:sup>
          <m:e>
            <m:r>
              <m:rPr/>
              <w:rPr>
                <w:rFonts w:ascii="Cambria Math" w:hAnsi="Cambria Math"/>
                <w:color w:val="000000" w:themeColor="text1"/>
              </w:rPr>
              <m:t>(</m:t>
            </m:r>
            <m:sSub>
              <m:sSubPr>
                <m:ctrlPr>
                  <w:rPr>
                    <w:rFonts w:ascii="Cambria Math" w:hAnsi="Cambria Math"/>
                    <w:i/>
                    <w:color w:val="000000" w:themeColor="text1"/>
                  </w:rPr>
                </m:ctrlPr>
              </m:sSubPr>
              <m:e>
                <m:acc>
                  <m:accPr>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sSub>
              <m:sSubPr>
                <m:ctrlPr>
                  <w:rPr>
                    <w:rFonts w:ascii="Cambria Math" w:hAnsi="Cambria Math"/>
                    <w:i/>
                    <w:color w:val="000000" w:themeColor="text1"/>
                  </w:rPr>
                </m:ctrlPr>
              </m:sSubPr>
              <m:e>
                <m:r>
                  <m:rPr/>
                  <w:rPr>
                    <w:rFonts w:ascii="Cambria Math" w:hAnsi="Cambria Math"/>
                    <w:color w:val="000000" w:themeColor="text1"/>
                  </w:rPr>
                  <m:t>y</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r>
              <m:rPr/>
              <w:rPr>
                <w:rFonts w:ascii="Cambria Math" w:hAnsi="Cambria Math"/>
                <w:color w:val="000000" w:themeColor="text1"/>
              </w:rPr>
              <m:t>)</m:t>
            </m:r>
            <m:ctrlPr>
              <w:rPr>
                <w:rFonts w:ascii="Cambria Math" w:hAnsi="Cambria Math"/>
                <w:i/>
                <w:color w:val="000000" w:themeColor="text1"/>
              </w:rPr>
            </m:ctrlPr>
          </m:e>
        </m:nary>
      </m:oMath>
      <w:r>
        <w:rPr>
          <w:color w:val="000000" w:themeColor="text1"/>
        </w:rPr>
        <w:t>,                              (13)</w:t>
      </w:r>
    </w:p>
    <w:p w14:paraId="45915266">
      <w:pPr>
        <w:jc w:val="both"/>
        <w:rPr>
          <w:color w:val="000000" w:themeColor="text1"/>
          <w:lang w:eastAsia="zh-CN"/>
        </w:rPr>
      </w:pPr>
      <w:bookmarkStart w:id="20" w:name="_Hlk141694874"/>
      <w:r>
        <w:rPr>
          <w:color w:val="000000" w:themeColor="text1"/>
          <w:szCs w:val="21"/>
        </w:rPr>
        <w:t xml:space="preserve">in which </w:t>
      </w:r>
      <m:oMath>
        <m:sSub>
          <m:sSubPr>
            <m:ctrlPr>
              <w:rPr>
                <w:rFonts w:ascii="Cambria Math" w:hAnsi="Cambria Math"/>
                <w:i/>
                <w:color w:val="000000" w:themeColor="text1"/>
              </w:rPr>
            </m:ctrlPr>
          </m:sSubPr>
          <m:e>
            <m:acc>
              <m:accPr>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oMath>
      <w:r>
        <w:rPr>
          <w:color w:val="000000" w:themeColor="text1"/>
        </w:rPr>
        <w:t xml:space="preserve"> and </w:t>
      </w:r>
      <m:oMath>
        <m:sSub>
          <m:sSubPr>
            <m:ctrlPr>
              <w:rPr>
                <w:rFonts w:ascii="Cambria Math" w:hAnsi="Cambria Math"/>
                <w:i/>
                <w:color w:val="000000" w:themeColor="text1"/>
              </w:rPr>
            </m:ctrlPr>
          </m:sSubPr>
          <m:e>
            <m:r>
              <m:rPr/>
              <w:rPr>
                <w:rFonts w:ascii="Cambria Math" w:hAnsi="Cambria Math"/>
                <w:color w:val="000000" w:themeColor="text1"/>
              </w:rPr>
              <m:t>y</m:t>
            </m:r>
            <m:ctrlPr>
              <w:rPr>
                <w:rFonts w:ascii="Cambria Math" w:hAnsi="Cambria Math"/>
                <w:i/>
                <w:color w:val="000000" w:themeColor="text1"/>
              </w:rPr>
            </m:ctrlPr>
          </m:e>
          <m:sub>
            <m:r>
              <m:rPr/>
              <w:rPr>
                <w:rFonts w:ascii="Cambria Math" w:hAnsi="Cambria Math"/>
                <w:color w:val="000000" w:themeColor="text1"/>
              </w:rPr>
              <m:t>i</m:t>
            </m:r>
            <m:ctrlPr>
              <w:rPr>
                <w:rFonts w:ascii="Cambria Math" w:hAnsi="Cambria Math"/>
                <w:i/>
                <w:color w:val="000000" w:themeColor="text1"/>
              </w:rPr>
            </m:ctrlPr>
          </m:sub>
        </m:sSub>
      </m:oMath>
      <w:r>
        <w:rPr>
          <w:color w:val="000000" w:themeColor="text1"/>
        </w:rPr>
        <w:t xml:space="preserve"> are the reference AGBD value and the corresponding predicted AGBD value for validation sample </w:t>
      </w:r>
      <w:r>
        <w:rPr>
          <w:i/>
          <w:iCs/>
          <w:color w:val="000000" w:themeColor="text1"/>
        </w:rPr>
        <w:t>i</w:t>
      </w:r>
      <w:r>
        <w:rPr>
          <w:color w:val="000000" w:themeColor="text1"/>
        </w:rPr>
        <w:t xml:space="preserve">, respectively. </w:t>
      </w:r>
      <w:r>
        <w:rPr>
          <w:i/>
          <w:iCs/>
          <w:color w:val="000000" w:themeColor="text1"/>
        </w:rPr>
        <w:t>N</w:t>
      </w:r>
      <w:r>
        <w:rPr>
          <w:color w:val="000000" w:themeColor="text1"/>
        </w:rPr>
        <w:t xml:space="preserve"> is the number of validation samples, and </w:t>
      </w:r>
      <m:oMath>
        <m:acc>
          <m:accPr>
            <m:chr m:val="̅"/>
            <m:ctrlPr>
              <w:rPr>
                <w:rFonts w:ascii="Cambria Math" w:hAnsi="Cambria Math"/>
                <w:i/>
                <w:color w:val="000000" w:themeColor="text1"/>
              </w:rPr>
            </m:ctrlPr>
          </m:accPr>
          <m:e>
            <m:r>
              <m:rPr/>
              <w:rPr>
                <w:rFonts w:ascii="Cambria Math" w:hAnsi="Cambria Math"/>
                <w:color w:val="000000" w:themeColor="text1"/>
              </w:rPr>
              <m:t>y</m:t>
            </m:r>
            <m:ctrlPr>
              <w:rPr>
                <w:rFonts w:ascii="Cambria Math" w:hAnsi="Cambria Math"/>
                <w:i/>
                <w:color w:val="000000" w:themeColor="text1"/>
              </w:rPr>
            </m:ctrlPr>
          </m:e>
        </m:acc>
      </m:oMath>
      <w:r>
        <w:rPr>
          <w:color w:val="000000" w:themeColor="text1"/>
        </w:rPr>
        <w:t xml:space="preserve"> is the mean value of the reference GEDI AGBD for all the validation samples.</w:t>
      </w:r>
      <w:r>
        <w:rPr>
          <w:rFonts w:hint="eastAsia"/>
          <w:color w:val="000000" w:themeColor="text1"/>
          <w:lang w:eastAsia="zh-CN"/>
        </w:rPr>
        <w:t xml:space="preserve"> </w:t>
      </w:r>
    </w:p>
    <w:p w14:paraId="71FF5635">
      <w:pPr>
        <w:ind w:firstLine="400" w:firstLineChars="200"/>
        <w:jc w:val="both"/>
        <w:rPr>
          <w:color w:val="000000" w:themeColor="text1"/>
          <w:lang w:eastAsia="zh-CN"/>
        </w:rPr>
      </w:pPr>
      <w:r>
        <w:rPr>
          <w:color w:val="000000" w:themeColor="text1"/>
          <w:lang w:eastAsia="zh-CN"/>
        </w:rPr>
        <w:t xml:space="preserve">To compare our estimated AGBD with both global and locally developed AGBD maps, two benchmark products were used. The </w:t>
      </w:r>
      <w:r>
        <w:rPr>
          <w:rFonts w:hint="eastAsia"/>
          <w:color w:val="000000" w:themeColor="text1"/>
          <w:lang w:eastAsia="zh-CN"/>
        </w:rPr>
        <w:t>first</w:t>
      </w:r>
      <w:r>
        <w:rPr>
          <w:color w:val="000000" w:themeColor="text1"/>
          <w:lang w:eastAsia="zh-CN"/>
        </w:rPr>
        <w:t xml:space="preserve"> is a locally developed AGBD product for China, which provides annual estimates at a 1 km spatial resolution from 200</w:t>
      </w:r>
      <w:r>
        <w:rPr>
          <w:rFonts w:hint="eastAsia"/>
          <w:color w:val="000000" w:themeColor="text1"/>
          <w:lang w:eastAsia="zh-CN"/>
        </w:rPr>
        <w:t>2</w:t>
      </w:r>
      <w:r>
        <w:rPr>
          <w:color w:val="000000" w:themeColor="text1"/>
          <w:lang w:eastAsia="zh-CN"/>
        </w:rPr>
        <w:t xml:space="preserve"> to 202</w:t>
      </w:r>
      <w:r>
        <w:rPr>
          <w:rFonts w:hint="eastAsia"/>
          <w:color w:val="000000" w:themeColor="text1"/>
          <w:lang w:eastAsia="zh-CN"/>
        </w:rPr>
        <w:t xml:space="preserve">1 </w:t>
      </w:r>
      <w:r>
        <w:rPr>
          <w:color w:val="000000" w:themeColor="text1"/>
        </w:rPr>
        <w:fldChar w:fldCharType="begin"/>
      </w:r>
      <w:r>
        <w:rPr>
          <w:color w:val="000000" w:themeColor="text1"/>
        </w:rPr>
        <w:instrText xml:space="preserve"> ADDIN EN.CITE &lt;EndNote&gt;&lt;Cite&gt;&lt;Author&gt;Chen&lt;/Author&gt;&lt;Year&gt;2022&lt;/Year&gt;&lt;RecNum&gt;239&lt;/RecNum&gt;&lt;DisplayText&gt;[49]&lt;/DisplayText&gt;&lt;record&gt;&lt;rec-number&gt;239&lt;/rec-number&gt;&lt;foreign-keys&gt;&lt;key app="EN" db-id="pv902f0emrpxwae0aecvvpapa20ep02dp9fp" timestamp="1670409634"&gt;239&lt;/key&gt;&lt;/foreign-keys&gt;&lt;ref-type name="Journal Article"&gt;17&lt;/ref-type&gt;&lt;contributors&gt;&lt;authors&gt;&lt;author&gt;Chen, Y.&lt;/author&gt;&lt;author&gt;Feng, X.&lt;/author&gt;&lt;author&gt;Fu, B.&lt;/author&gt;&lt;author&gt;Ma, H.&lt;/author&gt;&lt;author&gt;Zohner, C. M.&lt;/author&gt;&lt;author&gt;Crowther, T. W.&lt;/author&gt;&lt;author&gt;Huang, Y.&lt;/author&gt;&lt;author&gt;Wu, X.&lt;/author&gt;&lt;author&gt;Wei, F.&lt;/author&gt;&lt;/authors&gt;&lt;/contributors&gt;&lt;titles&gt;&lt;title&gt;High-resolution maps of above- and belowground woody biomass in China from 2003 to 2020&lt;/title&gt;&lt;secondary-title&gt;Earth System Science Data&lt;/secondary-title&gt;&lt;/titles&gt;&lt;periodical&gt;&lt;full-title&gt;Earth System Science Data&lt;/full-title&gt;&lt;abbr-1&gt;Earth Syst. Sci. Data&lt;/abbr-1&gt;&lt;/periodical&gt;&lt;pages&gt;1-34&lt;/pages&gt;&lt;volume&gt;2022&lt;/volume&gt;&lt;dates&gt;&lt;year&gt;2022&lt;/year&gt;&lt;/dates&gt;&lt;publisher&gt;Copernicus Publications&lt;/publisher&gt;&lt;isbn&gt;1866-3591&lt;/isbn&gt;&lt;urls&gt;&lt;related-urls&gt;&lt;url&gt;https://essd.copernicus.org/preprints/essd-2022-286/&lt;/url&gt;&lt;/related-urls&gt;&lt;pdf-urls&gt;&lt;url&gt;https://essd.copernicus.org/preprints/essd-2022-286/essd-2022-286.pdf&lt;/url&gt;&lt;/pdf-urls&gt;&lt;/urls&gt;&lt;electronic-resource-num&gt;https://doi.org/10.5194/essd-2022-286&lt;/electronic-resource-num&gt;&lt;/record&gt;&lt;/Cite&gt;&lt;/EndNote&gt;</w:instrText>
      </w:r>
      <w:r>
        <w:rPr>
          <w:color w:val="000000" w:themeColor="text1"/>
        </w:rPr>
        <w:fldChar w:fldCharType="separate"/>
      </w:r>
      <w:r>
        <w:rPr>
          <w:color w:val="000000" w:themeColor="text1"/>
        </w:rPr>
        <w:t>[49]</w:t>
      </w:r>
      <w:r>
        <w:rPr>
          <w:color w:val="000000" w:themeColor="text1"/>
        </w:rPr>
        <w:fldChar w:fldCharType="end"/>
      </w:r>
      <w:r>
        <w:rPr>
          <w:rFonts w:hint="eastAsia"/>
          <w:color w:val="000000" w:themeColor="text1"/>
          <w:lang w:eastAsia="zh-CN"/>
        </w:rPr>
        <w:t xml:space="preserve">. </w:t>
      </w:r>
      <w:r>
        <w:rPr>
          <w:color w:val="000000" w:themeColor="text1"/>
          <w:lang w:eastAsia="zh-CN"/>
        </w:rPr>
        <w:t>The second is the global ESA</w:t>
      </w:r>
      <w:r>
        <w:rPr>
          <w:rFonts w:hint="eastAsia"/>
          <w:color w:val="000000" w:themeColor="text1"/>
          <w:lang w:eastAsia="zh-CN"/>
        </w:rPr>
        <w:t>_</w:t>
      </w:r>
      <w:r>
        <w:rPr>
          <w:color w:val="000000" w:themeColor="text1"/>
          <w:lang w:eastAsia="zh-CN"/>
        </w:rPr>
        <w:t>CCI biomass product, available at a spatial resolution of 100 m for the years 2007, 2010, and 2015–2022</w:t>
      </w:r>
      <w:r>
        <w:rPr>
          <w:rFonts w:hint="eastAsia"/>
          <w:color w:val="000000" w:themeColor="text1"/>
          <w:lang w:eastAsia="zh-CN"/>
        </w:rPr>
        <w:t xml:space="preserve"> </w:t>
      </w:r>
      <w:r>
        <w:rPr>
          <w:color w:val="000000" w:themeColor="text1"/>
        </w:rPr>
        <w:fldChar w:fldCharType="begin">
          <w:fldData xml:space="preserve">PEVuZE5vdGU+PENpdGU+PEF1dGhvcj5TYW50b3JvPC9BdXRob3I+PFllYXI+MjAyMTwvWWVhcj48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</w:fldData>
        </w:fldChar>
      </w:r>
      <w:r>
        <w:rPr>
          <w:color w:val="000000" w:themeColor="text1"/>
        </w:rPr>
        <w:instrText xml:space="preserve"> ADDIN EN.CITE </w:instrText>
      </w:r>
      <w:r>
        <w:rPr>
          <w:color w:val="000000" w:themeColor="text1"/>
        </w:rPr>
        <w:fldChar w:fldCharType="begin">
          <w:fldData xml:space="preserve">PEVuZE5vdGU+PENpdGU+PEF1dGhvcj5TYW50b3JvPC9BdXRob3I+PFllYXI+MjAyMTwvWWVhcj48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[31]</w:t>
      </w:r>
      <w:r>
        <w:rPr>
          <w:color w:val="000000" w:themeColor="text1"/>
        </w:rPr>
        <w:fldChar w:fldCharType="end"/>
      </w:r>
      <w:r>
        <w:rPr>
          <w:rFonts w:hint="eastAsia"/>
          <w:color w:val="000000" w:themeColor="text1"/>
          <w:lang w:eastAsia="zh-CN"/>
        </w:rPr>
        <w:t xml:space="preserve">. </w:t>
      </w:r>
      <w:r>
        <w:rPr>
          <w:color w:val="000000" w:themeColor="text1"/>
          <w:lang w:eastAsia="zh-CN"/>
        </w:rPr>
        <w:t>Using 182 field plots collected around 2017 as reference data, we selected the AGBD maps from</w:t>
      </w:r>
      <w:r>
        <w:rPr>
          <w:rFonts w:hint="eastAsia"/>
          <w:color w:val="000000" w:themeColor="text1"/>
          <w:lang w:eastAsia="zh-CN"/>
        </w:rPr>
        <w:t xml:space="preserve"> </w:t>
      </w:r>
      <w:r>
        <w:rPr>
          <w:color w:val="000000" w:themeColor="text1"/>
        </w:rPr>
        <w:fldChar w:fldCharType="begin"/>
      </w:r>
      <w:r>
        <w:rPr>
          <w:color w:val="000000" w:themeColor="text1"/>
        </w:rPr>
        <w:instrText xml:space="preserve"> ADDIN EN.CITE &lt;EndNote&gt;&lt;Cite AuthorYear="1"&gt;&lt;Author&gt;Chen&lt;/Author&gt;&lt;Year&gt;2022&lt;/Year&gt;&lt;RecNum&gt;239&lt;/RecNum&gt;&lt;DisplayText&gt;Chen, et al. [49]&lt;/DisplayText&gt;&lt;record&gt;&lt;rec-number&gt;239&lt;/rec-number&gt;&lt;foreign-keys&gt;&lt;key app="EN" db-id="pv902f0emrpxwae0aecvvpapa20ep02dp9fp" timestamp="1670409634"&gt;239&lt;/key&gt;&lt;/foreign-keys&gt;&lt;ref-type name="Journal Article"&gt;17&lt;/ref-type&gt;&lt;contributors&gt;&lt;authors&gt;&lt;author&gt;Chen, Y.&lt;/author&gt;&lt;author&gt;Feng, X.&lt;/author&gt;&lt;author&gt;Fu, B.&lt;/author&gt;&lt;author&gt;Ma, H.&lt;/author&gt;&lt;author&gt;Zohner, C. M.&lt;/author&gt;&lt;author&gt;Crowther, T. W.&lt;/author&gt;&lt;author&gt;Huang, Y.&lt;/author&gt;&lt;author&gt;Wu, X.&lt;/author&gt;&lt;author&gt;Wei, F.&lt;/author&gt;&lt;/authors&gt;&lt;/contributors&gt;&lt;titles&gt;&lt;title&gt;High-resolution maps of above- and belowground woody biomass in China from 2003 to 2020&lt;/title&gt;&lt;secondary-title&gt;Earth System Science Data&lt;/secondary-title&gt;&lt;/titles&gt;&lt;periodical&gt;&lt;full-title&gt;Earth System Science Data&lt;/full-title&gt;&lt;abbr-1&gt;Earth Syst. Sci. Data&lt;/abbr-1&gt;&lt;/periodical&gt;&lt;pages&gt;1-34&lt;/pages&gt;&lt;volume&gt;2022&lt;/volume&gt;&lt;dates&gt;&lt;year&gt;2022&lt;/year&gt;&lt;/dates&gt;&lt;publisher&gt;Copernicus Publications&lt;/publisher&gt;&lt;isbn&gt;1866-3591&lt;/isbn&gt;&lt;urls&gt;&lt;related-urls&gt;&lt;url&gt;https://essd.copernicus.org/preprints/essd-2022-286/&lt;/url&gt;&lt;/related-urls&gt;&lt;pdf-urls&gt;&lt;url&gt;https://essd.copernicus.org/preprints/essd-2022-286/essd-2022-286.pdf&lt;/url&gt;&lt;/pdf-urls&gt;&lt;/urls&gt;&lt;electronic-resource-num&gt;https://doi.org/10.5194/essd-2022-286&lt;/electronic-resource-num&gt;&lt;/record&gt;&lt;/Cite&gt;&lt;/EndNote&gt;</w:instrText>
      </w:r>
      <w:r>
        <w:rPr>
          <w:color w:val="000000" w:themeColor="text1"/>
        </w:rPr>
        <w:fldChar w:fldCharType="separate"/>
      </w:r>
      <w:r>
        <w:rPr>
          <w:color w:val="000000" w:themeColor="text1"/>
        </w:rPr>
        <w:t>Chen, et al. [49]</w:t>
      </w:r>
      <w:r>
        <w:rPr>
          <w:color w:val="000000" w:themeColor="text1"/>
        </w:rPr>
        <w:fldChar w:fldCharType="end"/>
      </w:r>
      <w:r>
        <w:rPr>
          <w:rFonts w:hint="eastAsia"/>
          <w:color w:val="000000" w:themeColor="text1"/>
          <w:lang w:eastAsia="zh-CN"/>
        </w:rPr>
        <w:t xml:space="preserve"> and </w:t>
      </w:r>
      <w:r>
        <w:rPr>
          <w:color w:val="000000" w:themeColor="text1"/>
          <w:lang w:eastAsia="zh-CN"/>
        </w:rPr>
        <w:t xml:space="preserve">ESA_CCI </w:t>
      </w:r>
      <w:r>
        <w:rPr>
          <w:rFonts w:hint="eastAsia"/>
          <w:color w:val="000000" w:themeColor="text1"/>
          <w:lang w:eastAsia="zh-CN"/>
        </w:rPr>
        <w:t xml:space="preserve">product in 2017 for </w:t>
      </w:r>
      <w:r>
        <w:rPr>
          <w:color w:val="000000" w:themeColor="text1"/>
          <w:lang w:eastAsia="zh-CN"/>
        </w:rPr>
        <w:t>comparison</w:t>
      </w:r>
      <w:r>
        <w:rPr>
          <w:rFonts w:hint="eastAsia"/>
          <w:color w:val="000000" w:themeColor="text1"/>
          <w:lang w:eastAsia="zh-CN"/>
        </w:rPr>
        <w:t>.</w:t>
      </w:r>
    </w:p>
    <w:bookmarkEnd w:id="20"/>
    <w:p w14:paraId="745FD1DA">
      <w:pPr>
        <w:pStyle w:val="72"/>
        <w:rPr>
          <w:color w:val="000000" w:themeColor="text1"/>
        </w:rPr>
      </w:pPr>
      <w:r>
        <w:rPr>
          <w:color w:val="000000" w:themeColor="text1"/>
          <w:lang w:eastAsia="zh-CN"/>
        </w:rPr>
        <w:pict>
          <v:shape id="_x0000_s8794" o:spid="_x0000_s8794" o:spt="202" type="#_x0000_t202" style="position:absolute;left:0pt;height:378.4pt;width:518.25pt;mso-position-horizontal:center;mso-position-horizontal-relative:margin;mso-position-vertical:top;mso-position-vertical-relative:margin;mso-wrap-distance-bottom:0pt;mso-wrap-distance-left:9pt;mso-wrap-distance-right:9pt;mso-wrap-distance-top:0pt;z-index:251668480;mso-width-relative:page;mso-height-relative:page;" stroked="f" coordsize="21600,21600">
            <v:path/>
            <v:fill focussize="0,0"/>
            <v:stroke on="f" joinstyle="miter"/>
            <v:imagedata o:title=""/>
            <o:lock v:ext="edit"/>
            <v:textbox inset="0mm,0mm,0mm,0mm">
              <w:txbxContent>
                <w:p w14:paraId="6C2E74CC">
                  <w:pPr>
                    <w:jc w:val="center"/>
                    <w:rPr>
                      <w:szCs w:val="21"/>
                    </w:rPr>
                  </w:pPr>
                  <w:r>
                    <w:rPr>
                      <w:szCs w:val="21"/>
                    </w:rPr>
                    <w:drawing>
                      <wp:inline distT="0" distB="0" distL="0" distR="0">
                        <wp:extent cx="5230495" cy="4354830"/>
                        <wp:effectExtent l="0" t="0" r="0" b="0"/>
                        <wp:docPr id="361747986" name="图片 361747986"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47986" name="图片 361747986" descr="地图&#10;&#10;AI 生成的内容可能不正确。"/>
                                <pic:cNvPicPr>
                                  <a:picLocks noChangeAspect="1"/>
                                </pic:cNvPicPr>
                              </pic:nvPicPr>
                              <pic:blipFill>
                                <a:blip r:embed="rId15"/>
                                <a:stretch>
                                  <a:fillRect/>
                                </a:stretch>
                              </pic:blipFill>
                              <pic:spPr>
                                <a:xfrm>
                                  <a:off x="0" y="0"/>
                                  <a:ext cx="5234856" cy="4358807"/>
                                </a:xfrm>
                                <a:prstGeom prst="rect">
                                  <a:avLst/>
                                </a:prstGeom>
                              </pic:spPr>
                            </pic:pic>
                          </a:graphicData>
                        </a:graphic>
                      </wp:inline>
                    </w:drawing>
                  </w:r>
                </w:p>
                <w:p w14:paraId="40C624FD">
                  <w:pPr>
                    <w:pStyle w:val="74"/>
                    <w:rPr>
                      <w:lang w:eastAsia="zh-CN"/>
                    </w:rPr>
                  </w:pPr>
                  <w:r>
                    <w:rPr>
                      <w:rFonts w:hint="eastAsia"/>
                      <w:b/>
                      <w:bCs/>
                    </w:rPr>
                    <w:t>F</w:t>
                  </w:r>
                  <w:r>
                    <w:rPr>
                      <w:b/>
                      <w:bCs/>
                    </w:rPr>
                    <w:t>ig</w:t>
                  </w:r>
                  <w:r>
                    <w:rPr>
                      <w:b/>
                      <w:bCs/>
                      <w:color w:val="000000" w:themeColor="text1"/>
                    </w:rPr>
                    <w:t xml:space="preserve">. </w:t>
                  </w:r>
                  <w:r>
                    <w:rPr>
                      <w:rFonts w:hint="eastAsia"/>
                      <w:b/>
                      <w:bCs/>
                      <w:color w:val="000000" w:themeColor="text1"/>
                      <w:lang w:eastAsia="zh-CN"/>
                    </w:rPr>
                    <w:t>9</w:t>
                  </w:r>
                  <w:r>
                    <w:rPr>
                      <w:b/>
                      <w:bCs/>
                      <w:color w:val="000000" w:themeColor="text1"/>
                    </w:rPr>
                    <w:t>.</w:t>
                  </w:r>
                  <w:r>
                    <w:rPr>
                      <w:color w:val="000000" w:themeColor="text1"/>
                    </w:rPr>
                    <w:t xml:space="preserve"> </w:t>
                  </w:r>
                  <w:bookmarkStart w:id="43" w:name="_Hlk118745352"/>
                  <w:r>
                    <w:rPr>
                      <w:color w:val="000000" w:themeColor="text1"/>
                    </w:rPr>
                    <w:t>Spatially continuous GEDI AGBD maps in China’s Han River basin in 2020 produced by</w:t>
                  </w:r>
                  <w:bookmarkEnd w:id="43"/>
                  <w:r>
                    <w:rPr>
                      <w:color w:val="000000" w:themeColor="text1"/>
                    </w:rPr>
                    <w:t xml:space="preserve"> different methods. (a) ELM regression result; (b) GRNN regression result; (c) SVR regression result; (d) RF regression result; (e) CNN regression result; (f) </w:t>
                  </w:r>
                  <w:r>
                    <w:rPr>
                      <w:rFonts w:hint="eastAsia"/>
                      <w:color w:val="000000" w:themeColor="text1"/>
                    </w:rPr>
                    <w:t>CNN</w:t>
                  </w:r>
                  <w:r>
                    <w:rPr>
                      <w:color w:val="000000" w:themeColor="text1"/>
                    </w:rPr>
                    <w:t xml:space="preserve">_spatial regression result. The three boxes in Fig. </w:t>
                  </w:r>
                  <w:r>
                    <w:rPr>
                      <w:rFonts w:hint="eastAsia"/>
                      <w:color w:val="000000" w:themeColor="text1"/>
                      <w:lang w:eastAsia="zh-CN"/>
                    </w:rPr>
                    <w:t>9</w:t>
                  </w:r>
                  <w:r>
                    <w:rPr>
                      <w:color w:val="000000" w:themeColor="text1"/>
                    </w:rPr>
                    <w:t xml:space="preserve">(f) show the geolocation of the zoomed areas in the following Fig. </w:t>
                  </w:r>
                  <w:r>
                    <w:rPr>
                      <w:rFonts w:hint="eastAsia"/>
                      <w:color w:val="000000" w:themeColor="text1"/>
                      <w:lang w:eastAsia="zh-CN"/>
                    </w:rPr>
                    <w:t>10</w:t>
                  </w:r>
                  <w:r>
                    <w:rPr>
                      <w:color w:val="000000" w:themeColor="text1"/>
                    </w:rPr>
                    <w:t>.</w:t>
                  </w:r>
                </w:p>
              </w:txbxContent>
            </v:textbox>
            <w10:wrap type="square"/>
          </v:shape>
        </w:pic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4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IV</w:t>
      </w:r>
      <w:r>
        <w:rPr>
          <w:color w:val="000000" w:themeColor="text1"/>
        </w:rPr>
        <w:fldChar w:fldCharType="end"/>
      </w:r>
      <w:r>
        <w:rPr>
          <w:color w:val="000000" w:themeColor="text1"/>
        </w:rPr>
        <w:t>. Results</w:t>
      </w:r>
    </w:p>
    <w:p w14:paraId="1B028F42">
      <w:pPr>
        <w:pStyle w:val="3"/>
        <w:numPr>
          <w:ilvl w:val="1"/>
          <w:numId w:val="7"/>
        </w:numPr>
        <w:rPr>
          <w:color w:val="000000" w:themeColor="text1"/>
        </w:rPr>
      </w:pPr>
      <w:r>
        <w:rPr>
          <w:color w:val="000000" w:themeColor="text1"/>
        </w:rPr>
        <w:t>GEDI AGBD maps estimated by different methods</w:t>
      </w:r>
    </w:p>
    <w:p w14:paraId="4C3EA294">
      <w:pPr>
        <w:ind w:firstLine="400" w:firstLineChars="200"/>
        <w:jc w:val="both"/>
        <w:rPr>
          <w:color w:val="000000" w:themeColor="text1"/>
        </w:rPr>
      </w:pPr>
      <w:bookmarkStart w:id="21" w:name="OLE_LINK3"/>
      <w:r>
        <w:rPr>
          <w:rFonts w:hint="eastAsia"/>
          <w:color w:val="000000" w:themeColor="text1"/>
        </w:rPr>
        <w:t>The</w:t>
      </w:r>
      <w:r>
        <w:rPr>
          <w:color w:val="000000" w:themeColor="text1"/>
        </w:rPr>
        <w:t xml:space="preserve"> spatially continuous GEDI AGBD maps for the year 2020 estimated by four machine learning methods (i.e., ELM, GRNN, SVR, and RF) and two deep learning methods (i.e., CNN and CNN_spatial) are presented here. In particular, the results’ accuracy assessments are listed in Fig. </w:t>
      </w:r>
      <w:r>
        <w:rPr>
          <w:rFonts w:hint="eastAsia"/>
          <w:color w:val="000000" w:themeColor="text1"/>
          <w:lang w:eastAsia="zh-CN"/>
        </w:rPr>
        <w:t>8</w:t>
      </w:r>
      <w:r>
        <w:rPr>
          <w:color w:val="000000" w:themeColor="text1"/>
        </w:rPr>
        <w:t xml:space="preserve">, and Fig. </w:t>
      </w:r>
      <w:r>
        <w:rPr>
          <w:rFonts w:hint="eastAsia"/>
          <w:color w:val="000000" w:themeColor="text1"/>
          <w:lang w:eastAsia="zh-CN"/>
        </w:rPr>
        <w:t>9</w:t>
      </w:r>
      <w:r>
        <w:rPr>
          <w:color w:val="000000" w:themeColor="text1"/>
        </w:rPr>
        <w:t xml:space="preserve"> shows the spatial distribution of different results. Additionally, Fig. </w:t>
      </w:r>
      <w:r>
        <w:rPr>
          <w:rFonts w:hint="eastAsia"/>
          <w:color w:val="000000" w:themeColor="text1"/>
          <w:lang w:eastAsia="zh-CN"/>
        </w:rPr>
        <w:t>10</w:t>
      </w:r>
      <w:r>
        <w:rPr>
          <w:color w:val="000000" w:themeColor="text1"/>
        </w:rPr>
        <w:t xml:space="preserve"> offers three zoomed areas of the six resultant AGBD maps, facilitating a comprehensive comparison of the estimated GEDI AGBD maps obtained through different methods.</w:t>
      </w:r>
    </w:p>
    <w:p w14:paraId="19EFEC2C">
      <w:pPr>
        <w:ind w:firstLine="400" w:firstLineChars="200"/>
        <w:jc w:val="both"/>
        <w:rPr>
          <w:color w:val="000000" w:themeColor="text1"/>
        </w:rPr>
      </w:pPr>
      <w:r>
        <w:rPr>
          <w:color w:val="000000" w:themeColor="text1"/>
        </w:rPr>
        <w:t xml:space="preserve">Fig. </w:t>
      </w:r>
      <w:r>
        <w:rPr>
          <w:rFonts w:hint="eastAsia"/>
          <w:color w:val="000000" w:themeColor="text1"/>
          <w:lang w:eastAsia="zh-CN"/>
        </w:rPr>
        <w:t>9</w:t>
      </w:r>
      <w:r>
        <w:rPr>
          <w:color w:val="000000" w:themeColor="text1"/>
        </w:rPr>
        <w:t xml:space="preserve"> displays scatterplots and accuracy assessments of the six resultant AGBD values against the reference samples extracted from GEDI AGBD grids. As indicated by Fig. </w:t>
      </w:r>
      <w:r>
        <w:rPr>
          <w:rFonts w:hint="eastAsia"/>
          <w:color w:val="000000" w:themeColor="text1"/>
          <w:lang w:eastAsia="zh-CN"/>
        </w:rPr>
        <w:t>8</w:t>
      </w:r>
      <w:r>
        <w:rPr>
          <w:color w:val="000000" w:themeColor="text1"/>
        </w:rPr>
        <w:t xml:space="preserve">, ELM exhibits the lowest accuracy when compared to the other methods. GRNN and SVR exhibit similar levels of accuracy, while RF achieved the highest accuracy among the four machine learning methods. CNN demonstrates superior accuracy compared to ELM, GRNN, and SVR, although it falls slightly short of the accuracy achieved by RF. Crucially, CNN_spatial attains the best accuracy among the four machine learning methods and the deep learning method of CNN, as supported by the following evaluation metrics: </w:t>
      </w:r>
      <w:r>
        <w:rPr>
          <w:i/>
          <w:iCs/>
          <w:color w:val="000000" w:themeColor="text1"/>
        </w:rPr>
        <w:t>R</w:t>
      </w:r>
      <w:r>
        <w:rPr>
          <w:color w:val="000000" w:themeColor="text1"/>
          <w:vertAlign w:val="superscript"/>
        </w:rPr>
        <w:t>2</w:t>
      </w:r>
      <w:r>
        <w:rPr>
          <w:color w:val="000000" w:themeColor="text1"/>
        </w:rPr>
        <w:t xml:space="preserve"> = 0.8232,</w:t>
      </w:r>
      <w:bookmarkStart w:id="22" w:name="_Hlk141429753"/>
      <w:r>
        <w:rPr>
          <w:color w:val="000000" w:themeColor="text1"/>
        </w:rPr>
        <w:t xml:space="preserve"> </w:t>
      </w:r>
      <w:r>
        <w:rPr>
          <w:i/>
          <w:iCs/>
          <w:color w:val="000000" w:themeColor="text1"/>
        </w:rPr>
        <w:t>IOA</w:t>
      </w:r>
      <w:r>
        <w:rPr>
          <w:color w:val="000000" w:themeColor="text1"/>
        </w:rPr>
        <w:t xml:space="preserve"> = 94.97%, </w:t>
      </w:r>
      <w:r>
        <w:rPr>
          <w:i/>
          <w:iCs/>
          <w:color w:val="000000" w:themeColor="text1"/>
        </w:rPr>
        <w:t>RMSE</w:t>
      </w:r>
      <w:r>
        <w:rPr>
          <w:color w:val="000000" w:themeColor="text1"/>
        </w:rPr>
        <w:t xml:space="preserve"> = 27.7557, </w:t>
      </w:r>
      <w:r>
        <w:rPr>
          <w:i/>
          <w:iCs/>
          <w:color w:val="000000" w:themeColor="text1"/>
        </w:rPr>
        <w:t>rRSME</w:t>
      </w:r>
      <w:r>
        <w:rPr>
          <w:color w:val="000000" w:themeColor="text1"/>
        </w:rPr>
        <w:t xml:space="preserve"> = 33.05%, </w:t>
      </w:r>
      <w:r>
        <w:rPr>
          <w:i/>
          <w:iCs/>
          <w:color w:val="000000" w:themeColor="text1"/>
        </w:rPr>
        <w:t>MAE</w:t>
      </w:r>
      <w:r>
        <w:rPr>
          <w:color w:val="000000" w:themeColor="text1"/>
        </w:rPr>
        <w:t xml:space="preserve"> = 18.9096, and </w:t>
      </w:r>
      <w:r>
        <w:rPr>
          <w:i/>
          <w:iCs/>
          <w:color w:val="000000" w:themeColor="text1"/>
        </w:rPr>
        <w:t>ME</w:t>
      </w:r>
      <w:r>
        <w:rPr>
          <w:color w:val="000000" w:themeColor="text1"/>
        </w:rPr>
        <w:t xml:space="preserve"> = -0.3876.</w:t>
      </w:r>
      <w:bookmarkEnd w:id="22"/>
    </w:p>
    <w:p w14:paraId="244416BF">
      <w:pPr>
        <w:ind w:firstLine="400" w:firstLineChars="200"/>
        <w:jc w:val="both"/>
        <w:rPr>
          <w:color w:val="000000" w:themeColor="text1"/>
        </w:rPr>
      </w:pPr>
      <w:r>
        <w:rPr>
          <w:color w:val="000000" w:themeColor="text1"/>
        </w:rPr>
        <w:t xml:space="preserve">As depicted in Fig. </w:t>
      </w:r>
      <w:r>
        <w:rPr>
          <w:rFonts w:hint="eastAsia"/>
          <w:color w:val="000000" w:themeColor="text1"/>
          <w:lang w:eastAsia="zh-CN"/>
        </w:rPr>
        <w:t>9</w:t>
      </w:r>
      <w:r>
        <w:rPr>
          <w:color w:val="000000" w:themeColor="text1"/>
        </w:rPr>
        <w:t>, t</w:t>
      </w:r>
      <w:r>
        <w:rPr>
          <w:rFonts w:hint="eastAsia"/>
          <w:color w:val="000000" w:themeColor="text1"/>
        </w:rPr>
        <w:t>he</w:t>
      </w:r>
      <w:r>
        <w:rPr>
          <w:color w:val="000000" w:themeColor="text1"/>
        </w:rPr>
        <w:t xml:space="preserve"> GEDI AGBD maps resulting from the six nonlinear regression methods showcase comparable spatial distributions, albeit with differences in spatial details. The ELM result tends to underestimate the high AGBD values in the forests of northwest mountains while overestimating the low AGBD values in the forests of the southeastern mountain and urban areas, as illustrated in Fig. </w:t>
      </w:r>
      <w:r>
        <w:rPr>
          <w:rFonts w:hint="eastAsia"/>
          <w:color w:val="000000" w:themeColor="text1"/>
          <w:lang w:eastAsia="zh-CN"/>
        </w:rPr>
        <w:t>9</w:t>
      </w:r>
      <w:r>
        <w:rPr>
          <w:color w:val="000000" w:themeColor="text1"/>
        </w:rPr>
        <w:t xml:space="preserve">(a). These patterns are further highlighted in the zoomed areas </w:t>
      </w:r>
      <w:r>
        <w:rPr>
          <w:color w:val="000000" w:themeColor="text1"/>
        </w:rPr>
        <w:pict>
          <v:shape id="_x0000_s8795" o:spid="_x0000_s8795" o:spt="202" type="#_x0000_t202" style="position:absolute;left:0pt;height:270.3pt;width:518.25pt;mso-position-horizontal:center;mso-position-horizontal-relative:margin;mso-position-vertical:top;mso-position-vertical-relative:margin;mso-wrap-distance-bottom:0pt;mso-wrap-distance-left:9pt;mso-wrap-distance-right:9pt;mso-wrap-distance-top:0pt;z-index:251669504;mso-width-relative:page;mso-height-relative:page;" stroked="f" coordsize="21600,21600">
            <v:path/>
            <v:fill focussize="0,0"/>
            <v:stroke on="f" joinstyle="miter"/>
            <v:imagedata o:title=""/>
            <o:lock v:ext="edit"/>
            <v:textbox inset="0mm,0mm,0mm,0mm">
              <w:txbxContent>
                <w:p w14:paraId="02F3E590">
                  <w:pPr>
                    <w:spacing w:before="120" w:beforeLines="50"/>
                    <w:jc w:val="center"/>
                    <w:rPr>
                      <w:szCs w:val="21"/>
                    </w:rPr>
                  </w:pPr>
                  <w:r>
                    <w:rPr>
                      <w:szCs w:val="21"/>
                    </w:rPr>
                    <w:drawing>
                      <wp:inline distT="0" distB="0" distL="0" distR="0">
                        <wp:extent cx="6016625" cy="3157855"/>
                        <wp:effectExtent l="0" t="0" r="3175" b="4445"/>
                        <wp:docPr id="1826759561" name="图片 1826759561" descr="图片包含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59561" name="图片 1826759561" descr="图片包含 游戏机&#10;&#10;AI 生成的内容可能不正确。"/>
                                <pic:cNvPicPr>
                                  <a:picLocks noChangeAspect="1"/>
                                </pic:cNvPicPr>
                              </pic:nvPicPr>
                              <pic:blipFill>
                                <a:blip r:embed="rId16"/>
                                <a:stretch>
                                  <a:fillRect/>
                                </a:stretch>
                              </pic:blipFill>
                              <pic:spPr>
                                <a:xfrm>
                                  <a:off x="0" y="0"/>
                                  <a:ext cx="6027962" cy="3164206"/>
                                </a:xfrm>
                                <a:prstGeom prst="rect">
                                  <a:avLst/>
                                </a:prstGeom>
                              </pic:spPr>
                            </pic:pic>
                          </a:graphicData>
                        </a:graphic>
                      </wp:inline>
                    </w:drawing>
                  </w:r>
                </w:p>
                <w:p w14:paraId="4F666D90">
                  <w:pPr>
                    <w:pStyle w:val="74"/>
                    <w:rPr>
                      <w:lang w:eastAsia="zh-CN"/>
                    </w:rPr>
                  </w:pPr>
                  <w:r>
                    <w:rPr>
                      <w:rFonts w:hint="eastAsia"/>
                      <w:b/>
                      <w:bCs/>
                    </w:rPr>
                    <w:t>F</w:t>
                  </w:r>
                  <w:r>
                    <w:rPr>
                      <w:b/>
                      <w:bCs/>
                    </w:rPr>
                    <w:t>ig</w:t>
                  </w:r>
                  <w:r>
                    <w:rPr>
                      <w:b/>
                      <w:bCs/>
                      <w:color w:val="000000" w:themeColor="text1"/>
                    </w:rPr>
                    <w:t xml:space="preserve">. </w:t>
                  </w:r>
                  <w:r>
                    <w:rPr>
                      <w:rFonts w:hint="eastAsia"/>
                      <w:b/>
                      <w:bCs/>
                      <w:color w:val="000000" w:themeColor="text1"/>
                      <w:lang w:eastAsia="zh-CN"/>
                    </w:rPr>
                    <w:t>10</w:t>
                  </w:r>
                  <w:r>
                    <w:rPr>
                      <w:b/>
                      <w:bCs/>
                      <w:color w:val="000000" w:themeColor="text1"/>
                    </w:rPr>
                    <w:t xml:space="preserve">. </w:t>
                  </w:r>
                  <w:r>
                    <w:rPr>
                      <w:color w:val="000000" w:themeColor="text1"/>
                    </w:rPr>
                    <w:t>Thre</w:t>
                  </w:r>
                  <w:r>
                    <w:t xml:space="preserve">e zoomed areas of the spatial continuous GEDI AGBD maps produced by different methods in Fig. </w:t>
                  </w:r>
                  <w:r>
                    <w:rPr>
                      <w:rFonts w:hint="eastAsia"/>
                      <w:color w:val="FF0000"/>
                      <w:lang w:eastAsia="zh-CN"/>
                    </w:rPr>
                    <w:t>9</w:t>
                  </w:r>
                  <w:r>
                    <w:t>.</w:t>
                  </w:r>
                </w:p>
              </w:txbxContent>
            </v:textbox>
            <w10:wrap type="square"/>
          </v:shape>
        </w:pict>
      </w:r>
      <w:r>
        <w:rPr>
          <w:color w:val="000000" w:themeColor="text1"/>
        </w:rPr>
        <w:t xml:space="preserve">shown in Fig. </w:t>
      </w:r>
      <w:r>
        <w:rPr>
          <w:rFonts w:hint="eastAsia"/>
          <w:color w:val="000000" w:themeColor="text1"/>
          <w:lang w:eastAsia="zh-CN"/>
        </w:rPr>
        <w:t>10</w:t>
      </w:r>
      <w:r>
        <w:rPr>
          <w:color w:val="000000" w:themeColor="text1"/>
        </w:rPr>
        <w:t xml:space="preserve">. Both GRNN and SVR show improved estimates of low AGBD values in southeastern mountains and urban areas, but they continue to face challenges in accurately representing high AGBD values in the forests of the northwest mountain, as observed in Figs. 8(b-c) and Fig. </w:t>
      </w:r>
      <w:r>
        <w:rPr>
          <w:rFonts w:hint="eastAsia"/>
          <w:color w:val="000000" w:themeColor="text1"/>
          <w:lang w:eastAsia="zh-CN"/>
        </w:rPr>
        <w:t>10</w:t>
      </w:r>
      <w:r>
        <w:rPr>
          <w:color w:val="000000" w:themeColor="text1"/>
        </w:rPr>
        <w:t xml:space="preserve">. In comparison with the other three machine learning regression methods, RF demonstrates enhancements in the estimates of both high and </w:t>
      </w:r>
      <w:r>
        <w:rPr>
          <w:color w:val="000000" w:themeColor="text1"/>
        </w:rPr>
        <w:pict>
          <v:shape id="_x0000_s8796" o:spid="_x0000_s8796" o:spt="202" type="#_x0000_t202" style="position:absolute;left:0pt;height:319.85pt;width:518.25pt;mso-position-horizontal:center;mso-position-horizontal-relative:margin;mso-position-vertical:bottom;mso-position-vertical-relative:margin;mso-wrap-distance-bottom:0pt;mso-wrap-distance-left:9pt;mso-wrap-distance-right:9pt;mso-wrap-distance-top:0pt;z-index:251670528;mso-width-relative:page;mso-height-relative:page;" stroked="f" coordsize="21600,21600">
            <v:path/>
            <v:fill focussize="0,0"/>
            <v:stroke on="f" joinstyle="miter"/>
            <v:imagedata o:title=""/>
            <o:lock v:ext="edit"/>
            <v:textbox inset="0mm,0mm,0mm,0mm">
              <w:txbxContent>
                <w:p w14:paraId="0466A857">
                  <w:pPr>
                    <w:spacing w:line="360" w:lineRule="auto"/>
                    <w:jc w:val="center"/>
                    <w:rPr>
                      <w:szCs w:val="21"/>
                    </w:rPr>
                  </w:pPr>
                  <w:r>
                    <w:rPr>
                      <w:szCs w:val="21"/>
                    </w:rPr>
                    <w:drawing>
                      <wp:inline distT="0" distB="0" distL="0" distR="0">
                        <wp:extent cx="6120765" cy="3500755"/>
                        <wp:effectExtent l="0" t="0" r="0" b="4445"/>
                        <wp:docPr id="444955641" name="图片 44495564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955641" name="图片 444955641" descr="地图&#10;&#10;AI 生成的内容可能不正确。"/>
                                <pic:cNvPicPr>
                                  <a:picLocks noChangeAspect="1"/>
                                </pic:cNvPicPr>
                              </pic:nvPicPr>
                              <pic:blipFill>
                                <a:blip r:embed="rId17"/>
                                <a:stretch>
                                  <a:fillRect/>
                                </a:stretch>
                              </pic:blipFill>
                              <pic:spPr>
                                <a:xfrm>
                                  <a:off x="0" y="0"/>
                                  <a:ext cx="6137814" cy="3510806"/>
                                </a:xfrm>
                                <a:prstGeom prst="rect">
                                  <a:avLst/>
                                </a:prstGeom>
                              </pic:spPr>
                            </pic:pic>
                          </a:graphicData>
                        </a:graphic>
                      </wp:inline>
                    </w:drawing>
                  </w:r>
                </w:p>
                <w:p w14:paraId="7A35D6D8">
                  <w:pPr>
                    <w:pStyle w:val="74"/>
                    <w:rPr>
                      <w:lang w:eastAsia="zh-CN"/>
                    </w:rPr>
                  </w:pPr>
                  <w:r>
                    <w:rPr>
                      <w:b/>
                      <w:bCs/>
                    </w:rPr>
                    <w:t>Fi</w:t>
                  </w:r>
                  <w:r>
                    <w:rPr>
                      <w:b/>
                      <w:bCs/>
                      <w:color w:val="000000" w:themeColor="text1"/>
                    </w:rPr>
                    <w:t>g. 1</w:t>
                  </w:r>
                  <w:r>
                    <w:rPr>
                      <w:rFonts w:hint="eastAsia"/>
                      <w:b/>
                      <w:bCs/>
                      <w:color w:val="000000" w:themeColor="text1"/>
                      <w:lang w:eastAsia="zh-CN"/>
                    </w:rPr>
                    <w:t>1</w:t>
                  </w:r>
                  <w:r>
                    <w:rPr>
                      <w:b/>
                      <w:bCs/>
                      <w:color w:val="000000" w:themeColor="text1"/>
                    </w:rPr>
                    <w:t xml:space="preserve">. </w:t>
                  </w:r>
                  <w:r>
                    <w:rPr>
                      <w:color w:val="000000" w:themeColor="text1"/>
                    </w:rPr>
                    <w:t>Spatially cont</w:t>
                  </w:r>
                  <w:r>
                    <w:t xml:space="preserve">inuous GEDI AGBD maps for China’s Han River basin in 2020 produced by CNN_spatial regression with different types of input datasets. (a) CNN_spatial regression result with PALSAR-2 (HH, HV, HH-HV and HH/HV) </w:t>
                  </w:r>
                  <w:bookmarkStart w:id="44" w:name="_Hlk141104143"/>
                  <w:r>
                    <w:t>covariates</w:t>
                  </w:r>
                  <w:bookmarkEnd w:id="44"/>
                  <w:r>
                    <w:t>; (b) CNN_spatial regression result with MODIS NDVI, EVI, VCF, NPP, GPP, LAI and FPAR covariates; (c) CNN_spatial regression result with DEM, Slope, LST and ET covariates; (d) GEDI AGBD grids and Landsat true colour image circa 2020.</w:t>
                  </w:r>
                </w:p>
              </w:txbxContent>
            </v:textbox>
            <w10:wrap type="square"/>
          </v:shape>
        </w:pict>
      </w:r>
      <w:r>
        <w:rPr>
          <w:color w:val="000000" w:themeColor="text1"/>
        </w:rPr>
        <w:t xml:space="preserve">low AGBD values within mountain forests (see Fig. </w:t>
      </w:r>
      <w:r>
        <w:rPr>
          <w:rFonts w:hint="eastAsia"/>
          <w:color w:val="000000" w:themeColor="text1"/>
          <w:lang w:eastAsia="zh-CN"/>
        </w:rPr>
        <w:t>9</w:t>
      </w:r>
      <w:r>
        <w:rPr>
          <w:color w:val="000000" w:themeColor="text1"/>
        </w:rPr>
        <w:t xml:space="preserve">(d) and Fig. </w:t>
      </w:r>
      <w:r>
        <w:rPr>
          <w:rFonts w:hint="eastAsia"/>
          <w:color w:val="000000" w:themeColor="text1"/>
          <w:lang w:eastAsia="zh-CN"/>
        </w:rPr>
        <w:t>10</w:t>
      </w:r>
      <w:r>
        <w:rPr>
          <w:color w:val="000000" w:themeColor="text1"/>
        </w:rPr>
        <w:t xml:space="preserve">). The CNN result exhibit similarities to that of RF (see Fig. </w:t>
      </w:r>
      <w:r>
        <w:rPr>
          <w:rFonts w:hint="eastAsia"/>
          <w:color w:val="000000" w:themeColor="text1"/>
          <w:lang w:eastAsia="zh-CN"/>
        </w:rPr>
        <w:t>9</w:t>
      </w:r>
      <w:r>
        <w:rPr>
          <w:color w:val="000000" w:themeColor="text1"/>
        </w:rPr>
        <w:t xml:space="preserve">(e)), but CNN model tends to represent more areas with high AGBD values (see Fig. </w:t>
      </w:r>
      <w:r>
        <w:rPr>
          <w:rFonts w:hint="eastAsia"/>
          <w:color w:val="000000" w:themeColor="text1"/>
          <w:lang w:eastAsia="zh-CN"/>
        </w:rPr>
        <w:t>10</w:t>
      </w:r>
      <w:r>
        <w:rPr>
          <w:color w:val="000000" w:themeColor="text1"/>
        </w:rPr>
        <w:t xml:space="preserve">). Nonetheless, CNN_spatial (see Fig. </w:t>
      </w:r>
      <w:r>
        <w:rPr>
          <w:rFonts w:hint="eastAsia"/>
          <w:color w:val="000000" w:themeColor="text1"/>
          <w:lang w:eastAsia="zh-CN"/>
        </w:rPr>
        <w:t>9</w:t>
      </w:r>
      <w:r>
        <w:rPr>
          <w:color w:val="000000" w:themeColor="text1"/>
        </w:rPr>
        <w:t xml:space="preserve">(f) and Fig. </w:t>
      </w:r>
      <w:r>
        <w:rPr>
          <w:rFonts w:hint="eastAsia"/>
          <w:color w:val="000000" w:themeColor="text1"/>
          <w:lang w:eastAsia="zh-CN"/>
        </w:rPr>
        <w:t>10</w:t>
      </w:r>
      <w:r>
        <w:rPr>
          <w:color w:val="000000" w:themeColor="text1"/>
        </w:rPr>
        <w:t>) demonstrated a notable advantage in accurately estimating both high and low AGBD values within mountain forests and urban areas, closely resembling the reference GEDI AGBD grids.</w:t>
      </w:r>
    </w:p>
    <w:bookmarkEnd w:id="21"/>
    <w:p w14:paraId="7D4EC9B7">
      <w:pPr>
        <w:pStyle w:val="3"/>
        <w:rPr>
          <w:color w:val="000000" w:themeColor="text1"/>
        </w:rPr>
      </w:pPr>
      <w:r>
        <w:rPr>
          <w:color w:val="000000" w:themeColor="text1"/>
          <w:szCs w:val="21"/>
        </w:rPr>
        <w:pict>
          <v:shape id="_x0000_s8798" o:spid="_x0000_s8798" o:spt="202" type="#_x0000_t202" style="position:absolute;left:0pt;margin-left:0.3pt;margin-top:258.35pt;height:192.5pt;width:251.65pt;mso-position-horizontal-relative:margin;mso-position-vertical-relative:margin;mso-wrap-distance-bottom:0pt;mso-wrap-distance-left:9pt;mso-wrap-distance-right:9pt;mso-wrap-distance-top:0pt;z-index:251672576;mso-width-relative:page;mso-height-relative:page;" stroked="f" coordsize="21600,21600">
            <v:path/>
            <v:fill focussize="0,0"/>
            <v:stroke on="f" joinstyle="miter"/>
            <v:imagedata o:title=""/>
            <o:lock v:ext="edit"/>
            <v:textbox inset="0mm,0mm,0mm,0mm">
              <w:txbxContent>
                <w:p w14:paraId="1963241F">
                  <w:pPr>
                    <w:jc w:val="center"/>
                    <w:rPr>
                      <w:b/>
                      <w:bCs/>
                      <w:szCs w:val="21"/>
                    </w:rPr>
                  </w:pPr>
                  <w:r>
                    <w:rPr>
                      <w:b/>
                      <w:bCs/>
                      <w:szCs w:val="21"/>
                    </w:rPr>
                    <w:drawing>
                      <wp:inline distT="0" distB="0" distL="0" distR="0">
                        <wp:extent cx="3149600" cy="2280285"/>
                        <wp:effectExtent l="0" t="0" r="0" b="0"/>
                        <wp:docPr id="14545488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48848" name="图片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244820" cy="2349205"/>
                                </a:xfrm>
                                <a:prstGeom prst="rect">
                                  <a:avLst/>
                                </a:prstGeom>
                                <a:noFill/>
                                <a:ln>
                                  <a:noFill/>
                                </a:ln>
                              </pic:spPr>
                            </pic:pic>
                          </a:graphicData>
                        </a:graphic>
                      </wp:inline>
                    </w:drawing>
                  </w:r>
                </w:p>
                <w:p w14:paraId="4F89260F">
                  <w:pPr>
                    <w:pStyle w:val="74"/>
                    <w:rPr>
                      <w:lang w:eastAsia="zh-CN"/>
                    </w:rPr>
                  </w:pPr>
                  <w:r>
                    <w:rPr>
                      <w:b/>
                      <w:bCs/>
                    </w:rPr>
                    <w:t>Fig</w:t>
                  </w:r>
                  <w:r>
                    <w:rPr>
                      <w:b/>
                      <w:bCs/>
                      <w:color w:val="000000" w:themeColor="text1"/>
                    </w:rPr>
                    <w:t>. 1</w:t>
                  </w:r>
                  <w:r>
                    <w:rPr>
                      <w:rFonts w:hint="eastAsia"/>
                      <w:b/>
                      <w:bCs/>
                      <w:color w:val="000000" w:themeColor="text1"/>
                      <w:lang w:eastAsia="zh-CN"/>
                    </w:rPr>
                    <w:t>2</w:t>
                  </w:r>
                  <w:r>
                    <w:rPr>
                      <w:b/>
                      <w:bCs/>
                      <w:color w:val="000000" w:themeColor="text1"/>
                    </w:rPr>
                    <w:t>.</w:t>
                  </w:r>
                  <w:r>
                    <w:rPr>
                      <w:color w:val="000000" w:themeColor="text1"/>
                    </w:rPr>
                    <w:t xml:space="preserve"> Importanc</w:t>
                  </w:r>
                  <w:r>
                    <w:t>e ranking of 15 covariates in the RF regression.</w:t>
                  </w:r>
                </w:p>
              </w:txbxContent>
            </v:textbox>
            <w10:wrap type="square"/>
          </v:shape>
        </w:pict>
      </w:r>
      <w:r>
        <w:rPr>
          <w:color w:val="000000" w:themeColor="text1"/>
        </w:rPr>
        <w:pict>
          <v:shape id="_x0000_s8797" o:spid="_x0000_s8797" o:spt="202" type="#_x0000_t202" style="position:absolute;left:0pt;height:258.1pt;width:518.25pt;mso-position-horizontal:center;mso-position-horizontal-relative:margin;mso-position-vertical:top;mso-position-vertical-relative:margin;mso-wrap-distance-bottom:0pt;mso-wrap-distance-left:9pt;mso-wrap-distance-right:9pt;mso-wrap-distance-top:0pt;z-index:251671552;mso-width-relative:page;mso-height-relative:page;" stroked="f" coordsize="21600,21600">
            <v:path/>
            <v:fill focussize="0,0"/>
            <v:stroke on="f" joinstyle="miter"/>
            <v:imagedata o:title=""/>
            <o:lock v:ext="edit"/>
            <v:textbox inset="0mm,0mm,0mm,0mm">
              <w:txbxContent>
                <w:p w14:paraId="1A712932">
                  <w:pPr>
                    <w:pStyle w:val="66"/>
                  </w:pPr>
                  <w:r>
                    <w:t xml:space="preserve">Table </w:t>
                  </w:r>
                  <w:r>
                    <w:fldChar w:fldCharType="begin"/>
                  </w:r>
                  <w:r>
                    <w:rPr>
                      <w:lang w:eastAsia="zh-CN"/>
                    </w:rPr>
                    <w:instrText xml:space="preserve"> </w:instrText>
                  </w:r>
                  <w:r>
                    <w:rPr>
                      <w:rFonts w:hint="eastAsia"/>
                      <w:lang w:eastAsia="zh-CN"/>
                    </w:rPr>
                    <w:instrText xml:space="preserve">= 3 \* ROMAN</w:instrText>
                  </w:r>
                  <w:r>
                    <w:rPr>
                      <w:lang w:eastAsia="zh-CN"/>
                    </w:rPr>
                    <w:instrText xml:space="preserve"> </w:instrText>
                  </w:r>
                  <w:r>
                    <w:fldChar w:fldCharType="separate"/>
                  </w:r>
                  <w:r>
                    <w:rPr>
                      <w:lang w:eastAsia="zh-CN"/>
                    </w:rPr>
                    <w:t>III</w:t>
                  </w:r>
                  <w:r>
                    <w:fldChar w:fldCharType="end"/>
                  </w:r>
                </w:p>
                <w:p w14:paraId="02461106">
                  <w:pPr>
                    <w:pStyle w:val="67"/>
                  </w:pPr>
                  <w:r>
                    <w:rPr>
                      <w:rFonts w:hint="eastAsia"/>
                    </w:rPr>
                    <w:t>Accuracy</w:t>
                  </w:r>
                  <w:r>
                    <w:t xml:space="preserve"> assessment of GEDI AGBD produced by different methods with three types of input datasets.</w:t>
                  </w:r>
                </w:p>
                <w:tbl>
                  <w:tblPr>
                    <w:tblStyle w:val="20"/>
                    <w:tblW w:w="10474" w:type="dxa"/>
                    <w:jc w:val="center"/>
                    <w:tblLayout w:type="fixed"/>
                    <w:tblCellMar>
                      <w:top w:w="0" w:type="dxa"/>
                      <w:left w:w="108" w:type="dxa"/>
                      <w:bottom w:w="0" w:type="dxa"/>
                      <w:right w:w="108" w:type="dxa"/>
                    </w:tblCellMar>
                  </w:tblPr>
                  <w:tblGrid>
                    <w:gridCol w:w="1499"/>
                    <w:gridCol w:w="1162"/>
                    <w:gridCol w:w="1164"/>
                    <w:gridCol w:w="996"/>
                    <w:gridCol w:w="1162"/>
                    <w:gridCol w:w="998"/>
                    <w:gridCol w:w="996"/>
                    <w:gridCol w:w="998"/>
                    <w:gridCol w:w="1499"/>
                  </w:tblGrid>
                  <w:tr w14:paraId="273B7A30">
                    <w:tblPrEx>
                      <w:tblCellMar>
                        <w:top w:w="0" w:type="dxa"/>
                        <w:left w:w="108" w:type="dxa"/>
                        <w:bottom w:w="0" w:type="dxa"/>
                        <w:right w:w="108" w:type="dxa"/>
                      </w:tblCellMar>
                    </w:tblPrEx>
                    <w:trPr>
                      <w:trHeight w:val="249" w:hRule="atLeast"/>
                      <w:jc w:val="center"/>
                    </w:trPr>
                    <w:tc>
                      <w:tcPr>
                        <w:tcW w:w="1499" w:type="dxa"/>
                        <w:tcBorders>
                          <w:top w:val="single" w:color="auto" w:sz="4" w:space="0"/>
                          <w:left w:val="nil"/>
                          <w:bottom w:val="single" w:color="auto" w:sz="4" w:space="0"/>
                          <w:right w:val="nil"/>
                        </w:tcBorders>
                        <w:noWrap/>
                        <w:vAlign w:val="center"/>
                      </w:tcPr>
                      <w:p w14:paraId="5507CCF3">
                        <w:pPr>
                          <w:adjustRightInd w:val="0"/>
                          <w:snapToGrid w:val="0"/>
                          <w:rPr>
                            <w:rFonts w:eastAsia="等线"/>
                            <w:sz w:val="16"/>
                            <w:szCs w:val="16"/>
                          </w:rPr>
                        </w:pPr>
                        <w:r>
                          <w:rPr>
                            <w:rFonts w:hint="eastAsia" w:eastAsia="等线"/>
                            <w:sz w:val="16"/>
                            <w:szCs w:val="16"/>
                          </w:rPr>
                          <w:t>D</w:t>
                        </w:r>
                        <w:r>
                          <w:rPr>
                            <w:rFonts w:eastAsia="等线"/>
                            <w:sz w:val="16"/>
                            <w:szCs w:val="16"/>
                          </w:rPr>
                          <w:t>ataset</w:t>
                        </w:r>
                      </w:p>
                    </w:tc>
                    <w:tc>
                      <w:tcPr>
                        <w:tcW w:w="1162" w:type="dxa"/>
                        <w:tcBorders>
                          <w:top w:val="single" w:color="auto" w:sz="4" w:space="0"/>
                          <w:left w:val="nil"/>
                          <w:bottom w:val="single" w:color="auto" w:sz="4" w:space="0"/>
                          <w:right w:val="nil"/>
                        </w:tcBorders>
                        <w:noWrap/>
                        <w:vAlign w:val="center"/>
                      </w:tcPr>
                      <w:p w14:paraId="274E61D8">
                        <w:pPr>
                          <w:adjustRightInd w:val="0"/>
                          <w:snapToGrid w:val="0"/>
                          <w:jc w:val="center"/>
                          <w:rPr>
                            <w:rFonts w:eastAsia="等线"/>
                            <w:sz w:val="16"/>
                            <w:szCs w:val="16"/>
                          </w:rPr>
                        </w:pPr>
                        <w:r>
                          <w:rPr>
                            <w:rFonts w:hint="eastAsia" w:eastAsia="等线"/>
                            <w:sz w:val="16"/>
                            <w:szCs w:val="16"/>
                          </w:rPr>
                          <w:t>I</w:t>
                        </w:r>
                        <w:r>
                          <w:rPr>
                            <w:rFonts w:eastAsia="等线"/>
                            <w:sz w:val="16"/>
                            <w:szCs w:val="16"/>
                          </w:rPr>
                          <w:t>ndex</w:t>
                        </w:r>
                      </w:p>
                    </w:tc>
                    <w:tc>
                      <w:tcPr>
                        <w:tcW w:w="1164" w:type="dxa"/>
                        <w:tcBorders>
                          <w:top w:val="single" w:color="auto" w:sz="4" w:space="0"/>
                          <w:left w:val="nil"/>
                          <w:bottom w:val="single" w:color="auto" w:sz="4" w:space="0"/>
                          <w:right w:val="nil"/>
                        </w:tcBorders>
                        <w:noWrap/>
                        <w:vAlign w:val="center"/>
                      </w:tcPr>
                      <w:p w14:paraId="050C649A">
                        <w:pPr>
                          <w:adjustRightInd w:val="0"/>
                          <w:snapToGrid w:val="0"/>
                          <w:jc w:val="center"/>
                          <w:rPr>
                            <w:rFonts w:eastAsia="等线"/>
                            <w:sz w:val="16"/>
                            <w:szCs w:val="16"/>
                          </w:rPr>
                        </w:pPr>
                        <w:r>
                          <w:rPr>
                            <w:rFonts w:eastAsia="等线"/>
                            <w:sz w:val="16"/>
                            <w:szCs w:val="16"/>
                          </w:rPr>
                          <w:t>Best value</w:t>
                        </w:r>
                      </w:p>
                    </w:tc>
                    <w:tc>
                      <w:tcPr>
                        <w:tcW w:w="996" w:type="dxa"/>
                        <w:tcBorders>
                          <w:top w:val="single" w:color="auto" w:sz="4" w:space="0"/>
                          <w:left w:val="nil"/>
                          <w:bottom w:val="single" w:color="auto" w:sz="4" w:space="0"/>
                          <w:right w:val="nil"/>
                        </w:tcBorders>
                        <w:noWrap/>
                        <w:vAlign w:val="center"/>
                      </w:tcPr>
                      <w:p w14:paraId="477C2636">
                        <w:pPr>
                          <w:adjustRightInd w:val="0"/>
                          <w:snapToGrid w:val="0"/>
                          <w:jc w:val="center"/>
                          <w:rPr>
                            <w:rFonts w:eastAsia="等线"/>
                            <w:sz w:val="16"/>
                            <w:szCs w:val="16"/>
                          </w:rPr>
                        </w:pPr>
                        <w:r>
                          <w:rPr>
                            <w:rFonts w:eastAsia="等线"/>
                            <w:sz w:val="16"/>
                            <w:szCs w:val="16"/>
                          </w:rPr>
                          <w:t>ELM</w:t>
                        </w:r>
                      </w:p>
                    </w:tc>
                    <w:tc>
                      <w:tcPr>
                        <w:tcW w:w="1162" w:type="dxa"/>
                        <w:tcBorders>
                          <w:top w:val="single" w:color="auto" w:sz="4" w:space="0"/>
                          <w:left w:val="nil"/>
                          <w:bottom w:val="single" w:color="auto" w:sz="4" w:space="0"/>
                          <w:right w:val="nil"/>
                        </w:tcBorders>
                        <w:noWrap/>
                        <w:vAlign w:val="center"/>
                      </w:tcPr>
                      <w:p w14:paraId="00D2BD4A">
                        <w:pPr>
                          <w:adjustRightInd w:val="0"/>
                          <w:snapToGrid w:val="0"/>
                          <w:jc w:val="center"/>
                          <w:rPr>
                            <w:rFonts w:eastAsia="等线"/>
                            <w:sz w:val="16"/>
                            <w:szCs w:val="16"/>
                          </w:rPr>
                        </w:pPr>
                        <w:r>
                          <w:rPr>
                            <w:rFonts w:eastAsia="等线"/>
                            <w:sz w:val="16"/>
                            <w:szCs w:val="16"/>
                          </w:rPr>
                          <w:t>GRNN</w:t>
                        </w:r>
                      </w:p>
                    </w:tc>
                    <w:tc>
                      <w:tcPr>
                        <w:tcW w:w="998" w:type="dxa"/>
                        <w:tcBorders>
                          <w:top w:val="single" w:color="auto" w:sz="4" w:space="0"/>
                          <w:left w:val="nil"/>
                          <w:bottom w:val="single" w:color="auto" w:sz="4" w:space="0"/>
                          <w:right w:val="nil"/>
                        </w:tcBorders>
                        <w:noWrap/>
                        <w:vAlign w:val="center"/>
                      </w:tcPr>
                      <w:p w14:paraId="2FB460ED">
                        <w:pPr>
                          <w:adjustRightInd w:val="0"/>
                          <w:snapToGrid w:val="0"/>
                          <w:jc w:val="center"/>
                          <w:rPr>
                            <w:rFonts w:eastAsia="等线"/>
                            <w:sz w:val="16"/>
                            <w:szCs w:val="16"/>
                          </w:rPr>
                        </w:pPr>
                        <w:r>
                          <w:rPr>
                            <w:rFonts w:eastAsia="等线"/>
                            <w:sz w:val="16"/>
                            <w:szCs w:val="16"/>
                          </w:rPr>
                          <w:t>SVR</w:t>
                        </w:r>
                      </w:p>
                    </w:tc>
                    <w:tc>
                      <w:tcPr>
                        <w:tcW w:w="996" w:type="dxa"/>
                        <w:tcBorders>
                          <w:top w:val="single" w:color="auto" w:sz="4" w:space="0"/>
                          <w:left w:val="nil"/>
                          <w:bottom w:val="single" w:color="auto" w:sz="4" w:space="0"/>
                          <w:right w:val="nil"/>
                        </w:tcBorders>
                        <w:noWrap/>
                        <w:vAlign w:val="center"/>
                      </w:tcPr>
                      <w:p w14:paraId="35F741E9">
                        <w:pPr>
                          <w:adjustRightInd w:val="0"/>
                          <w:snapToGrid w:val="0"/>
                          <w:jc w:val="center"/>
                          <w:rPr>
                            <w:rFonts w:eastAsia="等线"/>
                            <w:sz w:val="16"/>
                            <w:szCs w:val="16"/>
                          </w:rPr>
                        </w:pPr>
                        <w:r>
                          <w:rPr>
                            <w:rFonts w:eastAsia="等线"/>
                            <w:sz w:val="16"/>
                            <w:szCs w:val="16"/>
                          </w:rPr>
                          <w:t>RF</w:t>
                        </w:r>
                      </w:p>
                    </w:tc>
                    <w:tc>
                      <w:tcPr>
                        <w:tcW w:w="998" w:type="dxa"/>
                        <w:tcBorders>
                          <w:top w:val="single" w:color="auto" w:sz="4" w:space="0"/>
                          <w:left w:val="nil"/>
                          <w:bottom w:val="single" w:color="auto" w:sz="4" w:space="0"/>
                          <w:right w:val="nil"/>
                        </w:tcBorders>
                        <w:noWrap/>
                        <w:vAlign w:val="center"/>
                      </w:tcPr>
                      <w:p w14:paraId="69A85681">
                        <w:pPr>
                          <w:adjustRightInd w:val="0"/>
                          <w:snapToGrid w:val="0"/>
                          <w:jc w:val="center"/>
                          <w:rPr>
                            <w:rFonts w:eastAsia="等线"/>
                            <w:sz w:val="16"/>
                            <w:szCs w:val="16"/>
                          </w:rPr>
                        </w:pPr>
                        <w:r>
                          <w:rPr>
                            <w:rFonts w:eastAsia="等线"/>
                            <w:sz w:val="16"/>
                            <w:szCs w:val="16"/>
                          </w:rPr>
                          <w:t>CNN</w:t>
                        </w:r>
                      </w:p>
                    </w:tc>
                    <w:tc>
                      <w:tcPr>
                        <w:tcW w:w="1499" w:type="dxa"/>
                        <w:tcBorders>
                          <w:top w:val="single" w:color="auto" w:sz="4" w:space="0"/>
                          <w:left w:val="nil"/>
                          <w:bottom w:val="single" w:color="auto" w:sz="4" w:space="0"/>
                          <w:right w:val="nil"/>
                        </w:tcBorders>
                        <w:noWrap/>
                        <w:vAlign w:val="center"/>
                      </w:tcPr>
                      <w:p w14:paraId="7A0B86B3">
                        <w:pPr>
                          <w:adjustRightInd w:val="0"/>
                          <w:snapToGrid w:val="0"/>
                          <w:jc w:val="center"/>
                          <w:rPr>
                            <w:rFonts w:eastAsia="等线"/>
                            <w:sz w:val="16"/>
                            <w:szCs w:val="16"/>
                          </w:rPr>
                        </w:pPr>
                        <w:r>
                          <w:rPr>
                            <w:rFonts w:eastAsia="等线"/>
                            <w:sz w:val="16"/>
                            <w:szCs w:val="16"/>
                          </w:rPr>
                          <w:t>CNN_spatial</w:t>
                        </w:r>
                      </w:p>
                    </w:tc>
                  </w:tr>
                  <w:tr w14:paraId="1D60424E">
                    <w:tblPrEx>
                      <w:tblCellMar>
                        <w:top w:w="0" w:type="dxa"/>
                        <w:left w:w="108" w:type="dxa"/>
                        <w:bottom w:w="0" w:type="dxa"/>
                        <w:right w:w="108" w:type="dxa"/>
                      </w:tblCellMar>
                    </w:tblPrEx>
                    <w:trPr>
                      <w:trHeight w:val="249" w:hRule="atLeast"/>
                      <w:jc w:val="center"/>
                    </w:trPr>
                    <w:tc>
                      <w:tcPr>
                        <w:tcW w:w="1499" w:type="dxa"/>
                        <w:vMerge w:val="restart"/>
                        <w:tcBorders>
                          <w:top w:val="nil"/>
                          <w:left w:val="nil"/>
                          <w:bottom w:val="nil"/>
                          <w:right w:val="nil"/>
                        </w:tcBorders>
                        <w:vAlign w:val="center"/>
                      </w:tcPr>
                      <w:p w14:paraId="2FCB5257">
                        <w:pPr>
                          <w:adjustRightInd w:val="0"/>
                          <w:snapToGrid w:val="0"/>
                          <w:jc w:val="center"/>
                          <w:rPr>
                            <w:rFonts w:eastAsia="等线"/>
                            <w:sz w:val="16"/>
                            <w:szCs w:val="16"/>
                          </w:rPr>
                        </w:pPr>
                        <w:r>
                          <w:rPr>
                            <w:rFonts w:eastAsia="等线"/>
                            <w:sz w:val="16"/>
                            <w:szCs w:val="16"/>
                          </w:rPr>
                          <w:t>PALSAR-2 (HH, HV, HH-HV, HH/HV)</w:t>
                        </w:r>
                      </w:p>
                    </w:tc>
                    <w:tc>
                      <w:tcPr>
                        <w:tcW w:w="1162" w:type="dxa"/>
                        <w:tcBorders>
                          <w:top w:val="nil"/>
                          <w:left w:val="nil"/>
                          <w:bottom w:val="nil"/>
                          <w:right w:val="nil"/>
                        </w:tcBorders>
                        <w:noWrap/>
                        <w:vAlign w:val="center"/>
                      </w:tcPr>
                      <w:p w14:paraId="26229159">
                        <w:pPr>
                          <w:adjustRightInd w:val="0"/>
                          <w:snapToGrid w:val="0"/>
                          <w:jc w:val="center"/>
                          <w:rPr>
                            <w:rFonts w:eastAsia="等线"/>
                            <w:i/>
                            <w:iCs/>
                            <w:sz w:val="16"/>
                            <w:szCs w:val="16"/>
                            <w:vertAlign w:val="superscript"/>
                          </w:rPr>
                        </w:pPr>
                        <w:r>
                          <w:rPr>
                            <w:rFonts w:eastAsia="等线"/>
                            <w:i/>
                            <w:iCs/>
                            <w:sz w:val="16"/>
                            <w:szCs w:val="16"/>
                          </w:rPr>
                          <w:t>R</w:t>
                        </w:r>
                        <w:r>
                          <w:rPr>
                            <w:rFonts w:eastAsia="等线"/>
                            <w:i/>
                            <w:iCs/>
                            <w:sz w:val="16"/>
                            <w:szCs w:val="16"/>
                            <w:vertAlign w:val="superscript"/>
                          </w:rPr>
                          <w:t>2</w:t>
                        </w:r>
                      </w:p>
                    </w:tc>
                    <w:tc>
                      <w:tcPr>
                        <w:tcW w:w="1164" w:type="dxa"/>
                        <w:tcBorders>
                          <w:top w:val="nil"/>
                          <w:left w:val="nil"/>
                          <w:bottom w:val="nil"/>
                          <w:right w:val="nil"/>
                        </w:tcBorders>
                        <w:noWrap/>
                        <w:vAlign w:val="center"/>
                      </w:tcPr>
                      <w:p w14:paraId="172ED096">
                        <w:pPr>
                          <w:adjustRightInd w:val="0"/>
                          <w:snapToGrid w:val="0"/>
                          <w:jc w:val="center"/>
                          <w:rPr>
                            <w:rFonts w:eastAsia="等线"/>
                            <w:sz w:val="16"/>
                            <w:szCs w:val="16"/>
                          </w:rPr>
                        </w:pPr>
                        <w:r>
                          <w:rPr>
                            <w:rFonts w:eastAsia="等线"/>
                            <w:sz w:val="16"/>
                            <w:szCs w:val="16"/>
                          </w:rPr>
                          <w:t>1</w:t>
                        </w:r>
                      </w:p>
                    </w:tc>
                    <w:tc>
                      <w:tcPr>
                        <w:tcW w:w="996" w:type="dxa"/>
                        <w:tcBorders>
                          <w:top w:val="nil"/>
                          <w:left w:val="nil"/>
                          <w:bottom w:val="nil"/>
                          <w:right w:val="nil"/>
                        </w:tcBorders>
                        <w:noWrap/>
                        <w:vAlign w:val="center"/>
                      </w:tcPr>
                      <w:p w14:paraId="7A04C861">
                        <w:pPr>
                          <w:adjustRightInd w:val="0"/>
                          <w:snapToGrid w:val="0"/>
                          <w:jc w:val="center"/>
                          <w:rPr>
                            <w:rFonts w:eastAsia="等线"/>
                            <w:sz w:val="16"/>
                            <w:szCs w:val="16"/>
                          </w:rPr>
                        </w:pPr>
                        <w:r>
                          <w:rPr>
                            <w:rFonts w:eastAsia="等线"/>
                            <w:sz w:val="16"/>
                            <w:szCs w:val="16"/>
                          </w:rPr>
                          <w:t>0.6273</w:t>
                        </w:r>
                      </w:p>
                    </w:tc>
                    <w:tc>
                      <w:tcPr>
                        <w:tcW w:w="1162" w:type="dxa"/>
                        <w:tcBorders>
                          <w:top w:val="nil"/>
                          <w:left w:val="nil"/>
                          <w:bottom w:val="nil"/>
                          <w:right w:val="nil"/>
                        </w:tcBorders>
                        <w:noWrap/>
                        <w:vAlign w:val="center"/>
                      </w:tcPr>
                      <w:p w14:paraId="248832CB">
                        <w:pPr>
                          <w:adjustRightInd w:val="0"/>
                          <w:snapToGrid w:val="0"/>
                          <w:jc w:val="center"/>
                          <w:rPr>
                            <w:rFonts w:eastAsia="等线"/>
                            <w:sz w:val="16"/>
                            <w:szCs w:val="16"/>
                          </w:rPr>
                        </w:pPr>
                        <w:r>
                          <w:rPr>
                            <w:rFonts w:eastAsia="等线"/>
                            <w:sz w:val="16"/>
                            <w:szCs w:val="16"/>
                          </w:rPr>
                          <w:t>0.6608</w:t>
                        </w:r>
                      </w:p>
                    </w:tc>
                    <w:tc>
                      <w:tcPr>
                        <w:tcW w:w="998" w:type="dxa"/>
                        <w:tcBorders>
                          <w:top w:val="nil"/>
                          <w:left w:val="nil"/>
                          <w:bottom w:val="nil"/>
                          <w:right w:val="nil"/>
                        </w:tcBorders>
                        <w:noWrap/>
                        <w:vAlign w:val="center"/>
                      </w:tcPr>
                      <w:p w14:paraId="18114B79">
                        <w:pPr>
                          <w:adjustRightInd w:val="0"/>
                          <w:snapToGrid w:val="0"/>
                          <w:jc w:val="center"/>
                          <w:rPr>
                            <w:rFonts w:eastAsia="等线"/>
                            <w:sz w:val="16"/>
                            <w:szCs w:val="16"/>
                          </w:rPr>
                        </w:pPr>
                        <w:r>
                          <w:rPr>
                            <w:rFonts w:eastAsia="等线"/>
                            <w:sz w:val="16"/>
                            <w:szCs w:val="16"/>
                          </w:rPr>
                          <w:t>0.6931</w:t>
                        </w:r>
                      </w:p>
                    </w:tc>
                    <w:tc>
                      <w:tcPr>
                        <w:tcW w:w="996" w:type="dxa"/>
                        <w:tcBorders>
                          <w:top w:val="nil"/>
                          <w:left w:val="nil"/>
                          <w:bottom w:val="nil"/>
                          <w:right w:val="nil"/>
                        </w:tcBorders>
                        <w:noWrap/>
                        <w:vAlign w:val="center"/>
                      </w:tcPr>
                      <w:p w14:paraId="6A891D7F">
                        <w:pPr>
                          <w:adjustRightInd w:val="0"/>
                          <w:snapToGrid w:val="0"/>
                          <w:jc w:val="center"/>
                          <w:rPr>
                            <w:rFonts w:eastAsia="等线"/>
                            <w:sz w:val="16"/>
                            <w:szCs w:val="16"/>
                          </w:rPr>
                        </w:pPr>
                        <w:r>
                          <w:rPr>
                            <w:rFonts w:eastAsia="等线"/>
                            <w:sz w:val="16"/>
                            <w:szCs w:val="16"/>
                          </w:rPr>
                          <w:t>0.6886</w:t>
                        </w:r>
                      </w:p>
                    </w:tc>
                    <w:tc>
                      <w:tcPr>
                        <w:tcW w:w="998" w:type="dxa"/>
                        <w:tcBorders>
                          <w:top w:val="nil"/>
                          <w:left w:val="nil"/>
                          <w:bottom w:val="nil"/>
                          <w:right w:val="nil"/>
                        </w:tcBorders>
                        <w:noWrap/>
                        <w:vAlign w:val="center"/>
                      </w:tcPr>
                      <w:p w14:paraId="293D8859">
                        <w:pPr>
                          <w:adjustRightInd w:val="0"/>
                          <w:snapToGrid w:val="0"/>
                          <w:jc w:val="center"/>
                          <w:rPr>
                            <w:rFonts w:eastAsia="等线"/>
                            <w:sz w:val="16"/>
                            <w:szCs w:val="16"/>
                          </w:rPr>
                        </w:pPr>
                        <w:r>
                          <w:rPr>
                            <w:rFonts w:eastAsia="等线"/>
                            <w:sz w:val="16"/>
                            <w:szCs w:val="16"/>
                          </w:rPr>
                          <w:t>0.7027</w:t>
                        </w:r>
                      </w:p>
                    </w:tc>
                    <w:tc>
                      <w:tcPr>
                        <w:tcW w:w="1499" w:type="dxa"/>
                        <w:tcBorders>
                          <w:top w:val="nil"/>
                          <w:left w:val="nil"/>
                          <w:bottom w:val="nil"/>
                          <w:right w:val="nil"/>
                        </w:tcBorders>
                        <w:noWrap/>
                        <w:vAlign w:val="center"/>
                      </w:tcPr>
                      <w:p w14:paraId="38A497CC">
                        <w:pPr>
                          <w:adjustRightInd w:val="0"/>
                          <w:snapToGrid w:val="0"/>
                          <w:jc w:val="center"/>
                          <w:rPr>
                            <w:rFonts w:eastAsia="等线"/>
                            <w:b/>
                            <w:bCs/>
                            <w:sz w:val="16"/>
                            <w:szCs w:val="16"/>
                          </w:rPr>
                        </w:pPr>
                        <w:r>
                          <w:rPr>
                            <w:rFonts w:eastAsia="等线"/>
                            <w:b/>
                            <w:bCs/>
                            <w:sz w:val="16"/>
                            <w:szCs w:val="16"/>
                          </w:rPr>
                          <w:t>0.7377</w:t>
                        </w:r>
                      </w:p>
                    </w:tc>
                  </w:tr>
                  <w:tr w14:paraId="197AFF6F">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10DC71F8">
                        <w:pPr>
                          <w:adjustRightInd w:val="0"/>
                          <w:snapToGrid w:val="0"/>
                          <w:rPr>
                            <w:rFonts w:eastAsia="等线"/>
                            <w:sz w:val="16"/>
                            <w:szCs w:val="16"/>
                          </w:rPr>
                        </w:pPr>
                      </w:p>
                    </w:tc>
                    <w:tc>
                      <w:tcPr>
                        <w:tcW w:w="1162" w:type="dxa"/>
                        <w:tcBorders>
                          <w:top w:val="nil"/>
                          <w:left w:val="nil"/>
                          <w:bottom w:val="nil"/>
                          <w:right w:val="nil"/>
                        </w:tcBorders>
                        <w:noWrap/>
                        <w:vAlign w:val="center"/>
                      </w:tcPr>
                      <w:p w14:paraId="740D0371">
                        <w:pPr>
                          <w:adjustRightInd w:val="0"/>
                          <w:snapToGrid w:val="0"/>
                          <w:jc w:val="center"/>
                          <w:rPr>
                            <w:rFonts w:eastAsia="等线"/>
                            <w:i/>
                            <w:iCs/>
                            <w:sz w:val="16"/>
                            <w:szCs w:val="16"/>
                          </w:rPr>
                        </w:pPr>
                        <w:r>
                          <w:rPr>
                            <w:rFonts w:eastAsia="等线"/>
                            <w:i/>
                            <w:iCs/>
                            <w:sz w:val="16"/>
                            <w:szCs w:val="16"/>
                          </w:rPr>
                          <w:t>IOA</w:t>
                        </w:r>
                      </w:p>
                    </w:tc>
                    <w:tc>
                      <w:tcPr>
                        <w:tcW w:w="1164" w:type="dxa"/>
                        <w:tcBorders>
                          <w:top w:val="nil"/>
                          <w:left w:val="nil"/>
                          <w:bottom w:val="nil"/>
                          <w:right w:val="nil"/>
                        </w:tcBorders>
                        <w:noWrap/>
                        <w:vAlign w:val="center"/>
                      </w:tcPr>
                      <w:p w14:paraId="324A09C7">
                        <w:pPr>
                          <w:adjustRightInd w:val="0"/>
                          <w:snapToGrid w:val="0"/>
                          <w:jc w:val="center"/>
                          <w:rPr>
                            <w:rFonts w:eastAsia="等线"/>
                            <w:sz w:val="16"/>
                            <w:szCs w:val="16"/>
                          </w:rPr>
                        </w:pPr>
                        <w:r>
                          <w:rPr>
                            <w:rFonts w:eastAsia="等线"/>
                            <w:sz w:val="16"/>
                            <w:szCs w:val="16"/>
                          </w:rPr>
                          <w:t>100%</w:t>
                        </w:r>
                      </w:p>
                    </w:tc>
                    <w:tc>
                      <w:tcPr>
                        <w:tcW w:w="996" w:type="dxa"/>
                        <w:tcBorders>
                          <w:top w:val="nil"/>
                          <w:left w:val="nil"/>
                          <w:bottom w:val="nil"/>
                          <w:right w:val="nil"/>
                        </w:tcBorders>
                        <w:noWrap/>
                        <w:vAlign w:val="center"/>
                      </w:tcPr>
                      <w:p w14:paraId="5D65D75B">
                        <w:pPr>
                          <w:adjustRightInd w:val="0"/>
                          <w:snapToGrid w:val="0"/>
                          <w:jc w:val="center"/>
                          <w:rPr>
                            <w:rFonts w:eastAsia="等线"/>
                            <w:sz w:val="16"/>
                            <w:szCs w:val="16"/>
                          </w:rPr>
                        </w:pPr>
                        <w:r>
                          <w:rPr>
                            <w:rFonts w:eastAsia="等线"/>
                            <w:sz w:val="16"/>
                            <w:szCs w:val="16"/>
                          </w:rPr>
                          <w:t>87.51%</w:t>
                        </w:r>
                      </w:p>
                    </w:tc>
                    <w:tc>
                      <w:tcPr>
                        <w:tcW w:w="1162" w:type="dxa"/>
                        <w:tcBorders>
                          <w:top w:val="nil"/>
                          <w:left w:val="nil"/>
                          <w:bottom w:val="nil"/>
                          <w:right w:val="nil"/>
                        </w:tcBorders>
                        <w:noWrap/>
                        <w:vAlign w:val="center"/>
                      </w:tcPr>
                      <w:p w14:paraId="2703A383">
                        <w:pPr>
                          <w:adjustRightInd w:val="0"/>
                          <w:snapToGrid w:val="0"/>
                          <w:jc w:val="center"/>
                          <w:rPr>
                            <w:rFonts w:eastAsia="等线"/>
                            <w:sz w:val="16"/>
                            <w:szCs w:val="16"/>
                          </w:rPr>
                        </w:pPr>
                        <w:r>
                          <w:rPr>
                            <w:rFonts w:eastAsia="等线"/>
                            <w:sz w:val="16"/>
                            <w:szCs w:val="16"/>
                          </w:rPr>
                          <w:t>87.98%</w:t>
                        </w:r>
                      </w:p>
                    </w:tc>
                    <w:tc>
                      <w:tcPr>
                        <w:tcW w:w="998" w:type="dxa"/>
                        <w:tcBorders>
                          <w:top w:val="nil"/>
                          <w:left w:val="nil"/>
                          <w:bottom w:val="nil"/>
                          <w:right w:val="nil"/>
                        </w:tcBorders>
                        <w:noWrap/>
                        <w:vAlign w:val="center"/>
                      </w:tcPr>
                      <w:p w14:paraId="51A4B02E">
                        <w:pPr>
                          <w:adjustRightInd w:val="0"/>
                          <w:snapToGrid w:val="0"/>
                          <w:jc w:val="center"/>
                          <w:rPr>
                            <w:rFonts w:eastAsia="等线"/>
                            <w:sz w:val="16"/>
                            <w:szCs w:val="16"/>
                          </w:rPr>
                        </w:pPr>
                        <w:r>
                          <w:rPr>
                            <w:rFonts w:eastAsia="等线"/>
                            <w:sz w:val="16"/>
                            <w:szCs w:val="16"/>
                          </w:rPr>
                          <w:t>89.52%</w:t>
                        </w:r>
                      </w:p>
                    </w:tc>
                    <w:tc>
                      <w:tcPr>
                        <w:tcW w:w="996" w:type="dxa"/>
                        <w:tcBorders>
                          <w:top w:val="nil"/>
                          <w:left w:val="nil"/>
                          <w:bottom w:val="nil"/>
                          <w:right w:val="nil"/>
                        </w:tcBorders>
                        <w:noWrap/>
                        <w:vAlign w:val="center"/>
                      </w:tcPr>
                      <w:p w14:paraId="3607BB83">
                        <w:pPr>
                          <w:adjustRightInd w:val="0"/>
                          <w:snapToGrid w:val="0"/>
                          <w:jc w:val="center"/>
                          <w:rPr>
                            <w:rFonts w:eastAsia="等线"/>
                            <w:sz w:val="16"/>
                            <w:szCs w:val="16"/>
                          </w:rPr>
                        </w:pPr>
                        <w:r>
                          <w:rPr>
                            <w:rFonts w:eastAsia="等线"/>
                            <w:sz w:val="16"/>
                            <w:szCs w:val="16"/>
                          </w:rPr>
                          <w:t>90.29%</w:t>
                        </w:r>
                      </w:p>
                    </w:tc>
                    <w:tc>
                      <w:tcPr>
                        <w:tcW w:w="998" w:type="dxa"/>
                        <w:tcBorders>
                          <w:top w:val="nil"/>
                          <w:left w:val="nil"/>
                          <w:bottom w:val="nil"/>
                          <w:right w:val="nil"/>
                        </w:tcBorders>
                        <w:noWrap/>
                        <w:vAlign w:val="center"/>
                      </w:tcPr>
                      <w:p w14:paraId="61B17285">
                        <w:pPr>
                          <w:adjustRightInd w:val="0"/>
                          <w:snapToGrid w:val="0"/>
                          <w:jc w:val="center"/>
                          <w:rPr>
                            <w:rFonts w:eastAsia="等线"/>
                            <w:sz w:val="16"/>
                            <w:szCs w:val="16"/>
                          </w:rPr>
                        </w:pPr>
                        <w:r>
                          <w:rPr>
                            <w:rFonts w:eastAsia="等线"/>
                            <w:sz w:val="16"/>
                            <w:szCs w:val="16"/>
                          </w:rPr>
                          <w:t>90.64%</w:t>
                        </w:r>
                      </w:p>
                    </w:tc>
                    <w:tc>
                      <w:tcPr>
                        <w:tcW w:w="1499" w:type="dxa"/>
                        <w:tcBorders>
                          <w:top w:val="nil"/>
                          <w:left w:val="nil"/>
                          <w:bottom w:val="nil"/>
                          <w:right w:val="nil"/>
                        </w:tcBorders>
                        <w:noWrap/>
                        <w:vAlign w:val="center"/>
                      </w:tcPr>
                      <w:p w14:paraId="6F8341AA">
                        <w:pPr>
                          <w:adjustRightInd w:val="0"/>
                          <w:snapToGrid w:val="0"/>
                          <w:jc w:val="center"/>
                          <w:rPr>
                            <w:rFonts w:eastAsia="等线"/>
                            <w:b/>
                            <w:bCs/>
                            <w:sz w:val="16"/>
                            <w:szCs w:val="16"/>
                          </w:rPr>
                        </w:pPr>
                        <w:r>
                          <w:rPr>
                            <w:rFonts w:eastAsia="等线"/>
                            <w:b/>
                            <w:bCs/>
                            <w:sz w:val="16"/>
                            <w:szCs w:val="16"/>
                          </w:rPr>
                          <w:t>91.95%</w:t>
                        </w:r>
                      </w:p>
                    </w:tc>
                  </w:tr>
                  <w:tr w14:paraId="20224253">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1EA615BA">
                        <w:pPr>
                          <w:adjustRightInd w:val="0"/>
                          <w:snapToGrid w:val="0"/>
                          <w:rPr>
                            <w:rFonts w:eastAsia="等线"/>
                            <w:sz w:val="16"/>
                            <w:szCs w:val="16"/>
                          </w:rPr>
                        </w:pPr>
                      </w:p>
                    </w:tc>
                    <w:tc>
                      <w:tcPr>
                        <w:tcW w:w="1162" w:type="dxa"/>
                        <w:tcBorders>
                          <w:top w:val="nil"/>
                          <w:left w:val="nil"/>
                          <w:bottom w:val="nil"/>
                          <w:right w:val="nil"/>
                        </w:tcBorders>
                        <w:noWrap/>
                        <w:vAlign w:val="center"/>
                      </w:tcPr>
                      <w:p w14:paraId="649C3039">
                        <w:pPr>
                          <w:adjustRightInd w:val="0"/>
                          <w:snapToGrid w:val="0"/>
                          <w:jc w:val="center"/>
                          <w:rPr>
                            <w:rFonts w:eastAsia="等线"/>
                            <w:i/>
                            <w:iCs/>
                            <w:sz w:val="16"/>
                            <w:szCs w:val="16"/>
                          </w:rPr>
                        </w:pPr>
                        <w:r>
                          <w:rPr>
                            <w:rFonts w:eastAsia="等线"/>
                            <w:i/>
                            <w:iCs/>
                            <w:sz w:val="16"/>
                            <w:szCs w:val="16"/>
                          </w:rPr>
                          <w:t>RMSE</w:t>
                        </w:r>
                      </w:p>
                    </w:tc>
                    <w:tc>
                      <w:tcPr>
                        <w:tcW w:w="1164" w:type="dxa"/>
                        <w:tcBorders>
                          <w:top w:val="nil"/>
                          <w:left w:val="nil"/>
                          <w:bottom w:val="nil"/>
                          <w:right w:val="nil"/>
                        </w:tcBorders>
                        <w:noWrap/>
                        <w:vAlign w:val="center"/>
                      </w:tcPr>
                      <w:p w14:paraId="56F2E8A0">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3FD32DDF">
                        <w:pPr>
                          <w:adjustRightInd w:val="0"/>
                          <w:snapToGrid w:val="0"/>
                          <w:jc w:val="center"/>
                          <w:rPr>
                            <w:rFonts w:eastAsia="等线"/>
                            <w:sz w:val="16"/>
                            <w:szCs w:val="16"/>
                          </w:rPr>
                        </w:pPr>
                        <w:r>
                          <w:rPr>
                            <w:rFonts w:eastAsia="等线"/>
                            <w:sz w:val="16"/>
                            <w:szCs w:val="16"/>
                          </w:rPr>
                          <w:t>40.2884</w:t>
                        </w:r>
                      </w:p>
                    </w:tc>
                    <w:tc>
                      <w:tcPr>
                        <w:tcW w:w="1162" w:type="dxa"/>
                        <w:tcBorders>
                          <w:top w:val="nil"/>
                          <w:left w:val="nil"/>
                          <w:bottom w:val="nil"/>
                          <w:right w:val="nil"/>
                        </w:tcBorders>
                        <w:noWrap/>
                        <w:vAlign w:val="center"/>
                      </w:tcPr>
                      <w:p w14:paraId="2393A57F">
                        <w:pPr>
                          <w:adjustRightInd w:val="0"/>
                          <w:snapToGrid w:val="0"/>
                          <w:jc w:val="center"/>
                          <w:rPr>
                            <w:rFonts w:eastAsia="等线"/>
                            <w:sz w:val="16"/>
                            <w:szCs w:val="16"/>
                          </w:rPr>
                        </w:pPr>
                        <w:r>
                          <w:rPr>
                            <w:rFonts w:eastAsia="等线"/>
                            <w:sz w:val="16"/>
                            <w:szCs w:val="16"/>
                          </w:rPr>
                          <w:t>38.6686</w:t>
                        </w:r>
                      </w:p>
                    </w:tc>
                    <w:tc>
                      <w:tcPr>
                        <w:tcW w:w="998" w:type="dxa"/>
                        <w:tcBorders>
                          <w:top w:val="nil"/>
                          <w:left w:val="nil"/>
                          <w:bottom w:val="nil"/>
                          <w:right w:val="nil"/>
                        </w:tcBorders>
                        <w:noWrap/>
                        <w:vAlign w:val="center"/>
                      </w:tcPr>
                      <w:p w14:paraId="7240B8AC">
                        <w:pPr>
                          <w:adjustRightInd w:val="0"/>
                          <w:snapToGrid w:val="0"/>
                          <w:jc w:val="center"/>
                          <w:rPr>
                            <w:rFonts w:eastAsia="等线"/>
                            <w:sz w:val="16"/>
                            <w:szCs w:val="16"/>
                          </w:rPr>
                        </w:pPr>
                        <w:r>
                          <w:rPr>
                            <w:rFonts w:eastAsia="等线"/>
                            <w:sz w:val="16"/>
                            <w:szCs w:val="16"/>
                          </w:rPr>
                          <w:t>36.9814</w:t>
                        </w:r>
                      </w:p>
                    </w:tc>
                    <w:tc>
                      <w:tcPr>
                        <w:tcW w:w="996" w:type="dxa"/>
                        <w:tcBorders>
                          <w:top w:val="nil"/>
                          <w:left w:val="nil"/>
                          <w:bottom w:val="nil"/>
                          <w:right w:val="nil"/>
                        </w:tcBorders>
                        <w:noWrap/>
                        <w:vAlign w:val="center"/>
                      </w:tcPr>
                      <w:p w14:paraId="37F99FE3">
                        <w:pPr>
                          <w:adjustRightInd w:val="0"/>
                          <w:snapToGrid w:val="0"/>
                          <w:jc w:val="center"/>
                          <w:rPr>
                            <w:rFonts w:eastAsia="等线"/>
                            <w:sz w:val="16"/>
                            <w:szCs w:val="16"/>
                          </w:rPr>
                        </w:pPr>
                        <w:r>
                          <w:rPr>
                            <w:rFonts w:eastAsia="等线"/>
                            <w:sz w:val="16"/>
                            <w:szCs w:val="16"/>
                          </w:rPr>
                          <w:t>36.8825</w:t>
                        </w:r>
                      </w:p>
                    </w:tc>
                    <w:tc>
                      <w:tcPr>
                        <w:tcW w:w="998" w:type="dxa"/>
                        <w:tcBorders>
                          <w:top w:val="nil"/>
                          <w:left w:val="nil"/>
                          <w:bottom w:val="nil"/>
                          <w:right w:val="nil"/>
                        </w:tcBorders>
                        <w:noWrap/>
                        <w:vAlign w:val="center"/>
                      </w:tcPr>
                      <w:p w14:paraId="7E77959D">
                        <w:pPr>
                          <w:adjustRightInd w:val="0"/>
                          <w:snapToGrid w:val="0"/>
                          <w:jc w:val="center"/>
                          <w:rPr>
                            <w:rFonts w:eastAsia="等线"/>
                            <w:sz w:val="16"/>
                            <w:szCs w:val="16"/>
                          </w:rPr>
                        </w:pPr>
                        <w:r>
                          <w:rPr>
                            <w:rFonts w:eastAsia="等线"/>
                            <w:sz w:val="16"/>
                            <w:szCs w:val="16"/>
                          </w:rPr>
                          <w:t>35.985</w:t>
                        </w:r>
                      </w:p>
                    </w:tc>
                    <w:tc>
                      <w:tcPr>
                        <w:tcW w:w="1499" w:type="dxa"/>
                        <w:tcBorders>
                          <w:top w:val="nil"/>
                          <w:left w:val="nil"/>
                          <w:bottom w:val="nil"/>
                          <w:right w:val="nil"/>
                        </w:tcBorders>
                        <w:noWrap/>
                        <w:vAlign w:val="center"/>
                      </w:tcPr>
                      <w:p w14:paraId="4CB3932F">
                        <w:pPr>
                          <w:adjustRightInd w:val="0"/>
                          <w:snapToGrid w:val="0"/>
                          <w:jc w:val="center"/>
                          <w:rPr>
                            <w:rFonts w:eastAsia="等线"/>
                            <w:b/>
                            <w:bCs/>
                            <w:sz w:val="16"/>
                            <w:szCs w:val="16"/>
                          </w:rPr>
                        </w:pPr>
                        <w:r>
                          <w:rPr>
                            <w:rFonts w:eastAsia="等线"/>
                            <w:b/>
                            <w:bCs/>
                            <w:sz w:val="16"/>
                            <w:szCs w:val="16"/>
                          </w:rPr>
                          <w:t>33.7998</w:t>
                        </w:r>
                      </w:p>
                    </w:tc>
                  </w:tr>
                  <w:tr w14:paraId="5809EAE6">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5D57323B">
                        <w:pPr>
                          <w:adjustRightInd w:val="0"/>
                          <w:snapToGrid w:val="0"/>
                          <w:rPr>
                            <w:rFonts w:eastAsia="等线"/>
                            <w:sz w:val="16"/>
                            <w:szCs w:val="16"/>
                          </w:rPr>
                        </w:pPr>
                      </w:p>
                    </w:tc>
                    <w:tc>
                      <w:tcPr>
                        <w:tcW w:w="1162" w:type="dxa"/>
                        <w:tcBorders>
                          <w:top w:val="nil"/>
                          <w:left w:val="nil"/>
                          <w:bottom w:val="nil"/>
                          <w:right w:val="nil"/>
                        </w:tcBorders>
                        <w:noWrap/>
                        <w:vAlign w:val="center"/>
                      </w:tcPr>
                      <w:p w14:paraId="752EF798">
                        <w:pPr>
                          <w:adjustRightInd w:val="0"/>
                          <w:snapToGrid w:val="0"/>
                          <w:jc w:val="center"/>
                          <w:rPr>
                            <w:rFonts w:eastAsia="等线"/>
                            <w:i/>
                            <w:iCs/>
                            <w:sz w:val="16"/>
                            <w:szCs w:val="16"/>
                          </w:rPr>
                        </w:pPr>
                        <w:r>
                          <w:rPr>
                            <w:rFonts w:hint="eastAsia" w:eastAsia="等线"/>
                            <w:i/>
                            <w:iCs/>
                            <w:sz w:val="16"/>
                            <w:szCs w:val="16"/>
                          </w:rPr>
                          <w:t>r</w:t>
                        </w:r>
                        <w:r>
                          <w:rPr>
                            <w:rFonts w:eastAsia="等线"/>
                            <w:i/>
                            <w:iCs/>
                            <w:sz w:val="16"/>
                            <w:szCs w:val="16"/>
                          </w:rPr>
                          <w:t>RMSE</w:t>
                        </w:r>
                      </w:p>
                    </w:tc>
                    <w:tc>
                      <w:tcPr>
                        <w:tcW w:w="1164" w:type="dxa"/>
                        <w:tcBorders>
                          <w:top w:val="nil"/>
                          <w:left w:val="nil"/>
                          <w:bottom w:val="nil"/>
                          <w:right w:val="nil"/>
                        </w:tcBorders>
                        <w:noWrap/>
                        <w:vAlign w:val="center"/>
                      </w:tcPr>
                      <w:p w14:paraId="25DD6D38">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3AB3BF82">
                        <w:pPr>
                          <w:adjustRightInd w:val="0"/>
                          <w:snapToGrid w:val="0"/>
                          <w:jc w:val="center"/>
                          <w:rPr>
                            <w:rFonts w:eastAsia="等线"/>
                            <w:sz w:val="16"/>
                            <w:szCs w:val="16"/>
                          </w:rPr>
                        </w:pPr>
                        <w:r>
                          <w:rPr>
                            <w:rFonts w:eastAsia="等线"/>
                            <w:sz w:val="16"/>
                            <w:szCs w:val="16"/>
                          </w:rPr>
                          <w:t>47.97%</w:t>
                        </w:r>
                      </w:p>
                    </w:tc>
                    <w:tc>
                      <w:tcPr>
                        <w:tcW w:w="1162" w:type="dxa"/>
                        <w:tcBorders>
                          <w:top w:val="nil"/>
                          <w:left w:val="nil"/>
                          <w:bottom w:val="nil"/>
                          <w:right w:val="nil"/>
                        </w:tcBorders>
                        <w:noWrap/>
                        <w:vAlign w:val="center"/>
                      </w:tcPr>
                      <w:p w14:paraId="1CC6A09E">
                        <w:pPr>
                          <w:adjustRightInd w:val="0"/>
                          <w:snapToGrid w:val="0"/>
                          <w:jc w:val="center"/>
                          <w:rPr>
                            <w:rFonts w:eastAsia="等线"/>
                            <w:sz w:val="16"/>
                            <w:szCs w:val="16"/>
                          </w:rPr>
                        </w:pPr>
                        <w:r>
                          <w:rPr>
                            <w:rFonts w:eastAsia="等线"/>
                            <w:sz w:val="16"/>
                            <w:szCs w:val="16"/>
                          </w:rPr>
                          <w:t>46.04%</w:t>
                        </w:r>
                      </w:p>
                    </w:tc>
                    <w:tc>
                      <w:tcPr>
                        <w:tcW w:w="998" w:type="dxa"/>
                        <w:tcBorders>
                          <w:top w:val="nil"/>
                          <w:left w:val="nil"/>
                          <w:bottom w:val="nil"/>
                          <w:right w:val="nil"/>
                        </w:tcBorders>
                        <w:noWrap/>
                        <w:vAlign w:val="center"/>
                      </w:tcPr>
                      <w:p w14:paraId="0B0C7E55">
                        <w:pPr>
                          <w:adjustRightInd w:val="0"/>
                          <w:snapToGrid w:val="0"/>
                          <w:jc w:val="center"/>
                          <w:rPr>
                            <w:rFonts w:eastAsia="等线"/>
                            <w:sz w:val="16"/>
                            <w:szCs w:val="16"/>
                          </w:rPr>
                        </w:pPr>
                        <w:r>
                          <w:rPr>
                            <w:rFonts w:eastAsia="等线"/>
                            <w:sz w:val="16"/>
                            <w:szCs w:val="16"/>
                          </w:rPr>
                          <w:t>44.03%</w:t>
                        </w:r>
                      </w:p>
                    </w:tc>
                    <w:tc>
                      <w:tcPr>
                        <w:tcW w:w="996" w:type="dxa"/>
                        <w:tcBorders>
                          <w:top w:val="nil"/>
                          <w:left w:val="nil"/>
                          <w:bottom w:val="nil"/>
                          <w:right w:val="nil"/>
                        </w:tcBorders>
                        <w:noWrap/>
                        <w:vAlign w:val="center"/>
                      </w:tcPr>
                      <w:p w14:paraId="79572771">
                        <w:pPr>
                          <w:adjustRightInd w:val="0"/>
                          <w:snapToGrid w:val="0"/>
                          <w:jc w:val="center"/>
                          <w:rPr>
                            <w:rFonts w:eastAsia="等线"/>
                            <w:sz w:val="16"/>
                            <w:szCs w:val="16"/>
                          </w:rPr>
                        </w:pPr>
                        <w:r>
                          <w:rPr>
                            <w:rFonts w:eastAsia="等线"/>
                            <w:sz w:val="16"/>
                            <w:szCs w:val="16"/>
                          </w:rPr>
                          <w:t>43.91%</w:t>
                        </w:r>
                      </w:p>
                    </w:tc>
                    <w:tc>
                      <w:tcPr>
                        <w:tcW w:w="998" w:type="dxa"/>
                        <w:tcBorders>
                          <w:top w:val="nil"/>
                          <w:left w:val="nil"/>
                          <w:bottom w:val="nil"/>
                          <w:right w:val="nil"/>
                        </w:tcBorders>
                        <w:noWrap/>
                        <w:vAlign w:val="center"/>
                      </w:tcPr>
                      <w:p w14:paraId="1F910C78">
                        <w:pPr>
                          <w:adjustRightInd w:val="0"/>
                          <w:snapToGrid w:val="0"/>
                          <w:jc w:val="center"/>
                          <w:rPr>
                            <w:rFonts w:eastAsia="等线"/>
                            <w:sz w:val="16"/>
                            <w:szCs w:val="16"/>
                          </w:rPr>
                        </w:pPr>
                        <w:r>
                          <w:rPr>
                            <w:rFonts w:eastAsia="等线"/>
                            <w:sz w:val="16"/>
                            <w:szCs w:val="16"/>
                          </w:rPr>
                          <w:t>42.84%</w:t>
                        </w:r>
                      </w:p>
                    </w:tc>
                    <w:tc>
                      <w:tcPr>
                        <w:tcW w:w="1499" w:type="dxa"/>
                        <w:tcBorders>
                          <w:top w:val="nil"/>
                          <w:left w:val="nil"/>
                          <w:bottom w:val="nil"/>
                          <w:right w:val="nil"/>
                        </w:tcBorders>
                        <w:noWrap/>
                        <w:vAlign w:val="center"/>
                      </w:tcPr>
                      <w:p w14:paraId="1A981929">
                        <w:pPr>
                          <w:adjustRightInd w:val="0"/>
                          <w:snapToGrid w:val="0"/>
                          <w:jc w:val="center"/>
                          <w:rPr>
                            <w:rFonts w:eastAsia="等线"/>
                            <w:b/>
                            <w:bCs/>
                            <w:sz w:val="16"/>
                            <w:szCs w:val="16"/>
                          </w:rPr>
                        </w:pPr>
                        <w:r>
                          <w:rPr>
                            <w:rFonts w:eastAsia="等线"/>
                            <w:b/>
                            <w:bCs/>
                            <w:sz w:val="16"/>
                            <w:szCs w:val="16"/>
                          </w:rPr>
                          <w:t>40.24%</w:t>
                        </w:r>
                      </w:p>
                    </w:tc>
                  </w:tr>
                  <w:tr w14:paraId="2FE34A4E">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0F854B74">
                        <w:pPr>
                          <w:adjustRightInd w:val="0"/>
                          <w:snapToGrid w:val="0"/>
                          <w:rPr>
                            <w:rFonts w:eastAsia="等线"/>
                            <w:sz w:val="16"/>
                            <w:szCs w:val="16"/>
                          </w:rPr>
                        </w:pPr>
                      </w:p>
                    </w:tc>
                    <w:tc>
                      <w:tcPr>
                        <w:tcW w:w="1162" w:type="dxa"/>
                        <w:tcBorders>
                          <w:top w:val="nil"/>
                          <w:left w:val="nil"/>
                          <w:bottom w:val="nil"/>
                          <w:right w:val="nil"/>
                        </w:tcBorders>
                        <w:noWrap/>
                        <w:vAlign w:val="center"/>
                      </w:tcPr>
                      <w:p w14:paraId="07AC6913">
                        <w:pPr>
                          <w:adjustRightInd w:val="0"/>
                          <w:snapToGrid w:val="0"/>
                          <w:jc w:val="center"/>
                          <w:rPr>
                            <w:rFonts w:eastAsia="等线"/>
                            <w:i/>
                            <w:iCs/>
                            <w:sz w:val="16"/>
                            <w:szCs w:val="16"/>
                          </w:rPr>
                        </w:pPr>
                        <w:r>
                          <w:rPr>
                            <w:rFonts w:eastAsia="等线"/>
                            <w:i/>
                            <w:iCs/>
                            <w:sz w:val="16"/>
                            <w:szCs w:val="16"/>
                          </w:rPr>
                          <w:t>MAE</w:t>
                        </w:r>
                      </w:p>
                    </w:tc>
                    <w:tc>
                      <w:tcPr>
                        <w:tcW w:w="1164" w:type="dxa"/>
                        <w:tcBorders>
                          <w:top w:val="nil"/>
                          <w:left w:val="nil"/>
                          <w:bottom w:val="nil"/>
                          <w:right w:val="nil"/>
                        </w:tcBorders>
                        <w:noWrap/>
                        <w:vAlign w:val="center"/>
                      </w:tcPr>
                      <w:p w14:paraId="7C47BFC3">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67948F14">
                        <w:pPr>
                          <w:adjustRightInd w:val="0"/>
                          <w:snapToGrid w:val="0"/>
                          <w:jc w:val="center"/>
                          <w:rPr>
                            <w:rFonts w:eastAsia="等线"/>
                            <w:sz w:val="16"/>
                            <w:szCs w:val="16"/>
                          </w:rPr>
                        </w:pPr>
                        <w:r>
                          <w:rPr>
                            <w:rFonts w:eastAsia="等线"/>
                            <w:sz w:val="16"/>
                            <w:szCs w:val="16"/>
                          </w:rPr>
                          <w:t>27.4611</w:t>
                        </w:r>
                      </w:p>
                    </w:tc>
                    <w:tc>
                      <w:tcPr>
                        <w:tcW w:w="1162" w:type="dxa"/>
                        <w:tcBorders>
                          <w:top w:val="nil"/>
                          <w:left w:val="nil"/>
                          <w:bottom w:val="nil"/>
                          <w:right w:val="nil"/>
                        </w:tcBorders>
                        <w:noWrap/>
                        <w:vAlign w:val="center"/>
                      </w:tcPr>
                      <w:p w14:paraId="4941DA31">
                        <w:pPr>
                          <w:adjustRightInd w:val="0"/>
                          <w:snapToGrid w:val="0"/>
                          <w:jc w:val="center"/>
                          <w:rPr>
                            <w:rFonts w:eastAsia="等线"/>
                            <w:sz w:val="16"/>
                            <w:szCs w:val="16"/>
                          </w:rPr>
                        </w:pPr>
                        <w:r>
                          <w:rPr>
                            <w:rFonts w:eastAsia="等线"/>
                            <w:sz w:val="16"/>
                            <w:szCs w:val="16"/>
                          </w:rPr>
                          <w:t>26.8028</w:t>
                        </w:r>
                      </w:p>
                    </w:tc>
                    <w:tc>
                      <w:tcPr>
                        <w:tcW w:w="998" w:type="dxa"/>
                        <w:tcBorders>
                          <w:top w:val="nil"/>
                          <w:left w:val="nil"/>
                          <w:bottom w:val="nil"/>
                          <w:right w:val="nil"/>
                        </w:tcBorders>
                        <w:noWrap/>
                        <w:vAlign w:val="center"/>
                      </w:tcPr>
                      <w:p w14:paraId="7E5C612A">
                        <w:pPr>
                          <w:adjustRightInd w:val="0"/>
                          <w:snapToGrid w:val="0"/>
                          <w:jc w:val="center"/>
                          <w:rPr>
                            <w:rFonts w:eastAsia="等线"/>
                            <w:sz w:val="16"/>
                            <w:szCs w:val="16"/>
                          </w:rPr>
                        </w:pPr>
                        <w:r>
                          <w:rPr>
                            <w:rFonts w:eastAsia="等线"/>
                            <w:sz w:val="16"/>
                            <w:szCs w:val="16"/>
                          </w:rPr>
                          <w:t>24.6776</w:t>
                        </w:r>
                      </w:p>
                    </w:tc>
                    <w:tc>
                      <w:tcPr>
                        <w:tcW w:w="996" w:type="dxa"/>
                        <w:tcBorders>
                          <w:top w:val="nil"/>
                          <w:left w:val="nil"/>
                          <w:bottom w:val="nil"/>
                          <w:right w:val="nil"/>
                        </w:tcBorders>
                        <w:noWrap/>
                        <w:vAlign w:val="center"/>
                      </w:tcPr>
                      <w:p w14:paraId="39088085">
                        <w:pPr>
                          <w:adjustRightInd w:val="0"/>
                          <w:snapToGrid w:val="0"/>
                          <w:jc w:val="center"/>
                          <w:rPr>
                            <w:rFonts w:eastAsia="等线"/>
                            <w:sz w:val="16"/>
                            <w:szCs w:val="16"/>
                          </w:rPr>
                        </w:pPr>
                        <w:r>
                          <w:rPr>
                            <w:rFonts w:eastAsia="等线"/>
                            <w:sz w:val="16"/>
                            <w:szCs w:val="16"/>
                          </w:rPr>
                          <w:t>25.5312</w:t>
                        </w:r>
                      </w:p>
                    </w:tc>
                    <w:tc>
                      <w:tcPr>
                        <w:tcW w:w="998" w:type="dxa"/>
                        <w:tcBorders>
                          <w:top w:val="nil"/>
                          <w:left w:val="nil"/>
                          <w:bottom w:val="nil"/>
                          <w:right w:val="nil"/>
                        </w:tcBorders>
                        <w:noWrap/>
                        <w:vAlign w:val="center"/>
                      </w:tcPr>
                      <w:p w14:paraId="16373653">
                        <w:pPr>
                          <w:adjustRightInd w:val="0"/>
                          <w:snapToGrid w:val="0"/>
                          <w:jc w:val="center"/>
                          <w:rPr>
                            <w:rFonts w:eastAsia="等线"/>
                            <w:sz w:val="16"/>
                            <w:szCs w:val="16"/>
                          </w:rPr>
                        </w:pPr>
                        <w:r>
                          <w:rPr>
                            <w:rFonts w:eastAsia="等线"/>
                            <w:sz w:val="16"/>
                            <w:szCs w:val="16"/>
                          </w:rPr>
                          <w:t>24.5198</w:t>
                        </w:r>
                      </w:p>
                    </w:tc>
                    <w:tc>
                      <w:tcPr>
                        <w:tcW w:w="1499" w:type="dxa"/>
                        <w:tcBorders>
                          <w:top w:val="nil"/>
                          <w:left w:val="nil"/>
                          <w:bottom w:val="nil"/>
                          <w:right w:val="nil"/>
                        </w:tcBorders>
                        <w:noWrap/>
                        <w:vAlign w:val="center"/>
                      </w:tcPr>
                      <w:p w14:paraId="5F2BD6FB">
                        <w:pPr>
                          <w:adjustRightInd w:val="0"/>
                          <w:snapToGrid w:val="0"/>
                          <w:jc w:val="center"/>
                          <w:rPr>
                            <w:rFonts w:eastAsia="等线"/>
                            <w:b/>
                            <w:bCs/>
                            <w:sz w:val="16"/>
                            <w:szCs w:val="16"/>
                          </w:rPr>
                        </w:pPr>
                        <w:r>
                          <w:rPr>
                            <w:rFonts w:eastAsia="等线"/>
                            <w:b/>
                            <w:bCs/>
                            <w:sz w:val="16"/>
                            <w:szCs w:val="16"/>
                          </w:rPr>
                          <w:t>22.8996</w:t>
                        </w:r>
                      </w:p>
                    </w:tc>
                  </w:tr>
                  <w:tr w14:paraId="3DAE5D6E">
                    <w:tblPrEx>
                      <w:tblCellMar>
                        <w:top w:w="0" w:type="dxa"/>
                        <w:left w:w="108" w:type="dxa"/>
                        <w:bottom w:w="0" w:type="dxa"/>
                        <w:right w:w="108" w:type="dxa"/>
                      </w:tblCellMar>
                    </w:tblPrEx>
                    <w:trPr>
                      <w:trHeight w:val="249" w:hRule="atLeast"/>
                      <w:jc w:val="center"/>
                    </w:trPr>
                    <w:tc>
                      <w:tcPr>
                        <w:tcW w:w="1499" w:type="dxa"/>
                        <w:vMerge w:val="continue"/>
                        <w:tcBorders>
                          <w:top w:val="nil"/>
                          <w:left w:val="nil"/>
                          <w:right w:val="nil"/>
                        </w:tcBorders>
                        <w:vAlign w:val="center"/>
                      </w:tcPr>
                      <w:p w14:paraId="3DA65420">
                        <w:pPr>
                          <w:adjustRightInd w:val="0"/>
                          <w:snapToGrid w:val="0"/>
                          <w:rPr>
                            <w:rFonts w:eastAsia="等线"/>
                            <w:sz w:val="16"/>
                            <w:szCs w:val="16"/>
                          </w:rPr>
                        </w:pPr>
                      </w:p>
                    </w:tc>
                    <w:tc>
                      <w:tcPr>
                        <w:tcW w:w="1162" w:type="dxa"/>
                        <w:tcBorders>
                          <w:top w:val="nil"/>
                          <w:left w:val="nil"/>
                          <w:right w:val="nil"/>
                        </w:tcBorders>
                        <w:noWrap/>
                        <w:vAlign w:val="center"/>
                      </w:tcPr>
                      <w:p w14:paraId="30F61589">
                        <w:pPr>
                          <w:adjustRightInd w:val="0"/>
                          <w:snapToGrid w:val="0"/>
                          <w:jc w:val="center"/>
                          <w:rPr>
                            <w:rFonts w:eastAsia="等线"/>
                            <w:i/>
                            <w:iCs/>
                            <w:sz w:val="16"/>
                            <w:szCs w:val="16"/>
                          </w:rPr>
                        </w:pPr>
                        <w:r>
                          <w:rPr>
                            <w:rFonts w:eastAsia="等线"/>
                            <w:i/>
                            <w:iCs/>
                            <w:sz w:val="16"/>
                            <w:szCs w:val="16"/>
                          </w:rPr>
                          <w:t>ME</w:t>
                        </w:r>
                      </w:p>
                    </w:tc>
                    <w:tc>
                      <w:tcPr>
                        <w:tcW w:w="1164" w:type="dxa"/>
                        <w:tcBorders>
                          <w:top w:val="nil"/>
                          <w:left w:val="nil"/>
                          <w:right w:val="nil"/>
                        </w:tcBorders>
                        <w:noWrap/>
                        <w:vAlign w:val="center"/>
                      </w:tcPr>
                      <w:p w14:paraId="6BA4EE4D">
                        <w:pPr>
                          <w:adjustRightInd w:val="0"/>
                          <w:snapToGrid w:val="0"/>
                          <w:jc w:val="center"/>
                          <w:rPr>
                            <w:rFonts w:eastAsia="等线"/>
                            <w:sz w:val="16"/>
                            <w:szCs w:val="16"/>
                          </w:rPr>
                        </w:pPr>
                        <w:r>
                          <w:rPr>
                            <w:rFonts w:eastAsia="等线"/>
                            <w:sz w:val="16"/>
                            <w:szCs w:val="16"/>
                          </w:rPr>
                          <w:t>0</w:t>
                        </w:r>
                      </w:p>
                    </w:tc>
                    <w:tc>
                      <w:tcPr>
                        <w:tcW w:w="996" w:type="dxa"/>
                        <w:tcBorders>
                          <w:top w:val="nil"/>
                          <w:left w:val="nil"/>
                          <w:right w:val="nil"/>
                        </w:tcBorders>
                        <w:noWrap/>
                        <w:vAlign w:val="center"/>
                      </w:tcPr>
                      <w:p w14:paraId="3156EF64">
                        <w:pPr>
                          <w:adjustRightInd w:val="0"/>
                          <w:snapToGrid w:val="0"/>
                          <w:jc w:val="center"/>
                          <w:rPr>
                            <w:rFonts w:eastAsia="等线"/>
                            <w:b/>
                            <w:bCs/>
                            <w:sz w:val="16"/>
                            <w:szCs w:val="16"/>
                          </w:rPr>
                        </w:pPr>
                        <w:r>
                          <w:rPr>
                            <w:rFonts w:eastAsia="等线"/>
                            <w:b/>
                            <w:bCs/>
                            <w:sz w:val="16"/>
                            <w:szCs w:val="16"/>
                          </w:rPr>
                          <w:t>0.0158</w:t>
                        </w:r>
                      </w:p>
                    </w:tc>
                    <w:tc>
                      <w:tcPr>
                        <w:tcW w:w="1162" w:type="dxa"/>
                        <w:tcBorders>
                          <w:top w:val="nil"/>
                          <w:left w:val="nil"/>
                          <w:right w:val="nil"/>
                        </w:tcBorders>
                        <w:noWrap/>
                        <w:vAlign w:val="center"/>
                      </w:tcPr>
                      <w:p w14:paraId="6F2AAD10">
                        <w:pPr>
                          <w:adjustRightInd w:val="0"/>
                          <w:snapToGrid w:val="0"/>
                          <w:jc w:val="center"/>
                          <w:rPr>
                            <w:rFonts w:eastAsia="等线"/>
                            <w:sz w:val="16"/>
                            <w:szCs w:val="16"/>
                          </w:rPr>
                        </w:pPr>
                        <w:r>
                          <w:rPr>
                            <w:rFonts w:eastAsia="等线"/>
                            <w:sz w:val="16"/>
                            <w:szCs w:val="16"/>
                          </w:rPr>
                          <w:t>1.0101</w:t>
                        </w:r>
                      </w:p>
                    </w:tc>
                    <w:tc>
                      <w:tcPr>
                        <w:tcW w:w="998" w:type="dxa"/>
                        <w:tcBorders>
                          <w:top w:val="nil"/>
                          <w:left w:val="nil"/>
                          <w:right w:val="nil"/>
                        </w:tcBorders>
                        <w:noWrap/>
                        <w:vAlign w:val="center"/>
                      </w:tcPr>
                      <w:p w14:paraId="533E2191">
                        <w:pPr>
                          <w:adjustRightInd w:val="0"/>
                          <w:snapToGrid w:val="0"/>
                          <w:jc w:val="center"/>
                          <w:rPr>
                            <w:rFonts w:eastAsia="等线"/>
                            <w:sz w:val="16"/>
                            <w:szCs w:val="16"/>
                          </w:rPr>
                        </w:pPr>
                        <w:r>
                          <w:rPr>
                            <w:rFonts w:eastAsia="等线"/>
                            <w:sz w:val="16"/>
                            <w:szCs w:val="16"/>
                          </w:rPr>
                          <w:t>-4.9405</w:t>
                        </w:r>
                      </w:p>
                    </w:tc>
                    <w:tc>
                      <w:tcPr>
                        <w:tcW w:w="996" w:type="dxa"/>
                        <w:tcBorders>
                          <w:top w:val="nil"/>
                          <w:left w:val="nil"/>
                          <w:right w:val="nil"/>
                        </w:tcBorders>
                        <w:noWrap/>
                        <w:vAlign w:val="center"/>
                      </w:tcPr>
                      <w:p w14:paraId="119AA11A">
                        <w:pPr>
                          <w:adjustRightInd w:val="0"/>
                          <w:snapToGrid w:val="0"/>
                          <w:jc w:val="center"/>
                          <w:rPr>
                            <w:rFonts w:eastAsia="等线"/>
                            <w:sz w:val="16"/>
                            <w:szCs w:val="16"/>
                          </w:rPr>
                        </w:pPr>
                        <w:r>
                          <w:rPr>
                            <w:rFonts w:eastAsia="等线"/>
                            <w:sz w:val="16"/>
                            <w:szCs w:val="16"/>
                          </w:rPr>
                          <w:t>-0.388</w:t>
                        </w:r>
                      </w:p>
                    </w:tc>
                    <w:tc>
                      <w:tcPr>
                        <w:tcW w:w="998" w:type="dxa"/>
                        <w:tcBorders>
                          <w:top w:val="nil"/>
                          <w:left w:val="nil"/>
                          <w:right w:val="nil"/>
                        </w:tcBorders>
                        <w:noWrap/>
                        <w:vAlign w:val="center"/>
                      </w:tcPr>
                      <w:p w14:paraId="74232BB9">
                        <w:pPr>
                          <w:adjustRightInd w:val="0"/>
                          <w:snapToGrid w:val="0"/>
                          <w:jc w:val="center"/>
                          <w:rPr>
                            <w:rFonts w:eastAsia="等线"/>
                            <w:sz w:val="16"/>
                            <w:szCs w:val="16"/>
                          </w:rPr>
                        </w:pPr>
                        <w:r>
                          <w:rPr>
                            <w:rFonts w:eastAsia="等线"/>
                            <w:sz w:val="16"/>
                            <w:szCs w:val="16"/>
                          </w:rPr>
                          <w:t>-0.1532</w:t>
                        </w:r>
                      </w:p>
                    </w:tc>
                    <w:tc>
                      <w:tcPr>
                        <w:tcW w:w="1499" w:type="dxa"/>
                        <w:tcBorders>
                          <w:top w:val="nil"/>
                          <w:left w:val="nil"/>
                          <w:right w:val="nil"/>
                        </w:tcBorders>
                        <w:noWrap/>
                        <w:vAlign w:val="center"/>
                      </w:tcPr>
                      <w:p w14:paraId="04514AC7">
                        <w:pPr>
                          <w:adjustRightInd w:val="0"/>
                          <w:snapToGrid w:val="0"/>
                          <w:jc w:val="center"/>
                          <w:rPr>
                            <w:rFonts w:eastAsia="等线"/>
                            <w:sz w:val="16"/>
                            <w:szCs w:val="16"/>
                          </w:rPr>
                        </w:pPr>
                        <w:r>
                          <w:rPr>
                            <w:rFonts w:eastAsia="等线"/>
                            <w:sz w:val="16"/>
                            <w:szCs w:val="16"/>
                          </w:rPr>
                          <w:t>0.2435</w:t>
                        </w:r>
                      </w:p>
                    </w:tc>
                  </w:tr>
                  <w:tr w14:paraId="6082B292">
                    <w:tblPrEx>
                      <w:tblCellMar>
                        <w:top w:w="0" w:type="dxa"/>
                        <w:left w:w="108" w:type="dxa"/>
                        <w:bottom w:w="0" w:type="dxa"/>
                        <w:right w:w="108" w:type="dxa"/>
                      </w:tblCellMar>
                    </w:tblPrEx>
                    <w:trPr>
                      <w:trHeight w:val="249" w:hRule="atLeast"/>
                      <w:jc w:val="center"/>
                    </w:trPr>
                    <w:tc>
                      <w:tcPr>
                        <w:tcW w:w="1499" w:type="dxa"/>
                        <w:vMerge w:val="restart"/>
                        <w:tcBorders>
                          <w:top w:val="nil"/>
                          <w:left w:val="nil"/>
                          <w:bottom w:val="nil"/>
                          <w:right w:val="nil"/>
                        </w:tcBorders>
                        <w:vAlign w:val="center"/>
                      </w:tcPr>
                      <w:p w14:paraId="65431415">
                        <w:pPr>
                          <w:adjustRightInd w:val="0"/>
                          <w:snapToGrid w:val="0"/>
                          <w:jc w:val="center"/>
                          <w:rPr>
                            <w:rFonts w:eastAsia="等线"/>
                            <w:sz w:val="16"/>
                            <w:szCs w:val="16"/>
                          </w:rPr>
                        </w:pPr>
                        <w:r>
                          <w:rPr>
                            <w:rFonts w:eastAsia="等线"/>
                            <w:sz w:val="16"/>
                            <w:szCs w:val="16"/>
                          </w:rPr>
                          <w:t>MODIS indices (NDVI, EVI, VCF, NPP, LAI, FPAR, GPP)</w:t>
                        </w:r>
                      </w:p>
                    </w:tc>
                    <w:tc>
                      <w:tcPr>
                        <w:tcW w:w="1162" w:type="dxa"/>
                        <w:tcBorders>
                          <w:top w:val="nil"/>
                          <w:left w:val="nil"/>
                          <w:bottom w:val="nil"/>
                          <w:right w:val="nil"/>
                        </w:tcBorders>
                        <w:noWrap/>
                        <w:vAlign w:val="center"/>
                      </w:tcPr>
                      <w:p w14:paraId="596662A3">
                        <w:pPr>
                          <w:adjustRightInd w:val="0"/>
                          <w:snapToGrid w:val="0"/>
                          <w:jc w:val="center"/>
                          <w:rPr>
                            <w:rFonts w:eastAsia="等线"/>
                            <w:i/>
                            <w:iCs/>
                            <w:sz w:val="16"/>
                            <w:szCs w:val="16"/>
                          </w:rPr>
                        </w:pPr>
                        <w:r>
                          <w:rPr>
                            <w:rFonts w:eastAsia="等线"/>
                            <w:i/>
                            <w:iCs/>
                            <w:sz w:val="16"/>
                            <w:szCs w:val="16"/>
                          </w:rPr>
                          <w:t>R</w:t>
                        </w:r>
                        <w:r>
                          <w:rPr>
                            <w:rFonts w:eastAsia="等线"/>
                            <w:i/>
                            <w:iCs/>
                            <w:sz w:val="16"/>
                            <w:szCs w:val="16"/>
                            <w:vertAlign w:val="superscript"/>
                          </w:rPr>
                          <w:t>2</w:t>
                        </w:r>
                      </w:p>
                    </w:tc>
                    <w:tc>
                      <w:tcPr>
                        <w:tcW w:w="1164" w:type="dxa"/>
                        <w:tcBorders>
                          <w:top w:val="nil"/>
                          <w:left w:val="nil"/>
                          <w:bottom w:val="nil"/>
                          <w:right w:val="nil"/>
                        </w:tcBorders>
                        <w:noWrap/>
                        <w:vAlign w:val="center"/>
                      </w:tcPr>
                      <w:p w14:paraId="47E2EE77">
                        <w:pPr>
                          <w:adjustRightInd w:val="0"/>
                          <w:snapToGrid w:val="0"/>
                          <w:jc w:val="center"/>
                          <w:rPr>
                            <w:rFonts w:eastAsia="等线"/>
                            <w:sz w:val="16"/>
                            <w:szCs w:val="16"/>
                          </w:rPr>
                        </w:pPr>
                        <w:r>
                          <w:rPr>
                            <w:rFonts w:eastAsia="等线"/>
                            <w:sz w:val="16"/>
                            <w:szCs w:val="16"/>
                          </w:rPr>
                          <w:t>1</w:t>
                        </w:r>
                      </w:p>
                    </w:tc>
                    <w:tc>
                      <w:tcPr>
                        <w:tcW w:w="996" w:type="dxa"/>
                        <w:tcBorders>
                          <w:top w:val="nil"/>
                          <w:left w:val="nil"/>
                          <w:bottom w:val="nil"/>
                          <w:right w:val="nil"/>
                        </w:tcBorders>
                        <w:noWrap/>
                        <w:vAlign w:val="center"/>
                      </w:tcPr>
                      <w:p w14:paraId="67E3309B">
                        <w:pPr>
                          <w:adjustRightInd w:val="0"/>
                          <w:snapToGrid w:val="0"/>
                          <w:jc w:val="center"/>
                          <w:rPr>
                            <w:rFonts w:eastAsia="等线"/>
                            <w:sz w:val="16"/>
                            <w:szCs w:val="16"/>
                          </w:rPr>
                        </w:pPr>
                        <w:r>
                          <w:rPr>
                            <w:rFonts w:eastAsia="等线"/>
                            <w:sz w:val="16"/>
                            <w:szCs w:val="16"/>
                          </w:rPr>
                          <w:t>0.7312</w:t>
                        </w:r>
                      </w:p>
                    </w:tc>
                    <w:tc>
                      <w:tcPr>
                        <w:tcW w:w="1162" w:type="dxa"/>
                        <w:tcBorders>
                          <w:top w:val="nil"/>
                          <w:left w:val="nil"/>
                          <w:bottom w:val="nil"/>
                          <w:right w:val="nil"/>
                        </w:tcBorders>
                        <w:noWrap/>
                        <w:vAlign w:val="center"/>
                      </w:tcPr>
                      <w:p w14:paraId="11CCA14C">
                        <w:pPr>
                          <w:adjustRightInd w:val="0"/>
                          <w:snapToGrid w:val="0"/>
                          <w:jc w:val="center"/>
                          <w:rPr>
                            <w:rFonts w:eastAsia="等线"/>
                            <w:sz w:val="16"/>
                            <w:szCs w:val="16"/>
                          </w:rPr>
                        </w:pPr>
                        <w:r>
                          <w:rPr>
                            <w:rFonts w:eastAsia="等线"/>
                            <w:sz w:val="16"/>
                            <w:szCs w:val="16"/>
                          </w:rPr>
                          <w:t>0.7480</w:t>
                        </w:r>
                      </w:p>
                    </w:tc>
                    <w:tc>
                      <w:tcPr>
                        <w:tcW w:w="998" w:type="dxa"/>
                        <w:tcBorders>
                          <w:top w:val="nil"/>
                          <w:left w:val="nil"/>
                          <w:bottom w:val="nil"/>
                          <w:right w:val="nil"/>
                        </w:tcBorders>
                        <w:noWrap/>
                        <w:vAlign w:val="center"/>
                      </w:tcPr>
                      <w:p w14:paraId="7254A52B">
                        <w:pPr>
                          <w:adjustRightInd w:val="0"/>
                          <w:snapToGrid w:val="0"/>
                          <w:jc w:val="center"/>
                          <w:rPr>
                            <w:rFonts w:eastAsia="等线"/>
                            <w:sz w:val="16"/>
                            <w:szCs w:val="16"/>
                          </w:rPr>
                        </w:pPr>
                        <w:r>
                          <w:rPr>
                            <w:rFonts w:eastAsia="等线"/>
                            <w:sz w:val="16"/>
                            <w:szCs w:val="16"/>
                          </w:rPr>
                          <w:t>0.7576</w:t>
                        </w:r>
                      </w:p>
                    </w:tc>
                    <w:tc>
                      <w:tcPr>
                        <w:tcW w:w="996" w:type="dxa"/>
                        <w:tcBorders>
                          <w:top w:val="nil"/>
                          <w:left w:val="nil"/>
                          <w:bottom w:val="nil"/>
                          <w:right w:val="nil"/>
                        </w:tcBorders>
                        <w:noWrap/>
                        <w:vAlign w:val="center"/>
                      </w:tcPr>
                      <w:p w14:paraId="3451442E">
                        <w:pPr>
                          <w:adjustRightInd w:val="0"/>
                          <w:snapToGrid w:val="0"/>
                          <w:jc w:val="center"/>
                          <w:rPr>
                            <w:rFonts w:eastAsia="等线"/>
                            <w:sz w:val="16"/>
                            <w:szCs w:val="16"/>
                          </w:rPr>
                        </w:pPr>
                        <w:r>
                          <w:rPr>
                            <w:rFonts w:eastAsia="等线"/>
                            <w:sz w:val="16"/>
                            <w:szCs w:val="16"/>
                          </w:rPr>
                          <w:t>0.7651</w:t>
                        </w:r>
                      </w:p>
                    </w:tc>
                    <w:tc>
                      <w:tcPr>
                        <w:tcW w:w="998" w:type="dxa"/>
                        <w:tcBorders>
                          <w:top w:val="nil"/>
                          <w:left w:val="nil"/>
                          <w:bottom w:val="nil"/>
                          <w:right w:val="nil"/>
                        </w:tcBorders>
                        <w:noWrap/>
                        <w:vAlign w:val="center"/>
                      </w:tcPr>
                      <w:p w14:paraId="2CB15F5F">
                        <w:pPr>
                          <w:adjustRightInd w:val="0"/>
                          <w:snapToGrid w:val="0"/>
                          <w:jc w:val="center"/>
                          <w:rPr>
                            <w:rFonts w:eastAsia="等线"/>
                            <w:sz w:val="16"/>
                            <w:szCs w:val="16"/>
                          </w:rPr>
                        </w:pPr>
                        <w:r>
                          <w:rPr>
                            <w:rFonts w:eastAsia="等线"/>
                            <w:sz w:val="16"/>
                            <w:szCs w:val="16"/>
                          </w:rPr>
                          <w:t>0.7668</w:t>
                        </w:r>
                      </w:p>
                    </w:tc>
                    <w:tc>
                      <w:tcPr>
                        <w:tcW w:w="1499" w:type="dxa"/>
                        <w:tcBorders>
                          <w:top w:val="nil"/>
                          <w:left w:val="nil"/>
                          <w:bottom w:val="nil"/>
                          <w:right w:val="nil"/>
                        </w:tcBorders>
                        <w:noWrap/>
                        <w:vAlign w:val="center"/>
                      </w:tcPr>
                      <w:p w14:paraId="2BA47E01">
                        <w:pPr>
                          <w:adjustRightInd w:val="0"/>
                          <w:snapToGrid w:val="0"/>
                          <w:jc w:val="center"/>
                          <w:rPr>
                            <w:rFonts w:eastAsia="等线"/>
                            <w:b/>
                            <w:bCs/>
                            <w:sz w:val="16"/>
                            <w:szCs w:val="16"/>
                          </w:rPr>
                        </w:pPr>
                        <w:r>
                          <w:rPr>
                            <w:rFonts w:eastAsia="等线"/>
                            <w:b/>
                            <w:bCs/>
                            <w:sz w:val="16"/>
                            <w:szCs w:val="16"/>
                          </w:rPr>
                          <w:t>0.7828</w:t>
                        </w:r>
                      </w:p>
                    </w:tc>
                  </w:tr>
                  <w:tr w14:paraId="53DBBCBC">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11096C73">
                        <w:pPr>
                          <w:adjustRightInd w:val="0"/>
                          <w:snapToGrid w:val="0"/>
                          <w:rPr>
                            <w:rFonts w:eastAsia="等线"/>
                            <w:sz w:val="16"/>
                            <w:szCs w:val="16"/>
                          </w:rPr>
                        </w:pPr>
                      </w:p>
                    </w:tc>
                    <w:tc>
                      <w:tcPr>
                        <w:tcW w:w="1162" w:type="dxa"/>
                        <w:tcBorders>
                          <w:top w:val="nil"/>
                          <w:left w:val="nil"/>
                          <w:bottom w:val="nil"/>
                          <w:right w:val="nil"/>
                        </w:tcBorders>
                        <w:noWrap/>
                        <w:vAlign w:val="center"/>
                      </w:tcPr>
                      <w:p w14:paraId="31923059">
                        <w:pPr>
                          <w:adjustRightInd w:val="0"/>
                          <w:snapToGrid w:val="0"/>
                          <w:jc w:val="center"/>
                          <w:rPr>
                            <w:rFonts w:eastAsia="等线"/>
                            <w:i/>
                            <w:iCs/>
                            <w:sz w:val="16"/>
                            <w:szCs w:val="16"/>
                          </w:rPr>
                        </w:pPr>
                        <w:r>
                          <w:rPr>
                            <w:rFonts w:eastAsia="等线"/>
                            <w:i/>
                            <w:iCs/>
                            <w:sz w:val="16"/>
                            <w:szCs w:val="16"/>
                          </w:rPr>
                          <w:t>IOA</w:t>
                        </w:r>
                      </w:p>
                    </w:tc>
                    <w:tc>
                      <w:tcPr>
                        <w:tcW w:w="1164" w:type="dxa"/>
                        <w:tcBorders>
                          <w:top w:val="nil"/>
                          <w:left w:val="nil"/>
                          <w:bottom w:val="nil"/>
                          <w:right w:val="nil"/>
                        </w:tcBorders>
                        <w:noWrap/>
                        <w:vAlign w:val="center"/>
                      </w:tcPr>
                      <w:p w14:paraId="5055A57E">
                        <w:pPr>
                          <w:adjustRightInd w:val="0"/>
                          <w:snapToGrid w:val="0"/>
                          <w:jc w:val="center"/>
                          <w:rPr>
                            <w:rFonts w:eastAsia="等线"/>
                            <w:sz w:val="16"/>
                            <w:szCs w:val="16"/>
                          </w:rPr>
                        </w:pPr>
                        <w:r>
                          <w:rPr>
                            <w:rFonts w:eastAsia="等线"/>
                            <w:sz w:val="16"/>
                            <w:szCs w:val="16"/>
                          </w:rPr>
                          <w:t>100%</w:t>
                        </w:r>
                      </w:p>
                    </w:tc>
                    <w:tc>
                      <w:tcPr>
                        <w:tcW w:w="996" w:type="dxa"/>
                        <w:tcBorders>
                          <w:top w:val="nil"/>
                          <w:left w:val="nil"/>
                          <w:bottom w:val="nil"/>
                          <w:right w:val="nil"/>
                        </w:tcBorders>
                        <w:noWrap/>
                        <w:vAlign w:val="center"/>
                      </w:tcPr>
                      <w:p w14:paraId="00BAA07A">
                        <w:pPr>
                          <w:adjustRightInd w:val="0"/>
                          <w:snapToGrid w:val="0"/>
                          <w:jc w:val="center"/>
                          <w:rPr>
                            <w:rFonts w:eastAsia="等线"/>
                            <w:sz w:val="16"/>
                            <w:szCs w:val="16"/>
                          </w:rPr>
                        </w:pPr>
                        <w:r>
                          <w:rPr>
                            <w:rFonts w:eastAsia="等线"/>
                            <w:sz w:val="16"/>
                            <w:szCs w:val="16"/>
                          </w:rPr>
                          <w:t>91.72%</w:t>
                        </w:r>
                      </w:p>
                    </w:tc>
                    <w:tc>
                      <w:tcPr>
                        <w:tcW w:w="1162" w:type="dxa"/>
                        <w:tcBorders>
                          <w:top w:val="nil"/>
                          <w:left w:val="nil"/>
                          <w:bottom w:val="nil"/>
                          <w:right w:val="nil"/>
                        </w:tcBorders>
                        <w:noWrap/>
                        <w:vAlign w:val="center"/>
                      </w:tcPr>
                      <w:p w14:paraId="12AB29A9">
                        <w:pPr>
                          <w:adjustRightInd w:val="0"/>
                          <w:snapToGrid w:val="0"/>
                          <w:jc w:val="center"/>
                          <w:rPr>
                            <w:rFonts w:eastAsia="等线"/>
                            <w:sz w:val="16"/>
                            <w:szCs w:val="16"/>
                          </w:rPr>
                        </w:pPr>
                        <w:r>
                          <w:rPr>
                            <w:rFonts w:eastAsia="等线"/>
                            <w:sz w:val="16"/>
                            <w:szCs w:val="16"/>
                          </w:rPr>
                          <w:t>92.17%</w:t>
                        </w:r>
                      </w:p>
                    </w:tc>
                    <w:tc>
                      <w:tcPr>
                        <w:tcW w:w="998" w:type="dxa"/>
                        <w:tcBorders>
                          <w:top w:val="nil"/>
                          <w:left w:val="nil"/>
                          <w:bottom w:val="nil"/>
                          <w:right w:val="nil"/>
                        </w:tcBorders>
                        <w:noWrap/>
                        <w:vAlign w:val="center"/>
                      </w:tcPr>
                      <w:p w14:paraId="4B69FADB">
                        <w:pPr>
                          <w:adjustRightInd w:val="0"/>
                          <w:snapToGrid w:val="0"/>
                          <w:jc w:val="center"/>
                          <w:rPr>
                            <w:rFonts w:eastAsia="等线"/>
                            <w:sz w:val="16"/>
                            <w:szCs w:val="16"/>
                          </w:rPr>
                        </w:pPr>
                        <w:r>
                          <w:rPr>
                            <w:rFonts w:eastAsia="等线"/>
                            <w:sz w:val="16"/>
                            <w:szCs w:val="16"/>
                          </w:rPr>
                          <w:t>92.03%</w:t>
                        </w:r>
                      </w:p>
                    </w:tc>
                    <w:tc>
                      <w:tcPr>
                        <w:tcW w:w="996" w:type="dxa"/>
                        <w:tcBorders>
                          <w:top w:val="nil"/>
                          <w:left w:val="nil"/>
                          <w:bottom w:val="nil"/>
                          <w:right w:val="nil"/>
                        </w:tcBorders>
                        <w:noWrap/>
                        <w:vAlign w:val="center"/>
                      </w:tcPr>
                      <w:p w14:paraId="3BC98D52">
                        <w:pPr>
                          <w:adjustRightInd w:val="0"/>
                          <w:snapToGrid w:val="0"/>
                          <w:jc w:val="center"/>
                          <w:rPr>
                            <w:rFonts w:eastAsia="等线"/>
                            <w:sz w:val="16"/>
                            <w:szCs w:val="16"/>
                          </w:rPr>
                        </w:pPr>
                        <w:r>
                          <w:rPr>
                            <w:rFonts w:eastAsia="等线"/>
                            <w:sz w:val="16"/>
                            <w:szCs w:val="16"/>
                          </w:rPr>
                          <w:t>93.01%</w:t>
                        </w:r>
                      </w:p>
                    </w:tc>
                    <w:tc>
                      <w:tcPr>
                        <w:tcW w:w="998" w:type="dxa"/>
                        <w:tcBorders>
                          <w:top w:val="nil"/>
                          <w:left w:val="nil"/>
                          <w:bottom w:val="nil"/>
                          <w:right w:val="nil"/>
                        </w:tcBorders>
                        <w:noWrap/>
                        <w:vAlign w:val="center"/>
                      </w:tcPr>
                      <w:p w14:paraId="3E3F5835">
                        <w:pPr>
                          <w:adjustRightInd w:val="0"/>
                          <w:snapToGrid w:val="0"/>
                          <w:jc w:val="center"/>
                          <w:rPr>
                            <w:rFonts w:eastAsia="等线"/>
                            <w:sz w:val="16"/>
                            <w:szCs w:val="16"/>
                          </w:rPr>
                        </w:pPr>
                        <w:r>
                          <w:rPr>
                            <w:rFonts w:eastAsia="等线"/>
                            <w:sz w:val="16"/>
                            <w:szCs w:val="16"/>
                          </w:rPr>
                          <w:t>92.87%</w:t>
                        </w:r>
                      </w:p>
                    </w:tc>
                    <w:tc>
                      <w:tcPr>
                        <w:tcW w:w="1499" w:type="dxa"/>
                        <w:tcBorders>
                          <w:top w:val="nil"/>
                          <w:left w:val="nil"/>
                          <w:bottom w:val="nil"/>
                          <w:right w:val="nil"/>
                        </w:tcBorders>
                        <w:noWrap/>
                        <w:vAlign w:val="center"/>
                      </w:tcPr>
                      <w:p w14:paraId="1F27C5CB">
                        <w:pPr>
                          <w:adjustRightInd w:val="0"/>
                          <w:snapToGrid w:val="0"/>
                          <w:jc w:val="center"/>
                          <w:rPr>
                            <w:rFonts w:eastAsia="等线"/>
                            <w:b/>
                            <w:bCs/>
                            <w:sz w:val="16"/>
                            <w:szCs w:val="16"/>
                          </w:rPr>
                        </w:pPr>
                        <w:r>
                          <w:rPr>
                            <w:rFonts w:eastAsia="等线"/>
                            <w:b/>
                            <w:bCs/>
                            <w:sz w:val="16"/>
                            <w:szCs w:val="16"/>
                          </w:rPr>
                          <w:t>93.66%</w:t>
                        </w:r>
                      </w:p>
                    </w:tc>
                  </w:tr>
                  <w:tr w14:paraId="3D5BBD3E">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2FE456C8">
                        <w:pPr>
                          <w:adjustRightInd w:val="0"/>
                          <w:snapToGrid w:val="0"/>
                          <w:rPr>
                            <w:rFonts w:eastAsia="等线"/>
                            <w:sz w:val="16"/>
                            <w:szCs w:val="16"/>
                          </w:rPr>
                        </w:pPr>
                      </w:p>
                    </w:tc>
                    <w:tc>
                      <w:tcPr>
                        <w:tcW w:w="1162" w:type="dxa"/>
                        <w:tcBorders>
                          <w:top w:val="nil"/>
                          <w:left w:val="nil"/>
                          <w:bottom w:val="nil"/>
                          <w:right w:val="nil"/>
                        </w:tcBorders>
                        <w:noWrap/>
                        <w:vAlign w:val="center"/>
                      </w:tcPr>
                      <w:p w14:paraId="65E2125E">
                        <w:pPr>
                          <w:adjustRightInd w:val="0"/>
                          <w:snapToGrid w:val="0"/>
                          <w:jc w:val="center"/>
                          <w:rPr>
                            <w:rFonts w:eastAsia="等线"/>
                            <w:i/>
                            <w:iCs/>
                            <w:sz w:val="16"/>
                            <w:szCs w:val="16"/>
                          </w:rPr>
                        </w:pPr>
                        <w:r>
                          <w:rPr>
                            <w:rFonts w:eastAsia="等线"/>
                            <w:i/>
                            <w:iCs/>
                            <w:sz w:val="16"/>
                            <w:szCs w:val="16"/>
                          </w:rPr>
                          <w:t>RMSE</w:t>
                        </w:r>
                      </w:p>
                    </w:tc>
                    <w:tc>
                      <w:tcPr>
                        <w:tcW w:w="1164" w:type="dxa"/>
                        <w:tcBorders>
                          <w:top w:val="nil"/>
                          <w:left w:val="nil"/>
                          <w:bottom w:val="nil"/>
                          <w:right w:val="nil"/>
                        </w:tcBorders>
                        <w:noWrap/>
                        <w:vAlign w:val="center"/>
                      </w:tcPr>
                      <w:p w14:paraId="2CE78694">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49229ADB">
                        <w:pPr>
                          <w:adjustRightInd w:val="0"/>
                          <w:snapToGrid w:val="0"/>
                          <w:jc w:val="center"/>
                          <w:rPr>
                            <w:rFonts w:eastAsia="等线"/>
                            <w:sz w:val="16"/>
                            <w:szCs w:val="16"/>
                          </w:rPr>
                        </w:pPr>
                        <w:r>
                          <w:rPr>
                            <w:rFonts w:eastAsia="等线"/>
                            <w:sz w:val="16"/>
                            <w:szCs w:val="16"/>
                          </w:rPr>
                          <w:t>34.2146</w:t>
                        </w:r>
                      </w:p>
                    </w:tc>
                    <w:tc>
                      <w:tcPr>
                        <w:tcW w:w="1162" w:type="dxa"/>
                        <w:tcBorders>
                          <w:top w:val="nil"/>
                          <w:left w:val="nil"/>
                          <w:bottom w:val="nil"/>
                          <w:right w:val="nil"/>
                        </w:tcBorders>
                        <w:noWrap/>
                        <w:vAlign w:val="center"/>
                      </w:tcPr>
                      <w:p w14:paraId="4F9B9B26">
                        <w:pPr>
                          <w:adjustRightInd w:val="0"/>
                          <w:snapToGrid w:val="0"/>
                          <w:jc w:val="center"/>
                          <w:rPr>
                            <w:rFonts w:eastAsia="等线"/>
                            <w:sz w:val="16"/>
                            <w:szCs w:val="16"/>
                          </w:rPr>
                        </w:pPr>
                        <w:r>
                          <w:rPr>
                            <w:rFonts w:eastAsia="等线"/>
                            <w:sz w:val="16"/>
                            <w:szCs w:val="16"/>
                          </w:rPr>
                          <w:t>33.1556</w:t>
                        </w:r>
                      </w:p>
                    </w:tc>
                    <w:tc>
                      <w:tcPr>
                        <w:tcW w:w="998" w:type="dxa"/>
                        <w:tcBorders>
                          <w:top w:val="nil"/>
                          <w:left w:val="nil"/>
                          <w:bottom w:val="nil"/>
                          <w:right w:val="nil"/>
                        </w:tcBorders>
                        <w:noWrap/>
                        <w:vAlign w:val="center"/>
                      </w:tcPr>
                      <w:p w14:paraId="1F9BE79C">
                        <w:pPr>
                          <w:adjustRightInd w:val="0"/>
                          <w:snapToGrid w:val="0"/>
                          <w:jc w:val="center"/>
                          <w:rPr>
                            <w:rFonts w:eastAsia="等线"/>
                            <w:sz w:val="16"/>
                            <w:szCs w:val="16"/>
                          </w:rPr>
                        </w:pPr>
                        <w:r>
                          <w:rPr>
                            <w:rFonts w:eastAsia="等线"/>
                            <w:sz w:val="16"/>
                            <w:szCs w:val="16"/>
                          </w:rPr>
                          <w:t>32.9857</w:t>
                        </w:r>
                      </w:p>
                    </w:tc>
                    <w:tc>
                      <w:tcPr>
                        <w:tcW w:w="996" w:type="dxa"/>
                        <w:tcBorders>
                          <w:top w:val="nil"/>
                          <w:left w:val="nil"/>
                          <w:bottom w:val="nil"/>
                          <w:right w:val="nil"/>
                        </w:tcBorders>
                        <w:noWrap/>
                        <w:vAlign w:val="center"/>
                      </w:tcPr>
                      <w:p w14:paraId="3B11073E">
                        <w:pPr>
                          <w:adjustRightInd w:val="0"/>
                          <w:snapToGrid w:val="0"/>
                          <w:jc w:val="center"/>
                          <w:rPr>
                            <w:rFonts w:eastAsia="等线"/>
                            <w:sz w:val="16"/>
                            <w:szCs w:val="16"/>
                          </w:rPr>
                        </w:pPr>
                        <w:r>
                          <w:rPr>
                            <w:rFonts w:eastAsia="等线"/>
                            <w:sz w:val="16"/>
                            <w:szCs w:val="16"/>
                          </w:rPr>
                          <w:t>31.9874</w:t>
                        </w:r>
                      </w:p>
                    </w:tc>
                    <w:tc>
                      <w:tcPr>
                        <w:tcW w:w="998" w:type="dxa"/>
                        <w:tcBorders>
                          <w:top w:val="nil"/>
                          <w:left w:val="nil"/>
                          <w:bottom w:val="nil"/>
                          <w:right w:val="nil"/>
                        </w:tcBorders>
                        <w:noWrap/>
                        <w:vAlign w:val="center"/>
                      </w:tcPr>
                      <w:p w14:paraId="174F9883">
                        <w:pPr>
                          <w:adjustRightInd w:val="0"/>
                          <w:snapToGrid w:val="0"/>
                          <w:jc w:val="center"/>
                          <w:rPr>
                            <w:rFonts w:eastAsia="等线"/>
                            <w:sz w:val="16"/>
                            <w:szCs w:val="16"/>
                          </w:rPr>
                        </w:pPr>
                        <w:r>
                          <w:rPr>
                            <w:rFonts w:eastAsia="等线"/>
                            <w:sz w:val="16"/>
                            <w:szCs w:val="16"/>
                          </w:rPr>
                          <w:t>31.923</w:t>
                        </w:r>
                      </w:p>
                    </w:tc>
                    <w:tc>
                      <w:tcPr>
                        <w:tcW w:w="1499" w:type="dxa"/>
                        <w:tcBorders>
                          <w:top w:val="nil"/>
                          <w:left w:val="nil"/>
                          <w:bottom w:val="nil"/>
                          <w:right w:val="nil"/>
                        </w:tcBorders>
                        <w:noWrap/>
                        <w:vAlign w:val="center"/>
                      </w:tcPr>
                      <w:p w14:paraId="639A9BE6">
                        <w:pPr>
                          <w:adjustRightInd w:val="0"/>
                          <w:snapToGrid w:val="0"/>
                          <w:jc w:val="center"/>
                          <w:rPr>
                            <w:rFonts w:eastAsia="等线"/>
                            <w:b/>
                            <w:bCs/>
                            <w:sz w:val="16"/>
                            <w:szCs w:val="16"/>
                          </w:rPr>
                        </w:pPr>
                        <w:r>
                          <w:rPr>
                            <w:rFonts w:eastAsia="等线"/>
                            <w:b/>
                            <w:bCs/>
                            <w:sz w:val="16"/>
                            <w:szCs w:val="16"/>
                          </w:rPr>
                          <w:t>30.7687</w:t>
                        </w:r>
                      </w:p>
                    </w:tc>
                  </w:tr>
                  <w:tr w14:paraId="75C7E2EE">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0377C294">
                        <w:pPr>
                          <w:adjustRightInd w:val="0"/>
                          <w:snapToGrid w:val="0"/>
                          <w:rPr>
                            <w:rFonts w:eastAsia="等线"/>
                            <w:sz w:val="16"/>
                            <w:szCs w:val="16"/>
                          </w:rPr>
                        </w:pPr>
                      </w:p>
                    </w:tc>
                    <w:tc>
                      <w:tcPr>
                        <w:tcW w:w="1162" w:type="dxa"/>
                        <w:tcBorders>
                          <w:top w:val="nil"/>
                          <w:left w:val="nil"/>
                          <w:bottom w:val="nil"/>
                          <w:right w:val="nil"/>
                        </w:tcBorders>
                        <w:noWrap/>
                        <w:vAlign w:val="center"/>
                      </w:tcPr>
                      <w:p w14:paraId="24704D15">
                        <w:pPr>
                          <w:adjustRightInd w:val="0"/>
                          <w:snapToGrid w:val="0"/>
                          <w:jc w:val="center"/>
                          <w:rPr>
                            <w:rFonts w:eastAsia="等线"/>
                            <w:i/>
                            <w:iCs/>
                            <w:sz w:val="16"/>
                            <w:szCs w:val="16"/>
                          </w:rPr>
                        </w:pPr>
                        <w:r>
                          <w:rPr>
                            <w:rFonts w:hint="eastAsia" w:eastAsia="等线"/>
                            <w:i/>
                            <w:iCs/>
                            <w:sz w:val="16"/>
                            <w:szCs w:val="16"/>
                          </w:rPr>
                          <w:t>r</w:t>
                        </w:r>
                        <w:r>
                          <w:rPr>
                            <w:rFonts w:eastAsia="等线"/>
                            <w:i/>
                            <w:iCs/>
                            <w:sz w:val="16"/>
                            <w:szCs w:val="16"/>
                          </w:rPr>
                          <w:t>RMSE</w:t>
                        </w:r>
                      </w:p>
                    </w:tc>
                    <w:tc>
                      <w:tcPr>
                        <w:tcW w:w="1164" w:type="dxa"/>
                        <w:tcBorders>
                          <w:top w:val="nil"/>
                          <w:left w:val="nil"/>
                          <w:bottom w:val="nil"/>
                          <w:right w:val="nil"/>
                        </w:tcBorders>
                        <w:noWrap/>
                        <w:vAlign w:val="center"/>
                      </w:tcPr>
                      <w:p w14:paraId="0349E3A4">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44AEC938">
                        <w:pPr>
                          <w:adjustRightInd w:val="0"/>
                          <w:snapToGrid w:val="0"/>
                          <w:jc w:val="center"/>
                          <w:rPr>
                            <w:rFonts w:eastAsia="等线"/>
                            <w:sz w:val="16"/>
                            <w:szCs w:val="16"/>
                          </w:rPr>
                        </w:pPr>
                        <w:r>
                          <w:rPr>
                            <w:rFonts w:eastAsia="等线"/>
                            <w:sz w:val="16"/>
                            <w:szCs w:val="16"/>
                          </w:rPr>
                          <w:t>40.74%</w:t>
                        </w:r>
                      </w:p>
                    </w:tc>
                    <w:tc>
                      <w:tcPr>
                        <w:tcW w:w="1162" w:type="dxa"/>
                        <w:tcBorders>
                          <w:top w:val="nil"/>
                          <w:left w:val="nil"/>
                          <w:bottom w:val="nil"/>
                          <w:right w:val="nil"/>
                        </w:tcBorders>
                        <w:noWrap/>
                        <w:vAlign w:val="center"/>
                      </w:tcPr>
                      <w:p w14:paraId="006A3D7F">
                        <w:pPr>
                          <w:adjustRightInd w:val="0"/>
                          <w:snapToGrid w:val="0"/>
                          <w:jc w:val="center"/>
                          <w:rPr>
                            <w:rFonts w:eastAsia="等线"/>
                            <w:sz w:val="16"/>
                            <w:szCs w:val="16"/>
                          </w:rPr>
                        </w:pPr>
                        <w:r>
                          <w:rPr>
                            <w:rFonts w:eastAsia="等线"/>
                            <w:sz w:val="16"/>
                            <w:szCs w:val="16"/>
                          </w:rPr>
                          <w:t>39.48%</w:t>
                        </w:r>
                      </w:p>
                    </w:tc>
                    <w:tc>
                      <w:tcPr>
                        <w:tcW w:w="998" w:type="dxa"/>
                        <w:tcBorders>
                          <w:top w:val="nil"/>
                          <w:left w:val="nil"/>
                          <w:bottom w:val="nil"/>
                          <w:right w:val="nil"/>
                        </w:tcBorders>
                        <w:noWrap/>
                        <w:vAlign w:val="center"/>
                      </w:tcPr>
                      <w:p w14:paraId="06C5D495">
                        <w:pPr>
                          <w:adjustRightInd w:val="0"/>
                          <w:snapToGrid w:val="0"/>
                          <w:jc w:val="center"/>
                          <w:rPr>
                            <w:rFonts w:eastAsia="等线"/>
                            <w:sz w:val="16"/>
                            <w:szCs w:val="16"/>
                          </w:rPr>
                        </w:pPr>
                        <w:r>
                          <w:rPr>
                            <w:rFonts w:eastAsia="等线"/>
                            <w:sz w:val="16"/>
                            <w:szCs w:val="16"/>
                          </w:rPr>
                          <w:t>39.27%</w:t>
                        </w:r>
                      </w:p>
                    </w:tc>
                    <w:tc>
                      <w:tcPr>
                        <w:tcW w:w="996" w:type="dxa"/>
                        <w:tcBorders>
                          <w:top w:val="nil"/>
                          <w:left w:val="nil"/>
                          <w:bottom w:val="nil"/>
                          <w:right w:val="nil"/>
                        </w:tcBorders>
                        <w:noWrap/>
                        <w:vAlign w:val="center"/>
                      </w:tcPr>
                      <w:p w14:paraId="6E790862">
                        <w:pPr>
                          <w:adjustRightInd w:val="0"/>
                          <w:snapToGrid w:val="0"/>
                          <w:jc w:val="center"/>
                          <w:rPr>
                            <w:rFonts w:eastAsia="等线"/>
                            <w:sz w:val="16"/>
                            <w:szCs w:val="16"/>
                          </w:rPr>
                        </w:pPr>
                        <w:r>
                          <w:rPr>
                            <w:rFonts w:eastAsia="等线"/>
                            <w:sz w:val="16"/>
                            <w:szCs w:val="16"/>
                          </w:rPr>
                          <w:t>38.09%</w:t>
                        </w:r>
                      </w:p>
                    </w:tc>
                    <w:tc>
                      <w:tcPr>
                        <w:tcW w:w="998" w:type="dxa"/>
                        <w:tcBorders>
                          <w:top w:val="nil"/>
                          <w:left w:val="nil"/>
                          <w:bottom w:val="nil"/>
                          <w:right w:val="nil"/>
                        </w:tcBorders>
                        <w:noWrap/>
                        <w:vAlign w:val="center"/>
                      </w:tcPr>
                      <w:p w14:paraId="34437C0B">
                        <w:pPr>
                          <w:adjustRightInd w:val="0"/>
                          <w:snapToGrid w:val="0"/>
                          <w:jc w:val="center"/>
                          <w:rPr>
                            <w:rFonts w:eastAsia="等线"/>
                            <w:sz w:val="16"/>
                            <w:szCs w:val="16"/>
                          </w:rPr>
                        </w:pPr>
                        <w:r>
                          <w:rPr>
                            <w:rFonts w:eastAsia="等线"/>
                            <w:sz w:val="16"/>
                            <w:szCs w:val="16"/>
                          </w:rPr>
                          <w:t>38.01%</w:t>
                        </w:r>
                      </w:p>
                    </w:tc>
                    <w:tc>
                      <w:tcPr>
                        <w:tcW w:w="1499" w:type="dxa"/>
                        <w:tcBorders>
                          <w:top w:val="nil"/>
                          <w:left w:val="nil"/>
                          <w:bottom w:val="nil"/>
                          <w:right w:val="nil"/>
                        </w:tcBorders>
                        <w:noWrap/>
                        <w:vAlign w:val="center"/>
                      </w:tcPr>
                      <w:p w14:paraId="1BFA8B8A">
                        <w:pPr>
                          <w:adjustRightInd w:val="0"/>
                          <w:snapToGrid w:val="0"/>
                          <w:jc w:val="center"/>
                          <w:rPr>
                            <w:rFonts w:eastAsia="等线"/>
                            <w:b/>
                            <w:bCs/>
                            <w:sz w:val="16"/>
                            <w:szCs w:val="16"/>
                          </w:rPr>
                        </w:pPr>
                        <w:r>
                          <w:rPr>
                            <w:rFonts w:eastAsia="等线"/>
                            <w:b/>
                            <w:bCs/>
                            <w:sz w:val="16"/>
                            <w:szCs w:val="16"/>
                          </w:rPr>
                          <w:t>36.63%</w:t>
                        </w:r>
                      </w:p>
                    </w:tc>
                  </w:tr>
                  <w:tr w14:paraId="2EBB52EC">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1059AE56">
                        <w:pPr>
                          <w:adjustRightInd w:val="0"/>
                          <w:snapToGrid w:val="0"/>
                          <w:rPr>
                            <w:rFonts w:eastAsia="等线"/>
                            <w:sz w:val="16"/>
                            <w:szCs w:val="16"/>
                          </w:rPr>
                        </w:pPr>
                      </w:p>
                    </w:tc>
                    <w:tc>
                      <w:tcPr>
                        <w:tcW w:w="1162" w:type="dxa"/>
                        <w:tcBorders>
                          <w:top w:val="nil"/>
                          <w:left w:val="nil"/>
                          <w:bottom w:val="nil"/>
                          <w:right w:val="nil"/>
                        </w:tcBorders>
                        <w:noWrap/>
                        <w:vAlign w:val="center"/>
                      </w:tcPr>
                      <w:p w14:paraId="5B81E60B">
                        <w:pPr>
                          <w:adjustRightInd w:val="0"/>
                          <w:snapToGrid w:val="0"/>
                          <w:jc w:val="center"/>
                          <w:rPr>
                            <w:rFonts w:eastAsia="等线"/>
                            <w:i/>
                            <w:iCs/>
                            <w:sz w:val="16"/>
                            <w:szCs w:val="16"/>
                          </w:rPr>
                        </w:pPr>
                        <w:r>
                          <w:rPr>
                            <w:rFonts w:eastAsia="等线"/>
                            <w:i/>
                            <w:iCs/>
                            <w:sz w:val="16"/>
                            <w:szCs w:val="16"/>
                          </w:rPr>
                          <w:t>MAE</w:t>
                        </w:r>
                      </w:p>
                    </w:tc>
                    <w:tc>
                      <w:tcPr>
                        <w:tcW w:w="1164" w:type="dxa"/>
                        <w:tcBorders>
                          <w:top w:val="nil"/>
                          <w:left w:val="nil"/>
                          <w:bottom w:val="nil"/>
                          <w:right w:val="nil"/>
                        </w:tcBorders>
                        <w:noWrap/>
                        <w:vAlign w:val="center"/>
                      </w:tcPr>
                      <w:p w14:paraId="216314CE">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7121F062">
                        <w:pPr>
                          <w:adjustRightInd w:val="0"/>
                          <w:snapToGrid w:val="0"/>
                          <w:jc w:val="center"/>
                          <w:rPr>
                            <w:rFonts w:eastAsia="等线"/>
                            <w:sz w:val="16"/>
                            <w:szCs w:val="16"/>
                          </w:rPr>
                        </w:pPr>
                        <w:r>
                          <w:rPr>
                            <w:rFonts w:eastAsia="等线"/>
                            <w:sz w:val="16"/>
                            <w:szCs w:val="16"/>
                          </w:rPr>
                          <w:t>23.8677</w:t>
                        </w:r>
                      </w:p>
                    </w:tc>
                    <w:tc>
                      <w:tcPr>
                        <w:tcW w:w="1162" w:type="dxa"/>
                        <w:tcBorders>
                          <w:top w:val="nil"/>
                          <w:left w:val="nil"/>
                          <w:bottom w:val="nil"/>
                          <w:right w:val="nil"/>
                        </w:tcBorders>
                        <w:noWrap/>
                        <w:vAlign w:val="center"/>
                      </w:tcPr>
                      <w:p w14:paraId="3E0FDFBB">
                        <w:pPr>
                          <w:adjustRightInd w:val="0"/>
                          <w:snapToGrid w:val="0"/>
                          <w:jc w:val="center"/>
                          <w:rPr>
                            <w:rFonts w:eastAsia="等线"/>
                            <w:sz w:val="16"/>
                            <w:szCs w:val="16"/>
                          </w:rPr>
                        </w:pPr>
                        <w:r>
                          <w:rPr>
                            <w:rFonts w:eastAsia="等线"/>
                            <w:sz w:val="16"/>
                            <w:szCs w:val="16"/>
                          </w:rPr>
                          <w:t>23.2196</w:t>
                        </w:r>
                      </w:p>
                    </w:tc>
                    <w:tc>
                      <w:tcPr>
                        <w:tcW w:w="998" w:type="dxa"/>
                        <w:tcBorders>
                          <w:top w:val="nil"/>
                          <w:left w:val="nil"/>
                          <w:bottom w:val="nil"/>
                          <w:right w:val="nil"/>
                        </w:tcBorders>
                        <w:noWrap/>
                        <w:vAlign w:val="center"/>
                      </w:tcPr>
                      <w:p w14:paraId="0206D3CB">
                        <w:pPr>
                          <w:adjustRightInd w:val="0"/>
                          <w:snapToGrid w:val="0"/>
                          <w:jc w:val="center"/>
                          <w:rPr>
                            <w:rFonts w:eastAsia="等线"/>
                            <w:sz w:val="16"/>
                            <w:szCs w:val="16"/>
                          </w:rPr>
                        </w:pPr>
                        <w:r>
                          <w:rPr>
                            <w:rFonts w:eastAsia="等线"/>
                            <w:sz w:val="16"/>
                            <w:szCs w:val="16"/>
                          </w:rPr>
                          <w:t>22.5024</w:t>
                        </w:r>
                      </w:p>
                    </w:tc>
                    <w:tc>
                      <w:tcPr>
                        <w:tcW w:w="996" w:type="dxa"/>
                        <w:tcBorders>
                          <w:top w:val="nil"/>
                          <w:left w:val="nil"/>
                          <w:bottom w:val="nil"/>
                          <w:right w:val="nil"/>
                        </w:tcBorders>
                        <w:noWrap/>
                        <w:vAlign w:val="center"/>
                      </w:tcPr>
                      <w:p w14:paraId="5AF7B177">
                        <w:pPr>
                          <w:adjustRightInd w:val="0"/>
                          <w:snapToGrid w:val="0"/>
                          <w:jc w:val="center"/>
                          <w:rPr>
                            <w:rFonts w:eastAsia="等线"/>
                            <w:sz w:val="16"/>
                            <w:szCs w:val="16"/>
                          </w:rPr>
                        </w:pPr>
                        <w:r>
                          <w:rPr>
                            <w:rFonts w:eastAsia="等线"/>
                            <w:sz w:val="16"/>
                            <w:szCs w:val="16"/>
                          </w:rPr>
                          <w:t>21.8044</w:t>
                        </w:r>
                      </w:p>
                    </w:tc>
                    <w:tc>
                      <w:tcPr>
                        <w:tcW w:w="998" w:type="dxa"/>
                        <w:tcBorders>
                          <w:top w:val="nil"/>
                          <w:left w:val="nil"/>
                          <w:bottom w:val="nil"/>
                          <w:right w:val="nil"/>
                        </w:tcBorders>
                        <w:noWrap/>
                        <w:vAlign w:val="center"/>
                      </w:tcPr>
                      <w:p w14:paraId="6B600E34">
                        <w:pPr>
                          <w:adjustRightInd w:val="0"/>
                          <w:snapToGrid w:val="0"/>
                          <w:jc w:val="center"/>
                          <w:rPr>
                            <w:rFonts w:eastAsia="等线"/>
                            <w:sz w:val="16"/>
                            <w:szCs w:val="16"/>
                          </w:rPr>
                        </w:pPr>
                        <w:r>
                          <w:rPr>
                            <w:rFonts w:eastAsia="等线"/>
                            <w:sz w:val="16"/>
                            <w:szCs w:val="16"/>
                          </w:rPr>
                          <w:t>21.8586</w:t>
                        </w:r>
                      </w:p>
                    </w:tc>
                    <w:tc>
                      <w:tcPr>
                        <w:tcW w:w="1499" w:type="dxa"/>
                        <w:tcBorders>
                          <w:top w:val="nil"/>
                          <w:left w:val="nil"/>
                          <w:bottom w:val="nil"/>
                          <w:right w:val="nil"/>
                        </w:tcBorders>
                        <w:noWrap/>
                        <w:vAlign w:val="center"/>
                      </w:tcPr>
                      <w:p w14:paraId="5F0DC7EA">
                        <w:pPr>
                          <w:adjustRightInd w:val="0"/>
                          <w:snapToGrid w:val="0"/>
                          <w:jc w:val="center"/>
                          <w:rPr>
                            <w:rFonts w:eastAsia="等线"/>
                            <w:b/>
                            <w:bCs/>
                            <w:sz w:val="16"/>
                            <w:szCs w:val="16"/>
                          </w:rPr>
                        </w:pPr>
                        <w:r>
                          <w:rPr>
                            <w:rFonts w:eastAsia="等线"/>
                            <w:b/>
                            <w:bCs/>
                            <w:sz w:val="16"/>
                            <w:szCs w:val="16"/>
                          </w:rPr>
                          <w:t>20.9998</w:t>
                        </w:r>
                      </w:p>
                    </w:tc>
                  </w:tr>
                  <w:tr w14:paraId="3D344239">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6368E553">
                        <w:pPr>
                          <w:adjustRightInd w:val="0"/>
                          <w:snapToGrid w:val="0"/>
                          <w:rPr>
                            <w:rFonts w:eastAsia="等线"/>
                            <w:sz w:val="16"/>
                            <w:szCs w:val="16"/>
                          </w:rPr>
                        </w:pPr>
                      </w:p>
                    </w:tc>
                    <w:tc>
                      <w:tcPr>
                        <w:tcW w:w="1162" w:type="dxa"/>
                        <w:tcBorders>
                          <w:top w:val="nil"/>
                          <w:left w:val="nil"/>
                          <w:bottom w:val="nil"/>
                          <w:right w:val="nil"/>
                        </w:tcBorders>
                        <w:noWrap/>
                        <w:vAlign w:val="center"/>
                      </w:tcPr>
                      <w:p w14:paraId="4A3286D4">
                        <w:pPr>
                          <w:adjustRightInd w:val="0"/>
                          <w:snapToGrid w:val="0"/>
                          <w:jc w:val="center"/>
                          <w:rPr>
                            <w:rFonts w:eastAsia="等线"/>
                            <w:i/>
                            <w:iCs/>
                            <w:sz w:val="16"/>
                            <w:szCs w:val="16"/>
                          </w:rPr>
                        </w:pPr>
                        <w:r>
                          <w:rPr>
                            <w:rFonts w:eastAsia="等线"/>
                            <w:i/>
                            <w:iCs/>
                            <w:sz w:val="16"/>
                            <w:szCs w:val="16"/>
                          </w:rPr>
                          <w:t>ME</w:t>
                        </w:r>
                      </w:p>
                    </w:tc>
                    <w:tc>
                      <w:tcPr>
                        <w:tcW w:w="1164" w:type="dxa"/>
                        <w:tcBorders>
                          <w:top w:val="nil"/>
                          <w:left w:val="nil"/>
                          <w:bottom w:val="nil"/>
                          <w:right w:val="nil"/>
                        </w:tcBorders>
                        <w:noWrap/>
                        <w:vAlign w:val="center"/>
                      </w:tcPr>
                      <w:p w14:paraId="0F6B5F84">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253BFF08">
                        <w:pPr>
                          <w:adjustRightInd w:val="0"/>
                          <w:snapToGrid w:val="0"/>
                          <w:jc w:val="center"/>
                          <w:rPr>
                            <w:rFonts w:eastAsia="等线"/>
                            <w:sz w:val="16"/>
                            <w:szCs w:val="16"/>
                          </w:rPr>
                        </w:pPr>
                        <w:r>
                          <w:rPr>
                            <w:rFonts w:eastAsia="等线"/>
                            <w:sz w:val="16"/>
                            <w:szCs w:val="16"/>
                          </w:rPr>
                          <w:t>0.298</w:t>
                        </w:r>
                      </w:p>
                    </w:tc>
                    <w:tc>
                      <w:tcPr>
                        <w:tcW w:w="1162" w:type="dxa"/>
                        <w:tcBorders>
                          <w:top w:val="nil"/>
                          <w:left w:val="nil"/>
                          <w:bottom w:val="nil"/>
                          <w:right w:val="nil"/>
                        </w:tcBorders>
                        <w:noWrap/>
                        <w:vAlign w:val="center"/>
                      </w:tcPr>
                      <w:p w14:paraId="09B3929A">
                        <w:pPr>
                          <w:adjustRightInd w:val="0"/>
                          <w:snapToGrid w:val="0"/>
                          <w:jc w:val="center"/>
                          <w:rPr>
                            <w:rFonts w:eastAsia="等线"/>
                            <w:sz w:val="16"/>
                            <w:szCs w:val="16"/>
                          </w:rPr>
                        </w:pPr>
                        <w:r>
                          <w:rPr>
                            <w:rFonts w:eastAsia="等线"/>
                            <w:sz w:val="16"/>
                            <w:szCs w:val="16"/>
                          </w:rPr>
                          <w:t>0.5055</w:t>
                        </w:r>
                      </w:p>
                    </w:tc>
                    <w:tc>
                      <w:tcPr>
                        <w:tcW w:w="998" w:type="dxa"/>
                        <w:tcBorders>
                          <w:top w:val="nil"/>
                          <w:left w:val="nil"/>
                          <w:bottom w:val="nil"/>
                          <w:right w:val="nil"/>
                        </w:tcBorders>
                        <w:noWrap/>
                        <w:vAlign w:val="center"/>
                      </w:tcPr>
                      <w:p w14:paraId="490BD65E">
                        <w:pPr>
                          <w:adjustRightInd w:val="0"/>
                          <w:snapToGrid w:val="0"/>
                          <w:jc w:val="center"/>
                          <w:rPr>
                            <w:rFonts w:eastAsia="等线"/>
                            <w:sz w:val="16"/>
                            <w:szCs w:val="16"/>
                          </w:rPr>
                        </w:pPr>
                        <w:r>
                          <w:rPr>
                            <w:rFonts w:eastAsia="等线"/>
                            <w:sz w:val="16"/>
                            <w:szCs w:val="16"/>
                          </w:rPr>
                          <w:t>-4.5298</w:t>
                        </w:r>
                      </w:p>
                    </w:tc>
                    <w:tc>
                      <w:tcPr>
                        <w:tcW w:w="996" w:type="dxa"/>
                        <w:tcBorders>
                          <w:top w:val="nil"/>
                          <w:left w:val="nil"/>
                          <w:bottom w:val="nil"/>
                          <w:right w:val="nil"/>
                        </w:tcBorders>
                        <w:noWrap/>
                        <w:vAlign w:val="center"/>
                      </w:tcPr>
                      <w:p w14:paraId="662BA55E">
                        <w:pPr>
                          <w:adjustRightInd w:val="0"/>
                          <w:snapToGrid w:val="0"/>
                          <w:jc w:val="center"/>
                          <w:rPr>
                            <w:rFonts w:eastAsia="等线"/>
                            <w:sz w:val="16"/>
                            <w:szCs w:val="16"/>
                          </w:rPr>
                        </w:pPr>
                        <w:r>
                          <w:rPr>
                            <w:rFonts w:eastAsia="等线"/>
                            <w:sz w:val="16"/>
                            <w:szCs w:val="16"/>
                          </w:rPr>
                          <w:t>-0.1535</w:t>
                        </w:r>
                      </w:p>
                    </w:tc>
                    <w:tc>
                      <w:tcPr>
                        <w:tcW w:w="998" w:type="dxa"/>
                        <w:tcBorders>
                          <w:top w:val="nil"/>
                          <w:left w:val="nil"/>
                          <w:bottom w:val="nil"/>
                          <w:right w:val="nil"/>
                        </w:tcBorders>
                        <w:noWrap/>
                        <w:vAlign w:val="center"/>
                      </w:tcPr>
                      <w:p w14:paraId="33740375">
                        <w:pPr>
                          <w:adjustRightInd w:val="0"/>
                          <w:snapToGrid w:val="0"/>
                          <w:jc w:val="center"/>
                          <w:rPr>
                            <w:rFonts w:eastAsia="等线"/>
                            <w:sz w:val="16"/>
                            <w:szCs w:val="16"/>
                          </w:rPr>
                        </w:pPr>
                        <w:r>
                          <w:rPr>
                            <w:rFonts w:eastAsia="等线"/>
                            <w:sz w:val="16"/>
                            <w:szCs w:val="16"/>
                          </w:rPr>
                          <w:t>-1.5593</w:t>
                        </w:r>
                      </w:p>
                    </w:tc>
                    <w:tc>
                      <w:tcPr>
                        <w:tcW w:w="1499" w:type="dxa"/>
                        <w:tcBorders>
                          <w:top w:val="nil"/>
                          <w:left w:val="nil"/>
                          <w:bottom w:val="nil"/>
                          <w:right w:val="nil"/>
                        </w:tcBorders>
                        <w:noWrap/>
                        <w:vAlign w:val="center"/>
                      </w:tcPr>
                      <w:p w14:paraId="04B56019">
                        <w:pPr>
                          <w:adjustRightInd w:val="0"/>
                          <w:snapToGrid w:val="0"/>
                          <w:jc w:val="center"/>
                          <w:rPr>
                            <w:rFonts w:eastAsia="等线"/>
                            <w:b/>
                            <w:bCs/>
                            <w:sz w:val="16"/>
                            <w:szCs w:val="16"/>
                          </w:rPr>
                        </w:pPr>
                        <w:r>
                          <w:rPr>
                            <w:rFonts w:eastAsia="等线"/>
                            <w:b/>
                            <w:bCs/>
                            <w:sz w:val="16"/>
                            <w:szCs w:val="16"/>
                          </w:rPr>
                          <w:t>-0.0612</w:t>
                        </w:r>
                      </w:p>
                    </w:tc>
                  </w:tr>
                  <w:tr w14:paraId="37474416">
                    <w:tblPrEx>
                      <w:tblCellMar>
                        <w:top w:w="0" w:type="dxa"/>
                        <w:left w:w="108" w:type="dxa"/>
                        <w:bottom w:w="0" w:type="dxa"/>
                        <w:right w:w="108" w:type="dxa"/>
                      </w:tblCellMar>
                    </w:tblPrEx>
                    <w:trPr>
                      <w:trHeight w:val="249" w:hRule="atLeast"/>
                      <w:jc w:val="center"/>
                    </w:trPr>
                    <w:tc>
                      <w:tcPr>
                        <w:tcW w:w="1499" w:type="dxa"/>
                        <w:vMerge w:val="restart"/>
                        <w:tcBorders>
                          <w:top w:val="nil"/>
                          <w:left w:val="nil"/>
                          <w:bottom w:val="nil"/>
                          <w:right w:val="nil"/>
                        </w:tcBorders>
                        <w:vAlign w:val="center"/>
                      </w:tcPr>
                      <w:p w14:paraId="18DD65D1">
                        <w:pPr>
                          <w:adjustRightInd w:val="0"/>
                          <w:snapToGrid w:val="0"/>
                          <w:jc w:val="center"/>
                          <w:rPr>
                            <w:rFonts w:eastAsia="等线"/>
                            <w:sz w:val="16"/>
                            <w:szCs w:val="16"/>
                          </w:rPr>
                        </w:pPr>
                        <w:r>
                          <w:rPr>
                            <w:rFonts w:eastAsia="等线"/>
                            <w:sz w:val="16"/>
                            <w:szCs w:val="16"/>
                          </w:rPr>
                          <w:t>Topography and climate data (DEM, Slope, LST, ET)</w:t>
                        </w:r>
                      </w:p>
                    </w:tc>
                    <w:tc>
                      <w:tcPr>
                        <w:tcW w:w="1162" w:type="dxa"/>
                        <w:tcBorders>
                          <w:top w:val="nil"/>
                          <w:left w:val="nil"/>
                          <w:bottom w:val="nil"/>
                          <w:right w:val="nil"/>
                        </w:tcBorders>
                        <w:noWrap/>
                        <w:vAlign w:val="center"/>
                      </w:tcPr>
                      <w:p w14:paraId="0097C5FE">
                        <w:pPr>
                          <w:adjustRightInd w:val="0"/>
                          <w:snapToGrid w:val="0"/>
                          <w:jc w:val="center"/>
                          <w:rPr>
                            <w:rFonts w:eastAsia="等线"/>
                            <w:i/>
                            <w:iCs/>
                            <w:sz w:val="16"/>
                            <w:szCs w:val="16"/>
                          </w:rPr>
                        </w:pPr>
                        <w:r>
                          <w:rPr>
                            <w:rFonts w:eastAsia="等线"/>
                            <w:i/>
                            <w:iCs/>
                            <w:sz w:val="16"/>
                            <w:szCs w:val="16"/>
                          </w:rPr>
                          <w:t>R</w:t>
                        </w:r>
                        <w:r>
                          <w:rPr>
                            <w:rFonts w:eastAsia="等线"/>
                            <w:i/>
                            <w:iCs/>
                            <w:sz w:val="16"/>
                            <w:szCs w:val="16"/>
                            <w:vertAlign w:val="superscript"/>
                          </w:rPr>
                          <w:t>2</w:t>
                        </w:r>
                      </w:p>
                    </w:tc>
                    <w:tc>
                      <w:tcPr>
                        <w:tcW w:w="1164" w:type="dxa"/>
                        <w:tcBorders>
                          <w:top w:val="nil"/>
                          <w:left w:val="nil"/>
                          <w:bottom w:val="nil"/>
                          <w:right w:val="nil"/>
                        </w:tcBorders>
                        <w:noWrap/>
                        <w:vAlign w:val="center"/>
                      </w:tcPr>
                      <w:p w14:paraId="59934430">
                        <w:pPr>
                          <w:adjustRightInd w:val="0"/>
                          <w:snapToGrid w:val="0"/>
                          <w:jc w:val="center"/>
                          <w:rPr>
                            <w:rFonts w:eastAsia="等线"/>
                            <w:sz w:val="16"/>
                            <w:szCs w:val="16"/>
                          </w:rPr>
                        </w:pPr>
                        <w:r>
                          <w:rPr>
                            <w:rFonts w:eastAsia="等线"/>
                            <w:sz w:val="16"/>
                            <w:szCs w:val="16"/>
                          </w:rPr>
                          <w:t>1</w:t>
                        </w:r>
                      </w:p>
                    </w:tc>
                    <w:tc>
                      <w:tcPr>
                        <w:tcW w:w="996" w:type="dxa"/>
                        <w:tcBorders>
                          <w:top w:val="nil"/>
                          <w:left w:val="nil"/>
                          <w:bottom w:val="nil"/>
                          <w:right w:val="nil"/>
                        </w:tcBorders>
                        <w:noWrap/>
                        <w:vAlign w:val="center"/>
                      </w:tcPr>
                      <w:p w14:paraId="01ABD802">
                        <w:pPr>
                          <w:adjustRightInd w:val="0"/>
                          <w:snapToGrid w:val="0"/>
                          <w:jc w:val="center"/>
                          <w:rPr>
                            <w:rFonts w:eastAsia="等线"/>
                            <w:sz w:val="16"/>
                            <w:szCs w:val="16"/>
                          </w:rPr>
                        </w:pPr>
                        <w:r>
                          <w:rPr>
                            <w:rFonts w:eastAsia="等线"/>
                            <w:sz w:val="16"/>
                            <w:szCs w:val="16"/>
                          </w:rPr>
                          <w:t>0.7566</w:t>
                        </w:r>
                      </w:p>
                    </w:tc>
                    <w:tc>
                      <w:tcPr>
                        <w:tcW w:w="1162" w:type="dxa"/>
                        <w:tcBorders>
                          <w:top w:val="nil"/>
                          <w:left w:val="nil"/>
                          <w:bottom w:val="nil"/>
                          <w:right w:val="nil"/>
                        </w:tcBorders>
                        <w:noWrap/>
                        <w:vAlign w:val="center"/>
                      </w:tcPr>
                      <w:p w14:paraId="388A7941">
                        <w:pPr>
                          <w:adjustRightInd w:val="0"/>
                          <w:snapToGrid w:val="0"/>
                          <w:jc w:val="center"/>
                          <w:rPr>
                            <w:rFonts w:eastAsia="等线"/>
                            <w:sz w:val="16"/>
                            <w:szCs w:val="16"/>
                          </w:rPr>
                        </w:pPr>
                        <w:r>
                          <w:rPr>
                            <w:rFonts w:eastAsia="等线"/>
                            <w:sz w:val="16"/>
                            <w:szCs w:val="16"/>
                          </w:rPr>
                          <w:t>0.7574</w:t>
                        </w:r>
                      </w:p>
                    </w:tc>
                    <w:tc>
                      <w:tcPr>
                        <w:tcW w:w="998" w:type="dxa"/>
                        <w:tcBorders>
                          <w:top w:val="nil"/>
                          <w:left w:val="nil"/>
                          <w:bottom w:val="nil"/>
                          <w:right w:val="nil"/>
                        </w:tcBorders>
                        <w:noWrap/>
                        <w:vAlign w:val="center"/>
                      </w:tcPr>
                      <w:p w14:paraId="335A72C1">
                        <w:pPr>
                          <w:adjustRightInd w:val="0"/>
                          <w:snapToGrid w:val="0"/>
                          <w:jc w:val="center"/>
                          <w:rPr>
                            <w:rFonts w:eastAsia="等线"/>
                            <w:sz w:val="16"/>
                            <w:szCs w:val="16"/>
                          </w:rPr>
                        </w:pPr>
                        <w:r>
                          <w:rPr>
                            <w:rFonts w:eastAsia="等线"/>
                            <w:sz w:val="16"/>
                            <w:szCs w:val="16"/>
                          </w:rPr>
                          <w:t>0.7698</w:t>
                        </w:r>
                      </w:p>
                    </w:tc>
                    <w:tc>
                      <w:tcPr>
                        <w:tcW w:w="996" w:type="dxa"/>
                        <w:tcBorders>
                          <w:top w:val="nil"/>
                          <w:left w:val="nil"/>
                          <w:bottom w:val="nil"/>
                          <w:right w:val="nil"/>
                        </w:tcBorders>
                        <w:noWrap/>
                        <w:vAlign w:val="center"/>
                      </w:tcPr>
                      <w:p w14:paraId="2FF1332D">
                        <w:pPr>
                          <w:adjustRightInd w:val="0"/>
                          <w:snapToGrid w:val="0"/>
                          <w:jc w:val="center"/>
                          <w:rPr>
                            <w:rFonts w:eastAsia="等线"/>
                            <w:sz w:val="16"/>
                            <w:szCs w:val="16"/>
                          </w:rPr>
                        </w:pPr>
                        <w:r>
                          <w:rPr>
                            <w:rFonts w:eastAsia="等线"/>
                            <w:sz w:val="16"/>
                            <w:szCs w:val="16"/>
                          </w:rPr>
                          <w:t>0.7778</w:t>
                        </w:r>
                      </w:p>
                    </w:tc>
                    <w:tc>
                      <w:tcPr>
                        <w:tcW w:w="998" w:type="dxa"/>
                        <w:tcBorders>
                          <w:top w:val="nil"/>
                          <w:left w:val="nil"/>
                          <w:bottom w:val="nil"/>
                          <w:right w:val="nil"/>
                        </w:tcBorders>
                        <w:noWrap/>
                        <w:vAlign w:val="center"/>
                      </w:tcPr>
                      <w:p w14:paraId="53450FC0">
                        <w:pPr>
                          <w:adjustRightInd w:val="0"/>
                          <w:snapToGrid w:val="0"/>
                          <w:jc w:val="center"/>
                          <w:rPr>
                            <w:rFonts w:eastAsia="等线"/>
                            <w:sz w:val="16"/>
                            <w:szCs w:val="16"/>
                          </w:rPr>
                        </w:pPr>
                        <w:r>
                          <w:rPr>
                            <w:rFonts w:eastAsia="等线"/>
                            <w:sz w:val="16"/>
                            <w:szCs w:val="16"/>
                          </w:rPr>
                          <w:t>0.7818</w:t>
                        </w:r>
                      </w:p>
                    </w:tc>
                    <w:tc>
                      <w:tcPr>
                        <w:tcW w:w="1499" w:type="dxa"/>
                        <w:tcBorders>
                          <w:top w:val="nil"/>
                          <w:left w:val="nil"/>
                          <w:bottom w:val="nil"/>
                          <w:right w:val="nil"/>
                        </w:tcBorders>
                        <w:noWrap/>
                        <w:vAlign w:val="center"/>
                      </w:tcPr>
                      <w:p w14:paraId="1B7A20C1">
                        <w:pPr>
                          <w:adjustRightInd w:val="0"/>
                          <w:snapToGrid w:val="0"/>
                          <w:jc w:val="center"/>
                          <w:rPr>
                            <w:rFonts w:eastAsia="等线"/>
                            <w:b/>
                            <w:bCs/>
                            <w:sz w:val="16"/>
                            <w:szCs w:val="16"/>
                          </w:rPr>
                        </w:pPr>
                        <w:r>
                          <w:rPr>
                            <w:rFonts w:eastAsia="等线"/>
                            <w:b/>
                            <w:bCs/>
                            <w:sz w:val="16"/>
                            <w:szCs w:val="16"/>
                          </w:rPr>
                          <w:t>0.8011</w:t>
                        </w:r>
                      </w:p>
                    </w:tc>
                  </w:tr>
                  <w:tr w14:paraId="0CEC7103">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440BCDC5">
                        <w:pPr>
                          <w:adjustRightInd w:val="0"/>
                          <w:snapToGrid w:val="0"/>
                          <w:rPr>
                            <w:rFonts w:eastAsia="等线"/>
                            <w:sz w:val="16"/>
                            <w:szCs w:val="16"/>
                          </w:rPr>
                        </w:pPr>
                      </w:p>
                    </w:tc>
                    <w:tc>
                      <w:tcPr>
                        <w:tcW w:w="1162" w:type="dxa"/>
                        <w:tcBorders>
                          <w:top w:val="nil"/>
                          <w:left w:val="nil"/>
                          <w:bottom w:val="nil"/>
                          <w:right w:val="nil"/>
                        </w:tcBorders>
                        <w:noWrap/>
                        <w:vAlign w:val="center"/>
                      </w:tcPr>
                      <w:p w14:paraId="13E1C6E0">
                        <w:pPr>
                          <w:adjustRightInd w:val="0"/>
                          <w:snapToGrid w:val="0"/>
                          <w:jc w:val="center"/>
                          <w:rPr>
                            <w:rFonts w:eastAsia="等线"/>
                            <w:i/>
                            <w:iCs/>
                            <w:sz w:val="16"/>
                            <w:szCs w:val="16"/>
                          </w:rPr>
                        </w:pPr>
                        <w:r>
                          <w:rPr>
                            <w:rFonts w:eastAsia="等线"/>
                            <w:i/>
                            <w:iCs/>
                            <w:sz w:val="16"/>
                            <w:szCs w:val="16"/>
                          </w:rPr>
                          <w:t>IOA</w:t>
                        </w:r>
                      </w:p>
                    </w:tc>
                    <w:tc>
                      <w:tcPr>
                        <w:tcW w:w="1164" w:type="dxa"/>
                        <w:tcBorders>
                          <w:top w:val="nil"/>
                          <w:left w:val="nil"/>
                          <w:bottom w:val="nil"/>
                          <w:right w:val="nil"/>
                        </w:tcBorders>
                        <w:noWrap/>
                        <w:vAlign w:val="center"/>
                      </w:tcPr>
                      <w:p w14:paraId="57973DB7">
                        <w:pPr>
                          <w:adjustRightInd w:val="0"/>
                          <w:snapToGrid w:val="0"/>
                          <w:jc w:val="center"/>
                          <w:rPr>
                            <w:rFonts w:eastAsia="等线"/>
                            <w:sz w:val="16"/>
                            <w:szCs w:val="16"/>
                          </w:rPr>
                        </w:pPr>
                        <w:r>
                          <w:rPr>
                            <w:rFonts w:eastAsia="等线"/>
                            <w:sz w:val="16"/>
                            <w:szCs w:val="16"/>
                          </w:rPr>
                          <w:t>100%</w:t>
                        </w:r>
                      </w:p>
                    </w:tc>
                    <w:tc>
                      <w:tcPr>
                        <w:tcW w:w="996" w:type="dxa"/>
                        <w:tcBorders>
                          <w:top w:val="nil"/>
                          <w:left w:val="nil"/>
                          <w:bottom w:val="nil"/>
                          <w:right w:val="nil"/>
                        </w:tcBorders>
                        <w:noWrap/>
                        <w:vAlign w:val="center"/>
                      </w:tcPr>
                      <w:p w14:paraId="6027741D">
                        <w:pPr>
                          <w:adjustRightInd w:val="0"/>
                          <w:snapToGrid w:val="0"/>
                          <w:jc w:val="center"/>
                          <w:rPr>
                            <w:rFonts w:eastAsia="等线"/>
                            <w:sz w:val="16"/>
                            <w:szCs w:val="16"/>
                          </w:rPr>
                        </w:pPr>
                        <w:r>
                          <w:rPr>
                            <w:rFonts w:eastAsia="等线"/>
                            <w:sz w:val="16"/>
                            <w:szCs w:val="16"/>
                          </w:rPr>
                          <w:t>92.76%</w:t>
                        </w:r>
                      </w:p>
                    </w:tc>
                    <w:tc>
                      <w:tcPr>
                        <w:tcW w:w="1162" w:type="dxa"/>
                        <w:tcBorders>
                          <w:top w:val="nil"/>
                          <w:left w:val="nil"/>
                          <w:bottom w:val="nil"/>
                          <w:right w:val="nil"/>
                        </w:tcBorders>
                        <w:noWrap/>
                        <w:vAlign w:val="center"/>
                      </w:tcPr>
                      <w:p w14:paraId="649E662F">
                        <w:pPr>
                          <w:adjustRightInd w:val="0"/>
                          <w:snapToGrid w:val="0"/>
                          <w:jc w:val="center"/>
                          <w:rPr>
                            <w:rFonts w:eastAsia="等线"/>
                            <w:sz w:val="16"/>
                            <w:szCs w:val="16"/>
                          </w:rPr>
                        </w:pPr>
                        <w:r>
                          <w:rPr>
                            <w:rFonts w:eastAsia="等线"/>
                            <w:sz w:val="16"/>
                            <w:szCs w:val="16"/>
                          </w:rPr>
                          <w:t>92.68%</w:t>
                        </w:r>
                      </w:p>
                    </w:tc>
                    <w:tc>
                      <w:tcPr>
                        <w:tcW w:w="998" w:type="dxa"/>
                        <w:tcBorders>
                          <w:top w:val="nil"/>
                          <w:left w:val="nil"/>
                          <w:bottom w:val="nil"/>
                          <w:right w:val="nil"/>
                        </w:tcBorders>
                        <w:noWrap/>
                        <w:vAlign w:val="center"/>
                      </w:tcPr>
                      <w:p w14:paraId="2BC2F743">
                        <w:pPr>
                          <w:adjustRightInd w:val="0"/>
                          <w:snapToGrid w:val="0"/>
                          <w:jc w:val="center"/>
                          <w:rPr>
                            <w:rFonts w:eastAsia="等线"/>
                            <w:sz w:val="16"/>
                            <w:szCs w:val="16"/>
                          </w:rPr>
                        </w:pPr>
                        <w:r>
                          <w:rPr>
                            <w:rFonts w:eastAsia="等线"/>
                            <w:sz w:val="16"/>
                            <w:szCs w:val="16"/>
                          </w:rPr>
                          <w:t>92.63%</w:t>
                        </w:r>
                      </w:p>
                    </w:tc>
                    <w:tc>
                      <w:tcPr>
                        <w:tcW w:w="996" w:type="dxa"/>
                        <w:tcBorders>
                          <w:top w:val="nil"/>
                          <w:left w:val="nil"/>
                          <w:bottom w:val="nil"/>
                          <w:right w:val="nil"/>
                        </w:tcBorders>
                        <w:noWrap/>
                        <w:vAlign w:val="center"/>
                      </w:tcPr>
                      <w:p w14:paraId="7194852D">
                        <w:pPr>
                          <w:adjustRightInd w:val="0"/>
                          <w:snapToGrid w:val="0"/>
                          <w:jc w:val="center"/>
                          <w:rPr>
                            <w:rFonts w:eastAsia="等线"/>
                            <w:sz w:val="16"/>
                            <w:szCs w:val="16"/>
                          </w:rPr>
                        </w:pPr>
                        <w:r>
                          <w:rPr>
                            <w:rFonts w:eastAsia="等线"/>
                            <w:sz w:val="16"/>
                            <w:szCs w:val="16"/>
                          </w:rPr>
                          <w:t>93.54%</w:t>
                        </w:r>
                      </w:p>
                    </w:tc>
                    <w:tc>
                      <w:tcPr>
                        <w:tcW w:w="998" w:type="dxa"/>
                        <w:tcBorders>
                          <w:top w:val="nil"/>
                          <w:left w:val="nil"/>
                          <w:bottom w:val="nil"/>
                          <w:right w:val="nil"/>
                        </w:tcBorders>
                        <w:noWrap/>
                        <w:vAlign w:val="center"/>
                      </w:tcPr>
                      <w:p w14:paraId="69C60642">
                        <w:pPr>
                          <w:adjustRightInd w:val="0"/>
                          <w:snapToGrid w:val="0"/>
                          <w:jc w:val="center"/>
                          <w:rPr>
                            <w:rFonts w:eastAsia="等线"/>
                            <w:sz w:val="16"/>
                            <w:szCs w:val="16"/>
                          </w:rPr>
                        </w:pPr>
                        <w:r>
                          <w:rPr>
                            <w:rFonts w:eastAsia="等线"/>
                            <w:sz w:val="16"/>
                            <w:szCs w:val="16"/>
                          </w:rPr>
                          <w:t>93.61%</w:t>
                        </w:r>
                      </w:p>
                    </w:tc>
                    <w:tc>
                      <w:tcPr>
                        <w:tcW w:w="1499" w:type="dxa"/>
                        <w:tcBorders>
                          <w:top w:val="nil"/>
                          <w:left w:val="nil"/>
                          <w:bottom w:val="nil"/>
                          <w:right w:val="nil"/>
                        </w:tcBorders>
                        <w:noWrap/>
                        <w:vAlign w:val="center"/>
                      </w:tcPr>
                      <w:p w14:paraId="6CEAF601">
                        <w:pPr>
                          <w:adjustRightInd w:val="0"/>
                          <w:snapToGrid w:val="0"/>
                          <w:jc w:val="center"/>
                          <w:rPr>
                            <w:rFonts w:eastAsia="等线"/>
                            <w:b/>
                            <w:bCs/>
                            <w:sz w:val="16"/>
                            <w:szCs w:val="16"/>
                          </w:rPr>
                        </w:pPr>
                        <w:r>
                          <w:rPr>
                            <w:rFonts w:eastAsia="等线"/>
                            <w:b/>
                            <w:bCs/>
                            <w:sz w:val="16"/>
                            <w:szCs w:val="16"/>
                          </w:rPr>
                          <w:t>94.21%</w:t>
                        </w:r>
                      </w:p>
                    </w:tc>
                  </w:tr>
                  <w:tr w14:paraId="58F127A8">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65B84240">
                        <w:pPr>
                          <w:adjustRightInd w:val="0"/>
                          <w:snapToGrid w:val="0"/>
                          <w:rPr>
                            <w:rFonts w:eastAsia="等线"/>
                            <w:sz w:val="16"/>
                            <w:szCs w:val="16"/>
                          </w:rPr>
                        </w:pPr>
                      </w:p>
                    </w:tc>
                    <w:tc>
                      <w:tcPr>
                        <w:tcW w:w="1162" w:type="dxa"/>
                        <w:tcBorders>
                          <w:top w:val="nil"/>
                          <w:left w:val="nil"/>
                          <w:bottom w:val="nil"/>
                          <w:right w:val="nil"/>
                        </w:tcBorders>
                        <w:noWrap/>
                        <w:vAlign w:val="center"/>
                      </w:tcPr>
                      <w:p w14:paraId="68D279FF">
                        <w:pPr>
                          <w:adjustRightInd w:val="0"/>
                          <w:snapToGrid w:val="0"/>
                          <w:jc w:val="center"/>
                          <w:rPr>
                            <w:rFonts w:eastAsia="等线"/>
                            <w:i/>
                            <w:iCs/>
                            <w:sz w:val="16"/>
                            <w:szCs w:val="16"/>
                          </w:rPr>
                        </w:pPr>
                        <w:r>
                          <w:rPr>
                            <w:rFonts w:eastAsia="等线"/>
                            <w:i/>
                            <w:iCs/>
                            <w:sz w:val="16"/>
                            <w:szCs w:val="16"/>
                          </w:rPr>
                          <w:t>RMSE</w:t>
                        </w:r>
                      </w:p>
                    </w:tc>
                    <w:tc>
                      <w:tcPr>
                        <w:tcW w:w="1164" w:type="dxa"/>
                        <w:tcBorders>
                          <w:top w:val="nil"/>
                          <w:left w:val="nil"/>
                          <w:bottom w:val="nil"/>
                          <w:right w:val="nil"/>
                        </w:tcBorders>
                        <w:noWrap/>
                        <w:vAlign w:val="center"/>
                      </w:tcPr>
                      <w:p w14:paraId="6D9F294A">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0DFFED2E">
                        <w:pPr>
                          <w:adjustRightInd w:val="0"/>
                          <w:snapToGrid w:val="0"/>
                          <w:jc w:val="center"/>
                          <w:rPr>
                            <w:rFonts w:eastAsia="等线"/>
                            <w:sz w:val="16"/>
                            <w:szCs w:val="16"/>
                          </w:rPr>
                        </w:pPr>
                        <w:r>
                          <w:rPr>
                            <w:rFonts w:eastAsia="等线"/>
                            <w:sz w:val="16"/>
                            <w:szCs w:val="16"/>
                          </w:rPr>
                          <w:t>32.5839</w:t>
                        </w:r>
                      </w:p>
                    </w:tc>
                    <w:tc>
                      <w:tcPr>
                        <w:tcW w:w="1162" w:type="dxa"/>
                        <w:tcBorders>
                          <w:top w:val="nil"/>
                          <w:left w:val="nil"/>
                          <w:bottom w:val="nil"/>
                          <w:right w:val="nil"/>
                        </w:tcBorders>
                        <w:noWrap/>
                        <w:vAlign w:val="center"/>
                      </w:tcPr>
                      <w:p w14:paraId="2E3AA367">
                        <w:pPr>
                          <w:adjustRightInd w:val="0"/>
                          <w:snapToGrid w:val="0"/>
                          <w:jc w:val="center"/>
                          <w:rPr>
                            <w:rFonts w:eastAsia="等线"/>
                            <w:sz w:val="16"/>
                            <w:szCs w:val="16"/>
                          </w:rPr>
                        </w:pPr>
                        <w:r>
                          <w:rPr>
                            <w:rFonts w:eastAsia="等线"/>
                            <w:sz w:val="16"/>
                            <w:szCs w:val="16"/>
                          </w:rPr>
                          <w:t>32.5034</w:t>
                        </w:r>
                      </w:p>
                    </w:tc>
                    <w:tc>
                      <w:tcPr>
                        <w:tcW w:w="998" w:type="dxa"/>
                        <w:tcBorders>
                          <w:top w:val="nil"/>
                          <w:left w:val="nil"/>
                          <w:bottom w:val="nil"/>
                          <w:right w:val="nil"/>
                        </w:tcBorders>
                        <w:noWrap/>
                        <w:vAlign w:val="center"/>
                      </w:tcPr>
                      <w:p w14:paraId="1A9B67E8">
                        <w:pPr>
                          <w:adjustRightInd w:val="0"/>
                          <w:snapToGrid w:val="0"/>
                          <w:jc w:val="center"/>
                          <w:rPr>
                            <w:rFonts w:eastAsia="等线"/>
                            <w:sz w:val="16"/>
                            <w:szCs w:val="16"/>
                          </w:rPr>
                        </w:pPr>
                        <w:r>
                          <w:rPr>
                            <w:rFonts w:eastAsia="等线"/>
                            <w:sz w:val="16"/>
                            <w:szCs w:val="16"/>
                          </w:rPr>
                          <w:t>31.9331</w:t>
                        </w:r>
                      </w:p>
                    </w:tc>
                    <w:tc>
                      <w:tcPr>
                        <w:tcW w:w="996" w:type="dxa"/>
                        <w:tcBorders>
                          <w:top w:val="nil"/>
                          <w:left w:val="nil"/>
                          <w:bottom w:val="nil"/>
                          <w:right w:val="nil"/>
                        </w:tcBorders>
                        <w:noWrap/>
                        <w:vAlign w:val="center"/>
                      </w:tcPr>
                      <w:p w14:paraId="56EDFFAE">
                        <w:pPr>
                          <w:adjustRightInd w:val="0"/>
                          <w:snapToGrid w:val="0"/>
                          <w:jc w:val="center"/>
                          <w:rPr>
                            <w:rFonts w:eastAsia="等线"/>
                            <w:sz w:val="16"/>
                            <w:szCs w:val="16"/>
                          </w:rPr>
                        </w:pPr>
                        <w:r>
                          <w:rPr>
                            <w:rFonts w:eastAsia="等线"/>
                            <w:sz w:val="16"/>
                            <w:szCs w:val="16"/>
                          </w:rPr>
                          <w:t>31.146</w:t>
                        </w:r>
                      </w:p>
                    </w:tc>
                    <w:tc>
                      <w:tcPr>
                        <w:tcW w:w="998" w:type="dxa"/>
                        <w:tcBorders>
                          <w:top w:val="nil"/>
                          <w:left w:val="nil"/>
                          <w:bottom w:val="nil"/>
                          <w:right w:val="nil"/>
                        </w:tcBorders>
                        <w:noWrap/>
                        <w:vAlign w:val="center"/>
                      </w:tcPr>
                      <w:p w14:paraId="03768C3C">
                        <w:pPr>
                          <w:adjustRightInd w:val="0"/>
                          <w:snapToGrid w:val="0"/>
                          <w:jc w:val="center"/>
                          <w:rPr>
                            <w:rFonts w:eastAsia="等线"/>
                            <w:sz w:val="16"/>
                            <w:szCs w:val="16"/>
                          </w:rPr>
                        </w:pPr>
                        <w:r>
                          <w:rPr>
                            <w:rFonts w:eastAsia="等线"/>
                            <w:sz w:val="16"/>
                            <w:szCs w:val="16"/>
                          </w:rPr>
                          <w:t>30.8365</w:t>
                        </w:r>
                      </w:p>
                    </w:tc>
                    <w:tc>
                      <w:tcPr>
                        <w:tcW w:w="1499" w:type="dxa"/>
                        <w:tcBorders>
                          <w:top w:val="nil"/>
                          <w:left w:val="nil"/>
                          <w:bottom w:val="nil"/>
                          <w:right w:val="nil"/>
                        </w:tcBorders>
                        <w:noWrap/>
                        <w:vAlign w:val="center"/>
                      </w:tcPr>
                      <w:p w14:paraId="75EE7AFD">
                        <w:pPr>
                          <w:adjustRightInd w:val="0"/>
                          <w:snapToGrid w:val="0"/>
                          <w:jc w:val="center"/>
                          <w:rPr>
                            <w:rFonts w:eastAsia="等线"/>
                            <w:b/>
                            <w:bCs/>
                            <w:sz w:val="16"/>
                            <w:szCs w:val="16"/>
                          </w:rPr>
                        </w:pPr>
                        <w:r>
                          <w:rPr>
                            <w:rFonts w:eastAsia="等线"/>
                            <w:b/>
                            <w:bCs/>
                            <w:sz w:val="16"/>
                            <w:szCs w:val="16"/>
                          </w:rPr>
                          <w:t>29.4491</w:t>
                        </w:r>
                      </w:p>
                    </w:tc>
                  </w:tr>
                  <w:tr w14:paraId="43DD40B5">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368B39AA">
                        <w:pPr>
                          <w:adjustRightInd w:val="0"/>
                          <w:snapToGrid w:val="0"/>
                          <w:rPr>
                            <w:rFonts w:eastAsia="等线"/>
                            <w:sz w:val="16"/>
                            <w:szCs w:val="16"/>
                          </w:rPr>
                        </w:pPr>
                      </w:p>
                    </w:tc>
                    <w:tc>
                      <w:tcPr>
                        <w:tcW w:w="1162" w:type="dxa"/>
                        <w:tcBorders>
                          <w:top w:val="nil"/>
                          <w:left w:val="nil"/>
                          <w:bottom w:val="nil"/>
                          <w:right w:val="nil"/>
                        </w:tcBorders>
                        <w:noWrap/>
                        <w:vAlign w:val="center"/>
                      </w:tcPr>
                      <w:p w14:paraId="162FFC3D">
                        <w:pPr>
                          <w:adjustRightInd w:val="0"/>
                          <w:snapToGrid w:val="0"/>
                          <w:jc w:val="center"/>
                          <w:rPr>
                            <w:rFonts w:eastAsia="等线"/>
                            <w:i/>
                            <w:iCs/>
                            <w:sz w:val="16"/>
                            <w:szCs w:val="16"/>
                          </w:rPr>
                        </w:pPr>
                        <w:r>
                          <w:rPr>
                            <w:rFonts w:hint="eastAsia" w:eastAsia="等线"/>
                            <w:i/>
                            <w:iCs/>
                            <w:sz w:val="16"/>
                            <w:szCs w:val="16"/>
                          </w:rPr>
                          <w:t>r</w:t>
                        </w:r>
                        <w:r>
                          <w:rPr>
                            <w:rFonts w:eastAsia="等线"/>
                            <w:i/>
                            <w:iCs/>
                            <w:sz w:val="16"/>
                            <w:szCs w:val="16"/>
                          </w:rPr>
                          <w:t>RMSE</w:t>
                        </w:r>
                      </w:p>
                    </w:tc>
                    <w:tc>
                      <w:tcPr>
                        <w:tcW w:w="1164" w:type="dxa"/>
                        <w:tcBorders>
                          <w:top w:val="nil"/>
                          <w:left w:val="nil"/>
                          <w:bottom w:val="nil"/>
                          <w:right w:val="nil"/>
                        </w:tcBorders>
                        <w:noWrap/>
                        <w:vAlign w:val="center"/>
                      </w:tcPr>
                      <w:p w14:paraId="49EC5C98">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0BA9020C">
                        <w:pPr>
                          <w:adjustRightInd w:val="0"/>
                          <w:snapToGrid w:val="0"/>
                          <w:jc w:val="center"/>
                          <w:rPr>
                            <w:rFonts w:eastAsia="等线"/>
                            <w:sz w:val="16"/>
                            <w:szCs w:val="16"/>
                          </w:rPr>
                        </w:pPr>
                        <w:r>
                          <w:rPr>
                            <w:rFonts w:eastAsia="等线"/>
                            <w:sz w:val="16"/>
                            <w:szCs w:val="16"/>
                          </w:rPr>
                          <w:t>38.80%</w:t>
                        </w:r>
                      </w:p>
                    </w:tc>
                    <w:tc>
                      <w:tcPr>
                        <w:tcW w:w="1162" w:type="dxa"/>
                        <w:tcBorders>
                          <w:top w:val="nil"/>
                          <w:left w:val="nil"/>
                          <w:bottom w:val="nil"/>
                          <w:right w:val="nil"/>
                        </w:tcBorders>
                        <w:noWrap/>
                        <w:vAlign w:val="center"/>
                      </w:tcPr>
                      <w:p w14:paraId="6DC03D21">
                        <w:pPr>
                          <w:adjustRightInd w:val="0"/>
                          <w:snapToGrid w:val="0"/>
                          <w:jc w:val="center"/>
                          <w:rPr>
                            <w:rFonts w:eastAsia="等线"/>
                            <w:sz w:val="16"/>
                            <w:szCs w:val="16"/>
                          </w:rPr>
                        </w:pPr>
                        <w:r>
                          <w:rPr>
                            <w:rFonts w:eastAsia="等线"/>
                            <w:sz w:val="16"/>
                            <w:szCs w:val="16"/>
                          </w:rPr>
                          <w:t>38.70%</w:t>
                        </w:r>
                      </w:p>
                    </w:tc>
                    <w:tc>
                      <w:tcPr>
                        <w:tcW w:w="998" w:type="dxa"/>
                        <w:tcBorders>
                          <w:top w:val="nil"/>
                          <w:left w:val="nil"/>
                          <w:bottom w:val="nil"/>
                          <w:right w:val="nil"/>
                        </w:tcBorders>
                        <w:noWrap/>
                        <w:vAlign w:val="center"/>
                      </w:tcPr>
                      <w:p w14:paraId="02F612BA">
                        <w:pPr>
                          <w:adjustRightInd w:val="0"/>
                          <w:snapToGrid w:val="0"/>
                          <w:jc w:val="center"/>
                          <w:rPr>
                            <w:rFonts w:eastAsia="等线"/>
                            <w:sz w:val="16"/>
                            <w:szCs w:val="16"/>
                          </w:rPr>
                        </w:pPr>
                        <w:r>
                          <w:rPr>
                            <w:rFonts w:eastAsia="等线"/>
                            <w:sz w:val="16"/>
                            <w:szCs w:val="16"/>
                          </w:rPr>
                          <w:t>38.02%</w:t>
                        </w:r>
                      </w:p>
                    </w:tc>
                    <w:tc>
                      <w:tcPr>
                        <w:tcW w:w="996" w:type="dxa"/>
                        <w:tcBorders>
                          <w:top w:val="nil"/>
                          <w:left w:val="nil"/>
                          <w:bottom w:val="nil"/>
                          <w:right w:val="nil"/>
                        </w:tcBorders>
                        <w:noWrap/>
                        <w:vAlign w:val="center"/>
                      </w:tcPr>
                      <w:p w14:paraId="3539273D">
                        <w:pPr>
                          <w:adjustRightInd w:val="0"/>
                          <w:snapToGrid w:val="0"/>
                          <w:jc w:val="center"/>
                          <w:rPr>
                            <w:rFonts w:eastAsia="等线"/>
                            <w:sz w:val="16"/>
                            <w:szCs w:val="16"/>
                          </w:rPr>
                        </w:pPr>
                        <w:r>
                          <w:rPr>
                            <w:rFonts w:eastAsia="等线"/>
                            <w:sz w:val="16"/>
                            <w:szCs w:val="16"/>
                          </w:rPr>
                          <w:t>37.08%</w:t>
                        </w:r>
                      </w:p>
                    </w:tc>
                    <w:tc>
                      <w:tcPr>
                        <w:tcW w:w="998" w:type="dxa"/>
                        <w:tcBorders>
                          <w:top w:val="nil"/>
                          <w:left w:val="nil"/>
                          <w:bottom w:val="nil"/>
                          <w:right w:val="nil"/>
                        </w:tcBorders>
                        <w:noWrap/>
                        <w:vAlign w:val="center"/>
                      </w:tcPr>
                      <w:p w14:paraId="6CA31571">
                        <w:pPr>
                          <w:adjustRightInd w:val="0"/>
                          <w:snapToGrid w:val="0"/>
                          <w:jc w:val="center"/>
                          <w:rPr>
                            <w:rFonts w:eastAsia="等线"/>
                            <w:sz w:val="16"/>
                            <w:szCs w:val="16"/>
                          </w:rPr>
                        </w:pPr>
                        <w:r>
                          <w:rPr>
                            <w:rFonts w:eastAsia="等线"/>
                            <w:sz w:val="16"/>
                            <w:szCs w:val="16"/>
                          </w:rPr>
                          <w:t>36.71%</w:t>
                        </w:r>
                      </w:p>
                    </w:tc>
                    <w:tc>
                      <w:tcPr>
                        <w:tcW w:w="1499" w:type="dxa"/>
                        <w:tcBorders>
                          <w:top w:val="nil"/>
                          <w:left w:val="nil"/>
                          <w:bottom w:val="nil"/>
                          <w:right w:val="nil"/>
                        </w:tcBorders>
                        <w:noWrap/>
                        <w:vAlign w:val="center"/>
                      </w:tcPr>
                      <w:p w14:paraId="477A8F6E">
                        <w:pPr>
                          <w:adjustRightInd w:val="0"/>
                          <w:snapToGrid w:val="0"/>
                          <w:jc w:val="center"/>
                          <w:rPr>
                            <w:rFonts w:eastAsia="等线"/>
                            <w:b/>
                            <w:bCs/>
                            <w:sz w:val="16"/>
                            <w:szCs w:val="16"/>
                          </w:rPr>
                        </w:pPr>
                        <w:r>
                          <w:rPr>
                            <w:rFonts w:eastAsia="等线"/>
                            <w:b/>
                            <w:bCs/>
                            <w:sz w:val="16"/>
                            <w:szCs w:val="16"/>
                          </w:rPr>
                          <w:t>35.06%</w:t>
                        </w:r>
                      </w:p>
                    </w:tc>
                  </w:tr>
                  <w:tr w14:paraId="06D0DFFF">
                    <w:tblPrEx>
                      <w:tblCellMar>
                        <w:top w:w="0" w:type="dxa"/>
                        <w:left w:w="108" w:type="dxa"/>
                        <w:bottom w:w="0" w:type="dxa"/>
                        <w:right w:w="108" w:type="dxa"/>
                      </w:tblCellMar>
                    </w:tblPrEx>
                    <w:trPr>
                      <w:trHeight w:val="249" w:hRule="atLeast"/>
                      <w:jc w:val="center"/>
                    </w:trPr>
                    <w:tc>
                      <w:tcPr>
                        <w:tcW w:w="1499" w:type="dxa"/>
                        <w:vMerge w:val="continue"/>
                        <w:tcBorders>
                          <w:top w:val="nil"/>
                          <w:left w:val="nil"/>
                          <w:bottom w:val="nil"/>
                          <w:right w:val="nil"/>
                        </w:tcBorders>
                        <w:vAlign w:val="center"/>
                      </w:tcPr>
                      <w:p w14:paraId="1A08401D">
                        <w:pPr>
                          <w:adjustRightInd w:val="0"/>
                          <w:snapToGrid w:val="0"/>
                          <w:rPr>
                            <w:rFonts w:eastAsia="等线"/>
                            <w:sz w:val="16"/>
                            <w:szCs w:val="16"/>
                          </w:rPr>
                        </w:pPr>
                      </w:p>
                    </w:tc>
                    <w:tc>
                      <w:tcPr>
                        <w:tcW w:w="1162" w:type="dxa"/>
                        <w:tcBorders>
                          <w:top w:val="nil"/>
                          <w:left w:val="nil"/>
                          <w:bottom w:val="nil"/>
                          <w:right w:val="nil"/>
                        </w:tcBorders>
                        <w:noWrap/>
                        <w:vAlign w:val="center"/>
                      </w:tcPr>
                      <w:p w14:paraId="499062A4">
                        <w:pPr>
                          <w:adjustRightInd w:val="0"/>
                          <w:snapToGrid w:val="0"/>
                          <w:jc w:val="center"/>
                          <w:rPr>
                            <w:rFonts w:eastAsia="等线"/>
                            <w:i/>
                            <w:iCs/>
                            <w:sz w:val="16"/>
                            <w:szCs w:val="16"/>
                          </w:rPr>
                        </w:pPr>
                        <w:r>
                          <w:rPr>
                            <w:rFonts w:eastAsia="等线"/>
                            <w:i/>
                            <w:iCs/>
                            <w:sz w:val="16"/>
                            <w:szCs w:val="16"/>
                          </w:rPr>
                          <w:t>MAE</w:t>
                        </w:r>
                      </w:p>
                    </w:tc>
                    <w:tc>
                      <w:tcPr>
                        <w:tcW w:w="1164" w:type="dxa"/>
                        <w:tcBorders>
                          <w:top w:val="nil"/>
                          <w:left w:val="nil"/>
                          <w:bottom w:val="nil"/>
                          <w:right w:val="nil"/>
                        </w:tcBorders>
                        <w:noWrap/>
                        <w:vAlign w:val="center"/>
                      </w:tcPr>
                      <w:p w14:paraId="4324F9B5">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nil"/>
                          <w:right w:val="nil"/>
                        </w:tcBorders>
                        <w:noWrap/>
                        <w:vAlign w:val="center"/>
                      </w:tcPr>
                      <w:p w14:paraId="7C8C5D35">
                        <w:pPr>
                          <w:adjustRightInd w:val="0"/>
                          <w:snapToGrid w:val="0"/>
                          <w:jc w:val="center"/>
                          <w:rPr>
                            <w:rFonts w:eastAsia="等线"/>
                            <w:sz w:val="16"/>
                            <w:szCs w:val="16"/>
                          </w:rPr>
                        </w:pPr>
                        <w:r>
                          <w:rPr>
                            <w:rFonts w:eastAsia="等线"/>
                            <w:sz w:val="16"/>
                            <w:szCs w:val="16"/>
                          </w:rPr>
                          <w:t>22.1525</w:t>
                        </w:r>
                      </w:p>
                    </w:tc>
                    <w:tc>
                      <w:tcPr>
                        <w:tcW w:w="1162" w:type="dxa"/>
                        <w:tcBorders>
                          <w:top w:val="nil"/>
                          <w:left w:val="nil"/>
                          <w:bottom w:val="nil"/>
                          <w:right w:val="nil"/>
                        </w:tcBorders>
                        <w:noWrap/>
                        <w:vAlign w:val="center"/>
                      </w:tcPr>
                      <w:p w14:paraId="2FE0ACE5">
                        <w:pPr>
                          <w:adjustRightInd w:val="0"/>
                          <w:snapToGrid w:val="0"/>
                          <w:jc w:val="center"/>
                          <w:rPr>
                            <w:rFonts w:eastAsia="等线"/>
                            <w:sz w:val="16"/>
                            <w:szCs w:val="16"/>
                          </w:rPr>
                        </w:pPr>
                        <w:r>
                          <w:rPr>
                            <w:rFonts w:eastAsia="等线"/>
                            <w:sz w:val="16"/>
                            <w:szCs w:val="16"/>
                          </w:rPr>
                          <w:t>22.2022</w:t>
                        </w:r>
                      </w:p>
                    </w:tc>
                    <w:tc>
                      <w:tcPr>
                        <w:tcW w:w="998" w:type="dxa"/>
                        <w:tcBorders>
                          <w:top w:val="nil"/>
                          <w:left w:val="nil"/>
                          <w:bottom w:val="nil"/>
                          <w:right w:val="nil"/>
                        </w:tcBorders>
                        <w:noWrap/>
                        <w:vAlign w:val="center"/>
                      </w:tcPr>
                      <w:p w14:paraId="5955A3BB">
                        <w:pPr>
                          <w:adjustRightInd w:val="0"/>
                          <w:snapToGrid w:val="0"/>
                          <w:jc w:val="center"/>
                          <w:rPr>
                            <w:rFonts w:eastAsia="等线"/>
                            <w:sz w:val="16"/>
                            <w:szCs w:val="16"/>
                          </w:rPr>
                        </w:pPr>
                        <w:r>
                          <w:rPr>
                            <w:rFonts w:eastAsia="等线"/>
                            <w:sz w:val="16"/>
                            <w:szCs w:val="16"/>
                          </w:rPr>
                          <w:t>21.5369</w:t>
                        </w:r>
                      </w:p>
                    </w:tc>
                    <w:tc>
                      <w:tcPr>
                        <w:tcW w:w="996" w:type="dxa"/>
                        <w:tcBorders>
                          <w:top w:val="nil"/>
                          <w:left w:val="nil"/>
                          <w:bottom w:val="nil"/>
                          <w:right w:val="nil"/>
                        </w:tcBorders>
                        <w:noWrap/>
                        <w:vAlign w:val="center"/>
                      </w:tcPr>
                      <w:p w14:paraId="45773545">
                        <w:pPr>
                          <w:adjustRightInd w:val="0"/>
                          <w:snapToGrid w:val="0"/>
                          <w:jc w:val="center"/>
                          <w:rPr>
                            <w:rFonts w:eastAsia="等线"/>
                            <w:sz w:val="16"/>
                            <w:szCs w:val="16"/>
                          </w:rPr>
                        </w:pPr>
                        <w:r>
                          <w:rPr>
                            <w:rFonts w:eastAsia="等线"/>
                            <w:sz w:val="16"/>
                            <w:szCs w:val="16"/>
                          </w:rPr>
                          <w:t>20.6368</w:t>
                        </w:r>
                      </w:p>
                    </w:tc>
                    <w:tc>
                      <w:tcPr>
                        <w:tcW w:w="998" w:type="dxa"/>
                        <w:tcBorders>
                          <w:top w:val="nil"/>
                          <w:left w:val="nil"/>
                          <w:bottom w:val="nil"/>
                          <w:right w:val="nil"/>
                        </w:tcBorders>
                        <w:noWrap/>
                        <w:vAlign w:val="center"/>
                      </w:tcPr>
                      <w:p w14:paraId="094366F8">
                        <w:pPr>
                          <w:adjustRightInd w:val="0"/>
                          <w:snapToGrid w:val="0"/>
                          <w:jc w:val="center"/>
                          <w:rPr>
                            <w:rFonts w:eastAsia="等线"/>
                            <w:sz w:val="16"/>
                            <w:szCs w:val="16"/>
                          </w:rPr>
                        </w:pPr>
                        <w:r>
                          <w:rPr>
                            <w:rFonts w:eastAsia="等线"/>
                            <w:sz w:val="16"/>
                            <w:szCs w:val="16"/>
                          </w:rPr>
                          <w:t>20.6987</w:t>
                        </w:r>
                      </w:p>
                    </w:tc>
                    <w:tc>
                      <w:tcPr>
                        <w:tcW w:w="1499" w:type="dxa"/>
                        <w:tcBorders>
                          <w:top w:val="nil"/>
                          <w:left w:val="nil"/>
                          <w:bottom w:val="nil"/>
                          <w:right w:val="nil"/>
                        </w:tcBorders>
                        <w:noWrap/>
                        <w:vAlign w:val="center"/>
                      </w:tcPr>
                      <w:p w14:paraId="79D1F5D5">
                        <w:pPr>
                          <w:adjustRightInd w:val="0"/>
                          <w:snapToGrid w:val="0"/>
                          <w:jc w:val="center"/>
                          <w:rPr>
                            <w:rFonts w:eastAsia="等线"/>
                            <w:b/>
                            <w:bCs/>
                            <w:sz w:val="16"/>
                            <w:szCs w:val="16"/>
                          </w:rPr>
                        </w:pPr>
                        <w:r>
                          <w:rPr>
                            <w:rFonts w:eastAsia="等线"/>
                            <w:b/>
                            <w:bCs/>
                            <w:sz w:val="16"/>
                            <w:szCs w:val="16"/>
                          </w:rPr>
                          <w:t>19.9384</w:t>
                        </w:r>
                      </w:p>
                    </w:tc>
                  </w:tr>
                  <w:tr w14:paraId="22022975">
                    <w:tblPrEx>
                      <w:tblCellMar>
                        <w:top w:w="0" w:type="dxa"/>
                        <w:left w:w="108" w:type="dxa"/>
                        <w:bottom w:w="0" w:type="dxa"/>
                        <w:right w:w="108" w:type="dxa"/>
                      </w:tblCellMar>
                    </w:tblPrEx>
                    <w:trPr>
                      <w:trHeight w:val="42" w:hRule="atLeast"/>
                      <w:jc w:val="center"/>
                    </w:trPr>
                    <w:tc>
                      <w:tcPr>
                        <w:tcW w:w="1499" w:type="dxa"/>
                        <w:vMerge w:val="continue"/>
                        <w:tcBorders>
                          <w:top w:val="nil"/>
                          <w:left w:val="nil"/>
                          <w:bottom w:val="single" w:color="auto" w:sz="4" w:space="0"/>
                          <w:right w:val="nil"/>
                        </w:tcBorders>
                        <w:vAlign w:val="center"/>
                      </w:tcPr>
                      <w:p w14:paraId="162DF79B">
                        <w:pPr>
                          <w:adjustRightInd w:val="0"/>
                          <w:snapToGrid w:val="0"/>
                          <w:rPr>
                            <w:rFonts w:eastAsia="等线"/>
                            <w:sz w:val="16"/>
                            <w:szCs w:val="16"/>
                          </w:rPr>
                        </w:pPr>
                      </w:p>
                    </w:tc>
                    <w:tc>
                      <w:tcPr>
                        <w:tcW w:w="1162" w:type="dxa"/>
                        <w:tcBorders>
                          <w:top w:val="nil"/>
                          <w:left w:val="nil"/>
                          <w:bottom w:val="single" w:color="auto" w:sz="4" w:space="0"/>
                          <w:right w:val="nil"/>
                        </w:tcBorders>
                        <w:noWrap/>
                        <w:vAlign w:val="center"/>
                      </w:tcPr>
                      <w:p w14:paraId="7C80B119">
                        <w:pPr>
                          <w:adjustRightInd w:val="0"/>
                          <w:snapToGrid w:val="0"/>
                          <w:jc w:val="center"/>
                          <w:rPr>
                            <w:rFonts w:eastAsia="等线"/>
                            <w:i/>
                            <w:iCs/>
                            <w:sz w:val="16"/>
                            <w:szCs w:val="16"/>
                          </w:rPr>
                        </w:pPr>
                        <w:r>
                          <w:rPr>
                            <w:rFonts w:eastAsia="等线"/>
                            <w:i/>
                            <w:iCs/>
                            <w:sz w:val="16"/>
                            <w:szCs w:val="16"/>
                          </w:rPr>
                          <w:t>ME</w:t>
                        </w:r>
                      </w:p>
                    </w:tc>
                    <w:tc>
                      <w:tcPr>
                        <w:tcW w:w="1164" w:type="dxa"/>
                        <w:tcBorders>
                          <w:top w:val="nil"/>
                          <w:left w:val="nil"/>
                          <w:bottom w:val="single" w:color="auto" w:sz="4" w:space="0"/>
                          <w:right w:val="nil"/>
                        </w:tcBorders>
                        <w:noWrap/>
                        <w:vAlign w:val="center"/>
                      </w:tcPr>
                      <w:p w14:paraId="70170A55">
                        <w:pPr>
                          <w:adjustRightInd w:val="0"/>
                          <w:snapToGrid w:val="0"/>
                          <w:jc w:val="center"/>
                          <w:rPr>
                            <w:rFonts w:eastAsia="等线"/>
                            <w:sz w:val="16"/>
                            <w:szCs w:val="16"/>
                          </w:rPr>
                        </w:pPr>
                        <w:r>
                          <w:rPr>
                            <w:rFonts w:eastAsia="等线"/>
                            <w:sz w:val="16"/>
                            <w:szCs w:val="16"/>
                          </w:rPr>
                          <w:t>0</w:t>
                        </w:r>
                      </w:p>
                    </w:tc>
                    <w:tc>
                      <w:tcPr>
                        <w:tcW w:w="996" w:type="dxa"/>
                        <w:tcBorders>
                          <w:top w:val="nil"/>
                          <w:left w:val="nil"/>
                          <w:bottom w:val="single" w:color="auto" w:sz="4" w:space="0"/>
                          <w:right w:val="nil"/>
                        </w:tcBorders>
                        <w:noWrap/>
                        <w:vAlign w:val="center"/>
                      </w:tcPr>
                      <w:p w14:paraId="3EF461A1">
                        <w:pPr>
                          <w:adjustRightInd w:val="0"/>
                          <w:snapToGrid w:val="0"/>
                          <w:jc w:val="center"/>
                          <w:rPr>
                            <w:rFonts w:eastAsia="等线"/>
                            <w:sz w:val="16"/>
                            <w:szCs w:val="16"/>
                          </w:rPr>
                        </w:pPr>
                        <w:r>
                          <w:rPr>
                            <w:rFonts w:eastAsia="等线"/>
                            <w:sz w:val="16"/>
                            <w:szCs w:val="16"/>
                          </w:rPr>
                          <w:t>0.4006</w:t>
                        </w:r>
                      </w:p>
                    </w:tc>
                    <w:tc>
                      <w:tcPr>
                        <w:tcW w:w="1162" w:type="dxa"/>
                        <w:tcBorders>
                          <w:top w:val="nil"/>
                          <w:left w:val="nil"/>
                          <w:bottom w:val="single" w:color="auto" w:sz="4" w:space="0"/>
                          <w:right w:val="nil"/>
                        </w:tcBorders>
                        <w:noWrap/>
                        <w:vAlign w:val="center"/>
                      </w:tcPr>
                      <w:p w14:paraId="405235FB">
                        <w:pPr>
                          <w:adjustRightInd w:val="0"/>
                          <w:snapToGrid w:val="0"/>
                          <w:jc w:val="center"/>
                          <w:rPr>
                            <w:rFonts w:eastAsia="等线"/>
                            <w:sz w:val="16"/>
                            <w:szCs w:val="16"/>
                          </w:rPr>
                        </w:pPr>
                        <w:r>
                          <w:rPr>
                            <w:rFonts w:eastAsia="等线"/>
                            <w:sz w:val="16"/>
                            <w:szCs w:val="16"/>
                          </w:rPr>
                          <w:t>0.3050</w:t>
                        </w:r>
                      </w:p>
                    </w:tc>
                    <w:tc>
                      <w:tcPr>
                        <w:tcW w:w="998" w:type="dxa"/>
                        <w:tcBorders>
                          <w:top w:val="nil"/>
                          <w:left w:val="nil"/>
                          <w:bottom w:val="single" w:color="auto" w:sz="4" w:space="0"/>
                          <w:right w:val="nil"/>
                        </w:tcBorders>
                        <w:noWrap/>
                        <w:vAlign w:val="center"/>
                      </w:tcPr>
                      <w:p w14:paraId="2CEDA584">
                        <w:pPr>
                          <w:adjustRightInd w:val="0"/>
                          <w:snapToGrid w:val="0"/>
                          <w:jc w:val="center"/>
                          <w:rPr>
                            <w:rFonts w:eastAsia="等线"/>
                            <w:sz w:val="16"/>
                            <w:szCs w:val="16"/>
                          </w:rPr>
                        </w:pPr>
                        <w:r>
                          <w:rPr>
                            <w:rFonts w:eastAsia="等线"/>
                            <w:sz w:val="16"/>
                            <w:szCs w:val="16"/>
                          </w:rPr>
                          <w:t>-2.6535</w:t>
                        </w:r>
                      </w:p>
                    </w:tc>
                    <w:tc>
                      <w:tcPr>
                        <w:tcW w:w="996" w:type="dxa"/>
                        <w:tcBorders>
                          <w:top w:val="nil"/>
                          <w:left w:val="nil"/>
                          <w:bottom w:val="single" w:color="auto" w:sz="4" w:space="0"/>
                          <w:right w:val="nil"/>
                        </w:tcBorders>
                        <w:noWrap/>
                        <w:vAlign w:val="center"/>
                      </w:tcPr>
                      <w:p w14:paraId="33F38FCC">
                        <w:pPr>
                          <w:adjustRightInd w:val="0"/>
                          <w:snapToGrid w:val="0"/>
                          <w:jc w:val="center"/>
                          <w:rPr>
                            <w:rFonts w:eastAsia="等线"/>
                            <w:sz w:val="16"/>
                            <w:szCs w:val="16"/>
                          </w:rPr>
                        </w:pPr>
                        <w:r>
                          <w:rPr>
                            <w:rFonts w:eastAsia="等线"/>
                            <w:sz w:val="16"/>
                            <w:szCs w:val="16"/>
                          </w:rPr>
                          <w:t>0.2127</w:t>
                        </w:r>
                      </w:p>
                    </w:tc>
                    <w:tc>
                      <w:tcPr>
                        <w:tcW w:w="998" w:type="dxa"/>
                        <w:tcBorders>
                          <w:top w:val="nil"/>
                          <w:left w:val="nil"/>
                          <w:bottom w:val="single" w:color="auto" w:sz="4" w:space="0"/>
                          <w:right w:val="nil"/>
                        </w:tcBorders>
                        <w:noWrap/>
                        <w:vAlign w:val="center"/>
                      </w:tcPr>
                      <w:p w14:paraId="21E04C98">
                        <w:pPr>
                          <w:adjustRightInd w:val="0"/>
                          <w:snapToGrid w:val="0"/>
                          <w:jc w:val="center"/>
                          <w:rPr>
                            <w:rFonts w:eastAsia="等线"/>
                            <w:b/>
                            <w:bCs/>
                            <w:sz w:val="16"/>
                            <w:szCs w:val="16"/>
                          </w:rPr>
                        </w:pPr>
                        <w:r>
                          <w:rPr>
                            <w:rFonts w:eastAsia="等线"/>
                            <w:b/>
                            <w:bCs/>
                            <w:sz w:val="16"/>
                            <w:szCs w:val="16"/>
                          </w:rPr>
                          <w:t>-0.2682</w:t>
                        </w:r>
                      </w:p>
                    </w:tc>
                    <w:tc>
                      <w:tcPr>
                        <w:tcW w:w="1499" w:type="dxa"/>
                        <w:tcBorders>
                          <w:top w:val="nil"/>
                          <w:left w:val="nil"/>
                          <w:bottom w:val="single" w:color="auto" w:sz="4" w:space="0"/>
                          <w:right w:val="nil"/>
                        </w:tcBorders>
                        <w:noWrap/>
                        <w:vAlign w:val="center"/>
                      </w:tcPr>
                      <w:p w14:paraId="34E721A3">
                        <w:pPr>
                          <w:adjustRightInd w:val="0"/>
                          <w:snapToGrid w:val="0"/>
                          <w:jc w:val="center"/>
                          <w:rPr>
                            <w:rFonts w:eastAsia="等线"/>
                            <w:sz w:val="16"/>
                            <w:szCs w:val="16"/>
                          </w:rPr>
                        </w:pPr>
                        <w:r>
                          <w:rPr>
                            <w:rFonts w:eastAsia="等线"/>
                            <w:sz w:val="16"/>
                            <w:szCs w:val="16"/>
                          </w:rPr>
                          <w:t>-1.1092</w:t>
                        </w:r>
                      </w:p>
                    </w:tc>
                  </w:tr>
                </w:tbl>
                <w:p w14:paraId="4448D09C">
                  <w:pPr>
                    <w:pStyle w:val="74"/>
                    <w:jc w:val="center"/>
                    <w:rPr>
                      <w:lang w:eastAsia="zh-CN"/>
                    </w:rPr>
                  </w:pPr>
                </w:p>
              </w:txbxContent>
            </v:textbox>
            <w10:wrap type="square"/>
          </v:shape>
        </w:pict>
      </w:r>
      <w:r>
        <w:rPr>
          <w:color w:val="000000" w:themeColor="text1"/>
        </w:rPr>
        <w:t>GEDI AGBD maps estimated with different datasets</w:t>
      </w:r>
    </w:p>
    <w:p w14:paraId="529D5D27">
      <w:pPr>
        <w:ind w:firstLine="400" w:firstLineChars="200"/>
        <w:jc w:val="both"/>
        <w:rPr>
          <w:color w:val="000000" w:themeColor="text1"/>
          <w:szCs w:val="21"/>
        </w:rPr>
      </w:pPr>
      <w:r>
        <w:rPr>
          <w:color w:val="000000" w:themeColor="text1"/>
        </w:rPr>
        <w:t>To establish a benchmark comparison, we used six nonlinear regression techniques to generate GEDI AGBD maps for the year 2020. These maps were produced using covariates selected from three distinct datasets. Fig. 1</w:t>
      </w:r>
      <w:r>
        <w:rPr>
          <w:rFonts w:hint="eastAsia"/>
          <w:color w:val="000000" w:themeColor="text1"/>
          <w:lang w:eastAsia="zh-CN"/>
        </w:rPr>
        <w:t>1</w:t>
      </w:r>
      <w:r>
        <w:rPr>
          <w:color w:val="000000" w:themeColor="text1"/>
        </w:rPr>
        <w:t xml:space="preserve"> illustrates the outcome when employing four PALSAR-2 covariates as input for the </w:t>
      </w:r>
      <w:r>
        <w:rPr>
          <w:rFonts w:hint="eastAsia"/>
          <w:color w:val="000000" w:themeColor="text1"/>
        </w:rPr>
        <w:t>CNN</w:t>
      </w:r>
      <w:r>
        <w:rPr>
          <w:color w:val="000000" w:themeColor="text1"/>
        </w:rPr>
        <w:t xml:space="preserve">_spatial model, resulting in a spatially continuous GEDI AGBD map for 2020. However, it is important to note that this PALSAR-2-derived model exhibited the lowest accuracy, as detailed in Table </w: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3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III</w:t>
      </w:r>
      <w:r>
        <w:rPr>
          <w:color w:val="000000" w:themeColor="text1"/>
        </w:rPr>
        <w:fldChar w:fldCharType="end"/>
      </w:r>
      <w:r>
        <w:rPr>
          <w:color w:val="000000" w:themeColor="text1"/>
        </w:rPr>
        <w:t>. Specifically, it tended to overestimate AGBD in regions with low tree canopy cover while underestimate AGBD values in regions with a higher tree canopy cover percentage. Additionally, it significantly underestimated AGBD in densely forested areas within the northern mountain regions and overestimated AGBD in urban areas with impervious surfaces. Comparatively, the results obtained from MODIS indices (Fig. 1</w:t>
      </w:r>
      <w:r>
        <w:rPr>
          <w:rFonts w:hint="eastAsia"/>
          <w:color w:val="000000" w:themeColor="text1"/>
          <w:lang w:eastAsia="zh-CN"/>
        </w:rPr>
        <w:t xml:space="preserve">1 </w:t>
      </w:r>
      <w:r>
        <w:rPr>
          <w:color w:val="000000" w:themeColor="text1"/>
        </w:rPr>
        <w:t>(b)) and topography and climate data (Fig. 1</w:t>
      </w:r>
      <w:r>
        <w:rPr>
          <w:rFonts w:hint="eastAsia"/>
          <w:color w:val="000000" w:themeColor="text1"/>
          <w:lang w:eastAsia="zh-CN"/>
        </w:rPr>
        <w:t xml:space="preserve">1 </w:t>
      </w:r>
      <w:r>
        <w:rPr>
          <w:color w:val="000000" w:themeColor="text1"/>
        </w:rPr>
        <w:t xml:space="preserve">(c)) showed substantial improvements in estimating AGBD values for both high and low AGBD regions within mountain forests. Notably, the results based on topography and climate data exhibited superior accuracy when compared to those using MODIS indices (Table </w: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3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III</w:t>
      </w:r>
      <w:r>
        <w:rPr>
          <w:color w:val="000000" w:themeColor="text1"/>
        </w:rPr>
        <w:fldChar w:fldCharType="end"/>
      </w:r>
      <w:r>
        <w:rPr>
          <w:color w:val="000000" w:themeColor="text1"/>
        </w:rPr>
        <w:t xml:space="preserve">). As summarized in Table </w: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3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III</w:t>
      </w:r>
      <w:r>
        <w:rPr>
          <w:color w:val="000000" w:themeColor="text1"/>
        </w:rPr>
        <w:fldChar w:fldCharType="end"/>
      </w:r>
      <w:r>
        <w:rPr>
          <w:color w:val="000000" w:themeColor="text1"/>
        </w:rPr>
        <w:t xml:space="preserve">, it becomes apparent that the outcomes generated by </w:t>
      </w:r>
      <w:bookmarkStart w:id="23" w:name="_Hlk211348961"/>
      <w:r>
        <w:rPr>
          <w:color w:val="000000" w:themeColor="text1"/>
        </w:rPr>
        <w:t>ELM, GRNN, SVR, RF</w:t>
      </w:r>
      <w:bookmarkEnd w:id="23"/>
      <w:r>
        <w:rPr>
          <w:color w:val="000000" w:themeColor="text1"/>
        </w:rPr>
        <w:t>, and CNN generally exhibited a similar trend to that of the CNN_spatial model. However, it is worth highlighting that the GEDI AGBD map produced by incorporating covariates from all three datasets demonstrated superior accuracy when compared to maps generated using a single dataset type.</w:t>
      </w:r>
    </w:p>
    <w:p w14:paraId="7A0B7BC1">
      <w:pPr>
        <w:ind w:firstLine="400" w:firstLineChars="200"/>
        <w:jc w:val="both"/>
        <w:rPr>
          <w:color w:val="000000" w:themeColor="text1"/>
          <w:szCs w:val="21"/>
        </w:rPr>
      </w:pPr>
      <w:r>
        <w:rPr>
          <w:color w:val="000000" w:themeColor="text1"/>
          <w:szCs w:val="21"/>
        </w:rPr>
        <w:t xml:space="preserve">The RF regression model offers the ability to assess variable importance ratio by incorporating an out-of-bag estimation of feature importance within the ensemble. </w:t>
      </w:r>
      <w:r>
        <w:rPr>
          <w:rFonts w:hint="eastAsia"/>
          <w:color w:val="000000" w:themeColor="text1"/>
          <w:szCs w:val="21"/>
        </w:rPr>
        <w:t>To</w:t>
      </w:r>
      <w:r>
        <w:rPr>
          <w:color w:val="000000" w:themeColor="text1"/>
          <w:szCs w:val="21"/>
        </w:rPr>
        <w:t xml:space="preserve"> examine the variable importance used in this study, Fig. 1</w:t>
      </w:r>
      <w:r>
        <w:rPr>
          <w:rFonts w:hint="eastAsia"/>
          <w:color w:val="000000" w:themeColor="text1"/>
          <w:szCs w:val="21"/>
          <w:lang w:eastAsia="zh-CN"/>
        </w:rPr>
        <w:t>2</w:t>
      </w:r>
      <w:r>
        <w:rPr>
          <w:color w:val="000000" w:themeColor="text1"/>
          <w:szCs w:val="21"/>
        </w:rPr>
        <w:t xml:space="preserve"> presents the importance ranking for the 15 covariates in the RF regression model, which is used to estimate spatially continuous GEDI AGBD in 2020. Consistent with the accuracy trend observed for the three types of datasets shown in Table </w:t>
      </w:r>
      <w:r>
        <w:rPr>
          <w:color w:val="000000" w:themeColor="text1"/>
          <w:szCs w:val="21"/>
        </w:rPr>
        <w:fldChar w:fldCharType="begin"/>
      </w:r>
      <w:r>
        <w:rPr>
          <w:color w:val="000000" w:themeColor="text1"/>
          <w:szCs w:val="21"/>
          <w:lang w:eastAsia="zh-CN"/>
        </w:rPr>
        <w:instrText xml:space="preserve"> </w:instrText>
      </w:r>
      <w:r>
        <w:rPr>
          <w:rFonts w:hint="eastAsia"/>
          <w:color w:val="000000" w:themeColor="text1"/>
          <w:szCs w:val="21"/>
          <w:lang w:eastAsia="zh-CN"/>
        </w:rPr>
        <w:instrText xml:space="preserve">= 3 \* ROMAN</w:instrText>
      </w:r>
      <w:r>
        <w:rPr>
          <w:color w:val="000000" w:themeColor="text1"/>
          <w:szCs w:val="21"/>
          <w:lang w:eastAsia="zh-CN"/>
        </w:rPr>
        <w:instrText xml:space="preserve"> </w:instrText>
      </w:r>
      <w:r>
        <w:rPr>
          <w:color w:val="000000" w:themeColor="text1"/>
          <w:szCs w:val="21"/>
        </w:rPr>
        <w:fldChar w:fldCharType="separate"/>
      </w:r>
      <w:r>
        <w:rPr>
          <w:color w:val="000000" w:themeColor="text1"/>
          <w:szCs w:val="21"/>
          <w:lang w:eastAsia="zh-CN"/>
        </w:rPr>
        <w:t>III</w:t>
      </w:r>
      <w:r>
        <w:rPr>
          <w:color w:val="000000" w:themeColor="text1"/>
          <w:szCs w:val="21"/>
        </w:rPr>
        <w:fldChar w:fldCharType="end"/>
      </w:r>
      <w:r>
        <w:rPr>
          <w:color w:val="000000" w:themeColor="text1"/>
          <w:szCs w:val="21"/>
        </w:rPr>
        <w:t>, the PALSAR-2 covariates (HH, HV, HH-HV and HH/HV) exhibit the lowest importance ratio among the three types of covariates, followed by MODIS indices (NDVI, EVI, VCF, NPP, LAI, FPAR, GPP), while the topography and climate data (DEM, Slope, LST, ET) hold the highest importance ratio. Among the 15 covariates, the most crucial one is LST, while the least important is the HH/HV. Furthermore, LST, DEM, LAI, ET and NPP covariates exhibit higher importance ratios compared to the other covariates. It is intriguing to note that despite the high correlation between MODIS VCF and GEDI AGBD (see Fig. 4), the importance ratio of MODIS VCF in the RF regression model remains at a moderate level in comparison with the other covariates.</w:t>
      </w:r>
    </w:p>
    <w:p w14:paraId="49A649EB">
      <w:pPr>
        <w:pStyle w:val="3"/>
        <w:jc w:val="both"/>
        <w:rPr>
          <w:color w:val="000000" w:themeColor="text1"/>
        </w:rPr>
      </w:pPr>
      <w:bookmarkStart w:id="24" w:name="_Hlk211801193"/>
      <w:r>
        <w:rPr>
          <w:color w:val="000000" w:themeColor="text1"/>
        </w:rPr>
        <w:t>Spatio-temporally continuous GEDI AGBD maps during 2015-2020</w:t>
      </w:r>
    </w:p>
    <w:bookmarkEnd w:id="24"/>
    <w:p w14:paraId="0B6EA99F">
      <w:pPr>
        <w:ind w:firstLine="400" w:firstLineChars="200"/>
        <w:jc w:val="both"/>
        <w:rPr>
          <w:color w:val="000000" w:themeColor="text1"/>
        </w:rPr>
      </w:pPr>
      <w:r>
        <w:rPr>
          <w:color w:val="000000" w:themeColor="text1"/>
        </w:rPr>
        <w:t xml:space="preserve">Utilizing the unchanged training samples selected for each year from 2015 to 2020, we produced spatio-temporally continuous GEDI AGBD maps and </w:t>
      </w:r>
      <w:r>
        <w:rPr>
          <w:rFonts w:hint="eastAsia"/>
          <w:color w:val="000000" w:themeColor="text1"/>
        </w:rPr>
        <w:t>an</w:t>
      </w:r>
      <w:r>
        <w:rPr>
          <w:color w:val="000000" w:themeColor="text1"/>
        </w:rPr>
        <w:t xml:space="preserve"> AGB net change map for the period from 2015 to 2020, employing the most efficient </w:t>
      </w:r>
      <w:r>
        <w:rPr>
          <w:color w:val="000000" w:themeColor="text1"/>
        </w:rPr>
        <w:pict>
          <v:shape id="_x0000_s8799" o:spid="_x0000_s8799" o:spt="202" type="#_x0000_t202" style="position:absolute;left:0pt;height:552.4pt;width:518.25pt;mso-position-horizontal:center;mso-position-horizontal-relative:margin;mso-position-vertical:top;mso-position-vertical-relative:margin;mso-wrap-distance-bottom:0pt;mso-wrap-distance-left:9pt;mso-wrap-distance-right:9pt;mso-wrap-distance-top:0pt;z-index:251673600;mso-width-relative:page;mso-height-relative:page;" stroked="f" coordsize="21600,21600">
            <v:path/>
            <v:fill focussize="0,0"/>
            <v:stroke on="f" joinstyle="miter"/>
            <v:imagedata o:title=""/>
            <o:lock v:ext="edit"/>
            <v:textbox inset="0mm,0mm,0mm,0mm">
              <w:txbxContent>
                <w:p w14:paraId="0F63593E">
                  <w:pPr>
                    <w:jc w:val="center"/>
                    <w:rPr>
                      <w:szCs w:val="21"/>
                    </w:rPr>
                  </w:pPr>
                  <w:r>
                    <w:rPr>
                      <w:szCs w:val="21"/>
                    </w:rPr>
                    <w:drawing>
                      <wp:inline distT="0" distB="0" distL="0" distR="0">
                        <wp:extent cx="6208395" cy="6550660"/>
                        <wp:effectExtent l="0" t="0" r="0" b="0"/>
                        <wp:docPr id="707343729" name="图片 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343729" name="图片 1" descr="地图&#10;&#10;AI 生成的内容可能不正确。"/>
                                <pic:cNvPicPr>
                                  <a:picLocks noChangeAspect="1"/>
                                </pic:cNvPicPr>
                              </pic:nvPicPr>
                              <pic:blipFill>
                                <a:blip r:embed="rId19"/>
                                <a:stretch>
                                  <a:fillRect/>
                                </a:stretch>
                              </pic:blipFill>
                              <pic:spPr>
                                <a:xfrm>
                                  <a:off x="0" y="0"/>
                                  <a:ext cx="6212962" cy="6555464"/>
                                </a:xfrm>
                                <a:prstGeom prst="rect">
                                  <a:avLst/>
                                </a:prstGeom>
                              </pic:spPr>
                            </pic:pic>
                          </a:graphicData>
                        </a:graphic>
                      </wp:inline>
                    </w:drawing>
                  </w:r>
                </w:p>
                <w:p w14:paraId="52FC4BD1">
                  <w:pPr>
                    <w:pStyle w:val="74"/>
                    <w:rPr>
                      <w:color w:val="000000" w:themeColor="text1"/>
                      <w:lang w:eastAsia="zh-CN"/>
                    </w:rPr>
                  </w:pPr>
                  <w:r>
                    <w:rPr>
                      <w:rFonts w:hint="eastAsia"/>
                      <w:b/>
                      <w:bCs/>
                    </w:rPr>
                    <w:t>F</w:t>
                  </w:r>
                  <w:r>
                    <w:rPr>
                      <w:b/>
                      <w:bCs/>
                    </w:rPr>
                    <w:t>ig</w:t>
                  </w:r>
                  <w:r>
                    <w:rPr>
                      <w:b/>
                      <w:bCs/>
                      <w:color w:val="000000" w:themeColor="text1"/>
                    </w:rPr>
                    <w:t>. 1</w:t>
                  </w:r>
                  <w:r>
                    <w:rPr>
                      <w:rFonts w:hint="eastAsia"/>
                      <w:b/>
                      <w:bCs/>
                      <w:color w:val="000000" w:themeColor="text1"/>
                      <w:lang w:eastAsia="zh-CN"/>
                    </w:rPr>
                    <w:t>3</w:t>
                  </w:r>
                  <w:r>
                    <w:rPr>
                      <w:b/>
                      <w:bCs/>
                      <w:color w:val="000000" w:themeColor="text1"/>
                    </w:rPr>
                    <w:t xml:space="preserve">. </w:t>
                  </w:r>
                  <w:r>
                    <w:rPr>
                      <w:color w:val="000000" w:themeColor="text1"/>
                    </w:rPr>
                    <w:t xml:space="preserve">Spatio-temporally continuous </w:t>
                  </w:r>
                  <w:bookmarkStart w:id="45" w:name="_Hlk141103726"/>
                  <w:r>
                    <w:rPr>
                      <w:color w:val="000000" w:themeColor="text1"/>
                    </w:rPr>
                    <w:t xml:space="preserve">GEDI AGBD maps and </w:t>
                  </w:r>
                  <w:r>
                    <w:rPr>
                      <w:rFonts w:hint="eastAsia"/>
                      <w:color w:val="000000" w:themeColor="text1"/>
                      <w:lang w:eastAsia="zh-CN"/>
                    </w:rPr>
                    <w:t>Mann-Kendall (MK) trend analysis of AGBD</w:t>
                  </w:r>
                  <w:r>
                    <w:rPr>
                      <w:color w:val="000000" w:themeColor="text1"/>
                    </w:rPr>
                    <w:t xml:space="preserve"> during 2015-2020</w:t>
                  </w:r>
                  <w:bookmarkEnd w:id="45"/>
                  <w:r>
                    <w:rPr>
                      <w:color w:val="000000" w:themeColor="text1"/>
                    </w:rPr>
                    <w:t xml:space="preserve">. (a) GEDI AGBD map in 2015; (b) GEDI AGBD map in 2016; (c) GEDI AGBD map in 2017; (d) GEDI AGBD map in 2018; (e) GEDI AGBD map in 2019; (f) </w:t>
                  </w:r>
                  <w:r>
                    <w:rPr>
                      <w:rFonts w:hint="eastAsia"/>
                      <w:color w:val="000000" w:themeColor="text1"/>
                      <w:lang w:eastAsia="zh-CN"/>
                    </w:rPr>
                    <w:t>MK</w:t>
                  </w:r>
                  <w:r>
                    <w:rPr>
                      <w:color w:val="000000" w:themeColor="text1"/>
                    </w:rPr>
                    <w:t xml:space="preserve"> trend </w:t>
                  </w:r>
                  <w:r>
                    <w:rPr>
                      <w:rFonts w:hint="eastAsia"/>
                      <w:color w:val="000000" w:themeColor="text1"/>
                      <w:lang w:eastAsia="zh-CN"/>
                    </w:rPr>
                    <w:t>map</w:t>
                  </w:r>
                  <w:r>
                    <w:rPr>
                      <w:color w:val="000000" w:themeColor="text1"/>
                    </w:rPr>
                    <w:t xml:space="preserve"> of </w:t>
                  </w:r>
                  <w:r>
                    <w:rPr>
                      <w:rFonts w:hint="eastAsia"/>
                      <w:color w:val="000000" w:themeColor="text1"/>
                      <w:lang w:eastAsia="zh-CN"/>
                    </w:rPr>
                    <w:t xml:space="preserve">annual </w:t>
                  </w:r>
                  <w:r>
                    <w:rPr>
                      <w:color w:val="000000" w:themeColor="text1"/>
                    </w:rPr>
                    <w:t>AGBD during 2015-2020. The last two rows are zoomed areas of estimated GEDI AGBD maps and AGB</w:t>
                  </w:r>
                  <w:r>
                    <w:rPr>
                      <w:rFonts w:hint="eastAsia"/>
                      <w:color w:val="000000" w:themeColor="text1"/>
                      <w:lang w:eastAsia="zh-CN"/>
                    </w:rPr>
                    <w:t>D</w:t>
                  </w:r>
                  <w:r>
                    <w:rPr>
                      <w:color w:val="000000" w:themeColor="text1"/>
                    </w:rPr>
                    <w:t xml:space="preserve"> </w:t>
                  </w:r>
                  <w:r>
                    <w:rPr>
                      <w:rFonts w:hint="eastAsia"/>
                      <w:color w:val="000000" w:themeColor="text1"/>
                      <w:lang w:eastAsia="zh-CN"/>
                    </w:rPr>
                    <w:t>MK trend</w:t>
                  </w:r>
                  <w:r>
                    <w:rPr>
                      <w:color w:val="000000" w:themeColor="text1"/>
                    </w:rPr>
                    <w:t xml:space="preserve"> maps during 2015-2020.</w:t>
                  </w:r>
                </w:p>
              </w:txbxContent>
            </v:textbox>
            <w10:wrap type="square"/>
          </v:shape>
        </w:pict>
      </w:r>
      <w:r>
        <w:rPr>
          <w:color w:val="000000" w:themeColor="text1"/>
        </w:rPr>
        <w:t>method of CNN_spatial (see Fig. 1</w:t>
      </w:r>
      <w:r>
        <w:rPr>
          <w:rFonts w:hint="eastAsia"/>
          <w:color w:val="000000" w:themeColor="text1"/>
          <w:lang w:eastAsia="zh-CN"/>
        </w:rPr>
        <w:t>3</w:t>
      </w:r>
      <w:r>
        <w:rPr>
          <w:color w:val="000000" w:themeColor="text1"/>
        </w:rPr>
        <w:t xml:space="preserve">). With the training samples from 2020, a straightforward approach involves using all of them to predict the GEDI AGBD map for each year from 2015 to 2020. This approach is employed for comparison with the results derived from the selected unchanged training samples. Table </w: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4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IV</w:t>
      </w:r>
      <w:r>
        <w:rPr>
          <w:color w:val="000000" w:themeColor="text1"/>
        </w:rPr>
        <w:fldChar w:fldCharType="end"/>
      </w:r>
      <w:r>
        <w:rPr>
          <w:color w:val="000000" w:themeColor="text1"/>
        </w:rPr>
        <w:t xml:space="preserve"> displays the corresponding accuracy assessments for various years. The results for all years from 2015 to 2020, which are based on the selected unchanged training samples, achieve higher levels of accuracy in comparison to those obtained by directly using training data from 2020. This observation highlights the superiority of the proposed method in accurately estimating time-series GEDI AGBD.</w:t>
      </w:r>
    </w:p>
    <w:p w14:paraId="56C72FC8">
      <w:pPr>
        <w:ind w:firstLine="400" w:firstLineChars="200"/>
        <w:jc w:val="both"/>
        <w:rPr>
          <w:color w:val="000000" w:themeColor="text1"/>
          <w:lang w:eastAsia="zh-CN"/>
        </w:rPr>
      </w:pPr>
      <w:r>
        <w:rPr>
          <w:color w:val="000000" w:themeColor="text1"/>
        </w:rPr>
        <w:t>The annual GEDI AGBD maps shown in Fig. 1</w:t>
      </w:r>
      <w:r>
        <w:rPr>
          <w:rFonts w:hint="eastAsia"/>
          <w:color w:val="000000" w:themeColor="text1"/>
          <w:lang w:eastAsia="zh-CN"/>
        </w:rPr>
        <w:t xml:space="preserve">3 </w:t>
      </w:r>
      <w:r>
        <w:rPr>
          <w:color w:val="000000" w:themeColor="text1"/>
        </w:rPr>
        <w:t xml:space="preserve">exhibit a comparable spatial distribution and overall range of change. Even though the unchanged training and validation samples differ across the years from 2015 to 2020, as indicated in Table </w:t>
      </w: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4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IV</w:t>
      </w:r>
      <w:r>
        <w:rPr>
          <w:color w:val="000000" w:themeColor="text1"/>
        </w:rPr>
        <w:fldChar w:fldCharType="end"/>
      </w:r>
      <w:r>
        <w:rPr>
          <w:color w:val="000000" w:themeColor="text1"/>
        </w:rPr>
        <w:t xml:space="preserve">, the annual GEDI AGBD maps consistently exhibit similar accuracy levels, with </w:t>
      </w:r>
      <w:r>
        <w:rPr>
          <w:i/>
          <w:iCs/>
          <w:color w:val="000000" w:themeColor="text1"/>
        </w:rPr>
        <w:t>R</w:t>
      </w:r>
      <w:r>
        <w:rPr>
          <w:color w:val="000000" w:themeColor="text1"/>
          <w:vertAlign w:val="superscript"/>
        </w:rPr>
        <w:t>2</w:t>
      </w:r>
      <w:r>
        <w:rPr>
          <w:color w:val="000000" w:themeColor="text1"/>
        </w:rPr>
        <w:t xml:space="preserve"> values exceeding 0.82 in all cases. Notably, the annual GEDI AGBD maps also offer insights into the annual dynamics of AGBD from 2015 to 2020. For instance, the zoomed areas of I and II show consistent AGBD increment during this period. </w:t>
      </w:r>
      <w:bookmarkStart w:id="25" w:name="_Hlk121682509"/>
      <w:r>
        <w:rPr>
          <w:color w:val="000000" w:themeColor="text1"/>
        </w:rPr>
        <w:t>The regions with high AGBD also exhibit significant changes from 2015 to 2020, as exemplified in zoomed area I.</w:t>
      </w:r>
      <w:bookmarkEnd w:id="25"/>
      <w:r>
        <w:rPr>
          <w:color w:val="000000" w:themeColor="text1"/>
        </w:rPr>
        <w:t xml:space="preserve"> The Mann-Kendall (MK) trend map of the annual GEDI AGBD, </w:t>
      </w:r>
      <w:r>
        <w:rPr>
          <w:color w:val="000000" w:themeColor="text1"/>
        </w:rPr>
        <w:pict>
          <v:shape id="_x0000_s8803" o:spid="_x0000_s8803" o:spt="202" type="#_x0000_t202" style="position:absolute;left:0pt;height:392.2pt;width:518.25pt;mso-position-horizontal:center;mso-position-horizontal-relative:margin;mso-position-vertical:top;mso-position-vertical-relative:margin;mso-wrap-distance-bottom:0pt;mso-wrap-distance-left:9pt;mso-wrap-distance-right:9pt;mso-wrap-distance-top:0pt;z-index:251676672;mso-width-relative:page;mso-height-relative:page;" stroked="f" coordsize="21600,21600">
            <v:path/>
            <v:fill focussize="0,0"/>
            <v:stroke on="f" joinstyle="miter"/>
            <v:imagedata o:title=""/>
            <o:lock v:ext="edit"/>
            <v:textbox inset="0mm,0mm,0mm,0mm">
              <w:txbxContent>
                <w:p w14:paraId="6A599C28">
                  <w:pPr>
                    <w:spacing w:line="360" w:lineRule="auto"/>
                    <w:jc w:val="center"/>
                    <w:rPr>
                      <w:szCs w:val="21"/>
                    </w:rPr>
                  </w:pPr>
                  <w:r>
                    <w:rPr>
                      <w:szCs w:val="21"/>
                    </w:rPr>
                    <w:drawing>
                      <wp:inline distT="0" distB="0" distL="0" distR="0">
                        <wp:extent cx="5407660" cy="4496435"/>
                        <wp:effectExtent l="0" t="0" r="2540" b="0"/>
                        <wp:docPr id="1613455567" name="图片 1613455567" descr="图示, 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55567" name="图片 1613455567" descr="图示, 地图&#10;&#10;AI 生成的内容可能不正确。"/>
                                <pic:cNvPicPr>
                                  <a:picLocks noChangeAspect="1"/>
                                </pic:cNvPicPr>
                              </pic:nvPicPr>
                              <pic:blipFill>
                                <a:blip r:embed="rId20"/>
                                <a:stretch>
                                  <a:fillRect/>
                                </a:stretch>
                              </pic:blipFill>
                              <pic:spPr>
                                <a:xfrm>
                                  <a:off x="0" y="0"/>
                                  <a:ext cx="5411247" cy="4499166"/>
                                </a:xfrm>
                                <a:prstGeom prst="rect">
                                  <a:avLst/>
                                </a:prstGeom>
                              </pic:spPr>
                            </pic:pic>
                          </a:graphicData>
                        </a:graphic>
                      </wp:inline>
                    </w:drawing>
                  </w:r>
                </w:p>
                <w:p w14:paraId="0AC8A2F2">
                  <w:pPr>
                    <w:pStyle w:val="74"/>
                    <w:rPr>
                      <w:lang w:eastAsia="zh-CN"/>
                    </w:rPr>
                  </w:pPr>
                  <w:r>
                    <w:rPr>
                      <w:rFonts w:hint="eastAsia"/>
                      <w:b/>
                      <w:bCs/>
                    </w:rPr>
                    <w:t>F</w:t>
                  </w:r>
                  <w:r>
                    <w:rPr>
                      <w:b/>
                      <w:bCs/>
                    </w:rPr>
                    <w:t>i</w:t>
                  </w:r>
                  <w:r>
                    <w:rPr>
                      <w:b/>
                      <w:bCs/>
                      <w:color w:val="000000" w:themeColor="text1"/>
                    </w:rPr>
                    <w:t>g. 1</w:t>
                  </w:r>
                  <w:r>
                    <w:rPr>
                      <w:rFonts w:hint="eastAsia"/>
                      <w:b/>
                      <w:bCs/>
                      <w:color w:val="000000" w:themeColor="text1"/>
                      <w:lang w:eastAsia="zh-CN"/>
                    </w:rPr>
                    <w:t>4</w:t>
                  </w:r>
                  <w:r>
                    <w:rPr>
                      <w:b/>
                      <w:bCs/>
                      <w:color w:val="000000" w:themeColor="text1"/>
                    </w:rPr>
                    <w:t xml:space="preserve">. </w:t>
                  </w:r>
                  <w:r>
                    <w:rPr>
                      <w:color w:val="000000" w:themeColor="text1"/>
                    </w:rPr>
                    <w:t>Standard error of annual GEDI AGBD maps estimated by CNN_spatial regression during 2015-2020. (a) Standard error of GEDI AGBD in 2015; (b) Standard error of GEDI AGBD in 2016; (c) Standard error of GEDI AGBD in 2017; (d) Standard error of GEDI AGBD in 2018; (e) Standard error of GEDI AGBD in 2019; (f) Standard error</w:t>
                  </w:r>
                  <w:r>
                    <w:t xml:space="preserve"> of GEDI AGBD in 2020.</w:t>
                  </w:r>
                </w:p>
              </w:txbxContent>
            </v:textbox>
            <w10:wrap type="square"/>
          </v:shape>
        </w:pict>
      </w:r>
      <w:r>
        <w:rPr>
          <w:color w:val="000000" w:themeColor="text1"/>
        </w:rPr>
        <w:t>as shown in Fig. 1</w:t>
      </w:r>
      <w:r>
        <w:rPr>
          <w:rFonts w:hint="eastAsia"/>
          <w:color w:val="000000" w:themeColor="text1"/>
          <w:lang w:eastAsia="zh-CN"/>
        </w:rPr>
        <w:t>3</w:t>
      </w:r>
      <w:r>
        <w:rPr>
          <w:color w:val="000000" w:themeColor="text1"/>
        </w:rPr>
        <w:t>(f), reveals</w:t>
      </w:r>
      <w:r>
        <w:rPr>
          <w:rFonts w:hint="eastAsia"/>
          <w:color w:val="000000" w:themeColor="text1"/>
          <w:lang w:eastAsia="zh-CN"/>
        </w:rPr>
        <w:t xml:space="preserve"> </w:t>
      </w:r>
      <w:r>
        <w:rPr>
          <w:color w:val="000000" w:themeColor="text1"/>
        </w:rPr>
        <w:t>several</w:t>
      </w:r>
      <w:r>
        <w:rPr>
          <w:rFonts w:hint="eastAsia"/>
          <w:color w:val="000000" w:themeColor="text1"/>
          <w:lang w:eastAsia="zh-CN"/>
        </w:rPr>
        <w:t xml:space="preserve"> </w:t>
      </w:r>
      <w:r>
        <w:rPr>
          <w:color w:val="000000" w:themeColor="text1"/>
        </w:rPr>
        <w:t>hot-spots with significant increases and decreases in AGBD.</w:t>
      </w:r>
      <w:r>
        <w:rPr>
          <w:rFonts w:hint="eastAsia"/>
          <w:color w:val="000000" w:themeColor="text1"/>
          <w:lang w:eastAsia="zh-CN"/>
        </w:rPr>
        <w:t xml:space="preserve"> </w:t>
      </w:r>
      <w:bookmarkStart w:id="26" w:name="_Hlk211785622"/>
      <w:r>
        <w:rPr>
          <w:rFonts w:hint="eastAsia"/>
          <w:color w:val="000000" w:themeColor="text1"/>
          <w:lang w:eastAsia="zh-CN"/>
        </w:rPr>
        <w:t xml:space="preserve">From 2015 to 2020, </w:t>
      </w:r>
      <w:r>
        <w:rPr>
          <w:color w:val="000000" w:themeColor="text1"/>
          <w:lang w:eastAsia="zh-CN"/>
        </w:rPr>
        <w:t xml:space="preserve">more than 96% </w:t>
      </w:r>
      <w:r>
        <w:rPr>
          <w:rFonts w:hint="eastAsia"/>
          <w:color w:val="000000" w:themeColor="text1"/>
          <w:lang w:eastAsia="zh-CN"/>
        </w:rPr>
        <w:t xml:space="preserve">pixels </w:t>
      </w:r>
      <w:r>
        <w:rPr>
          <w:color w:val="000000" w:themeColor="text1"/>
          <w:lang w:eastAsia="zh-CN"/>
        </w:rPr>
        <w:t>of the Han River Basin exhibited insignificant changes in AGBD.</w:t>
      </w:r>
      <w:r>
        <w:rPr>
          <w:color w:val="000000" w:themeColor="text1"/>
        </w:rPr>
        <w:t xml:space="preserve"> </w:t>
      </w:r>
      <w:r>
        <w:rPr>
          <w:rFonts w:hint="eastAsia"/>
          <w:color w:val="000000" w:themeColor="text1"/>
          <w:lang w:eastAsia="zh-CN"/>
        </w:rPr>
        <w:t xml:space="preserve">Only about 1% of pixels showed </w:t>
      </w:r>
      <w:r>
        <w:rPr>
          <w:color w:val="000000" w:themeColor="text1"/>
          <w:lang w:eastAsia="zh-CN"/>
        </w:rPr>
        <w:t>significant</w:t>
      </w:r>
      <w:r>
        <w:rPr>
          <w:rFonts w:hint="eastAsia"/>
          <w:color w:val="000000" w:themeColor="text1"/>
          <w:lang w:eastAsia="zh-CN"/>
        </w:rPr>
        <w:t xml:space="preserve"> increases or decreases at the 95% </w:t>
      </w:r>
      <w:r>
        <w:rPr>
          <w:color w:val="000000" w:themeColor="text1"/>
          <w:lang w:eastAsia="zh-CN"/>
        </w:rPr>
        <w:t>confidence interval</w:t>
      </w:r>
      <w:r>
        <w:rPr>
          <w:rFonts w:hint="eastAsia"/>
          <w:color w:val="000000" w:themeColor="text1"/>
          <w:lang w:eastAsia="zh-CN"/>
        </w:rPr>
        <w:t xml:space="preserve">, while the percentage would be 3.4% when focusing on relatively significant change with 90% </w:t>
      </w:r>
      <w:r>
        <w:rPr>
          <w:color w:val="000000" w:themeColor="text1"/>
          <w:lang w:eastAsia="zh-CN"/>
        </w:rPr>
        <w:t>confidence interval</w:t>
      </w:r>
      <w:r>
        <w:rPr>
          <w:rFonts w:hint="eastAsia"/>
          <w:color w:val="000000" w:themeColor="text1"/>
          <w:lang w:eastAsia="zh-CN"/>
        </w:rPr>
        <w:t xml:space="preserve">. Overall, 2.16% of AGBD pixels experienced a relatively significant increase, while </w:t>
      </w:r>
      <w:r>
        <w:rPr>
          <w:color w:val="000000" w:themeColor="text1"/>
          <w:lang w:eastAsia="zh-CN"/>
        </w:rPr>
        <w:t>1.24% showed a relatively significant decrease.</w:t>
      </w:r>
      <w:r>
        <w:rPr>
          <w:rFonts w:hint="eastAsia"/>
          <w:color w:val="000000" w:themeColor="text1"/>
          <w:lang w:eastAsia="zh-CN"/>
        </w:rPr>
        <w:t xml:space="preserve"> As shown in </w:t>
      </w:r>
      <w:r>
        <w:rPr>
          <w:color w:val="000000" w:themeColor="text1"/>
        </w:rPr>
        <w:t>Fig. 1</w:t>
      </w:r>
      <w:r>
        <w:rPr>
          <w:rFonts w:hint="eastAsia"/>
          <w:color w:val="000000" w:themeColor="text1"/>
          <w:lang w:eastAsia="zh-CN"/>
        </w:rPr>
        <w:t>3</w:t>
      </w:r>
      <w:r>
        <w:rPr>
          <w:color w:val="000000" w:themeColor="text1"/>
        </w:rPr>
        <w:t>(f)</w:t>
      </w:r>
      <w:r>
        <w:rPr>
          <w:rFonts w:hint="eastAsia"/>
          <w:color w:val="000000" w:themeColor="text1"/>
          <w:lang w:eastAsia="zh-CN"/>
        </w:rPr>
        <w:t xml:space="preserve">, the </w:t>
      </w:r>
      <w:r>
        <w:rPr>
          <w:color w:val="000000" w:themeColor="text1"/>
        </w:rPr>
        <w:t>AGB</w:t>
      </w:r>
      <w:r>
        <w:rPr>
          <w:rFonts w:hint="eastAsia"/>
          <w:color w:val="000000" w:themeColor="text1"/>
          <w:lang w:eastAsia="zh-CN"/>
        </w:rPr>
        <w:t>D</w:t>
      </w:r>
      <w:r>
        <w:rPr>
          <w:color w:val="000000" w:themeColor="text1"/>
        </w:rPr>
        <w:t xml:space="preserve"> </w:t>
      </w:r>
      <w:r>
        <w:rPr>
          <w:rFonts w:hint="eastAsia"/>
          <w:color w:val="000000" w:themeColor="text1"/>
          <w:lang w:eastAsia="zh-CN"/>
        </w:rPr>
        <w:t>MK</w:t>
      </w:r>
      <w:r>
        <w:rPr>
          <w:color w:val="000000" w:themeColor="text1"/>
        </w:rPr>
        <w:t xml:space="preserve"> </w:t>
      </w:r>
      <w:r>
        <w:rPr>
          <w:rFonts w:hint="eastAsia"/>
          <w:color w:val="000000" w:themeColor="text1"/>
          <w:lang w:eastAsia="zh-CN"/>
        </w:rPr>
        <w:t xml:space="preserve">trend of </w:t>
      </w:r>
      <w:r>
        <w:rPr>
          <w:color w:val="000000" w:themeColor="text1"/>
        </w:rPr>
        <w:t xml:space="preserve">increases were </w:t>
      </w:r>
      <w:r>
        <w:rPr>
          <w:rFonts w:hint="eastAsia"/>
          <w:color w:val="000000" w:themeColor="text1"/>
          <w:lang w:eastAsia="zh-CN"/>
        </w:rPr>
        <w:t>observed</w:t>
      </w:r>
      <w:r>
        <w:rPr>
          <w:color w:val="000000" w:themeColor="text1"/>
        </w:rPr>
        <w:t xml:space="preserve"> in the northern, western and central regions of the </w:t>
      </w:r>
      <w:r>
        <w:rPr>
          <w:rFonts w:hint="eastAsia"/>
          <w:color w:val="000000" w:themeColor="text1"/>
        </w:rPr>
        <w:t>Ha</w:t>
      </w:r>
      <w:r>
        <w:rPr>
          <w:color w:val="000000" w:themeColor="text1"/>
        </w:rPr>
        <w:t>n River Basin, while AGB decreases were primarily observed in the southern, northwestern and northeastern areas.</w:t>
      </w:r>
      <w:bookmarkEnd w:id="26"/>
      <w:r>
        <w:rPr>
          <w:color w:val="000000" w:themeColor="text1"/>
        </w:rPr>
        <w:pict>
          <v:shape id="_x0000_s8801" o:spid="_x0000_s8801" o:spt="202" type="#_x0000_t202" style="position:absolute;left:0pt;height:133.75pt;width:516.05pt;mso-position-horizontal:center;mso-position-horizontal-relative:margin;mso-position-vertical:bottom;mso-position-vertical-relative:margin;mso-wrap-distance-bottom:0pt;mso-wrap-distance-left:9pt;mso-wrap-distance-right:9pt;mso-wrap-distance-top:0pt;z-index:251674624;mso-width-relative:page;mso-height-relative:page;" stroked="f" coordsize="21600,21600">
            <v:path/>
            <v:fill focussize="0,0"/>
            <v:stroke on="f" joinstyle="miter"/>
            <v:imagedata o:title=""/>
            <o:lock v:ext="edit"/>
            <v:textbox inset="0mm,0mm,0mm,0mm">
              <w:txbxContent>
                <w:p w14:paraId="3C78497B">
                  <w:pPr>
                    <w:pStyle w:val="66"/>
                  </w:pPr>
                  <w:r>
                    <w:rPr>
                      <w:rFonts w:hint="eastAsia"/>
                    </w:rPr>
                    <w:t>T</w:t>
                  </w:r>
                  <w:r>
                    <w:t xml:space="preserve">able </w:t>
                  </w:r>
                  <w:r>
                    <w:fldChar w:fldCharType="begin"/>
                  </w:r>
                  <w:r>
                    <w:rPr>
                      <w:lang w:eastAsia="zh-CN"/>
                    </w:rPr>
                    <w:instrText xml:space="preserve"> </w:instrText>
                  </w:r>
                  <w:r>
                    <w:rPr>
                      <w:rFonts w:hint="eastAsia"/>
                      <w:lang w:eastAsia="zh-CN"/>
                    </w:rPr>
                    <w:instrText xml:space="preserve">= 4 \* ROMAN</w:instrText>
                  </w:r>
                  <w:r>
                    <w:rPr>
                      <w:lang w:eastAsia="zh-CN"/>
                    </w:rPr>
                    <w:instrText xml:space="preserve"> </w:instrText>
                  </w:r>
                  <w:r>
                    <w:fldChar w:fldCharType="separate"/>
                  </w:r>
                  <w:r>
                    <w:rPr>
                      <w:lang w:eastAsia="zh-CN"/>
                    </w:rPr>
                    <w:t>IV</w:t>
                  </w:r>
                  <w:r>
                    <w:fldChar w:fldCharType="end"/>
                  </w:r>
                </w:p>
                <w:p w14:paraId="6DA7C175">
                  <w:pPr>
                    <w:pStyle w:val="67"/>
                  </w:pPr>
                  <w:r>
                    <w:t xml:space="preserve"> Accuracy assessment of GEDI AGBD maps during 2015-2020 estimated by CNN_spatial based on unchanged samples in each predicting year and existing samples in 2020.</w:t>
                  </w:r>
                </w:p>
                <w:tbl>
                  <w:tblPr>
                    <w:tblStyle w:val="20"/>
                    <w:tblW w:w="10720" w:type="dxa"/>
                    <w:jc w:val="center"/>
                    <w:tblLayout w:type="autofit"/>
                    <w:tblCellMar>
                      <w:top w:w="0" w:type="dxa"/>
                      <w:left w:w="108" w:type="dxa"/>
                      <w:bottom w:w="0" w:type="dxa"/>
                      <w:right w:w="108" w:type="dxa"/>
                    </w:tblCellMar>
                  </w:tblPr>
                  <w:tblGrid>
                    <w:gridCol w:w="920"/>
                    <w:gridCol w:w="976"/>
                    <w:gridCol w:w="984"/>
                    <w:gridCol w:w="976"/>
                    <w:gridCol w:w="984"/>
                    <w:gridCol w:w="976"/>
                    <w:gridCol w:w="984"/>
                    <w:gridCol w:w="976"/>
                    <w:gridCol w:w="984"/>
                    <w:gridCol w:w="976"/>
                    <w:gridCol w:w="984"/>
                  </w:tblGrid>
                  <w:tr w14:paraId="6DB0A56C">
                    <w:tblPrEx>
                      <w:tblCellMar>
                        <w:top w:w="0" w:type="dxa"/>
                        <w:left w:w="108" w:type="dxa"/>
                        <w:bottom w:w="0" w:type="dxa"/>
                        <w:right w:w="108" w:type="dxa"/>
                      </w:tblCellMar>
                    </w:tblPrEx>
                    <w:trPr>
                      <w:trHeight w:val="231" w:hRule="atLeast"/>
                      <w:jc w:val="center"/>
                    </w:trPr>
                    <w:tc>
                      <w:tcPr>
                        <w:tcW w:w="920" w:type="dxa"/>
                        <w:vMerge w:val="restart"/>
                        <w:tcBorders>
                          <w:top w:val="single" w:color="auto" w:sz="4" w:space="0"/>
                          <w:left w:val="nil"/>
                          <w:bottom w:val="single" w:color="000000" w:sz="4" w:space="0"/>
                          <w:right w:val="nil"/>
                        </w:tcBorders>
                        <w:noWrap/>
                        <w:vAlign w:val="center"/>
                      </w:tcPr>
                      <w:p w14:paraId="57B5942C">
                        <w:pPr>
                          <w:jc w:val="center"/>
                          <w:rPr>
                            <w:rFonts w:eastAsia="等线"/>
                            <w:sz w:val="16"/>
                            <w:szCs w:val="16"/>
                          </w:rPr>
                        </w:pPr>
                        <w:r>
                          <w:rPr>
                            <w:rFonts w:hint="eastAsia" w:eastAsia="等线"/>
                            <w:sz w:val="16"/>
                            <w:szCs w:val="16"/>
                          </w:rPr>
                          <w:t>I</w:t>
                        </w:r>
                        <w:r>
                          <w:rPr>
                            <w:rFonts w:eastAsia="等线"/>
                            <w:sz w:val="16"/>
                            <w:szCs w:val="16"/>
                          </w:rPr>
                          <w:t>ndex</w:t>
                        </w:r>
                      </w:p>
                    </w:tc>
                    <w:tc>
                      <w:tcPr>
                        <w:tcW w:w="1960" w:type="dxa"/>
                        <w:gridSpan w:val="2"/>
                        <w:tcBorders>
                          <w:top w:val="single" w:color="auto" w:sz="4" w:space="0"/>
                          <w:left w:val="nil"/>
                          <w:bottom w:val="single" w:color="auto" w:sz="4" w:space="0"/>
                          <w:right w:val="nil"/>
                        </w:tcBorders>
                        <w:vAlign w:val="center"/>
                      </w:tcPr>
                      <w:p w14:paraId="6C0240C3">
                        <w:pPr>
                          <w:jc w:val="center"/>
                          <w:rPr>
                            <w:rFonts w:eastAsia="等线"/>
                            <w:sz w:val="16"/>
                            <w:szCs w:val="16"/>
                          </w:rPr>
                        </w:pPr>
                        <w:r>
                          <w:rPr>
                            <w:rFonts w:eastAsia="等线"/>
                            <w:sz w:val="16"/>
                            <w:szCs w:val="16"/>
                          </w:rPr>
                          <w:t>2015</w:t>
                        </w:r>
                      </w:p>
                    </w:tc>
                    <w:tc>
                      <w:tcPr>
                        <w:tcW w:w="1960" w:type="dxa"/>
                        <w:gridSpan w:val="2"/>
                        <w:tcBorders>
                          <w:top w:val="single" w:color="auto" w:sz="4" w:space="0"/>
                          <w:left w:val="nil"/>
                          <w:bottom w:val="single" w:color="auto" w:sz="4" w:space="0"/>
                          <w:right w:val="nil"/>
                        </w:tcBorders>
                        <w:vAlign w:val="center"/>
                      </w:tcPr>
                      <w:p w14:paraId="2D7B5E72">
                        <w:pPr>
                          <w:jc w:val="center"/>
                          <w:rPr>
                            <w:rFonts w:eastAsia="等线"/>
                            <w:sz w:val="16"/>
                            <w:szCs w:val="16"/>
                          </w:rPr>
                        </w:pPr>
                        <w:r>
                          <w:rPr>
                            <w:rFonts w:eastAsia="等线"/>
                            <w:sz w:val="16"/>
                            <w:szCs w:val="16"/>
                          </w:rPr>
                          <w:t>2016</w:t>
                        </w:r>
                      </w:p>
                    </w:tc>
                    <w:tc>
                      <w:tcPr>
                        <w:tcW w:w="1960" w:type="dxa"/>
                        <w:gridSpan w:val="2"/>
                        <w:tcBorders>
                          <w:top w:val="single" w:color="auto" w:sz="4" w:space="0"/>
                          <w:left w:val="nil"/>
                          <w:bottom w:val="single" w:color="auto" w:sz="4" w:space="0"/>
                          <w:right w:val="nil"/>
                        </w:tcBorders>
                        <w:vAlign w:val="center"/>
                      </w:tcPr>
                      <w:p w14:paraId="70E2FA93">
                        <w:pPr>
                          <w:jc w:val="center"/>
                          <w:rPr>
                            <w:rFonts w:eastAsia="等线"/>
                            <w:sz w:val="16"/>
                            <w:szCs w:val="16"/>
                          </w:rPr>
                        </w:pPr>
                        <w:r>
                          <w:rPr>
                            <w:rFonts w:eastAsia="等线"/>
                            <w:sz w:val="16"/>
                            <w:szCs w:val="16"/>
                          </w:rPr>
                          <w:t>2017</w:t>
                        </w:r>
                      </w:p>
                    </w:tc>
                    <w:tc>
                      <w:tcPr>
                        <w:tcW w:w="1960" w:type="dxa"/>
                        <w:gridSpan w:val="2"/>
                        <w:tcBorders>
                          <w:top w:val="single" w:color="auto" w:sz="4" w:space="0"/>
                          <w:left w:val="nil"/>
                          <w:bottom w:val="single" w:color="auto" w:sz="4" w:space="0"/>
                          <w:right w:val="nil"/>
                        </w:tcBorders>
                        <w:vAlign w:val="center"/>
                      </w:tcPr>
                      <w:p w14:paraId="4EB3DE53">
                        <w:pPr>
                          <w:jc w:val="center"/>
                          <w:rPr>
                            <w:rFonts w:eastAsia="等线"/>
                            <w:sz w:val="16"/>
                            <w:szCs w:val="16"/>
                          </w:rPr>
                        </w:pPr>
                        <w:r>
                          <w:rPr>
                            <w:rFonts w:eastAsia="等线"/>
                            <w:sz w:val="16"/>
                            <w:szCs w:val="16"/>
                          </w:rPr>
                          <w:t>2018</w:t>
                        </w:r>
                      </w:p>
                    </w:tc>
                    <w:tc>
                      <w:tcPr>
                        <w:tcW w:w="1960" w:type="dxa"/>
                        <w:gridSpan w:val="2"/>
                        <w:tcBorders>
                          <w:top w:val="single" w:color="auto" w:sz="4" w:space="0"/>
                          <w:left w:val="nil"/>
                          <w:bottom w:val="single" w:color="auto" w:sz="4" w:space="0"/>
                          <w:right w:val="nil"/>
                        </w:tcBorders>
                        <w:vAlign w:val="center"/>
                      </w:tcPr>
                      <w:p w14:paraId="6564F8FB">
                        <w:pPr>
                          <w:jc w:val="center"/>
                          <w:rPr>
                            <w:rFonts w:eastAsia="等线"/>
                            <w:sz w:val="16"/>
                            <w:szCs w:val="16"/>
                          </w:rPr>
                        </w:pPr>
                        <w:r>
                          <w:rPr>
                            <w:rFonts w:eastAsia="等线"/>
                            <w:sz w:val="16"/>
                            <w:szCs w:val="16"/>
                          </w:rPr>
                          <w:t>2019</w:t>
                        </w:r>
                      </w:p>
                    </w:tc>
                  </w:tr>
                  <w:tr w14:paraId="110D3B56">
                    <w:tblPrEx>
                      <w:tblCellMar>
                        <w:top w:w="0" w:type="dxa"/>
                        <w:left w:w="108" w:type="dxa"/>
                        <w:bottom w:w="0" w:type="dxa"/>
                        <w:right w:w="108" w:type="dxa"/>
                      </w:tblCellMar>
                    </w:tblPrEx>
                    <w:trPr>
                      <w:trHeight w:val="231" w:hRule="atLeast"/>
                      <w:jc w:val="center"/>
                    </w:trPr>
                    <w:tc>
                      <w:tcPr>
                        <w:tcW w:w="920" w:type="dxa"/>
                        <w:vMerge w:val="continue"/>
                        <w:tcBorders>
                          <w:top w:val="single" w:color="auto" w:sz="4" w:space="0"/>
                          <w:left w:val="nil"/>
                          <w:bottom w:val="single" w:color="000000" w:sz="4" w:space="0"/>
                          <w:right w:val="nil"/>
                        </w:tcBorders>
                        <w:vAlign w:val="center"/>
                      </w:tcPr>
                      <w:p w14:paraId="2CC7242F">
                        <w:pPr>
                          <w:rPr>
                            <w:rFonts w:eastAsia="等线"/>
                            <w:sz w:val="16"/>
                            <w:szCs w:val="16"/>
                          </w:rPr>
                        </w:pPr>
                      </w:p>
                    </w:tc>
                    <w:tc>
                      <w:tcPr>
                        <w:tcW w:w="976" w:type="dxa"/>
                        <w:tcBorders>
                          <w:top w:val="nil"/>
                          <w:left w:val="nil"/>
                          <w:bottom w:val="single" w:color="auto" w:sz="4" w:space="0"/>
                          <w:right w:val="nil"/>
                        </w:tcBorders>
                        <w:noWrap/>
                        <w:vAlign w:val="center"/>
                      </w:tcPr>
                      <w:p w14:paraId="6EC3F3F7">
                        <w:pPr>
                          <w:jc w:val="center"/>
                          <w:rPr>
                            <w:rFonts w:eastAsia="等线"/>
                            <w:sz w:val="16"/>
                            <w:szCs w:val="16"/>
                          </w:rPr>
                        </w:pPr>
                        <w:r>
                          <w:rPr>
                            <w:rFonts w:eastAsia="等线"/>
                            <w:sz w:val="16"/>
                            <w:szCs w:val="16"/>
                          </w:rPr>
                          <w:t>2020 samples</w:t>
                        </w:r>
                      </w:p>
                    </w:tc>
                    <w:tc>
                      <w:tcPr>
                        <w:tcW w:w="983" w:type="dxa"/>
                        <w:tcBorders>
                          <w:top w:val="nil"/>
                          <w:left w:val="nil"/>
                          <w:bottom w:val="single" w:color="auto" w:sz="4" w:space="0"/>
                          <w:right w:val="nil"/>
                        </w:tcBorders>
                        <w:noWrap/>
                        <w:vAlign w:val="center"/>
                      </w:tcPr>
                      <w:p w14:paraId="6E734336">
                        <w:pPr>
                          <w:jc w:val="center"/>
                          <w:rPr>
                            <w:rFonts w:eastAsia="等线"/>
                            <w:sz w:val="16"/>
                            <w:szCs w:val="16"/>
                          </w:rPr>
                        </w:pPr>
                        <w:r>
                          <w:rPr>
                            <w:rFonts w:eastAsia="等线"/>
                            <w:sz w:val="16"/>
                            <w:szCs w:val="16"/>
                          </w:rPr>
                          <w:t>2015 samples</w:t>
                        </w:r>
                      </w:p>
                    </w:tc>
                    <w:tc>
                      <w:tcPr>
                        <w:tcW w:w="976" w:type="dxa"/>
                        <w:tcBorders>
                          <w:top w:val="nil"/>
                          <w:left w:val="nil"/>
                          <w:bottom w:val="single" w:color="auto" w:sz="4" w:space="0"/>
                          <w:right w:val="nil"/>
                        </w:tcBorders>
                        <w:noWrap/>
                        <w:vAlign w:val="center"/>
                      </w:tcPr>
                      <w:p w14:paraId="56E671D1">
                        <w:pPr>
                          <w:jc w:val="center"/>
                          <w:rPr>
                            <w:rFonts w:eastAsia="等线"/>
                            <w:sz w:val="16"/>
                            <w:szCs w:val="16"/>
                          </w:rPr>
                        </w:pPr>
                        <w:r>
                          <w:rPr>
                            <w:rFonts w:eastAsia="等线"/>
                            <w:sz w:val="16"/>
                            <w:szCs w:val="16"/>
                          </w:rPr>
                          <w:t>2020 samples</w:t>
                        </w:r>
                      </w:p>
                    </w:tc>
                    <w:tc>
                      <w:tcPr>
                        <w:tcW w:w="983" w:type="dxa"/>
                        <w:tcBorders>
                          <w:top w:val="nil"/>
                          <w:left w:val="nil"/>
                          <w:bottom w:val="single" w:color="auto" w:sz="4" w:space="0"/>
                          <w:right w:val="nil"/>
                        </w:tcBorders>
                        <w:noWrap/>
                        <w:vAlign w:val="center"/>
                      </w:tcPr>
                      <w:p w14:paraId="61A93ADC">
                        <w:pPr>
                          <w:jc w:val="center"/>
                          <w:rPr>
                            <w:rFonts w:eastAsia="等线"/>
                            <w:sz w:val="16"/>
                            <w:szCs w:val="16"/>
                          </w:rPr>
                        </w:pPr>
                        <w:r>
                          <w:rPr>
                            <w:rFonts w:eastAsia="等线"/>
                            <w:sz w:val="16"/>
                            <w:szCs w:val="16"/>
                          </w:rPr>
                          <w:t>2016 samples</w:t>
                        </w:r>
                      </w:p>
                    </w:tc>
                    <w:tc>
                      <w:tcPr>
                        <w:tcW w:w="976" w:type="dxa"/>
                        <w:tcBorders>
                          <w:top w:val="nil"/>
                          <w:left w:val="nil"/>
                          <w:bottom w:val="single" w:color="auto" w:sz="4" w:space="0"/>
                          <w:right w:val="nil"/>
                        </w:tcBorders>
                        <w:noWrap/>
                        <w:vAlign w:val="center"/>
                      </w:tcPr>
                      <w:p w14:paraId="34440541">
                        <w:pPr>
                          <w:jc w:val="center"/>
                          <w:rPr>
                            <w:rFonts w:eastAsia="等线"/>
                            <w:sz w:val="16"/>
                            <w:szCs w:val="16"/>
                          </w:rPr>
                        </w:pPr>
                        <w:r>
                          <w:rPr>
                            <w:rFonts w:eastAsia="等线"/>
                            <w:sz w:val="16"/>
                            <w:szCs w:val="16"/>
                          </w:rPr>
                          <w:t>2020 samples</w:t>
                        </w:r>
                      </w:p>
                    </w:tc>
                    <w:tc>
                      <w:tcPr>
                        <w:tcW w:w="983" w:type="dxa"/>
                        <w:tcBorders>
                          <w:top w:val="nil"/>
                          <w:left w:val="nil"/>
                          <w:bottom w:val="single" w:color="auto" w:sz="4" w:space="0"/>
                          <w:right w:val="nil"/>
                        </w:tcBorders>
                        <w:noWrap/>
                        <w:vAlign w:val="center"/>
                      </w:tcPr>
                      <w:p w14:paraId="308A67B4">
                        <w:pPr>
                          <w:jc w:val="center"/>
                          <w:rPr>
                            <w:rFonts w:eastAsia="等线"/>
                            <w:sz w:val="16"/>
                            <w:szCs w:val="16"/>
                          </w:rPr>
                        </w:pPr>
                        <w:r>
                          <w:rPr>
                            <w:rFonts w:eastAsia="等线"/>
                            <w:sz w:val="16"/>
                            <w:szCs w:val="16"/>
                          </w:rPr>
                          <w:t>2017 samples</w:t>
                        </w:r>
                      </w:p>
                    </w:tc>
                    <w:tc>
                      <w:tcPr>
                        <w:tcW w:w="976" w:type="dxa"/>
                        <w:tcBorders>
                          <w:top w:val="nil"/>
                          <w:left w:val="nil"/>
                          <w:bottom w:val="single" w:color="auto" w:sz="4" w:space="0"/>
                          <w:right w:val="nil"/>
                        </w:tcBorders>
                        <w:noWrap/>
                        <w:vAlign w:val="center"/>
                      </w:tcPr>
                      <w:p w14:paraId="48B93D1B">
                        <w:pPr>
                          <w:jc w:val="center"/>
                          <w:rPr>
                            <w:rFonts w:eastAsia="等线"/>
                            <w:sz w:val="16"/>
                            <w:szCs w:val="16"/>
                          </w:rPr>
                        </w:pPr>
                        <w:r>
                          <w:rPr>
                            <w:rFonts w:eastAsia="等线"/>
                            <w:sz w:val="16"/>
                            <w:szCs w:val="16"/>
                          </w:rPr>
                          <w:t>2020 samples</w:t>
                        </w:r>
                      </w:p>
                    </w:tc>
                    <w:tc>
                      <w:tcPr>
                        <w:tcW w:w="983" w:type="dxa"/>
                        <w:tcBorders>
                          <w:top w:val="nil"/>
                          <w:left w:val="nil"/>
                          <w:bottom w:val="single" w:color="auto" w:sz="4" w:space="0"/>
                          <w:right w:val="nil"/>
                        </w:tcBorders>
                        <w:noWrap/>
                        <w:vAlign w:val="center"/>
                      </w:tcPr>
                      <w:p w14:paraId="056A110D">
                        <w:pPr>
                          <w:jc w:val="center"/>
                          <w:rPr>
                            <w:rFonts w:eastAsia="等线"/>
                            <w:sz w:val="16"/>
                            <w:szCs w:val="16"/>
                          </w:rPr>
                        </w:pPr>
                        <w:r>
                          <w:rPr>
                            <w:rFonts w:eastAsia="等线"/>
                            <w:sz w:val="16"/>
                            <w:szCs w:val="16"/>
                          </w:rPr>
                          <w:t>2018 samples</w:t>
                        </w:r>
                      </w:p>
                    </w:tc>
                    <w:tc>
                      <w:tcPr>
                        <w:tcW w:w="976" w:type="dxa"/>
                        <w:tcBorders>
                          <w:top w:val="nil"/>
                          <w:left w:val="nil"/>
                          <w:bottom w:val="single" w:color="auto" w:sz="4" w:space="0"/>
                          <w:right w:val="nil"/>
                        </w:tcBorders>
                        <w:noWrap/>
                        <w:vAlign w:val="center"/>
                      </w:tcPr>
                      <w:p w14:paraId="511CC3D6">
                        <w:pPr>
                          <w:jc w:val="center"/>
                          <w:rPr>
                            <w:rFonts w:eastAsia="等线"/>
                            <w:sz w:val="16"/>
                            <w:szCs w:val="16"/>
                          </w:rPr>
                        </w:pPr>
                        <w:r>
                          <w:rPr>
                            <w:rFonts w:eastAsia="等线"/>
                            <w:sz w:val="16"/>
                            <w:szCs w:val="16"/>
                          </w:rPr>
                          <w:t>2020 samples</w:t>
                        </w:r>
                      </w:p>
                    </w:tc>
                    <w:tc>
                      <w:tcPr>
                        <w:tcW w:w="983" w:type="dxa"/>
                        <w:tcBorders>
                          <w:top w:val="nil"/>
                          <w:left w:val="nil"/>
                          <w:bottom w:val="single" w:color="auto" w:sz="4" w:space="0"/>
                          <w:right w:val="nil"/>
                        </w:tcBorders>
                        <w:noWrap/>
                        <w:vAlign w:val="center"/>
                      </w:tcPr>
                      <w:p w14:paraId="5791D7B6">
                        <w:pPr>
                          <w:jc w:val="center"/>
                          <w:rPr>
                            <w:rFonts w:eastAsia="等线"/>
                            <w:sz w:val="16"/>
                            <w:szCs w:val="16"/>
                          </w:rPr>
                        </w:pPr>
                        <w:r>
                          <w:rPr>
                            <w:rFonts w:eastAsia="等线"/>
                            <w:sz w:val="16"/>
                            <w:szCs w:val="16"/>
                          </w:rPr>
                          <w:t>2019 samples</w:t>
                        </w:r>
                      </w:p>
                    </w:tc>
                  </w:tr>
                  <w:tr w14:paraId="10672740">
                    <w:tblPrEx>
                      <w:tblCellMar>
                        <w:top w:w="0" w:type="dxa"/>
                        <w:left w:w="108" w:type="dxa"/>
                        <w:bottom w:w="0" w:type="dxa"/>
                        <w:right w:w="108" w:type="dxa"/>
                      </w:tblCellMar>
                    </w:tblPrEx>
                    <w:trPr>
                      <w:trHeight w:val="231" w:hRule="atLeast"/>
                      <w:jc w:val="center"/>
                    </w:trPr>
                    <w:tc>
                      <w:tcPr>
                        <w:tcW w:w="920" w:type="dxa"/>
                        <w:tcBorders>
                          <w:top w:val="nil"/>
                          <w:left w:val="nil"/>
                          <w:bottom w:val="nil"/>
                          <w:right w:val="nil"/>
                        </w:tcBorders>
                        <w:noWrap/>
                        <w:vAlign w:val="center"/>
                      </w:tcPr>
                      <w:p w14:paraId="43A9FA07">
                        <w:pPr>
                          <w:jc w:val="center"/>
                          <w:rPr>
                            <w:rFonts w:eastAsia="等线"/>
                            <w:sz w:val="16"/>
                            <w:szCs w:val="16"/>
                          </w:rPr>
                        </w:pPr>
                        <w:r>
                          <w:rPr>
                            <w:rFonts w:eastAsia="等线"/>
                            <w:i/>
                            <w:iCs/>
                            <w:sz w:val="16"/>
                            <w:szCs w:val="16"/>
                          </w:rPr>
                          <w:t>R</w:t>
                        </w:r>
                        <w:r>
                          <w:rPr>
                            <w:rFonts w:eastAsia="等线"/>
                            <w:i/>
                            <w:iCs/>
                            <w:sz w:val="16"/>
                            <w:szCs w:val="16"/>
                            <w:vertAlign w:val="superscript"/>
                          </w:rPr>
                          <w:t>2</w:t>
                        </w:r>
                      </w:p>
                    </w:tc>
                    <w:tc>
                      <w:tcPr>
                        <w:tcW w:w="976" w:type="dxa"/>
                        <w:tcBorders>
                          <w:top w:val="nil"/>
                          <w:left w:val="nil"/>
                          <w:bottom w:val="nil"/>
                          <w:right w:val="nil"/>
                        </w:tcBorders>
                        <w:noWrap/>
                        <w:vAlign w:val="center"/>
                      </w:tcPr>
                      <w:p w14:paraId="6AE9C9B0">
                        <w:pPr>
                          <w:jc w:val="center"/>
                          <w:rPr>
                            <w:rFonts w:eastAsia="等线"/>
                            <w:sz w:val="16"/>
                            <w:szCs w:val="16"/>
                          </w:rPr>
                        </w:pPr>
                        <w:r>
                          <w:rPr>
                            <w:rFonts w:eastAsia="等线"/>
                            <w:sz w:val="16"/>
                            <w:szCs w:val="16"/>
                          </w:rPr>
                          <w:t>0.7815</w:t>
                        </w:r>
                      </w:p>
                    </w:tc>
                    <w:tc>
                      <w:tcPr>
                        <w:tcW w:w="983" w:type="dxa"/>
                        <w:tcBorders>
                          <w:top w:val="nil"/>
                          <w:left w:val="nil"/>
                          <w:bottom w:val="nil"/>
                          <w:right w:val="nil"/>
                        </w:tcBorders>
                        <w:noWrap/>
                        <w:vAlign w:val="center"/>
                      </w:tcPr>
                      <w:p w14:paraId="25EB5B67">
                        <w:pPr>
                          <w:jc w:val="center"/>
                          <w:rPr>
                            <w:rFonts w:eastAsia="等线"/>
                            <w:sz w:val="16"/>
                            <w:szCs w:val="16"/>
                          </w:rPr>
                        </w:pPr>
                        <w:r>
                          <w:rPr>
                            <w:rFonts w:eastAsia="等线"/>
                            <w:sz w:val="16"/>
                            <w:szCs w:val="16"/>
                          </w:rPr>
                          <w:t>0.8209</w:t>
                        </w:r>
                      </w:p>
                    </w:tc>
                    <w:tc>
                      <w:tcPr>
                        <w:tcW w:w="976" w:type="dxa"/>
                        <w:tcBorders>
                          <w:top w:val="nil"/>
                          <w:left w:val="nil"/>
                          <w:bottom w:val="nil"/>
                          <w:right w:val="nil"/>
                        </w:tcBorders>
                        <w:noWrap/>
                        <w:vAlign w:val="center"/>
                      </w:tcPr>
                      <w:p w14:paraId="511E38A3">
                        <w:pPr>
                          <w:jc w:val="center"/>
                          <w:rPr>
                            <w:rFonts w:eastAsia="等线"/>
                            <w:sz w:val="16"/>
                            <w:szCs w:val="16"/>
                          </w:rPr>
                        </w:pPr>
                        <w:r>
                          <w:rPr>
                            <w:rFonts w:eastAsia="等线"/>
                            <w:sz w:val="16"/>
                            <w:szCs w:val="16"/>
                          </w:rPr>
                          <w:t>0.8441</w:t>
                        </w:r>
                      </w:p>
                    </w:tc>
                    <w:tc>
                      <w:tcPr>
                        <w:tcW w:w="983" w:type="dxa"/>
                        <w:tcBorders>
                          <w:top w:val="nil"/>
                          <w:left w:val="nil"/>
                          <w:bottom w:val="nil"/>
                          <w:right w:val="nil"/>
                        </w:tcBorders>
                        <w:noWrap/>
                        <w:vAlign w:val="center"/>
                      </w:tcPr>
                      <w:p w14:paraId="0F6FA43A">
                        <w:pPr>
                          <w:jc w:val="center"/>
                          <w:rPr>
                            <w:rFonts w:eastAsia="等线"/>
                            <w:sz w:val="16"/>
                            <w:szCs w:val="16"/>
                          </w:rPr>
                        </w:pPr>
                        <w:r>
                          <w:rPr>
                            <w:rFonts w:eastAsia="等线"/>
                            <w:sz w:val="16"/>
                            <w:szCs w:val="16"/>
                          </w:rPr>
                          <w:t>0.8656</w:t>
                        </w:r>
                      </w:p>
                    </w:tc>
                    <w:tc>
                      <w:tcPr>
                        <w:tcW w:w="976" w:type="dxa"/>
                        <w:tcBorders>
                          <w:top w:val="nil"/>
                          <w:left w:val="nil"/>
                          <w:bottom w:val="nil"/>
                          <w:right w:val="nil"/>
                        </w:tcBorders>
                        <w:noWrap/>
                        <w:vAlign w:val="center"/>
                      </w:tcPr>
                      <w:p w14:paraId="48FC04D6">
                        <w:pPr>
                          <w:jc w:val="center"/>
                          <w:rPr>
                            <w:rFonts w:eastAsia="等线"/>
                            <w:sz w:val="16"/>
                            <w:szCs w:val="16"/>
                          </w:rPr>
                        </w:pPr>
                        <w:r>
                          <w:rPr>
                            <w:rFonts w:eastAsia="等线"/>
                            <w:sz w:val="16"/>
                            <w:szCs w:val="16"/>
                          </w:rPr>
                          <w:t>0.8118</w:t>
                        </w:r>
                      </w:p>
                    </w:tc>
                    <w:tc>
                      <w:tcPr>
                        <w:tcW w:w="983" w:type="dxa"/>
                        <w:tcBorders>
                          <w:top w:val="nil"/>
                          <w:left w:val="nil"/>
                          <w:bottom w:val="nil"/>
                          <w:right w:val="nil"/>
                        </w:tcBorders>
                        <w:noWrap/>
                        <w:vAlign w:val="center"/>
                      </w:tcPr>
                      <w:p w14:paraId="07524F53">
                        <w:pPr>
                          <w:jc w:val="center"/>
                          <w:rPr>
                            <w:rFonts w:eastAsia="等线"/>
                            <w:sz w:val="16"/>
                            <w:szCs w:val="16"/>
                          </w:rPr>
                        </w:pPr>
                        <w:r>
                          <w:rPr>
                            <w:rFonts w:eastAsia="等线"/>
                            <w:sz w:val="16"/>
                            <w:szCs w:val="16"/>
                          </w:rPr>
                          <w:t>0.832</w:t>
                        </w:r>
                      </w:p>
                    </w:tc>
                    <w:tc>
                      <w:tcPr>
                        <w:tcW w:w="976" w:type="dxa"/>
                        <w:tcBorders>
                          <w:top w:val="nil"/>
                          <w:left w:val="nil"/>
                          <w:bottom w:val="nil"/>
                          <w:right w:val="nil"/>
                        </w:tcBorders>
                        <w:noWrap/>
                        <w:vAlign w:val="center"/>
                      </w:tcPr>
                      <w:p w14:paraId="7BB9E4DC">
                        <w:pPr>
                          <w:jc w:val="center"/>
                          <w:rPr>
                            <w:rFonts w:eastAsia="等线"/>
                            <w:sz w:val="16"/>
                            <w:szCs w:val="16"/>
                          </w:rPr>
                        </w:pPr>
                        <w:r>
                          <w:rPr>
                            <w:rFonts w:eastAsia="等线"/>
                            <w:sz w:val="16"/>
                            <w:szCs w:val="16"/>
                          </w:rPr>
                          <w:t>0.7742</w:t>
                        </w:r>
                      </w:p>
                    </w:tc>
                    <w:tc>
                      <w:tcPr>
                        <w:tcW w:w="983" w:type="dxa"/>
                        <w:tcBorders>
                          <w:top w:val="nil"/>
                          <w:left w:val="nil"/>
                          <w:bottom w:val="nil"/>
                          <w:right w:val="nil"/>
                        </w:tcBorders>
                        <w:noWrap/>
                        <w:vAlign w:val="center"/>
                      </w:tcPr>
                      <w:p w14:paraId="258DD797">
                        <w:pPr>
                          <w:jc w:val="center"/>
                          <w:rPr>
                            <w:rFonts w:eastAsia="等线"/>
                            <w:sz w:val="16"/>
                            <w:szCs w:val="16"/>
                          </w:rPr>
                        </w:pPr>
                        <w:r>
                          <w:rPr>
                            <w:rFonts w:eastAsia="等线"/>
                            <w:sz w:val="16"/>
                            <w:szCs w:val="16"/>
                          </w:rPr>
                          <w:t>0.8437</w:t>
                        </w:r>
                      </w:p>
                    </w:tc>
                    <w:tc>
                      <w:tcPr>
                        <w:tcW w:w="976" w:type="dxa"/>
                        <w:tcBorders>
                          <w:top w:val="nil"/>
                          <w:left w:val="nil"/>
                          <w:bottom w:val="nil"/>
                          <w:right w:val="nil"/>
                        </w:tcBorders>
                        <w:noWrap/>
                        <w:vAlign w:val="center"/>
                      </w:tcPr>
                      <w:p w14:paraId="4D948582">
                        <w:pPr>
                          <w:jc w:val="center"/>
                          <w:rPr>
                            <w:rFonts w:eastAsia="等线"/>
                            <w:sz w:val="16"/>
                            <w:szCs w:val="16"/>
                          </w:rPr>
                        </w:pPr>
                        <w:r>
                          <w:rPr>
                            <w:rFonts w:eastAsia="等线"/>
                            <w:sz w:val="16"/>
                            <w:szCs w:val="16"/>
                          </w:rPr>
                          <w:t>0.8003</w:t>
                        </w:r>
                      </w:p>
                    </w:tc>
                    <w:tc>
                      <w:tcPr>
                        <w:tcW w:w="983" w:type="dxa"/>
                        <w:tcBorders>
                          <w:top w:val="nil"/>
                          <w:left w:val="nil"/>
                          <w:bottom w:val="nil"/>
                          <w:right w:val="nil"/>
                        </w:tcBorders>
                        <w:noWrap/>
                        <w:vAlign w:val="center"/>
                      </w:tcPr>
                      <w:p w14:paraId="55D2BB45">
                        <w:pPr>
                          <w:jc w:val="center"/>
                          <w:rPr>
                            <w:rFonts w:eastAsia="等线"/>
                            <w:sz w:val="16"/>
                            <w:szCs w:val="16"/>
                          </w:rPr>
                        </w:pPr>
                        <w:r>
                          <w:rPr>
                            <w:rFonts w:eastAsia="等线"/>
                            <w:sz w:val="16"/>
                            <w:szCs w:val="16"/>
                          </w:rPr>
                          <w:t>0.8252</w:t>
                        </w:r>
                      </w:p>
                    </w:tc>
                  </w:tr>
                  <w:tr w14:paraId="20A1E1BC">
                    <w:tblPrEx>
                      <w:tblCellMar>
                        <w:top w:w="0" w:type="dxa"/>
                        <w:left w:w="108" w:type="dxa"/>
                        <w:bottom w:w="0" w:type="dxa"/>
                        <w:right w:w="108" w:type="dxa"/>
                      </w:tblCellMar>
                    </w:tblPrEx>
                    <w:trPr>
                      <w:trHeight w:val="231" w:hRule="atLeast"/>
                      <w:jc w:val="center"/>
                    </w:trPr>
                    <w:tc>
                      <w:tcPr>
                        <w:tcW w:w="920" w:type="dxa"/>
                        <w:tcBorders>
                          <w:top w:val="nil"/>
                          <w:left w:val="nil"/>
                          <w:bottom w:val="nil"/>
                          <w:right w:val="nil"/>
                        </w:tcBorders>
                        <w:noWrap/>
                        <w:vAlign w:val="center"/>
                      </w:tcPr>
                      <w:p w14:paraId="60598C47">
                        <w:pPr>
                          <w:jc w:val="center"/>
                          <w:rPr>
                            <w:rFonts w:eastAsia="等线"/>
                            <w:i/>
                            <w:iCs/>
                            <w:sz w:val="16"/>
                            <w:szCs w:val="16"/>
                          </w:rPr>
                        </w:pPr>
                        <w:r>
                          <w:rPr>
                            <w:rFonts w:eastAsia="等线"/>
                            <w:i/>
                            <w:iCs/>
                            <w:sz w:val="16"/>
                            <w:szCs w:val="16"/>
                          </w:rPr>
                          <w:t>IOA</w:t>
                        </w:r>
                      </w:p>
                    </w:tc>
                    <w:tc>
                      <w:tcPr>
                        <w:tcW w:w="976" w:type="dxa"/>
                        <w:tcBorders>
                          <w:top w:val="nil"/>
                          <w:left w:val="nil"/>
                          <w:bottom w:val="nil"/>
                          <w:right w:val="nil"/>
                        </w:tcBorders>
                        <w:noWrap/>
                        <w:vAlign w:val="center"/>
                      </w:tcPr>
                      <w:p w14:paraId="66676B50">
                        <w:pPr>
                          <w:jc w:val="center"/>
                          <w:rPr>
                            <w:rFonts w:eastAsia="等线"/>
                            <w:sz w:val="16"/>
                            <w:szCs w:val="16"/>
                          </w:rPr>
                        </w:pPr>
                        <w:r>
                          <w:rPr>
                            <w:rFonts w:eastAsia="等线"/>
                            <w:sz w:val="16"/>
                            <w:szCs w:val="16"/>
                          </w:rPr>
                          <w:t>93.84%</w:t>
                        </w:r>
                      </w:p>
                    </w:tc>
                    <w:tc>
                      <w:tcPr>
                        <w:tcW w:w="983" w:type="dxa"/>
                        <w:tcBorders>
                          <w:top w:val="nil"/>
                          <w:left w:val="nil"/>
                          <w:bottom w:val="nil"/>
                          <w:right w:val="nil"/>
                        </w:tcBorders>
                        <w:noWrap/>
                        <w:vAlign w:val="center"/>
                      </w:tcPr>
                      <w:p w14:paraId="288CCF01">
                        <w:pPr>
                          <w:jc w:val="center"/>
                          <w:rPr>
                            <w:rFonts w:eastAsia="等线"/>
                            <w:sz w:val="16"/>
                            <w:szCs w:val="16"/>
                          </w:rPr>
                        </w:pPr>
                        <w:r>
                          <w:rPr>
                            <w:rFonts w:eastAsia="等线"/>
                            <w:sz w:val="16"/>
                            <w:szCs w:val="16"/>
                          </w:rPr>
                          <w:t>94.97%</w:t>
                        </w:r>
                      </w:p>
                    </w:tc>
                    <w:tc>
                      <w:tcPr>
                        <w:tcW w:w="976" w:type="dxa"/>
                        <w:tcBorders>
                          <w:top w:val="nil"/>
                          <w:left w:val="nil"/>
                          <w:bottom w:val="nil"/>
                          <w:right w:val="nil"/>
                        </w:tcBorders>
                        <w:noWrap/>
                        <w:vAlign w:val="center"/>
                      </w:tcPr>
                      <w:p w14:paraId="3CEE2544">
                        <w:pPr>
                          <w:jc w:val="center"/>
                          <w:rPr>
                            <w:rFonts w:eastAsia="等线"/>
                            <w:sz w:val="16"/>
                            <w:szCs w:val="16"/>
                          </w:rPr>
                        </w:pPr>
                        <w:r>
                          <w:rPr>
                            <w:rFonts w:eastAsia="等线"/>
                            <w:sz w:val="16"/>
                            <w:szCs w:val="16"/>
                          </w:rPr>
                          <w:t>95.68%</w:t>
                        </w:r>
                      </w:p>
                    </w:tc>
                    <w:tc>
                      <w:tcPr>
                        <w:tcW w:w="983" w:type="dxa"/>
                        <w:tcBorders>
                          <w:top w:val="nil"/>
                          <w:left w:val="nil"/>
                          <w:bottom w:val="nil"/>
                          <w:right w:val="nil"/>
                        </w:tcBorders>
                        <w:noWrap/>
                        <w:vAlign w:val="center"/>
                      </w:tcPr>
                      <w:p w14:paraId="17187B9F">
                        <w:pPr>
                          <w:jc w:val="center"/>
                          <w:rPr>
                            <w:rFonts w:eastAsia="等线"/>
                            <w:sz w:val="16"/>
                            <w:szCs w:val="16"/>
                          </w:rPr>
                        </w:pPr>
                        <w:r>
                          <w:rPr>
                            <w:rFonts w:eastAsia="等线"/>
                            <w:sz w:val="16"/>
                            <w:szCs w:val="16"/>
                          </w:rPr>
                          <w:t>96.31%</w:t>
                        </w:r>
                      </w:p>
                    </w:tc>
                    <w:tc>
                      <w:tcPr>
                        <w:tcW w:w="976" w:type="dxa"/>
                        <w:tcBorders>
                          <w:top w:val="nil"/>
                          <w:left w:val="nil"/>
                          <w:bottom w:val="nil"/>
                          <w:right w:val="nil"/>
                        </w:tcBorders>
                        <w:noWrap/>
                        <w:vAlign w:val="center"/>
                      </w:tcPr>
                      <w:p w14:paraId="214B350A">
                        <w:pPr>
                          <w:jc w:val="center"/>
                          <w:rPr>
                            <w:rFonts w:eastAsia="等线"/>
                            <w:sz w:val="16"/>
                            <w:szCs w:val="16"/>
                          </w:rPr>
                        </w:pPr>
                        <w:r>
                          <w:rPr>
                            <w:rFonts w:eastAsia="等线"/>
                            <w:sz w:val="16"/>
                            <w:szCs w:val="16"/>
                          </w:rPr>
                          <w:t>93.95%</w:t>
                        </w:r>
                      </w:p>
                    </w:tc>
                    <w:tc>
                      <w:tcPr>
                        <w:tcW w:w="983" w:type="dxa"/>
                        <w:tcBorders>
                          <w:top w:val="nil"/>
                          <w:left w:val="nil"/>
                          <w:bottom w:val="nil"/>
                          <w:right w:val="nil"/>
                        </w:tcBorders>
                        <w:noWrap/>
                        <w:vAlign w:val="center"/>
                      </w:tcPr>
                      <w:p w14:paraId="5D3E95E6">
                        <w:pPr>
                          <w:jc w:val="center"/>
                          <w:rPr>
                            <w:rFonts w:eastAsia="等线"/>
                            <w:sz w:val="16"/>
                            <w:szCs w:val="16"/>
                          </w:rPr>
                        </w:pPr>
                        <w:r>
                          <w:rPr>
                            <w:rFonts w:eastAsia="等线"/>
                            <w:sz w:val="16"/>
                            <w:szCs w:val="16"/>
                          </w:rPr>
                          <w:t>95.30%</w:t>
                        </w:r>
                      </w:p>
                    </w:tc>
                    <w:tc>
                      <w:tcPr>
                        <w:tcW w:w="976" w:type="dxa"/>
                        <w:tcBorders>
                          <w:top w:val="nil"/>
                          <w:left w:val="nil"/>
                          <w:bottom w:val="nil"/>
                          <w:right w:val="nil"/>
                        </w:tcBorders>
                        <w:noWrap/>
                        <w:vAlign w:val="center"/>
                      </w:tcPr>
                      <w:p w14:paraId="45098D85">
                        <w:pPr>
                          <w:jc w:val="center"/>
                          <w:rPr>
                            <w:rFonts w:eastAsia="等线"/>
                            <w:sz w:val="16"/>
                            <w:szCs w:val="16"/>
                          </w:rPr>
                        </w:pPr>
                        <w:r>
                          <w:rPr>
                            <w:rFonts w:eastAsia="等线"/>
                            <w:sz w:val="16"/>
                            <w:szCs w:val="16"/>
                          </w:rPr>
                          <w:t>93.47%</w:t>
                        </w:r>
                      </w:p>
                    </w:tc>
                    <w:tc>
                      <w:tcPr>
                        <w:tcW w:w="983" w:type="dxa"/>
                        <w:tcBorders>
                          <w:top w:val="nil"/>
                          <w:left w:val="nil"/>
                          <w:bottom w:val="nil"/>
                          <w:right w:val="nil"/>
                        </w:tcBorders>
                        <w:noWrap/>
                        <w:vAlign w:val="center"/>
                      </w:tcPr>
                      <w:p w14:paraId="1A86EF8D">
                        <w:pPr>
                          <w:jc w:val="center"/>
                          <w:rPr>
                            <w:rFonts w:eastAsia="等线"/>
                            <w:sz w:val="16"/>
                            <w:szCs w:val="16"/>
                          </w:rPr>
                        </w:pPr>
                        <w:r>
                          <w:rPr>
                            <w:rFonts w:eastAsia="等线"/>
                            <w:sz w:val="16"/>
                            <w:szCs w:val="16"/>
                          </w:rPr>
                          <w:t>95.69%</w:t>
                        </w:r>
                      </w:p>
                    </w:tc>
                    <w:tc>
                      <w:tcPr>
                        <w:tcW w:w="976" w:type="dxa"/>
                        <w:tcBorders>
                          <w:top w:val="nil"/>
                          <w:left w:val="nil"/>
                          <w:bottom w:val="nil"/>
                          <w:right w:val="nil"/>
                        </w:tcBorders>
                        <w:noWrap/>
                        <w:vAlign w:val="center"/>
                      </w:tcPr>
                      <w:p w14:paraId="45A0AB98">
                        <w:pPr>
                          <w:jc w:val="center"/>
                          <w:rPr>
                            <w:rFonts w:eastAsia="等线"/>
                            <w:sz w:val="16"/>
                            <w:szCs w:val="16"/>
                          </w:rPr>
                        </w:pPr>
                        <w:r>
                          <w:rPr>
                            <w:rFonts w:eastAsia="等线"/>
                            <w:sz w:val="16"/>
                            <w:szCs w:val="16"/>
                          </w:rPr>
                          <w:t>93.70%</w:t>
                        </w:r>
                      </w:p>
                    </w:tc>
                    <w:tc>
                      <w:tcPr>
                        <w:tcW w:w="983" w:type="dxa"/>
                        <w:tcBorders>
                          <w:top w:val="nil"/>
                          <w:left w:val="nil"/>
                          <w:bottom w:val="nil"/>
                          <w:right w:val="nil"/>
                        </w:tcBorders>
                        <w:noWrap/>
                        <w:vAlign w:val="center"/>
                      </w:tcPr>
                      <w:p w14:paraId="3FE3C8F9">
                        <w:pPr>
                          <w:jc w:val="center"/>
                          <w:rPr>
                            <w:rFonts w:eastAsia="等线"/>
                            <w:sz w:val="16"/>
                            <w:szCs w:val="16"/>
                          </w:rPr>
                        </w:pPr>
                        <w:r>
                          <w:rPr>
                            <w:rFonts w:eastAsia="等线"/>
                            <w:sz w:val="16"/>
                            <w:szCs w:val="16"/>
                          </w:rPr>
                          <w:t>94.87%</w:t>
                        </w:r>
                      </w:p>
                    </w:tc>
                  </w:tr>
                  <w:tr w14:paraId="6D608EAD">
                    <w:tblPrEx>
                      <w:tblCellMar>
                        <w:top w:w="0" w:type="dxa"/>
                        <w:left w:w="108" w:type="dxa"/>
                        <w:bottom w:w="0" w:type="dxa"/>
                        <w:right w:w="108" w:type="dxa"/>
                      </w:tblCellMar>
                    </w:tblPrEx>
                    <w:trPr>
                      <w:trHeight w:val="231" w:hRule="atLeast"/>
                      <w:jc w:val="center"/>
                    </w:trPr>
                    <w:tc>
                      <w:tcPr>
                        <w:tcW w:w="920" w:type="dxa"/>
                        <w:tcBorders>
                          <w:top w:val="nil"/>
                          <w:left w:val="nil"/>
                          <w:bottom w:val="nil"/>
                          <w:right w:val="nil"/>
                        </w:tcBorders>
                        <w:noWrap/>
                        <w:vAlign w:val="center"/>
                      </w:tcPr>
                      <w:p w14:paraId="7D5DA4A3">
                        <w:pPr>
                          <w:jc w:val="center"/>
                          <w:rPr>
                            <w:rFonts w:eastAsia="等线"/>
                            <w:i/>
                            <w:iCs/>
                            <w:sz w:val="16"/>
                            <w:szCs w:val="16"/>
                          </w:rPr>
                        </w:pPr>
                        <w:r>
                          <w:rPr>
                            <w:rFonts w:eastAsia="等线"/>
                            <w:i/>
                            <w:iCs/>
                            <w:sz w:val="16"/>
                            <w:szCs w:val="16"/>
                          </w:rPr>
                          <w:t>RMSE</w:t>
                        </w:r>
                      </w:p>
                    </w:tc>
                    <w:tc>
                      <w:tcPr>
                        <w:tcW w:w="976" w:type="dxa"/>
                        <w:tcBorders>
                          <w:top w:val="nil"/>
                          <w:left w:val="nil"/>
                          <w:bottom w:val="nil"/>
                          <w:right w:val="nil"/>
                        </w:tcBorders>
                        <w:noWrap/>
                        <w:vAlign w:val="center"/>
                      </w:tcPr>
                      <w:p w14:paraId="0C81FC07">
                        <w:pPr>
                          <w:jc w:val="center"/>
                          <w:rPr>
                            <w:rFonts w:eastAsia="等线"/>
                            <w:sz w:val="16"/>
                            <w:szCs w:val="16"/>
                          </w:rPr>
                        </w:pPr>
                        <w:r>
                          <w:rPr>
                            <w:rFonts w:eastAsia="等线"/>
                            <w:sz w:val="16"/>
                            <w:szCs w:val="16"/>
                          </w:rPr>
                          <w:t xml:space="preserve">32.1600 </w:t>
                        </w:r>
                      </w:p>
                    </w:tc>
                    <w:tc>
                      <w:tcPr>
                        <w:tcW w:w="983" w:type="dxa"/>
                        <w:tcBorders>
                          <w:top w:val="nil"/>
                          <w:left w:val="nil"/>
                          <w:bottom w:val="nil"/>
                          <w:right w:val="nil"/>
                        </w:tcBorders>
                        <w:noWrap/>
                        <w:vAlign w:val="center"/>
                      </w:tcPr>
                      <w:p w14:paraId="71AE40ED">
                        <w:pPr>
                          <w:jc w:val="center"/>
                          <w:rPr>
                            <w:rFonts w:eastAsia="等线"/>
                            <w:sz w:val="16"/>
                            <w:szCs w:val="16"/>
                          </w:rPr>
                        </w:pPr>
                        <w:r>
                          <w:rPr>
                            <w:rFonts w:eastAsia="等线"/>
                            <w:sz w:val="16"/>
                            <w:szCs w:val="16"/>
                          </w:rPr>
                          <w:t xml:space="preserve">29.7162 </w:t>
                        </w:r>
                      </w:p>
                    </w:tc>
                    <w:tc>
                      <w:tcPr>
                        <w:tcW w:w="976" w:type="dxa"/>
                        <w:tcBorders>
                          <w:top w:val="nil"/>
                          <w:left w:val="nil"/>
                          <w:bottom w:val="nil"/>
                          <w:right w:val="nil"/>
                        </w:tcBorders>
                        <w:noWrap/>
                        <w:vAlign w:val="center"/>
                      </w:tcPr>
                      <w:p w14:paraId="44FDC0A1">
                        <w:pPr>
                          <w:jc w:val="center"/>
                          <w:rPr>
                            <w:rFonts w:eastAsia="等线"/>
                            <w:sz w:val="16"/>
                            <w:szCs w:val="16"/>
                          </w:rPr>
                        </w:pPr>
                        <w:r>
                          <w:rPr>
                            <w:rFonts w:eastAsia="等线"/>
                            <w:sz w:val="16"/>
                            <w:szCs w:val="16"/>
                          </w:rPr>
                          <w:t xml:space="preserve">26.1871 </w:t>
                        </w:r>
                      </w:p>
                    </w:tc>
                    <w:tc>
                      <w:tcPr>
                        <w:tcW w:w="983" w:type="dxa"/>
                        <w:tcBorders>
                          <w:top w:val="nil"/>
                          <w:left w:val="nil"/>
                          <w:bottom w:val="nil"/>
                          <w:right w:val="nil"/>
                        </w:tcBorders>
                        <w:noWrap/>
                        <w:vAlign w:val="center"/>
                      </w:tcPr>
                      <w:p w14:paraId="55D3B621">
                        <w:pPr>
                          <w:jc w:val="center"/>
                          <w:rPr>
                            <w:rFonts w:eastAsia="等线"/>
                            <w:sz w:val="16"/>
                            <w:szCs w:val="16"/>
                          </w:rPr>
                        </w:pPr>
                        <w:r>
                          <w:rPr>
                            <w:rFonts w:eastAsia="等线"/>
                            <w:sz w:val="16"/>
                            <w:szCs w:val="16"/>
                          </w:rPr>
                          <w:t xml:space="preserve">24.1947 </w:t>
                        </w:r>
                      </w:p>
                    </w:tc>
                    <w:tc>
                      <w:tcPr>
                        <w:tcW w:w="976" w:type="dxa"/>
                        <w:tcBorders>
                          <w:top w:val="nil"/>
                          <w:left w:val="nil"/>
                          <w:bottom w:val="nil"/>
                          <w:right w:val="nil"/>
                        </w:tcBorders>
                        <w:noWrap/>
                        <w:vAlign w:val="center"/>
                      </w:tcPr>
                      <w:p w14:paraId="35FF016E">
                        <w:pPr>
                          <w:jc w:val="center"/>
                          <w:rPr>
                            <w:rFonts w:eastAsia="等线"/>
                            <w:sz w:val="16"/>
                            <w:szCs w:val="16"/>
                          </w:rPr>
                        </w:pPr>
                        <w:r>
                          <w:rPr>
                            <w:rFonts w:eastAsia="等线"/>
                            <w:sz w:val="16"/>
                            <w:szCs w:val="16"/>
                          </w:rPr>
                          <w:t xml:space="preserve">26.8579 </w:t>
                        </w:r>
                      </w:p>
                    </w:tc>
                    <w:tc>
                      <w:tcPr>
                        <w:tcW w:w="983" w:type="dxa"/>
                        <w:tcBorders>
                          <w:top w:val="nil"/>
                          <w:left w:val="nil"/>
                          <w:bottom w:val="nil"/>
                          <w:right w:val="nil"/>
                        </w:tcBorders>
                        <w:noWrap/>
                        <w:vAlign w:val="center"/>
                      </w:tcPr>
                      <w:p w14:paraId="12E6B2F4">
                        <w:pPr>
                          <w:jc w:val="center"/>
                          <w:rPr>
                            <w:rFonts w:eastAsia="等线"/>
                            <w:sz w:val="16"/>
                            <w:szCs w:val="16"/>
                          </w:rPr>
                        </w:pPr>
                        <w:r>
                          <w:rPr>
                            <w:rFonts w:eastAsia="等线"/>
                            <w:sz w:val="16"/>
                            <w:szCs w:val="16"/>
                          </w:rPr>
                          <w:t xml:space="preserve">25.0657 </w:t>
                        </w:r>
                      </w:p>
                    </w:tc>
                    <w:tc>
                      <w:tcPr>
                        <w:tcW w:w="976" w:type="dxa"/>
                        <w:tcBorders>
                          <w:top w:val="nil"/>
                          <w:left w:val="nil"/>
                          <w:bottom w:val="nil"/>
                          <w:right w:val="nil"/>
                        </w:tcBorders>
                        <w:noWrap/>
                        <w:vAlign w:val="center"/>
                      </w:tcPr>
                      <w:p w14:paraId="376BF3E3">
                        <w:pPr>
                          <w:jc w:val="center"/>
                          <w:rPr>
                            <w:rFonts w:eastAsia="等线"/>
                            <w:sz w:val="16"/>
                            <w:szCs w:val="16"/>
                          </w:rPr>
                        </w:pPr>
                        <w:r>
                          <w:rPr>
                            <w:rFonts w:eastAsia="等线"/>
                            <w:sz w:val="16"/>
                            <w:szCs w:val="16"/>
                          </w:rPr>
                          <w:t xml:space="preserve">32.5237 </w:t>
                        </w:r>
                      </w:p>
                    </w:tc>
                    <w:tc>
                      <w:tcPr>
                        <w:tcW w:w="983" w:type="dxa"/>
                        <w:tcBorders>
                          <w:top w:val="nil"/>
                          <w:left w:val="nil"/>
                          <w:bottom w:val="nil"/>
                          <w:right w:val="nil"/>
                        </w:tcBorders>
                        <w:noWrap/>
                        <w:vAlign w:val="center"/>
                      </w:tcPr>
                      <w:p w14:paraId="43781C9D">
                        <w:pPr>
                          <w:jc w:val="center"/>
                          <w:rPr>
                            <w:rFonts w:eastAsia="等线"/>
                            <w:sz w:val="16"/>
                            <w:szCs w:val="16"/>
                          </w:rPr>
                        </w:pPr>
                        <w:r>
                          <w:rPr>
                            <w:rFonts w:eastAsia="等线"/>
                            <w:sz w:val="16"/>
                            <w:szCs w:val="16"/>
                          </w:rPr>
                          <w:t xml:space="preserve">27.0563 </w:t>
                        </w:r>
                      </w:p>
                    </w:tc>
                    <w:tc>
                      <w:tcPr>
                        <w:tcW w:w="976" w:type="dxa"/>
                        <w:tcBorders>
                          <w:top w:val="nil"/>
                          <w:left w:val="nil"/>
                          <w:bottom w:val="nil"/>
                          <w:right w:val="nil"/>
                        </w:tcBorders>
                        <w:noWrap/>
                        <w:vAlign w:val="center"/>
                      </w:tcPr>
                      <w:p w14:paraId="71EE8202">
                        <w:pPr>
                          <w:jc w:val="center"/>
                          <w:rPr>
                            <w:rFonts w:eastAsia="等线"/>
                            <w:sz w:val="16"/>
                            <w:szCs w:val="16"/>
                          </w:rPr>
                        </w:pPr>
                        <w:r>
                          <w:rPr>
                            <w:rFonts w:eastAsia="等线"/>
                            <w:sz w:val="16"/>
                            <w:szCs w:val="16"/>
                          </w:rPr>
                          <w:t xml:space="preserve">22.2194 </w:t>
                        </w:r>
                      </w:p>
                    </w:tc>
                    <w:tc>
                      <w:tcPr>
                        <w:tcW w:w="983" w:type="dxa"/>
                        <w:tcBorders>
                          <w:top w:val="nil"/>
                          <w:left w:val="nil"/>
                          <w:bottom w:val="nil"/>
                          <w:right w:val="nil"/>
                        </w:tcBorders>
                        <w:noWrap/>
                        <w:vAlign w:val="center"/>
                      </w:tcPr>
                      <w:p w14:paraId="65FE71CC">
                        <w:pPr>
                          <w:jc w:val="center"/>
                          <w:rPr>
                            <w:rFonts w:eastAsia="等线"/>
                            <w:sz w:val="16"/>
                            <w:szCs w:val="16"/>
                          </w:rPr>
                        </w:pPr>
                        <w:r>
                          <w:rPr>
                            <w:rFonts w:eastAsia="等线"/>
                            <w:sz w:val="16"/>
                            <w:szCs w:val="16"/>
                          </w:rPr>
                          <w:t xml:space="preserve">27.3639 </w:t>
                        </w:r>
                      </w:p>
                    </w:tc>
                  </w:tr>
                  <w:tr w14:paraId="5D63DC71">
                    <w:tblPrEx>
                      <w:tblCellMar>
                        <w:top w:w="0" w:type="dxa"/>
                        <w:left w:w="108" w:type="dxa"/>
                        <w:bottom w:w="0" w:type="dxa"/>
                        <w:right w:w="108" w:type="dxa"/>
                      </w:tblCellMar>
                    </w:tblPrEx>
                    <w:trPr>
                      <w:trHeight w:val="231" w:hRule="atLeast"/>
                      <w:jc w:val="center"/>
                    </w:trPr>
                    <w:tc>
                      <w:tcPr>
                        <w:tcW w:w="920" w:type="dxa"/>
                        <w:tcBorders>
                          <w:top w:val="nil"/>
                          <w:left w:val="nil"/>
                          <w:bottom w:val="nil"/>
                          <w:right w:val="nil"/>
                        </w:tcBorders>
                        <w:noWrap/>
                        <w:vAlign w:val="center"/>
                      </w:tcPr>
                      <w:p w14:paraId="2C4E6E72">
                        <w:pPr>
                          <w:jc w:val="center"/>
                          <w:rPr>
                            <w:rFonts w:eastAsia="等线"/>
                            <w:i/>
                            <w:iCs/>
                            <w:sz w:val="16"/>
                            <w:szCs w:val="16"/>
                          </w:rPr>
                        </w:pPr>
                        <w:r>
                          <w:rPr>
                            <w:rFonts w:hint="eastAsia" w:eastAsia="等线"/>
                            <w:i/>
                            <w:iCs/>
                            <w:sz w:val="16"/>
                            <w:szCs w:val="16"/>
                          </w:rPr>
                          <w:t>r</w:t>
                        </w:r>
                        <w:r>
                          <w:rPr>
                            <w:rFonts w:eastAsia="等线"/>
                            <w:i/>
                            <w:iCs/>
                            <w:sz w:val="16"/>
                            <w:szCs w:val="16"/>
                          </w:rPr>
                          <w:t>RMSE</w:t>
                        </w:r>
                      </w:p>
                    </w:tc>
                    <w:tc>
                      <w:tcPr>
                        <w:tcW w:w="976" w:type="dxa"/>
                        <w:tcBorders>
                          <w:top w:val="nil"/>
                          <w:left w:val="nil"/>
                          <w:bottom w:val="nil"/>
                          <w:right w:val="nil"/>
                        </w:tcBorders>
                        <w:noWrap/>
                        <w:vAlign w:val="center"/>
                      </w:tcPr>
                      <w:p w14:paraId="57EFDEF5">
                        <w:pPr>
                          <w:jc w:val="center"/>
                          <w:rPr>
                            <w:rFonts w:eastAsia="等线"/>
                            <w:sz w:val="16"/>
                            <w:szCs w:val="16"/>
                          </w:rPr>
                        </w:pPr>
                        <w:r>
                          <w:rPr>
                            <w:rFonts w:eastAsia="等线"/>
                            <w:sz w:val="16"/>
                            <w:szCs w:val="16"/>
                          </w:rPr>
                          <w:t>37.57%</w:t>
                        </w:r>
                      </w:p>
                    </w:tc>
                    <w:tc>
                      <w:tcPr>
                        <w:tcW w:w="983" w:type="dxa"/>
                        <w:tcBorders>
                          <w:top w:val="nil"/>
                          <w:left w:val="nil"/>
                          <w:bottom w:val="nil"/>
                          <w:right w:val="nil"/>
                        </w:tcBorders>
                        <w:noWrap/>
                        <w:vAlign w:val="center"/>
                      </w:tcPr>
                      <w:p w14:paraId="28494B26">
                        <w:pPr>
                          <w:jc w:val="center"/>
                          <w:rPr>
                            <w:rFonts w:eastAsia="等线"/>
                            <w:sz w:val="16"/>
                            <w:szCs w:val="16"/>
                          </w:rPr>
                        </w:pPr>
                        <w:r>
                          <w:rPr>
                            <w:rFonts w:eastAsia="等线"/>
                            <w:sz w:val="16"/>
                            <w:szCs w:val="16"/>
                          </w:rPr>
                          <w:t>33.55%</w:t>
                        </w:r>
                      </w:p>
                    </w:tc>
                    <w:tc>
                      <w:tcPr>
                        <w:tcW w:w="976" w:type="dxa"/>
                        <w:tcBorders>
                          <w:top w:val="nil"/>
                          <w:left w:val="nil"/>
                          <w:bottom w:val="nil"/>
                          <w:right w:val="nil"/>
                        </w:tcBorders>
                        <w:noWrap/>
                        <w:vAlign w:val="center"/>
                      </w:tcPr>
                      <w:p w14:paraId="1ED4CB18">
                        <w:pPr>
                          <w:jc w:val="center"/>
                          <w:rPr>
                            <w:rFonts w:eastAsia="等线"/>
                            <w:sz w:val="16"/>
                            <w:szCs w:val="16"/>
                          </w:rPr>
                        </w:pPr>
                        <w:r>
                          <w:rPr>
                            <w:rFonts w:eastAsia="等线"/>
                            <w:sz w:val="16"/>
                            <w:szCs w:val="16"/>
                          </w:rPr>
                          <w:t>37.33%</w:t>
                        </w:r>
                      </w:p>
                    </w:tc>
                    <w:tc>
                      <w:tcPr>
                        <w:tcW w:w="983" w:type="dxa"/>
                        <w:tcBorders>
                          <w:top w:val="nil"/>
                          <w:left w:val="nil"/>
                          <w:bottom w:val="nil"/>
                          <w:right w:val="nil"/>
                        </w:tcBorders>
                        <w:noWrap/>
                        <w:vAlign w:val="center"/>
                      </w:tcPr>
                      <w:p w14:paraId="64802CD6">
                        <w:pPr>
                          <w:jc w:val="center"/>
                          <w:rPr>
                            <w:rFonts w:eastAsia="等线"/>
                            <w:sz w:val="16"/>
                            <w:szCs w:val="16"/>
                          </w:rPr>
                        </w:pPr>
                        <w:r>
                          <w:rPr>
                            <w:rFonts w:eastAsia="等线"/>
                            <w:sz w:val="16"/>
                            <w:szCs w:val="16"/>
                          </w:rPr>
                          <w:t>34.49%</w:t>
                        </w:r>
                      </w:p>
                    </w:tc>
                    <w:tc>
                      <w:tcPr>
                        <w:tcW w:w="976" w:type="dxa"/>
                        <w:tcBorders>
                          <w:top w:val="nil"/>
                          <w:left w:val="nil"/>
                          <w:bottom w:val="nil"/>
                          <w:right w:val="nil"/>
                        </w:tcBorders>
                        <w:noWrap/>
                        <w:vAlign w:val="center"/>
                      </w:tcPr>
                      <w:p w14:paraId="2444F4C5">
                        <w:pPr>
                          <w:jc w:val="center"/>
                          <w:rPr>
                            <w:rFonts w:eastAsia="等线"/>
                            <w:sz w:val="16"/>
                            <w:szCs w:val="16"/>
                          </w:rPr>
                        </w:pPr>
                        <w:r>
                          <w:rPr>
                            <w:rFonts w:eastAsia="等线"/>
                            <w:sz w:val="16"/>
                            <w:szCs w:val="16"/>
                          </w:rPr>
                          <w:t>45.75%</w:t>
                        </w:r>
                      </w:p>
                    </w:tc>
                    <w:tc>
                      <w:tcPr>
                        <w:tcW w:w="983" w:type="dxa"/>
                        <w:tcBorders>
                          <w:top w:val="nil"/>
                          <w:left w:val="nil"/>
                          <w:bottom w:val="nil"/>
                          <w:right w:val="nil"/>
                        </w:tcBorders>
                        <w:noWrap/>
                        <w:vAlign w:val="center"/>
                      </w:tcPr>
                      <w:p w14:paraId="046EFA0B">
                        <w:pPr>
                          <w:jc w:val="center"/>
                          <w:rPr>
                            <w:rFonts w:eastAsia="等线"/>
                            <w:sz w:val="16"/>
                            <w:szCs w:val="16"/>
                          </w:rPr>
                        </w:pPr>
                        <w:r>
                          <w:rPr>
                            <w:rFonts w:eastAsia="等线"/>
                            <w:sz w:val="16"/>
                            <w:szCs w:val="16"/>
                          </w:rPr>
                          <w:t>42.69%</w:t>
                        </w:r>
                      </w:p>
                    </w:tc>
                    <w:tc>
                      <w:tcPr>
                        <w:tcW w:w="976" w:type="dxa"/>
                        <w:tcBorders>
                          <w:top w:val="nil"/>
                          <w:left w:val="nil"/>
                          <w:bottom w:val="nil"/>
                          <w:right w:val="nil"/>
                        </w:tcBorders>
                        <w:noWrap/>
                        <w:vAlign w:val="center"/>
                      </w:tcPr>
                      <w:p w14:paraId="307B2E9F">
                        <w:pPr>
                          <w:jc w:val="center"/>
                          <w:rPr>
                            <w:rFonts w:eastAsia="等线"/>
                            <w:sz w:val="16"/>
                            <w:szCs w:val="16"/>
                          </w:rPr>
                        </w:pPr>
                        <w:r>
                          <w:rPr>
                            <w:rFonts w:eastAsia="等线"/>
                            <w:sz w:val="16"/>
                            <w:szCs w:val="16"/>
                          </w:rPr>
                          <w:t>40.16%</w:t>
                        </w:r>
                      </w:p>
                    </w:tc>
                    <w:tc>
                      <w:tcPr>
                        <w:tcW w:w="983" w:type="dxa"/>
                        <w:tcBorders>
                          <w:top w:val="nil"/>
                          <w:left w:val="nil"/>
                          <w:bottom w:val="nil"/>
                          <w:right w:val="nil"/>
                        </w:tcBorders>
                        <w:noWrap/>
                        <w:vAlign w:val="center"/>
                      </w:tcPr>
                      <w:p w14:paraId="00B84D34">
                        <w:pPr>
                          <w:jc w:val="center"/>
                          <w:rPr>
                            <w:rFonts w:eastAsia="等线"/>
                            <w:sz w:val="16"/>
                            <w:szCs w:val="16"/>
                          </w:rPr>
                        </w:pPr>
                        <w:r>
                          <w:rPr>
                            <w:rFonts w:eastAsia="等线"/>
                            <w:sz w:val="16"/>
                            <w:szCs w:val="16"/>
                          </w:rPr>
                          <w:t>33.41%</w:t>
                        </w:r>
                      </w:p>
                    </w:tc>
                    <w:tc>
                      <w:tcPr>
                        <w:tcW w:w="976" w:type="dxa"/>
                        <w:tcBorders>
                          <w:top w:val="nil"/>
                          <w:left w:val="nil"/>
                          <w:bottom w:val="nil"/>
                          <w:right w:val="nil"/>
                        </w:tcBorders>
                        <w:noWrap/>
                        <w:vAlign w:val="center"/>
                      </w:tcPr>
                      <w:p w14:paraId="39766349">
                        <w:pPr>
                          <w:jc w:val="center"/>
                          <w:rPr>
                            <w:rFonts w:eastAsia="等线"/>
                            <w:sz w:val="16"/>
                            <w:szCs w:val="16"/>
                          </w:rPr>
                        </w:pPr>
                        <w:r>
                          <w:rPr>
                            <w:rFonts w:eastAsia="等线"/>
                            <w:sz w:val="16"/>
                            <w:szCs w:val="16"/>
                          </w:rPr>
                          <w:t>47.82%</w:t>
                        </w:r>
                      </w:p>
                    </w:tc>
                    <w:tc>
                      <w:tcPr>
                        <w:tcW w:w="983" w:type="dxa"/>
                        <w:tcBorders>
                          <w:top w:val="nil"/>
                          <w:left w:val="nil"/>
                          <w:bottom w:val="nil"/>
                          <w:right w:val="nil"/>
                        </w:tcBorders>
                        <w:noWrap/>
                        <w:vAlign w:val="center"/>
                      </w:tcPr>
                      <w:p w14:paraId="0DCBC57C">
                        <w:pPr>
                          <w:jc w:val="center"/>
                          <w:rPr>
                            <w:rFonts w:eastAsia="等线"/>
                            <w:sz w:val="16"/>
                            <w:szCs w:val="16"/>
                          </w:rPr>
                        </w:pPr>
                        <w:r>
                          <w:rPr>
                            <w:rFonts w:eastAsia="等线"/>
                            <w:sz w:val="16"/>
                            <w:szCs w:val="16"/>
                          </w:rPr>
                          <w:t>39.39%</w:t>
                        </w:r>
                      </w:p>
                    </w:tc>
                  </w:tr>
                  <w:tr w14:paraId="2F2E6145">
                    <w:tblPrEx>
                      <w:tblCellMar>
                        <w:top w:w="0" w:type="dxa"/>
                        <w:left w:w="108" w:type="dxa"/>
                        <w:bottom w:w="0" w:type="dxa"/>
                        <w:right w:w="108" w:type="dxa"/>
                      </w:tblCellMar>
                    </w:tblPrEx>
                    <w:trPr>
                      <w:trHeight w:val="231" w:hRule="atLeast"/>
                      <w:jc w:val="center"/>
                    </w:trPr>
                    <w:tc>
                      <w:tcPr>
                        <w:tcW w:w="920" w:type="dxa"/>
                        <w:tcBorders>
                          <w:top w:val="nil"/>
                          <w:left w:val="nil"/>
                          <w:bottom w:val="nil"/>
                          <w:right w:val="nil"/>
                        </w:tcBorders>
                        <w:noWrap/>
                        <w:vAlign w:val="center"/>
                      </w:tcPr>
                      <w:p w14:paraId="5B0CD64E">
                        <w:pPr>
                          <w:jc w:val="center"/>
                          <w:rPr>
                            <w:rFonts w:eastAsia="等线"/>
                            <w:i/>
                            <w:iCs/>
                            <w:sz w:val="16"/>
                            <w:szCs w:val="16"/>
                          </w:rPr>
                        </w:pPr>
                        <w:r>
                          <w:rPr>
                            <w:rFonts w:eastAsia="等线"/>
                            <w:i/>
                            <w:iCs/>
                            <w:sz w:val="16"/>
                            <w:szCs w:val="16"/>
                          </w:rPr>
                          <w:t>MAE</w:t>
                        </w:r>
                      </w:p>
                    </w:tc>
                    <w:tc>
                      <w:tcPr>
                        <w:tcW w:w="976" w:type="dxa"/>
                        <w:tcBorders>
                          <w:top w:val="nil"/>
                          <w:left w:val="nil"/>
                          <w:bottom w:val="nil"/>
                          <w:right w:val="nil"/>
                        </w:tcBorders>
                        <w:noWrap/>
                        <w:vAlign w:val="center"/>
                      </w:tcPr>
                      <w:p w14:paraId="168666D3">
                        <w:pPr>
                          <w:jc w:val="center"/>
                          <w:rPr>
                            <w:rFonts w:eastAsia="等线"/>
                            <w:sz w:val="16"/>
                            <w:szCs w:val="16"/>
                          </w:rPr>
                        </w:pPr>
                        <w:r>
                          <w:rPr>
                            <w:rFonts w:eastAsia="等线"/>
                            <w:sz w:val="16"/>
                            <w:szCs w:val="16"/>
                          </w:rPr>
                          <w:t xml:space="preserve">21.4000 </w:t>
                        </w:r>
                      </w:p>
                    </w:tc>
                    <w:tc>
                      <w:tcPr>
                        <w:tcW w:w="983" w:type="dxa"/>
                        <w:tcBorders>
                          <w:top w:val="nil"/>
                          <w:left w:val="nil"/>
                          <w:bottom w:val="nil"/>
                          <w:right w:val="nil"/>
                        </w:tcBorders>
                        <w:noWrap/>
                        <w:vAlign w:val="center"/>
                      </w:tcPr>
                      <w:p w14:paraId="3D236320">
                        <w:pPr>
                          <w:jc w:val="center"/>
                          <w:rPr>
                            <w:rFonts w:eastAsia="等线"/>
                            <w:sz w:val="16"/>
                            <w:szCs w:val="16"/>
                          </w:rPr>
                        </w:pPr>
                        <w:r>
                          <w:rPr>
                            <w:rFonts w:eastAsia="等线"/>
                            <w:sz w:val="16"/>
                            <w:szCs w:val="16"/>
                          </w:rPr>
                          <w:t xml:space="preserve">19.3557 </w:t>
                        </w:r>
                      </w:p>
                    </w:tc>
                    <w:tc>
                      <w:tcPr>
                        <w:tcW w:w="976" w:type="dxa"/>
                        <w:tcBorders>
                          <w:top w:val="nil"/>
                          <w:left w:val="nil"/>
                          <w:bottom w:val="nil"/>
                          <w:right w:val="nil"/>
                        </w:tcBorders>
                        <w:noWrap/>
                        <w:vAlign w:val="center"/>
                      </w:tcPr>
                      <w:p w14:paraId="119E9E7E">
                        <w:pPr>
                          <w:jc w:val="center"/>
                          <w:rPr>
                            <w:rFonts w:eastAsia="等线"/>
                            <w:sz w:val="16"/>
                            <w:szCs w:val="16"/>
                          </w:rPr>
                        </w:pPr>
                        <w:r>
                          <w:rPr>
                            <w:rFonts w:eastAsia="等线"/>
                            <w:sz w:val="16"/>
                            <w:szCs w:val="16"/>
                          </w:rPr>
                          <w:t xml:space="preserve">17.1676 </w:t>
                        </w:r>
                      </w:p>
                    </w:tc>
                    <w:tc>
                      <w:tcPr>
                        <w:tcW w:w="983" w:type="dxa"/>
                        <w:tcBorders>
                          <w:top w:val="nil"/>
                          <w:left w:val="nil"/>
                          <w:bottom w:val="nil"/>
                          <w:right w:val="nil"/>
                        </w:tcBorders>
                        <w:noWrap/>
                        <w:vAlign w:val="center"/>
                      </w:tcPr>
                      <w:p w14:paraId="0D32EF6A">
                        <w:pPr>
                          <w:jc w:val="center"/>
                          <w:rPr>
                            <w:rFonts w:eastAsia="等线"/>
                            <w:sz w:val="16"/>
                            <w:szCs w:val="16"/>
                          </w:rPr>
                        </w:pPr>
                        <w:r>
                          <w:rPr>
                            <w:rFonts w:eastAsia="等线"/>
                            <w:sz w:val="16"/>
                            <w:szCs w:val="16"/>
                          </w:rPr>
                          <w:t xml:space="preserve">15.3093 </w:t>
                        </w:r>
                      </w:p>
                    </w:tc>
                    <w:tc>
                      <w:tcPr>
                        <w:tcW w:w="976" w:type="dxa"/>
                        <w:tcBorders>
                          <w:top w:val="nil"/>
                          <w:left w:val="nil"/>
                          <w:bottom w:val="nil"/>
                          <w:right w:val="nil"/>
                        </w:tcBorders>
                        <w:noWrap/>
                        <w:vAlign w:val="center"/>
                      </w:tcPr>
                      <w:p w14:paraId="76176C5A">
                        <w:pPr>
                          <w:jc w:val="center"/>
                          <w:rPr>
                            <w:rFonts w:eastAsia="等线"/>
                            <w:sz w:val="16"/>
                            <w:szCs w:val="16"/>
                          </w:rPr>
                        </w:pPr>
                        <w:r>
                          <w:rPr>
                            <w:rFonts w:eastAsia="等线"/>
                            <w:sz w:val="16"/>
                            <w:szCs w:val="16"/>
                          </w:rPr>
                          <w:t xml:space="preserve">16.1459 </w:t>
                        </w:r>
                      </w:p>
                    </w:tc>
                    <w:tc>
                      <w:tcPr>
                        <w:tcW w:w="983" w:type="dxa"/>
                        <w:tcBorders>
                          <w:top w:val="nil"/>
                          <w:left w:val="nil"/>
                          <w:bottom w:val="nil"/>
                          <w:right w:val="nil"/>
                        </w:tcBorders>
                        <w:noWrap/>
                        <w:vAlign w:val="center"/>
                      </w:tcPr>
                      <w:p w14:paraId="7BA4B765">
                        <w:pPr>
                          <w:jc w:val="center"/>
                          <w:rPr>
                            <w:rFonts w:eastAsia="等线"/>
                            <w:sz w:val="16"/>
                            <w:szCs w:val="16"/>
                          </w:rPr>
                        </w:pPr>
                        <w:r>
                          <w:rPr>
                            <w:rFonts w:eastAsia="等线"/>
                            <w:sz w:val="16"/>
                            <w:szCs w:val="16"/>
                          </w:rPr>
                          <w:t xml:space="preserve">14.4957 </w:t>
                        </w:r>
                      </w:p>
                    </w:tc>
                    <w:tc>
                      <w:tcPr>
                        <w:tcW w:w="976" w:type="dxa"/>
                        <w:tcBorders>
                          <w:top w:val="nil"/>
                          <w:left w:val="nil"/>
                          <w:bottom w:val="nil"/>
                          <w:right w:val="nil"/>
                        </w:tcBorders>
                        <w:noWrap/>
                        <w:vAlign w:val="center"/>
                      </w:tcPr>
                      <w:p w14:paraId="791CA3E3">
                        <w:pPr>
                          <w:jc w:val="center"/>
                          <w:rPr>
                            <w:rFonts w:eastAsia="等线"/>
                            <w:sz w:val="16"/>
                            <w:szCs w:val="16"/>
                          </w:rPr>
                        </w:pPr>
                        <w:r>
                          <w:rPr>
                            <w:rFonts w:eastAsia="等线"/>
                            <w:sz w:val="16"/>
                            <w:szCs w:val="16"/>
                          </w:rPr>
                          <w:t xml:space="preserve">21.2246 </w:t>
                        </w:r>
                      </w:p>
                    </w:tc>
                    <w:tc>
                      <w:tcPr>
                        <w:tcW w:w="983" w:type="dxa"/>
                        <w:tcBorders>
                          <w:top w:val="nil"/>
                          <w:left w:val="nil"/>
                          <w:bottom w:val="nil"/>
                          <w:right w:val="nil"/>
                        </w:tcBorders>
                        <w:noWrap/>
                        <w:vAlign w:val="center"/>
                      </w:tcPr>
                      <w:p w14:paraId="5AC82197">
                        <w:pPr>
                          <w:jc w:val="center"/>
                          <w:rPr>
                            <w:rFonts w:eastAsia="等线"/>
                            <w:sz w:val="16"/>
                            <w:szCs w:val="16"/>
                          </w:rPr>
                        </w:pPr>
                        <w:r>
                          <w:rPr>
                            <w:rFonts w:eastAsia="等线"/>
                            <w:sz w:val="16"/>
                            <w:szCs w:val="16"/>
                          </w:rPr>
                          <w:t xml:space="preserve">17.8047 </w:t>
                        </w:r>
                      </w:p>
                    </w:tc>
                    <w:tc>
                      <w:tcPr>
                        <w:tcW w:w="976" w:type="dxa"/>
                        <w:tcBorders>
                          <w:top w:val="nil"/>
                          <w:left w:val="nil"/>
                          <w:bottom w:val="nil"/>
                          <w:right w:val="nil"/>
                        </w:tcBorders>
                        <w:noWrap/>
                        <w:vAlign w:val="center"/>
                      </w:tcPr>
                      <w:p w14:paraId="4ABD8DDF">
                        <w:pPr>
                          <w:jc w:val="center"/>
                          <w:rPr>
                            <w:rFonts w:eastAsia="等线"/>
                            <w:sz w:val="16"/>
                            <w:szCs w:val="16"/>
                          </w:rPr>
                        </w:pPr>
                        <w:r>
                          <w:rPr>
                            <w:rFonts w:eastAsia="等线"/>
                            <w:sz w:val="16"/>
                            <w:szCs w:val="16"/>
                          </w:rPr>
                          <w:t xml:space="preserve">22.2194 </w:t>
                        </w:r>
                      </w:p>
                    </w:tc>
                    <w:tc>
                      <w:tcPr>
                        <w:tcW w:w="983" w:type="dxa"/>
                        <w:tcBorders>
                          <w:top w:val="nil"/>
                          <w:left w:val="nil"/>
                          <w:bottom w:val="nil"/>
                          <w:right w:val="nil"/>
                        </w:tcBorders>
                        <w:noWrap/>
                        <w:vAlign w:val="center"/>
                      </w:tcPr>
                      <w:p w14:paraId="64F8930E">
                        <w:pPr>
                          <w:jc w:val="center"/>
                          <w:rPr>
                            <w:rFonts w:eastAsia="等线"/>
                            <w:sz w:val="16"/>
                            <w:szCs w:val="16"/>
                          </w:rPr>
                        </w:pPr>
                        <w:r>
                          <w:rPr>
                            <w:rFonts w:eastAsia="等线"/>
                            <w:sz w:val="16"/>
                            <w:szCs w:val="16"/>
                          </w:rPr>
                          <w:t xml:space="preserve">17.0156 </w:t>
                        </w:r>
                      </w:p>
                    </w:tc>
                  </w:tr>
                  <w:tr w14:paraId="7375CD28">
                    <w:tblPrEx>
                      <w:tblCellMar>
                        <w:top w:w="0" w:type="dxa"/>
                        <w:left w:w="108" w:type="dxa"/>
                        <w:bottom w:w="0" w:type="dxa"/>
                        <w:right w:w="108" w:type="dxa"/>
                      </w:tblCellMar>
                    </w:tblPrEx>
                    <w:trPr>
                      <w:trHeight w:val="231" w:hRule="atLeast"/>
                      <w:jc w:val="center"/>
                    </w:trPr>
                    <w:tc>
                      <w:tcPr>
                        <w:tcW w:w="920" w:type="dxa"/>
                        <w:tcBorders>
                          <w:top w:val="nil"/>
                          <w:left w:val="nil"/>
                          <w:bottom w:val="single" w:color="auto" w:sz="4" w:space="0"/>
                          <w:right w:val="nil"/>
                        </w:tcBorders>
                        <w:noWrap/>
                        <w:vAlign w:val="center"/>
                      </w:tcPr>
                      <w:p w14:paraId="21565E19">
                        <w:pPr>
                          <w:jc w:val="center"/>
                          <w:rPr>
                            <w:rFonts w:eastAsia="等线"/>
                            <w:i/>
                            <w:iCs/>
                            <w:sz w:val="16"/>
                            <w:szCs w:val="16"/>
                          </w:rPr>
                        </w:pPr>
                        <w:r>
                          <w:rPr>
                            <w:rFonts w:eastAsia="等线"/>
                            <w:i/>
                            <w:iCs/>
                            <w:sz w:val="16"/>
                            <w:szCs w:val="16"/>
                          </w:rPr>
                          <w:t>ME</w:t>
                        </w:r>
                      </w:p>
                    </w:tc>
                    <w:tc>
                      <w:tcPr>
                        <w:tcW w:w="976" w:type="dxa"/>
                        <w:tcBorders>
                          <w:top w:val="nil"/>
                          <w:left w:val="nil"/>
                          <w:bottom w:val="single" w:color="auto" w:sz="4" w:space="0"/>
                          <w:right w:val="nil"/>
                        </w:tcBorders>
                        <w:noWrap/>
                        <w:vAlign w:val="center"/>
                      </w:tcPr>
                      <w:p w14:paraId="0964AA3F">
                        <w:pPr>
                          <w:jc w:val="center"/>
                          <w:rPr>
                            <w:rFonts w:eastAsia="等线"/>
                            <w:sz w:val="16"/>
                            <w:szCs w:val="16"/>
                          </w:rPr>
                        </w:pPr>
                        <w:r>
                          <w:rPr>
                            <w:rFonts w:eastAsia="等线"/>
                            <w:sz w:val="16"/>
                            <w:szCs w:val="16"/>
                          </w:rPr>
                          <w:t xml:space="preserve">1.7700 </w:t>
                        </w:r>
                      </w:p>
                    </w:tc>
                    <w:tc>
                      <w:tcPr>
                        <w:tcW w:w="983" w:type="dxa"/>
                        <w:tcBorders>
                          <w:top w:val="nil"/>
                          <w:left w:val="nil"/>
                          <w:bottom w:val="single" w:color="auto" w:sz="4" w:space="0"/>
                          <w:right w:val="nil"/>
                        </w:tcBorders>
                        <w:noWrap/>
                        <w:vAlign w:val="center"/>
                      </w:tcPr>
                      <w:p w14:paraId="75E3D919">
                        <w:pPr>
                          <w:jc w:val="center"/>
                          <w:rPr>
                            <w:rFonts w:eastAsia="等线"/>
                            <w:sz w:val="16"/>
                            <w:szCs w:val="16"/>
                          </w:rPr>
                        </w:pPr>
                        <w:r>
                          <w:rPr>
                            <w:rFonts w:eastAsia="等线"/>
                            <w:sz w:val="16"/>
                            <w:szCs w:val="16"/>
                          </w:rPr>
                          <w:t xml:space="preserve">0.3318 </w:t>
                        </w:r>
                      </w:p>
                    </w:tc>
                    <w:tc>
                      <w:tcPr>
                        <w:tcW w:w="976" w:type="dxa"/>
                        <w:tcBorders>
                          <w:top w:val="nil"/>
                          <w:left w:val="nil"/>
                          <w:bottom w:val="single" w:color="auto" w:sz="4" w:space="0"/>
                          <w:right w:val="nil"/>
                        </w:tcBorders>
                        <w:noWrap/>
                        <w:vAlign w:val="center"/>
                      </w:tcPr>
                      <w:p w14:paraId="410C8659">
                        <w:pPr>
                          <w:jc w:val="center"/>
                          <w:rPr>
                            <w:rFonts w:eastAsia="等线"/>
                            <w:sz w:val="16"/>
                            <w:szCs w:val="16"/>
                          </w:rPr>
                        </w:pPr>
                        <w:r>
                          <w:rPr>
                            <w:rFonts w:eastAsia="等线"/>
                            <w:sz w:val="16"/>
                            <w:szCs w:val="16"/>
                          </w:rPr>
                          <w:t xml:space="preserve">2.0963 </w:t>
                        </w:r>
                      </w:p>
                    </w:tc>
                    <w:tc>
                      <w:tcPr>
                        <w:tcW w:w="983" w:type="dxa"/>
                        <w:tcBorders>
                          <w:top w:val="nil"/>
                          <w:left w:val="nil"/>
                          <w:bottom w:val="single" w:color="auto" w:sz="4" w:space="0"/>
                          <w:right w:val="nil"/>
                        </w:tcBorders>
                        <w:noWrap/>
                        <w:vAlign w:val="center"/>
                      </w:tcPr>
                      <w:p w14:paraId="188ADE53">
                        <w:pPr>
                          <w:jc w:val="center"/>
                          <w:rPr>
                            <w:rFonts w:eastAsia="等线"/>
                            <w:sz w:val="16"/>
                            <w:szCs w:val="16"/>
                          </w:rPr>
                        </w:pPr>
                        <w:r>
                          <w:rPr>
                            <w:rFonts w:eastAsia="等线"/>
                            <w:sz w:val="16"/>
                            <w:szCs w:val="16"/>
                          </w:rPr>
                          <w:t xml:space="preserve">0.6116 </w:t>
                        </w:r>
                      </w:p>
                    </w:tc>
                    <w:tc>
                      <w:tcPr>
                        <w:tcW w:w="976" w:type="dxa"/>
                        <w:tcBorders>
                          <w:top w:val="nil"/>
                          <w:left w:val="nil"/>
                          <w:bottom w:val="single" w:color="auto" w:sz="4" w:space="0"/>
                          <w:right w:val="nil"/>
                        </w:tcBorders>
                        <w:noWrap/>
                        <w:vAlign w:val="center"/>
                      </w:tcPr>
                      <w:p w14:paraId="227FCF66">
                        <w:pPr>
                          <w:jc w:val="center"/>
                          <w:rPr>
                            <w:rFonts w:eastAsia="等线"/>
                            <w:sz w:val="16"/>
                            <w:szCs w:val="16"/>
                          </w:rPr>
                        </w:pPr>
                        <w:r>
                          <w:rPr>
                            <w:rFonts w:eastAsia="等线"/>
                            <w:sz w:val="16"/>
                            <w:szCs w:val="16"/>
                          </w:rPr>
                          <w:t xml:space="preserve">-0.8549 </w:t>
                        </w:r>
                      </w:p>
                    </w:tc>
                    <w:tc>
                      <w:tcPr>
                        <w:tcW w:w="983" w:type="dxa"/>
                        <w:tcBorders>
                          <w:top w:val="nil"/>
                          <w:left w:val="nil"/>
                          <w:bottom w:val="single" w:color="auto" w:sz="4" w:space="0"/>
                          <w:right w:val="nil"/>
                        </w:tcBorders>
                        <w:noWrap/>
                        <w:vAlign w:val="center"/>
                      </w:tcPr>
                      <w:p w14:paraId="1C444D34">
                        <w:pPr>
                          <w:jc w:val="center"/>
                          <w:rPr>
                            <w:rFonts w:eastAsia="等线"/>
                            <w:sz w:val="16"/>
                            <w:szCs w:val="16"/>
                          </w:rPr>
                        </w:pPr>
                        <w:r>
                          <w:rPr>
                            <w:rFonts w:eastAsia="等线"/>
                            <w:sz w:val="16"/>
                            <w:szCs w:val="16"/>
                          </w:rPr>
                          <w:t xml:space="preserve">0.3845 </w:t>
                        </w:r>
                      </w:p>
                    </w:tc>
                    <w:tc>
                      <w:tcPr>
                        <w:tcW w:w="976" w:type="dxa"/>
                        <w:tcBorders>
                          <w:top w:val="nil"/>
                          <w:left w:val="nil"/>
                          <w:bottom w:val="single" w:color="auto" w:sz="4" w:space="0"/>
                          <w:right w:val="nil"/>
                        </w:tcBorders>
                        <w:noWrap/>
                        <w:vAlign w:val="center"/>
                      </w:tcPr>
                      <w:p w14:paraId="035292DE">
                        <w:pPr>
                          <w:jc w:val="center"/>
                          <w:rPr>
                            <w:rFonts w:eastAsia="等线"/>
                            <w:sz w:val="16"/>
                            <w:szCs w:val="16"/>
                          </w:rPr>
                        </w:pPr>
                        <w:r>
                          <w:rPr>
                            <w:rFonts w:eastAsia="等线"/>
                            <w:sz w:val="16"/>
                            <w:szCs w:val="16"/>
                          </w:rPr>
                          <w:t xml:space="preserve">0.3197 </w:t>
                        </w:r>
                      </w:p>
                    </w:tc>
                    <w:tc>
                      <w:tcPr>
                        <w:tcW w:w="983" w:type="dxa"/>
                        <w:tcBorders>
                          <w:top w:val="nil"/>
                          <w:left w:val="nil"/>
                          <w:bottom w:val="single" w:color="auto" w:sz="4" w:space="0"/>
                          <w:right w:val="nil"/>
                        </w:tcBorders>
                        <w:noWrap/>
                        <w:vAlign w:val="center"/>
                      </w:tcPr>
                      <w:p w14:paraId="11D9135C">
                        <w:pPr>
                          <w:jc w:val="center"/>
                          <w:rPr>
                            <w:rFonts w:eastAsia="等线"/>
                            <w:sz w:val="16"/>
                            <w:szCs w:val="16"/>
                          </w:rPr>
                        </w:pPr>
                        <w:r>
                          <w:rPr>
                            <w:rFonts w:eastAsia="等线"/>
                            <w:sz w:val="16"/>
                            <w:szCs w:val="16"/>
                          </w:rPr>
                          <w:t xml:space="preserve">0.8695 </w:t>
                        </w:r>
                      </w:p>
                    </w:tc>
                    <w:tc>
                      <w:tcPr>
                        <w:tcW w:w="976" w:type="dxa"/>
                        <w:tcBorders>
                          <w:top w:val="nil"/>
                          <w:left w:val="nil"/>
                          <w:bottom w:val="single" w:color="auto" w:sz="4" w:space="0"/>
                          <w:right w:val="nil"/>
                        </w:tcBorders>
                        <w:noWrap/>
                        <w:vAlign w:val="center"/>
                      </w:tcPr>
                      <w:p w14:paraId="4FC8798E">
                        <w:pPr>
                          <w:jc w:val="center"/>
                          <w:rPr>
                            <w:rFonts w:eastAsia="等线"/>
                            <w:sz w:val="16"/>
                            <w:szCs w:val="16"/>
                          </w:rPr>
                        </w:pPr>
                        <w:r>
                          <w:rPr>
                            <w:rFonts w:eastAsia="等线"/>
                            <w:sz w:val="16"/>
                            <w:szCs w:val="16"/>
                          </w:rPr>
                          <w:t xml:space="preserve">11.0781 </w:t>
                        </w:r>
                      </w:p>
                    </w:tc>
                    <w:tc>
                      <w:tcPr>
                        <w:tcW w:w="983" w:type="dxa"/>
                        <w:tcBorders>
                          <w:top w:val="nil"/>
                          <w:left w:val="nil"/>
                          <w:bottom w:val="single" w:color="auto" w:sz="4" w:space="0"/>
                          <w:right w:val="nil"/>
                        </w:tcBorders>
                        <w:noWrap/>
                        <w:vAlign w:val="center"/>
                      </w:tcPr>
                      <w:p w14:paraId="58EC11DA">
                        <w:pPr>
                          <w:jc w:val="center"/>
                          <w:rPr>
                            <w:rFonts w:eastAsia="等线"/>
                            <w:sz w:val="16"/>
                            <w:szCs w:val="16"/>
                          </w:rPr>
                        </w:pPr>
                        <w:r>
                          <w:rPr>
                            <w:rFonts w:eastAsia="等线"/>
                            <w:sz w:val="16"/>
                            <w:szCs w:val="16"/>
                          </w:rPr>
                          <w:t xml:space="preserve">-0.6626 </w:t>
                        </w:r>
                      </w:p>
                    </w:tc>
                  </w:tr>
                </w:tbl>
                <w:p w14:paraId="3B62066B">
                  <w:pPr>
                    <w:pStyle w:val="74"/>
                    <w:jc w:val="center"/>
                    <w:rPr>
                      <w:lang w:eastAsia="zh-CN"/>
                    </w:rPr>
                  </w:pPr>
                </w:p>
              </w:txbxContent>
            </v:textbox>
            <w10:wrap type="square"/>
          </v:shape>
        </w:pict>
      </w:r>
      <w:r>
        <w:rPr>
          <w:rFonts w:hint="eastAsia"/>
          <w:color w:val="000000" w:themeColor="text1"/>
          <w:lang w:eastAsia="zh-CN"/>
        </w:rPr>
        <w:t xml:space="preserve"> </w:t>
      </w:r>
    </w:p>
    <w:p w14:paraId="3280FC20">
      <w:pPr>
        <w:pStyle w:val="3"/>
        <w:jc w:val="both"/>
        <w:rPr>
          <w:b/>
          <w:bCs/>
          <w:color w:val="000000" w:themeColor="text1"/>
          <w:szCs w:val="21"/>
        </w:rPr>
      </w:pPr>
      <w:bookmarkStart w:id="27" w:name="_Hlk121338367"/>
      <w:r>
        <w:rPr>
          <w:color w:val="000000" w:themeColor="text1"/>
        </w:rPr>
        <w:t>Uncertainty of estimated GEDI AGBD and carbon dynamic</w:t>
      </w:r>
    </w:p>
    <w:bookmarkEnd w:id="27"/>
    <w:p w14:paraId="195523C1">
      <w:pPr>
        <w:ind w:firstLine="400" w:firstLineChars="200"/>
        <w:jc w:val="both"/>
        <w:rPr>
          <w:color w:val="000000" w:themeColor="text1"/>
        </w:rPr>
      </w:pPr>
      <w:r>
        <w:rPr>
          <w:color w:val="000000" w:themeColor="text1"/>
        </w:rPr>
        <w:t xml:space="preserve">The original GEDI AGBD grids in 2020 (Fig. 2(a)) come with a corresponding standard error map (Fig. 2(b)), which could be employed to create training samples for predicting the uncertainty of the estimated GEDI AGBD maps during </w:t>
      </w:r>
      <w:r>
        <w:rPr>
          <w:color w:val="000000" w:themeColor="text1"/>
          <w:szCs w:val="21"/>
        </w:rPr>
        <w:pict>
          <v:shape id="_x0000_s8802" o:spid="_x0000_s8802" o:spt="202" type="#_x0000_t202" style="position:absolute;left:0pt;height:438.55pt;width:518.25pt;mso-position-horizontal:center;mso-position-horizontal-relative:margin;mso-position-vertical:top;mso-position-vertical-relative:margin;mso-wrap-distance-bottom:0pt;mso-wrap-distance-left:9pt;mso-wrap-distance-right:9pt;mso-wrap-distance-top:0pt;z-index:251675648;mso-width-relative:page;mso-height-relative:page;" stroked="f" coordsize="21600,21600">
            <v:path/>
            <v:fill focussize="0,0"/>
            <v:stroke on="f" joinstyle="miter"/>
            <v:imagedata o:title=""/>
            <o:lock v:ext="edit"/>
            <v:textbox inset="0mm,0mm,0mm,0mm">
              <w:txbxContent>
                <w:p w14:paraId="208941E0">
                  <w:pPr>
                    <w:jc w:val="center"/>
                    <w:rPr>
                      <w:szCs w:val="21"/>
                    </w:rPr>
                  </w:pPr>
                  <w:bookmarkStart w:id="46" w:name="_Hlk211782379"/>
                  <w:bookmarkStart w:id="47" w:name="_Hlk211782380"/>
                  <w:r>
                    <w:rPr>
                      <w:szCs w:val="21"/>
                    </w:rPr>
                    <w:drawing>
                      <wp:inline distT="0" distB="0" distL="0" distR="0">
                        <wp:extent cx="6581775" cy="5139690"/>
                        <wp:effectExtent l="0" t="0" r="0" b="0"/>
                        <wp:docPr id="1510365035" name="图片 2"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65035" name="图片 2" descr="地图&#10;&#10;AI 生成的内容可能不正确。"/>
                                <pic:cNvPicPr>
                                  <a:picLocks noChangeAspect="1"/>
                                </pic:cNvPicPr>
                              </pic:nvPicPr>
                              <pic:blipFill>
                                <a:blip r:embed="rId21"/>
                                <a:stretch>
                                  <a:fillRect/>
                                </a:stretch>
                              </pic:blipFill>
                              <pic:spPr>
                                <a:xfrm>
                                  <a:off x="0" y="0"/>
                                  <a:ext cx="6581775" cy="5139690"/>
                                </a:xfrm>
                                <a:prstGeom prst="rect">
                                  <a:avLst/>
                                </a:prstGeom>
                              </pic:spPr>
                            </pic:pic>
                          </a:graphicData>
                        </a:graphic>
                      </wp:inline>
                    </w:drawing>
                  </w:r>
                </w:p>
                <w:p w14:paraId="4CB0DF74">
                  <w:pPr>
                    <w:adjustRightInd w:val="0"/>
                    <w:snapToGrid w:val="0"/>
                    <w:jc w:val="both"/>
                    <w:rPr>
                      <w:color w:val="000000" w:themeColor="text1"/>
                      <w:sz w:val="16"/>
                      <w:szCs w:val="16"/>
                      <w:lang w:eastAsia="zh-CN"/>
                    </w:rPr>
                  </w:pPr>
                  <w:r>
                    <w:rPr>
                      <w:rFonts w:hint="eastAsia"/>
                      <w:b/>
                      <w:bCs/>
                      <w:color w:val="000000" w:themeColor="text1"/>
                      <w:sz w:val="16"/>
                      <w:szCs w:val="16"/>
                    </w:rPr>
                    <w:t>F</w:t>
                  </w:r>
                  <w:r>
                    <w:rPr>
                      <w:b/>
                      <w:bCs/>
                      <w:color w:val="000000" w:themeColor="text1"/>
                      <w:sz w:val="16"/>
                      <w:szCs w:val="16"/>
                    </w:rPr>
                    <w:t>ig. 1</w:t>
                  </w:r>
                  <w:r>
                    <w:rPr>
                      <w:rFonts w:hint="eastAsia"/>
                      <w:b/>
                      <w:bCs/>
                      <w:color w:val="000000" w:themeColor="text1"/>
                      <w:sz w:val="16"/>
                      <w:szCs w:val="16"/>
                      <w:lang w:eastAsia="zh-CN"/>
                    </w:rPr>
                    <w:t>5</w:t>
                  </w:r>
                  <w:r>
                    <w:rPr>
                      <w:b/>
                      <w:bCs/>
                      <w:color w:val="000000" w:themeColor="text1"/>
                      <w:sz w:val="16"/>
                      <w:szCs w:val="16"/>
                    </w:rPr>
                    <w:t xml:space="preserve">. </w:t>
                  </w:r>
                  <w:r>
                    <w:rPr>
                      <w:color w:val="000000" w:themeColor="text1"/>
                      <w:sz w:val="16"/>
                      <w:szCs w:val="16"/>
                    </w:rPr>
                    <w:t>Comparison with global and local AGBD products and validation using field plot data around 2017. (a)</w:t>
                  </w:r>
                  <w:r>
                    <w:rPr>
                      <w:rFonts w:hint="eastAsia"/>
                      <w:color w:val="000000" w:themeColor="text1"/>
                      <w:sz w:val="16"/>
                      <w:szCs w:val="16"/>
                      <w:lang w:eastAsia="zh-CN"/>
                    </w:rPr>
                    <w:t>-(b)</w:t>
                  </w:r>
                  <w:r>
                    <w:rPr>
                      <w:color w:val="000000" w:themeColor="text1"/>
                      <w:sz w:val="16"/>
                      <w:szCs w:val="16"/>
                    </w:rPr>
                    <w:t xml:space="preserve"> </w:t>
                  </w:r>
                  <w:r>
                    <w:rPr>
                      <w:rFonts w:hint="eastAsia"/>
                      <w:color w:val="000000" w:themeColor="text1"/>
                      <w:sz w:val="16"/>
                      <w:szCs w:val="16"/>
                      <w:lang w:eastAsia="zh-CN"/>
                    </w:rPr>
                    <w:t xml:space="preserve">AGBD map for 2017 estimated by </w:t>
                  </w:r>
                  <w:r>
                    <w:rPr>
                      <w:color w:val="000000" w:themeColor="text1"/>
                      <w:sz w:val="16"/>
                      <w:szCs w:val="16"/>
                      <w:lang w:eastAsia="zh-CN"/>
                    </w:rPr>
                    <w:t>Chen, et al. [</w:t>
                  </w:r>
                  <w:r>
                    <w:rPr>
                      <w:rFonts w:hint="eastAsia"/>
                      <w:color w:val="000000" w:themeColor="text1"/>
                      <w:sz w:val="16"/>
                      <w:szCs w:val="16"/>
                      <w:lang w:eastAsia="zh-CN"/>
                    </w:rPr>
                    <w:t>49</w:t>
                  </w:r>
                  <w:r>
                    <w:rPr>
                      <w:color w:val="000000" w:themeColor="text1"/>
                      <w:sz w:val="16"/>
                      <w:szCs w:val="16"/>
                      <w:lang w:eastAsia="zh-CN"/>
                    </w:rPr>
                    <w:t>]</w:t>
                  </w:r>
                  <w:r>
                    <w:rPr>
                      <w:rFonts w:hint="eastAsia"/>
                      <w:color w:val="000000" w:themeColor="text1"/>
                      <w:sz w:val="16"/>
                      <w:szCs w:val="16"/>
                      <w:lang w:eastAsia="zh-CN"/>
                    </w:rPr>
                    <w:t xml:space="preserve"> and its a</w:t>
                  </w:r>
                  <w:r>
                    <w:rPr>
                      <w:color w:val="000000" w:themeColor="text1"/>
                      <w:sz w:val="16"/>
                      <w:szCs w:val="16"/>
                    </w:rPr>
                    <w:t xml:space="preserve">ccuracy assessment </w:t>
                  </w:r>
                  <w:r>
                    <w:rPr>
                      <w:rFonts w:hint="eastAsia"/>
                      <w:color w:val="000000" w:themeColor="text1"/>
                      <w:sz w:val="16"/>
                      <w:szCs w:val="16"/>
                      <w:lang w:eastAsia="zh-CN"/>
                    </w:rPr>
                    <w:t>with corresponding</w:t>
                  </w:r>
                  <w:r>
                    <w:rPr>
                      <w:color w:val="000000" w:themeColor="text1"/>
                      <w:sz w:val="16"/>
                      <w:szCs w:val="16"/>
                    </w:rPr>
                    <w:t xml:space="preserve"> scatterplot based on </w:t>
                  </w:r>
                  <w:r>
                    <w:rPr>
                      <w:rFonts w:hint="eastAsia"/>
                      <w:color w:val="000000" w:themeColor="text1"/>
                      <w:sz w:val="16"/>
                      <w:szCs w:val="16"/>
                      <w:lang w:eastAsia="zh-CN"/>
                    </w:rPr>
                    <w:t>182 field plots. (c)-(d) ESA_CCI AGBD map for 2017 and its a</w:t>
                  </w:r>
                  <w:r>
                    <w:rPr>
                      <w:color w:val="000000" w:themeColor="text1"/>
                      <w:sz w:val="16"/>
                      <w:szCs w:val="16"/>
                    </w:rPr>
                    <w:t xml:space="preserve">ccuracy assessment </w:t>
                  </w:r>
                  <w:r>
                    <w:rPr>
                      <w:rFonts w:hint="eastAsia"/>
                      <w:color w:val="000000" w:themeColor="text1"/>
                      <w:sz w:val="16"/>
                      <w:szCs w:val="16"/>
                      <w:lang w:eastAsia="zh-CN"/>
                    </w:rPr>
                    <w:t>with</w:t>
                  </w:r>
                  <w:r>
                    <w:rPr>
                      <w:color w:val="000000" w:themeColor="text1"/>
                      <w:sz w:val="16"/>
                      <w:szCs w:val="16"/>
                    </w:rPr>
                    <w:t xml:space="preserve"> scatterplot</w:t>
                  </w:r>
                  <w:r>
                    <w:rPr>
                      <w:rFonts w:hint="eastAsia"/>
                      <w:color w:val="000000" w:themeColor="text1"/>
                      <w:sz w:val="16"/>
                      <w:szCs w:val="16"/>
                      <w:lang w:eastAsia="zh-CN"/>
                    </w:rPr>
                    <w:t>. (e)-(f) AGBD map for 2017 estimated by CNN_spatial in this study and its a</w:t>
                  </w:r>
                  <w:r>
                    <w:rPr>
                      <w:color w:val="000000" w:themeColor="text1"/>
                      <w:sz w:val="16"/>
                      <w:szCs w:val="16"/>
                    </w:rPr>
                    <w:t xml:space="preserve">ccuracy assessment </w:t>
                  </w:r>
                  <w:r>
                    <w:rPr>
                      <w:rFonts w:hint="eastAsia"/>
                      <w:color w:val="000000" w:themeColor="text1"/>
                      <w:sz w:val="16"/>
                      <w:szCs w:val="16"/>
                      <w:lang w:eastAsia="zh-CN"/>
                    </w:rPr>
                    <w:t>with</w:t>
                  </w:r>
                  <w:r>
                    <w:rPr>
                      <w:color w:val="000000" w:themeColor="text1"/>
                      <w:sz w:val="16"/>
                      <w:szCs w:val="16"/>
                    </w:rPr>
                    <w:t xml:space="preserve"> scatterplot</w:t>
                  </w:r>
                  <w:r>
                    <w:rPr>
                      <w:rFonts w:hint="eastAsia"/>
                      <w:color w:val="000000" w:themeColor="text1"/>
                      <w:sz w:val="16"/>
                      <w:szCs w:val="16"/>
                      <w:lang w:eastAsia="zh-CN"/>
                    </w:rPr>
                    <w:t>.</w:t>
                  </w:r>
                  <w:bookmarkEnd w:id="46"/>
                  <w:bookmarkEnd w:id="47"/>
                </w:p>
              </w:txbxContent>
            </v:textbox>
            <w10:wrap type="square"/>
          </v:shape>
        </w:pict>
      </w:r>
      <w:r>
        <w:rPr>
          <w:color w:val="000000" w:themeColor="text1"/>
        </w:rPr>
        <w:t xml:space="preserve">2015-2020. Following the procedure outlined in Section 3.3, we generated standard error maps for the annual GEDI AGBD from 2015 to 2020 (Figs. 13(a)-(f)). While the standard error map exhibits variation from 2015 to 2020, the AGBD values, on the whole, remain within the range of 40 Mg/ha. Furthermore, the spatial distribution of standard errors closely aligns with the estimated </w:t>
      </w:r>
      <w:r>
        <w:rPr>
          <w:rFonts w:hint="eastAsia"/>
          <w:color w:val="000000" w:themeColor="text1"/>
        </w:rPr>
        <w:t>AGBD</w:t>
      </w:r>
      <w:r>
        <w:rPr>
          <w:color w:val="000000" w:themeColor="text1"/>
        </w:rPr>
        <w:t xml:space="preserve"> maps: areas with higher the </w:t>
      </w:r>
      <w:r>
        <w:rPr>
          <w:rFonts w:hint="eastAsia"/>
          <w:color w:val="000000" w:themeColor="text1"/>
        </w:rPr>
        <w:t>AGBD</w:t>
      </w:r>
      <w:r>
        <w:rPr>
          <w:color w:val="000000" w:themeColor="text1"/>
        </w:rPr>
        <w:t xml:space="preserve"> values correspond to larger standard errors.</w:t>
      </w:r>
    </w:p>
    <w:p w14:paraId="72496B91">
      <w:pPr>
        <w:ind w:firstLine="400" w:firstLineChars="200"/>
        <w:jc w:val="both"/>
        <w:rPr>
          <w:color w:val="000000" w:themeColor="text1"/>
        </w:rPr>
      </w:pPr>
      <w:r>
        <w:rPr>
          <w:color w:val="000000" w:themeColor="text1"/>
          <w:szCs w:val="21"/>
        </w:rPr>
        <w:t xml:space="preserve">Utilizing the </w:t>
      </w:r>
      <w:r>
        <w:rPr>
          <w:color w:val="000000" w:themeColor="text1"/>
        </w:rPr>
        <w:t xml:space="preserve">annual </w:t>
      </w:r>
      <w:r>
        <w:rPr>
          <w:color w:val="000000" w:themeColor="text1"/>
          <w:szCs w:val="21"/>
        </w:rPr>
        <w:t>standard error maps shown in Fig. 1</w:t>
      </w:r>
      <w:r>
        <w:rPr>
          <w:rFonts w:hint="eastAsia"/>
          <w:color w:val="000000" w:themeColor="text1"/>
          <w:szCs w:val="21"/>
          <w:lang w:eastAsia="zh-CN"/>
        </w:rPr>
        <w:t>4</w:t>
      </w:r>
      <w:r>
        <w:rPr>
          <w:color w:val="000000" w:themeColor="text1"/>
          <w:szCs w:val="21"/>
        </w:rPr>
        <w:t xml:space="preserve"> and the estimated GEDI AGBD maps from Fig. </w:t>
      </w:r>
      <w:r>
        <w:rPr>
          <w:color w:val="000000" w:themeColor="text1"/>
        </w:rPr>
        <w:t>1</w:t>
      </w:r>
      <w:r>
        <w:rPr>
          <w:rFonts w:hint="eastAsia"/>
          <w:color w:val="000000" w:themeColor="text1"/>
          <w:lang w:eastAsia="zh-CN"/>
        </w:rPr>
        <w:t xml:space="preserve">3 </w:t>
      </w:r>
      <w:r>
        <w:rPr>
          <w:color w:val="000000" w:themeColor="text1"/>
          <w:szCs w:val="21"/>
        </w:rPr>
        <w:t xml:space="preserve">during 2015-2020, we conducted calculations to determine the uncertainty of AGB and the associated changes in carbon content, encompassing increases, decreases, and net change over this period. In practical applications, AGB estimation contains numerous uncertainties, and addressing the primary sources of uncertainty can enhance the robustness and statistical interpretability of the results </w:t>
      </w:r>
      <w:r>
        <w:rPr>
          <w:color w:val="000000" w:themeColor="text1"/>
          <w:szCs w:val="21"/>
        </w:rPr>
        <w:fldChar w:fldCharType="begin">
          <w:fldData xml:space="preserve">PEVuZE5vdGU+PENpdGU+PEF1dGhvcj5YdTwvQXV0aG9yPjxZZWFyPjIwMjE8L1llYXI+PFJlY051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</w:fldData>
        </w:fldChar>
      </w:r>
      <w:r>
        <w:rPr>
          <w:color w:val="000000" w:themeColor="text1"/>
          <w:szCs w:val="21"/>
        </w:rPr>
        <w:instrText xml:space="preserve"> ADDIN EN.CITE </w:instrText>
      </w:r>
      <w:r>
        <w:rPr>
          <w:color w:val="000000" w:themeColor="text1"/>
          <w:szCs w:val="21"/>
        </w:rPr>
        <w:fldChar w:fldCharType="begin">
          <w:fldData xml:space="preserve">PEVuZE5vdGU+PENpdGU+PEF1dGhvcj5YdTwvQXV0aG9yPjxZZWFyPjIwMjE8L1llYXI+PFJlY051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</w:fldData>
        </w:fldChar>
      </w:r>
      <w:r>
        <w:rPr>
          <w:color w:val="000000" w:themeColor="text1"/>
          <w:szCs w:val="21"/>
        </w:rPr>
        <w:instrText xml:space="preserve"> ADDIN EN.CITE.DATA </w:instrText>
      </w:r>
      <w:r>
        <w:rPr>
          <w:color w:val="000000" w:themeColor="text1"/>
          <w:szCs w:val="21"/>
        </w:rPr>
        <w:fldChar w:fldCharType="end"/>
      </w:r>
      <w:r>
        <w:rPr>
          <w:color w:val="000000" w:themeColor="text1"/>
          <w:szCs w:val="21"/>
        </w:rPr>
        <w:fldChar w:fldCharType="separate"/>
      </w:r>
      <w:r>
        <w:rPr>
          <w:color w:val="000000" w:themeColor="text1"/>
          <w:szCs w:val="21"/>
        </w:rPr>
        <w:t>[24, 36, 50]</w:t>
      </w:r>
      <w:r>
        <w:rPr>
          <w:color w:val="000000" w:themeColor="text1"/>
          <w:szCs w:val="21"/>
        </w:rPr>
        <w:fldChar w:fldCharType="end"/>
      </w:r>
      <w:r>
        <w:rPr>
          <w:color w:val="000000" w:themeColor="text1"/>
          <w:szCs w:val="21"/>
        </w:rPr>
        <w:t xml:space="preserve">. Following the incorporation of standard errors into each of the estimated GEDI </w:t>
      </w:r>
      <w:r>
        <w:rPr>
          <w:rFonts w:hint="eastAsia"/>
          <w:color w:val="000000" w:themeColor="text1"/>
          <w:szCs w:val="21"/>
        </w:rPr>
        <w:t>AG</w:t>
      </w:r>
      <w:r>
        <w:rPr>
          <w:color w:val="000000" w:themeColor="text1"/>
          <w:szCs w:val="21"/>
        </w:rPr>
        <w:t xml:space="preserve">BD maps and the subsequent conversion of the adjusted AGBD values to AGB stock, it is observed that </w:t>
      </w:r>
      <w:r>
        <w:rPr>
          <w:color w:val="000000" w:themeColor="text1"/>
        </w:rPr>
        <w:t>the Han River Basin experienced a net increase of 2.776 ± 0.376 × 10</w:t>
      </w:r>
      <w:r>
        <w:rPr>
          <w:color w:val="000000" w:themeColor="text1"/>
          <w:vertAlign w:val="superscript"/>
        </w:rPr>
        <w:t>7</w:t>
      </w:r>
      <w:r>
        <w:rPr>
          <w:color w:val="000000" w:themeColor="text1"/>
        </w:rPr>
        <w:t xml:space="preserve"> Mg AGB from 2015 to 2020. Through the conversion of dry biomass into carbon stock using a factor of 0.49, it is determined that the aboveground biomass in the Han River Basin exhibited a carbon net increase of 1.388 ± 0.188 × 10</w:t>
      </w:r>
      <w:r>
        <w:rPr>
          <w:color w:val="000000" w:themeColor="text1"/>
          <w:vertAlign w:val="superscript"/>
        </w:rPr>
        <w:t>7</w:t>
      </w:r>
      <w:r>
        <w:rPr>
          <w:color w:val="000000" w:themeColor="text1"/>
        </w:rPr>
        <w:t xml:space="preserve"> MgC. Consequently, AGB in the Han River Basin can be characterized as a carbon sink during the period from 2015 to 2020. This observation aligns well with the previous findings related to vegetation greening </w:t>
      </w:r>
      <w:r>
        <w:rPr>
          <w:color w:val="000000" w:themeColor="text1"/>
        </w:rPr>
        <w:fldChar w:fldCharType="begin"/>
      </w:r>
      <w:r>
        <w:rPr>
          <w:color w:val="000000" w:themeColor="text1"/>
        </w:rPr>
        <w:instrText xml:space="preserve"> ADDIN EN.CITE &lt;EndNote&gt;&lt;Cite&gt;&lt;Author&gt;Song&lt;/Author&gt;&lt;Year&gt;2018&lt;/Year&gt;&lt;RecNum&gt;238&lt;/RecNum&gt;&lt;DisplayText&gt;[41]&lt;/DisplayText&gt;&lt;record&gt;&lt;rec-number&gt;238&lt;/rec-number&gt;&lt;foreign-keys&gt;&lt;key app="EN" db-id="pv902f0emrpxwae0aecvvpapa20ep02dp9fp" timestamp="1670249737"&gt;238&lt;/key&gt;&lt;/foreign-keys&gt;&lt;ref-type name="Journal Article"&gt;17&lt;/ref-type&gt;&lt;contributors&gt;&lt;authors&gt;&lt;author&gt;Song, Xiao-Peng&lt;/author&gt;&lt;author&gt;Hansen, Matthew C.&lt;/author&gt;&lt;author&gt;Stehman, Stephen V.&lt;/author&gt;&lt;author&gt;Potapov, Peter V.&lt;/author&gt;&lt;author&gt;Tyukavina, Alexandra&lt;/author&gt;&lt;author&gt;Vermote, Eric F.&lt;/author&gt;&lt;author&gt;Townshend, John R.&lt;/author&gt;&lt;/authors&gt;&lt;/contributors&gt;&lt;titles&gt;&lt;title&gt;Global land change from 1982 to 2016&lt;/title&gt;&lt;secondary-title&gt;Nature&lt;/secondary-title&gt;&lt;/titles&gt;&lt;periodical&gt;&lt;full-title&gt;Nature&lt;/full-title&gt;&lt;/periodical&gt;&lt;pages&gt;639-643&lt;/pages&gt;&lt;volume&gt;560&lt;/volume&gt;&lt;number&gt;7720&lt;/number&gt;&lt;dates&gt;&lt;year&gt;2018&lt;/year&gt;&lt;pub-dates&gt;&lt;date&gt;2018/08/01&lt;/date&gt;&lt;/pub-dates&gt;&lt;/dates&gt;&lt;isbn&gt;1476-4687&lt;/isbn&gt;&lt;urls&gt;&lt;related-urls&gt;&lt;url&gt;https://doi.org/10.1038/s41586-018-0411-9&lt;/url&gt;&lt;/related-urls&gt;&lt;/urls&gt;&lt;electronic-resource-num&gt;https://doi.org/10.1038/s41586-018-0411-9&lt;/electronic-resource-num&gt;&lt;/record&gt;&lt;/Cite&gt;&lt;/EndNote&gt;</w:instrText>
      </w:r>
      <w:r>
        <w:rPr>
          <w:color w:val="000000" w:themeColor="text1"/>
        </w:rPr>
        <w:fldChar w:fldCharType="separate"/>
      </w:r>
      <w:r>
        <w:rPr>
          <w:color w:val="000000" w:themeColor="text1"/>
        </w:rPr>
        <w:t>[41]</w:t>
      </w:r>
      <w:r>
        <w:rPr>
          <w:color w:val="000000" w:themeColor="text1"/>
        </w:rPr>
        <w:fldChar w:fldCharType="end"/>
      </w:r>
      <w:r>
        <w:rPr>
          <w:color w:val="000000" w:themeColor="text1"/>
        </w:rPr>
        <w:t xml:space="preserve"> and the increasing trend in biomass/carbon </w:t>
      </w:r>
      <w:r>
        <w:rPr>
          <w:color w:val="000000" w:themeColor="text1"/>
        </w:rPr>
        <w:fldChar w:fldCharType="begin"/>
      </w:r>
      <w:r>
        <w:rPr>
          <w:color w:val="000000" w:themeColor="text1"/>
        </w:rPr>
        <w:instrText xml:space="preserve"> ADDIN EN.CITE &lt;EndNote&gt;&lt;Cite&gt;&lt;Author&gt;Chen&lt;/Author&gt;&lt;Year&gt;2022&lt;/Year&gt;&lt;RecNum&gt;239&lt;/RecNum&gt;&lt;DisplayText&gt;[49]&lt;/DisplayText&gt;&lt;record&gt;&lt;rec-number&gt;239&lt;/rec-number&gt;&lt;foreign-keys&gt;&lt;key app="EN" db-id="pv902f0emrpxwae0aecvvpapa20ep02dp9fp" timestamp="1670409634"&gt;239&lt;/key&gt;&lt;/foreign-keys&gt;&lt;ref-type name="Journal Article"&gt;17&lt;/ref-type&gt;&lt;contributors&gt;&lt;authors&gt;&lt;author&gt;Chen, Y.&lt;/author&gt;&lt;author&gt;Feng, X.&lt;/author&gt;&lt;author&gt;Fu, B.&lt;/author&gt;&lt;author&gt;Ma, H.&lt;/author&gt;&lt;author&gt;Zohner, C. M.&lt;/author&gt;&lt;author&gt;Crowther, T. W.&lt;/author&gt;&lt;author&gt;Huang, Y.&lt;/author&gt;&lt;author&gt;Wu, X.&lt;/author&gt;&lt;author&gt;Wei, F.&lt;/author&gt;&lt;/authors&gt;&lt;/contributors&gt;&lt;titles&gt;&lt;title&gt;High-resolution maps of above- and belowground woody biomass in China from 2003 to 2020&lt;/title&gt;&lt;secondary-title&gt;Earth System Science Data&lt;/secondary-title&gt;&lt;/titles&gt;&lt;periodical&gt;&lt;full-title&gt;Earth System Science Data&lt;/full-title&gt;&lt;abbr-1&gt;Earth Syst. Sci. Data&lt;/abbr-1&gt;&lt;/periodical&gt;&lt;pages&gt;1-34&lt;/pages&gt;&lt;volume&gt;2022&lt;/volume&gt;&lt;dates&gt;&lt;year&gt;2022&lt;/year&gt;&lt;/dates&gt;&lt;publisher&gt;Copernicus Publications&lt;/publisher&gt;&lt;isbn&gt;1866-3591&lt;/isbn&gt;&lt;urls&gt;&lt;related-urls&gt;&lt;url&gt;https://essd.copernicus.org/preprints/essd-2022-286/&lt;/url&gt;&lt;/related-urls&gt;&lt;pdf-urls&gt;&lt;url&gt;https://essd.copernicus.org/preprints/essd-2022-286/essd-2022-286.pdf&lt;/url&gt;&lt;/pdf-urls&gt;&lt;/urls&gt;&lt;electronic-resource-num&gt;https://doi.org/10.5194/essd-2022-286&lt;/electronic-resource-num&gt;&lt;/record&gt;&lt;/Cite&gt;&lt;/EndNote&gt;</w:instrText>
      </w:r>
      <w:r>
        <w:rPr>
          <w:color w:val="000000" w:themeColor="text1"/>
        </w:rPr>
        <w:fldChar w:fldCharType="separate"/>
      </w:r>
      <w:r>
        <w:rPr>
          <w:color w:val="000000" w:themeColor="text1"/>
        </w:rPr>
        <w:t>[49]</w:t>
      </w:r>
      <w:r>
        <w:rPr>
          <w:color w:val="000000" w:themeColor="text1"/>
        </w:rPr>
        <w:fldChar w:fldCharType="end"/>
      </w:r>
      <w:r>
        <w:rPr>
          <w:color w:val="000000" w:themeColor="text1"/>
        </w:rPr>
        <w:t xml:space="preserve"> in the core regions of the Qinling Mountains.</w:t>
      </w:r>
      <w:bookmarkStart w:id="28" w:name="_Hlk118921177"/>
    </w:p>
    <w:bookmarkEnd w:id="28"/>
    <w:p w14:paraId="4422ADE2">
      <w:pPr>
        <w:pStyle w:val="3"/>
        <w:jc w:val="both"/>
        <w:rPr>
          <w:color w:val="000000" w:themeColor="text1"/>
        </w:rPr>
      </w:pPr>
      <w:bookmarkStart w:id="29" w:name="_Hlk211354165"/>
      <w:r>
        <w:rPr>
          <w:rFonts w:hint="eastAsia"/>
          <w:color w:val="000000" w:themeColor="text1"/>
        </w:rPr>
        <w:t>Comparison with global and local AGBD products</w:t>
      </w:r>
      <w:r>
        <w:rPr>
          <w:rFonts w:hint="eastAsia"/>
          <w:color w:val="000000" w:themeColor="text1"/>
          <w:lang w:eastAsia="zh-CN"/>
        </w:rPr>
        <w:t xml:space="preserve"> and validation using field plots</w:t>
      </w:r>
    </w:p>
    <w:bookmarkEnd w:id="29"/>
    <w:p w14:paraId="41529E75">
      <w:pPr>
        <w:spacing w:line="260" w:lineRule="exact"/>
        <w:ind w:firstLine="400" w:firstLineChars="200"/>
        <w:jc w:val="both"/>
        <w:rPr>
          <w:color w:val="000000" w:themeColor="text1"/>
          <w:lang w:eastAsia="zh-CN"/>
        </w:rPr>
      </w:pPr>
      <w:r>
        <w:rPr>
          <w:color w:val="000000" w:themeColor="text1"/>
          <w:lang w:eastAsia="zh-CN"/>
        </w:rPr>
        <w:t>A comparison with global and local AGBD products, along with validation using field plot data around 2017, is presented in Fig. 15.</w:t>
      </w:r>
      <w:r>
        <w:rPr>
          <w:rFonts w:hint="eastAsia"/>
          <w:color w:val="000000" w:themeColor="text1"/>
          <w:lang w:eastAsia="zh-CN"/>
        </w:rPr>
        <w:t xml:space="preserve"> The three AGBD maps exhibit similar spatial distribution patterns across the Han River Basin but differ notably in their AGBD ranges and spatial details. For the AGBD map estimated by </w:t>
      </w:r>
      <w:r>
        <w:rPr>
          <w:color w:val="000000" w:themeColor="text1"/>
        </w:rPr>
        <w:fldChar w:fldCharType="begin"/>
      </w:r>
      <w:r>
        <w:rPr>
          <w:color w:val="000000" w:themeColor="text1"/>
        </w:rPr>
        <w:instrText xml:space="preserve"> ADDIN EN.CITE &lt;EndNote&gt;&lt;Cite AuthorYear="1"&gt;&lt;Author&gt;Chen&lt;/Author&gt;&lt;Year&gt;2022&lt;/Year&gt;&lt;RecNum&gt;239&lt;/RecNum&gt;&lt;DisplayText&gt;Chen, et al. [49]&lt;/DisplayText&gt;&lt;record&gt;&lt;rec-number&gt;239&lt;/rec-number&gt;&lt;foreign-keys&gt;&lt;key app="EN" db-id="pv902f0emrpxwae0aecvvpapa20ep02dp9fp" timestamp="1670409634"&gt;239&lt;/key&gt;&lt;/foreign-keys&gt;&lt;ref-type name="Journal Article"&gt;17&lt;/ref-type&gt;&lt;contributors&gt;&lt;authors&gt;&lt;author&gt;Chen, Y.&lt;/author&gt;&lt;author&gt;Feng, X.&lt;/author&gt;&lt;author&gt;Fu, B.&lt;/author&gt;&lt;author&gt;Ma, H.&lt;/author&gt;&lt;author&gt;Zohner, C. M.&lt;/author&gt;&lt;author&gt;Crowther, T. W.&lt;/author&gt;&lt;author&gt;Huang, Y.&lt;/author&gt;&lt;author&gt;Wu, X.&lt;/author&gt;&lt;author&gt;Wei, F.&lt;/author&gt;&lt;/authors&gt;&lt;/contributors&gt;&lt;titles&gt;&lt;title&gt;High-resolution maps of above- and belowground woody biomass in China from 2003 to 2020&lt;/title&gt;&lt;secondary-title&gt;Earth System Science Data&lt;/secondary-title&gt;&lt;/titles&gt;&lt;periodical&gt;&lt;full-title&gt;Earth System Science Data&lt;/full-title&gt;&lt;abbr-1&gt;Earth Syst. Sci. Data&lt;/abbr-1&gt;&lt;/periodical&gt;&lt;pages&gt;1-34&lt;/pages&gt;&lt;volume&gt;2022&lt;/volume&gt;&lt;dates&gt;&lt;year&gt;2022&lt;/year&gt;&lt;/dates&gt;&lt;publisher&gt;Copernicus Publications&lt;/publisher&gt;&lt;isbn&gt;1866-3591&lt;/isbn&gt;&lt;urls&gt;&lt;related-urls&gt;&lt;url&gt;https://essd.copernicus.org/preprints/essd-2022-286/&lt;/url&gt;&lt;/related-urls&gt;&lt;pdf-urls&gt;&lt;url&gt;https://essd.copernicus.org/preprints/essd-2022-286/essd-2022-286.pdf&lt;/url&gt;&lt;/pdf-urls&gt;&lt;/urls&gt;&lt;electronic-resource-num&gt;https://doi.org/10.5194/essd-2022-286&lt;/electronic-resource-num&gt;&lt;/record&gt;&lt;/Cite&gt;&lt;/EndNote&gt;</w:instrText>
      </w:r>
      <w:r>
        <w:rPr>
          <w:color w:val="000000" w:themeColor="text1"/>
        </w:rPr>
        <w:fldChar w:fldCharType="separate"/>
      </w:r>
      <w:r>
        <w:rPr>
          <w:color w:val="000000" w:themeColor="text1"/>
        </w:rPr>
        <w:t>Chen, et al. [49]</w:t>
      </w:r>
      <w:r>
        <w:rPr>
          <w:color w:val="000000" w:themeColor="text1"/>
        </w:rPr>
        <w:fldChar w:fldCharType="end"/>
      </w:r>
      <w:r>
        <w:rPr>
          <w:rFonts w:hint="eastAsia"/>
          <w:color w:val="000000" w:themeColor="text1"/>
          <w:lang w:eastAsia="zh-CN"/>
        </w:rPr>
        <w:t xml:space="preserve"> (Fig. 15(a)-(b)), AGBD values were generally underestimated relative to the field plot data (ME = -32.7693), resulting in the worst accuracy among the three estimates. Compared with AGBD map estimated by </w:t>
      </w:r>
      <w:r>
        <w:rPr>
          <w:color w:val="000000" w:themeColor="text1"/>
        </w:rPr>
        <w:fldChar w:fldCharType="begin"/>
      </w:r>
      <w:r>
        <w:rPr>
          <w:color w:val="000000" w:themeColor="text1"/>
        </w:rPr>
        <w:instrText xml:space="preserve"> ADDIN EN.CITE &lt;EndNote&gt;&lt;Cite AuthorYear="1"&gt;&lt;Author&gt;Chen&lt;/Author&gt;&lt;Year&gt;2022&lt;/Year&gt;&lt;RecNum&gt;239&lt;/RecNum&gt;&lt;DisplayText&gt;Chen, et al. [49]&lt;/DisplayText&gt;&lt;record&gt;&lt;rec-number&gt;239&lt;/rec-number&gt;&lt;foreign-keys&gt;&lt;key app="EN" db-id="pv902f0emrpxwae0aecvvpapa20ep02dp9fp" timestamp="1670409634"&gt;239&lt;/key&gt;&lt;/foreign-keys&gt;&lt;ref-type name="Journal Article"&gt;17&lt;/ref-type&gt;&lt;contributors&gt;&lt;authors&gt;&lt;author&gt;Chen, Y.&lt;/author&gt;&lt;author&gt;Feng, X.&lt;/author&gt;&lt;author&gt;Fu, B.&lt;/author&gt;&lt;author&gt;Ma, H.&lt;/author&gt;&lt;author&gt;Zohner, C. M.&lt;/author&gt;&lt;author&gt;Crowther, T. W.&lt;/author&gt;&lt;author&gt;Huang, Y.&lt;/author&gt;&lt;author&gt;Wu, X.&lt;/author&gt;&lt;author&gt;Wei, F.&lt;/author&gt;&lt;/authors&gt;&lt;/contributors&gt;&lt;titles&gt;&lt;title&gt;High-resolution maps of above- and belowground woody biomass in China from 2003 to 2020&lt;/title&gt;&lt;secondary-title&gt;Earth System Science Data&lt;/secondary-title&gt;&lt;/titles&gt;&lt;periodical&gt;&lt;full-title&gt;Earth System Science Data&lt;/full-title&gt;&lt;abbr-1&gt;Earth Syst. Sci. Data&lt;/abbr-1&gt;&lt;/periodical&gt;&lt;pages&gt;1-34&lt;/pages&gt;&lt;volume&gt;2022&lt;/volume&gt;&lt;dates&gt;&lt;year&gt;2022&lt;/year&gt;&lt;/dates&gt;&lt;publisher&gt;Copernicus Publications&lt;/publisher&gt;&lt;isbn&gt;1866-3591&lt;/isbn&gt;&lt;urls&gt;&lt;related-urls&gt;&lt;url&gt;https://essd.copernicus.org/preprints/essd-2022-286/&lt;/url&gt;&lt;/related-urls&gt;&lt;pdf-urls&gt;&lt;url&gt;https://essd.copernicus.org/preprints/essd-2022-286/essd-2022-286.pdf&lt;/url&gt;&lt;/pdf-urls&gt;&lt;/urls&gt;&lt;electronic-resource-num&gt;https://doi.org/10.5194/essd-2022-286&lt;/electronic-resource-num&gt;&lt;/record&gt;&lt;/Cite&gt;&lt;/EndNote&gt;</w:instrText>
      </w:r>
      <w:r>
        <w:rPr>
          <w:color w:val="000000" w:themeColor="text1"/>
        </w:rPr>
        <w:fldChar w:fldCharType="separate"/>
      </w:r>
      <w:r>
        <w:rPr>
          <w:color w:val="000000" w:themeColor="text1"/>
        </w:rPr>
        <w:t>Chen, et al. [49]</w:t>
      </w:r>
      <w:r>
        <w:rPr>
          <w:color w:val="000000" w:themeColor="text1"/>
        </w:rPr>
        <w:fldChar w:fldCharType="end"/>
      </w:r>
      <w:r>
        <w:rPr>
          <w:rFonts w:hint="eastAsia"/>
          <w:color w:val="000000" w:themeColor="text1"/>
          <w:lang w:eastAsia="zh-CN"/>
        </w:rPr>
        <w:t xml:space="preserve">, </w:t>
      </w:r>
      <w:r>
        <w:rPr>
          <w:color w:val="000000" w:themeColor="text1"/>
          <w:lang w:eastAsia="zh-CN"/>
        </w:rPr>
        <w:t>the ESA_CCI AGBD product (Fig. 15(c)–(d)) shows improved accuracy and a reduced underestimation bias (ME = –17.2</w:t>
      </w:r>
      <w:r>
        <w:rPr>
          <w:rFonts w:hint="eastAsia"/>
          <w:color w:val="000000" w:themeColor="text1"/>
          <w:lang w:eastAsia="zh-CN"/>
        </w:rPr>
        <w:t>557</w:t>
      </w:r>
      <w:r>
        <w:rPr>
          <w:color w:val="000000" w:themeColor="text1"/>
          <w:lang w:eastAsia="zh-CN"/>
        </w:rPr>
        <w:t>), although visible noise and residual underestimation remain.</w:t>
      </w:r>
      <w:r>
        <w:rPr>
          <w:rFonts w:hint="eastAsia"/>
          <w:color w:val="000000" w:themeColor="text1"/>
          <w:lang w:eastAsia="zh-CN"/>
        </w:rPr>
        <w:t xml:space="preserve"> </w:t>
      </w:r>
      <w:r>
        <w:rPr>
          <w:color w:val="000000" w:themeColor="text1"/>
          <w:lang w:eastAsia="zh-CN"/>
        </w:rPr>
        <w:t xml:space="preserve">In contrast, the AGBD map generated in this study (Fig. 15(e)–(f)) effectively mitigates the underestimation issue and achieves the </w:t>
      </w:r>
      <w:r>
        <w:rPr>
          <w:rFonts w:hint="eastAsia"/>
          <w:color w:val="000000" w:themeColor="text1"/>
          <w:lang w:eastAsia="zh-CN"/>
        </w:rPr>
        <w:t>best</w:t>
      </w:r>
      <w:r>
        <w:rPr>
          <w:color w:val="000000" w:themeColor="text1"/>
          <w:lang w:eastAsia="zh-CN"/>
        </w:rPr>
        <w:t xml:space="preserve"> accuracy relative to the field plot data. </w:t>
      </w:r>
      <w:r>
        <w:rPr>
          <w:rFonts w:hint="eastAsia"/>
          <w:color w:val="000000" w:themeColor="text1"/>
          <w:lang w:eastAsia="zh-CN"/>
        </w:rPr>
        <w:t>It is noted that</w:t>
      </w:r>
      <w:r>
        <w:rPr>
          <w:color w:val="000000" w:themeColor="text1"/>
          <w:lang w:eastAsia="zh-CN"/>
        </w:rPr>
        <w:t xml:space="preserve"> a</w:t>
      </w:r>
      <w:r>
        <w:rPr>
          <w:rFonts w:hint="eastAsia"/>
          <w:color w:val="000000" w:themeColor="text1"/>
          <w:lang w:eastAsia="zh-CN"/>
        </w:rPr>
        <w:t xml:space="preserve">n </w:t>
      </w:r>
      <w:r>
        <w:rPr>
          <w:color w:val="000000" w:themeColor="text1"/>
          <w:lang w:eastAsia="zh-CN"/>
        </w:rPr>
        <w:t>overestimation bias (ME = 23.0</w:t>
      </w:r>
      <w:r>
        <w:rPr>
          <w:rFonts w:hint="eastAsia"/>
          <w:color w:val="000000" w:themeColor="text1"/>
          <w:lang w:eastAsia="zh-CN"/>
        </w:rPr>
        <w:t>476</w:t>
      </w:r>
      <w:r>
        <w:rPr>
          <w:color w:val="000000" w:themeColor="text1"/>
          <w:lang w:eastAsia="zh-CN"/>
        </w:rPr>
        <w:t xml:space="preserve">) can </w:t>
      </w:r>
      <w:r>
        <w:rPr>
          <w:rFonts w:hint="eastAsia"/>
          <w:color w:val="000000" w:themeColor="text1"/>
          <w:lang w:eastAsia="zh-CN"/>
        </w:rPr>
        <w:t xml:space="preserve">also </w:t>
      </w:r>
      <w:r>
        <w:rPr>
          <w:color w:val="000000" w:themeColor="text1"/>
          <w:lang w:eastAsia="zh-CN"/>
        </w:rPr>
        <w:t>be observed in our estimates.</w:t>
      </w:r>
      <w:r>
        <w:rPr>
          <w:rFonts w:hint="eastAsia"/>
          <w:color w:val="000000" w:themeColor="text1"/>
          <w:lang w:eastAsia="zh-CN"/>
        </w:rPr>
        <w:t xml:space="preserve"> </w:t>
      </w:r>
      <w:r>
        <w:rPr>
          <w:color w:val="000000" w:themeColor="text1"/>
          <w:lang w:eastAsia="zh-CN"/>
        </w:rPr>
        <w:t>Compared with the field plot data, the global and local AGBD products, as well as our estimates, exhibit relatively lower-than-expected accuracy. This discrepancy may be attributed to the limited spatial extent of the field plots, which is considerably smaller than the pixel sizes of the AGBD products used in this study. In addition, the complex mountainous terrain of the Han River Basin introduces further uncertainties in field plot data collection and geolocation.</w:t>
      </w:r>
    </w:p>
    <w:p w14:paraId="63774DBC">
      <w:pPr>
        <w:pStyle w:val="72"/>
        <w:pBdr>
          <w:top w:val="none" w:color="auto" w:sz="0" w:space="0"/>
          <w:left w:val="none" w:color="auto" w:sz="0" w:space="0"/>
          <w:bottom w:val="none" w:color="auto" w:sz="0" w:space="0"/>
          <w:right w:val="none" w:color="auto" w:sz="0" w:space="0"/>
        </w:pBdr>
        <w:rPr>
          <w:color w:val="000000" w:themeColor="text1"/>
        </w:rPr>
      </w:pPr>
      <w:bookmarkStart w:id="30" w:name="_Hlk141703586"/>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5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V</w:t>
      </w:r>
      <w:r>
        <w:rPr>
          <w:color w:val="000000" w:themeColor="text1"/>
        </w:rPr>
        <w:fldChar w:fldCharType="end"/>
      </w:r>
      <w:r>
        <w:rPr>
          <w:color w:val="000000" w:themeColor="text1"/>
        </w:rPr>
        <w:t>. Discussion</w:t>
      </w:r>
    </w:p>
    <w:p w14:paraId="72EE0221">
      <w:pPr>
        <w:pStyle w:val="3"/>
        <w:numPr>
          <w:ilvl w:val="1"/>
          <w:numId w:val="8"/>
        </w:numPr>
        <w:jc w:val="both"/>
        <w:rPr>
          <w:color w:val="000000" w:themeColor="text1"/>
        </w:rPr>
      </w:pPr>
      <w:bookmarkStart w:id="31" w:name="_Hlk148615356"/>
      <w:r>
        <w:rPr>
          <w:color w:val="000000" w:themeColor="text1"/>
        </w:rPr>
        <w:t>AGB mapping with machine learning and deep learning</w:t>
      </w:r>
    </w:p>
    <w:bookmarkEnd w:id="31"/>
    <w:p w14:paraId="2FD4AE37">
      <w:pPr>
        <w:ind w:firstLine="400" w:firstLineChars="200"/>
        <w:jc w:val="both"/>
        <w:rPr>
          <w:color w:val="000000" w:themeColor="text1"/>
        </w:rPr>
      </w:pPr>
      <w:r>
        <w:rPr>
          <w:color w:val="000000" w:themeColor="text1"/>
        </w:rPr>
        <w:t xml:space="preserve">Nonlinear regression techniques from the fields of machine learning and deep learning are employed commonly for the </w:t>
      </w:r>
      <w:r>
        <w:rPr>
          <w:rFonts w:hint="eastAsia"/>
          <w:color w:val="000000" w:themeColor="text1"/>
        </w:rPr>
        <w:t>wall</w:t>
      </w:r>
      <w:r>
        <w:rPr>
          <w:color w:val="000000" w:themeColor="text1"/>
        </w:rPr>
        <w:t xml:space="preserve">-to-wall mapping of AGB and canopy height with GEDI/ICESat-2 LiDAR data </w:t>
      </w:r>
      <w:r>
        <w:rPr>
          <w:color w:val="000000" w:themeColor="text1"/>
        </w:rPr>
        <w:fldChar w:fldCharType="begin">
          <w:fldData xml:space="preserve">PEVuZE5vdGU+PENpdGU+PEF1dGhvcj5GYXlhZDwvQXV0aG9yPjxZZWFyPjIwMjE8L1llYXI+PFJl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</w:fldData>
        </w:fldChar>
      </w:r>
      <w:r>
        <w:rPr>
          <w:color w:val="000000" w:themeColor="text1"/>
        </w:rPr>
        <w:instrText xml:space="preserve"> ADDIN EN.CITE </w:instrText>
      </w:r>
      <w:r>
        <w:rPr>
          <w:color w:val="000000" w:themeColor="text1"/>
        </w:rPr>
        <w:fldChar w:fldCharType="begin">
          <w:fldData xml:space="preserve">PEVuZE5vdGU+PENpdGU+PEF1dGhvcj5GYXlhZDwvQXV0aG9yPjxZZWFyPjIwMjE8L1llYXI+PFJl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[17, 51-53]</w:t>
      </w:r>
      <w:r>
        <w:rPr>
          <w:color w:val="000000" w:themeColor="text1"/>
        </w:rPr>
        <w:fldChar w:fldCharType="end"/>
      </w:r>
      <w:r>
        <w:rPr>
          <w:color w:val="000000" w:themeColor="text1"/>
        </w:rPr>
        <w:t>. In this research, for the estimation of spatially continuous GEDI AGBD maps in 2020, two deep learning methods (i.e., CNN and CNN_spatial) demonstrated superior performance compared to the majority of the four machine learning methods (i.e., ELM, GRNN, SVR, and RF). Specifically, ELM displayed the lowest accuracy, SVR demonstrated slightly better performance than GRNN, while RF outperformed all four machine learning methods. The performance of CNN was comparable to that of RF, and CNN_spatial achieved the highest accuracy among all machine learning and deep learning methods.</w:t>
      </w:r>
      <w:r>
        <w:rPr>
          <w:rFonts w:hint="eastAsia"/>
          <w:color w:val="000000" w:themeColor="text1"/>
        </w:rPr>
        <w:t xml:space="preserve"> </w:t>
      </w:r>
      <w:r>
        <w:rPr>
          <w:color w:val="000000" w:themeColor="text1"/>
        </w:rPr>
        <w:t xml:space="preserve">In the field of AGB mapping using machine learning methods, RF has been the preferred choice due to its consistent and superior performance compared to many other methods </w:t>
      </w:r>
      <w:r>
        <w:rPr>
          <w:color w:val="000000" w:themeColor="text1"/>
        </w:rPr>
        <w:fldChar w:fldCharType="begin">
          <w:fldData xml:space="preserve">PEVuZE5vdGU+PENpdGU+PEF1dGhvcj5MaWFuZzwvQXV0aG9yPjxZZWFyPjIwMjM8L1llYXI+PFJl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</w:fldData>
        </w:fldChar>
      </w:r>
      <w:r>
        <w:rPr>
          <w:color w:val="000000" w:themeColor="text1"/>
        </w:rPr>
        <w:instrText xml:space="preserve"> ADDIN EN.CITE </w:instrText>
      </w:r>
      <w:r>
        <w:rPr>
          <w:color w:val="000000" w:themeColor="text1"/>
        </w:rPr>
        <w:fldChar w:fldCharType="begin">
          <w:fldData xml:space="preserve">PEVuZE5vdGU+PENpdGU+PEF1dGhvcj5MaWFuZzwvQXV0aG9yPjxZZWFyPjIwMjM8L1llYXI+PFJl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[12, 19, 54]</w:t>
      </w:r>
      <w:r>
        <w:rPr>
          <w:color w:val="000000" w:themeColor="text1"/>
        </w:rPr>
        <w:fldChar w:fldCharType="end"/>
      </w:r>
      <w:r>
        <w:rPr>
          <w:color w:val="000000" w:themeColor="text1"/>
        </w:rPr>
        <w:t xml:space="preserve">, and our results further underscore the effectiveness of RF in AGB mapping. In the comparison between RF and CNN, </w:t>
      </w:r>
      <w:r>
        <w:rPr>
          <w:color w:val="000000" w:themeColor="text1"/>
        </w:rPr>
        <w:fldChar w:fldCharType="begin"/>
      </w:r>
      <w:r>
        <w:rPr>
          <w:color w:val="000000" w:themeColor="text1"/>
        </w:rPr>
        <w:instrText xml:space="preserve"> ADDIN EN.CITE &lt;EndNote&gt;&lt;Cite AuthorYear="1"&gt;&lt;Author&gt;Narine&lt;/Author&gt;&lt;Year&gt;2019&lt;/Year&gt;&lt;RecNum&gt;353&lt;/RecNum&gt;&lt;DisplayText&gt;Narine, et al. [13]&lt;/DisplayText&gt;&lt;record&gt;&lt;rec-number&gt;353&lt;/rec-number&gt;&lt;foreign-keys&gt;&lt;key app="EN" db-id="pv902f0emrpxwae0aecvvpapa20ep02dp9fp" timestamp="1697716059"&gt;353&lt;/key&gt;&lt;/foreign-keys&gt;&lt;ref-type name="Journal Article"&gt;17&lt;/ref-type&gt;&lt;contributors&gt;&lt;authors&gt;&lt;author&gt;Narine, Lana L.&lt;/author&gt;&lt;author&gt;Popescu, Sorin C.&lt;/author&gt;&lt;author&gt;Malambo, Lonesome&lt;/author&gt;&lt;/authors&gt;&lt;/contributors&gt;&lt;titles&gt;&lt;title&gt;Synergy of ICESat-2 and Landsat for Mapping Forest Aboveground Biomass with Deep Learning&lt;/title&gt;&lt;secondary-title&gt;Remote Sensing&lt;/secondary-title&gt;&lt;/titles&gt;&lt;periodical&gt;&lt;full-title&gt;Remote Sensing&lt;/full-title&gt;&lt;abbr-1&gt;Remote Sens.&lt;/abbr-1&gt;&lt;/periodical&gt;&lt;volume&gt;11&lt;/volume&gt;&lt;number&gt;12&lt;/number&gt;&lt;keywords&gt;&lt;keyword&gt;photon-counting lidar&lt;/keyword&gt;&lt;keyword&gt;ICESat-2&lt;/keyword&gt;&lt;keyword&gt;forest aboveground biomass&lt;/keyword&gt;&lt;keyword&gt;deep learning&lt;/keyword&gt;&lt;keyword&gt;deep neural networks&lt;/keyword&gt;&lt;keyword&gt;random forest&lt;/keyword&gt;&lt;keyword&gt;Landsat&lt;/keyword&gt;&lt;keyword&gt;mapping&lt;/keyword&gt;&lt;/keywords&gt;&lt;dates&gt;&lt;year&gt;2019&lt;/year&gt;&lt;/dates&gt;&lt;isbn&gt;2072-4292&lt;/isbn&gt;&lt;urls&gt;&lt;/urls&gt;&lt;electronic-resource-num&gt;https://doi.org/10.3390/rs11121503&lt;/electronic-resource-num&gt;&lt;/record&gt;&lt;/Cite&gt;&lt;/EndNote&gt;</w:instrText>
      </w:r>
      <w:r>
        <w:rPr>
          <w:color w:val="000000" w:themeColor="text1"/>
        </w:rPr>
        <w:fldChar w:fldCharType="separate"/>
      </w:r>
      <w:r>
        <w:rPr>
          <w:color w:val="000000" w:themeColor="text1"/>
        </w:rPr>
        <w:t>Narine, et al. [13]</w:t>
      </w:r>
      <w:r>
        <w:rPr>
          <w:color w:val="000000" w:themeColor="text1"/>
        </w:rPr>
        <w:fldChar w:fldCharType="end"/>
      </w:r>
      <w:r>
        <w:rPr>
          <w:color w:val="000000" w:themeColor="text1"/>
        </w:rPr>
        <w:t xml:space="preserve"> found similar performance in AGB mapping with ICESat-2 and Landsat. Additionally, </w:t>
      </w:r>
      <w:r>
        <w:rPr>
          <w:color w:val="000000" w:themeColor="text1"/>
        </w:rPr>
        <w:fldChar w:fldCharType="begin"/>
      </w:r>
      <w:r>
        <w:rPr>
          <w:color w:val="000000" w:themeColor="text1"/>
        </w:rPr>
        <w:instrText xml:space="preserve"> ADDIN EN.CITE &lt;EndNote&gt;&lt;Cite AuthorYear="1"&gt;&lt;Author&gt;Fayad&lt;/Author&gt;&lt;Year&gt;2021&lt;/Year&gt;&lt;RecNum&gt;340&lt;/RecNum&gt;&lt;DisplayText&gt;Fayad, et al. [51]&lt;/DisplayText&gt;&lt;record&gt;&lt;rec-number&gt;340&lt;/rec-number&gt;&lt;foreign-keys&gt;&lt;key app="EN" db-id="pv902f0emrpxwae0aecvvpapa20ep02dp9fp" timestamp="1697715980"&gt;340&lt;/key&gt;&lt;/foreign-keys&gt;&lt;ref-type name="Journal Article"&gt;17&lt;/ref-type&gt;&lt;contributors&gt;&lt;authors&gt;&lt;author&gt;Fayad, Ibrahim&lt;/author&gt;&lt;author&gt;Ienco, Dino&lt;/author&gt;&lt;author&gt;Baghdadi, Nicolas&lt;/author&gt;&lt;author&gt;Gaetano, Raffaele&lt;/author&gt;&lt;author&gt;Alvares, Clayton Alcarde&lt;/author&gt;&lt;author&gt;Stape, Jose Luiz&lt;/author&gt;&lt;author&gt;Ferraço Scolforo, Henrique&lt;/author&gt;&lt;author&gt;Le Maire, Guerric&lt;/author&gt;&lt;/authors&gt;&lt;/contributors&gt;&lt;titles&gt;&lt;title&gt;A CNN-based approach for the estimation of canopy heights and wood volume from GEDI waveforms&lt;/title&gt;&lt;secondary-title&gt;Remote Sensing of Environment&lt;/secondary-title&gt;&lt;/titles&gt;&lt;periodical&gt;&lt;full-title&gt;Remote Sensing of Environment&lt;/full-title&gt;&lt;abbr-1&gt;Remote Sens. Environ.&lt;/abbr-1&gt;&lt;/periodical&gt;&lt;pages&gt;112652&lt;/pages&gt;&lt;volume&gt;265&lt;/volume&gt;&lt;keywords&gt;&lt;keyword&gt;Lidar&lt;/keyword&gt;&lt;keyword&gt;GEDI&lt;/keyword&gt;&lt;keyword&gt;Dominant height&lt;/keyword&gt;&lt;keyword&gt;Wood volume&lt;/keyword&gt;&lt;keyword&gt;Eucalyptus&lt;/keyword&gt;&lt;keyword&gt;Brazil&lt;/keyword&gt;&lt;keyword&gt;Convolutional neural networks&lt;/keyword&gt;&lt;/keywords&gt;&lt;dates&gt;&lt;year&gt;2021&lt;/year&gt;&lt;pub-dates&gt;&lt;date&gt;2021/11/01/&lt;/date&gt;&lt;/pub-dates&gt;&lt;/dates&gt;&lt;isbn&gt;0034-4257&lt;/isbn&gt;&lt;urls&gt;&lt;related-urls&gt;&lt;url&gt;https://www.sciencedirect.com/science/article/pii/S0034425721003722&lt;/url&gt;&lt;/related-urls&gt;&lt;/urls&gt;&lt;electronic-resource-num&gt;https://doi.org/10.1016/j.rse.2021.112652&lt;/electronic-resource-num&gt;&lt;/record&gt;&lt;/Cite&gt;&lt;/EndNote&gt;</w:instrText>
      </w:r>
      <w:r>
        <w:rPr>
          <w:color w:val="000000" w:themeColor="text1"/>
        </w:rPr>
        <w:fldChar w:fldCharType="separate"/>
      </w:r>
      <w:r>
        <w:rPr>
          <w:color w:val="000000" w:themeColor="text1"/>
        </w:rPr>
        <w:t>Fayad, et al. [51]</w:t>
      </w:r>
      <w:r>
        <w:rPr>
          <w:color w:val="000000" w:themeColor="text1"/>
        </w:rPr>
        <w:fldChar w:fldCharType="end"/>
      </w:r>
      <w:r>
        <w:rPr>
          <w:color w:val="000000" w:themeColor="text1"/>
        </w:rPr>
        <w:t xml:space="preserve"> demonstrated that CNN-based approaches were comparable to RF in estimating canopy heights and wood volume from GEDI waveforms. These two findings are consistent with the results of this study. Nevertheless, the exceptional performance of the CNN_spatial model in this study will make it a compelling candidate for estimating AGB and canopy height in future applications.</w:t>
      </w:r>
    </w:p>
    <w:p w14:paraId="0D2C4222">
      <w:pPr>
        <w:pStyle w:val="3"/>
        <w:jc w:val="both"/>
        <w:rPr>
          <w:color w:val="000000" w:themeColor="text1"/>
        </w:rPr>
      </w:pPr>
      <w:bookmarkStart w:id="32" w:name="_Hlk148615393"/>
      <w:r>
        <w:rPr>
          <w:color w:val="000000" w:themeColor="text1"/>
        </w:rPr>
        <w:t>AGB mapping with multi-source remote sensing data</w:t>
      </w:r>
    </w:p>
    <w:bookmarkEnd w:id="32"/>
    <w:p w14:paraId="75F1D722">
      <w:pPr>
        <w:ind w:firstLine="400" w:firstLineChars="200"/>
        <w:jc w:val="both"/>
        <w:rPr>
          <w:color w:val="000000" w:themeColor="text1"/>
          <w:sz w:val="18"/>
          <w:szCs w:val="18"/>
        </w:rPr>
      </w:pPr>
      <w:r>
        <w:rPr>
          <w:color w:val="000000" w:themeColor="text1"/>
        </w:rPr>
        <w:t xml:space="preserve">Given the considerable uncertainty that still surrounds AGB estimation, multi-source remote sensing data is extensively employed for the spatially continuous mapping of AGB at both local and global scales </w:t>
      </w:r>
      <w:r>
        <w:rPr>
          <w:color w:val="000000" w:themeColor="text1"/>
        </w:rPr>
        <w:fldChar w:fldCharType="begin">
          <w:fldData xml:space="preserve">PEVuZE5vdGU+PENpdGU+PEF1dGhvcj5GYXJhcm9kYTwvQXV0aG9yPjxZZWFyPjIwMjE8L1llYXI+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</w:fldData>
        </w:fldChar>
      </w:r>
      <w:r>
        <w:rPr>
          <w:color w:val="000000" w:themeColor="text1"/>
        </w:rPr>
        <w:instrText xml:space="preserve"> ADDIN EN.CITE </w:instrText>
      </w:r>
      <w:r>
        <w:rPr>
          <w:color w:val="000000" w:themeColor="text1"/>
        </w:rPr>
        <w:fldChar w:fldCharType="begin">
          <w:fldData xml:space="preserve">PEVuZE5vdGU+PENpdGU+PEF1dGhvcj5GYXJhcm9kYTwvQXV0aG9yPjxZZWFyPjIwMjE8L1llYXI+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[17, 53, 55-58]</w:t>
      </w:r>
      <w:r>
        <w:rPr>
          <w:color w:val="000000" w:themeColor="text1"/>
        </w:rPr>
        <w:fldChar w:fldCharType="end"/>
      </w:r>
      <w:r>
        <w:rPr>
          <w:color w:val="000000" w:themeColor="text1"/>
        </w:rPr>
        <w:t xml:space="preserve">. In this research, we have shown that incorporating covariates from all three datasets results in superior accuracy compared to single dataset mapping. Notably, PALSAR-2 alone yielded the lowest accuracy, followed by the MODIS indices dataset, and the topography and climate dataset. </w:t>
      </w:r>
      <w:r>
        <w:rPr>
          <w:color w:val="000000" w:themeColor="text1"/>
        </w:rPr>
        <w:fldChar w:fldCharType="begin"/>
      </w:r>
      <w:r>
        <w:rPr>
          <w:color w:val="000000" w:themeColor="text1"/>
        </w:rPr>
        <w:instrText xml:space="preserve"> ADDIN EN.CITE &lt;EndNote&gt;&lt;Cite AuthorYear="1"&gt;&lt;Author&gt;Zhao&lt;/Author&gt;&lt;Year&gt;2016&lt;/Year&gt;&lt;RecNum&gt;336&lt;/RecNum&gt;&lt;DisplayText&gt;Zhao, et al. [58]&lt;/DisplayText&gt;&lt;record&gt;&lt;rec-number&gt;336&lt;/rec-number&gt;&lt;foreign-keys&gt;&lt;key app="EN" db-id="pv902f0emrpxwae0aecvvpapa20ep02dp9fp" timestamp="1697715956"&gt;336&lt;/key&gt;&lt;/foreign-keys&gt;&lt;ref-type name="Journal Article"&gt;17&lt;/ref-type&gt;&lt;contributors&gt;&lt;authors&gt;&lt;author&gt;Zhao, Panpan&lt;/author&gt;&lt;author&gt;Lu, Dengsheng&lt;/author&gt;&lt;author&gt;Wang, Guangxing&lt;/author&gt;&lt;author&gt;Liu, Lijuan&lt;/author&gt;&lt;author&gt;Li, Dengqiu&lt;/author&gt;&lt;author&gt;Zhu, Jinru&lt;/author&gt;&lt;author&gt;Yu, Shuquan&lt;/author&gt;&lt;/authors&gt;&lt;/contributors&gt;&lt;titles&gt;&lt;title&gt;Forest aboveground biomass estimation in Zhejiang Province using the integration of Landsat TM and ALOS PALSAR data&lt;/title&gt;&lt;secondary-title&gt;International Journal of Applied Earth Observation and Geoinformation&lt;/secondary-title&gt;&lt;/titles&gt;&lt;periodical&gt;&lt;full-title&gt;International Journal of Applied Earth Observation and Geoinformation&lt;/full-title&gt;&lt;abbr-1&gt;Int. J. Appl. Earth Obs. Geoinf.&lt;/abbr-1&gt;&lt;/periodical&gt;&lt;pages&gt;1-15&lt;/pages&gt;&lt;volume&gt;53&lt;/volume&gt;&lt;keywords&gt;&lt;keyword&gt;Aboveground biomass&lt;/keyword&gt;&lt;keyword&gt;Landsat TM&lt;/keyword&gt;&lt;keyword&gt;ALOS PALSAR&lt;/keyword&gt;&lt;keyword&gt;Data saturation&lt;/keyword&gt;&lt;keyword&gt;Data combination and fusion&lt;/keyword&gt;&lt;keyword&gt;Stratification&lt;/keyword&gt;&lt;/keywords&gt;&lt;dates&gt;&lt;year&gt;2016&lt;/year&gt;&lt;pub-dates&gt;&lt;date&gt;2016/12/01/&lt;/date&gt;&lt;/pub-dates&gt;&lt;/dates&gt;&lt;isbn&gt;1569-8432&lt;/isbn&gt;&lt;urls&gt;&lt;related-urls&gt;&lt;url&gt;https://www.sciencedirect.com/science/article/pii/S0303243416301374&lt;/url&gt;&lt;/related-urls&gt;&lt;/urls&gt;&lt;electronic-resource-num&gt;https://doi.org/10.1016/j.jag.2016.08.007&lt;/electronic-resource-num&gt;&lt;/record&gt;&lt;/Cite&gt;&lt;/EndNote&gt;</w:instrText>
      </w:r>
      <w:r>
        <w:rPr>
          <w:color w:val="000000" w:themeColor="text1"/>
        </w:rPr>
        <w:fldChar w:fldCharType="separate"/>
      </w:r>
      <w:r>
        <w:rPr>
          <w:color w:val="000000" w:themeColor="text1"/>
        </w:rPr>
        <w:t>Zhao, et al. [58]</w:t>
      </w:r>
      <w:r>
        <w:rPr>
          <w:color w:val="000000" w:themeColor="text1"/>
        </w:rPr>
        <w:fldChar w:fldCharType="end"/>
      </w:r>
      <w:r>
        <w:rPr>
          <w:color w:val="000000" w:themeColor="text1"/>
        </w:rPr>
        <w:t xml:space="preserve"> demonstrated that PALSAR data alone provides less accurate AGB estimation compared to optical satellite images from Landsat. However, combining these two datasets can significantly enhance overall performance. </w:t>
      </w:r>
      <w:r>
        <w:rPr>
          <w:color w:val="000000" w:themeColor="text1"/>
        </w:rPr>
        <w:fldChar w:fldCharType="begin"/>
      </w:r>
      <w:r>
        <w:rPr>
          <w:color w:val="000000" w:themeColor="text1"/>
        </w:rPr>
        <w:instrText xml:space="preserve"> ADDIN EN.CITE &lt;EndNote&gt;&lt;Cite AuthorYear="1"&gt;&lt;Author&gt;Tang&lt;/Author&gt;&lt;Year&gt;2022&lt;/Year&gt;&lt;RecNum&gt;338&lt;/RecNum&gt;&lt;DisplayText&gt;Tang, et al. [53]&lt;/DisplayText&gt;&lt;record&gt;&lt;rec-number&gt;338&lt;/rec-number&gt;&lt;foreign-keys&gt;&lt;key app="EN" db-id="pv902f0emrpxwae0aecvvpapa20ep02dp9fp" timestamp="1697715971"&gt;338&lt;/key&gt;&lt;/foreign-keys&gt;&lt;ref-type name="Journal Article"&gt;17&lt;/ref-type&gt;&lt;contributors&gt;&lt;authors&gt;&lt;author&gt;Tang, Zhi&lt;/author&gt;&lt;author&gt;Xia, Xiaosheng&lt;/author&gt;&lt;author&gt;Huang, Yonghua&lt;/author&gt;&lt;author&gt;Lu, Yan&lt;/author&gt;&lt;author&gt;Guo, Zhongyang&lt;/author&gt;&lt;/authors&gt;&lt;/contributors&gt;&lt;titles&gt;&lt;title&gt;Estimation of National Forest Aboveground Biomass from Multi-Source Remotely Sensed Dataset with Machine Learning Algorithms in China&lt;/title&gt;&lt;secondary-title&gt;Remote Sensing&lt;/secondary-title&gt;&lt;/titles&gt;&lt;periodical&gt;&lt;full-title&gt;Remote Sensing&lt;/full-title&gt;&lt;abbr-1&gt;Remote Sens.&lt;/abbr-1&gt;&lt;/periodical&gt;&lt;volume&gt;14&lt;/volume&gt;&lt;number&gt;21&lt;/number&gt;&lt;keywords&gt;&lt;keyword&gt;forest&lt;/keyword&gt;&lt;keyword&gt;aboveground biomass&lt;/keyword&gt;&lt;keyword&gt;machine learning&lt;/keyword&gt;&lt;keyword&gt;multi-source dataset&lt;/keyword&gt;&lt;keyword&gt;China&lt;/keyword&gt;&lt;/keywords&gt;&lt;dates&gt;&lt;year&gt;2022&lt;/year&gt;&lt;/dates&gt;&lt;isbn&gt;2072-4292&lt;/isbn&gt;&lt;urls&gt;&lt;/urls&gt;&lt;electronic-resource-num&gt;https://doi.org/10.3390/rs14215487&lt;/electronic-resource-num&gt;&lt;/record&gt;&lt;/Cite&gt;&lt;/EndNote&gt;</w:instrText>
      </w:r>
      <w:r>
        <w:rPr>
          <w:color w:val="000000" w:themeColor="text1"/>
        </w:rPr>
        <w:fldChar w:fldCharType="separate"/>
      </w:r>
      <w:r>
        <w:rPr>
          <w:color w:val="000000" w:themeColor="text1"/>
        </w:rPr>
        <w:t>Tang, et al. [53]</w:t>
      </w:r>
      <w:r>
        <w:rPr>
          <w:color w:val="000000" w:themeColor="text1"/>
        </w:rPr>
        <w:fldChar w:fldCharType="end"/>
      </w:r>
      <w:r>
        <w:rPr>
          <w:color w:val="000000" w:themeColor="text1"/>
        </w:rPr>
        <w:t xml:space="preserve"> and </w:t>
      </w:r>
      <w:r>
        <w:rPr>
          <w:color w:val="000000" w:themeColor="text1"/>
        </w:rPr>
        <w:fldChar w:fldCharType="begin"/>
      </w:r>
      <w:r>
        <w:rPr>
          <w:color w:val="000000" w:themeColor="text1"/>
        </w:rPr>
        <w:instrText xml:space="preserve"> ADDIN EN.CITE &lt;EndNote&gt;&lt;Cite AuthorYear="1"&gt;&lt;Author&gt;Fararoda&lt;/Author&gt;&lt;Year&gt;2021&lt;/Year&gt;&lt;RecNum&gt;334&lt;/RecNum&gt;&lt;DisplayText&gt;Fararoda, et al. [55]&lt;/DisplayText&gt;&lt;record&gt;&lt;rec-number&gt;334&lt;/rec-number&gt;&lt;foreign-keys&gt;&lt;key app="EN" db-id="pv902f0emrpxwae0aecvvpapa20ep02dp9fp" timestamp="1697715944"&gt;334&lt;/key&gt;&lt;/foreign-keys&gt;&lt;ref-type name="Journal Article"&gt;17&lt;/ref-type&gt;&lt;contributors&gt;&lt;authors&gt;&lt;author&gt;Fararoda, Rakesh&lt;/author&gt;&lt;author&gt;Reddy, R. Suraj&lt;/author&gt;&lt;author&gt;Rajashekar, G.&lt;/author&gt;&lt;author&gt;Chand, T. R. Kiran&lt;/author&gt;&lt;author&gt;Jha, C. S.&lt;/author&gt;&lt;author&gt;Dadhwal, V. K.&lt;/author&gt;&lt;/authors&gt;&lt;/contributors&gt;&lt;titles&gt;&lt;title&gt;Improving forest above ground biomass estimates over Indian forests using multi source data sets with machine learning algorithm&lt;/title&gt;&lt;secondary-title&gt;Ecological Informatics&lt;/secondary-title&gt;&lt;/titles&gt;&lt;periodical&gt;&lt;full-title&gt;Ecological Informatics&lt;/full-title&gt;&lt;abbr-1&gt;Ecol. Inf.&lt;/abbr-1&gt;&lt;/periodical&gt;&lt;pages&gt;101392&lt;/pages&gt;&lt;volume&gt;65&lt;/volume&gt;&lt;keywords&gt;&lt;keyword&gt;Field inventory&lt;/keyword&gt;&lt;keyword&gt;Biomass&lt;/keyword&gt;&lt;keyword&gt;Alos palsar&lt;/keyword&gt;&lt;keyword&gt;Saturation&lt;/keyword&gt;&lt;keyword&gt;Random forest&lt;/keyword&gt;&lt;/keywords&gt;&lt;dates&gt;&lt;year&gt;2021&lt;/year&gt;&lt;pub-dates&gt;&lt;date&gt;2021/11/01/&lt;/date&gt;&lt;/pub-dates&gt;&lt;/dates&gt;&lt;isbn&gt;1574-9541&lt;/isbn&gt;&lt;urls&gt;&lt;related-urls&gt;&lt;url&gt;https://www.sciencedirect.com/science/article/pii/S1574954121001837&lt;/url&gt;&lt;/related-urls&gt;&lt;/urls&gt;&lt;electronic-resource-num&gt;https://doi.org/10.1016/j.ecoinf.2021.101392&lt;/electronic-resource-num&gt;&lt;/record&gt;&lt;/Cite&gt;&lt;/EndNote&gt;</w:instrText>
      </w:r>
      <w:r>
        <w:rPr>
          <w:color w:val="000000" w:themeColor="text1"/>
        </w:rPr>
        <w:fldChar w:fldCharType="separate"/>
      </w:r>
      <w:r>
        <w:rPr>
          <w:color w:val="000000" w:themeColor="text1"/>
        </w:rPr>
        <w:t>Fararoda, et al. [55]</w:t>
      </w:r>
      <w:r>
        <w:rPr>
          <w:color w:val="000000" w:themeColor="text1"/>
        </w:rPr>
        <w:fldChar w:fldCharType="end"/>
      </w:r>
      <w:r>
        <w:rPr>
          <w:color w:val="000000" w:themeColor="text1"/>
        </w:rPr>
        <w:t xml:space="preserve"> both discovered that the integration of PALSAR, MODIS, topography, and climate data proved advantageous for AGB estimation in extensive regions of China and India, respectively. These findings align with our results; however, due to the coarse spatial resolutions, exceeding 10 k</w:t>
      </w:r>
      <w:r>
        <w:rPr>
          <w:rFonts w:hint="eastAsia"/>
          <w:color w:val="000000" w:themeColor="text1"/>
        </w:rPr>
        <w:t>m</w:t>
      </w:r>
      <w:r>
        <w:rPr>
          <w:color w:val="000000" w:themeColor="text1"/>
        </w:rPr>
        <w:t>, of several climate data elements such as precipitation and soil moisture, we did not incorporate them in this study.</w:t>
      </w:r>
    </w:p>
    <w:p w14:paraId="59D729D0">
      <w:pPr>
        <w:pStyle w:val="3"/>
        <w:jc w:val="both"/>
        <w:rPr>
          <w:color w:val="000000" w:themeColor="text1"/>
        </w:rPr>
      </w:pPr>
      <w:bookmarkStart w:id="33" w:name="_Hlk148617410"/>
      <w:r>
        <w:rPr>
          <w:color w:val="000000" w:themeColor="text1"/>
        </w:rPr>
        <w:t>Uncertainty sources of spatio-temporally continuous GEDI AGBD mapping</w:t>
      </w:r>
    </w:p>
    <w:bookmarkEnd w:id="33"/>
    <w:p w14:paraId="2E6BF125">
      <w:pPr>
        <w:ind w:firstLine="400" w:firstLineChars="200"/>
        <w:jc w:val="both"/>
        <w:rPr>
          <w:b/>
          <w:bCs/>
          <w:color w:val="000000" w:themeColor="text1"/>
        </w:rPr>
      </w:pPr>
      <w:r>
        <w:rPr>
          <w:color w:val="000000" w:themeColor="text1"/>
        </w:rPr>
        <w:t>The results demonstrate</w:t>
      </w:r>
      <w:r>
        <w:rPr>
          <w:rFonts w:hint="eastAsia"/>
          <w:color w:val="000000" w:themeColor="text1"/>
        </w:rPr>
        <w:t>d</w:t>
      </w:r>
      <w:r>
        <w:rPr>
          <w:color w:val="000000" w:themeColor="text1"/>
        </w:rPr>
        <w:t xml:space="preserve"> the efficiency and accuracy of the spatio-temporally continuous GEDI AGBD generated by the proposed method. However, the mapping process still contains some uncertainties, which are mainly coming from two aspects. First, the most significant source of uncertainty arises from the training samples extracted from the original GEDI AGBD grids. Section 3.3 aims to quantify this uncertainty by incorporating the original standard error of GEDI AGBD grids into the AGB estimation process, and the resulting uncertainty maps are shown in Fig. 1</w:t>
      </w:r>
      <w:r>
        <w:rPr>
          <w:rFonts w:hint="eastAsia"/>
          <w:color w:val="000000" w:themeColor="text1"/>
          <w:lang w:eastAsia="zh-CN"/>
        </w:rPr>
        <w:t>4</w:t>
      </w:r>
      <w:r>
        <w:rPr>
          <w:color w:val="000000" w:themeColor="text1"/>
        </w:rPr>
        <w:t xml:space="preserve">. Second, while Figure 2 demonstrates a high correlation between MODIS VCF and AGB in China's Han River Basin, it does not ensure that all selected training samples accurately capture the AGB dynamics over time. This is because even when a forest canopy displays the same MODIS VCF tree canopy percentage values at two different times, the vertical structure of the forest can still change due to forest degradation and small-scale forest disturbances </w:t>
      </w:r>
      <w:r>
        <w:rPr>
          <w:color w:val="000000" w:themeColor="text1"/>
        </w:rPr>
        <w:fldChar w:fldCharType="begin">
          <w:fldData xml:space="preserve">PEVuZE5vdGU+PENpdGU+PEF1dGhvcj5Lcm9uc2VkZXI8L0F1dGhvcj48WWVhcj4yMDEyPC9ZZWFy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</w:fldData>
        </w:fldChar>
      </w:r>
      <w:r>
        <w:rPr>
          <w:color w:val="000000" w:themeColor="text1"/>
        </w:rPr>
        <w:instrText xml:space="preserve"> ADDIN EN.CITE </w:instrText>
      </w:r>
      <w:r>
        <w:rPr>
          <w:color w:val="000000" w:themeColor="text1"/>
        </w:rPr>
        <w:fldChar w:fldCharType="begin">
          <w:fldData xml:space="preserve">PEVuZE5vdGU+PENpdGU+PEF1dGhvcj5Lcm9uc2VkZXI8L0F1dGhvcj48WWVhcj4yMDEyPC9ZZWFy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[59-62]</w:t>
      </w:r>
      <w:r>
        <w:rPr>
          <w:color w:val="000000" w:themeColor="text1"/>
        </w:rPr>
        <w:fldChar w:fldCharType="end"/>
      </w:r>
      <w:r>
        <w:rPr>
          <w:color w:val="000000" w:themeColor="text1"/>
        </w:rPr>
        <w:t xml:space="preserve">, especially within a 1 km × 1 km pixel. </w:t>
      </w:r>
    </w:p>
    <w:bookmarkEnd w:id="30"/>
    <w:p w14:paraId="3D2279F0">
      <w:pPr>
        <w:pStyle w:val="3"/>
        <w:jc w:val="both"/>
        <w:rPr>
          <w:color w:val="000000" w:themeColor="text1"/>
        </w:rPr>
      </w:pPr>
      <w:bookmarkStart w:id="34" w:name="_Hlk148617431"/>
      <w:r>
        <w:rPr>
          <w:color w:val="000000" w:themeColor="text1"/>
        </w:rPr>
        <w:t>Potential improvements and future research</w:t>
      </w:r>
    </w:p>
    <w:bookmarkEnd w:id="34"/>
    <w:p w14:paraId="6EACB4DE">
      <w:pPr>
        <w:ind w:firstLine="400" w:firstLineChars="200"/>
        <w:jc w:val="both"/>
        <w:rPr>
          <w:color w:val="000000" w:themeColor="text1"/>
          <w:lang w:eastAsia="zh-CN"/>
        </w:rPr>
      </w:pPr>
      <w:r>
        <w:rPr>
          <w:color w:val="000000" w:themeColor="text1"/>
        </w:rPr>
        <w:t xml:space="preserve">In this study, we exclusively utilized deep learning methods to address the AGB estimation problem, in which the network structure of the CNN benchmark method was customized to our specific needs. Compared with the four machine learning methods, we observed an improvement for the CNN and CNN_spatial methods in estimating spatially continuous GEDI AGBD maps. Despite CNN’s exceptional performance in handling classification and segmentation problems compared to various machine learning methods </w:t>
      </w:r>
      <w:r>
        <w:rPr>
          <w:color w:val="000000" w:themeColor="text1"/>
        </w:rPr>
        <w:fldChar w:fldCharType="begin"/>
      </w:r>
      <w:r>
        <w:rPr>
          <w:color w:val="000000" w:themeColor="text1"/>
        </w:rPr>
        <w:instrText xml:space="preserve"> ADDIN EN.CITE &lt;EndNote&gt;&lt;Cite&gt;&lt;Author&gt;Maggiori&lt;/Author&gt;&lt;Year&gt;2017&lt;/Year&gt;&lt;RecNum&gt;316&lt;/RecNum&gt;&lt;DisplayText&gt;[63]&lt;/DisplayText&gt;&lt;record&gt;&lt;rec-number&gt;316&lt;/rec-number&gt;&lt;foreign-keys&gt;&lt;key app="EN" db-id="pv902f0emrpxwae0aecvvpapa20ep02dp9fp" timestamp="1690704325"&gt;316&lt;/key&gt;&lt;/foreign-keys&gt;&lt;ref-type name="Journal Article"&gt;17&lt;/ref-type&gt;&lt;contributors&gt;&lt;authors&gt;&lt;author&gt;E. Maggiori&lt;/author&gt;&lt;author&gt;Y. Tarabalka&lt;/author&gt;&lt;author&gt;G. Charpiat&lt;/author&gt;&lt;author&gt;P. Alliez&lt;/author&gt;&lt;/authors&gt;&lt;/contributors&gt;&lt;titles&gt;&lt;title&gt;Convolutional Neural Networks for Large-Scale Remote-Sensing Image Classification&lt;/title&gt;&lt;secondary-title&gt;IEEE Transactions on Geoscience and Remote Sensing&lt;/secondary-title&gt;&lt;/titles&gt;&lt;periodical&gt;&lt;full-title&gt;IEEE Transactions on Geoscience and Remote Sensing&lt;/full-title&gt;&lt;abbr-1&gt;IEEE Trans. Geosci. Remote Sens.&lt;/abbr-1&gt;&lt;/periodical&gt;&lt;pages&gt;645-657&lt;/pages&gt;&lt;volume&gt;55&lt;/volume&gt;&lt;number&gt;2&lt;/number&gt;&lt;dates&gt;&lt;year&gt;2017&lt;/year&gt;&lt;/dates&gt;&lt;isbn&gt;1558-0644&lt;/isbn&gt;&lt;urls&gt;&lt;/urls&gt;&lt;electronic-resource-num&gt;https://doi.org/10.1109/TGRS.2016.2612821&lt;/electronic-resource-num&gt;&lt;/record&gt;&lt;/Cite&gt;&lt;/EndNote&gt;</w:instrText>
      </w:r>
      <w:r>
        <w:rPr>
          <w:color w:val="000000" w:themeColor="text1"/>
        </w:rPr>
        <w:fldChar w:fldCharType="separate"/>
      </w:r>
      <w:r>
        <w:rPr>
          <w:color w:val="000000" w:themeColor="text1"/>
        </w:rPr>
        <w:t>[63]</w:t>
      </w:r>
      <w:r>
        <w:rPr>
          <w:color w:val="000000" w:themeColor="text1"/>
        </w:rPr>
        <w:fldChar w:fldCharType="end"/>
      </w:r>
      <w:r>
        <w:rPr>
          <w:color w:val="000000" w:themeColor="text1"/>
        </w:rPr>
        <w:t xml:space="preserve">, its improvement in addressing regression issues is comparatively less comprehensive </w:t>
      </w:r>
      <w:r>
        <w:rPr>
          <w:color w:val="000000" w:themeColor="text1"/>
        </w:rPr>
        <w:fldChar w:fldCharType="begin">
          <w:fldData xml:space="preserve">PEVuZE5vdGU+PENpdGU+PEF1dGhvcj5aaGFuZzwvQXV0aG9yPjxZZWFyPjIwMjI8L1llYXI+PFJl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</w:fldData>
        </w:fldChar>
      </w:r>
      <w:r>
        <w:rPr>
          <w:color w:val="000000" w:themeColor="text1"/>
        </w:rPr>
        <w:instrText xml:space="preserve"> ADDIN EN.CITE </w:instrText>
      </w:r>
      <w:r>
        <w:rPr>
          <w:color w:val="000000" w:themeColor="text1"/>
        </w:rPr>
        <w:fldChar w:fldCharType="begin">
          <w:fldData xml:space="preserve">PEVuZE5vdGU+PENpdGU+PEF1dGhvcj5aaGFuZzwvQXV0aG9yPjxZZWFyPjIwMjI8L1llYXI+PFJl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[64-66]</w:t>
      </w:r>
      <w:r>
        <w:rPr>
          <w:color w:val="000000" w:themeColor="text1"/>
        </w:rPr>
        <w:fldChar w:fldCharType="end"/>
      </w:r>
      <w:r>
        <w:rPr>
          <w:color w:val="000000" w:themeColor="text1"/>
        </w:rPr>
        <w:t xml:space="preserve">. One potential solution to improve CNN’s regression performance in estimating AGBD is integrating it with the long short-term memory (LSTM) neural network. This is because the CNN-LSTM hybrid model possesses the ability to capture long-term and non-linear dynamics of time-series data </w:t>
      </w:r>
      <w:r>
        <w:rPr>
          <w:color w:val="000000" w:themeColor="text1"/>
        </w:rPr>
        <w:fldChar w:fldCharType="begin"/>
      </w:r>
      <w:r>
        <w:rPr>
          <w:color w:val="000000" w:themeColor="text1"/>
        </w:rPr>
        <w:instrText xml:space="preserve"> ADDIN EN.CITE &lt;EndNote&gt;&lt;Cite&gt;&lt;Author&gt;Bao&lt;/Author&gt;&lt;Year&gt;2021&lt;/Year&gt;&lt;RecNum&gt;319&lt;/RecNum&gt;&lt;DisplayText&gt;[66]&lt;/DisplayText&gt;&lt;record&gt;&lt;rec-number&gt;319&lt;/rec-number&gt;&lt;foreign-keys&gt;&lt;key app="EN" db-id="pv902f0emrpxwae0aecvvpapa20ep02dp9fp" timestamp="1690705509"&gt;319&lt;/key&gt;&lt;/foreign-keys&gt;&lt;ref-type name="Journal Article"&gt;17&lt;/ref-type&gt;&lt;contributors&gt;&lt;authors&gt;&lt;author&gt;T. Bao&lt;/author&gt;&lt;author&gt;S. A. R. Zaidi&lt;/author&gt;&lt;author&gt;S. Xie&lt;/author&gt;&lt;author&gt;P. Yang&lt;/author&gt;&lt;author&gt;Z. Q. Zhang&lt;/author&gt;&lt;/authors&gt;&lt;/contributors&gt;&lt;titles&gt;&lt;title&gt;A CNN-LSTM Hybrid Model for Wrist Kinematics Estimation Using Surface Electromyography&lt;/title&gt;&lt;secondary-title&gt;IEEE Transactions on Instrumentation and Measurement&lt;/secondary-title&gt;&lt;/titles&gt;&lt;periodical&gt;&lt;full-title&gt;IEEE Transactions on Instrumentation and Measurement&lt;/full-title&gt;&lt;abbr-1&gt;IEEE Trans. Instrum. Meas.&lt;/abbr-1&gt;&lt;/periodical&gt;&lt;pages&gt;1-9&lt;/pages&gt;&lt;volume&gt;70&lt;/volume&gt;&lt;dates&gt;&lt;year&gt;2021&lt;/year&gt;&lt;/dates&gt;&lt;isbn&gt;1557-9662&lt;/isbn&gt;&lt;urls&gt;&lt;/urls&gt;&lt;electronic-resource-num&gt;https://doi.org/10.1109/TIM.2020.3036654&lt;/electronic-resource-num&gt;&lt;/record&gt;&lt;/Cite&gt;&lt;/EndNote&gt;</w:instrText>
      </w:r>
      <w:r>
        <w:rPr>
          <w:color w:val="000000" w:themeColor="text1"/>
        </w:rPr>
        <w:fldChar w:fldCharType="separate"/>
      </w:r>
      <w:r>
        <w:rPr>
          <w:color w:val="000000" w:themeColor="text1"/>
        </w:rPr>
        <w:t>[66]</w:t>
      </w:r>
      <w:r>
        <w:rPr>
          <w:color w:val="000000" w:themeColor="text1"/>
        </w:rPr>
        <w:fldChar w:fldCharType="end"/>
      </w:r>
      <w:r>
        <w:rPr>
          <w:color w:val="000000" w:themeColor="text1"/>
        </w:rPr>
        <w:t xml:space="preserve">. On the other hand, while various remote sensing datasets have been used as input for AGB estimation, additional datasets, like precipitation and soil moisture, could </w:t>
      </w:r>
      <w:r>
        <w:rPr>
          <w:rFonts w:hint="eastAsia"/>
          <w:color w:val="000000" w:themeColor="text1"/>
        </w:rPr>
        <w:t>a</w:t>
      </w:r>
      <w:r>
        <w:rPr>
          <w:color w:val="000000" w:themeColor="text1"/>
        </w:rPr>
        <w:t xml:space="preserve">lso be used to enhance spatio-temporal GEDI AGBD estimation </w:t>
      </w:r>
      <w:r>
        <w:rPr>
          <w:color w:val="000000" w:themeColor="text1"/>
        </w:rPr>
        <w:fldChar w:fldCharType="begin">
          <w:fldData xml:space="preserve">PEVuZE5vdGU+PENpdGU+PEF1dGhvcj5TaGVuPC9BdXRob3I+PFllYXI+MjAxODwvWWVhcj48UmVj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</w:fldData>
        </w:fldChar>
      </w:r>
      <w:r>
        <w:rPr>
          <w:color w:val="000000" w:themeColor="text1"/>
        </w:rPr>
        <w:instrText xml:space="preserve"> ADDIN EN.CITE </w:instrText>
      </w:r>
      <w:r>
        <w:rPr>
          <w:color w:val="000000" w:themeColor="text1"/>
        </w:rPr>
        <w:fldChar w:fldCharType="begin">
          <w:fldData xml:space="preserve">PEVuZE5vdGU+PENpdGU+PEF1dGhvcj5TaGVuPC9BdXRob3I+PFllYXI+MjAxODwvWWVhcj48UmVj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</w:fldData>
        </w:fldChar>
      </w:r>
      <w:r>
        <w:rPr>
          <w:color w:val="000000" w:themeColor="text1"/>
        </w:rPr>
        <w:instrText xml:space="preserve"> ADDIN EN.CITE.DATA </w:instrText>
      </w:r>
      <w:r>
        <w:rPr>
          <w:color w:val="000000" w:themeColor="text1"/>
        </w:rPr>
        <w:fldChar w:fldCharType="end"/>
      </w:r>
      <w:r>
        <w:rPr>
          <w:color w:val="000000" w:themeColor="text1"/>
        </w:rPr>
        <w:fldChar w:fldCharType="separate"/>
      </w:r>
      <w:r>
        <w:rPr>
          <w:color w:val="000000" w:themeColor="text1"/>
        </w:rPr>
        <w:t>[3, 7, 34, 35]</w:t>
      </w:r>
      <w:r>
        <w:rPr>
          <w:color w:val="000000" w:themeColor="text1"/>
        </w:rPr>
        <w:fldChar w:fldCharType="end"/>
      </w:r>
      <w:r>
        <w:rPr>
          <w:color w:val="000000" w:themeColor="text1"/>
        </w:rPr>
        <w:t>.</w:t>
      </w:r>
      <w:r>
        <w:rPr>
          <w:rFonts w:hint="eastAsia"/>
          <w:color w:val="000000" w:themeColor="text1"/>
          <w:lang w:eastAsia="zh-CN"/>
        </w:rPr>
        <w:t xml:space="preserve"> Finally, our AGBD estimates show an </w:t>
      </w:r>
      <w:r>
        <w:rPr>
          <w:color w:val="000000" w:themeColor="text1"/>
          <w:lang w:eastAsia="zh-CN"/>
        </w:rPr>
        <w:t xml:space="preserve">overestimation bias </w:t>
      </w:r>
      <w:r>
        <w:rPr>
          <w:rFonts w:hint="eastAsia"/>
          <w:color w:val="000000" w:themeColor="text1"/>
          <w:lang w:eastAsia="zh-CN"/>
        </w:rPr>
        <w:t xml:space="preserve">relative to the field plot data, which may </w:t>
      </w:r>
      <w:r>
        <w:rPr>
          <w:color w:val="000000" w:themeColor="text1"/>
          <w:lang w:eastAsia="zh-CN"/>
        </w:rPr>
        <w:t>be attributed</w:t>
      </w:r>
      <w:r>
        <w:rPr>
          <w:rFonts w:hint="eastAsia"/>
          <w:color w:val="000000" w:themeColor="text1"/>
          <w:lang w:eastAsia="zh-CN"/>
        </w:rPr>
        <w:t xml:space="preserve"> to uncertainties in the GEDI AGBD product </w:t>
      </w:r>
      <w:r>
        <w:rPr>
          <w:color w:val="000000" w:themeColor="text1"/>
          <w:lang w:eastAsia="zh-CN"/>
        </w:rPr>
        <w:fldChar w:fldCharType="begin">
          <w:fldData xml:space="preserve">PEVuZE5vdGU+PENpdGU+PEF1dGhvcj5OYXppcjwvQXV0aG9yPjxZZWFyPjIwMjU8L1llYXI+PFJl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</w:fldData>
        </w:fldChar>
      </w:r>
      <w:r>
        <w:rPr>
          <w:color w:val="000000" w:themeColor="text1"/>
          <w:lang w:eastAsia="zh-CN"/>
        </w:rPr>
        <w:instrText xml:space="preserve"> ADDIN EN.CITE </w:instrText>
      </w:r>
      <w:r>
        <w:rPr>
          <w:color w:val="000000" w:themeColor="text1"/>
          <w:lang w:eastAsia="zh-CN"/>
        </w:rPr>
        <w:fldChar w:fldCharType="begin">
          <w:fldData xml:space="preserve">PEVuZE5vdGU+PENpdGU+PEF1dGhvcj5OYXppcjwvQXV0aG9yPjxZZWFyPjIwMjU8L1llYXI+PFJl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</w:fldData>
        </w:fldChar>
      </w:r>
      <w:r>
        <w:rPr>
          <w:color w:val="000000" w:themeColor="text1"/>
          <w:lang w:eastAsia="zh-CN"/>
        </w:rPr>
        <w:instrText xml:space="preserve"> ADDIN EN.CITE.DATA </w:instrText>
      </w:r>
      <w:r>
        <w:rPr>
          <w:color w:val="000000" w:themeColor="text1"/>
          <w:lang w:eastAsia="zh-CN"/>
        </w:rPr>
        <w:fldChar w:fldCharType="end"/>
      </w:r>
      <w:r>
        <w:rPr>
          <w:color w:val="000000" w:themeColor="text1"/>
          <w:lang w:eastAsia="zh-CN"/>
        </w:rPr>
        <w:fldChar w:fldCharType="separate"/>
      </w:r>
      <w:r>
        <w:rPr>
          <w:color w:val="000000" w:themeColor="text1"/>
          <w:lang w:eastAsia="zh-CN"/>
        </w:rPr>
        <w:t>[67, 68]</w:t>
      </w:r>
      <w:r>
        <w:rPr>
          <w:color w:val="000000" w:themeColor="text1"/>
          <w:lang w:eastAsia="zh-CN"/>
        </w:rPr>
        <w:fldChar w:fldCharType="end"/>
      </w:r>
      <w:r>
        <w:rPr>
          <w:rFonts w:hint="eastAsia"/>
          <w:color w:val="000000" w:themeColor="text1"/>
          <w:lang w:eastAsia="zh-CN"/>
        </w:rPr>
        <w:t xml:space="preserve">. In future work, </w:t>
      </w:r>
      <w:r>
        <w:rPr>
          <w:color w:val="000000" w:themeColor="text1"/>
          <w:lang w:eastAsia="zh-CN"/>
        </w:rPr>
        <w:t>it would be valuable to calibrate the GEDI AGBD values using field plot observations</w:t>
      </w:r>
      <w:r>
        <w:rPr>
          <w:rFonts w:hint="eastAsia"/>
          <w:color w:val="000000" w:themeColor="text1"/>
          <w:lang w:eastAsia="zh-CN"/>
        </w:rPr>
        <w:t xml:space="preserve"> </w:t>
      </w:r>
      <w:r>
        <w:rPr>
          <w:color w:val="000000" w:themeColor="text1"/>
          <w:lang w:eastAsia="zh-CN"/>
        </w:rPr>
        <w:fldChar w:fldCharType="begin"/>
      </w:r>
      <w:r>
        <w:rPr>
          <w:color w:val="000000" w:themeColor="text1"/>
          <w:lang w:eastAsia="zh-CN"/>
        </w:rPr>
        <w:instrText xml:space="preserve"> ADDIN EN.CITE &lt;EndNote&gt;&lt;Cite&gt;&lt;Author&gt;Nazir&lt;/Author&gt;&lt;Year&gt;2025&lt;/Year&gt;&lt;RecNum&gt;484&lt;/RecNum&gt;&lt;DisplayText&gt;[67]&lt;/DisplayText&gt;&lt;record&gt;&lt;rec-number&gt;484&lt;/rec-number&gt;&lt;foreign-keys&gt;&lt;key app="EN" db-id="pv902f0emrpxwae0aecvvpapa20ep02dp9fp" timestamp="1760798586"&gt;484&lt;/key&gt;&lt;/foreign-keys&gt;&lt;ref-type name="Journal Article"&gt;17&lt;/ref-type&gt;&lt;contributors&gt;&lt;authors&gt;&lt;author&gt;Nazir, Abid&lt;/author&gt;&lt;author&gt;Hanan, Niall P.&lt;/author&gt;&lt;author&gt;Yu, Qiuyan&lt;/author&gt;&lt;author&gt;Gilani, Hammad&lt;/author&gt;&lt;/authors&gt;&lt;/contributors&gt;&lt;titles&gt;&lt;title&gt;Enhancing GEDI above ground biomass density estimates in contrasting forests of Pakistan&lt;/title&gt;&lt;secondary-title&gt;Forest Ecology and Management&lt;/secondary-title&gt;&lt;/titles&gt;&lt;periodical&gt;&lt;full-title&gt;Forest Ecology and Management&lt;/full-title&gt;&lt;abbr-1&gt;For. Ecol. Manage.&lt;/abbr-1&gt;&lt;/periodical&gt;&lt;pages&gt;122747&lt;/pages&gt;&lt;volume&gt;587&lt;/volume&gt;&lt;keywords&gt;&lt;keyword&gt;LiDAR&lt;/keyword&gt;&lt;keyword&gt;Hybrid inference&lt;/keyword&gt;&lt;keyword&gt;Carbon&lt;/keyword&gt;&lt;keyword&gt;Forest structure&lt;/keyword&gt;&lt;keyword&gt;Mangroves&lt;/keyword&gt;&lt;/keywords&gt;&lt;dates&gt;&lt;year&gt;2025&lt;/year&gt;&lt;pub-dates&gt;&lt;date&gt;2025/07/01/&lt;/date&gt;&lt;/pub-dates&gt;&lt;/dates&gt;&lt;isbn&gt;0378-1127&lt;/isbn&gt;&lt;urls&gt;&lt;related-urls&gt;&lt;url&gt;https://www.sciencedirect.com/science/article/pii/S0378112725002555&lt;/url&gt;&lt;/related-urls&gt;&lt;/urls&gt;&lt;electronic-resource-num&gt;https://doi.org/10.1016/j.foreco.2025.122747&lt;/electronic-resource-num&gt;&lt;/record&gt;&lt;/Cite&gt;&lt;/EndNote&gt;</w:instrText>
      </w:r>
      <w:r>
        <w:rPr>
          <w:color w:val="000000" w:themeColor="text1"/>
          <w:lang w:eastAsia="zh-CN"/>
        </w:rPr>
        <w:fldChar w:fldCharType="separate"/>
      </w:r>
      <w:r>
        <w:rPr>
          <w:color w:val="000000" w:themeColor="text1"/>
          <w:lang w:eastAsia="zh-CN"/>
        </w:rPr>
        <w:t>[67]</w:t>
      </w:r>
      <w:r>
        <w:rPr>
          <w:color w:val="000000" w:themeColor="text1"/>
          <w:lang w:eastAsia="zh-CN"/>
        </w:rPr>
        <w:fldChar w:fldCharType="end"/>
      </w:r>
      <w:r>
        <w:rPr>
          <w:rFonts w:hint="eastAsia"/>
          <w:color w:val="000000" w:themeColor="text1"/>
          <w:lang w:eastAsia="zh-CN"/>
        </w:rPr>
        <w:t xml:space="preserve">. </w:t>
      </w:r>
      <w:bookmarkStart w:id="35" w:name="_Hlk211801478"/>
      <w:r>
        <w:rPr>
          <w:rFonts w:hint="eastAsia"/>
          <w:color w:val="000000" w:themeColor="text1"/>
          <w:lang w:eastAsia="zh-CN"/>
        </w:rPr>
        <w:t xml:space="preserve">With the </w:t>
      </w:r>
      <w:bookmarkStart w:id="36" w:name="_Hlk211801362"/>
      <w:r>
        <w:rPr>
          <w:color w:val="000000" w:themeColor="text1"/>
          <w:lang w:eastAsia="zh-CN"/>
        </w:rPr>
        <w:t>calibrated</w:t>
      </w:r>
      <w:r>
        <w:rPr>
          <w:rFonts w:hint="eastAsia"/>
          <w:color w:val="000000" w:themeColor="text1"/>
          <w:lang w:eastAsia="zh-CN"/>
        </w:rPr>
        <w:t xml:space="preserve"> GEDI AGBD</w:t>
      </w:r>
      <w:bookmarkEnd w:id="36"/>
      <w:r>
        <w:rPr>
          <w:rFonts w:hint="eastAsia"/>
          <w:color w:val="000000" w:themeColor="text1"/>
          <w:lang w:eastAsia="zh-CN"/>
        </w:rPr>
        <w:t xml:space="preserve"> as </w:t>
      </w:r>
      <w:r>
        <w:rPr>
          <w:color w:val="000000" w:themeColor="text1"/>
          <w:lang w:eastAsia="zh-CN"/>
        </w:rPr>
        <w:t>independent</w:t>
      </w:r>
      <w:r>
        <w:rPr>
          <w:rFonts w:hint="eastAsia"/>
          <w:color w:val="000000" w:themeColor="text1"/>
          <w:lang w:eastAsia="zh-CN"/>
        </w:rPr>
        <w:t xml:space="preserve"> variable, the proposed method </w:t>
      </w:r>
      <w:r>
        <w:rPr>
          <w:color w:val="000000" w:themeColor="text1"/>
          <w:lang w:eastAsia="zh-CN"/>
        </w:rPr>
        <w:t>is expected to produce more accurate spatio-temporally continuous AGBD estimates.</w:t>
      </w:r>
    </w:p>
    <w:bookmarkEnd w:id="35"/>
    <w:p w14:paraId="72A389D4">
      <w:pPr>
        <w:pStyle w:val="72"/>
        <w:pBdr>
          <w:top w:val="none" w:color="auto" w:sz="0" w:space="0"/>
          <w:left w:val="none" w:color="auto" w:sz="0" w:space="0"/>
          <w:bottom w:val="none" w:color="auto" w:sz="0" w:space="0"/>
          <w:right w:val="none" w:color="auto" w:sz="0" w:space="0"/>
        </w:pBdr>
        <w:rPr>
          <w:color w:val="000000" w:themeColor="text1"/>
        </w:rPr>
      </w:pPr>
      <w:r>
        <w:rPr>
          <w:color w:val="000000" w:themeColor="text1"/>
        </w:rPr>
        <w:fldChar w:fldCharType="begin"/>
      </w:r>
      <w:r>
        <w:rPr>
          <w:color w:val="000000" w:themeColor="text1"/>
          <w:lang w:eastAsia="zh-CN"/>
        </w:rPr>
        <w:instrText xml:space="preserve"> </w:instrText>
      </w:r>
      <w:r>
        <w:rPr>
          <w:rFonts w:hint="eastAsia"/>
          <w:color w:val="000000" w:themeColor="text1"/>
          <w:lang w:eastAsia="zh-CN"/>
        </w:rPr>
        <w:instrText xml:space="preserve">= 6 \* ROMAN</w:instrText>
      </w:r>
      <w:r>
        <w:rPr>
          <w:color w:val="000000" w:themeColor="text1"/>
          <w:lang w:eastAsia="zh-CN"/>
        </w:rPr>
        <w:instrText xml:space="preserve"> </w:instrText>
      </w:r>
      <w:r>
        <w:rPr>
          <w:color w:val="000000" w:themeColor="text1"/>
        </w:rPr>
        <w:fldChar w:fldCharType="separate"/>
      </w:r>
      <w:r>
        <w:rPr>
          <w:color w:val="000000" w:themeColor="text1"/>
          <w:lang w:eastAsia="zh-CN"/>
        </w:rPr>
        <w:t>VI</w:t>
      </w:r>
      <w:r>
        <w:rPr>
          <w:color w:val="000000" w:themeColor="text1"/>
        </w:rPr>
        <w:fldChar w:fldCharType="end"/>
      </w:r>
      <w:r>
        <w:rPr>
          <w:color w:val="000000" w:themeColor="text1"/>
        </w:rPr>
        <w:t>. Conclusions</w:t>
      </w:r>
    </w:p>
    <w:p w14:paraId="6217B539">
      <w:pPr>
        <w:ind w:firstLine="400" w:firstLineChars="200"/>
        <w:jc w:val="both"/>
        <w:rPr>
          <w:color w:val="FF0000"/>
          <w:lang w:eastAsia="zh-CN"/>
        </w:rPr>
      </w:pPr>
      <w:r>
        <w:rPr>
          <w:color w:val="000000" w:themeColor="text1"/>
        </w:rPr>
        <w:t xml:space="preserve">NASA’s GEDI is a new era of LiDAR, but the GEDI </w:t>
      </w:r>
      <w:r>
        <w:rPr>
          <w:color w:val="000000" w:themeColor="text1"/>
          <w:lang w:eastAsia="zh-CN"/>
        </w:rPr>
        <w:t xml:space="preserve">Gridded </w:t>
      </w:r>
      <w:r>
        <w:rPr>
          <w:color w:val="000000" w:themeColor="text1"/>
        </w:rPr>
        <w:t xml:space="preserve">AGBD product is presented only as spatial discontinuity grids at a spatial resolution of 1 km circa 2020, lacking spatio-temporally continuous estimates. </w:t>
      </w:r>
      <w:r>
        <w:rPr>
          <w:rFonts w:hint="eastAsia"/>
          <w:color w:val="000000" w:themeColor="text1"/>
        </w:rPr>
        <w:t>I</w:t>
      </w:r>
      <w:r>
        <w:rPr>
          <w:color w:val="000000" w:themeColor="text1"/>
        </w:rPr>
        <w:t xml:space="preserve">n this study, utilizing the GEDI AGBD and standard error grids, we developed a method based on machine learning and deep learning regression to estimate spatio-temporally continuous GEDI AGBD and its associated uncertainty from 2015 to 2020 using available PALSAR-2, MODIS, and topography and climate data. Experiments in China’s Han River Basin demonstrated integrating all three datasets for spatially continuous GEDI AGBD estimation achieved greater accuracy than the result based on any single dataset. RF outperforms the other three machine learning methods in GEDI AGBD mapping. However, the most accurate GEDI AGBD map was achieved by CNN_spatial, with the evaluation metrics: </w:t>
      </w:r>
      <w:r>
        <w:rPr>
          <w:i/>
          <w:iCs/>
          <w:color w:val="000000" w:themeColor="text1"/>
        </w:rPr>
        <w:t>R</w:t>
      </w:r>
      <w:r>
        <w:rPr>
          <w:color w:val="000000" w:themeColor="text1"/>
          <w:vertAlign w:val="superscript"/>
        </w:rPr>
        <w:t>2</w:t>
      </w:r>
      <w:r>
        <w:rPr>
          <w:color w:val="000000" w:themeColor="text1"/>
        </w:rPr>
        <w:t xml:space="preserve"> = 0.8232, </w:t>
      </w:r>
      <w:r>
        <w:rPr>
          <w:i/>
          <w:iCs/>
          <w:color w:val="000000" w:themeColor="text1"/>
        </w:rPr>
        <w:t>IOA</w:t>
      </w:r>
      <w:r>
        <w:rPr>
          <w:color w:val="000000" w:themeColor="text1"/>
        </w:rPr>
        <w:t xml:space="preserve"> = 94.97%, </w:t>
      </w:r>
      <w:r>
        <w:rPr>
          <w:i/>
          <w:iCs/>
          <w:color w:val="000000" w:themeColor="text1"/>
        </w:rPr>
        <w:t>RMSE</w:t>
      </w:r>
      <w:r>
        <w:rPr>
          <w:color w:val="000000" w:themeColor="text1"/>
        </w:rPr>
        <w:t xml:space="preserve"> = 27.7557, </w:t>
      </w:r>
      <w:r>
        <w:rPr>
          <w:i/>
          <w:iCs/>
          <w:color w:val="000000" w:themeColor="text1"/>
        </w:rPr>
        <w:t>rRSME</w:t>
      </w:r>
      <w:r>
        <w:rPr>
          <w:color w:val="000000" w:themeColor="text1"/>
        </w:rPr>
        <w:t xml:space="preserve"> = 33.05%, </w:t>
      </w:r>
      <w:r>
        <w:rPr>
          <w:i/>
          <w:iCs/>
          <w:color w:val="000000" w:themeColor="text1"/>
        </w:rPr>
        <w:t>MAE</w:t>
      </w:r>
      <w:r>
        <w:rPr>
          <w:color w:val="000000" w:themeColor="text1"/>
        </w:rPr>
        <w:t xml:space="preserve"> = 18.9096, and </w:t>
      </w:r>
      <w:r>
        <w:rPr>
          <w:i/>
          <w:iCs/>
          <w:color w:val="000000" w:themeColor="text1"/>
        </w:rPr>
        <w:t>ME</w:t>
      </w:r>
      <w:r>
        <w:rPr>
          <w:color w:val="000000" w:themeColor="text1"/>
        </w:rPr>
        <w:t xml:space="preserve"> = -0.3876. The MODIS VCF-based unchanged training sample selection procedure generated more accurate results in predicting the GEDI AGBD map for the year of interest than directly using training samples in 2020. The estimated annual GEDI AGBD maps during 2015-2020 exhibited similar spatial distributions and overall change ranges, all with </w:t>
      </w:r>
      <w:r>
        <w:rPr>
          <w:i/>
          <w:iCs/>
          <w:color w:val="000000" w:themeColor="text1"/>
        </w:rPr>
        <w:t>R</w:t>
      </w:r>
      <w:r>
        <w:rPr>
          <w:color w:val="000000" w:themeColor="text1"/>
          <w:vertAlign w:val="superscript"/>
        </w:rPr>
        <w:t>2</w:t>
      </w:r>
      <w:r>
        <w:rPr>
          <w:color w:val="000000" w:themeColor="text1"/>
        </w:rPr>
        <w:t xml:space="preserve"> values greater than 0.82. </w:t>
      </w:r>
      <w:r>
        <w:rPr>
          <w:color w:val="000000" w:themeColor="text1"/>
          <w:lang w:eastAsia="zh-CN"/>
        </w:rPr>
        <w:t>The Mann–Kendall (MK) trend map of annual GEDI AGBD indicates that more than 96% of the Han River Basin exhibited insignificant changes in AGBD. Approximately 2.16% of pixels showed a relatively significant increase, while 1.24% exhibited a relatively significant decrease. Compared with the ESA_CCI and China’s AGBD products, the AGBD map generated in this study effectively mitigates the underestimation issue and achieves the highest accuracy relative to the field plot data.</w:t>
      </w:r>
      <w:r>
        <w:rPr>
          <w:color w:val="000000" w:themeColor="text1"/>
        </w:rPr>
        <w:t xml:space="preserve"> The proposed method has great potential for spatio-temporally GEDI AGBD estimation in large-scale, complex forest landscapes.</w:t>
      </w:r>
      <w:r>
        <w:rPr>
          <w:rFonts w:hint="eastAsia"/>
          <w:color w:val="000000" w:themeColor="text1"/>
          <w:lang w:eastAsia="zh-CN"/>
        </w:rPr>
        <w:t xml:space="preserve"> The annual </w:t>
      </w:r>
      <w:r>
        <w:rPr>
          <w:color w:val="000000" w:themeColor="text1"/>
        </w:rPr>
        <w:t>spatially continuous GEDI AGBD</w:t>
      </w:r>
      <w:r>
        <w:rPr>
          <w:rFonts w:hint="eastAsia"/>
          <w:color w:val="000000" w:themeColor="text1"/>
          <w:lang w:eastAsia="zh-CN"/>
        </w:rPr>
        <w:t xml:space="preserve"> and uncertainty maps from 2015 to 2020 are freely available at </w:t>
      </w:r>
      <w:r>
        <w:fldChar w:fldCharType="begin"/>
      </w:r>
      <w:r>
        <w:instrText xml:space="preserve"> HYPERLINK "https://doi.org/10.5281/zenodo.17390979" </w:instrText>
      </w:r>
      <w:r>
        <w:fldChar w:fldCharType="separate"/>
      </w:r>
      <w:r>
        <w:rPr>
          <w:rStyle w:val="26"/>
          <w:lang w:eastAsia="zh-CN"/>
        </w:rPr>
        <w:t>https://doi.org/10.5281/zenodo.17390979</w:t>
      </w:r>
      <w:r>
        <w:rPr>
          <w:rStyle w:val="26"/>
          <w:lang w:eastAsia="zh-CN"/>
        </w:rPr>
        <w:fldChar w:fldCharType="end"/>
      </w:r>
      <w:r>
        <w:rPr>
          <w:rFonts w:hint="eastAsia"/>
          <w:color w:val="000000" w:themeColor="text1"/>
          <w:lang w:eastAsia="zh-CN"/>
        </w:rPr>
        <w:t xml:space="preserve">. </w:t>
      </w:r>
    </w:p>
    <w:p w14:paraId="0DFEC3D5">
      <w:pPr>
        <w:pStyle w:val="37"/>
        <w:ind w:left="400" w:hanging="400" w:hangingChars="200"/>
        <w:rPr>
          <w:color w:val="000000" w:themeColor="text1"/>
        </w:rPr>
      </w:pPr>
      <w:r>
        <w:rPr>
          <w:color w:val="000000" w:themeColor="text1"/>
        </w:rPr>
        <w:t>References</w:t>
      </w:r>
    </w:p>
    <w:p w14:paraId="6E118ACA">
      <w:pPr>
        <w:pStyle w:val="61"/>
        <w:ind w:left="320" w:hanging="320" w:hangingChars="200"/>
        <w:rPr>
          <w:color w:val="000000" w:themeColor="text1"/>
        </w:rPr>
      </w:pPr>
      <w:r>
        <w:rPr>
          <w:color w:val="000000" w:themeColor="text1"/>
          <w:sz w:val="16"/>
          <w:szCs w:val="16"/>
        </w:rPr>
        <w:fldChar w:fldCharType="begin"/>
      </w:r>
      <w:r>
        <w:rPr>
          <w:color w:val="000000" w:themeColor="text1"/>
          <w:sz w:val="16"/>
          <w:szCs w:val="16"/>
        </w:rPr>
        <w:instrText xml:space="preserve"> ADDIN EN.REFLIST </w:instrText>
      </w:r>
      <w:r>
        <w:rPr>
          <w:color w:val="000000" w:themeColor="text1"/>
          <w:sz w:val="16"/>
          <w:szCs w:val="16"/>
        </w:rPr>
        <w:fldChar w:fldCharType="separate"/>
      </w:r>
      <w:r>
        <w:rPr>
          <w:color w:val="000000" w:themeColor="text1"/>
        </w:rPr>
        <w:t>[1]</w:t>
      </w:r>
      <w:r>
        <w:rPr>
          <w:color w:val="000000" w:themeColor="text1"/>
        </w:rPr>
        <w:tab/>
      </w:r>
      <w:r>
        <w:rPr>
          <w:color w:val="000000" w:themeColor="text1"/>
        </w:rPr>
        <w:t>J. S. Sperry, M. D. Venturas, H. N. Todd</w:t>
      </w:r>
      <w:r>
        <w:rPr>
          <w:i/>
          <w:color w:val="000000" w:themeColor="text1"/>
        </w:rPr>
        <w:t xml:space="preserve"> et al.</w:t>
      </w:r>
      <w:r>
        <w:rPr>
          <w:color w:val="000000" w:themeColor="text1"/>
        </w:rPr>
        <w:t xml:space="preserve">, “The impact of rising CO2 and acclimation on the response of US forests to global warming,” </w:t>
      </w:r>
      <w:r>
        <w:rPr>
          <w:i/>
          <w:color w:val="000000" w:themeColor="text1"/>
        </w:rPr>
        <w:t>Proc. Natl. Acad. Sci. U.S.A.,</w:t>
      </w:r>
      <w:r>
        <w:rPr>
          <w:color w:val="000000" w:themeColor="text1"/>
        </w:rPr>
        <w:t xml:space="preserve"> vol. 116, no. 51, pp. 25734-25744, 2019/12/17, 2019.</w:t>
      </w:r>
    </w:p>
    <w:p w14:paraId="6F198FDA">
      <w:pPr>
        <w:pStyle w:val="61"/>
        <w:ind w:left="400" w:hanging="400" w:hangingChars="200"/>
        <w:rPr>
          <w:color w:val="000000" w:themeColor="text1"/>
        </w:rPr>
      </w:pPr>
      <w:r>
        <w:rPr>
          <w:color w:val="000000" w:themeColor="text1"/>
        </w:rPr>
        <w:t>[2]</w:t>
      </w:r>
      <w:r>
        <w:rPr>
          <w:color w:val="000000" w:themeColor="text1"/>
        </w:rPr>
        <w:tab/>
      </w:r>
      <w:r>
        <w:rPr>
          <w:color w:val="000000" w:themeColor="text1"/>
        </w:rPr>
        <w:t>S. Cooper, A. Okujeni, D. Pflugmacher</w:t>
      </w:r>
      <w:r>
        <w:rPr>
          <w:i/>
          <w:color w:val="000000" w:themeColor="text1"/>
        </w:rPr>
        <w:t xml:space="preserve"> et al.</w:t>
      </w:r>
      <w:r>
        <w:rPr>
          <w:color w:val="000000" w:themeColor="text1"/>
        </w:rPr>
        <w:t xml:space="preserve">, “Combining simulated hyperspectral EnMAP and Landsat time series for forest aboveground biomass mapping,” </w:t>
      </w:r>
      <w:r>
        <w:rPr>
          <w:i/>
          <w:color w:val="000000" w:themeColor="text1"/>
        </w:rPr>
        <w:t>Int. J. Appl. Earth Obs. Geoinf.,</w:t>
      </w:r>
      <w:r>
        <w:rPr>
          <w:color w:val="000000" w:themeColor="text1"/>
        </w:rPr>
        <w:t xml:space="preserve"> vol. 98, pp. 102307, 2021/06/01/, 2021.</w:t>
      </w:r>
    </w:p>
    <w:p w14:paraId="4BA71D83">
      <w:pPr>
        <w:pStyle w:val="61"/>
        <w:ind w:left="400" w:hanging="400" w:hangingChars="200"/>
        <w:rPr>
          <w:color w:val="000000" w:themeColor="text1"/>
        </w:rPr>
      </w:pPr>
      <w:r>
        <w:rPr>
          <w:color w:val="000000" w:themeColor="text1"/>
        </w:rPr>
        <w:t>[3]</w:t>
      </w:r>
      <w:r>
        <w:rPr>
          <w:color w:val="000000" w:themeColor="text1"/>
        </w:rPr>
        <w:tab/>
      </w:r>
      <w:r>
        <w:rPr>
          <w:color w:val="000000" w:themeColor="text1"/>
        </w:rPr>
        <w:t>Y. Su, Q. Guo, B. Xue</w:t>
      </w:r>
      <w:r>
        <w:rPr>
          <w:i/>
          <w:color w:val="000000" w:themeColor="text1"/>
        </w:rPr>
        <w:t xml:space="preserve"> et al.</w:t>
      </w:r>
      <w:r>
        <w:rPr>
          <w:color w:val="000000" w:themeColor="text1"/>
        </w:rPr>
        <w:t xml:space="preserve">, “Spatial distribution of forest aboveground biomass in China: Estimation through combination of spaceborne lidar, optical imagery, and forest inventory data,” </w:t>
      </w:r>
      <w:r>
        <w:rPr>
          <w:i/>
          <w:color w:val="000000" w:themeColor="text1"/>
        </w:rPr>
        <w:t>Remote Sens. Environ.,</w:t>
      </w:r>
      <w:r>
        <w:rPr>
          <w:color w:val="000000" w:themeColor="text1"/>
        </w:rPr>
        <w:t xml:space="preserve"> vol. 173, pp. 187-199, 2016/02/01/, 2016.</w:t>
      </w:r>
    </w:p>
    <w:p w14:paraId="16D007A9">
      <w:pPr>
        <w:pStyle w:val="61"/>
        <w:ind w:left="400" w:hanging="400" w:hangingChars="200"/>
        <w:rPr>
          <w:color w:val="000000" w:themeColor="text1"/>
        </w:rPr>
      </w:pPr>
      <w:r>
        <w:rPr>
          <w:color w:val="000000" w:themeColor="text1"/>
        </w:rPr>
        <w:t>[4]</w:t>
      </w:r>
      <w:r>
        <w:rPr>
          <w:color w:val="000000" w:themeColor="text1"/>
        </w:rPr>
        <w:tab/>
      </w:r>
      <w:r>
        <w:rPr>
          <w:color w:val="000000" w:themeColor="text1"/>
        </w:rPr>
        <w:t xml:space="preserve">G. M. Foody, D. S. Boyd, and M. E. J. Cutler, “Predictive relations of tropical forest biomass from Landsat TM data and their transferability between regions,” </w:t>
      </w:r>
      <w:r>
        <w:rPr>
          <w:i/>
          <w:color w:val="000000" w:themeColor="text1"/>
        </w:rPr>
        <w:t>Remote Sens. Environ.,</w:t>
      </w:r>
      <w:r>
        <w:rPr>
          <w:color w:val="000000" w:themeColor="text1"/>
        </w:rPr>
        <w:t xml:space="preserve"> vol. 85, no. 4, pp. 463-474, 2003/06/15/, 2003.</w:t>
      </w:r>
    </w:p>
    <w:p w14:paraId="1131FEF3">
      <w:pPr>
        <w:pStyle w:val="61"/>
        <w:ind w:left="400" w:hanging="400" w:hangingChars="200"/>
        <w:rPr>
          <w:color w:val="000000" w:themeColor="text1"/>
        </w:rPr>
      </w:pPr>
      <w:r>
        <w:rPr>
          <w:color w:val="000000" w:themeColor="text1"/>
        </w:rPr>
        <w:t>[5]</w:t>
      </w:r>
      <w:r>
        <w:rPr>
          <w:color w:val="000000" w:themeColor="text1"/>
        </w:rPr>
        <w:tab/>
      </w:r>
      <w:r>
        <w:rPr>
          <w:color w:val="000000" w:themeColor="text1"/>
        </w:rPr>
        <w:t xml:space="preserve">A. Ruesch, and H. K. Gibbs, “New IPCC Tier-1 Global Biomass Carbon Map For the Year 2000,” </w:t>
      </w:r>
      <w:r>
        <w:rPr>
          <w:i/>
          <w:color w:val="000000" w:themeColor="text1"/>
        </w:rPr>
        <w:t>Carbon Dioxide Information Analysis Center, Oak Ridge National Laboratory, Oak Ridge, Tennessee</w:t>
      </w:r>
      <w:r>
        <w:rPr>
          <w:color w:val="000000" w:themeColor="text1"/>
        </w:rPr>
        <w:t>, 2008.</w:t>
      </w:r>
    </w:p>
    <w:p w14:paraId="0E966A4D">
      <w:pPr>
        <w:pStyle w:val="61"/>
        <w:ind w:left="400" w:hanging="400" w:hangingChars="200"/>
        <w:rPr>
          <w:color w:val="000000" w:themeColor="text1"/>
        </w:rPr>
      </w:pPr>
      <w:r>
        <w:rPr>
          <w:color w:val="000000" w:themeColor="text1"/>
        </w:rPr>
        <w:t>[6]</w:t>
      </w:r>
      <w:r>
        <w:rPr>
          <w:color w:val="000000" w:themeColor="text1"/>
        </w:rPr>
        <w:tab/>
      </w:r>
      <w:r>
        <w:rPr>
          <w:color w:val="000000" w:themeColor="text1"/>
        </w:rPr>
        <w:t>L. Duncanson, J. Armston, M. Disney</w:t>
      </w:r>
      <w:r>
        <w:rPr>
          <w:i/>
          <w:color w:val="000000" w:themeColor="text1"/>
        </w:rPr>
        <w:t xml:space="preserve"> et al.</w:t>
      </w:r>
      <w:r>
        <w:rPr>
          <w:color w:val="000000" w:themeColor="text1"/>
        </w:rPr>
        <w:t xml:space="preserve">, “The Importance of Consistent Global Forest Aboveground Biomass Product Validation,” </w:t>
      </w:r>
      <w:r>
        <w:rPr>
          <w:i/>
          <w:color w:val="000000" w:themeColor="text1"/>
        </w:rPr>
        <w:t>Surv. Geophys.,</w:t>
      </w:r>
      <w:r>
        <w:rPr>
          <w:color w:val="000000" w:themeColor="text1"/>
        </w:rPr>
        <w:t xml:space="preserve"> vol. 40, no. 4, pp. 979-999, 2019/07/01, 2019.</w:t>
      </w:r>
    </w:p>
    <w:p w14:paraId="20DCE165">
      <w:pPr>
        <w:pStyle w:val="61"/>
        <w:ind w:left="400" w:hanging="400" w:hangingChars="200"/>
        <w:rPr>
          <w:color w:val="000000" w:themeColor="text1"/>
        </w:rPr>
      </w:pPr>
      <w:r>
        <w:rPr>
          <w:color w:val="000000" w:themeColor="text1"/>
        </w:rPr>
        <w:t>[7]</w:t>
      </w:r>
      <w:r>
        <w:rPr>
          <w:color w:val="000000" w:themeColor="text1"/>
        </w:rPr>
        <w:tab/>
      </w:r>
      <w:r>
        <w:rPr>
          <w:color w:val="000000" w:themeColor="text1"/>
        </w:rPr>
        <w:t>T. Hu, Y. Su, B. Xue</w:t>
      </w:r>
      <w:r>
        <w:rPr>
          <w:i/>
          <w:color w:val="000000" w:themeColor="text1"/>
        </w:rPr>
        <w:t xml:space="preserve"> et al.</w:t>
      </w:r>
      <w:r>
        <w:rPr>
          <w:color w:val="000000" w:themeColor="text1"/>
        </w:rPr>
        <w:t xml:space="preserve">, “Mapping Global Forest Aboveground Biomass with Spaceborne LiDAR, Optical Imagery, and Forest Inventory Data,” </w:t>
      </w:r>
      <w:r>
        <w:rPr>
          <w:i/>
          <w:color w:val="000000" w:themeColor="text1"/>
        </w:rPr>
        <w:t>Remote Sens.,</w:t>
      </w:r>
      <w:r>
        <w:rPr>
          <w:color w:val="000000" w:themeColor="text1"/>
        </w:rPr>
        <w:t xml:space="preserve"> vol. 8, no. 7, 2016.</w:t>
      </w:r>
    </w:p>
    <w:p w14:paraId="4E81AB3F">
      <w:pPr>
        <w:pStyle w:val="61"/>
        <w:ind w:left="400" w:hanging="400" w:hangingChars="200"/>
        <w:rPr>
          <w:color w:val="000000" w:themeColor="text1"/>
        </w:rPr>
      </w:pPr>
      <w:r>
        <w:rPr>
          <w:color w:val="000000" w:themeColor="text1"/>
        </w:rPr>
        <w:t>[8]</w:t>
      </w:r>
      <w:r>
        <w:rPr>
          <w:color w:val="000000" w:themeColor="text1"/>
        </w:rPr>
        <w:tab/>
      </w:r>
      <w:r>
        <w:rPr>
          <w:color w:val="000000" w:themeColor="text1"/>
        </w:rPr>
        <w:t>R. Dubayah, J. Armston, S. P. Healey</w:t>
      </w:r>
      <w:r>
        <w:rPr>
          <w:i/>
          <w:color w:val="000000" w:themeColor="text1"/>
        </w:rPr>
        <w:t xml:space="preserve"> et al.</w:t>
      </w:r>
      <w:r>
        <w:rPr>
          <w:color w:val="000000" w:themeColor="text1"/>
        </w:rPr>
        <w:t xml:space="preserve">, “GEDI launches a new era of biomass inference from space,” </w:t>
      </w:r>
      <w:r>
        <w:rPr>
          <w:i/>
          <w:color w:val="000000" w:themeColor="text1"/>
        </w:rPr>
        <w:t>Environ. Res. Lett.,</w:t>
      </w:r>
      <w:r>
        <w:rPr>
          <w:color w:val="000000" w:themeColor="text1"/>
        </w:rPr>
        <w:t xml:space="preserve"> vol. 17, no. 9, pp. 095001, 2022/08/18, 2022.</w:t>
      </w:r>
    </w:p>
    <w:p w14:paraId="3966E1EA">
      <w:pPr>
        <w:pStyle w:val="61"/>
        <w:ind w:left="400" w:hanging="400" w:hangingChars="200"/>
        <w:rPr>
          <w:color w:val="000000" w:themeColor="text1"/>
        </w:rPr>
      </w:pPr>
      <w:r>
        <w:rPr>
          <w:color w:val="000000" w:themeColor="text1"/>
        </w:rPr>
        <w:t>[9]</w:t>
      </w:r>
      <w:r>
        <w:rPr>
          <w:color w:val="000000" w:themeColor="text1"/>
        </w:rPr>
        <w:tab/>
      </w:r>
      <w:r>
        <w:rPr>
          <w:color w:val="000000" w:themeColor="text1"/>
        </w:rPr>
        <w:t>L. Duncanson, J. R. Kellner, J. Armston</w:t>
      </w:r>
      <w:r>
        <w:rPr>
          <w:i/>
          <w:color w:val="000000" w:themeColor="text1"/>
        </w:rPr>
        <w:t xml:space="preserve"> et al.</w:t>
      </w:r>
      <w:r>
        <w:rPr>
          <w:color w:val="000000" w:themeColor="text1"/>
        </w:rPr>
        <w:t xml:space="preserve">, “Aboveground biomass density models for NASA’s Global Ecosystem Dynamics Investigation (GEDI) lidar mission,” </w:t>
      </w:r>
      <w:r>
        <w:rPr>
          <w:i/>
          <w:color w:val="000000" w:themeColor="text1"/>
        </w:rPr>
        <w:t>Remote Sens. Environ.,</w:t>
      </w:r>
      <w:r>
        <w:rPr>
          <w:color w:val="000000" w:themeColor="text1"/>
        </w:rPr>
        <w:t xml:space="preserve"> vol. 270, pp. 112845, 2022/03/01/, 2022.</w:t>
      </w:r>
    </w:p>
    <w:p w14:paraId="30E56E34">
      <w:pPr>
        <w:pStyle w:val="61"/>
        <w:ind w:left="400" w:hanging="400" w:hangingChars="200"/>
        <w:rPr>
          <w:color w:val="000000" w:themeColor="text1"/>
        </w:rPr>
      </w:pPr>
      <w:r>
        <w:rPr>
          <w:color w:val="000000" w:themeColor="text1"/>
        </w:rPr>
        <w:t>[10]</w:t>
      </w:r>
      <w:r>
        <w:rPr>
          <w:color w:val="000000" w:themeColor="text1"/>
        </w:rPr>
        <w:tab/>
      </w:r>
      <w:r>
        <w:rPr>
          <w:color w:val="000000" w:themeColor="text1"/>
        </w:rPr>
        <w:t>M. A. Wulder, J. C. White, R. F. Nelson</w:t>
      </w:r>
      <w:r>
        <w:rPr>
          <w:i/>
          <w:color w:val="000000" w:themeColor="text1"/>
        </w:rPr>
        <w:t xml:space="preserve"> et al.</w:t>
      </w:r>
      <w:r>
        <w:rPr>
          <w:color w:val="000000" w:themeColor="text1"/>
        </w:rPr>
        <w:t xml:space="preserve">, “Lidar sampling for large-area forest characterization: A review,” </w:t>
      </w:r>
      <w:r>
        <w:rPr>
          <w:i/>
          <w:color w:val="000000" w:themeColor="text1"/>
        </w:rPr>
        <w:t>Remote Sens. Environ.,</w:t>
      </w:r>
      <w:r>
        <w:rPr>
          <w:color w:val="000000" w:themeColor="text1"/>
        </w:rPr>
        <w:t xml:space="preserve"> vol. 121, pp. 196-209, 2012/06/01/, 2012.</w:t>
      </w:r>
    </w:p>
    <w:p w14:paraId="0F2C0656">
      <w:pPr>
        <w:pStyle w:val="61"/>
        <w:ind w:left="400" w:hanging="400" w:hangingChars="200"/>
        <w:rPr>
          <w:color w:val="000000" w:themeColor="text1"/>
        </w:rPr>
      </w:pPr>
      <w:r>
        <w:rPr>
          <w:color w:val="000000" w:themeColor="text1"/>
        </w:rPr>
        <w:t>[11]</w:t>
      </w:r>
      <w:r>
        <w:rPr>
          <w:color w:val="000000" w:themeColor="text1"/>
        </w:rPr>
        <w:tab/>
      </w:r>
      <w:r>
        <w:rPr>
          <w:color w:val="000000" w:themeColor="text1"/>
        </w:rPr>
        <w:t>P. Kacic, F. Thonfeld, U. Gessner</w:t>
      </w:r>
      <w:r>
        <w:rPr>
          <w:i/>
          <w:color w:val="000000" w:themeColor="text1"/>
        </w:rPr>
        <w:t xml:space="preserve"> et al.</w:t>
      </w:r>
      <w:r>
        <w:rPr>
          <w:color w:val="000000" w:themeColor="text1"/>
        </w:rPr>
        <w:t xml:space="preserve">, “Forest Structure Characterization in Germany: Novel Products and Analysis Based on GEDI, Sentinel-1 and Sentinel-2 Data,” </w:t>
      </w:r>
      <w:r>
        <w:rPr>
          <w:i/>
          <w:color w:val="000000" w:themeColor="text1"/>
        </w:rPr>
        <w:t>Remote Sens.,</w:t>
      </w:r>
      <w:r>
        <w:rPr>
          <w:color w:val="000000" w:themeColor="text1"/>
        </w:rPr>
        <w:t xml:space="preserve"> vol. 15, no. 8, pp. 1969, 2023.</w:t>
      </w:r>
    </w:p>
    <w:p w14:paraId="23B3B8A6">
      <w:pPr>
        <w:pStyle w:val="61"/>
        <w:ind w:left="400" w:hanging="400" w:hangingChars="200"/>
        <w:rPr>
          <w:color w:val="000000" w:themeColor="text1"/>
        </w:rPr>
      </w:pPr>
      <w:r>
        <w:rPr>
          <w:color w:val="000000" w:themeColor="text1"/>
        </w:rPr>
        <w:t>[12]</w:t>
      </w:r>
      <w:r>
        <w:rPr>
          <w:color w:val="000000" w:themeColor="text1"/>
        </w:rPr>
        <w:tab/>
      </w:r>
      <w:r>
        <w:rPr>
          <w:color w:val="000000" w:themeColor="text1"/>
        </w:rPr>
        <w:t xml:space="preserve">M. Liu, and S. Popescu, “Estimation of biomass burning emissions by integrating ICESat-2, Landsat 8, and Sentinel-1 data,” </w:t>
      </w:r>
      <w:r>
        <w:rPr>
          <w:i/>
          <w:color w:val="000000" w:themeColor="text1"/>
        </w:rPr>
        <w:t>Remote Sens. Environ.,</w:t>
      </w:r>
      <w:r>
        <w:rPr>
          <w:color w:val="000000" w:themeColor="text1"/>
        </w:rPr>
        <w:t xml:space="preserve"> vol. 280, pp. 113172, 2022/10/01/, 2022.</w:t>
      </w:r>
    </w:p>
    <w:p w14:paraId="6C65198C">
      <w:pPr>
        <w:pStyle w:val="61"/>
        <w:ind w:left="400" w:hanging="400" w:hangingChars="200"/>
        <w:rPr>
          <w:color w:val="000000" w:themeColor="text1"/>
        </w:rPr>
      </w:pPr>
      <w:r>
        <w:rPr>
          <w:color w:val="000000" w:themeColor="text1"/>
        </w:rPr>
        <w:t>[13]</w:t>
      </w:r>
      <w:r>
        <w:rPr>
          <w:color w:val="000000" w:themeColor="text1"/>
        </w:rPr>
        <w:tab/>
      </w:r>
      <w:r>
        <w:rPr>
          <w:color w:val="000000" w:themeColor="text1"/>
        </w:rPr>
        <w:t xml:space="preserve">L. L. Narine, S. C. Popescu, and L. Malambo, “Synergy of ICESat-2 and Landsat for Mapping Forest Aboveground Biomass with Deep Learning,” </w:t>
      </w:r>
      <w:r>
        <w:rPr>
          <w:i/>
          <w:color w:val="000000" w:themeColor="text1"/>
        </w:rPr>
        <w:t>Remote Sens.,</w:t>
      </w:r>
      <w:r>
        <w:rPr>
          <w:color w:val="000000" w:themeColor="text1"/>
        </w:rPr>
        <w:t xml:space="preserve"> vol. 11, no. 12, 2019.</w:t>
      </w:r>
    </w:p>
    <w:p w14:paraId="473F4B86">
      <w:pPr>
        <w:pStyle w:val="61"/>
        <w:ind w:left="400" w:hanging="400" w:hangingChars="200"/>
        <w:rPr>
          <w:color w:val="000000" w:themeColor="text1"/>
        </w:rPr>
      </w:pPr>
      <w:r>
        <w:rPr>
          <w:color w:val="000000" w:themeColor="text1"/>
        </w:rPr>
        <w:t>[14]</w:t>
      </w:r>
      <w:r>
        <w:rPr>
          <w:color w:val="000000" w:themeColor="text1"/>
        </w:rPr>
        <w:tab/>
      </w:r>
      <w:r>
        <w:rPr>
          <w:color w:val="000000" w:themeColor="text1"/>
        </w:rPr>
        <w:t xml:space="preserve">K. Tiwari, and L. L. Narine, “A Comparison of Machine Learning and Geostatistical Approaches for Mapping Forest Canopy Height over the Southeastern US Using ICESat-2,” </w:t>
      </w:r>
      <w:r>
        <w:rPr>
          <w:i/>
          <w:color w:val="000000" w:themeColor="text1"/>
        </w:rPr>
        <w:t>Remote Sens.,</w:t>
      </w:r>
      <w:r>
        <w:rPr>
          <w:color w:val="000000" w:themeColor="text1"/>
        </w:rPr>
        <w:t xml:space="preserve"> vol. 14, no. 22, 2022.</w:t>
      </w:r>
    </w:p>
    <w:p w14:paraId="0D9B70E0">
      <w:pPr>
        <w:pStyle w:val="61"/>
        <w:ind w:left="400" w:hanging="400" w:hangingChars="200"/>
        <w:rPr>
          <w:color w:val="000000" w:themeColor="text1"/>
        </w:rPr>
      </w:pPr>
      <w:r>
        <w:rPr>
          <w:color w:val="000000" w:themeColor="text1"/>
        </w:rPr>
        <w:t>[15]</w:t>
      </w:r>
      <w:r>
        <w:rPr>
          <w:color w:val="000000" w:themeColor="text1"/>
        </w:rPr>
        <w:tab/>
      </w:r>
      <w:r>
        <w:rPr>
          <w:color w:val="000000" w:themeColor="text1"/>
        </w:rPr>
        <w:t>E. T. A. Mitchard, T. R. Feldpausch, R. J. W. Brienen</w:t>
      </w:r>
      <w:r>
        <w:rPr>
          <w:i/>
          <w:color w:val="000000" w:themeColor="text1"/>
        </w:rPr>
        <w:t xml:space="preserve"> et al.</w:t>
      </w:r>
      <w:r>
        <w:rPr>
          <w:color w:val="000000" w:themeColor="text1"/>
        </w:rPr>
        <w:t xml:space="preserve">, “Markedly divergent estimates of Amazon forest carbon density from ground plots and satellites,” </w:t>
      </w:r>
      <w:r>
        <w:rPr>
          <w:i/>
          <w:color w:val="000000" w:themeColor="text1"/>
        </w:rPr>
        <w:t>Global Ecol. Biogeogr.,</w:t>
      </w:r>
      <w:r>
        <w:rPr>
          <w:color w:val="000000" w:themeColor="text1"/>
        </w:rPr>
        <w:t xml:space="preserve"> vol. 23, no. 8, pp. 935-946, 2014/08/01, 2014.</w:t>
      </w:r>
    </w:p>
    <w:p w14:paraId="2392D0AA">
      <w:pPr>
        <w:pStyle w:val="61"/>
        <w:ind w:left="400" w:hanging="400" w:hangingChars="200"/>
        <w:rPr>
          <w:color w:val="000000" w:themeColor="text1"/>
        </w:rPr>
      </w:pPr>
      <w:r>
        <w:rPr>
          <w:color w:val="000000" w:themeColor="text1"/>
        </w:rPr>
        <w:t>[16]</w:t>
      </w:r>
      <w:r>
        <w:rPr>
          <w:color w:val="000000" w:themeColor="text1"/>
        </w:rPr>
        <w:tab/>
      </w:r>
      <w:r>
        <w:rPr>
          <w:color w:val="000000" w:themeColor="text1"/>
        </w:rPr>
        <w:t>L. Chen, C. Ren, B. Zhang</w:t>
      </w:r>
      <w:r>
        <w:rPr>
          <w:i/>
          <w:color w:val="000000" w:themeColor="text1"/>
        </w:rPr>
        <w:t xml:space="preserve"> et al.</w:t>
      </w:r>
      <w:r>
        <w:rPr>
          <w:color w:val="000000" w:themeColor="text1"/>
        </w:rPr>
        <w:t xml:space="preserve">, “Improved estimation of forest stand volume by the integration of GEDI LiDAR data and multi-sensor imagery in the Changbai Mountains Mixed forests Ecoregion (CMMFE), northeast China,” </w:t>
      </w:r>
      <w:r>
        <w:rPr>
          <w:i/>
          <w:color w:val="000000" w:themeColor="text1"/>
        </w:rPr>
        <w:t>Int. J. Appl. Earth Obs. Geoinf.,</w:t>
      </w:r>
      <w:r>
        <w:rPr>
          <w:color w:val="000000" w:themeColor="text1"/>
        </w:rPr>
        <w:t xml:space="preserve"> vol. 100, pp. 102326, 2021/08/01/, 2021.</w:t>
      </w:r>
    </w:p>
    <w:p w14:paraId="2D857512">
      <w:pPr>
        <w:pStyle w:val="61"/>
        <w:ind w:left="400" w:hanging="400" w:hangingChars="200"/>
        <w:rPr>
          <w:color w:val="000000" w:themeColor="text1"/>
        </w:rPr>
      </w:pPr>
      <w:r>
        <w:rPr>
          <w:color w:val="000000" w:themeColor="text1"/>
        </w:rPr>
        <w:t>[17]</w:t>
      </w:r>
      <w:r>
        <w:rPr>
          <w:color w:val="000000" w:themeColor="text1"/>
        </w:rPr>
        <w:tab/>
      </w:r>
      <w:r>
        <w:rPr>
          <w:color w:val="000000" w:themeColor="text1"/>
        </w:rPr>
        <w:t xml:space="preserve">Y. Shendryk, “Fusing GEDI with earth observation data for large area aboveground biomass mapping,” </w:t>
      </w:r>
      <w:r>
        <w:rPr>
          <w:i/>
          <w:color w:val="000000" w:themeColor="text1"/>
        </w:rPr>
        <w:t>Int. J. Appl. Earth Obs. Geoinf.,</w:t>
      </w:r>
      <w:r>
        <w:rPr>
          <w:color w:val="000000" w:themeColor="text1"/>
        </w:rPr>
        <w:t xml:space="preserve"> vol. 115, pp. 103108, 2022/12/01/, 2022.</w:t>
      </w:r>
    </w:p>
    <w:p w14:paraId="5CB62660">
      <w:pPr>
        <w:pStyle w:val="61"/>
        <w:ind w:left="400" w:hanging="400" w:hangingChars="200"/>
        <w:rPr>
          <w:color w:val="000000" w:themeColor="text1"/>
        </w:rPr>
      </w:pPr>
      <w:r>
        <w:rPr>
          <w:color w:val="000000" w:themeColor="text1"/>
        </w:rPr>
        <w:t>[18]</w:t>
      </w:r>
      <w:r>
        <w:rPr>
          <w:color w:val="000000" w:themeColor="text1"/>
        </w:rPr>
        <w:tab/>
      </w:r>
      <w:r>
        <w:rPr>
          <w:color w:val="000000" w:themeColor="text1"/>
        </w:rPr>
        <w:t xml:space="preserve">H. B. Kashongwe, D. P. Roy, and D. L. Skole, “Examination of the amount of GEDI data required to characterize central Africa tropical forest aboveground biomass at REDD+ project scale in Mai Ndombe province,” </w:t>
      </w:r>
      <w:r>
        <w:rPr>
          <w:i/>
          <w:color w:val="000000" w:themeColor="text1"/>
        </w:rPr>
        <w:t>Sci. Remote Sens.,</w:t>
      </w:r>
      <w:r>
        <w:rPr>
          <w:color w:val="000000" w:themeColor="text1"/>
        </w:rPr>
        <w:t xml:space="preserve"> vol. 7, pp. 100091, 2023/06/01/, 2023.</w:t>
      </w:r>
    </w:p>
    <w:p w14:paraId="3D44253F">
      <w:pPr>
        <w:pStyle w:val="61"/>
        <w:ind w:left="400" w:hanging="400" w:hangingChars="200"/>
        <w:rPr>
          <w:color w:val="000000" w:themeColor="text1"/>
        </w:rPr>
      </w:pPr>
      <w:r>
        <w:rPr>
          <w:color w:val="000000" w:themeColor="text1"/>
        </w:rPr>
        <w:t>[19]</w:t>
      </w:r>
      <w:r>
        <w:rPr>
          <w:color w:val="000000" w:themeColor="text1"/>
        </w:rPr>
        <w:tab/>
      </w:r>
      <w:r>
        <w:rPr>
          <w:color w:val="000000" w:themeColor="text1"/>
        </w:rPr>
        <w:t>M. Liang, L. Duncanson, J. A. Silva</w:t>
      </w:r>
      <w:r>
        <w:rPr>
          <w:i/>
          <w:color w:val="000000" w:themeColor="text1"/>
        </w:rPr>
        <w:t xml:space="preserve"> et al.</w:t>
      </w:r>
      <w:r>
        <w:rPr>
          <w:color w:val="000000" w:themeColor="text1"/>
        </w:rPr>
        <w:t xml:space="preserve">, “Quantifying aboveground biomass dynamics from charcoal degradation in Mozambique using GEDI Lidar and Landsat,” </w:t>
      </w:r>
      <w:r>
        <w:rPr>
          <w:i/>
          <w:color w:val="000000" w:themeColor="text1"/>
        </w:rPr>
        <w:t>Remote Sens. Environ.,</w:t>
      </w:r>
      <w:r>
        <w:rPr>
          <w:color w:val="000000" w:themeColor="text1"/>
        </w:rPr>
        <w:t xml:space="preserve"> vol. 284, pp. 113367, 2023/01/01/, 2023.</w:t>
      </w:r>
    </w:p>
    <w:p w14:paraId="430D42E7">
      <w:pPr>
        <w:pStyle w:val="61"/>
        <w:ind w:left="400" w:hanging="400" w:hangingChars="200"/>
        <w:rPr>
          <w:color w:val="000000" w:themeColor="text1"/>
        </w:rPr>
      </w:pPr>
      <w:r>
        <w:rPr>
          <w:color w:val="000000" w:themeColor="text1"/>
        </w:rPr>
        <w:t>[20]</w:t>
      </w:r>
      <w:r>
        <w:rPr>
          <w:color w:val="000000" w:themeColor="text1"/>
        </w:rPr>
        <w:tab/>
      </w:r>
      <w:r>
        <w:rPr>
          <w:color w:val="000000" w:themeColor="text1"/>
        </w:rPr>
        <w:t>C. A. Silva, L. Duncanson, S. Hancock</w:t>
      </w:r>
      <w:r>
        <w:rPr>
          <w:i/>
          <w:color w:val="000000" w:themeColor="text1"/>
        </w:rPr>
        <w:t xml:space="preserve"> et al.</w:t>
      </w:r>
      <w:r>
        <w:rPr>
          <w:color w:val="000000" w:themeColor="text1"/>
        </w:rPr>
        <w:t xml:space="preserve">, “Fusing simulated GEDI, ICESat-2 and NISAR data for regional aboveground biomass mapping,” </w:t>
      </w:r>
      <w:r>
        <w:rPr>
          <w:i/>
          <w:color w:val="000000" w:themeColor="text1"/>
        </w:rPr>
        <w:t>Remote Sens. Environ.,</w:t>
      </w:r>
      <w:r>
        <w:rPr>
          <w:color w:val="000000" w:themeColor="text1"/>
        </w:rPr>
        <w:t xml:space="preserve"> vol. 253, pp. 112234, 2021/02/01/, 2021.</w:t>
      </w:r>
    </w:p>
    <w:p w14:paraId="2F45C497">
      <w:pPr>
        <w:pStyle w:val="61"/>
        <w:ind w:left="400" w:hanging="400" w:hangingChars="200"/>
        <w:rPr>
          <w:color w:val="000000" w:themeColor="text1"/>
        </w:rPr>
      </w:pPr>
      <w:r>
        <w:rPr>
          <w:color w:val="000000" w:themeColor="text1"/>
        </w:rPr>
        <w:t>[21]</w:t>
      </w:r>
      <w:r>
        <w:rPr>
          <w:color w:val="000000" w:themeColor="text1"/>
        </w:rPr>
        <w:tab/>
      </w:r>
      <w:r>
        <w:rPr>
          <w:color w:val="000000" w:themeColor="text1"/>
        </w:rPr>
        <w:t xml:space="preserve">H. Padalia, A. Prakash, and T. Watham, “Modelling aboveground biomass of a multistage managed forest through synergistic use of Landsat-OLI, ALOS-2 L-band SAR and GEDI metrics,” </w:t>
      </w:r>
      <w:r>
        <w:rPr>
          <w:i/>
          <w:color w:val="000000" w:themeColor="text1"/>
        </w:rPr>
        <w:t>Ecol. Inf.,</w:t>
      </w:r>
      <w:r>
        <w:rPr>
          <w:color w:val="000000" w:themeColor="text1"/>
        </w:rPr>
        <w:t xml:space="preserve"> vol. 77, pp. 102234, 2023/11/01/, 2023.</w:t>
      </w:r>
    </w:p>
    <w:p w14:paraId="01E3187F">
      <w:pPr>
        <w:pStyle w:val="61"/>
        <w:ind w:left="400" w:hanging="400" w:hangingChars="200"/>
        <w:rPr>
          <w:color w:val="000000" w:themeColor="text1"/>
        </w:rPr>
      </w:pPr>
      <w:r>
        <w:rPr>
          <w:color w:val="000000" w:themeColor="text1"/>
        </w:rPr>
        <w:t>[22]</w:t>
      </w:r>
      <w:r>
        <w:rPr>
          <w:color w:val="000000" w:themeColor="text1"/>
        </w:rPr>
        <w:tab/>
      </w:r>
      <w:r>
        <w:rPr>
          <w:color w:val="000000" w:themeColor="text1"/>
        </w:rPr>
        <w:t>C. Choi, M. Pardini, J. Armston</w:t>
      </w:r>
      <w:r>
        <w:rPr>
          <w:i/>
          <w:color w:val="000000" w:themeColor="text1"/>
        </w:rPr>
        <w:t xml:space="preserve"> et al.</w:t>
      </w:r>
      <w:r>
        <w:rPr>
          <w:color w:val="000000" w:themeColor="text1"/>
        </w:rPr>
        <w:t xml:space="preserve">, “Forest Biomass Mapping Using Continuous InSAR and Discrete Waveform Lidar Measurements: A TanDEM-X/GEDI Test Study,” </w:t>
      </w:r>
      <w:r>
        <w:rPr>
          <w:i/>
          <w:color w:val="000000" w:themeColor="text1"/>
        </w:rPr>
        <w:t>IEEE J. Sel. Top. Appl. Earth Obs. Remote Sens.,</w:t>
      </w:r>
      <w:r>
        <w:rPr>
          <w:color w:val="000000" w:themeColor="text1"/>
        </w:rPr>
        <w:t xml:space="preserve"> vol. 16, pp. 7675-7689, 2023.</w:t>
      </w:r>
    </w:p>
    <w:p w14:paraId="74910D61">
      <w:pPr>
        <w:pStyle w:val="61"/>
        <w:ind w:left="400" w:hanging="400" w:hangingChars="200"/>
        <w:rPr>
          <w:color w:val="000000" w:themeColor="text1"/>
        </w:rPr>
      </w:pPr>
      <w:r>
        <w:rPr>
          <w:color w:val="000000" w:themeColor="text1"/>
        </w:rPr>
        <w:t>[23]</w:t>
      </w:r>
      <w:r>
        <w:rPr>
          <w:color w:val="000000" w:themeColor="text1"/>
        </w:rPr>
        <w:tab/>
      </w:r>
      <w:r>
        <w:rPr>
          <w:color w:val="000000" w:themeColor="text1"/>
        </w:rPr>
        <w:t>X. Li, H. Du, F. Mao</w:t>
      </w:r>
      <w:r>
        <w:rPr>
          <w:i/>
          <w:color w:val="000000" w:themeColor="text1"/>
        </w:rPr>
        <w:t xml:space="preserve"> et al.</w:t>
      </w:r>
      <w:r>
        <w:rPr>
          <w:color w:val="000000" w:themeColor="text1"/>
        </w:rPr>
        <w:t xml:space="preserve">, “Estimating bamboo forest aboveground biomass using EnKF-assimilated MODIS LAI spatiotemporal data and machine learning algorithms,” </w:t>
      </w:r>
      <w:r>
        <w:rPr>
          <w:i/>
          <w:color w:val="000000" w:themeColor="text1"/>
        </w:rPr>
        <w:t>Agric. For. Meteorol.,</w:t>
      </w:r>
      <w:r>
        <w:rPr>
          <w:color w:val="000000" w:themeColor="text1"/>
        </w:rPr>
        <w:t xml:space="preserve"> vol. 256-257, pp. 445-457, 2018/06/15/, 2018.</w:t>
      </w:r>
    </w:p>
    <w:p w14:paraId="620EF394">
      <w:pPr>
        <w:pStyle w:val="61"/>
        <w:ind w:left="400" w:hanging="400" w:hangingChars="200"/>
        <w:rPr>
          <w:color w:val="000000" w:themeColor="text1"/>
        </w:rPr>
      </w:pPr>
      <w:r>
        <w:rPr>
          <w:color w:val="000000" w:themeColor="text1"/>
        </w:rPr>
        <w:t>[24]</w:t>
      </w:r>
      <w:r>
        <w:rPr>
          <w:color w:val="000000" w:themeColor="text1"/>
        </w:rPr>
        <w:tab/>
      </w:r>
      <w:r>
        <w:rPr>
          <w:color w:val="000000" w:themeColor="text1"/>
        </w:rPr>
        <w:t>S. S. Saatchi, N. L. Harris, S. Brown</w:t>
      </w:r>
      <w:r>
        <w:rPr>
          <w:i/>
          <w:color w:val="000000" w:themeColor="text1"/>
        </w:rPr>
        <w:t xml:space="preserve"> et al.</w:t>
      </w:r>
      <w:r>
        <w:rPr>
          <w:color w:val="000000" w:themeColor="text1"/>
        </w:rPr>
        <w:t xml:space="preserve">, “Benchmark map of forest carbon stocks in tropical regions across three continents,” </w:t>
      </w:r>
      <w:r>
        <w:rPr>
          <w:i/>
          <w:color w:val="000000" w:themeColor="text1"/>
        </w:rPr>
        <w:t>Proc. Natl. Acad. Sci. U.S.A.,</w:t>
      </w:r>
      <w:r>
        <w:rPr>
          <w:color w:val="000000" w:themeColor="text1"/>
        </w:rPr>
        <w:t xml:space="preserve"> vol. 108, no. 24, pp. 9899-9904, 2011/06/14, 2011.</w:t>
      </w:r>
    </w:p>
    <w:p w14:paraId="72286A52">
      <w:pPr>
        <w:pStyle w:val="61"/>
        <w:ind w:left="400" w:hanging="400" w:hangingChars="200"/>
        <w:rPr>
          <w:color w:val="000000" w:themeColor="text1"/>
        </w:rPr>
      </w:pPr>
      <w:r>
        <w:rPr>
          <w:color w:val="000000" w:themeColor="text1"/>
        </w:rPr>
        <w:t>[25]</w:t>
      </w:r>
      <w:r>
        <w:rPr>
          <w:color w:val="000000" w:themeColor="text1"/>
        </w:rPr>
        <w:tab/>
      </w:r>
      <w:r>
        <w:rPr>
          <w:color w:val="000000" w:themeColor="text1"/>
        </w:rPr>
        <w:t>l. G. Maire, C. Marsden, Y. Nouvellon</w:t>
      </w:r>
      <w:r>
        <w:rPr>
          <w:i/>
          <w:color w:val="000000" w:themeColor="text1"/>
        </w:rPr>
        <w:t xml:space="preserve"> et al.</w:t>
      </w:r>
      <w:r>
        <w:rPr>
          <w:color w:val="000000" w:themeColor="text1"/>
        </w:rPr>
        <w:t xml:space="preserve">, “MODIS NDVI time-series allow the monitoring of Eucalyptus plantation biomass,” </w:t>
      </w:r>
      <w:r>
        <w:rPr>
          <w:i/>
          <w:color w:val="000000" w:themeColor="text1"/>
        </w:rPr>
        <w:t>Remote Sens. Environ.,</w:t>
      </w:r>
      <w:r>
        <w:rPr>
          <w:color w:val="000000" w:themeColor="text1"/>
        </w:rPr>
        <w:t xml:space="preserve"> vol. 115, no. 10, pp. 2613-2625, 2011/10/17/, 2011.</w:t>
      </w:r>
    </w:p>
    <w:p w14:paraId="18F8AB33">
      <w:pPr>
        <w:pStyle w:val="61"/>
        <w:ind w:left="400" w:hanging="400" w:hangingChars="200"/>
        <w:rPr>
          <w:color w:val="000000" w:themeColor="text1"/>
        </w:rPr>
      </w:pPr>
      <w:r>
        <w:rPr>
          <w:color w:val="000000" w:themeColor="text1"/>
        </w:rPr>
        <w:t>[26]</w:t>
      </w:r>
      <w:r>
        <w:rPr>
          <w:color w:val="000000" w:themeColor="text1"/>
        </w:rPr>
        <w:tab/>
      </w:r>
      <w:r>
        <w:rPr>
          <w:color w:val="000000" w:themeColor="text1"/>
        </w:rPr>
        <w:t>E. Yan, G. Wang, H. Lin</w:t>
      </w:r>
      <w:r>
        <w:rPr>
          <w:i/>
          <w:color w:val="000000" w:themeColor="text1"/>
        </w:rPr>
        <w:t xml:space="preserve"> et al.</w:t>
      </w:r>
      <w:r>
        <w:rPr>
          <w:color w:val="000000" w:themeColor="text1"/>
        </w:rPr>
        <w:t xml:space="preserve">, “Phenology-based classification of vegetation cover types in Northeast China using MODIS NDVI and EVI time series,” </w:t>
      </w:r>
      <w:r>
        <w:rPr>
          <w:i/>
          <w:color w:val="000000" w:themeColor="text1"/>
        </w:rPr>
        <w:t>Int. J. Remote Sens.,</w:t>
      </w:r>
      <w:r>
        <w:rPr>
          <w:color w:val="000000" w:themeColor="text1"/>
        </w:rPr>
        <w:t xml:space="preserve"> vol. 36, no. 2, pp. 489-512, 2015/01/17, 2015.</w:t>
      </w:r>
    </w:p>
    <w:p w14:paraId="1460FACB">
      <w:pPr>
        <w:pStyle w:val="61"/>
        <w:ind w:left="400" w:hanging="400" w:hangingChars="200"/>
        <w:rPr>
          <w:color w:val="000000" w:themeColor="text1"/>
        </w:rPr>
      </w:pPr>
      <w:r>
        <w:rPr>
          <w:color w:val="000000" w:themeColor="text1"/>
        </w:rPr>
        <w:t>[27]</w:t>
      </w:r>
      <w:r>
        <w:rPr>
          <w:color w:val="000000" w:themeColor="text1"/>
        </w:rPr>
        <w:tab/>
      </w:r>
      <w:r>
        <w:rPr>
          <w:color w:val="000000" w:themeColor="text1"/>
        </w:rPr>
        <w:t xml:space="preserve">J. A. Anaya, E. Chuvieco, and A. Palacios-Orueta, “Aboveground biomass assessment in Colombia: A remote sensing approach,” </w:t>
      </w:r>
      <w:r>
        <w:rPr>
          <w:i/>
          <w:color w:val="000000" w:themeColor="text1"/>
        </w:rPr>
        <w:t>For. Ecol. Manage.,</w:t>
      </w:r>
      <w:r>
        <w:rPr>
          <w:color w:val="000000" w:themeColor="text1"/>
        </w:rPr>
        <w:t xml:space="preserve"> vol. 257, no. 4, pp. 1237-1246, 2009/02/20/, 2009.</w:t>
      </w:r>
    </w:p>
    <w:p w14:paraId="7F3547B2">
      <w:pPr>
        <w:pStyle w:val="61"/>
        <w:ind w:left="400" w:hanging="400" w:hangingChars="200"/>
        <w:rPr>
          <w:color w:val="000000" w:themeColor="text1"/>
        </w:rPr>
      </w:pPr>
      <w:r>
        <w:rPr>
          <w:color w:val="000000" w:themeColor="text1"/>
        </w:rPr>
        <w:t>[28]</w:t>
      </w:r>
      <w:r>
        <w:rPr>
          <w:color w:val="000000" w:themeColor="text1"/>
        </w:rPr>
        <w:tab/>
      </w:r>
      <w:r>
        <w:rPr>
          <w:color w:val="000000" w:themeColor="text1"/>
        </w:rPr>
        <w:t xml:space="preserve">S. Englhart, V. Keuck, and F. Siegert, “Aboveground biomass retrieval in tropical forests — The potential of combined X- and L-band SAR data use,” </w:t>
      </w:r>
      <w:r>
        <w:rPr>
          <w:i/>
          <w:color w:val="000000" w:themeColor="text1"/>
        </w:rPr>
        <w:t>Remote Sens. Environ.,</w:t>
      </w:r>
      <w:r>
        <w:rPr>
          <w:color w:val="000000" w:themeColor="text1"/>
        </w:rPr>
        <w:t xml:space="preserve"> vol. 115, no. 5, pp. 1260-1271, 2011/05/15/, 2011.</w:t>
      </w:r>
    </w:p>
    <w:p w14:paraId="5B48DCC5">
      <w:pPr>
        <w:pStyle w:val="61"/>
        <w:ind w:left="400" w:hanging="400" w:hangingChars="200"/>
        <w:rPr>
          <w:color w:val="000000" w:themeColor="text1"/>
        </w:rPr>
      </w:pPr>
      <w:r>
        <w:rPr>
          <w:color w:val="000000" w:themeColor="text1"/>
        </w:rPr>
        <w:t>[29]</w:t>
      </w:r>
      <w:r>
        <w:rPr>
          <w:color w:val="000000" w:themeColor="text1"/>
        </w:rPr>
        <w:tab/>
      </w:r>
      <w:r>
        <w:rPr>
          <w:color w:val="000000" w:themeColor="text1"/>
        </w:rPr>
        <w:t>O. Cartus, M. Santoro, U. Wegmüller</w:t>
      </w:r>
      <w:r>
        <w:rPr>
          <w:i/>
          <w:color w:val="000000" w:themeColor="text1"/>
        </w:rPr>
        <w:t xml:space="preserve"> et al.</w:t>
      </w:r>
      <w:r>
        <w:rPr>
          <w:color w:val="000000" w:themeColor="text1"/>
        </w:rPr>
        <w:t xml:space="preserve">, “Sentinel-1 Coherence for Mapping Above-Ground Biomass in Semiarid Forest Areas,” </w:t>
      </w:r>
      <w:r>
        <w:rPr>
          <w:i/>
          <w:color w:val="000000" w:themeColor="text1"/>
        </w:rPr>
        <w:t>IEEE Geosci. Remote Sens. Lett.,</w:t>
      </w:r>
      <w:r>
        <w:rPr>
          <w:color w:val="000000" w:themeColor="text1"/>
        </w:rPr>
        <w:t xml:space="preserve"> vol. 19, pp. 1-5, 2022.</w:t>
      </w:r>
    </w:p>
    <w:p w14:paraId="0B9704D3">
      <w:pPr>
        <w:pStyle w:val="61"/>
        <w:ind w:left="400" w:hanging="400" w:hangingChars="200"/>
        <w:rPr>
          <w:color w:val="000000" w:themeColor="text1"/>
        </w:rPr>
      </w:pPr>
      <w:r>
        <w:rPr>
          <w:color w:val="000000" w:themeColor="text1"/>
        </w:rPr>
        <w:t>[30]</w:t>
      </w:r>
      <w:r>
        <w:rPr>
          <w:color w:val="000000" w:themeColor="text1"/>
        </w:rPr>
        <w:tab/>
      </w:r>
      <w:r>
        <w:rPr>
          <w:color w:val="000000" w:themeColor="text1"/>
        </w:rPr>
        <w:t xml:space="preserve">J. M. B. Carreiras, M. J. Vasconcelos, and R. M. Lucas, “Understanding the relationship between aboveground biomass and ALOS PALSAR data in the forests of Guinea-Bissau (West Africa),” </w:t>
      </w:r>
      <w:r>
        <w:rPr>
          <w:i/>
          <w:color w:val="000000" w:themeColor="text1"/>
        </w:rPr>
        <w:t>Remote Sens. Environ.,</w:t>
      </w:r>
      <w:r>
        <w:rPr>
          <w:color w:val="000000" w:themeColor="text1"/>
        </w:rPr>
        <w:t xml:space="preserve"> vol. 121, pp. 426-442, 2012/06/01/, 2012.</w:t>
      </w:r>
    </w:p>
    <w:p w14:paraId="357B3524">
      <w:pPr>
        <w:pStyle w:val="61"/>
        <w:ind w:left="400" w:hanging="400" w:hangingChars="200"/>
        <w:rPr>
          <w:color w:val="000000" w:themeColor="text1"/>
        </w:rPr>
      </w:pPr>
      <w:r>
        <w:rPr>
          <w:color w:val="000000" w:themeColor="text1"/>
        </w:rPr>
        <w:t>[31]</w:t>
      </w:r>
      <w:r>
        <w:rPr>
          <w:color w:val="000000" w:themeColor="text1"/>
        </w:rPr>
        <w:tab/>
      </w:r>
      <w:r>
        <w:rPr>
          <w:color w:val="000000" w:themeColor="text1"/>
        </w:rPr>
        <w:t>M. Santoro, O. Cartus, N. Carvalhais</w:t>
      </w:r>
      <w:r>
        <w:rPr>
          <w:i/>
          <w:color w:val="000000" w:themeColor="text1"/>
        </w:rPr>
        <w:t xml:space="preserve"> et al.</w:t>
      </w:r>
      <w:r>
        <w:rPr>
          <w:color w:val="000000" w:themeColor="text1"/>
        </w:rPr>
        <w:t xml:space="preserve">, “The global forest above-ground biomass pool for 2010 estimated from high-resolution satellite observations,” </w:t>
      </w:r>
      <w:r>
        <w:rPr>
          <w:i/>
          <w:color w:val="000000" w:themeColor="text1"/>
        </w:rPr>
        <w:t>Earth Syst. Sci. Data,</w:t>
      </w:r>
      <w:r>
        <w:rPr>
          <w:color w:val="000000" w:themeColor="text1"/>
        </w:rPr>
        <w:t xml:space="preserve"> vol. 13, no. 8, pp. 3927-3950, 2021.</w:t>
      </w:r>
    </w:p>
    <w:p w14:paraId="528ECF24">
      <w:pPr>
        <w:pStyle w:val="61"/>
        <w:ind w:left="400" w:hanging="400" w:hangingChars="200"/>
        <w:rPr>
          <w:color w:val="000000" w:themeColor="text1"/>
        </w:rPr>
      </w:pPr>
      <w:r>
        <w:rPr>
          <w:color w:val="000000" w:themeColor="text1"/>
        </w:rPr>
        <w:t>[32]</w:t>
      </w:r>
      <w:r>
        <w:rPr>
          <w:color w:val="000000" w:themeColor="text1"/>
        </w:rPr>
        <w:tab/>
      </w:r>
      <w:r>
        <w:rPr>
          <w:color w:val="000000" w:themeColor="text1"/>
        </w:rPr>
        <w:t>J. Dong, X. Xiao, S. Sheldon</w:t>
      </w:r>
      <w:r>
        <w:rPr>
          <w:i/>
          <w:color w:val="000000" w:themeColor="text1"/>
        </w:rPr>
        <w:t xml:space="preserve"> et al.</w:t>
      </w:r>
      <w:r>
        <w:rPr>
          <w:color w:val="000000" w:themeColor="text1"/>
        </w:rPr>
        <w:t xml:space="preserve">, “Mapping tropical forests and rubber plantations in complex landscapes by integrating PALSAR and MODIS imagery,” </w:t>
      </w:r>
      <w:r>
        <w:rPr>
          <w:i/>
          <w:color w:val="000000" w:themeColor="text1"/>
        </w:rPr>
        <w:t>ISPRS J. Photogramm. Remote Sens.,</w:t>
      </w:r>
      <w:r>
        <w:rPr>
          <w:color w:val="000000" w:themeColor="text1"/>
        </w:rPr>
        <w:t xml:space="preserve"> vol. 74, pp. 20-33, 2012/11/01/, 2012.</w:t>
      </w:r>
    </w:p>
    <w:p w14:paraId="4C043B16">
      <w:pPr>
        <w:pStyle w:val="61"/>
        <w:ind w:left="400" w:hanging="400" w:hangingChars="200"/>
        <w:rPr>
          <w:color w:val="000000" w:themeColor="text1"/>
        </w:rPr>
      </w:pPr>
      <w:r>
        <w:rPr>
          <w:color w:val="000000" w:themeColor="text1"/>
        </w:rPr>
        <w:t>[33]</w:t>
      </w:r>
      <w:r>
        <w:rPr>
          <w:color w:val="000000" w:themeColor="text1"/>
        </w:rPr>
        <w:tab/>
      </w:r>
      <w:r>
        <w:rPr>
          <w:color w:val="000000" w:themeColor="text1"/>
        </w:rPr>
        <w:t>Y. Zhang, F. Ling, G. M. Foody</w:t>
      </w:r>
      <w:r>
        <w:rPr>
          <w:i/>
          <w:color w:val="000000" w:themeColor="text1"/>
        </w:rPr>
        <w:t xml:space="preserve"> et al.</w:t>
      </w:r>
      <w:r>
        <w:rPr>
          <w:color w:val="000000" w:themeColor="text1"/>
        </w:rPr>
        <w:t xml:space="preserve">, “Mapping annual forest cover by fusing PALSAR/PALSAR-2 and MODIS NDVI during 2007–2016,” </w:t>
      </w:r>
      <w:r>
        <w:rPr>
          <w:i/>
          <w:color w:val="000000" w:themeColor="text1"/>
        </w:rPr>
        <w:t>Remote Sens. Environ.,</w:t>
      </w:r>
      <w:r>
        <w:rPr>
          <w:color w:val="000000" w:themeColor="text1"/>
        </w:rPr>
        <w:t xml:space="preserve"> vol. 224, pp. 74-91, 2019/04/01/, 2019.</w:t>
      </w:r>
    </w:p>
    <w:p w14:paraId="22930894">
      <w:pPr>
        <w:pStyle w:val="61"/>
        <w:ind w:left="400" w:hanging="400" w:hangingChars="200"/>
        <w:rPr>
          <w:color w:val="000000" w:themeColor="text1"/>
        </w:rPr>
      </w:pPr>
      <w:r>
        <w:rPr>
          <w:color w:val="000000" w:themeColor="text1"/>
        </w:rPr>
        <w:t>[34]</w:t>
      </w:r>
      <w:r>
        <w:rPr>
          <w:color w:val="000000" w:themeColor="text1"/>
        </w:rPr>
        <w:tab/>
      </w:r>
      <w:r>
        <w:rPr>
          <w:color w:val="000000" w:themeColor="text1"/>
        </w:rPr>
        <w:t>W. Shen, M. Li, C. Huang</w:t>
      </w:r>
      <w:r>
        <w:rPr>
          <w:i/>
          <w:color w:val="000000" w:themeColor="text1"/>
        </w:rPr>
        <w:t xml:space="preserve"> et al.</w:t>
      </w:r>
      <w:r>
        <w:rPr>
          <w:color w:val="000000" w:themeColor="text1"/>
        </w:rPr>
        <w:t xml:space="preserve">, “Annual forest aboveground biomass changes mapped using ICESat/GLAS measurements, historical inventory data, and time-series optical and radar imagery for Guangdong province, China,” </w:t>
      </w:r>
      <w:r>
        <w:rPr>
          <w:i/>
          <w:color w:val="000000" w:themeColor="text1"/>
        </w:rPr>
        <w:t>Agric. For. Meteorol.,</w:t>
      </w:r>
      <w:r>
        <w:rPr>
          <w:color w:val="000000" w:themeColor="text1"/>
        </w:rPr>
        <w:t xml:space="preserve"> vol. 259, pp. 23-38, 2018/09/15/, 2018.</w:t>
      </w:r>
    </w:p>
    <w:p w14:paraId="3F1CA4ED">
      <w:pPr>
        <w:pStyle w:val="61"/>
        <w:ind w:left="400" w:hanging="400" w:hangingChars="200"/>
        <w:rPr>
          <w:color w:val="000000" w:themeColor="text1"/>
        </w:rPr>
      </w:pPr>
      <w:r>
        <w:rPr>
          <w:color w:val="000000" w:themeColor="text1"/>
        </w:rPr>
        <w:t>[35]</w:t>
      </w:r>
      <w:r>
        <w:rPr>
          <w:color w:val="000000" w:themeColor="text1"/>
        </w:rPr>
        <w:tab/>
      </w:r>
      <w:r>
        <w:rPr>
          <w:color w:val="000000" w:themeColor="text1"/>
        </w:rPr>
        <w:t>S. A. Spawn, C. C. Sullivan, T. J. Lark</w:t>
      </w:r>
      <w:r>
        <w:rPr>
          <w:i/>
          <w:color w:val="000000" w:themeColor="text1"/>
        </w:rPr>
        <w:t xml:space="preserve"> et al.</w:t>
      </w:r>
      <w:r>
        <w:rPr>
          <w:color w:val="000000" w:themeColor="text1"/>
        </w:rPr>
        <w:t xml:space="preserve">, “Harmonized global maps of above and belowground biomass carbon density in the year 2010,” </w:t>
      </w:r>
      <w:r>
        <w:rPr>
          <w:i/>
          <w:color w:val="000000" w:themeColor="text1"/>
        </w:rPr>
        <w:t>Sci. Data,</w:t>
      </w:r>
      <w:r>
        <w:rPr>
          <w:color w:val="000000" w:themeColor="text1"/>
        </w:rPr>
        <w:t xml:space="preserve"> vol. 7, no. 1, pp. 112, 2020/04/06, 2020.</w:t>
      </w:r>
    </w:p>
    <w:p w14:paraId="36414B75">
      <w:pPr>
        <w:pStyle w:val="61"/>
        <w:ind w:left="400" w:hanging="400" w:hangingChars="200"/>
        <w:rPr>
          <w:color w:val="000000" w:themeColor="text1"/>
        </w:rPr>
      </w:pPr>
      <w:r>
        <w:rPr>
          <w:color w:val="000000" w:themeColor="text1"/>
        </w:rPr>
        <w:t>[36]</w:t>
      </w:r>
      <w:r>
        <w:rPr>
          <w:color w:val="000000" w:themeColor="text1"/>
        </w:rPr>
        <w:tab/>
      </w:r>
      <w:r>
        <w:rPr>
          <w:color w:val="000000" w:themeColor="text1"/>
        </w:rPr>
        <w:t>A. Baccini, W. Walker, L. Carvalho</w:t>
      </w:r>
      <w:r>
        <w:rPr>
          <w:i/>
          <w:color w:val="000000" w:themeColor="text1"/>
        </w:rPr>
        <w:t xml:space="preserve"> et al.</w:t>
      </w:r>
      <w:r>
        <w:rPr>
          <w:color w:val="000000" w:themeColor="text1"/>
        </w:rPr>
        <w:t xml:space="preserve">, “Tropical forests are a net carbon source based on aboveground measurements of gain and loss,” </w:t>
      </w:r>
      <w:r>
        <w:rPr>
          <w:i/>
          <w:color w:val="000000" w:themeColor="text1"/>
        </w:rPr>
        <w:t>Science,</w:t>
      </w:r>
      <w:r>
        <w:rPr>
          <w:color w:val="000000" w:themeColor="text1"/>
        </w:rPr>
        <w:t xml:space="preserve"> vol. 358, no. 6360, pp. 230-234, 2017/10/13, 2017.</w:t>
      </w:r>
    </w:p>
    <w:p w14:paraId="19A3E505">
      <w:pPr>
        <w:pStyle w:val="61"/>
        <w:ind w:left="400" w:hanging="400" w:hangingChars="200"/>
        <w:rPr>
          <w:color w:val="000000" w:themeColor="text1"/>
        </w:rPr>
      </w:pPr>
      <w:r>
        <w:rPr>
          <w:color w:val="000000" w:themeColor="text1"/>
        </w:rPr>
        <w:t>[37]</w:t>
      </w:r>
      <w:r>
        <w:rPr>
          <w:color w:val="000000" w:themeColor="text1"/>
        </w:rPr>
        <w:tab/>
      </w:r>
      <w:r>
        <w:rPr>
          <w:color w:val="000000" w:themeColor="text1"/>
        </w:rPr>
        <w:t>N. L. Harris, D. A. Gibbs, A. Baccini</w:t>
      </w:r>
      <w:r>
        <w:rPr>
          <w:i/>
          <w:color w:val="000000" w:themeColor="text1"/>
        </w:rPr>
        <w:t xml:space="preserve"> et al.</w:t>
      </w:r>
      <w:r>
        <w:rPr>
          <w:color w:val="000000" w:themeColor="text1"/>
        </w:rPr>
        <w:t xml:space="preserve">, “Global maps of twenty-first century forest carbon fluxes,” </w:t>
      </w:r>
      <w:r>
        <w:rPr>
          <w:i/>
          <w:color w:val="000000" w:themeColor="text1"/>
        </w:rPr>
        <w:t>Nat. Clim. Change,</w:t>
      </w:r>
      <w:r>
        <w:rPr>
          <w:color w:val="000000" w:themeColor="text1"/>
        </w:rPr>
        <w:t xml:space="preserve"> vol. 11, no. 3, pp. 234-240, 2021/03/01, 2021.</w:t>
      </w:r>
    </w:p>
    <w:p w14:paraId="107F445F">
      <w:pPr>
        <w:pStyle w:val="61"/>
        <w:ind w:left="400" w:hanging="400" w:hangingChars="200"/>
        <w:rPr>
          <w:color w:val="000000" w:themeColor="text1"/>
        </w:rPr>
      </w:pPr>
      <w:r>
        <w:rPr>
          <w:color w:val="000000" w:themeColor="text1"/>
        </w:rPr>
        <w:t>[38]</w:t>
      </w:r>
      <w:r>
        <w:rPr>
          <w:color w:val="000000" w:themeColor="text1"/>
        </w:rPr>
        <w:tab/>
      </w:r>
      <w:r>
        <w:rPr>
          <w:color w:val="000000" w:themeColor="text1"/>
        </w:rPr>
        <w:t xml:space="preserve">W. Liu, G. Liu, and Q. Zhang, “Influence of Vegetation Characteristics on Soil Denitrification in Shoreline Wetlands of the Danjiangkou Reservoir in China,” </w:t>
      </w:r>
      <w:r>
        <w:rPr>
          <w:i/>
          <w:color w:val="000000" w:themeColor="text1"/>
        </w:rPr>
        <w:t>CLEAN – Soil, Air, Water,</w:t>
      </w:r>
      <w:r>
        <w:rPr>
          <w:color w:val="000000" w:themeColor="text1"/>
        </w:rPr>
        <w:t xml:space="preserve"> vol. 39, no. 2, pp. 109-115, 2011/02/01, 2011.</w:t>
      </w:r>
    </w:p>
    <w:p w14:paraId="005782AE">
      <w:pPr>
        <w:pStyle w:val="61"/>
        <w:ind w:left="400" w:hanging="400" w:hangingChars="200"/>
        <w:rPr>
          <w:color w:val="000000" w:themeColor="text1"/>
        </w:rPr>
      </w:pPr>
      <w:r>
        <w:rPr>
          <w:color w:val="000000" w:themeColor="text1"/>
        </w:rPr>
        <w:t>[39]</w:t>
      </w:r>
      <w:r>
        <w:rPr>
          <w:color w:val="000000" w:themeColor="text1"/>
        </w:rPr>
        <w:tab/>
      </w:r>
      <w:r>
        <w:rPr>
          <w:color w:val="000000" w:themeColor="text1"/>
        </w:rPr>
        <w:t>W. Qi, H. Li, Q. Zhang</w:t>
      </w:r>
      <w:r>
        <w:rPr>
          <w:i/>
          <w:color w:val="000000" w:themeColor="text1"/>
        </w:rPr>
        <w:t xml:space="preserve"> et al.</w:t>
      </w:r>
      <w:r>
        <w:rPr>
          <w:color w:val="000000" w:themeColor="text1"/>
        </w:rPr>
        <w:t xml:space="preserve">, “Forest restoration efforts drive changes in land-use/land-cover and water-related ecosystem services in China’s Han River basin,” </w:t>
      </w:r>
      <w:r>
        <w:rPr>
          <w:i/>
          <w:color w:val="000000" w:themeColor="text1"/>
        </w:rPr>
        <w:t>Ecol. Eng.,</w:t>
      </w:r>
      <w:r>
        <w:rPr>
          <w:color w:val="000000" w:themeColor="text1"/>
        </w:rPr>
        <w:t xml:space="preserve"> vol. 126, pp. 64-73, 2019/01/01/, 2019.</w:t>
      </w:r>
    </w:p>
    <w:p w14:paraId="43786F0E">
      <w:pPr>
        <w:pStyle w:val="61"/>
        <w:ind w:left="400" w:hanging="400" w:hangingChars="200"/>
        <w:rPr>
          <w:color w:val="000000" w:themeColor="text1"/>
        </w:rPr>
      </w:pPr>
      <w:r>
        <w:rPr>
          <w:color w:val="000000" w:themeColor="text1"/>
        </w:rPr>
        <w:t>[40]</w:t>
      </w:r>
      <w:r>
        <w:rPr>
          <w:color w:val="000000" w:themeColor="text1"/>
        </w:rPr>
        <w:tab/>
      </w:r>
      <w:r>
        <w:rPr>
          <w:color w:val="000000" w:themeColor="text1"/>
        </w:rPr>
        <w:t xml:space="preserve">X. Wang, Y. Zhang, and K. Zhang, “Automatic 10 m Forest Cover Mapping in 2020 at China&amp;rsquo;s Han River Basin by Fusing ESA Sentinel-1/Sentinel-2 Land Cover and Sentinel-2 near Real-Time Forest Cover Possibility,” </w:t>
      </w:r>
      <w:r>
        <w:rPr>
          <w:i/>
          <w:color w:val="000000" w:themeColor="text1"/>
        </w:rPr>
        <w:t>Forests,</w:t>
      </w:r>
      <w:r>
        <w:rPr>
          <w:color w:val="000000" w:themeColor="text1"/>
        </w:rPr>
        <w:t xml:space="preserve"> vol. 14, no. 6, 2023.</w:t>
      </w:r>
    </w:p>
    <w:p w14:paraId="5D7C5637">
      <w:pPr>
        <w:pStyle w:val="61"/>
        <w:ind w:left="400" w:hanging="400" w:hangingChars="200"/>
        <w:rPr>
          <w:color w:val="000000" w:themeColor="text1"/>
        </w:rPr>
      </w:pPr>
      <w:r>
        <w:rPr>
          <w:color w:val="000000" w:themeColor="text1"/>
        </w:rPr>
        <w:t>[41]</w:t>
      </w:r>
      <w:r>
        <w:rPr>
          <w:color w:val="000000" w:themeColor="text1"/>
        </w:rPr>
        <w:tab/>
      </w:r>
      <w:r>
        <w:rPr>
          <w:color w:val="000000" w:themeColor="text1"/>
        </w:rPr>
        <w:t>X.-P. Song, M. C. Hansen, S. V. Stehman</w:t>
      </w:r>
      <w:r>
        <w:rPr>
          <w:i/>
          <w:color w:val="000000" w:themeColor="text1"/>
        </w:rPr>
        <w:t xml:space="preserve"> et al.</w:t>
      </w:r>
      <w:r>
        <w:rPr>
          <w:color w:val="000000" w:themeColor="text1"/>
        </w:rPr>
        <w:t xml:space="preserve">, “Global land change from 1982 to 2016,” </w:t>
      </w:r>
      <w:r>
        <w:rPr>
          <w:i/>
          <w:color w:val="000000" w:themeColor="text1"/>
        </w:rPr>
        <w:t>Nature,</w:t>
      </w:r>
      <w:r>
        <w:rPr>
          <w:color w:val="000000" w:themeColor="text1"/>
        </w:rPr>
        <w:t xml:space="preserve"> vol. 560, no. 7720, pp. 639-643, 2018/08/01, 2018.</w:t>
      </w:r>
    </w:p>
    <w:p w14:paraId="4E614333">
      <w:pPr>
        <w:pStyle w:val="61"/>
        <w:ind w:left="400" w:hanging="400" w:hangingChars="200"/>
        <w:rPr>
          <w:color w:val="000000" w:themeColor="text1"/>
        </w:rPr>
      </w:pPr>
      <w:r>
        <w:rPr>
          <w:color w:val="000000" w:themeColor="text1"/>
        </w:rPr>
        <w:t>[42]</w:t>
      </w:r>
      <w:r>
        <w:rPr>
          <w:color w:val="000000" w:themeColor="text1"/>
        </w:rPr>
        <w:tab/>
      </w:r>
      <w:r>
        <w:rPr>
          <w:color w:val="000000" w:themeColor="text1"/>
        </w:rPr>
        <w:t>Y. Luo, X. Wang, Z. Ouyang</w:t>
      </w:r>
      <w:r>
        <w:rPr>
          <w:i/>
          <w:color w:val="000000" w:themeColor="text1"/>
        </w:rPr>
        <w:t xml:space="preserve"> et al.</w:t>
      </w:r>
      <w:r>
        <w:rPr>
          <w:color w:val="000000" w:themeColor="text1"/>
        </w:rPr>
        <w:t xml:space="preserve">, “A review of biomass equations for China's tree species,” </w:t>
      </w:r>
      <w:r>
        <w:rPr>
          <w:i/>
          <w:color w:val="000000" w:themeColor="text1"/>
        </w:rPr>
        <w:t>Earth Syst. Sci. Data,</w:t>
      </w:r>
      <w:r>
        <w:rPr>
          <w:color w:val="000000" w:themeColor="text1"/>
        </w:rPr>
        <w:t xml:space="preserve"> vol. 12, no. 1, pp. 21-40, 2020.</w:t>
      </w:r>
    </w:p>
    <w:p w14:paraId="44F072B5">
      <w:pPr>
        <w:pStyle w:val="61"/>
        <w:ind w:left="400" w:hanging="400" w:hangingChars="200"/>
        <w:rPr>
          <w:color w:val="000000" w:themeColor="text1"/>
        </w:rPr>
      </w:pPr>
      <w:r>
        <w:rPr>
          <w:color w:val="000000" w:themeColor="text1"/>
        </w:rPr>
        <w:t>[43]</w:t>
      </w:r>
      <w:r>
        <w:rPr>
          <w:color w:val="000000" w:themeColor="text1"/>
        </w:rPr>
        <w:tab/>
      </w:r>
      <w:r>
        <w:rPr>
          <w:color w:val="000000" w:themeColor="text1"/>
        </w:rPr>
        <w:t>J. Muro, A. Linstädter, P. Magdon</w:t>
      </w:r>
      <w:r>
        <w:rPr>
          <w:i/>
          <w:color w:val="000000" w:themeColor="text1"/>
        </w:rPr>
        <w:t xml:space="preserve"> et al.</w:t>
      </w:r>
      <w:r>
        <w:rPr>
          <w:color w:val="000000" w:themeColor="text1"/>
        </w:rPr>
        <w:t xml:space="preserve">, “Predicting plant biomass and species richness in temperate grasslands across regions, time, and land management with remote sensing and deep learning,” </w:t>
      </w:r>
      <w:r>
        <w:rPr>
          <w:i/>
          <w:color w:val="000000" w:themeColor="text1"/>
        </w:rPr>
        <w:t>Remote Sens. Environ.,</w:t>
      </w:r>
      <w:r>
        <w:rPr>
          <w:color w:val="000000" w:themeColor="text1"/>
        </w:rPr>
        <w:t xml:space="preserve"> vol. 282, pp. 113262, 2022/12/01/, 2022.</w:t>
      </w:r>
    </w:p>
    <w:p w14:paraId="38957F55">
      <w:pPr>
        <w:pStyle w:val="61"/>
        <w:ind w:left="400" w:hanging="400" w:hangingChars="200"/>
        <w:rPr>
          <w:color w:val="000000" w:themeColor="text1"/>
        </w:rPr>
      </w:pPr>
      <w:r>
        <w:rPr>
          <w:color w:val="000000" w:themeColor="text1"/>
        </w:rPr>
        <w:t>[44]</w:t>
      </w:r>
      <w:r>
        <w:rPr>
          <w:color w:val="000000" w:themeColor="text1"/>
        </w:rPr>
        <w:tab/>
      </w:r>
      <w:r>
        <w:rPr>
          <w:color w:val="000000" w:themeColor="text1"/>
        </w:rPr>
        <w:t xml:space="preserve">G.-B. Huang, Q.-Y. Zhu, and C.-K. Siew, “Extreme learning machine: Theory and applications,” </w:t>
      </w:r>
      <w:r>
        <w:rPr>
          <w:i/>
          <w:color w:val="000000" w:themeColor="text1"/>
        </w:rPr>
        <w:t>Neurocomputing,</w:t>
      </w:r>
      <w:r>
        <w:rPr>
          <w:color w:val="000000" w:themeColor="text1"/>
        </w:rPr>
        <w:t xml:space="preserve"> vol. 70, no. 1, pp. 489-501, 2006/12/01/, 2006.</w:t>
      </w:r>
    </w:p>
    <w:p w14:paraId="4C7F9DA7">
      <w:pPr>
        <w:pStyle w:val="61"/>
        <w:ind w:left="400" w:hanging="400" w:hangingChars="200"/>
        <w:rPr>
          <w:color w:val="000000" w:themeColor="text1"/>
        </w:rPr>
      </w:pPr>
      <w:r>
        <w:rPr>
          <w:color w:val="000000" w:themeColor="text1"/>
        </w:rPr>
        <w:t>[45]</w:t>
      </w:r>
      <w:r>
        <w:rPr>
          <w:color w:val="000000" w:themeColor="text1"/>
        </w:rPr>
        <w:tab/>
      </w:r>
      <w:r>
        <w:rPr>
          <w:color w:val="000000" w:themeColor="text1"/>
        </w:rPr>
        <w:t xml:space="preserve">D. F. Specht, “A general regression neural network,” </w:t>
      </w:r>
      <w:r>
        <w:rPr>
          <w:i/>
          <w:color w:val="000000" w:themeColor="text1"/>
        </w:rPr>
        <w:t>IEEE Trans. Neural Networks,</w:t>
      </w:r>
      <w:r>
        <w:rPr>
          <w:color w:val="000000" w:themeColor="text1"/>
        </w:rPr>
        <w:t xml:space="preserve"> vol. 2, no. 6, pp. 568-576, 1991.</w:t>
      </w:r>
    </w:p>
    <w:p w14:paraId="286C0A1C">
      <w:pPr>
        <w:pStyle w:val="61"/>
        <w:ind w:left="400" w:hanging="400" w:hangingChars="200"/>
        <w:rPr>
          <w:color w:val="000000" w:themeColor="text1"/>
        </w:rPr>
      </w:pPr>
      <w:r>
        <w:rPr>
          <w:color w:val="000000" w:themeColor="text1"/>
        </w:rPr>
        <w:t>[46]</w:t>
      </w:r>
      <w:r>
        <w:rPr>
          <w:color w:val="000000" w:themeColor="text1"/>
        </w:rPr>
        <w:tab/>
      </w:r>
      <w:r>
        <w:rPr>
          <w:color w:val="000000" w:themeColor="text1"/>
        </w:rPr>
        <w:t xml:space="preserve">C.-C. Chang, and C.-J. Lin, “LIBSVM: A library for support vector machines,” </w:t>
      </w:r>
      <w:r>
        <w:rPr>
          <w:i/>
          <w:color w:val="000000" w:themeColor="text1"/>
        </w:rPr>
        <w:t>ACM Transactions on Intelligent Systems and Technology,</w:t>
      </w:r>
      <w:r>
        <w:rPr>
          <w:color w:val="000000" w:themeColor="text1"/>
        </w:rPr>
        <w:t xml:space="preserve"> vol. 2, no. 3 %J ACM Trans. Intell. Syst. Technol., pp. Article 27, 2011.</w:t>
      </w:r>
    </w:p>
    <w:p w14:paraId="6D3CA645">
      <w:pPr>
        <w:pStyle w:val="61"/>
        <w:ind w:left="400" w:hanging="400" w:hangingChars="200"/>
        <w:rPr>
          <w:color w:val="000000" w:themeColor="text1"/>
        </w:rPr>
      </w:pPr>
      <w:r>
        <w:rPr>
          <w:color w:val="000000" w:themeColor="text1"/>
        </w:rPr>
        <w:t>[47]</w:t>
      </w:r>
      <w:r>
        <w:rPr>
          <w:color w:val="000000" w:themeColor="text1"/>
        </w:rPr>
        <w:tab/>
      </w:r>
      <w:r>
        <w:rPr>
          <w:color w:val="000000" w:themeColor="text1"/>
        </w:rPr>
        <w:t xml:space="preserve">L. Breiman, “Random Forests,” </w:t>
      </w:r>
      <w:r>
        <w:rPr>
          <w:i/>
          <w:color w:val="000000" w:themeColor="text1"/>
        </w:rPr>
        <w:t>Machine Learning,</w:t>
      </w:r>
      <w:r>
        <w:rPr>
          <w:color w:val="000000" w:themeColor="text1"/>
        </w:rPr>
        <w:t xml:space="preserve"> vol. 45, no. 1, pp. 5-32, 2001/10/01, 2001.</w:t>
      </w:r>
    </w:p>
    <w:p w14:paraId="2066B44F">
      <w:pPr>
        <w:pStyle w:val="61"/>
        <w:ind w:left="400" w:hanging="400" w:hangingChars="200"/>
        <w:rPr>
          <w:color w:val="000000" w:themeColor="text1"/>
        </w:rPr>
      </w:pPr>
      <w:r>
        <w:rPr>
          <w:color w:val="000000" w:themeColor="text1"/>
        </w:rPr>
        <w:t>[48]</w:t>
      </w:r>
      <w:r>
        <w:rPr>
          <w:color w:val="000000" w:themeColor="text1"/>
        </w:rPr>
        <w:tab/>
      </w:r>
      <w:r>
        <w:rPr>
          <w:color w:val="000000" w:themeColor="text1"/>
        </w:rPr>
        <w:t>J. Pyo, H. Duan, S. Baek</w:t>
      </w:r>
      <w:r>
        <w:rPr>
          <w:i/>
          <w:color w:val="000000" w:themeColor="text1"/>
        </w:rPr>
        <w:t xml:space="preserve"> et al.</w:t>
      </w:r>
      <w:r>
        <w:rPr>
          <w:color w:val="000000" w:themeColor="text1"/>
        </w:rPr>
        <w:t xml:space="preserve">, “A convolutional neural network regression for quantifying cyanobacteria using hyperspectral imagery,” </w:t>
      </w:r>
      <w:r>
        <w:rPr>
          <w:i/>
          <w:color w:val="000000" w:themeColor="text1"/>
        </w:rPr>
        <w:t>Remote Sens. Environ.,</w:t>
      </w:r>
      <w:r>
        <w:rPr>
          <w:color w:val="000000" w:themeColor="text1"/>
        </w:rPr>
        <w:t xml:space="preserve"> vol. 233, pp. 111350, 2019/11/01/, 2019.</w:t>
      </w:r>
    </w:p>
    <w:p w14:paraId="477A427F">
      <w:pPr>
        <w:pStyle w:val="61"/>
        <w:ind w:left="400" w:hanging="400" w:hangingChars="200"/>
        <w:rPr>
          <w:color w:val="000000" w:themeColor="text1"/>
        </w:rPr>
      </w:pPr>
      <w:r>
        <w:rPr>
          <w:color w:val="000000" w:themeColor="text1"/>
        </w:rPr>
        <w:t>[49]</w:t>
      </w:r>
      <w:r>
        <w:rPr>
          <w:color w:val="000000" w:themeColor="text1"/>
        </w:rPr>
        <w:tab/>
      </w:r>
      <w:r>
        <w:rPr>
          <w:color w:val="000000" w:themeColor="text1"/>
        </w:rPr>
        <w:t>Y. Chen, X. Feng, B. Fu</w:t>
      </w:r>
      <w:r>
        <w:rPr>
          <w:i/>
          <w:color w:val="000000" w:themeColor="text1"/>
        </w:rPr>
        <w:t xml:space="preserve"> et al.</w:t>
      </w:r>
      <w:r>
        <w:rPr>
          <w:color w:val="000000" w:themeColor="text1"/>
        </w:rPr>
        <w:t xml:space="preserve">, “High-resolution maps of above- and belowground woody biomass in China from 2003 to 2020,” </w:t>
      </w:r>
      <w:r>
        <w:rPr>
          <w:i/>
          <w:color w:val="000000" w:themeColor="text1"/>
        </w:rPr>
        <w:t>Earth Syst. Sci. Data,</w:t>
      </w:r>
      <w:r>
        <w:rPr>
          <w:color w:val="000000" w:themeColor="text1"/>
        </w:rPr>
        <w:t xml:space="preserve"> vol. 2022, pp. 1-34, 2022.</w:t>
      </w:r>
    </w:p>
    <w:p w14:paraId="5AB19185">
      <w:pPr>
        <w:pStyle w:val="61"/>
        <w:ind w:left="400" w:hanging="400" w:hangingChars="200"/>
        <w:rPr>
          <w:color w:val="000000" w:themeColor="text1"/>
        </w:rPr>
      </w:pPr>
      <w:r>
        <w:rPr>
          <w:color w:val="000000" w:themeColor="text1"/>
        </w:rPr>
        <w:t>[50]</w:t>
      </w:r>
      <w:r>
        <w:rPr>
          <w:color w:val="000000" w:themeColor="text1"/>
        </w:rPr>
        <w:tab/>
      </w:r>
      <w:r>
        <w:rPr>
          <w:color w:val="000000" w:themeColor="text1"/>
        </w:rPr>
        <w:t>L. Xu, S. S. Saatchi, Y. Yang</w:t>
      </w:r>
      <w:r>
        <w:rPr>
          <w:i/>
          <w:color w:val="000000" w:themeColor="text1"/>
        </w:rPr>
        <w:t xml:space="preserve"> et al.</w:t>
      </w:r>
      <w:r>
        <w:rPr>
          <w:color w:val="000000" w:themeColor="text1"/>
        </w:rPr>
        <w:t xml:space="preserve">, “Changes in global terrestrial live biomass over the 21st century,” </w:t>
      </w:r>
      <w:r>
        <w:rPr>
          <w:i/>
          <w:color w:val="000000" w:themeColor="text1"/>
        </w:rPr>
        <w:t>Sci. Adv.,</w:t>
      </w:r>
      <w:r>
        <w:rPr>
          <w:color w:val="000000" w:themeColor="text1"/>
        </w:rPr>
        <w:t xml:space="preserve"> vol. 7, no. 27, pp. eabe9829, 2021.</w:t>
      </w:r>
    </w:p>
    <w:p w14:paraId="516542B8">
      <w:pPr>
        <w:pStyle w:val="61"/>
        <w:ind w:left="400" w:hanging="400" w:hangingChars="200"/>
        <w:rPr>
          <w:color w:val="000000" w:themeColor="text1"/>
        </w:rPr>
      </w:pPr>
      <w:r>
        <w:rPr>
          <w:color w:val="000000" w:themeColor="text1"/>
        </w:rPr>
        <w:t>[51]</w:t>
      </w:r>
      <w:r>
        <w:rPr>
          <w:color w:val="000000" w:themeColor="text1"/>
        </w:rPr>
        <w:tab/>
      </w:r>
      <w:r>
        <w:rPr>
          <w:color w:val="000000" w:themeColor="text1"/>
        </w:rPr>
        <w:t>I. Fayad, D. Ienco, N. Baghdadi</w:t>
      </w:r>
      <w:r>
        <w:rPr>
          <w:i/>
          <w:color w:val="000000" w:themeColor="text1"/>
        </w:rPr>
        <w:t xml:space="preserve"> et al.</w:t>
      </w:r>
      <w:r>
        <w:rPr>
          <w:color w:val="000000" w:themeColor="text1"/>
        </w:rPr>
        <w:t xml:space="preserve">, “A CNN-based approach for the estimation of canopy heights and wood volume from GEDI waveforms,” </w:t>
      </w:r>
      <w:r>
        <w:rPr>
          <w:i/>
          <w:color w:val="000000" w:themeColor="text1"/>
        </w:rPr>
        <w:t>Remote Sens. Environ.,</w:t>
      </w:r>
      <w:r>
        <w:rPr>
          <w:color w:val="000000" w:themeColor="text1"/>
        </w:rPr>
        <w:t xml:space="preserve"> vol. 265, pp. 112652, 2021/11/01/, 2021.</w:t>
      </w:r>
    </w:p>
    <w:p w14:paraId="20DD45AF">
      <w:pPr>
        <w:pStyle w:val="61"/>
        <w:ind w:left="400" w:hanging="400" w:hangingChars="200"/>
        <w:rPr>
          <w:color w:val="000000" w:themeColor="text1"/>
        </w:rPr>
      </w:pPr>
      <w:r>
        <w:rPr>
          <w:color w:val="000000" w:themeColor="text1"/>
        </w:rPr>
        <w:t>[52]</w:t>
      </w:r>
      <w:r>
        <w:rPr>
          <w:color w:val="000000" w:themeColor="text1"/>
        </w:rPr>
        <w:tab/>
      </w:r>
      <w:r>
        <w:rPr>
          <w:color w:val="000000" w:themeColor="text1"/>
        </w:rPr>
        <w:t>L. L. Narine, S. Popescu, A. Neuenschwander</w:t>
      </w:r>
      <w:r>
        <w:rPr>
          <w:i/>
          <w:color w:val="000000" w:themeColor="text1"/>
        </w:rPr>
        <w:t xml:space="preserve"> et al.</w:t>
      </w:r>
      <w:r>
        <w:rPr>
          <w:color w:val="000000" w:themeColor="text1"/>
        </w:rPr>
        <w:t xml:space="preserve">, “Estimating aboveground biomass and forest canopy cover with simulated ICESat-2 data,” </w:t>
      </w:r>
      <w:r>
        <w:rPr>
          <w:i/>
          <w:color w:val="000000" w:themeColor="text1"/>
        </w:rPr>
        <w:t>Remote Sens. Environ.,</w:t>
      </w:r>
      <w:r>
        <w:rPr>
          <w:color w:val="000000" w:themeColor="text1"/>
        </w:rPr>
        <w:t xml:space="preserve"> vol. 224, pp. 1-11, 2019/04/01/, 2019.</w:t>
      </w:r>
    </w:p>
    <w:p w14:paraId="4944C913">
      <w:pPr>
        <w:pStyle w:val="61"/>
        <w:ind w:left="400" w:hanging="400" w:hangingChars="200"/>
        <w:rPr>
          <w:color w:val="000000" w:themeColor="text1"/>
        </w:rPr>
      </w:pPr>
      <w:r>
        <w:rPr>
          <w:color w:val="000000" w:themeColor="text1"/>
        </w:rPr>
        <w:t>[53]</w:t>
      </w:r>
      <w:r>
        <w:rPr>
          <w:color w:val="000000" w:themeColor="text1"/>
        </w:rPr>
        <w:tab/>
      </w:r>
      <w:r>
        <w:rPr>
          <w:color w:val="000000" w:themeColor="text1"/>
        </w:rPr>
        <w:t>Z. Tang, X. Xia, Y. Huang</w:t>
      </w:r>
      <w:r>
        <w:rPr>
          <w:i/>
          <w:color w:val="000000" w:themeColor="text1"/>
        </w:rPr>
        <w:t xml:space="preserve"> et al.</w:t>
      </w:r>
      <w:r>
        <w:rPr>
          <w:color w:val="000000" w:themeColor="text1"/>
        </w:rPr>
        <w:t xml:space="preserve">, “Estimation of National Forest Aboveground Biomass from Multi-Source Remotely Sensed Dataset with Machine Learning Algorithms in China,” </w:t>
      </w:r>
      <w:r>
        <w:rPr>
          <w:i/>
          <w:color w:val="000000" w:themeColor="text1"/>
        </w:rPr>
        <w:t>Remote Sens.,</w:t>
      </w:r>
      <w:r>
        <w:rPr>
          <w:color w:val="000000" w:themeColor="text1"/>
        </w:rPr>
        <w:t xml:space="preserve"> vol. 14, no. 21, 2022.</w:t>
      </w:r>
    </w:p>
    <w:p w14:paraId="33A74115">
      <w:pPr>
        <w:pStyle w:val="61"/>
        <w:ind w:left="400" w:hanging="400" w:hangingChars="200"/>
        <w:rPr>
          <w:color w:val="000000" w:themeColor="text1"/>
        </w:rPr>
      </w:pPr>
      <w:r>
        <w:rPr>
          <w:color w:val="000000" w:themeColor="text1"/>
        </w:rPr>
        <w:t>[54]</w:t>
      </w:r>
      <w:r>
        <w:rPr>
          <w:color w:val="000000" w:themeColor="text1"/>
        </w:rPr>
        <w:tab/>
      </w:r>
      <w:r>
        <w:rPr>
          <w:color w:val="000000" w:themeColor="text1"/>
        </w:rPr>
        <w:t xml:space="preserve">S. Nandy, R. Srinet, and H. Padalia, “Mapping Forest Height and Aboveground Biomass by Integrating ICESat-2, Sentinel-1 and Sentinel-2 Data Using Random Forest Algorithm in Northwest Himalayan Foothills of India,” </w:t>
      </w:r>
      <w:r>
        <w:rPr>
          <w:i/>
          <w:color w:val="000000" w:themeColor="text1"/>
        </w:rPr>
        <w:t>Geophys. Res. Lett.,</w:t>
      </w:r>
      <w:r>
        <w:rPr>
          <w:color w:val="000000" w:themeColor="text1"/>
        </w:rPr>
        <w:t xml:space="preserve"> vol. 48, no. 14, pp. e2021GL093799, 2021/07/28, 2021.</w:t>
      </w:r>
    </w:p>
    <w:p w14:paraId="024ADB13">
      <w:pPr>
        <w:pStyle w:val="61"/>
        <w:ind w:left="400" w:hanging="400" w:hangingChars="200"/>
        <w:rPr>
          <w:color w:val="000000" w:themeColor="text1"/>
        </w:rPr>
      </w:pPr>
      <w:r>
        <w:rPr>
          <w:color w:val="000000" w:themeColor="text1"/>
        </w:rPr>
        <w:t>[55]</w:t>
      </w:r>
      <w:r>
        <w:rPr>
          <w:color w:val="000000" w:themeColor="text1"/>
        </w:rPr>
        <w:tab/>
      </w:r>
      <w:r>
        <w:rPr>
          <w:color w:val="000000" w:themeColor="text1"/>
        </w:rPr>
        <w:t>R. Fararoda, R. S. Reddy, G. Rajashekar</w:t>
      </w:r>
      <w:r>
        <w:rPr>
          <w:i/>
          <w:color w:val="000000" w:themeColor="text1"/>
        </w:rPr>
        <w:t xml:space="preserve"> et al.</w:t>
      </w:r>
      <w:r>
        <w:rPr>
          <w:color w:val="000000" w:themeColor="text1"/>
        </w:rPr>
        <w:t xml:space="preserve">, “Improving forest above ground biomass estimates over Indian forests using multi source data sets with machine learning algorithm,” </w:t>
      </w:r>
      <w:r>
        <w:rPr>
          <w:i/>
          <w:color w:val="000000" w:themeColor="text1"/>
        </w:rPr>
        <w:t>Ecol. Inf.,</w:t>
      </w:r>
      <w:r>
        <w:rPr>
          <w:color w:val="000000" w:themeColor="text1"/>
        </w:rPr>
        <w:t xml:space="preserve"> vol. 65, pp. 101392, 2021/11/01/, 2021.</w:t>
      </w:r>
    </w:p>
    <w:p w14:paraId="23327EE6">
      <w:pPr>
        <w:pStyle w:val="61"/>
        <w:ind w:left="400" w:hanging="400" w:hangingChars="200"/>
        <w:rPr>
          <w:color w:val="000000" w:themeColor="text1"/>
        </w:rPr>
      </w:pPr>
      <w:r>
        <w:rPr>
          <w:color w:val="000000" w:themeColor="text1"/>
        </w:rPr>
        <w:t>[56]</w:t>
      </w:r>
      <w:r>
        <w:rPr>
          <w:color w:val="000000" w:themeColor="text1"/>
        </w:rPr>
        <w:tab/>
      </w:r>
      <w:r>
        <w:rPr>
          <w:color w:val="000000" w:themeColor="text1"/>
        </w:rPr>
        <w:t>X. Tian, M. Yan, C. van der Tol</w:t>
      </w:r>
      <w:r>
        <w:rPr>
          <w:i/>
          <w:color w:val="000000" w:themeColor="text1"/>
        </w:rPr>
        <w:t xml:space="preserve"> et al.</w:t>
      </w:r>
      <w:r>
        <w:rPr>
          <w:color w:val="000000" w:themeColor="text1"/>
        </w:rPr>
        <w:t xml:space="preserve">, “Modeling forest above-ground biomass dynamics using multi-source data and incorporated models: A case study over the qilian mountains,” </w:t>
      </w:r>
      <w:r>
        <w:rPr>
          <w:i/>
          <w:color w:val="000000" w:themeColor="text1"/>
        </w:rPr>
        <w:t>Agric. For. Meteorol.,</w:t>
      </w:r>
      <w:r>
        <w:rPr>
          <w:color w:val="000000" w:themeColor="text1"/>
        </w:rPr>
        <w:t xml:space="preserve"> vol. 246, pp. 1-14, 2017/11/15/, 2017.</w:t>
      </w:r>
    </w:p>
    <w:p w14:paraId="6E957006">
      <w:pPr>
        <w:pStyle w:val="61"/>
        <w:ind w:left="400" w:hanging="400" w:hangingChars="200"/>
        <w:rPr>
          <w:color w:val="000000" w:themeColor="text1"/>
        </w:rPr>
      </w:pPr>
      <w:r>
        <w:rPr>
          <w:color w:val="000000" w:themeColor="text1"/>
        </w:rPr>
        <w:t>[57]</w:t>
      </w:r>
      <w:r>
        <w:rPr>
          <w:color w:val="000000" w:themeColor="text1"/>
        </w:rPr>
        <w:tab/>
      </w:r>
      <w:r>
        <w:rPr>
          <w:color w:val="000000" w:themeColor="text1"/>
        </w:rPr>
        <w:t>X. Wang, C. Liu, G. Lv</w:t>
      </w:r>
      <w:r>
        <w:rPr>
          <w:i/>
          <w:color w:val="000000" w:themeColor="text1"/>
        </w:rPr>
        <w:t xml:space="preserve"> et al.</w:t>
      </w:r>
      <w:r>
        <w:rPr>
          <w:color w:val="000000" w:themeColor="text1"/>
        </w:rPr>
        <w:t xml:space="preserve">, “Integrating Multi-Source Remote Sensing to Assess Forest Aboveground Biomass in the Khingan Mountains of North-Eastern China Using Machine-Learning Algorithms,” </w:t>
      </w:r>
      <w:r>
        <w:rPr>
          <w:i/>
          <w:color w:val="000000" w:themeColor="text1"/>
        </w:rPr>
        <w:t>Remote Sens.,</w:t>
      </w:r>
      <w:r>
        <w:rPr>
          <w:color w:val="000000" w:themeColor="text1"/>
        </w:rPr>
        <w:t xml:space="preserve"> vol. 14, no. 4, 2022.</w:t>
      </w:r>
    </w:p>
    <w:p w14:paraId="77FA3B83">
      <w:pPr>
        <w:pStyle w:val="61"/>
        <w:ind w:left="400" w:hanging="400" w:hangingChars="200"/>
        <w:rPr>
          <w:color w:val="000000" w:themeColor="text1"/>
        </w:rPr>
      </w:pPr>
      <w:r>
        <w:rPr>
          <w:color w:val="000000" w:themeColor="text1"/>
        </w:rPr>
        <w:t>[58]</w:t>
      </w:r>
      <w:r>
        <w:rPr>
          <w:color w:val="000000" w:themeColor="text1"/>
        </w:rPr>
        <w:tab/>
      </w:r>
      <w:r>
        <w:rPr>
          <w:color w:val="000000" w:themeColor="text1"/>
        </w:rPr>
        <w:t>P. Zhao, D. Lu, G. Wang</w:t>
      </w:r>
      <w:r>
        <w:rPr>
          <w:i/>
          <w:color w:val="000000" w:themeColor="text1"/>
        </w:rPr>
        <w:t xml:space="preserve"> et al.</w:t>
      </w:r>
      <w:r>
        <w:rPr>
          <w:color w:val="000000" w:themeColor="text1"/>
        </w:rPr>
        <w:t xml:space="preserve">, “Forest aboveground biomass estimation in Zhejiang Province using the integration of Landsat TM and ALOS PALSAR data,” </w:t>
      </w:r>
      <w:r>
        <w:rPr>
          <w:i/>
          <w:color w:val="000000" w:themeColor="text1"/>
        </w:rPr>
        <w:t>Int. J. Appl. Earth Obs. Geoinf.,</w:t>
      </w:r>
      <w:r>
        <w:rPr>
          <w:color w:val="000000" w:themeColor="text1"/>
        </w:rPr>
        <w:t xml:space="preserve"> vol. 53, pp. 1-15, 2016/12/01/, 2016.</w:t>
      </w:r>
    </w:p>
    <w:p w14:paraId="022CDE8C">
      <w:pPr>
        <w:pStyle w:val="61"/>
        <w:ind w:left="400" w:hanging="400" w:hangingChars="200"/>
        <w:rPr>
          <w:color w:val="000000" w:themeColor="text1"/>
        </w:rPr>
      </w:pPr>
      <w:r>
        <w:rPr>
          <w:color w:val="000000" w:themeColor="text1"/>
        </w:rPr>
        <w:t>[59]</w:t>
      </w:r>
      <w:r>
        <w:rPr>
          <w:color w:val="000000" w:themeColor="text1"/>
        </w:rPr>
        <w:tab/>
      </w:r>
      <w:r>
        <w:rPr>
          <w:color w:val="000000" w:themeColor="text1"/>
        </w:rPr>
        <w:t>K. Kronseder, U. Ballhorn, V. Böhm</w:t>
      </w:r>
      <w:r>
        <w:rPr>
          <w:i/>
          <w:color w:val="000000" w:themeColor="text1"/>
        </w:rPr>
        <w:t xml:space="preserve"> et al.</w:t>
      </w:r>
      <w:r>
        <w:rPr>
          <w:color w:val="000000" w:themeColor="text1"/>
        </w:rPr>
        <w:t xml:space="preserve">, “Above ground biomass estimation across forest types at different degradation levels in Central Kalimantan using LiDAR data,” </w:t>
      </w:r>
      <w:r>
        <w:rPr>
          <w:i/>
          <w:color w:val="000000" w:themeColor="text1"/>
        </w:rPr>
        <w:t>Int. J. Appl. Earth Obs. Geoinf.,</w:t>
      </w:r>
      <w:r>
        <w:rPr>
          <w:color w:val="000000" w:themeColor="text1"/>
        </w:rPr>
        <w:t xml:space="preserve"> vol. 18, pp. 37-48, 2012/08/01/, 2012.</w:t>
      </w:r>
    </w:p>
    <w:p w14:paraId="794CDE1B">
      <w:pPr>
        <w:pStyle w:val="61"/>
        <w:ind w:left="400" w:hanging="400" w:hangingChars="200"/>
        <w:rPr>
          <w:color w:val="000000" w:themeColor="text1"/>
        </w:rPr>
      </w:pPr>
      <w:r>
        <w:rPr>
          <w:color w:val="000000" w:themeColor="text1"/>
        </w:rPr>
        <w:t>[60]</w:t>
      </w:r>
      <w:r>
        <w:rPr>
          <w:color w:val="000000" w:themeColor="text1"/>
        </w:rPr>
        <w:tab/>
      </w:r>
      <w:r>
        <w:rPr>
          <w:color w:val="000000" w:themeColor="text1"/>
        </w:rPr>
        <w:t>Y. Zhang, G. M. Foody, F. Ling</w:t>
      </w:r>
      <w:r>
        <w:rPr>
          <w:i/>
          <w:color w:val="000000" w:themeColor="text1"/>
        </w:rPr>
        <w:t xml:space="preserve"> et al.</w:t>
      </w:r>
      <w:r>
        <w:rPr>
          <w:color w:val="000000" w:themeColor="text1"/>
        </w:rPr>
        <w:t xml:space="preserve">, “Spatial-temporal fraction map fusion with multi-scale remotely sensed images,” </w:t>
      </w:r>
      <w:r>
        <w:rPr>
          <w:i/>
          <w:color w:val="000000" w:themeColor="text1"/>
        </w:rPr>
        <w:t>Remote Sens. Environ.,</w:t>
      </w:r>
      <w:r>
        <w:rPr>
          <w:color w:val="000000" w:themeColor="text1"/>
        </w:rPr>
        <w:t xml:space="preserve"> vol. 213, pp. 162-181, 2018/08/01/, 2018.</w:t>
      </w:r>
    </w:p>
    <w:p w14:paraId="18BC9E07">
      <w:pPr>
        <w:pStyle w:val="61"/>
        <w:ind w:left="400" w:hanging="400" w:hangingChars="200"/>
        <w:rPr>
          <w:color w:val="000000" w:themeColor="text1"/>
        </w:rPr>
      </w:pPr>
      <w:r>
        <w:rPr>
          <w:color w:val="000000" w:themeColor="text1"/>
        </w:rPr>
        <w:t>[61]</w:t>
      </w:r>
      <w:r>
        <w:rPr>
          <w:color w:val="000000" w:themeColor="text1"/>
        </w:rPr>
        <w:tab/>
      </w:r>
      <w:r>
        <w:rPr>
          <w:color w:val="000000" w:themeColor="text1"/>
        </w:rPr>
        <w:t>Y. Zhang, F. Ling, X. Wang</w:t>
      </w:r>
      <w:r>
        <w:rPr>
          <w:i/>
          <w:color w:val="000000" w:themeColor="text1"/>
        </w:rPr>
        <w:t xml:space="preserve"> et al.</w:t>
      </w:r>
      <w:r>
        <w:rPr>
          <w:color w:val="000000" w:themeColor="text1"/>
        </w:rPr>
        <w:t xml:space="preserve">, “Tracking small-scale tropical forest disturbances: Fusing the Landsat and Sentinel-2 data record,” </w:t>
      </w:r>
      <w:r>
        <w:rPr>
          <w:i/>
          <w:color w:val="000000" w:themeColor="text1"/>
        </w:rPr>
        <w:t>Remote Sens. Environ.,</w:t>
      </w:r>
      <w:r>
        <w:rPr>
          <w:color w:val="000000" w:themeColor="text1"/>
        </w:rPr>
        <w:t xml:space="preserve"> vol. 261, pp. 112470, 2021/08/01/, 2021.</w:t>
      </w:r>
    </w:p>
    <w:p w14:paraId="631F8651">
      <w:pPr>
        <w:pStyle w:val="61"/>
        <w:ind w:left="400" w:hanging="400" w:hangingChars="200"/>
        <w:rPr>
          <w:color w:val="000000" w:themeColor="text1"/>
        </w:rPr>
      </w:pPr>
      <w:r>
        <w:rPr>
          <w:color w:val="000000" w:themeColor="text1"/>
        </w:rPr>
        <w:t>[62]</w:t>
      </w:r>
      <w:r>
        <w:rPr>
          <w:color w:val="000000" w:themeColor="text1"/>
        </w:rPr>
        <w:tab/>
      </w:r>
      <w:r>
        <w:rPr>
          <w:color w:val="000000" w:themeColor="text1"/>
        </w:rPr>
        <w:t>Y. Zhang, X. Wang, X. Li</w:t>
      </w:r>
      <w:r>
        <w:rPr>
          <w:i/>
          <w:color w:val="000000" w:themeColor="text1"/>
        </w:rPr>
        <w:t xml:space="preserve"> et al.</w:t>
      </w:r>
      <w:r>
        <w:rPr>
          <w:color w:val="000000" w:themeColor="text1"/>
        </w:rPr>
        <w:t xml:space="preserve">, “Monitoring monthly tropical humid forest disturbances with Planet NICFI images in Cameroon,” </w:t>
      </w:r>
      <w:r>
        <w:rPr>
          <w:i/>
          <w:color w:val="000000" w:themeColor="text1"/>
        </w:rPr>
        <w:t>Agric. For. Meteorol.,</w:t>
      </w:r>
      <w:r>
        <w:rPr>
          <w:color w:val="000000" w:themeColor="text1"/>
        </w:rPr>
        <w:t xml:space="preserve"> vol. 341, pp. 109676, 2023/10/15/, 2023.</w:t>
      </w:r>
    </w:p>
    <w:p w14:paraId="3D3D44CF">
      <w:pPr>
        <w:pStyle w:val="61"/>
        <w:ind w:left="400" w:hanging="400" w:hangingChars="200"/>
        <w:rPr>
          <w:color w:val="000000" w:themeColor="text1"/>
        </w:rPr>
      </w:pPr>
      <w:r>
        <w:rPr>
          <w:color w:val="000000" w:themeColor="text1"/>
        </w:rPr>
        <w:t>[63]</w:t>
      </w:r>
      <w:r>
        <w:rPr>
          <w:color w:val="000000" w:themeColor="text1"/>
        </w:rPr>
        <w:tab/>
      </w:r>
      <w:r>
        <w:rPr>
          <w:color w:val="000000" w:themeColor="text1"/>
        </w:rPr>
        <w:t>E. Maggiori, Y. Tarabalka, G. Charpiat</w:t>
      </w:r>
      <w:r>
        <w:rPr>
          <w:i/>
          <w:color w:val="000000" w:themeColor="text1"/>
        </w:rPr>
        <w:t xml:space="preserve"> et al.</w:t>
      </w:r>
      <w:r>
        <w:rPr>
          <w:color w:val="000000" w:themeColor="text1"/>
        </w:rPr>
        <w:t xml:space="preserve">, “Convolutional Neural Networks for Large-Scale Remote-Sensing Image Classification,” </w:t>
      </w:r>
      <w:r>
        <w:rPr>
          <w:i/>
          <w:color w:val="000000" w:themeColor="text1"/>
        </w:rPr>
        <w:t>IEEE Trans. Geosci. Remote Sens.,</w:t>
      </w:r>
      <w:r>
        <w:rPr>
          <w:color w:val="000000" w:themeColor="text1"/>
        </w:rPr>
        <w:t xml:space="preserve"> vol. 55, no. 2, pp. 645-657, 2017.</w:t>
      </w:r>
    </w:p>
    <w:p w14:paraId="234F9AE8">
      <w:pPr>
        <w:pStyle w:val="61"/>
        <w:ind w:left="400" w:hanging="400" w:hangingChars="200"/>
        <w:rPr>
          <w:color w:val="000000" w:themeColor="text1"/>
        </w:rPr>
      </w:pPr>
      <w:r>
        <w:rPr>
          <w:color w:val="000000" w:themeColor="text1"/>
        </w:rPr>
        <w:t>[64]</w:t>
      </w:r>
      <w:r>
        <w:rPr>
          <w:color w:val="000000" w:themeColor="text1"/>
        </w:rPr>
        <w:tab/>
      </w:r>
      <w:r>
        <w:rPr>
          <w:color w:val="000000" w:themeColor="text1"/>
        </w:rPr>
        <w:t>F. Zhang, X. Tian, H. Zhang</w:t>
      </w:r>
      <w:r>
        <w:rPr>
          <w:i/>
          <w:color w:val="000000" w:themeColor="text1"/>
        </w:rPr>
        <w:t xml:space="preserve"> et al.</w:t>
      </w:r>
      <w:r>
        <w:rPr>
          <w:color w:val="000000" w:themeColor="text1"/>
        </w:rPr>
        <w:t>, “Estimation of Aboveground Carbon Density of Forests Using Deep Learning and Multisource Remote Sensing,</w:t>
      </w:r>
      <w:r>
        <w:rPr>
          <w:rFonts w:hint="eastAsia"/>
          <w:color w:val="000000" w:themeColor="text1"/>
        </w:rPr>
        <w:t>”</w:t>
      </w:r>
      <w:r>
        <w:rPr>
          <w:color w:val="000000" w:themeColor="text1"/>
        </w:rPr>
        <w:t xml:space="preserve"> </w:t>
      </w:r>
      <w:r>
        <w:rPr>
          <w:i/>
          <w:color w:val="000000" w:themeColor="text1"/>
        </w:rPr>
        <w:t>Remote Sens.,</w:t>
      </w:r>
      <w:r>
        <w:rPr>
          <w:color w:val="000000" w:themeColor="text1"/>
        </w:rPr>
        <w:t xml:space="preserve"> vol. 14, no. 13, pp. 3022, 2022.</w:t>
      </w:r>
    </w:p>
    <w:p w14:paraId="370CB427">
      <w:pPr>
        <w:pStyle w:val="61"/>
        <w:ind w:left="400" w:hanging="400" w:hangingChars="200"/>
        <w:rPr>
          <w:color w:val="000000" w:themeColor="text1"/>
        </w:rPr>
      </w:pPr>
      <w:r>
        <w:rPr>
          <w:color w:val="000000" w:themeColor="text1"/>
        </w:rPr>
        <w:t>[65]</w:t>
      </w:r>
      <w:r>
        <w:rPr>
          <w:color w:val="000000" w:themeColor="text1"/>
        </w:rPr>
        <w:tab/>
      </w:r>
      <w:r>
        <w:rPr>
          <w:color w:val="000000" w:themeColor="text1"/>
        </w:rPr>
        <w:t>H. Tamiminia, B. Salehi, M. Mahdianpari</w:t>
      </w:r>
      <w:r>
        <w:rPr>
          <w:i/>
          <w:color w:val="000000" w:themeColor="text1"/>
        </w:rPr>
        <w:t xml:space="preserve"> et al.</w:t>
      </w:r>
      <w:r>
        <w:rPr>
          <w:color w:val="000000" w:themeColor="text1"/>
        </w:rPr>
        <w:t xml:space="preserve">, “Comparison of Machine and Deep Learning Methods to Estimate Shrub Willow Biomass from UAS Imagery,” </w:t>
      </w:r>
      <w:r>
        <w:rPr>
          <w:i/>
          <w:color w:val="000000" w:themeColor="text1"/>
        </w:rPr>
        <w:t>Can. J. Remote Sens.,</w:t>
      </w:r>
      <w:r>
        <w:rPr>
          <w:color w:val="000000" w:themeColor="text1"/>
        </w:rPr>
        <w:t xml:space="preserve"> vol. 47, no. 2, pp. 209-227, 2021/03/04, 2021.</w:t>
      </w:r>
    </w:p>
    <w:p w14:paraId="19610799">
      <w:pPr>
        <w:pStyle w:val="61"/>
        <w:ind w:left="400" w:hanging="400" w:hangingChars="200"/>
        <w:rPr>
          <w:color w:val="000000" w:themeColor="text1"/>
        </w:rPr>
      </w:pPr>
      <w:r>
        <w:rPr>
          <w:color w:val="000000" w:themeColor="text1"/>
        </w:rPr>
        <w:t>[66]</w:t>
      </w:r>
      <w:r>
        <w:rPr>
          <w:color w:val="000000" w:themeColor="text1"/>
        </w:rPr>
        <w:tab/>
      </w:r>
      <w:r>
        <w:rPr>
          <w:color w:val="000000" w:themeColor="text1"/>
        </w:rPr>
        <w:t>T. Bao, S. A. R. Zaidi, S. Xie</w:t>
      </w:r>
      <w:r>
        <w:rPr>
          <w:i/>
          <w:color w:val="000000" w:themeColor="text1"/>
        </w:rPr>
        <w:t xml:space="preserve"> et al.</w:t>
      </w:r>
      <w:r>
        <w:rPr>
          <w:color w:val="000000" w:themeColor="text1"/>
        </w:rPr>
        <w:t xml:space="preserve">, “A CNN-LSTM Hybrid Model for Wrist Kinematics Estimation Using Surface Electromyography,” </w:t>
      </w:r>
      <w:r>
        <w:rPr>
          <w:i/>
          <w:color w:val="000000" w:themeColor="text1"/>
        </w:rPr>
        <w:t>IEEE Trans. Instrum. Meas.,</w:t>
      </w:r>
      <w:r>
        <w:rPr>
          <w:color w:val="000000" w:themeColor="text1"/>
        </w:rPr>
        <w:t xml:space="preserve"> vol. 70, pp. 1-9, 2021.</w:t>
      </w:r>
    </w:p>
    <w:p w14:paraId="2E901716">
      <w:pPr>
        <w:pStyle w:val="61"/>
        <w:ind w:left="400" w:hanging="400" w:hangingChars="200"/>
        <w:rPr>
          <w:color w:val="000000" w:themeColor="text1"/>
        </w:rPr>
      </w:pPr>
      <w:r>
        <w:rPr>
          <w:color w:val="000000" w:themeColor="text1"/>
        </w:rPr>
        <w:t>[67]</w:t>
      </w:r>
      <w:r>
        <w:rPr>
          <w:color w:val="000000" w:themeColor="text1"/>
        </w:rPr>
        <w:tab/>
      </w:r>
      <w:r>
        <w:rPr>
          <w:color w:val="000000" w:themeColor="text1"/>
        </w:rPr>
        <w:t>A. Nazir, N. P. Hanan, Q. Yu</w:t>
      </w:r>
      <w:r>
        <w:rPr>
          <w:i/>
          <w:color w:val="000000" w:themeColor="text1"/>
        </w:rPr>
        <w:t xml:space="preserve"> et al.</w:t>
      </w:r>
      <w:r>
        <w:rPr>
          <w:color w:val="000000" w:themeColor="text1"/>
        </w:rPr>
        <w:t xml:space="preserve">, “Enhancing GEDI above ground biomass density estimates in contrasting forests of Pakistan,” </w:t>
      </w:r>
      <w:r>
        <w:rPr>
          <w:i/>
          <w:color w:val="000000" w:themeColor="text1"/>
        </w:rPr>
        <w:t>For. Ecol. Manage.,</w:t>
      </w:r>
      <w:r>
        <w:rPr>
          <w:color w:val="000000" w:themeColor="text1"/>
        </w:rPr>
        <w:t xml:space="preserve"> vol. 587, pp. 122747, 2025/07/01/, 2025.</w:t>
      </w:r>
    </w:p>
    <w:p w14:paraId="26D0FD41">
      <w:pPr>
        <w:pStyle w:val="61"/>
        <w:ind w:left="400" w:hanging="400" w:hangingChars="200"/>
        <w:rPr>
          <w:color w:val="000000" w:themeColor="text1"/>
        </w:rPr>
      </w:pPr>
      <w:r>
        <w:rPr>
          <w:color w:val="000000" w:themeColor="text1"/>
        </w:rPr>
        <w:t>[68]</w:t>
      </w:r>
      <w:r>
        <w:rPr>
          <w:color w:val="000000" w:themeColor="text1"/>
        </w:rPr>
        <w:tab/>
      </w:r>
      <w:r>
        <w:rPr>
          <w:color w:val="000000" w:themeColor="text1"/>
        </w:rPr>
        <w:t xml:space="preserve">U. Khati, M. Lavalle, and G. Singh, “The Role of Time-Series L-Band SAR and GEDI in Mapping Sub-Tropical Above-Ground Biomass,” </w:t>
      </w:r>
      <w:r>
        <w:rPr>
          <w:i/>
          <w:color w:val="000000" w:themeColor="text1"/>
        </w:rPr>
        <w:t>Frontiers in Earth Science,</w:t>
      </w:r>
      <w:r>
        <w:rPr>
          <w:color w:val="000000" w:themeColor="text1"/>
        </w:rPr>
        <w:t xml:space="preserve"> vol. Volume 9 - 2021, 2021-October-29, 2021.</w:t>
      </w:r>
    </w:p>
    <w:p w14:paraId="6D50E2BF">
      <w:pPr>
        <w:pStyle w:val="35"/>
        <w:ind w:left="320" w:hanging="320" w:hangingChars="200"/>
        <w:rPr>
          <w:color w:val="000000" w:themeColor="text1"/>
        </w:rPr>
      </w:pPr>
      <w:r>
        <w:rPr>
          <w:color w:val="000000" w:themeColor="text1"/>
        </w:rPr>
        <w:fldChar w:fldCharType="end"/>
      </w:r>
    </w:p>
    <w:p w14:paraId="42DFECC8">
      <w:pPr>
        <w:pStyle w:val="35"/>
        <w:rPr>
          <w:color w:val="000000" w:themeColor="text1"/>
        </w:rPr>
      </w:pPr>
      <w:bookmarkStart w:id="48" w:name="_GoBack"/>
      <w:bookmarkEnd w:id="48"/>
    </w:p>
    <w:sectPr>
      <w:headerReference r:id="rId5" w:type="default"/>
      <w:type w:val="continuous"/>
      <w:pgSz w:w="12240" w:h="15840"/>
      <w:pgMar w:top="1008" w:right="936" w:bottom="1008" w:left="936" w:header="432" w:footer="432" w:gutter="0"/>
      <w:cols w:space="288" w:num="2"/>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endnote>
  <w:endnote w:type="continuationSeparator" w:id="1">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Baskerville">
    <w:altName w:val="Perpetua"/>
    <w:panose1 w:val="00000000000000000000"/>
    <w:charset w:val="00"/>
    <w:family w:val="auto"/>
    <w:pitch w:val="default"/>
    <w:sig w:usb0="00000000" w:usb1="00000000" w:usb2="00000000" w:usb3="00000000" w:csb0="00000001" w:csb1="00000000"/>
  </w:font>
  <w:font w:name="Perpetua">
    <w:panose1 w:val="02020502060401020303"/>
    <w:charset w:val="00"/>
    <w:family w:val="auto"/>
    <w:pitch w:val="default"/>
    <w:sig w:usb0="00000003" w:usb1="00000000" w:usb2="00000000" w:usb3="00000000" w:csb0="20000001" w:csb1="00000000"/>
  </w:font>
  <w:font w:name="Formata-Regular">
    <w:altName w:val="Calibri"/>
    <w:panose1 w:val="00000000000000000000"/>
    <w:charset w:val="4D"/>
    <w:family w:val="auto"/>
    <w:pitch w:val="default"/>
    <w:sig w:usb0="00000000" w:usb1="00000000" w:usb2="00000000" w:usb3="00000000" w:csb0="00000001" w:csb1="00000000"/>
  </w:font>
  <w:font w:name="Verdana">
    <w:panose1 w:val="020B0604030504040204"/>
    <w:charset w:val="00"/>
    <w:family w:val="swiss"/>
    <w:pitch w:val="default"/>
    <w:sig w:usb0="A00006FF" w:usb1="4000205B" w:usb2="00000010" w:usb3="00000000" w:csb0="2000019F" w:csb1="00000000"/>
  </w:font>
  <w:font w:name="Arial">
    <w:panose1 w:val="020B0604020202020204"/>
    <w:charset w:val="00"/>
    <w:family w:val="swiss"/>
    <w:pitch w:val="default"/>
    <w:sig w:usb0="E0002EFF" w:usb1="C000785B" w:usb2="00000009" w:usb3="00000000" w:csb0="400001FF" w:csb1="FFFF0000"/>
  </w:font>
  <w:font w:name="MS Mincho">
    <w:altName w:val="Kozuka Mincho Pr6N M"/>
    <w:panose1 w:val="02020609040205080304"/>
    <w:charset w:val="80"/>
    <w:family w:val="modern"/>
    <w:pitch w:val="default"/>
    <w:sig w:usb0="00000000" w:usb1="00000000" w:usb2="08000012" w:usb3="00000000" w:csb0="0002009F" w:csb1="00000000"/>
  </w:font>
  <w:font w:name="ＭＳ 明朝">
    <w:altName w:val="ESRI AMFM Electric"/>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footnote>
  <w:footnote w:type="continuationSeparator" w:id="3">
    <w:p/>
  </w:footnote>
  <w:footnote w:id="0">
    <w:p w14:paraId="7A9A3E0C">
      <w:pPr>
        <w:pStyle w:val="17"/>
        <w:rPr>
          <w:color w:val="000000" w:themeColor="text1"/>
          <w:lang w:eastAsia="zh-CN"/>
        </w:rPr>
      </w:pPr>
      <w:bookmarkStart w:id="37" w:name="OLE_LINK2"/>
      <w:bookmarkStart w:id="38" w:name="OLE_LINK1"/>
      <w:r>
        <w:t>This research was supported by the Natio</w:t>
      </w:r>
      <w:r>
        <w:rPr>
          <w:color w:val="000000" w:themeColor="text1"/>
        </w:rPr>
        <w:t>nal Natural Science Foundation of China (32401372, 31922060, 42271400, 32130069),</w:t>
      </w:r>
      <w:r>
        <w:rPr>
          <w:rFonts w:hint="eastAsia"/>
          <w:color w:val="000000" w:themeColor="text1"/>
          <w:lang w:eastAsia="zh-CN"/>
        </w:rPr>
        <w:t xml:space="preserve"> </w:t>
      </w:r>
      <w:r>
        <w:rPr>
          <w:color w:val="000000" w:themeColor="text1"/>
        </w:rPr>
        <w:t>the Joint Funds of the Hubei Provincial National Natural Science Foundation of China (2025AFD167)</w:t>
      </w:r>
      <w:r>
        <w:rPr>
          <w:rFonts w:hint="eastAsia"/>
          <w:color w:val="000000" w:themeColor="text1"/>
          <w:lang w:eastAsia="zh-CN"/>
        </w:rPr>
        <w:t>,</w:t>
      </w:r>
      <w:r>
        <w:rPr>
          <w:color w:val="000000" w:themeColor="text1"/>
        </w:rPr>
        <w:t xml:space="preserve"> the Hubei Provincial Natural Science Foundation of China for Distinguished Young Scholars (2022CFA045), the Key Research Program of Frontier Sciences, Chinese Academy of Sciences (ZDBS-LY-DQC034), the Youth Innovation Promotion Association CAS (Y2022091) and the Young Top-notch Talent Cultivation Program of Hubei Province. (Corresponding authors: Yihang Zhang, Kerong Zhang)</w:t>
      </w:r>
    </w:p>
    <w:bookmarkEnd w:id="37"/>
    <w:bookmarkEnd w:id="38"/>
    <w:p w14:paraId="20D7BD67">
      <w:pPr>
        <w:pStyle w:val="17"/>
        <w:rPr>
          <w:color w:val="000000" w:themeColor="text1"/>
          <w:lang w:eastAsia="zh-CN"/>
        </w:rPr>
      </w:pPr>
      <w:r>
        <w:rPr>
          <w:color w:val="000000" w:themeColor="text1"/>
          <w:lang w:eastAsia="zh-CN"/>
        </w:rPr>
        <w:t xml:space="preserve">X. Wang </w:t>
      </w:r>
      <w:r>
        <w:rPr>
          <w:rFonts w:hint="eastAsia"/>
          <w:color w:val="000000" w:themeColor="text1"/>
          <w:lang w:eastAsia="zh-CN"/>
        </w:rPr>
        <w:t xml:space="preserve">and </w:t>
      </w:r>
      <w:r>
        <w:rPr>
          <w:color w:val="000000" w:themeColor="text1"/>
          <w:lang w:eastAsia="zh-CN"/>
        </w:rPr>
        <w:t>K. Zhang</w:t>
      </w:r>
      <w:r>
        <w:rPr>
          <w:rFonts w:hint="eastAsia"/>
          <w:color w:val="000000" w:themeColor="text1"/>
          <w:lang w:eastAsia="zh-CN"/>
        </w:rPr>
        <w:t xml:space="preserve"> are</w:t>
      </w:r>
      <w:r>
        <w:rPr>
          <w:color w:val="000000" w:themeColor="text1"/>
          <w:lang w:eastAsia="zh-CN"/>
        </w:rPr>
        <w:t xml:space="preserve"> with the Key Laboratory of Aquatic Botany and Watershed Ecology, Wuhan Botanical Garden, Chinese Academy of Sciences, Wuhan 430074, China, and also with the Hubei Key Laboratory of Wetland Evolution &amp; Ecological Restoration, Wuhan Botanical Garden, Chinese Academy of Sciences, Wuhan 430074, China.</w:t>
      </w:r>
      <w:r>
        <w:rPr>
          <w:rFonts w:hint="eastAsia"/>
          <w:color w:val="000000" w:themeColor="text1"/>
          <w:lang w:eastAsia="zh-CN"/>
        </w:rPr>
        <w:t xml:space="preserve"> </w:t>
      </w:r>
      <w:r>
        <w:rPr>
          <w:color w:val="000000" w:themeColor="text1"/>
          <w:lang w:eastAsia="zh-CN"/>
        </w:rPr>
        <w:t>K. Zhang</w:t>
      </w:r>
      <w:r>
        <w:rPr>
          <w:rFonts w:hint="eastAsia"/>
          <w:color w:val="000000" w:themeColor="text1"/>
          <w:lang w:eastAsia="zh-CN"/>
        </w:rPr>
        <w:t xml:space="preserve"> </w:t>
      </w:r>
      <w:r>
        <w:rPr>
          <w:color w:val="000000" w:themeColor="text1"/>
          <w:lang w:eastAsia="zh-CN"/>
        </w:rPr>
        <w:t>is</w:t>
      </w:r>
      <w:r>
        <w:rPr>
          <w:rFonts w:hint="eastAsia"/>
          <w:color w:val="000000" w:themeColor="text1"/>
          <w:lang w:eastAsia="zh-CN"/>
        </w:rPr>
        <w:t xml:space="preserve"> </w:t>
      </w:r>
      <w:r>
        <w:rPr>
          <w:color w:val="000000" w:themeColor="text1"/>
          <w:lang w:eastAsia="zh-CN"/>
        </w:rPr>
        <w:t>also with the Danjiangkou Wetland Ecosystem Field Scientific Observation and Research Station, the Chinese Academy of Sciences &amp; Hubei Province, Wuhan 430074, China (e-mail: wangxia@wbgcas.cn</w:t>
      </w:r>
      <w:r>
        <w:rPr>
          <w:rFonts w:hint="eastAsia"/>
          <w:color w:val="000000" w:themeColor="text1"/>
          <w:lang w:eastAsia="zh-CN"/>
        </w:rPr>
        <w:t xml:space="preserve">, </w:t>
      </w:r>
      <w:r>
        <w:rPr>
          <w:color w:val="000000" w:themeColor="text1"/>
          <w:lang w:eastAsia="zh-CN"/>
        </w:rPr>
        <w:t>kerongzhang@wbgcas.cn).</w:t>
      </w:r>
    </w:p>
    <w:p w14:paraId="0F89CEAB">
      <w:pPr>
        <w:pStyle w:val="17"/>
        <w:rPr>
          <w:color w:val="000000" w:themeColor="text1"/>
          <w:lang w:eastAsia="zh-CN"/>
        </w:rPr>
      </w:pPr>
      <w:r>
        <w:rPr>
          <w:color w:val="000000" w:themeColor="text1"/>
          <w:lang w:eastAsia="zh-CN"/>
        </w:rPr>
        <w:t>Y. Zhang is with the Key Laboratory of Monitoring and Estimate for Environment and Disaster of Hubei province, Innovation Academy for Precision Measurement Science and Technology, Chinese Academy of Sciences, Wuhan 430077, China (e-mail: zhangyihang@apm.ac.cn).</w:t>
      </w:r>
    </w:p>
    <w:p w14:paraId="137A67E9">
      <w:pPr>
        <w:pStyle w:val="17"/>
        <w:rPr>
          <w:lang w:eastAsia="zh-CN"/>
        </w:rPr>
      </w:pPr>
      <w:r>
        <w:rPr>
          <w:color w:val="000000" w:themeColor="text1"/>
          <w:lang w:eastAsia="zh-CN"/>
        </w:rPr>
        <w:t xml:space="preserve">P. M. Atkinson is with the Lancaster Environment Center, Faculty of Science and Technology, Lancaster University, Lancaster </w:t>
      </w:r>
      <w:r>
        <w:rPr>
          <w:lang w:eastAsia="zh-CN"/>
        </w:rPr>
        <w:t>LA1 4YQ, UK (e-mail: pma@lancaster.ac.uk).</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55148A">
    <w:pPr>
      <w:framePr w:wrap="auto" w:vAnchor="text" w:hAnchor="margin" w:xAlign="right" w:y="1"/>
    </w:pPr>
    <w:r>
      <w:fldChar w:fldCharType="begin"/>
    </w:r>
    <w:r>
      <w:instrText xml:space="preserve">PAGE  </w:instrText>
    </w:r>
    <w:r>
      <w:fldChar w:fldCharType="separate"/>
    </w:r>
    <w:r>
      <w:t>2</w:t>
    </w:r>
    <w:r>
      <w:fldChar w:fldCharType="end"/>
    </w:r>
  </w:p>
  <w:p w14:paraId="3101E287">
    <w:pPr>
      <w:ind w:right="360"/>
    </w:pPr>
    <w:r>
      <w:t>&gt; REPLACE THIS LINE WITH YOUR PAPER IDENTIFICATION NUMBER (DOUBLE-CLICK HERE TO EDIT) &lt;</w:t>
    </w:r>
  </w:p>
  <w:p w14:paraId="305C1A34">
    <w:pP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FB"/>
    <w:multiLevelType w:val="multilevel"/>
    <w:tmpl w:val="FFFFFFFB"/>
    <w:lvl w:ilvl="0" w:tentative="0">
      <w:start w:val="1"/>
      <w:numFmt w:val="upperRoman"/>
      <w:pStyle w:val="2"/>
      <w:lvlText w:val="%1."/>
      <w:legacy w:legacy="1" w:legacySpace="144" w:legacyIndent="144"/>
      <w:lvlJc w:val="left"/>
    </w:lvl>
    <w:lvl w:ilvl="1" w:tentative="0">
      <w:start w:val="1"/>
      <w:numFmt w:val="upperLetter"/>
      <w:pStyle w:val="3"/>
      <w:lvlText w:val="%2."/>
      <w:legacy w:legacy="1" w:legacySpace="144" w:legacyIndent="144"/>
      <w:lvlJc w:val="left"/>
      <w:rPr>
        <w:b w:val="0"/>
      </w:rPr>
    </w:lvl>
    <w:lvl w:ilvl="2" w:tentative="0">
      <w:start w:val="1"/>
      <w:numFmt w:val="decimal"/>
      <w:pStyle w:val="4"/>
      <w:lvlText w:val="%3)"/>
      <w:legacy w:legacy="1" w:legacySpace="144" w:legacyIndent="144"/>
      <w:lvlJc w:val="left"/>
      <w:rPr>
        <w:i/>
      </w:rPr>
    </w:lvl>
    <w:lvl w:ilvl="3" w:tentative="0">
      <w:start w:val="1"/>
      <w:numFmt w:val="lowerLetter"/>
      <w:pStyle w:val="5"/>
      <w:lvlText w:val="%4)"/>
      <w:legacy w:legacy="1" w:legacySpace="0" w:legacyIndent="720"/>
      <w:lvlJc w:val="left"/>
      <w:pPr>
        <w:ind w:left="1152" w:hanging="720"/>
      </w:pPr>
    </w:lvl>
    <w:lvl w:ilvl="4" w:tentative="0">
      <w:start w:val="1"/>
      <w:numFmt w:val="decimal"/>
      <w:pStyle w:val="6"/>
      <w:lvlText w:val="(%5)"/>
      <w:legacy w:legacy="1" w:legacySpace="0" w:legacyIndent="720"/>
      <w:lvlJc w:val="left"/>
      <w:pPr>
        <w:ind w:left="1872" w:hanging="720"/>
      </w:pPr>
    </w:lvl>
    <w:lvl w:ilvl="5" w:tentative="0">
      <w:start w:val="1"/>
      <w:numFmt w:val="lowerLetter"/>
      <w:pStyle w:val="7"/>
      <w:lvlText w:val="(%6)"/>
      <w:legacy w:legacy="1" w:legacySpace="0" w:legacyIndent="720"/>
      <w:lvlJc w:val="left"/>
      <w:pPr>
        <w:ind w:left="2592" w:hanging="720"/>
      </w:pPr>
    </w:lvl>
    <w:lvl w:ilvl="6" w:tentative="0">
      <w:start w:val="1"/>
      <w:numFmt w:val="lowerRoman"/>
      <w:pStyle w:val="8"/>
      <w:lvlText w:val="(%7)"/>
      <w:legacy w:legacy="1" w:legacySpace="0" w:legacyIndent="720"/>
      <w:lvlJc w:val="left"/>
      <w:pPr>
        <w:ind w:left="3312" w:hanging="720"/>
      </w:pPr>
    </w:lvl>
    <w:lvl w:ilvl="7" w:tentative="0">
      <w:start w:val="1"/>
      <w:numFmt w:val="lowerLetter"/>
      <w:pStyle w:val="9"/>
      <w:lvlText w:val="(%8)"/>
      <w:legacy w:legacy="1" w:legacySpace="0" w:legacyIndent="720"/>
      <w:lvlJc w:val="left"/>
      <w:pPr>
        <w:ind w:left="4032" w:hanging="720"/>
      </w:pPr>
    </w:lvl>
    <w:lvl w:ilvl="8" w:tentative="0">
      <w:start w:val="1"/>
      <w:numFmt w:val="lowerRoman"/>
      <w:pStyle w:val="10"/>
      <w:lvlText w:val="(%9)"/>
      <w:legacy w:legacy="1" w:legacySpace="0" w:legacyIndent="720"/>
      <w:lvlJc w:val="left"/>
      <w:pPr>
        <w:ind w:left="4752" w:hanging="720"/>
      </w:pPr>
    </w:lvl>
  </w:abstractNum>
  <w:abstractNum w:abstractNumId="1">
    <w:nsid w:val="043C2982"/>
    <w:multiLevelType w:val="multilevel"/>
    <w:tmpl w:val="043C2982"/>
    <w:lvl w:ilvl="0" w:tentative="0">
      <w:start w:val="1"/>
      <w:numFmt w:val="decimal"/>
      <w:pStyle w:val="76"/>
      <w:lvlText w:val="%1)"/>
      <w:lvlJc w:val="left"/>
      <w:pPr>
        <w:ind w:left="360" w:hanging="360"/>
      </w:pPr>
    </w:lvl>
    <w:lvl w:ilvl="1" w:tentative="0">
      <w:start w:val="1"/>
      <w:numFmt w:val="lowerLetter"/>
      <w:pStyle w:val="77"/>
      <w:lvlText w:val="%2)"/>
      <w:lvlJc w:val="left"/>
      <w:pPr>
        <w:ind w:left="720" w:hanging="360"/>
      </w:pPr>
    </w:lvl>
    <w:lvl w:ilvl="2" w:tentative="0">
      <w:start w:val="1"/>
      <w:numFmt w:val="lowerRoman"/>
      <w:lvlText w:val="%3)"/>
      <w:lvlJc w:val="left"/>
      <w:pPr>
        <w:ind w:left="1080" w:hanging="360"/>
      </w:pPr>
    </w:lvl>
    <w:lvl w:ilvl="3" w:tentative="0">
      <w:start w:val="1"/>
      <w:numFmt w:val="decimal"/>
      <w:lvlText w:val="(%4)"/>
      <w:lvlJc w:val="left"/>
      <w:pPr>
        <w:ind w:left="1440" w:hanging="360"/>
      </w:pPr>
    </w:lvl>
    <w:lvl w:ilvl="4" w:tentative="0">
      <w:start w:val="1"/>
      <w:numFmt w:val="lowerLetter"/>
      <w:lvlText w:val="(%5)"/>
      <w:lvlJc w:val="left"/>
      <w:pPr>
        <w:ind w:left="1800" w:hanging="360"/>
      </w:pPr>
    </w:lvl>
    <w:lvl w:ilvl="5" w:tentative="0">
      <w:start w:val="1"/>
      <w:numFmt w:val="lowerRoman"/>
      <w:lvlText w:val="(%6)"/>
      <w:lvlJc w:val="left"/>
      <w:pPr>
        <w:ind w:left="2160" w:hanging="360"/>
      </w:pPr>
    </w:lvl>
    <w:lvl w:ilvl="6" w:tentative="0">
      <w:start w:val="1"/>
      <w:numFmt w:val="decimal"/>
      <w:lvlText w:val="%7."/>
      <w:lvlJc w:val="left"/>
      <w:pPr>
        <w:ind w:left="2520" w:hanging="360"/>
      </w:pPr>
    </w:lvl>
    <w:lvl w:ilvl="7" w:tentative="0">
      <w:start w:val="1"/>
      <w:numFmt w:val="lowerLetter"/>
      <w:lvlText w:val="%8."/>
      <w:lvlJc w:val="left"/>
      <w:pPr>
        <w:ind w:left="2880" w:hanging="360"/>
      </w:pPr>
    </w:lvl>
    <w:lvl w:ilvl="8" w:tentative="0">
      <w:start w:val="1"/>
      <w:numFmt w:val="lowerRoman"/>
      <w:lvlText w:val="%9."/>
      <w:lvlJc w:val="left"/>
      <w:pPr>
        <w:ind w:left="3240" w:hanging="360"/>
      </w:pPr>
    </w:lvl>
  </w:abstractNum>
  <w:abstractNum w:abstractNumId="2">
    <w:nsid w:val="0EF04F1A"/>
    <w:multiLevelType w:val="multilevel"/>
    <w:tmpl w:val="0EF04F1A"/>
    <w:lvl w:ilvl="0" w:tentative="0">
      <w:start w:val="1"/>
      <w:numFmt w:val="decimal"/>
      <w:lvlText w:val="%1)"/>
      <w:lvlJc w:val="left"/>
      <w:pPr>
        <w:ind w:left="624" w:hanging="420"/>
      </w:pPr>
    </w:lvl>
    <w:lvl w:ilvl="1" w:tentative="0">
      <w:start w:val="1"/>
      <w:numFmt w:val="lowerLetter"/>
      <w:lvlText w:val="%2)"/>
      <w:lvlJc w:val="left"/>
      <w:pPr>
        <w:ind w:left="1044" w:hanging="420"/>
      </w:pPr>
    </w:lvl>
    <w:lvl w:ilvl="2" w:tentative="0">
      <w:start w:val="1"/>
      <w:numFmt w:val="lowerRoman"/>
      <w:lvlText w:val="%3."/>
      <w:lvlJc w:val="right"/>
      <w:pPr>
        <w:ind w:left="1464" w:hanging="420"/>
      </w:pPr>
    </w:lvl>
    <w:lvl w:ilvl="3" w:tentative="0">
      <w:start w:val="1"/>
      <w:numFmt w:val="decimal"/>
      <w:lvlText w:val="%4."/>
      <w:lvlJc w:val="left"/>
      <w:pPr>
        <w:ind w:left="1884" w:hanging="420"/>
      </w:pPr>
    </w:lvl>
    <w:lvl w:ilvl="4" w:tentative="0">
      <w:start w:val="1"/>
      <w:numFmt w:val="lowerLetter"/>
      <w:lvlText w:val="%5)"/>
      <w:lvlJc w:val="left"/>
      <w:pPr>
        <w:ind w:left="2304" w:hanging="420"/>
      </w:pPr>
    </w:lvl>
    <w:lvl w:ilvl="5" w:tentative="0">
      <w:start w:val="1"/>
      <w:numFmt w:val="lowerRoman"/>
      <w:lvlText w:val="%6."/>
      <w:lvlJc w:val="right"/>
      <w:pPr>
        <w:ind w:left="2724" w:hanging="420"/>
      </w:pPr>
    </w:lvl>
    <w:lvl w:ilvl="6" w:tentative="0">
      <w:start w:val="1"/>
      <w:numFmt w:val="decimal"/>
      <w:lvlText w:val="%7."/>
      <w:lvlJc w:val="left"/>
      <w:pPr>
        <w:ind w:left="3144" w:hanging="420"/>
      </w:pPr>
    </w:lvl>
    <w:lvl w:ilvl="7" w:tentative="0">
      <w:start w:val="1"/>
      <w:numFmt w:val="lowerLetter"/>
      <w:lvlText w:val="%8)"/>
      <w:lvlJc w:val="left"/>
      <w:pPr>
        <w:ind w:left="3564" w:hanging="420"/>
      </w:pPr>
    </w:lvl>
    <w:lvl w:ilvl="8" w:tentative="0">
      <w:start w:val="1"/>
      <w:numFmt w:val="lowerRoman"/>
      <w:lvlText w:val="%9."/>
      <w:lvlJc w:val="right"/>
      <w:pPr>
        <w:ind w:left="3984" w:hanging="420"/>
      </w:pPr>
    </w:lvl>
  </w:abstractNum>
  <w:abstractNum w:abstractNumId="3">
    <w:nsid w:val="14792362"/>
    <w:multiLevelType w:val="multilevel"/>
    <w:tmpl w:val="14792362"/>
    <w:lvl w:ilvl="0" w:tentative="0">
      <w:start w:val="1"/>
      <w:numFmt w:val="decimal"/>
      <w:lvlText w:val="%1)"/>
      <w:lvlJc w:val="left"/>
      <w:pPr>
        <w:ind w:left="360" w:hanging="360"/>
      </w:pPr>
    </w:lvl>
    <w:lvl w:ilvl="1" w:tentative="0">
      <w:start w:val="1"/>
      <w:numFmt w:val="decimal"/>
      <w:lvlText w:val="%2)"/>
      <w:lvlJc w:val="left"/>
      <w:pPr>
        <w:ind w:left="720" w:hanging="360"/>
      </w:pPr>
    </w:lvl>
    <w:lvl w:ilvl="2" w:tentative="0">
      <w:start w:val="1"/>
      <w:numFmt w:val="lowerRoman"/>
      <w:lvlText w:val="%3)"/>
      <w:lvlJc w:val="left"/>
      <w:pPr>
        <w:ind w:left="1080" w:hanging="360"/>
      </w:pPr>
    </w:lvl>
    <w:lvl w:ilvl="3" w:tentative="0">
      <w:start w:val="1"/>
      <w:numFmt w:val="decimal"/>
      <w:lvlText w:val="(%4)"/>
      <w:lvlJc w:val="left"/>
      <w:pPr>
        <w:ind w:left="1440" w:hanging="360"/>
      </w:pPr>
    </w:lvl>
    <w:lvl w:ilvl="4" w:tentative="0">
      <w:start w:val="1"/>
      <w:numFmt w:val="lowerLetter"/>
      <w:lvlText w:val="(%5)"/>
      <w:lvlJc w:val="left"/>
      <w:pPr>
        <w:ind w:left="1800" w:hanging="360"/>
      </w:pPr>
    </w:lvl>
    <w:lvl w:ilvl="5" w:tentative="0">
      <w:start w:val="1"/>
      <w:numFmt w:val="lowerRoman"/>
      <w:lvlText w:val="(%6)"/>
      <w:lvlJc w:val="left"/>
      <w:pPr>
        <w:ind w:left="2160" w:hanging="360"/>
      </w:pPr>
    </w:lvl>
    <w:lvl w:ilvl="6" w:tentative="0">
      <w:start w:val="1"/>
      <w:numFmt w:val="decimal"/>
      <w:lvlText w:val="%7."/>
      <w:lvlJc w:val="left"/>
      <w:pPr>
        <w:ind w:left="2520" w:hanging="360"/>
      </w:pPr>
    </w:lvl>
    <w:lvl w:ilvl="7" w:tentative="0">
      <w:start w:val="1"/>
      <w:numFmt w:val="lowerLetter"/>
      <w:lvlText w:val="%8."/>
      <w:lvlJc w:val="left"/>
      <w:pPr>
        <w:ind w:left="2880" w:hanging="360"/>
      </w:pPr>
    </w:lvl>
    <w:lvl w:ilvl="8" w:tentative="0">
      <w:start w:val="1"/>
      <w:numFmt w:val="lowerRoman"/>
      <w:lvlText w:val="%9."/>
      <w:lvlJc w:val="left"/>
      <w:pPr>
        <w:ind w:left="3240" w:hanging="360"/>
      </w:pPr>
    </w:lvl>
  </w:abstractNum>
  <w:abstractNum w:abstractNumId="4">
    <w:nsid w:val="3A877D64"/>
    <w:multiLevelType w:val="singleLevel"/>
    <w:tmpl w:val="3A877D64"/>
    <w:lvl w:ilvl="0" w:tentative="0">
      <w:start w:val="1"/>
      <w:numFmt w:val="decimal"/>
      <w:pStyle w:val="32"/>
      <w:lvlText w:val="[%1]"/>
      <w:lvlJc w:val="left"/>
      <w:pPr>
        <w:tabs>
          <w:tab w:val="left" w:pos="360"/>
        </w:tabs>
        <w:ind w:left="360" w:hanging="360"/>
      </w:pPr>
    </w:lvl>
  </w:abstractNum>
  <w:num w:numId="1">
    <w:abstractNumId w:val="0"/>
  </w:num>
  <w:num w:numId="2">
    <w:abstractNumId w:val="4"/>
  </w:num>
  <w:num w:numId="3">
    <w:abstractNumId w:val="1"/>
  </w:num>
  <w:num w:numId="4">
    <w:abstractNumId w:val="2"/>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documentProtection w:enforcement="0"/>
  <w:defaultTabStop w:val="202"/>
  <w:doNotHyphenateCaps/>
  <w:drawingGridHorizontalSpacing w:val="120"/>
  <w:drawingGridVerticalSpacing w:val="120"/>
  <w:displayHorizontalDrawingGridEvery w:val="0"/>
  <w:displayVerticalDrawingGridEvery w:val="3"/>
  <w:doNotUseMarginsForDrawingGridOrigin w:val="1"/>
  <w:drawingGridHorizontalOrigin w:val="1800"/>
  <w:drawingGridVerticalOrigin w:val="1440"/>
  <w:characterSpacingControl w:val="compressPunctuation"/>
  <w:footnotePr>
    <w:footnote w:id="2"/>
    <w:footnote w:id="3"/>
  </w:footnotePr>
  <w:endnotePr>
    <w:endnote w:id="0"/>
    <w:endnote w:id="1"/>
  </w:endnotePr>
  <w:compat>
    <w:useFELayout/>
    <w:compatSetting w:name="compatibilityMode" w:uri="http://schemas.microsoft.com/office/word" w:val="12"/>
  </w:compat>
  <w:docVars>
    <w:docVar w:name="__Grammarly_42____i" w:val="H4sIAAAAAAAEAKtWckksSQxILCpxzi/NK1GyMqwFAAEhoTITAAAA"/>
    <w:docVar w:name="__Grammarly_42___1" w:val="H4sIAAAAAAAEAKtWcslP9kxRslIyNDY0NzexNDaysLQwszA3MrJU0lEKTi0uzszPAykwNqoFABdKvWItAAAA"/>
    <w:docVar w:name="EN.InstantFormat" w:val="&lt;ENInstantFormat&gt;&lt;Enabled&gt;1&lt;/Enabled&gt;&lt;ScanUnformatted&gt;1&lt;/ScanUnformatted&gt;&lt;ScanChanges&gt;1&lt;/ScanChanges&gt;&lt;Suspended&gt;0&lt;/Suspended&gt;&lt;/ENInstantFormat&gt;"/>
    <w:docVar w:name="EN.Layout" w:val="&lt;ENLayout&gt;&lt;Style&gt;Trans Geosci Remote Sens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v902f0emrpxwae0aecvvpapa20ep02dp9fp&quot;&gt;My EndNote Library-yihang.enl&lt;record-ids&gt;&lt;item&gt;46&lt;/item&gt;&lt;item&gt;163&lt;/item&gt;&lt;item&gt;167&lt;/item&gt;&lt;item&gt;170&lt;/item&gt;&lt;item&gt;171&lt;/item&gt;&lt;item&gt;172&lt;/item&gt;&lt;item&gt;178&lt;/item&gt;&lt;item&gt;179&lt;/item&gt;&lt;item&gt;181&lt;/item&gt;&lt;item&gt;182&lt;/item&gt;&lt;item&gt;185&lt;/item&gt;&lt;item&gt;186&lt;/item&gt;&lt;item&gt;189&lt;/item&gt;&lt;item&gt;190&lt;/item&gt;&lt;item&gt;193&lt;/item&gt;&lt;item&gt;194&lt;/item&gt;&lt;item&gt;197&lt;/item&gt;&lt;item&gt;198&lt;/item&gt;&lt;item&gt;200&lt;/item&gt;&lt;item&gt;201&lt;/item&gt;&lt;item&gt;204&lt;/item&gt;&lt;item&gt;206&lt;/item&gt;&lt;item&gt;207&lt;/item&gt;&lt;item&gt;210&lt;/item&gt;&lt;item&gt;211&lt;/item&gt;&lt;item&gt;213&lt;/item&gt;&lt;item&gt;215&lt;/item&gt;&lt;item&gt;216&lt;/item&gt;&lt;item&gt;217&lt;/item&gt;&lt;item&gt;218&lt;/item&gt;&lt;item&gt;221&lt;/item&gt;&lt;item&gt;225&lt;/item&gt;&lt;item&gt;238&lt;/item&gt;&lt;item&gt;239&lt;/item&gt;&lt;item&gt;240&lt;/item&gt;&lt;item&gt;268&lt;/item&gt;&lt;item&gt;309&lt;/item&gt;&lt;item&gt;310&lt;/item&gt;&lt;item&gt;311&lt;/item&gt;&lt;item&gt;312&lt;/item&gt;&lt;item&gt;314&lt;/item&gt;&lt;item&gt;316&lt;/item&gt;&lt;item&gt;317&lt;/item&gt;&lt;item&gt;318&lt;/item&gt;&lt;item&gt;319&lt;/item&gt;&lt;item&gt;330&lt;/item&gt;&lt;item&gt;331&lt;/item&gt;&lt;item&gt;332&lt;/item&gt;&lt;item&gt;334&lt;/item&gt;&lt;item&gt;335&lt;/item&gt;&lt;item&gt;336&lt;/item&gt;&lt;item&gt;337&lt;/item&gt;&lt;item&gt;338&lt;/item&gt;&lt;item&gt;340&lt;/item&gt;&lt;item&gt;341&lt;/item&gt;&lt;item&gt;342&lt;/item&gt;&lt;item&gt;343&lt;/item&gt;&lt;item&gt;345&lt;/item&gt;&lt;item&gt;346&lt;/item&gt;&lt;item&gt;350&lt;/item&gt;&lt;item&gt;351&lt;/item&gt;&lt;item&gt;352&lt;/item&gt;&lt;item&gt;353&lt;/item&gt;&lt;item&gt;354&lt;/item&gt;&lt;item&gt;355&lt;/item&gt;&lt;item&gt;483&lt;/item&gt;&lt;item&gt;484&lt;/item&gt;&lt;item&gt;485&lt;/item&gt;&lt;/record-ids&gt;&lt;/item&gt;&lt;/Libraries&gt;"/>
  </w:docVars>
  <w:rsids>
    <w:rsidRoot w:val="0091035B"/>
    <w:rsid w:val="00000CC9"/>
    <w:rsid w:val="00000D44"/>
    <w:rsid w:val="00000E33"/>
    <w:rsid w:val="000016FC"/>
    <w:rsid w:val="000018A8"/>
    <w:rsid w:val="00001DEF"/>
    <w:rsid w:val="00002849"/>
    <w:rsid w:val="000033BA"/>
    <w:rsid w:val="00003691"/>
    <w:rsid w:val="00004213"/>
    <w:rsid w:val="00004364"/>
    <w:rsid w:val="0000489D"/>
    <w:rsid w:val="00004FF6"/>
    <w:rsid w:val="00005193"/>
    <w:rsid w:val="00005A89"/>
    <w:rsid w:val="0000681C"/>
    <w:rsid w:val="00006A41"/>
    <w:rsid w:val="00007DC2"/>
    <w:rsid w:val="00007EA1"/>
    <w:rsid w:val="00007FCF"/>
    <w:rsid w:val="000102AF"/>
    <w:rsid w:val="00010451"/>
    <w:rsid w:val="00010738"/>
    <w:rsid w:val="000107EC"/>
    <w:rsid w:val="00010C1B"/>
    <w:rsid w:val="000110B4"/>
    <w:rsid w:val="000113B0"/>
    <w:rsid w:val="00011446"/>
    <w:rsid w:val="00011A73"/>
    <w:rsid w:val="00011AAB"/>
    <w:rsid w:val="00012863"/>
    <w:rsid w:val="00012DF5"/>
    <w:rsid w:val="00012FBD"/>
    <w:rsid w:val="00013068"/>
    <w:rsid w:val="000133BA"/>
    <w:rsid w:val="00013408"/>
    <w:rsid w:val="0001344A"/>
    <w:rsid w:val="000134BB"/>
    <w:rsid w:val="0001400B"/>
    <w:rsid w:val="00014F67"/>
    <w:rsid w:val="000155CB"/>
    <w:rsid w:val="0001593A"/>
    <w:rsid w:val="00016473"/>
    <w:rsid w:val="0001675C"/>
    <w:rsid w:val="000169B6"/>
    <w:rsid w:val="00016C1A"/>
    <w:rsid w:val="00017340"/>
    <w:rsid w:val="0001754E"/>
    <w:rsid w:val="00017FD3"/>
    <w:rsid w:val="00020339"/>
    <w:rsid w:val="00020B40"/>
    <w:rsid w:val="00020D83"/>
    <w:rsid w:val="00021A7E"/>
    <w:rsid w:val="00021D5E"/>
    <w:rsid w:val="0002213F"/>
    <w:rsid w:val="00022682"/>
    <w:rsid w:val="00022A0B"/>
    <w:rsid w:val="00022CF5"/>
    <w:rsid w:val="00022EEA"/>
    <w:rsid w:val="00023094"/>
    <w:rsid w:val="00023222"/>
    <w:rsid w:val="00023C07"/>
    <w:rsid w:val="00023DF2"/>
    <w:rsid w:val="00023FFA"/>
    <w:rsid w:val="000241FC"/>
    <w:rsid w:val="00024401"/>
    <w:rsid w:val="00025D1C"/>
    <w:rsid w:val="00026093"/>
    <w:rsid w:val="0002652A"/>
    <w:rsid w:val="00026723"/>
    <w:rsid w:val="0002689D"/>
    <w:rsid w:val="000273FF"/>
    <w:rsid w:val="0002757A"/>
    <w:rsid w:val="00027798"/>
    <w:rsid w:val="000304F3"/>
    <w:rsid w:val="00030F83"/>
    <w:rsid w:val="0003119B"/>
    <w:rsid w:val="000312CE"/>
    <w:rsid w:val="000316AE"/>
    <w:rsid w:val="00031745"/>
    <w:rsid w:val="00031CA6"/>
    <w:rsid w:val="00031F8D"/>
    <w:rsid w:val="00031F91"/>
    <w:rsid w:val="0003220B"/>
    <w:rsid w:val="000328FB"/>
    <w:rsid w:val="000331AC"/>
    <w:rsid w:val="00033496"/>
    <w:rsid w:val="00033DD4"/>
    <w:rsid w:val="00034B75"/>
    <w:rsid w:val="000351C9"/>
    <w:rsid w:val="00035D51"/>
    <w:rsid w:val="00036D59"/>
    <w:rsid w:val="000372CF"/>
    <w:rsid w:val="000375E6"/>
    <w:rsid w:val="0004002D"/>
    <w:rsid w:val="00040668"/>
    <w:rsid w:val="00040ADE"/>
    <w:rsid w:val="00040B3F"/>
    <w:rsid w:val="00041206"/>
    <w:rsid w:val="000413C0"/>
    <w:rsid w:val="00041944"/>
    <w:rsid w:val="0004213A"/>
    <w:rsid w:val="00042174"/>
    <w:rsid w:val="00042713"/>
    <w:rsid w:val="00042E13"/>
    <w:rsid w:val="00043C9A"/>
    <w:rsid w:val="00043E51"/>
    <w:rsid w:val="00044C9E"/>
    <w:rsid w:val="000452E1"/>
    <w:rsid w:val="00045376"/>
    <w:rsid w:val="0004540B"/>
    <w:rsid w:val="00046CD0"/>
    <w:rsid w:val="00046E20"/>
    <w:rsid w:val="00046E8A"/>
    <w:rsid w:val="000472A4"/>
    <w:rsid w:val="0004732D"/>
    <w:rsid w:val="00047A77"/>
    <w:rsid w:val="00047A92"/>
    <w:rsid w:val="00047DAB"/>
    <w:rsid w:val="00050420"/>
    <w:rsid w:val="0005057C"/>
    <w:rsid w:val="00050CE8"/>
    <w:rsid w:val="00050FA7"/>
    <w:rsid w:val="00051314"/>
    <w:rsid w:val="00051B30"/>
    <w:rsid w:val="00052817"/>
    <w:rsid w:val="00052B35"/>
    <w:rsid w:val="000530B0"/>
    <w:rsid w:val="0005433D"/>
    <w:rsid w:val="00054417"/>
    <w:rsid w:val="000546A4"/>
    <w:rsid w:val="00054CAB"/>
    <w:rsid w:val="00054CBA"/>
    <w:rsid w:val="00054E6D"/>
    <w:rsid w:val="0005515F"/>
    <w:rsid w:val="00055508"/>
    <w:rsid w:val="00055D2A"/>
    <w:rsid w:val="00055E42"/>
    <w:rsid w:val="000564F5"/>
    <w:rsid w:val="000605BA"/>
    <w:rsid w:val="000606F5"/>
    <w:rsid w:val="00060761"/>
    <w:rsid w:val="0006096A"/>
    <w:rsid w:val="00060ACA"/>
    <w:rsid w:val="00061C10"/>
    <w:rsid w:val="00061F06"/>
    <w:rsid w:val="000622A1"/>
    <w:rsid w:val="0006270F"/>
    <w:rsid w:val="000627DF"/>
    <w:rsid w:val="00062805"/>
    <w:rsid w:val="000643DB"/>
    <w:rsid w:val="0006521F"/>
    <w:rsid w:val="00065B9C"/>
    <w:rsid w:val="0006701E"/>
    <w:rsid w:val="00067248"/>
    <w:rsid w:val="000672D2"/>
    <w:rsid w:val="00067C01"/>
    <w:rsid w:val="00067DCC"/>
    <w:rsid w:val="000704A8"/>
    <w:rsid w:val="000705C3"/>
    <w:rsid w:val="000709AB"/>
    <w:rsid w:val="00071490"/>
    <w:rsid w:val="00071EB8"/>
    <w:rsid w:val="000726D8"/>
    <w:rsid w:val="00072C7D"/>
    <w:rsid w:val="00072CE5"/>
    <w:rsid w:val="00073015"/>
    <w:rsid w:val="00073B08"/>
    <w:rsid w:val="00074DE9"/>
    <w:rsid w:val="00075821"/>
    <w:rsid w:val="00075EB9"/>
    <w:rsid w:val="000760AF"/>
    <w:rsid w:val="00076929"/>
    <w:rsid w:val="00076D99"/>
    <w:rsid w:val="0007726F"/>
    <w:rsid w:val="000803AC"/>
    <w:rsid w:val="00080D85"/>
    <w:rsid w:val="000812E2"/>
    <w:rsid w:val="00081394"/>
    <w:rsid w:val="00081D87"/>
    <w:rsid w:val="00082392"/>
    <w:rsid w:val="00082813"/>
    <w:rsid w:val="00082861"/>
    <w:rsid w:val="0008346D"/>
    <w:rsid w:val="000836E4"/>
    <w:rsid w:val="00083847"/>
    <w:rsid w:val="0008420C"/>
    <w:rsid w:val="000842E6"/>
    <w:rsid w:val="000844B6"/>
    <w:rsid w:val="000847F7"/>
    <w:rsid w:val="00084A26"/>
    <w:rsid w:val="000854F2"/>
    <w:rsid w:val="00085D23"/>
    <w:rsid w:val="00085D42"/>
    <w:rsid w:val="0008688F"/>
    <w:rsid w:val="00086948"/>
    <w:rsid w:val="00086D50"/>
    <w:rsid w:val="000874C1"/>
    <w:rsid w:val="00087756"/>
    <w:rsid w:val="000903C3"/>
    <w:rsid w:val="00090DB2"/>
    <w:rsid w:val="0009274B"/>
    <w:rsid w:val="00092D82"/>
    <w:rsid w:val="00093584"/>
    <w:rsid w:val="00093736"/>
    <w:rsid w:val="000940F7"/>
    <w:rsid w:val="00094B27"/>
    <w:rsid w:val="00094B9E"/>
    <w:rsid w:val="0009670F"/>
    <w:rsid w:val="0009690C"/>
    <w:rsid w:val="0009750F"/>
    <w:rsid w:val="000975FE"/>
    <w:rsid w:val="00097939"/>
    <w:rsid w:val="000979A1"/>
    <w:rsid w:val="000A07CF"/>
    <w:rsid w:val="000A0DA5"/>
    <w:rsid w:val="000A168B"/>
    <w:rsid w:val="000A2147"/>
    <w:rsid w:val="000A2217"/>
    <w:rsid w:val="000A23C0"/>
    <w:rsid w:val="000A34AE"/>
    <w:rsid w:val="000A3A4B"/>
    <w:rsid w:val="000A3A5C"/>
    <w:rsid w:val="000A3A92"/>
    <w:rsid w:val="000A4070"/>
    <w:rsid w:val="000A4250"/>
    <w:rsid w:val="000A4251"/>
    <w:rsid w:val="000A4CB7"/>
    <w:rsid w:val="000A4F58"/>
    <w:rsid w:val="000A5062"/>
    <w:rsid w:val="000A5103"/>
    <w:rsid w:val="000A534C"/>
    <w:rsid w:val="000A5514"/>
    <w:rsid w:val="000A55B4"/>
    <w:rsid w:val="000A5A1E"/>
    <w:rsid w:val="000A62AD"/>
    <w:rsid w:val="000A6C98"/>
    <w:rsid w:val="000A7112"/>
    <w:rsid w:val="000A73C5"/>
    <w:rsid w:val="000A7FE6"/>
    <w:rsid w:val="000B0843"/>
    <w:rsid w:val="000B0937"/>
    <w:rsid w:val="000B120A"/>
    <w:rsid w:val="000B1EDD"/>
    <w:rsid w:val="000B2622"/>
    <w:rsid w:val="000B28E3"/>
    <w:rsid w:val="000B2A7F"/>
    <w:rsid w:val="000B2FD2"/>
    <w:rsid w:val="000B36F1"/>
    <w:rsid w:val="000B3B83"/>
    <w:rsid w:val="000B4061"/>
    <w:rsid w:val="000B4178"/>
    <w:rsid w:val="000B483B"/>
    <w:rsid w:val="000B48A5"/>
    <w:rsid w:val="000B4D0B"/>
    <w:rsid w:val="000B4FFC"/>
    <w:rsid w:val="000B50E9"/>
    <w:rsid w:val="000B5212"/>
    <w:rsid w:val="000B5EED"/>
    <w:rsid w:val="000B62B7"/>
    <w:rsid w:val="000B64FE"/>
    <w:rsid w:val="000B685D"/>
    <w:rsid w:val="000B6CC2"/>
    <w:rsid w:val="000B70FE"/>
    <w:rsid w:val="000C005F"/>
    <w:rsid w:val="000C0379"/>
    <w:rsid w:val="000C0438"/>
    <w:rsid w:val="000C06B3"/>
    <w:rsid w:val="000C091D"/>
    <w:rsid w:val="000C0C34"/>
    <w:rsid w:val="000C0FC6"/>
    <w:rsid w:val="000C1253"/>
    <w:rsid w:val="000C14F2"/>
    <w:rsid w:val="000C16D1"/>
    <w:rsid w:val="000C19B6"/>
    <w:rsid w:val="000C2183"/>
    <w:rsid w:val="000C23C5"/>
    <w:rsid w:val="000C271F"/>
    <w:rsid w:val="000C2E20"/>
    <w:rsid w:val="000C2F14"/>
    <w:rsid w:val="000C3072"/>
    <w:rsid w:val="000C3CB5"/>
    <w:rsid w:val="000C3CB8"/>
    <w:rsid w:val="000C3E3D"/>
    <w:rsid w:val="000C4590"/>
    <w:rsid w:val="000C45E4"/>
    <w:rsid w:val="000C4D8C"/>
    <w:rsid w:val="000C5505"/>
    <w:rsid w:val="000C5670"/>
    <w:rsid w:val="000C5E20"/>
    <w:rsid w:val="000C6B0A"/>
    <w:rsid w:val="000C6B83"/>
    <w:rsid w:val="000C6E18"/>
    <w:rsid w:val="000C7169"/>
    <w:rsid w:val="000C7941"/>
    <w:rsid w:val="000D0453"/>
    <w:rsid w:val="000D0858"/>
    <w:rsid w:val="000D0BAF"/>
    <w:rsid w:val="000D1105"/>
    <w:rsid w:val="000D1D3E"/>
    <w:rsid w:val="000D2219"/>
    <w:rsid w:val="000D2BDE"/>
    <w:rsid w:val="000D3383"/>
    <w:rsid w:val="000D3C3C"/>
    <w:rsid w:val="000D4575"/>
    <w:rsid w:val="000D48C4"/>
    <w:rsid w:val="000D4BEE"/>
    <w:rsid w:val="000D4E09"/>
    <w:rsid w:val="000D583B"/>
    <w:rsid w:val="000D5B9B"/>
    <w:rsid w:val="000D60DA"/>
    <w:rsid w:val="000D61F9"/>
    <w:rsid w:val="000D7205"/>
    <w:rsid w:val="000D7275"/>
    <w:rsid w:val="000D7D5B"/>
    <w:rsid w:val="000E185B"/>
    <w:rsid w:val="000E1B8C"/>
    <w:rsid w:val="000E2219"/>
    <w:rsid w:val="000E2B21"/>
    <w:rsid w:val="000E2DA4"/>
    <w:rsid w:val="000E36A2"/>
    <w:rsid w:val="000E36E8"/>
    <w:rsid w:val="000E3831"/>
    <w:rsid w:val="000E3858"/>
    <w:rsid w:val="000E3A77"/>
    <w:rsid w:val="000E3A7C"/>
    <w:rsid w:val="000E4230"/>
    <w:rsid w:val="000E4440"/>
    <w:rsid w:val="000E4DB4"/>
    <w:rsid w:val="000E5020"/>
    <w:rsid w:val="000E5575"/>
    <w:rsid w:val="000E561C"/>
    <w:rsid w:val="000E5CB2"/>
    <w:rsid w:val="000E68D7"/>
    <w:rsid w:val="000E703A"/>
    <w:rsid w:val="000E7495"/>
    <w:rsid w:val="000E7CE8"/>
    <w:rsid w:val="000E7D88"/>
    <w:rsid w:val="000F0353"/>
    <w:rsid w:val="000F071D"/>
    <w:rsid w:val="000F0A61"/>
    <w:rsid w:val="000F166A"/>
    <w:rsid w:val="000F1AF5"/>
    <w:rsid w:val="000F1B7B"/>
    <w:rsid w:val="000F22F3"/>
    <w:rsid w:val="000F2990"/>
    <w:rsid w:val="000F2A10"/>
    <w:rsid w:val="000F311D"/>
    <w:rsid w:val="000F4C21"/>
    <w:rsid w:val="000F4DD9"/>
    <w:rsid w:val="000F4F69"/>
    <w:rsid w:val="000F5069"/>
    <w:rsid w:val="000F55DB"/>
    <w:rsid w:val="000F56CB"/>
    <w:rsid w:val="000F583A"/>
    <w:rsid w:val="000F5D96"/>
    <w:rsid w:val="000F6A2E"/>
    <w:rsid w:val="000F790E"/>
    <w:rsid w:val="000F7B41"/>
    <w:rsid w:val="00100155"/>
    <w:rsid w:val="001001F4"/>
    <w:rsid w:val="0010032F"/>
    <w:rsid w:val="001003EE"/>
    <w:rsid w:val="00100F37"/>
    <w:rsid w:val="00100F6C"/>
    <w:rsid w:val="0010173F"/>
    <w:rsid w:val="0010211A"/>
    <w:rsid w:val="0010213F"/>
    <w:rsid w:val="001021C9"/>
    <w:rsid w:val="001023B8"/>
    <w:rsid w:val="001028F6"/>
    <w:rsid w:val="00102E53"/>
    <w:rsid w:val="00104BB0"/>
    <w:rsid w:val="00104DBC"/>
    <w:rsid w:val="001053A9"/>
    <w:rsid w:val="00105462"/>
    <w:rsid w:val="00106984"/>
    <w:rsid w:val="001070E3"/>
    <w:rsid w:val="0010771F"/>
    <w:rsid w:val="0010794E"/>
    <w:rsid w:val="001079CC"/>
    <w:rsid w:val="00107A72"/>
    <w:rsid w:val="001100EB"/>
    <w:rsid w:val="00110A36"/>
    <w:rsid w:val="00110A71"/>
    <w:rsid w:val="00110B4D"/>
    <w:rsid w:val="00110D3A"/>
    <w:rsid w:val="0011134F"/>
    <w:rsid w:val="001117BB"/>
    <w:rsid w:val="00111CDC"/>
    <w:rsid w:val="00111E60"/>
    <w:rsid w:val="00111EBC"/>
    <w:rsid w:val="00112D7C"/>
    <w:rsid w:val="00112FAD"/>
    <w:rsid w:val="001137AE"/>
    <w:rsid w:val="00113EA4"/>
    <w:rsid w:val="00114CBC"/>
    <w:rsid w:val="0011513D"/>
    <w:rsid w:val="001159C1"/>
    <w:rsid w:val="00115F73"/>
    <w:rsid w:val="00117268"/>
    <w:rsid w:val="00117AFF"/>
    <w:rsid w:val="00120A20"/>
    <w:rsid w:val="0012176E"/>
    <w:rsid w:val="00121918"/>
    <w:rsid w:val="00121E9F"/>
    <w:rsid w:val="001221DF"/>
    <w:rsid w:val="001222F4"/>
    <w:rsid w:val="00122E80"/>
    <w:rsid w:val="001239EE"/>
    <w:rsid w:val="00123BA6"/>
    <w:rsid w:val="00123D26"/>
    <w:rsid w:val="00123EA0"/>
    <w:rsid w:val="0012403A"/>
    <w:rsid w:val="00124279"/>
    <w:rsid w:val="001242A7"/>
    <w:rsid w:val="00124778"/>
    <w:rsid w:val="00125BE5"/>
    <w:rsid w:val="00125C6C"/>
    <w:rsid w:val="00125C9E"/>
    <w:rsid w:val="00125CCE"/>
    <w:rsid w:val="00126235"/>
    <w:rsid w:val="001262E6"/>
    <w:rsid w:val="0012698B"/>
    <w:rsid w:val="0012726B"/>
    <w:rsid w:val="001276A7"/>
    <w:rsid w:val="001277C9"/>
    <w:rsid w:val="00127E03"/>
    <w:rsid w:val="00130260"/>
    <w:rsid w:val="0013082F"/>
    <w:rsid w:val="00130A86"/>
    <w:rsid w:val="00130D0D"/>
    <w:rsid w:val="001311BF"/>
    <w:rsid w:val="00131DE8"/>
    <w:rsid w:val="00132980"/>
    <w:rsid w:val="00132A00"/>
    <w:rsid w:val="00132B44"/>
    <w:rsid w:val="00133188"/>
    <w:rsid w:val="001333FF"/>
    <w:rsid w:val="0013354F"/>
    <w:rsid w:val="00134830"/>
    <w:rsid w:val="0013534D"/>
    <w:rsid w:val="00135C06"/>
    <w:rsid w:val="00135EF4"/>
    <w:rsid w:val="001363BC"/>
    <w:rsid w:val="0013661D"/>
    <w:rsid w:val="00136F72"/>
    <w:rsid w:val="001372A1"/>
    <w:rsid w:val="00137D52"/>
    <w:rsid w:val="001401FC"/>
    <w:rsid w:val="001404A7"/>
    <w:rsid w:val="001404C0"/>
    <w:rsid w:val="00140903"/>
    <w:rsid w:val="00140B15"/>
    <w:rsid w:val="00140DDC"/>
    <w:rsid w:val="00140E5D"/>
    <w:rsid w:val="001411FA"/>
    <w:rsid w:val="0014124F"/>
    <w:rsid w:val="00142595"/>
    <w:rsid w:val="0014294A"/>
    <w:rsid w:val="00143F2E"/>
    <w:rsid w:val="001442C3"/>
    <w:rsid w:val="0014464F"/>
    <w:rsid w:val="00144E72"/>
    <w:rsid w:val="001459F0"/>
    <w:rsid w:val="00145B9E"/>
    <w:rsid w:val="0014619B"/>
    <w:rsid w:val="0014627E"/>
    <w:rsid w:val="001465E4"/>
    <w:rsid w:val="001470DA"/>
    <w:rsid w:val="00147159"/>
    <w:rsid w:val="0014734A"/>
    <w:rsid w:val="00150701"/>
    <w:rsid w:val="00150F5A"/>
    <w:rsid w:val="00150FE2"/>
    <w:rsid w:val="0015110E"/>
    <w:rsid w:val="00151C25"/>
    <w:rsid w:val="00151CC6"/>
    <w:rsid w:val="001525ED"/>
    <w:rsid w:val="00152ADB"/>
    <w:rsid w:val="00152EDB"/>
    <w:rsid w:val="001530E8"/>
    <w:rsid w:val="00153920"/>
    <w:rsid w:val="00153ED4"/>
    <w:rsid w:val="00154D46"/>
    <w:rsid w:val="00155085"/>
    <w:rsid w:val="001550EE"/>
    <w:rsid w:val="0015567F"/>
    <w:rsid w:val="00155AAD"/>
    <w:rsid w:val="0015679A"/>
    <w:rsid w:val="00157794"/>
    <w:rsid w:val="00157BB1"/>
    <w:rsid w:val="00160545"/>
    <w:rsid w:val="0016085C"/>
    <w:rsid w:val="00161003"/>
    <w:rsid w:val="00161C28"/>
    <w:rsid w:val="00162C65"/>
    <w:rsid w:val="00162DCC"/>
    <w:rsid w:val="00163325"/>
    <w:rsid w:val="00163618"/>
    <w:rsid w:val="00163A8F"/>
    <w:rsid w:val="00163AAF"/>
    <w:rsid w:val="00165A75"/>
    <w:rsid w:val="00165FA8"/>
    <w:rsid w:val="00166DFB"/>
    <w:rsid w:val="001675D2"/>
    <w:rsid w:val="00170B89"/>
    <w:rsid w:val="001718FC"/>
    <w:rsid w:val="00171D24"/>
    <w:rsid w:val="00171D2F"/>
    <w:rsid w:val="001723BF"/>
    <w:rsid w:val="001728BA"/>
    <w:rsid w:val="001729BD"/>
    <w:rsid w:val="00172B23"/>
    <w:rsid w:val="00172D2B"/>
    <w:rsid w:val="00172E2C"/>
    <w:rsid w:val="00173406"/>
    <w:rsid w:val="00173A31"/>
    <w:rsid w:val="00173ADC"/>
    <w:rsid w:val="00174F1D"/>
    <w:rsid w:val="00174F43"/>
    <w:rsid w:val="00175164"/>
    <w:rsid w:val="001754D1"/>
    <w:rsid w:val="00175CBC"/>
    <w:rsid w:val="00176307"/>
    <w:rsid w:val="001766F4"/>
    <w:rsid w:val="001768FF"/>
    <w:rsid w:val="00176CF7"/>
    <w:rsid w:val="00176F36"/>
    <w:rsid w:val="00177653"/>
    <w:rsid w:val="001777E2"/>
    <w:rsid w:val="001800DF"/>
    <w:rsid w:val="00180C18"/>
    <w:rsid w:val="00180E81"/>
    <w:rsid w:val="00181227"/>
    <w:rsid w:val="001812B6"/>
    <w:rsid w:val="001820D6"/>
    <w:rsid w:val="00182805"/>
    <w:rsid w:val="0018308B"/>
    <w:rsid w:val="0018350D"/>
    <w:rsid w:val="00183E77"/>
    <w:rsid w:val="001846BF"/>
    <w:rsid w:val="00187386"/>
    <w:rsid w:val="00187CF8"/>
    <w:rsid w:val="00187D7D"/>
    <w:rsid w:val="00190045"/>
    <w:rsid w:val="00190378"/>
    <w:rsid w:val="00190A7D"/>
    <w:rsid w:val="001910F1"/>
    <w:rsid w:val="0019210D"/>
    <w:rsid w:val="001921E3"/>
    <w:rsid w:val="00192BCB"/>
    <w:rsid w:val="00193400"/>
    <w:rsid w:val="001934E3"/>
    <w:rsid w:val="001939EC"/>
    <w:rsid w:val="00193DCA"/>
    <w:rsid w:val="00194969"/>
    <w:rsid w:val="00195DF1"/>
    <w:rsid w:val="00196231"/>
    <w:rsid w:val="001970C9"/>
    <w:rsid w:val="00197196"/>
    <w:rsid w:val="00197E5B"/>
    <w:rsid w:val="00197EC1"/>
    <w:rsid w:val="001A1089"/>
    <w:rsid w:val="001A1673"/>
    <w:rsid w:val="001A179D"/>
    <w:rsid w:val="001A1AD6"/>
    <w:rsid w:val="001A1B3F"/>
    <w:rsid w:val="001A1C53"/>
    <w:rsid w:val="001A1F3B"/>
    <w:rsid w:val="001A2500"/>
    <w:rsid w:val="001A2998"/>
    <w:rsid w:val="001A2A96"/>
    <w:rsid w:val="001A2CB1"/>
    <w:rsid w:val="001A3D1E"/>
    <w:rsid w:val="001A3E8B"/>
    <w:rsid w:val="001A40DC"/>
    <w:rsid w:val="001A4653"/>
    <w:rsid w:val="001A468F"/>
    <w:rsid w:val="001A4D07"/>
    <w:rsid w:val="001A5028"/>
    <w:rsid w:val="001A54E7"/>
    <w:rsid w:val="001A57F3"/>
    <w:rsid w:val="001A5ED5"/>
    <w:rsid w:val="001A60B1"/>
    <w:rsid w:val="001A6378"/>
    <w:rsid w:val="001A6525"/>
    <w:rsid w:val="001A6C59"/>
    <w:rsid w:val="001A6EF6"/>
    <w:rsid w:val="001A6F02"/>
    <w:rsid w:val="001A6F3A"/>
    <w:rsid w:val="001A72AB"/>
    <w:rsid w:val="001A75A6"/>
    <w:rsid w:val="001A7949"/>
    <w:rsid w:val="001B0719"/>
    <w:rsid w:val="001B08A0"/>
    <w:rsid w:val="001B0B21"/>
    <w:rsid w:val="001B0B9C"/>
    <w:rsid w:val="001B1648"/>
    <w:rsid w:val="001B1A67"/>
    <w:rsid w:val="001B2F75"/>
    <w:rsid w:val="001B3567"/>
    <w:rsid w:val="001B36B1"/>
    <w:rsid w:val="001B3BF7"/>
    <w:rsid w:val="001B40AA"/>
    <w:rsid w:val="001B4A5E"/>
    <w:rsid w:val="001B51C3"/>
    <w:rsid w:val="001B5284"/>
    <w:rsid w:val="001B56DD"/>
    <w:rsid w:val="001B666E"/>
    <w:rsid w:val="001B7A39"/>
    <w:rsid w:val="001C05B7"/>
    <w:rsid w:val="001C0A2B"/>
    <w:rsid w:val="001C0D65"/>
    <w:rsid w:val="001C1385"/>
    <w:rsid w:val="001C1845"/>
    <w:rsid w:val="001C1A2D"/>
    <w:rsid w:val="001C1BC5"/>
    <w:rsid w:val="001C23A2"/>
    <w:rsid w:val="001C2850"/>
    <w:rsid w:val="001C2C55"/>
    <w:rsid w:val="001C3B26"/>
    <w:rsid w:val="001C3B6F"/>
    <w:rsid w:val="001C3DD4"/>
    <w:rsid w:val="001C44CE"/>
    <w:rsid w:val="001C519D"/>
    <w:rsid w:val="001C556C"/>
    <w:rsid w:val="001C55B2"/>
    <w:rsid w:val="001C5FB6"/>
    <w:rsid w:val="001C69CD"/>
    <w:rsid w:val="001C6CE8"/>
    <w:rsid w:val="001C73F3"/>
    <w:rsid w:val="001C7FC6"/>
    <w:rsid w:val="001D0C01"/>
    <w:rsid w:val="001D0D8F"/>
    <w:rsid w:val="001D0F48"/>
    <w:rsid w:val="001D1280"/>
    <w:rsid w:val="001D1D99"/>
    <w:rsid w:val="001D1DF3"/>
    <w:rsid w:val="001D24AE"/>
    <w:rsid w:val="001D279A"/>
    <w:rsid w:val="001D3660"/>
    <w:rsid w:val="001D3DB9"/>
    <w:rsid w:val="001D42FD"/>
    <w:rsid w:val="001D4697"/>
    <w:rsid w:val="001D4978"/>
    <w:rsid w:val="001D4A49"/>
    <w:rsid w:val="001D4C48"/>
    <w:rsid w:val="001D5473"/>
    <w:rsid w:val="001D5D2C"/>
    <w:rsid w:val="001D5E25"/>
    <w:rsid w:val="001D5E27"/>
    <w:rsid w:val="001D6193"/>
    <w:rsid w:val="001D68E8"/>
    <w:rsid w:val="001D69C8"/>
    <w:rsid w:val="001D6FAA"/>
    <w:rsid w:val="001D6FE1"/>
    <w:rsid w:val="001D76F1"/>
    <w:rsid w:val="001D793E"/>
    <w:rsid w:val="001D7CC8"/>
    <w:rsid w:val="001D7DF0"/>
    <w:rsid w:val="001E07E0"/>
    <w:rsid w:val="001E0DF5"/>
    <w:rsid w:val="001E0F02"/>
    <w:rsid w:val="001E157D"/>
    <w:rsid w:val="001E26FB"/>
    <w:rsid w:val="001E2EC6"/>
    <w:rsid w:val="001E30AE"/>
    <w:rsid w:val="001E3202"/>
    <w:rsid w:val="001E49B8"/>
    <w:rsid w:val="001E52BE"/>
    <w:rsid w:val="001E5F23"/>
    <w:rsid w:val="001E6106"/>
    <w:rsid w:val="001E6225"/>
    <w:rsid w:val="001E721F"/>
    <w:rsid w:val="001E744A"/>
    <w:rsid w:val="001E7845"/>
    <w:rsid w:val="001E7B7A"/>
    <w:rsid w:val="001F0164"/>
    <w:rsid w:val="001F054F"/>
    <w:rsid w:val="001F0DA8"/>
    <w:rsid w:val="001F1213"/>
    <w:rsid w:val="001F12A3"/>
    <w:rsid w:val="001F1B84"/>
    <w:rsid w:val="001F1BE0"/>
    <w:rsid w:val="001F23C6"/>
    <w:rsid w:val="001F346C"/>
    <w:rsid w:val="001F48B4"/>
    <w:rsid w:val="001F4C5C"/>
    <w:rsid w:val="001F4D60"/>
    <w:rsid w:val="001F69B4"/>
    <w:rsid w:val="001F69E6"/>
    <w:rsid w:val="001F70DD"/>
    <w:rsid w:val="001F7805"/>
    <w:rsid w:val="001F7808"/>
    <w:rsid w:val="001F7990"/>
    <w:rsid w:val="002003F7"/>
    <w:rsid w:val="0020082E"/>
    <w:rsid w:val="002017F3"/>
    <w:rsid w:val="0020207A"/>
    <w:rsid w:val="00202CDB"/>
    <w:rsid w:val="00203185"/>
    <w:rsid w:val="002031BC"/>
    <w:rsid w:val="0020365E"/>
    <w:rsid w:val="002042B2"/>
    <w:rsid w:val="002043D7"/>
    <w:rsid w:val="00204478"/>
    <w:rsid w:val="00204677"/>
    <w:rsid w:val="00204D2A"/>
    <w:rsid w:val="00204E12"/>
    <w:rsid w:val="00205E56"/>
    <w:rsid w:val="002060CF"/>
    <w:rsid w:val="00206F1F"/>
    <w:rsid w:val="00207422"/>
    <w:rsid w:val="002079EA"/>
    <w:rsid w:val="002103A0"/>
    <w:rsid w:val="00210954"/>
    <w:rsid w:val="00210B7B"/>
    <w:rsid w:val="00210EF2"/>
    <w:rsid w:val="00211E9C"/>
    <w:rsid w:val="00212819"/>
    <w:rsid w:val="002128A0"/>
    <w:rsid w:val="00212A74"/>
    <w:rsid w:val="00213168"/>
    <w:rsid w:val="002133B7"/>
    <w:rsid w:val="00213C91"/>
    <w:rsid w:val="00213D27"/>
    <w:rsid w:val="00213E20"/>
    <w:rsid w:val="0021410A"/>
    <w:rsid w:val="00214A6B"/>
    <w:rsid w:val="00214E2E"/>
    <w:rsid w:val="0021527D"/>
    <w:rsid w:val="002159E6"/>
    <w:rsid w:val="00215AA2"/>
    <w:rsid w:val="0021602B"/>
    <w:rsid w:val="00216141"/>
    <w:rsid w:val="00216652"/>
    <w:rsid w:val="0021672D"/>
    <w:rsid w:val="00216DFF"/>
    <w:rsid w:val="00217186"/>
    <w:rsid w:val="0021744E"/>
    <w:rsid w:val="002175AE"/>
    <w:rsid w:val="0021765B"/>
    <w:rsid w:val="002205EC"/>
    <w:rsid w:val="00220765"/>
    <w:rsid w:val="00221A6A"/>
    <w:rsid w:val="00222213"/>
    <w:rsid w:val="0022246B"/>
    <w:rsid w:val="00222BC0"/>
    <w:rsid w:val="00222FFA"/>
    <w:rsid w:val="0022303D"/>
    <w:rsid w:val="002232C0"/>
    <w:rsid w:val="002234F4"/>
    <w:rsid w:val="00223593"/>
    <w:rsid w:val="002235EC"/>
    <w:rsid w:val="002238EC"/>
    <w:rsid w:val="00223D01"/>
    <w:rsid w:val="00224310"/>
    <w:rsid w:val="0022484D"/>
    <w:rsid w:val="00224AED"/>
    <w:rsid w:val="002250EC"/>
    <w:rsid w:val="00225D17"/>
    <w:rsid w:val="00225E02"/>
    <w:rsid w:val="0022729F"/>
    <w:rsid w:val="00227AF3"/>
    <w:rsid w:val="00227C24"/>
    <w:rsid w:val="00230042"/>
    <w:rsid w:val="0023051B"/>
    <w:rsid w:val="002306C8"/>
    <w:rsid w:val="00230AB9"/>
    <w:rsid w:val="0023127B"/>
    <w:rsid w:val="00232064"/>
    <w:rsid w:val="00233060"/>
    <w:rsid w:val="00233141"/>
    <w:rsid w:val="00233560"/>
    <w:rsid w:val="0023357B"/>
    <w:rsid w:val="00233E2E"/>
    <w:rsid w:val="00233E30"/>
    <w:rsid w:val="002342B0"/>
    <w:rsid w:val="0023466C"/>
    <w:rsid w:val="00234C7A"/>
    <w:rsid w:val="0023539E"/>
    <w:rsid w:val="00235837"/>
    <w:rsid w:val="00235D1B"/>
    <w:rsid w:val="00235DA7"/>
    <w:rsid w:val="00235DEC"/>
    <w:rsid w:val="0023616C"/>
    <w:rsid w:val="002361F7"/>
    <w:rsid w:val="00236496"/>
    <w:rsid w:val="002376D2"/>
    <w:rsid w:val="00237B46"/>
    <w:rsid w:val="00237BB4"/>
    <w:rsid w:val="002401BC"/>
    <w:rsid w:val="00240419"/>
    <w:rsid w:val="00240C9B"/>
    <w:rsid w:val="0024155C"/>
    <w:rsid w:val="002415F7"/>
    <w:rsid w:val="00241643"/>
    <w:rsid w:val="00241A0C"/>
    <w:rsid w:val="00242C4F"/>
    <w:rsid w:val="002434A1"/>
    <w:rsid w:val="0024370C"/>
    <w:rsid w:val="00244311"/>
    <w:rsid w:val="00244A2A"/>
    <w:rsid w:val="00245BF5"/>
    <w:rsid w:val="00246D2F"/>
    <w:rsid w:val="002472BD"/>
    <w:rsid w:val="00247396"/>
    <w:rsid w:val="0024763C"/>
    <w:rsid w:val="002508F8"/>
    <w:rsid w:val="00250A7A"/>
    <w:rsid w:val="00250BB3"/>
    <w:rsid w:val="00250D28"/>
    <w:rsid w:val="00250F35"/>
    <w:rsid w:val="002517E9"/>
    <w:rsid w:val="00251AE8"/>
    <w:rsid w:val="00253718"/>
    <w:rsid w:val="002537A7"/>
    <w:rsid w:val="00253E39"/>
    <w:rsid w:val="002540F8"/>
    <w:rsid w:val="0025540A"/>
    <w:rsid w:val="002556EB"/>
    <w:rsid w:val="00255C4D"/>
    <w:rsid w:val="00255D02"/>
    <w:rsid w:val="00256074"/>
    <w:rsid w:val="002560FE"/>
    <w:rsid w:val="0025750A"/>
    <w:rsid w:val="0025792A"/>
    <w:rsid w:val="0026089F"/>
    <w:rsid w:val="00260A9F"/>
    <w:rsid w:val="00260DAE"/>
    <w:rsid w:val="00261BD4"/>
    <w:rsid w:val="0026223B"/>
    <w:rsid w:val="00262FFE"/>
    <w:rsid w:val="00263031"/>
    <w:rsid w:val="00263943"/>
    <w:rsid w:val="0026395B"/>
    <w:rsid w:val="00263D0D"/>
    <w:rsid w:val="002647CE"/>
    <w:rsid w:val="002648C7"/>
    <w:rsid w:val="002648DC"/>
    <w:rsid w:val="00264957"/>
    <w:rsid w:val="00264A55"/>
    <w:rsid w:val="00265127"/>
    <w:rsid w:val="002661AF"/>
    <w:rsid w:val="0026620B"/>
    <w:rsid w:val="00266CB4"/>
    <w:rsid w:val="00266E9C"/>
    <w:rsid w:val="0026759E"/>
    <w:rsid w:val="002676B4"/>
    <w:rsid w:val="00267B35"/>
    <w:rsid w:val="00267E04"/>
    <w:rsid w:val="002703CC"/>
    <w:rsid w:val="002710C6"/>
    <w:rsid w:val="00271798"/>
    <w:rsid w:val="00271A29"/>
    <w:rsid w:val="00271E0A"/>
    <w:rsid w:val="00272E42"/>
    <w:rsid w:val="00273100"/>
    <w:rsid w:val="00273237"/>
    <w:rsid w:val="00273978"/>
    <w:rsid w:val="00273F01"/>
    <w:rsid w:val="00274CB0"/>
    <w:rsid w:val="00275B9F"/>
    <w:rsid w:val="00275C6E"/>
    <w:rsid w:val="00276367"/>
    <w:rsid w:val="002763C8"/>
    <w:rsid w:val="00276450"/>
    <w:rsid w:val="0028044A"/>
    <w:rsid w:val="00281762"/>
    <w:rsid w:val="00281F17"/>
    <w:rsid w:val="0028253C"/>
    <w:rsid w:val="00282899"/>
    <w:rsid w:val="00282CD9"/>
    <w:rsid w:val="00283061"/>
    <w:rsid w:val="002837F8"/>
    <w:rsid w:val="00283D13"/>
    <w:rsid w:val="00283D91"/>
    <w:rsid w:val="00284129"/>
    <w:rsid w:val="002847B3"/>
    <w:rsid w:val="00284AF5"/>
    <w:rsid w:val="0028517B"/>
    <w:rsid w:val="002858A4"/>
    <w:rsid w:val="00286062"/>
    <w:rsid w:val="00286278"/>
    <w:rsid w:val="002863C4"/>
    <w:rsid w:val="002863EF"/>
    <w:rsid w:val="002864D2"/>
    <w:rsid w:val="00286A5A"/>
    <w:rsid w:val="00286C64"/>
    <w:rsid w:val="0028763C"/>
    <w:rsid w:val="00287E6B"/>
    <w:rsid w:val="00290F89"/>
    <w:rsid w:val="0029139D"/>
    <w:rsid w:val="002913A9"/>
    <w:rsid w:val="00291C46"/>
    <w:rsid w:val="0029203F"/>
    <w:rsid w:val="002920DF"/>
    <w:rsid w:val="0029241B"/>
    <w:rsid w:val="002925D0"/>
    <w:rsid w:val="00292BCE"/>
    <w:rsid w:val="002931CB"/>
    <w:rsid w:val="00293562"/>
    <w:rsid w:val="002938AC"/>
    <w:rsid w:val="00293A97"/>
    <w:rsid w:val="00294210"/>
    <w:rsid w:val="002948D9"/>
    <w:rsid w:val="00294915"/>
    <w:rsid w:val="002949CD"/>
    <w:rsid w:val="00294CB9"/>
    <w:rsid w:val="00294FEA"/>
    <w:rsid w:val="002957A9"/>
    <w:rsid w:val="002958DD"/>
    <w:rsid w:val="00295D77"/>
    <w:rsid w:val="00296366"/>
    <w:rsid w:val="002963F3"/>
    <w:rsid w:val="00296730"/>
    <w:rsid w:val="0029782C"/>
    <w:rsid w:val="00297B99"/>
    <w:rsid w:val="00297B9A"/>
    <w:rsid w:val="00297CAC"/>
    <w:rsid w:val="002A04C0"/>
    <w:rsid w:val="002A0F52"/>
    <w:rsid w:val="002A183E"/>
    <w:rsid w:val="002A2429"/>
    <w:rsid w:val="002A26B6"/>
    <w:rsid w:val="002A2957"/>
    <w:rsid w:val="002A345B"/>
    <w:rsid w:val="002A460A"/>
    <w:rsid w:val="002A4E4F"/>
    <w:rsid w:val="002A53EC"/>
    <w:rsid w:val="002A601A"/>
    <w:rsid w:val="002A6100"/>
    <w:rsid w:val="002A709A"/>
    <w:rsid w:val="002A79FA"/>
    <w:rsid w:val="002B018E"/>
    <w:rsid w:val="002B049C"/>
    <w:rsid w:val="002B0B61"/>
    <w:rsid w:val="002B0C63"/>
    <w:rsid w:val="002B1173"/>
    <w:rsid w:val="002B126B"/>
    <w:rsid w:val="002B14A6"/>
    <w:rsid w:val="002B15D3"/>
    <w:rsid w:val="002B2DF0"/>
    <w:rsid w:val="002B3329"/>
    <w:rsid w:val="002B3772"/>
    <w:rsid w:val="002B382C"/>
    <w:rsid w:val="002B414D"/>
    <w:rsid w:val="002B4637"/>
    <w:rsid w:val="002B5160"/>
    <w:rsid w:val="002B52C9"/>
    <w:rsid w:val="002B5A70"/>
    <w:rsid w:val="002B6255"/>
    <w:rsid w:val="002B7283"/>
    <w:rsid w:val="002B7399"/>
    <w:rsid w:val="002B7FC8"/>
    <w:rsid w:val="002C06D2"/>
    <w:rsid w:val="002C1557"/>
    <w:rsid w:val="002C2068"/>
    <w:rsid w:val="002C216F"/>
    <w:rsid w:val="002C48D3"/>
    <w:rsid w:val="002C49C4"/>
    <w:rsid w:val="002C4D06"/>
    <w:rsid w:val="002C56EE"/>
    <w:rsid w:val="002C5C20"/>
    <w:rsid w:val="002C6040"/>
    <w:rsid w:val="002C6092"/>
    <w:rsid w:val="002C65A7"/>
    <w:rsid w:val="002C6EBE"/>
    <w:rsid w:val="002C6F3C"/>
    <w:rsid w:val="002C792C"/>
    <w:rsid w:val="002C7AFA"/>
    <w:rsid w:val="002C7E66"/>
    <w:rsid w:val="002C7F5C"/>
    <w:rsid w:val="002D1041"/>
    <w:rsid w:val="002D1747"/>
    <w:rsid w:val="002D38C8"/>
    <w:rsid w:val="002D3BE8"/>
    <w:rsid w:val="002D3DD2"/>
    <w:rsid w:val="002D44C7"/>
    <w:rsid w:val="002D47F6"/>
    <w:rsid w:val="002D49C8"/>
    <w:rsid w:val="002D4A14"/>
    <w:rsid w:val="002D4D76"/>
    <w:rsid w:val="002D5BA3"/>
    <w:rsid w:val="002D62B5"/>
    <w:rsid w:val="002E0097"/>
    <w:rsid w:val="002E011A"/>
    <w:rsid w:val="002E19FB"/>
    <w:rsid w:val="002E26D5"/>
    <w:rsid w:val="002E3593"/>
    <w:rsid w:val="002E3D72"/>
    <w:rsid w:val="002E50E7"/>
    <w:rsid w:val="002E53F6"/>
    <w:rsid w:val="002E5926"/>
    <w:rsid w:val="002E64CF"/>
    <w:rsid w:val="002E6EC6"/>
    <w:rsid w:val="002E768F"/>
    <w:rsid w:val="002E7B6A"/>
    <w:rsid w:val="002F0911"/>
    <w:rsid w:val="002F14C4"/>
    <w:rsid w:val="002F1F9D"/>
    <w:rsid w:val="002F3571"/>
    <w:rsid w:val="002F42D5"/>
    <w:rsid w:val="002F4405"/>
    <w:rsid w:val="002F464A"/>
    <w:rsid w:val="002F480E"/>
    <w:rsid w:val="002F5948"/>
    <w:rsid w:val="002F5A64"/>
    <w:rsid w:val="002F5D8D"/>
    <w:rsid w:val="002F5EB4"/>
    <w:rsid w:val="002F5FC6"/>
    <w:rsid w:val="002F62C4"/>
    <w:rsid w:val="002F69B4"/>
    <w:rsid w:val="002F6CCD"/>
    <w:rsid w:val="002F70A0"/>
    <w:rsid w:val="002F7910"/>
    <w:rsid w:val="002F7B47"/>
    <w:rsid w:val="002F7D96"/>
    <w:rsid w:val="003001D3"/>
    <w:rsid w:val="00300564"/>
    <w:rsid w:val="00300CE6"/>
    <w:rsid w:val="00300DF2"/>
    <w:rsid w:val="00301164"/>
    <w:rsid w:val="0030144A"/>
    <w:rsid w:val="0030196C"/>
    <w:rsid w:val="00301B47"/>
    <w:rsid w:val="00302F88"/>
    <w:rsid w:val="00302FB1"/>
    <w:rsid w:val="00303048"/>
    <w:rsid w:val="00303766"/>
    <w:rsid w:val="00303CDE"/>
    <w:rsid w:val="00303EBF"/>
    <w:rsid w:val="00304F42"/>
    <w:rsid w:val="00305015"/>
    <w:rsid w:val="00305357"/>
    <w:rsid w:val="00305CF3"/>
    <w:rsid w:val="003060CE"/>
    <w:rsid w:val="00306C4E"/>
    <w:rsid w:val="0030785F"/>
    <w:rsid w:val="00307DA6"/>
    <w:rsid w:val="00307DC9"/>
    <w:rsid w:val="003105AD"/>
    <w:rsid w:val="003106A5"/>
    <w:rsid w:val="00311362"/>
    <w:rsid w:val="003121BE"/>
    <w:rsid w:val="003126AB"/>
    <w:rsid w:val="00312D19"/>
    <w:rsid w:val="00313B49"/>
    <w:rsid w:val="00314445"/>
    <w:rsid w:val="00314812"/>
    <w:rsid w:val="00314A5F"/>
    <w:rsid w:val="00314ED4"/>
    <w:rsid w:val="00315A71"/>
    <w:rsid w:val="00315FBD"/>
    <w:rsid w:val="0031613F"/>
    <w:rsid w:val="00316ECC"/>
    <w:rsid w:val="00316F0F"/>
    <w:rsid w:val="003170FF"/>
    <w:rsid w:val="00317BF2"/>
    <w:rsid w:val="00317FAD"/>
    <w:rsid w:val="0032013E"/>
    <w:rsid w:val="00320E54"/>
    <w:rsid w:val="00321268"/>
    <w:rsid w:val="0032153D"/>
    <w:rsid w:val="003215B2"/>
    <w:rsid w:val="00321E51"/>
    <w:rsid w:val="00322224"/>
    <w:rsid w:val="00322348"/>
    <w:rsid w:val="003223E0"/>
    <w:rsid w:val="003226AE"/>
    <w:rsid w:val="00323435"/>
    <w:rsid w:val="00323724"/>
    <w:rsid w:val="003238F2"/>
    <w:rsid w:val="00324022"/>
    <w:rsid w:val="003244DE"/>
    <w:rsid w:val="003250AD"/>
    <w:rsid w:val="003250E3"/>
    <w:rsid w:val="003252B7"/>
    <w:rsid w:val="0032543B"/>
    <w:rsid w:val="00325542"/>
    <w:rsid w:val="0032594F"/>
    <w:rsid w:val="00325C64"/>
    <w:rsid w:val="00325FD1"/>
    <w:rsid w:val="003268A6"/>
    <w:rsid w:val="003273E1"/>
    <w:rsid w:val="00327F14"/>
    <w:rsid w:val="003321F5"/>
    <w:rsid w:val="003322E5"/>
    <w:rsid w:val="003326D9"/>
    <w:rsid w:val="00332704"/>
    <w:rsid w:val="00332A4C"/>
    <w:rsid w:val="00332D9B"/>
    <w:rsid w:val="00332EE5"/>
    <w:rsid w:val="0033378E"/>
    <w:rsid w:val="00334754"/>
    <w:rsid w:val="00334938"/>
    <w:rsid w:val="00334987"/>
    <w:rsid w:val="00334EB5"/>
    <w:rsid w:val="00335198"/>
    <w:rsid w:val="0033531D"/>
    <w:rsid w:val="00336667"/>
    <w:rsid w:val="00336668"/>
    <w:rsid w:val="0033702B"/>
    <w:rsid w:val="003370AC"/>
    <w:rsid w:val="0033793E"/>
    <w:rsid w:val="00337CD4"/>
    <w:rsid w:val="0034007A"/>
    <w:rsid w:val="003415FB"/>
    <w:rsid w:val="00341B06"/>
    <w:rsid w:val="003427CE"/>
    <w:rsid w:val="00342A05"/>
    <w:rsid w:val="003438C5"/>
    <w:rsid w:val="0034430C"/>
    <w:rsid w:val="0034540D"/>
    <w:rsid w:val="00345425"/>
    <w:rsid w:val="003459EC"/>
    <w:rsid w:val="003459FB"/>
    <w:rsid w:val="00345A92"/>
    <w:rsid w:val="00345B36"/>
    <w:rsid w:val="00345C9D"/>
    <w:rsid w:val="00346C7F"/>
    <w:rsid w:val="00347F58"/>
    <w:rsid w:val="0035061B"/>
    <w:rsid w:val="00350B66"/>
    <w:rsid w:val="00351325"/>
    <w:rsid w:val="003517A7"/>
    <w:rsid w:val="003519FC"/>
    <w:rsid w:val="00351ABD"/>
    <w:rsid w:val="00351B6D"/>
    <w:rsid w:val="0035207E"/>
    <w:rsid w:val="00352227"/>
    <w:rsid w:val="00352FFE"/>
    <w:rsid w:val="003532A4"/>
    <w:rsid w:val="0035393F"/>
    <w:rsid w:val="00354A0B"/>
    <w:rsid w:val="003562AD"/>
    <w:rsid w:val="003567A8"/>
    <w:rsid w:val="00356ABF"/>
    <w:rsid w:val="0035727A"/>
    <w:rsid w:val="0035755E"/>
    <w:rsid w:val="0035763A"/>
    <w:rsid w:val="00360269"/>
    <w:rsid w:val="003609B0"/>
    <w:rsid w:val="00361A1C"/>
    <w:rsid w:val="00361BD4"/>
    <w:rsid w:val="00361ECB"/>
    <w:rsid w:val="00362D45"/>
    <w:rsid w:val="003633A6"/>
    <w:rsid w:val="003633B2"/>
    <w:rsid w:val="00364211"/>
    <w:rsid w:val="003643FA"/>
    <w:rsid w:val="0036471C"/>
    <w:rsid w:val="00364930"/>
    <w:rsid w:val="00364F37"/>
    <w:rsid w:val="00365F8F"/>
    <w:rsid w:val="003663BA"/>
    <w:rsid w:val="0036670A"/>
    <w:rsid w:val="0036697B"/>
    <w:rsid w:val="00366FB5"/>
    <w:rsid w:val="0036704D"/>
    <w:rsid w:val="0036773B"/>
    <w:rsid w:val="0036786C"/>
    <w:rsid w:val="00367967"/>
    <w:rsid w:val="00367B85"/>
    <w:rsid w:val="00367D3C"/>
    <w:rsid w:val="0037014F"/>
    <w:rsid w:val="003705BB"/>
    <w:rsid w:val="003707EA"/>
    <w:rsid w:val="003716D7"/>
    <w:rsid w:val="00371ECF"/>
    <w:rsid w:val="0037216C"/>
    <w:rsid w:val="003738FE"/>
    <w:rsid w:val="00373AE1"/>
    <w:rsid w:val="00373B2B"/>
    <w:rsid w:val="00374032"/>
    <w:rsid w:val="003742B1"/>
    <w:rsid w:val="00374442"/>
    <w:rsid w:val="0037539B"/>
    <w:rsid w:val="0037551B"/>
    <w:rsid w:val="003765A4"/>
    <w:rsid w:val="00376C34"/>
    <w:rsid w:val="0037702D"/>
    <w:rsid w:val="003771CF"/>
    <w:rsid w:val="003775A5"/>
    <w:rsid w:val="00377899"/>
    <w:rsid w:val="003807ED"/>
    <w:rsid w:val="0038094A"/>
    <w:rsid w:val="00380B2F"/>
    <w:rsid w:val="0038151F"/>
    <w:rsid w:val="00381BA0"/>
    <w:rsid w:val="00381BE5"/>
    <w:rsid w:val="00381C6E"/>
    <w:rsid w:val="00381D32"/>
    <w:rsid w:val="0038201D"/>
    <w:rsid w:val="003820A8"/>
    <w:rsid w:val="0038245A"/>
    <w:rsid w:val="0038256C"/>
    <w:rsid w:val="003828D1"/>
    <w:rsid w:val="003848DB"/>
    <w:rsid w:val="00384A58"/>
    <w:rsid w:val="00384B85"/>
    <w:rsid w:val="00384F72"/>
    <w:rsid w:val="00385260"/>
    <w:rsid w:val="00385867"/>
    <w:rsid w:val="0038590B"/>
    <w:rsid w:val="003863E1"/>
    <w:rsid w:val="00386898"/>
    <w:rsid w:val="00386DB1"/>
    <w:rsid w:val="00386FAF"/>
    <w:rsid w:val="00387A1C"/>
    <w:rsid w:val="0039034D"/>
    <w:rsid w:val="00390367"/>
    <w:rsid w:val="00390A6A"/>
    <w:rsid w:val="00390FC2"/>
    <w:rsid w:val="00391249"/>
    <w:rsid w:val="0039147D"/>
    <w:rsid w:val="00391FF7"/>
    <w:rsid w:val="0039204A"/>
    <w:rsid w:val="0039207E"/>
    <w:rsid w:val="003920A4"/>
    <w:rsid w:val="00392115"/>
    <w:rsid w:val="0039256F"/>
    <w:rsid w:val="00392610"/>
    <w:rsid w:val="0039279C"/>
    <w:rsid w:val="003927BF"/>
    <w:rsid w:val="00392DBA"/>
    <w:rsid w:val="00392E22"/>
    <w:rsid w:val="00393399"/>
    <w:rsid w:val="00393417"/>
    <w:rsid w:val="003937E6"/>
    <w:rsid w:val="00393F51"/>
    <w:rsid w:val="00394469"/>
    <w:rsid w:val="00395997"/>
    <w:rsid w:val="003961F2"/>
    <w:rsid w:val="00396C09"/>
    <w:rsid w:val="0039730F"/>
    <w:rsid w:val="00397538"/>
    <w:rsid w:val="003976D5"/>
    <w:rsid w:val="003A011C"/>
    <w:rsid w:val="003A0FA1"/>
    <w:rsid w:val="003A0FC7"/>
    <w:rsid w:val="003A1B83"/>
    <w:rsid w:val="003A1F70"/>
    <w:rsid w:val="003A2A7A"/>
    <w:rsid w:val="003A3819"/>
    <w:rsid w:val="003A390C"/>
    <w:rsid w:val="003A39C4"/>
    <w:rsid w:val="003A435D"/>
    <w:rsid w:val="003A4598"/>
    <w:rsid w:val="003A4E02"/>
    <w:rsid w:val="003A5747"/>
    <w:rsid w:val="003A580E"/>
    <w:rsid w:val="003A5847"/>
    <w:rsid w:val="003A68D2"/>
    <w:rsid w:val="003A74EC"/>
    <w:rsid w:val="003B2072"/>
    <w:rsid w:val="003B25C8"/>
    <w:rsid w:val="003B299C"/>
    <w:rsid w:val="003B2BEA"/>
    <w:rsid w:val="003B2BF6"/>
    <w:rsid w:val="003B3624"/>
    <w:rsid w:val="003B36C2"/>
    <w:rsid w:val="003B37F6"/>
    <w:rsid w:val="003B3FC9"/>
    <w:rsid w:val="003B4776"/>
    <w:rsid w:val="003B4DD3"/>
    <w:rsid w:val="003B5316"/>
    <w:rsid w:val="003B54F1"/>
    <w:rsid w:val="003B6058"/>
    <w:rsid w:val="003B61D7"/>
    <w:rsid w:val="003B71DE"/>
    <w:rsid w:val="003B786B"/>
    <w:rsid w:val="003B7AAD"/>
    <w:rsid w:val="003B7B10"/>
    <w:rsid w:val="003C01AB"/>
    <w:rsid w:val="003C0732"/>
    <w:rsid w:val="003C0B80"/>
    <w:rsid w:val="003C0FB1"/>
    <w:rsid w:val="003C103A"/>
    <w:rsid w:val="003C28E8"/>
    <w:rsid w:val="003C297E"/>
    <w:rsid w:val="003C2D75"/>
    <w:rsid w:val="003C31BD"/>
    <w:rsid w:val="003C3322"/>
    <w:rsid w:val="003C345C"/>
    <w:rsid w:val="003C3739"/>
    <w:rsid w:val="003C38B4"/>
    <w:rsid w:val="003C3B73"/>
    <w:rsid w:val="003C4329"/>
    <w:rsid w:val="003C44D8"/>
    <w:rsid w:val="003C47BE"/>
    <w:rsid w:val="003C5400"/>
    <w:rsid w:val="003C55A2"/>
    <w:rsid w:val="003C5989"/>
    <w:rsid w:val="003C637E"/>
    <w:rsid w:val="003C68C2"/>
    <w:rsid w:val="003C7DB1"/>
    <w:rsid w:val="003D102C"/>
    <w:rsid w:val="003D2102"/>
    <w:rsid w:val="003D23F7"/>
    <w:rsid w:val="003D246C"/>
    <w:rsid w:val="003D2CA4"/>
    <w:rsid w:val="003D2CEE"/>
    <w:rsid w:val="003D33D3"/>
    <w:rsid w:val="003D34BC"/>
    <w:rsid w:val="003D3C22"/>
    <w:rsid w:val="003D417E"/>
    <w:rsid w:val="003D42F7"/>
    <w:rsid w:val="003D44E5"/>
    <w:rsid w:val="003D4548"/>
    <w:rsid w:val="003D495A"/>
    <w:rsid w:val="003D4CAE"/>
    <w:rsid w:val="003D4CFF"/>
    <w:rsid w:val="003D5045"/>
    <w:rsid w:val="003D520F"/>
    <w:rsid w:val="003D5969"/>
    <w:rsid w:val="003D6291"/>
    <w:rsid w:val="003D6491"/>
    <w:rsid w:val="003D7354"/>
    <w:rsid w:val="003D75A8"/>
    <w:rsid w:val="003D7873"/>
    <w:rsid w:val="003D791C"/>
    <w:rsid w:val="003E0679"/>
    <w:rsid w:val="003E129A"/>
    <w:rsid w:val="003E1418"/>
    <w:rsid w:val="003E149A"/>
    <w:rsid w:val="003E1697"/>
    <w:rsid w:val="003E2013"/>
    <w:rsid w:val="003E203A"/>
    <w:rsid w:val="003E24F2"/>
    <w:rsid w:val="003E2C0C"/>
    <w:rsid w:val="003E2E41"/>
    <w:rsid w:val="003E30B5"/>
    <w:rsid w:val="003E39D9"/>
    <w:rsid w:val="003E3FF0"/>
    <w:rsid w:val="003E4023"/>
    <w:rsid w:val="003E482F"/>
    <w:rsid w:val="003E4A88"/>
    <w:rsid w:val="003E50AF"/>
    <w:rsid w:val="003E58BD"/>
    <w:rsid w:val="003E5A7E"/>
    <w:rsid w:val="003E6635"/>
    <w:rsid w:val="003E7298"/>
    <w:rsid w:val="003E7859"/>
    <w:rsid w:val="003F0533"/>
    <w:rsid w:val="003F07D4"/>
    <w:rsid w:val="003F0A40"/>
    <w:rsid w:val="003F1E0C"/>
    <w:rsid w:val="003F2060"/>
    <w:rsid w:val="003F26BD"/>
    <w:rsid w:val="003F2FD2"/>
    <w:rsid w:val="003F37E7"/>
    <w:rsid w:val="003F3F66"/>
    <w:rsid w:val="003F47AD"/>
    <w:rsid w:val="003F4EEB"/>
    <w:rsid w:val="003F52AD"/>
    <w:rsid w:val="003F577D"/>
    <w:rsid w:val="003F5DBC"/>
    <w:rsid w:val="003F673C"/>
    <w:rsid w:val="003F72CB"/>
    <w:rsid w:val="003F7ED1"/>
    <w:rsid w:val="004005BC"/>
    <w:rsid w:val="0040087C"/>
    <w:rsid w:val="004009F8"/>
    <w:rsid w:val="0040118A"/>
    <w:rsid w:val="00401291"/>
    <w:rsid w:val="00401F1F"/>
    <w:rsid w:val="00402243"/>
    <w:rsid w:val="00402BAD"/>
    <w:rsid w:val="00403F65"/>
    <w:rsid w:val="0040442D"/>
    <w:rsid w:val="00404C77"/>
    <w:rsid w:val="00404E6B"/>
    <w:rsid w:val="00404FA6"/>
    <w:rsid w:val="00405875"/>
    <w:rsid w:val="00405D46"/>
    <w:rsid w:val="00406A0D"/>
    <w:rsid w:val="00406D9C"/>
    <w:rsid w:val="00406F3B"/>
    <w:rsid w:val="0040713C"/>
    <w:rsid w:val="00410154"/>
    <w:rsid w:val="00410731"/>
    <w:rsid w:val="00411002"/>
    <w:rsid w:val="00411675"/>
    <w:rsid w:val="00411945"/>
    <w:rsid w:val="00412885"/>
    <w:rsid w:val="00412952"/>
    <w:rsid w:val="00412EB9"/>
    <w:rsid w:val="00413552"/>
    <w:rsid w:val="004138F4"/>
    <w:rsid w:val="00413DA5"/>
    <w:rsid w:val="00413F3A"/>
    <w:rsid w:val="00414D9F"/>
    <w:rsid w:val="00414DA8"/>
    <w:rsid w:val="0041586A"/>
    <w:rsid w:val="00415BFE"/>
    <w:rsid w:val="00415E7F"/>
    <w:rsid w:val="0041695B"/>
    <w:rsid w:val="00417394"/>
    <w:rsid w:val="004211F0"/>
    <w:rsid w:val="00421BA0"/>
    <w:rsid w:val="00421EC8"/>
    <w:rsid w:val="0042274C"/>
    <w:rsid w:val="0042282E"/>
    <w:rsid w:val="00422B24"/>
    <w:rsid w:val="00423154"/>
    <w:rsid w:val="004231FE"/>
    <w:rsid w:val="0042322D"/>
    <w:rsid w:val="0042333C"/>
    <w:rsid w:val="00424026"/>
    <w:rsid w:val="00425779"/>
    <w:rsid w:val="004259BE"/>
    <w:rsid w:val="004261D6"/>
    <w:rsid w:val="004266AD"/>
    <w:rsid w:val="0042704D"/>
    <w:rsid w:val="00427A49"/>
    <w:rsid w:val="004302E4"/>
    <w:rsid w:val="004302FE"/>
    <w:rsid w:val="00430D40"/>
    <w:rsid w:val="00431069"/>
    <w:rsid w:val="0043144F"/>
    <w:rsid w:val="004319FA"/>
    <w:rsid w:val="00431A7D"/>
    <w:rsid w:val="00431BB2"/>
    <w:rsid w:val="00431BBE"/>
    <w:rsid w:val="00431BFA"/>
    <w:rsid w:val="00431D63"/>
    <w:rsid w:val="00432675"/>
    <w:rsid w:val="00432765"/>
    <w:rsid w:val="00432E85"/>
    <w:rsid w:val="00433514"/>
    <w:rsid w:val="00433A37"/>
    <w:rsid w:val="00433D31"/>
    <w:rsid w:val="00434E95"/>
    <w:rsid w:val="00435017"/>
    <w:rsid w:val="004353CF"/>
    <w:rsid w:val="00435C66"/>
    <w:rsid w:val="00436319"/>
    <w:rsid w:val="00436A13"/>
    <w:rsid w:val="0043709B"/>
    <w:rsid w:val="00437F00"/>
    <w:rsid w:val="004405AB"/>
    <w:rsid w:val="0044066A"/>
    <w:rsid w:val="00440AB5"/>
    <w:rsid w:val="00441052"/>
    <w:rsid w:val="0044150F"/>
    <w:rsid w:val="00442FA1"/>
    <w:rsid w:val="00443298"/>
    <w:rsid w:val="00443792"/>
    <w:rsid w:val="004442E5"/>
    <w:rsid w:val="0044476D"/>
    <w:rsid w:val="00444997"/>
    <w:rsid w:val="00444F5C"/>
    <w:rsid w:val="004455D9"/>
    <w:rsid w:val="00445788"/>
    <w:rsid w:val="00446752"/>
    <w:rsid w:val="004470DA"/>
    <w:rsid w:val="004472BD"/>
    <w:rsid w:val="00447E2F"/>
    <w:rsid w:val="00450364"/>
    <w:rsid w:val="00450613"/>
    <w:rsid w:val="00450FA6"/>
    <w:rsid w:val="00451029"/>
    <w:rsid w:val="004519E6"/>
    <w:rsid w:val="00451A0A"/>
    <w:rsid w:val="00451AD1"/>
    <w:rsid w:val="00452963"/>
    <w:rsid w:val="00452F35"/>
    <w:rsid w:val="00453CC9"/>
    <w:rsid w:val="00454607"/>
    <w:rsid w:val="00454A3A"/>
    <w:rsid w:val="00454E9D"/>
    <w:rsid w:val="00455031"/>
    <w:rsid w:val="00456381"/>
    <w:rsid w:val="00456457"/>
    <w:rsid w:val="00456577"/>
    <w:rsid w:val="00456A21"/>
    <w:rsid w:val="004605DD"/>
    <w:rsid w:val="0046097C"/>
    <w:rsid w:val="004613CF"/>
    <w:rsid w:val="004615C1"/>
    <w:rsid w:val="004616ED"/>
    <w:rsid w:val="00461728"/>
    <w:rsid w:val="00462E9F"/>
    <w:rsid w:val="004631BC"/>
    <w:rsid w:val="0046357B"/>
    <w:rsid w:val="004639AB"/>
    <w:rsid w:val="00464161"/>
    <w:rsid w:val="00465108"/>
    <w:rsid w:val="0046512C"/>
    <w:rsid w:val="00465203"/>
    <w:rsid w:val="00465795"/>
    <w:rsid w:val="0046585F"/>
    <w:rsid w:val="00465C17"/>
    <w:rsid w:val="0046631C"/>
    <w:rsid w:val="00466A4C"/>
    <w:rsid w:val="00466B6E"/>
    <w:rsid w:val="00466C6A"/>
    <w:rsid w:val="00466FAA"/>
    <w:rsid w:val="00470072"/>
    <w:rsid w:val="004701C1"/>
    <w:rsid w:val="00470C1A"/>
    <w:rsid w:val="004714C6"/>
    <w:rsid w:val="00471C5A"/>
    <w:rsid w:val="00472208"/>
    <w:rsid w:val="0047220F"/>
    <w:rsid w:val="0047235D"/>
    <w:rsid w:val="004724F2"/>
    <w:rsid w:val="004738CA"/>
    <w:rsid w:val="00473A1E"/>
    <w:rsid w:val="00474C28"/>
    <w:rsid w:val="004754C4"/>
    <w:rsid w:val="00475B3A"/>
    <w:rsid w:val="00476541"/>
    <w:rsid w:val="00477032"/>
    <w:rsid w:val="0047707B"/>
    <w:rsid w:val="004770C6"/>
    <w:rsid w:val="004809B8"/>
    <w:rsid w:val="00481754"/>
    <w:rsid w:val="00481A08"/>
    <w:rsid w:val="004820A5"/>
    <w:rsid w:val="004828C6"/>
    <w:rsid w:val="00482B73"/>
    <w:rsid w:val="00482C5D"/>
    <w:rsid w:val="004838C5"/>
    <w:rsid w:val="0048390E"/>
    <w:rsid w:val="00483D0D"/>
    <w:rsid w:val="00483E5C"/>
    <w:rsid w:val="0048417C"/>
    <w:rsid w:val="00484416"/>
    <w:rsid w:val="00484429"/>
    <w:rsid w:val="00484761"/>
    <w:rsid w:val="00484DD5"/>
    <w:rsid w:val="0048570E"/>
    <w:rsid w:val="004861D5"/>
    <w:rsid w:val="00486CED"/>
    <w:rsid w:val="004871BC"/>
    <w:rsid w:val="004871FE"/>
    <w:rsid w:val="00487A97"/>
    <w:rsid w:val="00487D30"/>
    <w:rsid w:val="00490411"/>
    <w:rsid w:val="0049056D"/>
    <w:rsid w:val="004918D7"/>
    <w:rsid w:val="004921D6"/>
    <w:rsid w:val="004922CE"/>
    <w:rsid w:val="0049252A"/>
    <w:rsid w:val="004925A6"/>
    <w:rsid w:val="004926D4"/>
    <w:rsid w:val="00492945"/>
    <w:rsid w:val="00492B10"/>
    <w:rsid w:val="00492E58"/>
    <w:rsid w:val="00492F27"/>
    <w:rsid w:val="0049325A"/>
    <w:rsid w:val="004939A2"/>
    <w:rsid w:val="00493EF2"/>
    <w:rsid w:val="00494FB4"/>
    <w:rsid w:val="00495088"/>
    <w:rsid w:val="00495103"/>
    <w:rsid w:val="0049513A"/>
    <w:rsid w:val="004954AE"/>
    <w:rsid w:val="00495F52"/>
    <w:rsid w:val="00495FA0"/>
    <w:rsid w:val="00496D2E"/>
    <w:rsid w:val="00496EB2"/>
    <w:rsid w:val="0049720B"/>
    <w:rsid w:val="004972AF"/>
    <w:rsid w:val="004972B8"/>
    <w:rsid w:val="00497E1C"/>
    <w:rsid w:val="00497F16"/>
    <w:rsid w:val="004A0E8B"/>
    <w:rsid w:val="004A0F46"/>
    <w:rsid w:val="004A11F9"/>
    <w:rsid w:val="004A1646"/>
    <w:rsid w:val="004A1A12"/>
    <w:rsid w:val="004A2097"/>
    <w:rsid w:val="004A2124"/>
    <w:rsid w:val="004A2606"/>
    <w:rsid w:val="004A2805"/>
    <w:rsid w:val="004A2B8B"/>
    <w:rsid w:val="004A2EAF"/>
    <w:rsid w:val="004A3254"/>
    <w:rsid w:val="004A351D"/>
    <w:rsid w:val="004A3A18"/>
    <w:rsid w:val="004A3CF4"/>
    <w:rsid w:val="004A3D64"/>
    <w:rsid w:val="004A4458"/>
    <w:rsid w:val="004A49BA"/>
    <w:rsid w:val="004A4B67"/>
    <w:rsid w:val="004A4EC3"/>
    <w:rsid w:val="004A5739"/>
    <w:rsid w:val="004A5B55"/>
    <w:rsid w:val="004A6B31"/>
    <w:rsid w:val="004A732B"/>
    <w:rsid w:val="004A7B06"/>
    <w:rsid w:val="004A7C68"/>
    <w:rsid w:val="004A7CB4"/>
    <w:rsid w:val="004B0460"/>
    <w:rsid w:val="004B079F"/>
    <w:rsid w:val="004B0F22"/>
    <w:rsid w:val="004B3ACF"/>
    <w:rsid w:val="004B4086"/>
    <w:rsid w:val="004B42AD"/>
    <w:rsid w:val="004B47A7"/>
    <w:rsid w:val="004B483F"/>
    <w:rsid w:val="004B497B"/>
    <w:rsid w:val="004B4F6E"/>
    <w:rsid w:val="004B566D"/>
    <w:rsid w:val="004B5F15"/>
    <w:rsid w:val="004B609D"/>
    <w:rsid w:val="004B6385"/>
    <w:rsid w:val="004B664B"/>
    <w:rsid w:val="004B6A30"/>
    <w:rsid w:val="004B73A1"/>
    <w:rsid w:val="004B7625"/>
    <w:rsid w:val="004B776D"/>
    <w:rsid w:val="004B79D6"/>
    <w:rsid w:val="004B7C73"/>
    <w:rsid w:val="004C173A"/>
    <w:rsid w:val="004C1E16"/>
    <w:rsid w:val="004C2543"/>
    <w:rsid w:val="004C2CEB"/>
    <w:rsid w:val="004C3647"/>
    <w:rsid w:val="004C498A"/>
    <w:rsid w:val="004C4C3D"/>
    <w:rsid w:val="004C523F"/>
    <w:rsid w:val="004C55EC"/>
    <w:rsid w:val="004C586C"/>
    <w:rsid w:val="004C627A"/>
    <w:rsid w:val="004C68AB"/>
    <w:rsid w:val="004C6F09"/>
    <w:rsid w:val="004C71A6"/>
    <w:rsid w:val="004C7D36"/>
    <w:rsid w:val="004D064B"/>
    <w:rsid w:val="004D0FE6"/>
    <w:rsid w:val="004D129A"/>
    <w:rsid w:val="004D15CA"/>
    <w:rsid w:val="004D262F"/>
    <w:rsid w:val="004D2786"/>
    <w:rsid w:val="004D2F97"/>
    <w:rsid w:val="004D3B67"/>
    <w:rsid w:val="004D41F6"/>
    <w:rsid w:val="004D437A"/>
    <w:rsid w:val="004D48D7"/>
    <w:rsid w:val="004D7589"/>
    <w:rsid w:val="004D7597"/>
    <w:rsid w:val="004D768B"/>
    <w:rsid w:val="004E0022"/>
    <w:rsid w:val="004E0B62"/>
    <w:rsid w:val="004E10D5"/>
    <w:rsid w:val="004E1107"/>
    <w:rsid w:val="004E137B"/>
    <w:rsid w:val="004E1B2F"/>
    <w:rsid w:val="004E1F55"/>
    <w:rsid w:val="004E281F"/>
    <w:rsid w:val="004E2BB1"/>
    <w:rsid w:val="004E32AC"/>
    <w:rsid w:val="004E334E"/>
    <w:rsid w:val="004E3462"/>
    <w:rsid w:val="004E3990"/>
    <w:rsid w:val="004E3E4C"/>
    <w:rsid w:val="004E4427"/>
    <w:rsid w:val="004E4C7B"/>
    <w:rsid w:val="004E4F5D"/>
    <w:rsid w:val="004E5199"/>
    <w:rsid w:val="004E56FE"/>
    <w:rsid w:val="004E58EB"/>
    <w:rsid w:val="004E59DB"/>
    <w:rsid w:val="004E5BE2"/>
    <w:rsid w:val="004E60DE"/>
    <w:rsid w:val="004E619B"/>
    <w:rsid w:val="004E62A3"/>
    <w:rsid w:val="004E6661"/>
    <w:rsid w:val="004E783A"/>
    <w:rsid w:val="004F0810"/>
    <w:rsid w:val="004F0F95"/>
    <w:rsid w:val="004F14D1"/>
    <w:rsid w:val="004F15F6"/>
    <w:rsid w:val="004F23A0"/>
    <w:rsid w:val="004F2664"/>
    <w:rsid w:val="004F34D6"/>
    <w:rsid w:val="004F3EE4"/>
    <w:rsid w:val="004F3F71"/>
    <w:rsid w:val="004F45E9"/>
    <w:rsid w:val="004F4FAD"/>
    <w:rsid w:val="004F52E3"/>
    <w:rsid w:val="004F5449"/>
    <w:rsid w:val="004F5D15"/>
    <w:rsid w:val="004F61A1"/>
    <w:rsid w:val="004F6289"/>
    <w:rsid w:val="004F64FF"/>
    <w:rsid w:val="004F669E"/>
    <w:rsid w:val="004F6AA5"/>
    <w:rsid w:val="004F7333"/>
    <w:rsid w:val="004F73CF"/>
    <w:rsid w:val="004F77D8"/>
    <w:rsid w:val="004F7865"/>
    <w:rsid w:val="004F7D09"/>
    <w:rsid w:val="005003E3"/>
    <w:rsid w:val="005008BB"/>
    <w:rsid w:val="005009AE"/>
    <w:rsid w:val="00501B52"/>
    <w:rsid w:val="00501C84"/>
    <w:rsid w:val="005028A5"/>
    <w:rsid w:val="00502CE9"/>
    <w:rsid w:val="005033E9"/>
    <w:rsid w:val="005035FC"/>
    <w:rsid w:val="0050397A"/>
    <w:rsid w:val="00504453"/>
    <w:rsid w:val="005052CD"/>
    <w:rsid w:val="00505CD2"/>
    <w:rsid w:val="00507400"/>
    <w:rsid w:val="005077D5"/>
    <w:rsid w:val="00507C84"/>
    <w:rsid w:val="00507FC5"/>
    <w:rsid w:val="005103B2"/>
    <w:rsid w:val="005122D5"/>
    <w:rsid w:val="00512674"/>
    <w:rsid w:val="00512727"/>
    <w:rsid w:val="00513474"/>
    <w:rsid w:val="00514261"/>
    <w:rsid w:val="00514651"/>
    <w:rsid w:val="005146C4"/>
    <w:rsid w:val="0051548C"/>
    <w:rsid w:val="0051570D"/>
    <w:rsid w:val="005162A1"/>
    <w:rsid w:val="00516958"/>
    <w:rsid w:val="00517557"/>
    <w:rsid w:val="00517617"/>
    <w:rsid w:val="00517696"/>
    <w:rsid w:val="005220F7"/>
    <w:rsid w:val="00522584"/>
    <w:rsid w:val="00522764"/>
    <w:rsid w:val="00522DE1"/>
    <w:rsid w:val="00522E5C"/>
    <w:rsid w:val="005238E5"/>
    <w:rsid w:val="00524267"/>
    <w:rsid w:val="0052458F"/>
    <w:rsid w:val="00524BA9"/>
    <w:rsid w:val="00524F09"/>
    <w:rsid w:val="0052530E"/>
    <w:rsid w:val="005260C3"/>
    <w:rsid w:val="00527D25"/>
    <w:rsid w:val="005300BA"/>
    <w:rsid w:val="005309DC"/>
    <w:rsid w:val="005309E0"/>
    <w:rsid w:val="005309FE"/>
    <w:rsid w:val="00530F7A"/>
    <w:rsid w:val="00531BC8"/>
    <w:rsid w:val="00531FDD"/>
    <w:rsid w:val="005325B1"/>
    <w:rsid w:val="00532CED"/>
    <w:rsid w:val="00532D3B"/>
    <w:rsid w:val="00533308"/>
    <w:rsid w:val="0053341C"/>
    <w:rsid w:val="005348A3"/>
    <w:rsid w:val="00534EBE"/>
    <w:rsid w:val="00535927"/>
    <w:rsid w:val="00535BF1"/>
    <w:rsid w:val="00536246"/>
    <w:rsid w:val="00536AAD"/>
    <w:rsid w:val="00536DF4"/>
    <w:rsid w:val="005371CA"/>
    <w:rsid w:val="005377FC"/>
    <w:rsid w:val="005377FF"/>
    <w:rsid w:val="00537880"/>
    <w:rsid w:val="00537950"/>
    <w:rsid w:val="00537A76"/>
    <w:rsid w:val="00537E10"/>
    <w:rsid w:val="00540537"/>
    <w:rsid w:val="00541038"/>
    <w:rsid w:val="00541106"/>
    <w:rsid w:val="005412BC"/>
    <w:rsid w:val="00542C99"/>
    <w:rsid w:val="00542DE4"/>
    <w:rsid w:val="00542F14"/>
    <w:rsid w:val="0054336C"/>
    <w:rsid w:val="0054377E"/>
    <w:rsid w:val="005455C0"/>
    <w:rsid w:val="0054569C"/>
    <w:rsid w:val="00545C6A"/>
    <w:rsid w:val="005460CF"/>
    <w:rsid w:val="00546885"/>
    <w:rsid w:val="00546C63"/>
    <w:rsid w:val="00546CE3"/>
    <w:rsid w:val="00546FD5"/>
    <w:rsid w:val="00547F57"/>
    <w:rsid w:val="00550A26"/>
    <w:rsid w:val="00550BF5"/>
    <w:rsid w:val="005510BA"/>
    <w:rsid w:val="005516F0"/>
    <w:rsid w:val="00551805"/>
    <w:rsid w:val="00551E39"/>
    <w:rsid w:val="0055216B"/>
    <w:rsid w:val="0055279B"/>
    <w:rsid w:val="00552896"/>
    <w:rsid w:val="005529DF"/>
    <w:rsid w:val="005533B0"/>
    <w:rsid w:val="00553713"/>
    <w:rsid w:val="00554F03"/>
    <w:rsid w:val="00555DEA"/>
    <w:rsid w:val="00557418"/>
    <w:rsid w:val="0055784B"/>
    <w:rsid w:val="00557C04"/>
    <w:rsid w:val="00557CA6"/>
    <w:rsid w:val="00557CB6"/>
    <w:rsid w:val="00560312"/>
    <w:rsid w:val="0056080E"/>
    <w:rsid w:val="00560A27"/>
    <w:rsid w:val="00560C00"/>
    <w:rsid w:val="00560CA1"/>
    <w:rsid w:val="00562DEB"/>
    <w:rsid w:val="00563352"/>
    <w:rsid w:val="00563CAE"/>
    <w:rsid w:val="00563E6E"/>
    <w:rsid w:val="0056408D"/>
    <w:rsid w:val="005640BA"/>
    <w:rsid w:val="00564276"/>
    <w:rsid w:val="00564310"/>
    <w:rsid w:val="005645AF"/>
    <w:rsid w:val="00564BEA"/>
    <w:rsid w:val="00564D15"/>
    <w:rsid w:val="00564F38"/>
    <w:rsid w:val="00566CB3"/>
    <w:rsid w:val="00567A70"/>
    <w:rsid w:val="005708E0"/>
    <w:rsid w:val="00570C1C"/>
    <w:rsid w:val="00571852"/>
    <w:rsid w:val="00571F09"/>
    <w:rsid w:val="005731FC"/>
    <w:rsid w:val="0057324C"/>
    <w:rsid w:val="00574382"/>
    <w:rsid w:val="0057492C"/>
    <w:rsid w:val="00575840"/>
    <w:rsid w:val="00575F3E"/>
    <w:rsid w:val="005760EB"/>
    <w:rsid w:val="00577035"/>
    <w:rsid w:val="0057718B"/>
    <w:rsid w:val="00577590"/>
    <w:rsid w:val="005811C3"/>
    <w:rsid w:val="00581E57"/>
    <w:rsid w:val="005825C8"/>
    <w:rsid w:val="00582C0A"/>
    <w:rsid w:val="00582F1A"/>
    <w:rsid w:val="0058304F"/>
    <w:rsid w:val="00583842"/>
    <w:rsid w:val="00583972"/>
    <w:rsid w:val="00583C62"/>
    <w:rsid w:val="005846DF"/>
    <w:rsid w:val="00584F41"/>
    <w:rsid w:val="005852C9"/>
    <w:rsid w:val="00585340"/>
    <w:rsid w:val="0058535F"/>
    <w:rsid w:val="00585829"/>
    <w:rsid w:val="00585C85"/>
    <w:rsid w:val="00586270"/>
    <w:rsid w:val="00586766"/>
    <w:rsid w:val="005868C2"/>
    <w:rsid w:val="00586B53"/>
    <w:rsid w:val="00586DEE"/>
    <w:rsid w:val="005876A6"/>
    <w:rsid w:val="00587884"/>
    <w:rsid w:val="0059029F"/>
    <w:rsid w:val="00590411"/>
    <w:rsid w:val="00590966"/>
    <w:rsid w:val="00590BA5"/>
    <w:rsid w:val="00590E51"/>
    <w:rsid w:val="005917FC"/>
    <w:rsid w:val="00591ADB"/>
    <w:rsid w:val="00591C15"/>
    <w:rsid w:val="00591FCD"/>
    <w:rsid w:val="00592466"/>
    <w:rsid w:val="00592E70"/>
    <w:rsid w:val="00593089"/>
    <w:rsid w:val="005932A6"/>
    <w:rsid w:val="00593A82"/>
    <w:rsid w:val="00593D3B"/>
    <w:rsid w:val="0059427E"/>
    <w:rsid w:val="00594AD1"/>
    <w:rsid w:val="005955DB"/>
    <w:rsid w:val="00595773"/>
    <w:rsid w:val="00595AF0"/>
    <w:rsid w:val="005960B9"/>
    <w:rsid w:val="005960E2"/>
    <w:rsid w:val="0059611B"/>
    <w:rsid w:val="0059623A"/>
    <w:rsid w:val="00596CB1"/>
    <w:rsid w:val="0059701E"/>
    <w:rsid w:val="005A0C28"/>
    <w:rsid w:val="005A165B"/>
    <w:rsid w:val="005A20C3"/>
    <w:rsid w:val="005A24C7"/>
    <w:rsid w:val="005A2A15"/>
    <w:rsid w:val="005A3325"/>
    <w:rsid w:val="005A3E40"/>
    <w:rsid w:val="005A3FB1"/>
    <w:rsid w:val="005A4140"/>
    <w:rsid w:val="005A5390"/>
    <w:rsid w:val="005A53EA"/>
    <w:rsid w:val="005A5760"/>
    <w:rsid w:val="005A57F6"/>
    <w:rsid w:val="005A5F0B"/>
    <w:rsid w:val="005A63D0"/>
    <w:rsid w:val="005A6560"/>
    <w:rsid w:val="005A7089"/>
    <w:rsid w:val="005B074A"/>
    <w:rsid w:val="005B0818"/>
    <w:rsid w:val="005B0C9A"/>
    <w:rsid w:val="005B0CF1"/>
    <w:rsid w:val="005B0ECE"/>
    <w:rsid w:val="005B106E"/>
    <w:rsid w:val="005B1291"/>
    <w:rsid w:val="005B1845"/>
    <w:rsid w:val="005B1A8C"/>
    <w:rsid w:val="005B2C34"/>
    <w:rsid w:val="005B2E3D"/>
    <w:rsid w:val="005B3303"/>
    <w:rsid w:val="005B3404"/>
    <w:rsid w:val="005B492F"/>
    <w:rsid w:val="005B4B06"/>
    <w:rsid w:val="005B5239"/>
    <w:rsid w:val="005B5755"/>
    <w:rsid w:val="005B6732"/>
    <w:rsid w:val="005B6FD0"/>
    <w:rsid w:val="005B7334"/>
    <w:rsid w:val="005B7BDD"/>
    <w:rsid w:val="005B7CA8"/>
    <w:rsid w:val="005C026F"/>
    <w:rsid w:val="005C05CB"/>
    <w:rsid w:val="005C07A6"/>
    <w:rsid w:val="005C0C6D"/>
    <w:rsid w:val="005C0D6D"/>
    <w:rsid w:val="005C119F"/>
    <w:rsid w:val="005C1AEC"/>
    <w:rsid w:val="005C1E56"/>
    <w:rsid w:val="005C1F08"/>
    <w:rsid w:val="005C1F21"/>
    <w:rsid w:val="005C28C3"/>
    <w:rsid w:val="005C2A33"/>
    <w:rsid w:val="005C2F1B"/>
    <w:rsid w:val="005C3311"/>
    <w:rsid w:val="005C36D6"/>
    <w:rsid w:val="005C37BF"/>
    <w:rsid w:val="005C3DBE"/>
    <w:rsid w:val="005C4F23"/>
    <w:rsid w:val="005C6440"/>
    <w:rsid w:val="005C70F1"/>
    <w:rsid w:val="005C7184"/>
    <w:rsid w:val="005C718A"/>
    <w:rsid w:val="005C79A0"/>
    <w:rsid w:val="005D093B"/>
    <w:rsid w:val="005D137E"/>
    <w:rsid w:val="005D1B15"/>
    <w:rsid w:val="005D2824"/>
    <w:rsid w:val="005D28EF"/>
    <w:rsid w:val="005D2C73"/>
    <w:rsid w:val="005D3DC5"/>
    <w:rsid w:val="005D45C6"/>
    <w:rsid w:val="005D4643"/>
    <w:rsid w:val="005D4F1A"/>
    <w:rsid w:val="005D4F5F"/>
    <w:rsid w:val="005D4FE9"/>
    <w:rsid w:val="005D56C8"/>
    <w:rsid w:val="005D572A"/>
    <w:rsid w:val="005D5DC0"/>
    <w:rsid w:val="005D6763"/>
    <w:rsid w:val="005D6B05"/>
    <w:rsid w:val="005D6DB7"/>
    <w:rsid w:val="005D72BB"/>
    <w:rsid w:val="005D759C"/>
    <w:rsid w:val="005D78F7"/>
    <w:rsid w:val="005D7B21"/>
    <w:rsid w:val="005D7CDC"/>
    <w:rsid w:val="005D7E10"/>
    <w:rsid w:val="005E0404"/>
    <w:rsid w:val="005E0426"/>
    <w:rsid w:val="005E04AC"/>
    <w:rsid w:val="005E0C98"/>
    <w:rsid w:val="005E12A6"/>
    <w:rsid w:val="005E13AE"/>
    <w:rsid w:val="005E23E2"/>
    <w:rsid w:val="005E2C5D"/>
    <w:rsid w:val="005E3159"/>
    <w:rsid w:val="005E3227"/>
    <w:rsid w:val="005E366C"/>
    <w:rsid w:val="005E374B"/>
    <w:rsid w:val="005E382B"/>
    <w:rsid w:val="005E3F2C"/>
    <w:rsid w:val="005E405A"/>
    <w:rsid w:val="005E4EFB"/>
    <w:rsid w:val="005E6087"/>
    <w:rsid w:val="005E6532"/>
    <w:rsid w:val="005E6676"/>
    <w:rsid w:val="005E692F"/>
    <w:rsid w:val="005E70FC"/>
    <w:rsid w:val="005F07DB"/>
    <w:rsid w:val="005F0D55"/>
    <w:rsid w:val="005F13FC"/>
    <w:rsid w:val="005F1C62"/>
    <w:rsid w:val="005F22E5"/>
    <w:rsid w:val="005F2702"/>
    <w:rsid w:val="005F2939"/>
    <w:rsid w:val="005F2AF5"/>
    <w:rsid w:val="005F387B"/>
    <w:rsid w:val="005F436B"/>
    <w:rsid w:val="005F4B46"/>
    <w:rsid w:val="005F4E8A"/>
    <w:rsid w:val="005F569F"/>
    <w:rsid w:val="005F5C06"/>
    <w:rsid w:val="005F5CA5"/>
    <w:rsid w:val="005F5DFD"/>
    <w:rsid w:val="005F632E"/>
    <w:rsid w:val="005F64D4"/>
    <w:rsid w:val="005F66D2"/>
    <w:rsid w:val="005F6DD5"/>
    <w:rsid w:val="005F6F9A"/>
    <w:rsid w:val="005F79A7"/>
    <w:rsid w:val="005F7B89"/>
    <w:rsid w:val="005F7BB3"/>
    <w:rsid w:val="00600285"/>
    <w:rsid w:val="006003FD"/>
    <w:rsid w:val="00600ED8"/>
    <w:rsid w:val="006014BD"/>
    <w:rsid w:val="00601B1B"/>
    <w:rsid w:val="00601DB5"/>
    <w:rsid w:val="006020F0"/>
    <w:rsid w:val="00602261"/>
    <w:rsid w:val="006024A9"/>
    <w:rsid w:val="0060255C"/>
    <w:rsid w:val="006029D4"/>
    <w:rsid w:val="00602E51"/>
    <w:rsid w:val="006038F9"/>
    <w:rsid w:val="00603F3F"/>
    <w:rsid w:val="00604A2E"/>
    <w:rsid w:val="00604C1E"/>
    <w:rsid w:val="00604C77"/>
    <w:rsid w:val="00605191"/>
    <w:rsid w:val="0060525C"/>
    <w:rsid w:val="00605CE6"/>
    <w:rsid w:val="00606345"/>
    <w:rsid w:val="00606B46"/>
    <w:rsid w:val="00606E64"/>
    <w:rsid w:val="00607CAF"/>
    <w:rsid w:val="00607EA2"/>
    <w:rsid w:val="00610160"/>
    <w:rsid w:val="00610835"/>
    <w:rsid w:val="00611184"/>
    <w:rsid w:val="0061203E"/>
    <w:rsid w:val="00613939"/>
    <w:rsid w:val="006151A8"/>
    <w:rsid w:val="00615751"/>
    <w:rsid w:val="0061627D"/>
    <w:rsid w:val="006167FA"/>
    <w:rsid w:val="006168BF"/>
    <w:rsid w:val="006169CE"/>
    <w:rsid w:val="0061748A"/>
    <w:rsid w:val="00617C5C"/>
    <w:rsid w:val="006202E2"/>
    <w:rsid w:val="006205B1"/>
    <w:rsid w:val="0062114B"/>
    <w:rsid w:val="0062119C"/>
    <w:rsid w:val="00621A22"/>
    <w:rsid w:val="00622FBE"/>
    <w:rsid w:val="006230A4"/>
    <w:rsid w:val="006232A3"/>
    <w:rsid w:val="00623698"/>
    <w:rsid w:val="006247B1"/>
    <w:rsid w:val="006249FD"/>
    <w:rsid w:val="00624A86"/>
    <w:rsid w:val="00625294"/>
    <w:rsid w:val="006252D9"/>
    <w:rsid w:val="00625A70"/>
    <w:rsid w:val="00625D11"/>
    <w:rsid w:val="00625E96"/>
    <w:rsid w:val="00626058"/>
    <w:rsid w:val="0062627E"/>
    <w:rsid w:val="00626696"/>
    <w:rsid w:val="00626892"/>
    <w:rsid w:val="00627A89"/>
    <w:rsid w:val="00627B24"/>
    <w:rsid w:val="00627FDE"/>
    <w:rsid w:val="00630092"/>
    <w:rsid w:val="00630567"/>
    <w:rsid w:val="00630F5E"/>
    <w:rsid w:val="00631729"/>
    <w:rsid w:val="00631C59"/>
    <w:rsid w:val="00631C6F"/>
    <w:rsid w:val="00631FB0"/>
    <w:rsid w:val="00632BFF"/>
    <w:rsid w:val="00632CEE"/>
    <w:rsid w:val="00632F86"/>
    <w:rsid w:val="006333A8"/>
    <w:rsid w:val="006337ED"/>
    <w:rsid w:val="00633BA4"/>
    <w:rsid w:val="00633C1C"/>
    <w:rsid w:val="00633C46"/>
    <w:rsid w:val="006347F1"/>
    <w:rsid w:val="00634BAA"/>
    <w:rsid w:val="00634FF1"/>
    <w:rsid w:val="006352E5"/>
    <w:rsid w:val="0063611B"/>
    <w:rsid w:val="006364DF"/>
    <w:rsid w:val="0063663C"/>
    <w:rsid w:val="00636ED4"/>
    <w:rsid w:val="00640496"/>
    <w:rsid w:val="00640896"/>
    <w:rsid w:val="00640A59"/>
    <w:rsid w:val="0064198B"/>
    <w:rsid w:val="00641B76"/>
    <w:rsid w:val="00642BE9"/>
    <w:rsid w:val="00642EB7"/>
    <w:rsid w:val="00642F96"/>
    <w:rsid w:val="006432B9"/>
    <w:rsid w:val="006433E4"/>
    <w:rsid w:val="00643E52"/>
    <w:rsid w:val="006444FA"/>
    <w:rsid w:val="0064465B"/>
    <w:rsid w:val="00644692"/>
    <w:rsid w:val="006451FF"/>
    <w:rsid w:val="00645F18"/>
    <w:rsid w:val="006460BC"/>
    <w:rsid w:val="006460F4"/>
    <w:rsid w:val="006461FC"/>
    <w:rsid w:val="006474B6"/>
    <w:rsid w:val="00647AAE"/>
    <w:rsid w:val="00647C09"/>
    <w:rsid w:val="00651023"/>
    <w:rsid w:val="0065113D"/>
    <w:rsid w:val="006512CE"/>
    <w:rsid w:val="00651F2C"/>
    <w:rsid w:val="0065226F"/>
    <w:rsid w:val="006526BF"/>
    <w:rsid w:val="006527B7"/>
    <w:rsid w:val="0065328E"/>
    <w:rsid w:val="00653443"/>
    <w:rsid w:val="0065394E"/>
    <w:rsid w:val="0065405F"/>
    <w:rsid w:val="00655179"/>
    <w:rsid w:val="00655775"/>
    <w:rsid w:val="006558F7"/>
    <w:rsid w:val="00656474"/>
    <w:rsid w:val="00656602"/>
    <w:rsid w:val="006567F4"/>
    <w:rsid w:val="00656862"/>
    <w:rsid w:val="00656A0C"/>
    <w:rsid w:val="00656C9C"/>
    <w:rsid w:val="0065705C"/>
    <w:rsid w:val="0065719C"/>
    <w:rsid w:val="006571B5"/>
    <w:rsid w:val="00657267"/>
    <w:rsid w:val="00657B1C"/>
    <w:rsid w:val="00657B6F"/>
    <w:rsid w:val="00657BF5"/>
    <w:rsid w:val="00657F99"/>
    <w:rsid w:val="006602D4"/>
    <w:rsid w:val="0066034A"/>
    <w:rsid w:val="006608C1"/>
    <w:rsid w:val="00660E9F"/>
    <w:rsid w:val="00661BDE"/>
    <w:rsid w:val="00662183"/>
    <w:rsid w:val="00662488"/>
    <w:rsid w:val="00662526"/>
    <w:rsid w:val="00662547"/>
    <w:rsid w:val="00662760"/>
    <w:rsid w:val="00662A33"/>
    <w:rsid w:val="00662B34"/>
    <w:rsid w:val="00662BE9"/>
    <w:rsid w:val="00662F34"/>
    <w:rsid w:val="0066354D"/>
    <w:rsid w:val="00664498"/>
    <w:rsid w:val="00664683"/>
    <w:rsid w:val="006646F3"/>
    <w:rsid w:val="00664B8F"/>
    <w:rsid w:val="00664C45"/>
    <w:rsid w:val="006650FB"/>
    <w:rsid w:val="006654FC"/>
    <w:rsid w:val="00665557"/>
    <w:rsid w:val="006657B3"/>
    <w:rsid w:val="006659A2"/>
    <w:rsid w:val="00666032"/>
    <w:rsid w:val="006660B2"/>
    <w:rsid w:val="00666F99"/>
    <w:rsid w:val="00667986"/>
    <w:rsid w:val="006700F9"/>
    <w:rsid w:val="0067013D"/>
    <w:rsid w:val="0067055B"/>
    <w:rsid w:val="0067099C"/>
    <w:rsid w:val="00670ADD"/>
    <w:rsid w:val="00670B8A"/>
    <w:rsid w:val="00670D4D"/>
    <w:rsid w:val="00670D79"/>
    <w:rsid w:val="0067167A"/>
    <w:rsid w:val="00672149"/>
    <w:rsid w:val="00672742"/>
    <w:rsid w:val="00673371"/>
    <w:rsid w:val="006733B4"/>
    <w:rsid w:val="00673E16"/>
    <w:rsid w:val="00673FF8"/>
    <w:rsid w:val="00675741"/>
    <w:rsid w:val="00675999"/>
    <w:rsid w:val="0067610E"/>
    <w:rsid w:val="006761C7"/>
    <w:rsid w:val="0067626D"/>
    <w:rsid w:val="00676C3A"/>
    <w:rsid w:val="00676D57"/>
    <w:rsid w:val="00676F57"/>
    <w:rsid w:val="00676F72"/>
    <w:rsid w:val="006772E6"/>
    <w:rsid w:val="00677FD4"/>
    <w:rsid w:val="006800A1"/>
    <w:rsid w:val="006805E4"/>
    <w:rsid w:val="006808A1"/>
    <w:rsid w:val="00680E2F"/>
    <w:rsid w:val="006816F9"/>
    <w:rsid w:val="00681785"/>
    <w:rsid w:val="00681929"/>
    <w:rsid w:val="00682055"/>
    <w:rsid w:val="006822ED"/>
    <w:rsid w:val="00682C1A"/>
    <w:rsid w:val="00683736"/>
    <w:rsid w:val="00683797"/>
    <w:rsid w:val="00683999"/>
    <w:rsid w:val="00683A7F"/>
    <w:rsid w:val="006847BF"/>
    <w:rsid w:val="00684FDC"/>
    <w:rsid w:val="0068502E"/>
    <w:rsid w:val="0068733A"/>
    <w:rsid w:val="006908E9"/>
    <w:rsid w:val="00690BC5"/>
    <w:rsid w:val="00691506"/>
    <w:rsid w:val="00691804"/>
    <w:rsid w:val="00691D69"/>
    <w:rsid w:val="0069209D"/>
    <w:rsid w:val="00692287"/>
    <w:rsid w:val="00692313"/>
    <w:rsid w:val="00692916"/>
    <w:rsid w:val="006933D0"/>
    <w:rsid w:val="006933FB"/>
    <w:rsid w:val="006938E1"/>
    <w:rsid w:val="00693BF0"/>
    <w:rsid w:val="00693D5D"/>
    <w:rsid w:val="00694DC0"/>
    <w:rsid w:val="0069663E"/>
    <w:rsid w:val="0069677F"/>
    <w:rsid w:val="00696925"/>
    <w:rsid w:val="00696F8E"/>
    <w:rsid w:val="006971BD"/>
    <w:rsid w:val="006971BE"/>
    <w:rsid w:val="00697359"/>
    <w:rsid w:val="006973E5"/>
    <w:rsid w:val="00697D2D"/>
    <w:rsid w:val="006A03A7"/>
    <w:rsid w:val="006A0603"/>
    <w:rsid w:val="006A08BD"/>
    <w:rsid w:val="006A0C07"/>
    <w:rsid w:val="006A0D23"/>
    <w:rsid w:val="006A14BC"/>
    <w:rsid w:val="006A181B"/>
    <w:rsid w:val="006A18B8"/>
    <w:rsid w:val="006A1A64"/>
    <w:rsid w:val="006A1BAC"/>
    <w:rsid w:val="006A1C2A"/>
    <w:rsid w:val="006A2D68"/>
    <w:rsid w:val="006A3227"/>
    <w:rsid w:val="006A3C34"/>
    <w:rsid w:val="006A3D41"/>
    <w:rsid w:val="006A3E9F"/>
    <w:rsid w:val="006A4328"/>
    <w:rsid w:val="006A5902"/>
    <w:rsid w:val="006A5CED"/>
    <w:rsid w:val="006A63BB"/>
    <w:rsid w:val="006A6995"/>
    <w:rsid w:val="006A69F6"/>
    <w:rsid w:val="006A6D6F"/>
    <w:rsid w:val="006A77B9"/>
    <w:rsid w:val="006A7BA4"/>
    <w:rsid w:val="006B0617"/>
    <w:rsid w:val="006B0692"/>
    <w:rsid w:val="006B0C7E"/>
    <w:rsid w:val="006B17BC"/>
    <w:rsid w:val="006B19DB"/>
    <w:rsid w:val="006B1EF7"/>
    <w:rsid w:val="006B283B"/>
    <w:rsid w:val="006B2DA6"/>
    <w:rsid w:val="006B2FB1"/>
    <w:rsid w:val="006B3863"/>
    <w:rsid w:val="006B442B"/>
    <w:rsid w:val="006B49E1"/>
    <w:rsid w:val="006B501E"/>
    <w:rsid w:val="006B595D"/>
    <w:rsid w:val="006B6287"/>
    <w:rsid w:val="006B7A21"/>
    <w:rsid w:val="006B7A5D"/>
    <w:rsid w:val="006B7F03"/>
    <w:rsid w:val="006C07A0"/>
    <w:rsid w:val="006C0C83"/>
    <w:rsid w:val="006C0F10"/>
    <w:rsid w:val="006C1709"/>
    <w:rsid w:val="006C1C86"/>
    <w:rsid w:val="006C34A1"/>
    <w:rsid w:val="006C3D08"/>
    <w:rsid w:val="006C3FE4"/>
    <w:rsid w:val="006C42DB"/>
    <w:rsid w:val="006C4BF1"/>
    <w:rsid w:val="006C4C4D"/>
    <w:rsid w:val="006C4FB8"/>
    <w:rsid w:val="006C56C3"/>
    <w:rsid w:val="006C5AE0"/>
    <w:rsid w:val="006C65EE"/>
    <w:rsid w:val="006C6996"/>
    <w:rsid w:val="006C70E3"/>
    <w:rsid w:val="006C7B1E"/>
    <w:rsid w:val="006D0924"/>
    <w:rsid w:val="006D0CA3"/>
    <w:rsid w:val="006D1694"/>
    <w:rsid w:val="006D1945"/>
    <w:rsid w:val="006D2C77"/>
    <w:rsid w:val="006D2DB3"/>
    <w:rsid w:val="006D4537"/>
    <w:rsid w:val="006D4C93"/>
    <w:rsid w:val="006D559B"/>
    <w:rsid w:val="006D5B99"/>
    <w:rsid w:val="006E0336"/>
    <w:rsid w:val="006E0929"/>
    <w:rsid w:val="006E10E3"/>
    <w:rsid w:val="006E11F5"/>
    <w:rsid w:val="006E156B"/>
    <w:rsid w:val="006E1657"/>
    <w:rsid w:val="006E1A0B"/>
    <w:rsid w:val="006E28A6"/>
    <w:rsid w:val="006E2A55"/>
    <w:rsid w:val="006E2A74"/>
    <w:rsid w:val="006E2D91"/>
    <w:rsid w:val="006E33ED"/>
    <w:rsid w:val="006E47A5"/>
    <w:rsid w:val="006E480D"/>
    <w:rsid w:val="006E5163"/>
    <w:rsid w:val="006E523D"/>
    <w:rsid w:val="006E55DC"/>
    <w:rsid w:val="006E5CC0"/>
    <w:rsid w:val="006E5FAE"/>
    <w:rsid w:val="006E61E0"/>
    <w:rsid w:val="006E65E0"/>
    <w:rsid w:val="006E6C07"/>
    <w:rsid w:val="006E713F"/>
    <w:rsid w:val="006E7506"/>
    <w:rsid w:val="006F07CD"/>
    <w:rsid w:val="006F0896"/>
    <w:rsid w:val="006F08D6"/>
    <w:rsid w:val="006F09C5"/>
    <w:rsid w:val="006F0BF1"/>
    <w:rsid w:val="006F1200"/>
    <w:rsid w:val="006F20AB"/>
    <w:rsid w:val="006F2117"/>
    <w:rsid w:val="006F2485"/>
    <w:rsid w:val="006F255E"/>
    <w:rsid w:val="006F259F"/>
    <w:rsid w:val="006F2966"/>
    <w:rsid w:val="006F2AA1"/>
    <w:rsid w:val="006F3402"/>
    <w:rsid w:val="006F394A"/>
    <w:rsid w:val="006F3DD1"/>
    <w:rsid w:val="006F3E4F"/>
    <w:rsid w:val="006F3EE0"/>
    <w:rsid w:val="006F4013"/>
    <w:rsid w:val="006F4A18"/>
    <w:rsid w:val="006F4D31"/>
    <w:rsid w:val="006F5249"/>
    <w:rsid w:val="006F5A6C"/>
    <w:rsid w:val="006F5C3E"/>
    <w:rsid w:val="006F6A4E"/>
    <w:rsid w:val="006F7084"/>
    <w:rsid w:val="006F7254"/>
    <w:rsid w:val="006F77E6"/>
    <w:rsid w:val="006F7C78"/>
    <w:rsid w:val="0070006E"/>
    <w:rsid w:val="00701159"/>
    <w:rsid w:val="00701246"/>
    <w:rsid w:val="00701EE4"/>
    <w:rsid w:val="007026FB"/>
    <w:rsid w:val="007028C1"/>
    <w:rsid w:val="00702FF0"/>
    <w:rsid w:val="007034AF"/>
    <w:rsid w:val="00703D2A"/>
    <w:rsid w:val="007040AD"/>
    <w:rsid w:val="0070441B"/>
    <w:rsid w:val="007045E4"/>
    <w:rsid w:val="0070494C"/>
    <w:rsid w:val="007053C7"/>
    <w:rsid w:val="0070542D"/>
    <w:rsid w:val="007062C7"/>
    <w:rsid w:val="00706472"/>
    <w:rsid w:val="007065D0"/>
    <w:rsid w:val="0070682D"/>
    <w:rsid w:val="007071C2"/>
    <w:rsid w:val="007073AA"/>
    <w:rsid w:val="00710241"/>
    <w:rsid w:val="0071034E"/>
    <w:rsid w:val="00710916"/>
    <w:rsid w:val="007109F9"/>
    <w:rsid w:val="00710AA6"/>
    <w:rsid w:val="00710E60"/>
    <w:rsid w:val="00711284"/>
    <w:rsid w:val="00711D76"/>
    <w:rsid w:val="00711E0A"/>
    <w:rsid w:val="00711EFB"/>
    <w:rsid w:val="00711F77"/>
    <w:rsid w:val="007124F6"/>
    <w:rsid w:val="00712731"/>
    <w:rsid w:val="00712A34"/>
    <w:rsid w:val="00713576"/>
    <w:rsid w:val="00713A64"/>
    <w:rsid w:val="00713D26"/>
    <w:rsid w:val="00713DF4"/>
    <w:rsid w:val="007146CE"/>
    <w:rsid w:val="0071483F"/>
    <w:rsid w:val="00715066"/>
    <w:rsid w:val="00715CD0"/>
    <w:rsid w:val="00715F51"/>
    <w:rsid w:val="0071682F"/>
    <w:rsid w:val="00717B69"/>
    <w:rsid w:val="007202CE"/>
    <w:rsid w:val="007211D9"/>
    <w:rsid w:val="00721265"/>
    <w:rsid w:val="00721350"/>
    <w:rsid w:val="00721456"/>
    <w:rsid w:val="0072147D"/>
    <w:rsid w:val="00721A79"/>
    <w:rsid w:val="00721DFB"/>
    <w:rsid w:val="00722371"/>
    <w:rsid w:val="007226D8"/>
    <w:rsid w:val="0072413E"/>
    <w:rsid w:val="0072427D"/>
    <w:rsid w:val="00724D6C"/>
    <w:rsid w:val="00725085"/>
    <w:rsid w:val="00725269"/>
    <w:rsid w:val="007257F1"/>
    <w:rsid w:val="00725818"/>
    <w:rsid w:val="00725AF1"/>
    <w:rsid w:val="00725B45"/>
    <w:rsid w:val="00725FE1"/>
    <w:rsid w:val="00727098"/>
    <w:rsid w:val="00727BFA"/>
    <w:rsid w:val="0073024A"/>
    <w:rsid w:val="00730398"/>
    <w:rsid w:val="0073166E"/>
    <w:rsid w:val="00731723"/>
    <w:rsid w:val="00731972"/>
    <w:rsid w:val="007320C6"/>
    <w:rsid w:val="00732945"/>
    <w:rsid w:val="00732B83"/>
    <w:rsid w:val="00732F64"/>
    <w:rsid w:val="00733118"/>
    <w:rsid w:val="00733488"/>
    <w:rsid w:val="00733C17"/>
    <w:rsid w:val="00733D79"/>
    <w:rsid w:val="00734560"/>
    <w:rsid w:val="0073477E"/>
    <w:rsid w:val="00734F64"/>
    <w:rsid w:val="0073512F"/>
    <w:rsid w:val="00735B6E"/>
    <w:rsid w:val="0073630A"/>
    <w:rsid w:val="00736563"/>
    <w:rsid w:val="00736DAC"/>
    <w:rsid w:val="007372FB"/>
    <w:rsid w:val="00737840"/>
    <w:rsid w:val="00737AD3"/>
    <w:rsid w:val="00737C2F"/>
    <w:rsid w:val="007402A4"/>
    <w:rsid w:val="007403A7"/>
    <w:rsid w:val="00740829"/>
    <w:rsid w:val="007408C0"/>
    <w:rsid w:val="00740946"/>
    <w:rsid w:val="00740BB9"/>
    <w:rsid w:val="00740D2D"/>
    <w:rsid w:val="00742F93"/>
    <w:rsid w:val="00742FB9"/>
    <w:rsid w:val="007433AC"/>
    <w:rsid w:val="007434E0"/>
    <w:rsid w:val="00743922"/>
    <w:rsid w:val="00743A86"/>
    <w:rsid w:val="007444C8"/>
    <w:rsid w:val="00744B05"/>
    <w:rsid w:val="00744B3A"/>
    <w:rsid w:val="00744CE1"/>
    <w:rsid w:val="0074519B"/>
    <w:rsid w:val="007454BF"/>
    <w:rsid w:val="00745F04"/>
    <w:rsid w:val="007474DB"/>
    <w:rsid w:val="00747F7B"/>
    <w:rsid w:val="007502CA"/>
    <w:rsid w:val="007525ED"/>
    <w:rsid w:val="007527F9"/>
    <w:rsid w:val="00752BD5"/>
    <w:rsid w:val="007541ED"/>
    <w:rsid w:val="007546D8"/>
    <w:rsid w:val="0075474D"/>
    <w:rsid w:val="00754C34"/>
    <w:rsid w:val="00754DFA"/>
    <w:rsid w:val="00755145"/>
    <w:rsid w:val="00755649"/>
    <w:rsid w:val="00756FB6"/>
    <w:rsid w:val="00757831"/>
    <w:rsid w:val="00757AD5"/>
    <w:rsid w:val="00757D4A"/>
    <w:rsid w:val="00760251"/>
    <w:rsid w:val="007603C1"/>
    <w:rsid w:val="00760439"/>
    <w:rsid w:val="007605B4"/>
    <w:rsid w:val="00760C99"/>
    <w:rsid w:val="00761855"/>
    <w:rsid w:val="00762182"/>
    <w:rsid w:val="0076275B"/>
    <w:rsid w:val="007628D2"/>
    <w:rsid w:val="007628D5"/>
    <w:rsid w:val="00762F03"/>
    <w:rsid w:val="007632B2"/>
    <w:rsid w:val="007633C2"/>
    <w:rsid w:val="00763E63"/>
    <w:rsid w:val="00763FF2"/>
    <w:rsid w:val="007642E3"/>
    <w:rsid w:val="0076522B"/>
    <w:rsid w:val="007659B2"/>
    <w:rsid w:val="00765CE0"/>
    <w:rsid w:val="00766424"/>
    <w:rsid w:val="00766526"/>
    <w:rsid w:val="0076657D"/>
    <w:rsid w:val="007665AB"/>
    <w:rsid w:val="0076712C"/>
    <w:rsid w:val="00767860"/>
    <w:rsid w:val="00770EA0"/>
    <w:rsid w:val="00770EBC"/>
    <w:rsid w:val="00771697"/>
    <w:rsid w:val="00772841"/>
    <w:rsid w:val="007728D0"/>
    <w:rsid w:val="007731AF"/>
    <w:rsid w:val="00773B79"/>
    <w:rsid w:val="00773FA7"/>
    <w:rsid w:val="0077445A"/>
    <w:rsid w:val="007747A8"/>
    <w:rsid w:val="007756F4"/>
    <w:rsid w:val="00775AC1"/>
    <w:rsid w:val="00775E4B"/>
    <w:rsid w:val="00776397"/>
    <w:rsid w:val="00777336"/>
    <w:rsid w:val="00777438"/>
    <w:rsid w:val="00777618"/>
    <w:rsid w:val="00777E5D"/>
    <w:rsid w:val="00780E1C"/>
    <w:rsid w:val="0078113F"/>
    <w:rsid w:val="007812FC"/>
    <w:rsid w:val="007827DE"/>
    <w:rsid w:val="00782A2E"/>
    <w:rsid w:val="00782C3B"/>
    <w:rsid w:val="00782EB4"/>
    <w:rsid w:val="0078304A"/>
    <w:rsid w:val="00784400"/>
    <w:rsid w:val="00784641"/>
    <w:rsid w:val="00784DB9"/>
    <w:rsid w:val="00785195"/>
    <w:rsid w:val="0078537F"/>
    <w:rsid w:val="00787207"/>
    <w:rsid w:val="00787384"/>
    <w:rsid w:val="00787823"/>
    <w:rsid w:val="00787859"/>
    <w:rsid w:val="007878AD"/>
    <w:rsid w:val="00787AFC"/>
    <w:rsid w:val="007903E1"/>
    <w:rsid w:val="00790485"/>
    <w:rsid w:val="00790EFA"/>
    <w:rsid w:val="00791BB9"/>
    <w:rsid w:val="00791E92"/>
    <w:rsid w:val="00792371"/>
    <w:rsid w:val="0079278D"/>
    <w:rsid w:val="007927A6"/>
    <w:rsid w:val="0079399B"/>
    <w:rsid w:val="00793A84"/>
    <w:rsid w:val="00793B5F"/>
    <w:rsid w:val="007941A6"/>
    <w:rsid w:val="007942F5"/>
    <w:rsid w:val="0079433F"/>
    <w:rsid w:val="007944B2"/>
    <w:rsid w:val="007949C2"/>
    <w:rsid w:val="00794F1A"/>
    <w:rsid w:val="00795213"/>
    <w:rsid w:val="007954DB"/>
    <w:rsid w:val="00795BA7"/>
    <w:rsid w:val="00795C81"/>
    <w:rsid w:val="00796CE5"/>
    <w:rsid w:val="00796D1F"/>
    <w:rsid w:val="00796EAF"/>
    <w:rsid w:val="00796EFF"/>
    <w:rsid w:val="007970A3"/>
    <w:rsid w:val="0079722A"/>
    <w:rsid w:val="007A00B4"/>
    <w:rsid w:val="007A042E"/>
    <w:rsid w:val="007A07A1"/>
    <w:rsid w:val="007A09ED"/>
    <w:rsid w:val="007A1137"/>
    <w:rsid w:val="007A20D3"/>
    <w:rsid w:val="007A23AF"/>
    <w:rsid w:val="007A2B45"/>
    <w:rsid w:val="007A3198"/>
    <w:rsid w:val="007A3AB4"/>
    <w:rsid w:val="007A3EF6"/>
    <w:rsid w:val="007A3F9D"/>
    <w:rsid w:val="007A43B2"/>
    <w:rsid w:val="007A4474"/>
    <w:rsid w:val="007A4503"/>
    <w:rsid w:val="007A4A92"/>
    <w:rsid w:val="007A4EA7"/>
    <w:rsid w:val="007A5792"/>
    <w:rsid w:val="007A58F7"/>
    <w:rsid w:val="007A617D"/>
    <w:rsid w:val="007A647E"/>
    <w:rsid w:val="007A6CEB"/>
    <w:rsid w:val="007A717B"/>
    <w:rsid w:val="007A7634"/>
    <w:rsid w:val="007B07F1"/>
    <w:rsid w:val="007B101E"/>
    <w:rsid w:val="007B177C"/>
    <w:rsid w:val="007B197A"/>
    <w:rsid w:val="007B199B"/>
    <w:rsid w:val="007B249F"/>
    <w:rsid w:val="007B2766"/>
    <w:rsid w:val="007B3B48"/>
    <w:rsid w:val="007B3F36"/>
    <w:rsid w:val="007B4223"/>
    <w:rsid w:val="007B4238"/>
    <w:rsid w:val="007B4F5D"/>
    <w:rsid w:val="007B55DE"/>
    <w:rsid w:val="007B5771"/>
    <w:rsid w:val="007B58BE"/>
    <w:rsid w:val="007B58C3"/>
    <w:rsid w:val="007B64D4"/>
    <w:rsid w:val="007B68AB"/>
    <w:rsid w:val="007B6A24"/>
    <w:rsid w:val="007B7297"/>
    <w:rsid w:val="007B77A6"/>
    <w:rsid w:val="007B7D12"/>
    <w:rsid w:val="007B7D74"/>
    <w:rsid w:val="007B7FF4"/>
    <w:rsid w:val="007C0134"/>
    <w:rsid w:val="007C1D51"/>
    <w:rsid w:val="007C249F"/>
    <w:rsid w:val="007C2AE0"/>
    <w:rsid w:val="007C2CAA"/>
    <w:rsid w:val="007C30FC"/>
    <w:rsid w:val="007C37B8"/>
    <w:rsid w:val="007C3D00"/>
    <w:rsid w:val="007C41D2"/>
    <w:rsid w:val="007C4336"/>
    <w:rsid w:val="007C4682"/>
    <w:rsid w:val="007C4AE0"/>
    <w:rsid w:val="007C506C"/>
    <w:rsid w:val="007C5E45"/>
    <w:rsid w:val="007C68A1"/>
    <w:rsid w:val="007C7A1C"/>
    <w:rsid w:val="007C7DED"/>
    <w:rsid w:val="007D0F3B"/>
    <w:rsid w:val="007D1503"/>
    <w:rsid w:val="007D17BF"/>
    <w:rsid w:val="007D17D9"/>
    <w:rsid w:val="007D1B10"/>
    <w:rsid w:val="007D2303"/>
    <w:rsid w:val="007D3474"/>
    <w:rsid w:val="007D3EBE"/>
    <w:rsid w:val="007D4A37"/>
    <w:rsid w:val="007D4CE2"/>
    <w:rsid w:val="007D5491"/>
    <w:rsid w:val="007D55A4"/>
    <w:rsid w:val="007D5991"/>
    <w:rsid w:val="007D5CE1"/>
    <w:rsid w:val="007D5DCD"/>
    <w:rsid w:val="007D5EA2"/>
    <w:rsid w:val="007D5F79"/>
    <w:rsid w:val="007D623C"/>
    <w:rsid w:val="007D6378"/>
    <w:rsid w:val="007D67E0"/>
    <w:rsid w:val="007D6BE2"/>
    <w:rsid w:val="007D7340"/>
    <w:rsid w:val="007D743C"/>
    <w:rsid w:val="007D7495"/>
    <w:rsid w:val="007D7800"/>
    <w:rsid w:val="007D7AE4"/>
    <w:rsid w:val="007D7AF2"/>
    <w:rsid w:val="007E0552"/>
    <w:rsid w:val="007E057D"/>
    <w:rsid w:val="007E0E1D"/>
    <w:rsid w:val="007E0F9C"/>
    <w:rsid w:val="007E1139"/>
    <w:rsid w:val="007E178C"/>
    <w:rsid w:val="007E1807"/>
    <w:rsid w:val="007E18F8"/>
    <w:rsid w:val="007E19DC"/>
    <w:rsid w:val="007E1F6C"/>
    <w:rsid w:val="007E2097"/>
    <w:rsid w:val="007E2178"/>
    <w:rsid w:val="007E2BCE"/>
    <w:rsid w:val="007E36AC"/>
    <w:rsid w:val="007E3A5F"/>
    <w:rsid w:val="007E461F"/>
    <w:rsid w:val="007E4BDE"/>
    <w:rsid w:val="007E5AA9"/>
    <w:rsid w:val="007E5EBD"/>
    <w:rsid w:val="007F00AC"/>
    <w:rsid w:val="007F1358"/>
    <w:rsid w:val="007F2D4C"/>
    <w:rsid w:val="007F3522"/>
    <w:rsid w:val="007F3A55"/>
    <w:rsid w:val="007F4A65"/>
    <w:rsid w:val="007F4A9C"/>
    <w:rsid w:val="007F4C53"/>
    <w:rsid w:val="007F508A"/>
    <w:rsid w:val="007F649A"/>
    <w:rsid w:val="007F66C4"/>
    <w:rsid w:val="007F6804"/>
    <w:rsid w:val="007F6912"/>
    <w:rsid w:val="007F6EC3"/>
    <w:rsid w:val="007F6FAA"/>
    <w:rsid w:val="007F7195"/>
    <w:rsid w:val="007F76B5"/>
    <w:rsid w:val="007F7AA6"/>
    <w:rsid w:val="007F7BB7"/>
    <w:rsid w:val="00800F12"/>
    <w:rsid w:val="0080102C"/>
    <w:rsid w:val="00801927"/>
    <w:rsid w:val="00801940"/>
    <w:rsid w:val="00801DF0"/>
    <w:rsid w:val="00802269"/>
    <w:rsid w:val="00804350"/>
    <w:rsid w:val="00804405"/>
    <w:rsid w:val="00804E3A"/>
    <w:rsid w:val="00805100"/>
    <w:rsid w:val="0080540E"/>
    <w:rsid w:val="008061CB"/>
    <w:rsid w:val="00806AD0"/>
    <w:rsid w:val="008073FC"/>
    <w:rsid w:val="00810B3B"/>
    <w:rsid w:val="0081169F"/>
    <w:rsid w:val="00811B91"/>
    <w:rsid w:val="00811EBD"/>
    <w:rsid w:val="00812352"/>
    <w:rsid w:val="00812810"/>
    <w:rsid w:val="008137FA"/>
    <w:rsid w:val="00813D99"/>
    <w:rsid w:val="00813E8D"/>
    <w:rsid w:val="00813F2E"/>
    <w:rsid w:val="008140B1"/>
    <w:rsid w:val="0081521F"/>
    <w:rsid w:val="008156A9"/>
    <w:rsid w:val="008157A9"/>
    <w:rsid w:val="00815A20"/>
    <w:rsid w:val="00816367"/>
    <w:rsid w:val="0081657B"/>
    <w:rsid w:val="008168E0"/>
    <w:rsid w:val="00816972"/>
    <w:rsid w:val="00816E38"/>
    <w:rsid w:val="00816EAE"/>
    <w:rsid w:val="0081768A"/>
    <w:rsid w:val="0081792B"/>
    <w:rsid w:val="0082027B"/>
    <w:rsid w:val="00820355"/>
    <w:rsid w:val="008210F6"/>
    <w:rsid w:val="00821BF3"/>
    <w:rsid w:val="00821E37"/>
    <w:rsid w:val="00822429"/>
    <w:rsid w:val="008226C1"/>
    <w:rsid w:val="00822E02"/>
    <w:rsid w:val="00823295"/>
    <w:rsid w:val="00823624"/>
    <w:rsid w:val="0082396F"/>
    <w:rsid w:val="00823C21"/>
    <w:rsid w:val="00823DF4"/>
    <w:rsid w:val="00824428"/>
    <w:rsid w:val="00824611"/>
    <w:rsid w:val="00824B22"/>
    <w:rsid w:val="00825E45"/>
    <w:rsid w:val="0082643B"/>
    <w:rsid w:val="008264F6"/>
    <w:rsid w:val="0082667F"/>
    <w:rsid w:val="008267A2"/>
    <w:rsid w:val="0082704F"/>
    <w:rsid w:val="00827EDB"/>
    <w:rsid w:val="008301BB"/>
    <w:rsid w:val="0083082E"/>
    <w:rsid w:val="00830BB0"/>
    <w:rsid w:val="00830C9E"/>
    <w:rsid w:val="008310B3"/>
    <w:rsid w:val="0083112C"/>
    <w:rsid w:val="00831F5C"/>
    <w:rsid w:val="00832152"/>
    <w:rsid w:val="0083268F"/>
    <w:rsid w:val="00832B12"/>
    <w:rsid w:val="00832EA2"/>
    <w:rsid w:val="008331B9"/>
    <w:rsid w:val="00833A82"/>
    <w:rsid w:val="00833D1B"/>
    <w:rsid w:val="008341F1"/>
    <w:rsid w:val="00834A66"/>
    <w:rsid w:val="00835E15"/>
    <w:rsid w:val="00835E90"/>
    <w:rsid w:val="00836840"/>
    <w:rsid w:val="00836AFF"/>
    <w:rsid w:val="00836C91"/>
    <w:rsid w:val="00836DFF"/>
    <w:rsid w:val="00837DEB"/>
    <w:rsid w:val="00837E47"/>
    <w:rsid w:val="008403F8"/>
    <w:rsid w:val="00840694"/>
    <w:rsid w:val="00840FA3"/>
    <w:rsid w:val="00841DBD"/>
    <w:rsid w:val="00841DFB"/>
    <w:rsid w:val="00842817"/>
    <w:rsid w:val="0084286E"/>
    <w:rsid w:val="00843C93"/>
    <w:rsid w:val="00843F15"/>
    <w:rsid w:val="008440FA"/>
    <w:rsid w:val="0084480B"/>
    <w:rsid w:val="00845A48"/>
    <w:rsid w:val="00845C0C"/>
    <w:rsid w:val="00846330"/>
    <w:rsid w:val="00846A34"/>
    <w:rsid w:val="00846BB5"/>
    <w:rsid w:val="008470BB"/>
    <w:rsid w:val="00847553"/>
    <w:rsid w:val="00847B60"/>
    <w:rsid w:val="00847D4E"/>
    <w:rsid w:val="0085103C"/>
    <w:rsid w:val="00851123"/>
    <w:rsid w:val="00851433"/>
    <w:rsid w:val="008518FE"/>
    <w:rsid w:val="00851AEC"/>
    <w:rsid w:val="00851BC5"/>
    <w:rsid w:val="008520B7"/>
    <w:rsid w:val="00852A1B"/>
    <w:rsid w:val="00852C1C"/>
    <w:rsid w:val="00852F6C"/>
    <w:rsid w:val="00853014"/>
    <w:rsid w:val="0085304B"/>
    <w:rsid w:val="008534FF"/>
    <w:rsid w:val="00853A4E"/>
    <w:rsid w:val="008546CC"/>
    <w:rsid w:val="00854709"/>
    <w:rsid w:val="0085512E"/>
    <w:rsid w:val="008558A2"/>
    <w:rsid w:val="00855923"/>
    <w:rsid w:val="00856120"/>
    <w:rsid w:val="00856269"/>
    <w:rsid w:val="008563FA"/>
    <w:rsid w:val="0085645E"/>
    <w:rsid w:val="0085659C"/>
    <w:rsid w:val="008567DC"/>
    <w:rsid w:val="00856845"/>
    <w:rsid w:val="00856A7B"/>
    <w:rsid w:val="00856B58"/>
    <w:rsid w:val="00856F93"/>
    <w:rsid w:val="00857620"/>
    <w:rsid w:val="008602EF"/>
    <w:rsid w:val="0086082D"/>
    <w:rsid w:val="00860867"/>
    <w:rsid w:val="008610AD"/>
    <w:rsid w:val="00861543"/>
    <w:rsid w:val="00861F44"/>
    <w:rsid w:val="00862A8F"/>
    <w:rsid w:val="00863063"/>
    <w:rsid w:val="00864375"/>
    <w:rsid w:val="00865463"/>
    <w:rsid w:val="008654E1"/>
    <w:rsid w:val="00865C4D"/>
    <w:rsid w:val="00866197"/>
    <w:rsid w:val="00866335"/>
    <w:rsid w:val="008667DE"/>
    <w:rsid w:val="00866CB3"/>
    <w:rsid w:val="00867CAD"/>
    <w:rsid w:val="00867F0A"/>
    <w:rsid w:val="0087084E"/>
    <w:rsid w:val="00870968"/>
    <w:rsid w:val="00870CB2"/>
    <w:rsid w:val="00870EF1"/>
    <w:rsid w:val="00871206"/>
    <w:rsid w:val="00871CE0"/>
    <w:rsid w:val="00871DF1"/>
    <w:rsid w:val="00872026"/>
    <w:rsid w:val="0087282F"/>
    <w:rsid w:val="00872FD6"/>
    <w:rsid w:val="00873271"/>
    <w:rsid w:val="00873CC7"/>
    <w:rsid w:val="00874280"/>
    <w:rsid w:val="00874921"/>
    <w:rsid w:val="00874A1C"/>
    <w:rsid w:val="00874EC8"/>
    <w:rsid w:val="00874F92"/>
    <w:rsid w:val="00875C10"/>
    <w:rsid w:val="00875C3D"/>
    <w:rsid w:val="008764CA"/>
    <w:rsid w:val="0087675A"/>
    <w:rsid w:val="0087697B"/>
    <w:rsid w:val="008770A2"/>
    <w:rsid w:val="0087792E"/>
    <w:rsid w:val="00877C87"/>
    <w:rsid w:val="00880948"/>
    <w:rsid w:val="008811D4"/>
    <w:rsid w:val="0088154C"/>
    <w:rsid w:val="00881BA2"/>
    <w:rsid w:val="00881BFC"/>
    <w:rsid w:val="00882698"/>
    <w:rsid w:val="00882C80"/>
    <w:rsid w:val="00883C7D"/>
    <w:rsid w:val="00883EAF"/>
    <w:rsid w:val="00884105"/>
    <w:rsid w:val="008850C0"/>
    <w:rsid w:val="00885258"/>
    <w:rsid w:val="00885D55"/>
    <w:rsid w:val="00886808"/>
    <w:rsid w:val="008869D1"/>
    <w:rsid w:val="00886BDC"/>
    <w:rsid w:val="0088707B"/>
    <w:rsid w:val="00887395"/>
    <w:rsid w:val="00887F00"/>
    <w:rsid w:val="00887F26"/>
    <w:rsid w:val="008900A7"/>
    <w:rsid w:val="00890369"/>
    <w:rsid w:val="00891115"/>
    <w:rsid w:val="00891965"/>
    <w:rsid w:val="00892B00"/>
    <w:rsid w:val="00892D62"/>
    <w:rsid w:val="008939F6"/>
    <w:rsid w:val="00893E84"/>
    <w:rsid w:val="008940F9"/>
    <w:rsid w:val="00894406"/>
    <w:rsid w:val="008947A4"/>
    <w:rsid w:val="008948BA"/>
    <w:rsid w:val="00894B55"/>
    <w:rsid w:val="00894ED2"/>
    <w:rsid w:val="00894F44"/>
    <w:rsid w:val="00895228"/>
    <w:rsid w:val="008959B8"/>
    <w:rsid w:val="008959D4"/>
    <w:rsid w:val="00895C08"/>
    <w:rsid w:val="008969EF"/>
    <w:rsid w:val="00896F21"/>
    <w:rsid w:val="008979B1"/>
    <w:rsid w:val="00897E37"/>
    <w:rsid w:val="00897EFC"/>
    <w:rsid w:val="008A00DF"/>
    <w:rsid w:val="008A070D"/>
    <w:rsid w:val="008A0A73"/>
    <w:rsid w:val="008A0C4D"/>
    <w:rsid w:val="008A11CF"/>
    <w:rsid w:val="008A11FC"/>
    <w:rsid w:val="008A2D63"/>
    <w:rsid w:val="008A30C3"/>
    <w:rsid w:val="008A3C23"/>
    <w:rsid w:val="008A41AE"/>
    <w:rsid w:val="008A45E7"/>
    <w:rsid w:val="008A492E"/>
    <w:rsid w:val="008A496B"/>
    <w:rsid w:val="008A4ACA"/>
    <w:rsid w:val="008A4B03"/>
    <w:rsid w:val="008A4E96"/>
    <w:rsid w:val="008A4EED"/>
    <w:rsid w:val="008A5AD1"/>
    <w:rsid w:val="008A5BB9"/>
    <w:rsid w:val="008A6272"/>
    <w:rsid w:val="008A64BC"/>
    <w:rsid w:val="008A6B3C"/>
    <w:rsid w:val="008A6DF3"/>
    <w:rsid w:val="008A71F3"/>
    <w:rsid w:val="008A7696"/>
    <w:rsid w:val="008B0CEB"/>
    <w:rsid w:val="008B0FF3"/>
    <w:rsid w:val="008B1D54"/>
    <w:rsid w:val="008B2004"/>
    <w:rsid w:val="008B22F9"/>
    <w:rsid w:val="008B2BAB"/>
    <w:rsid w:val="008B2E1C"/>
    <w:rsid w:val="008B33EB"/>
    <w:rsid w:val="008B398D"/>
    <w:rsid w:val="008B3A41"/>
    <w:rsid w:val="008B3A69"/>
    <w:rsid w:val="008B3CB5"/>
    <w:rsid w:val="008B498B"/>
    <w:rsid w:val="008B4BA2"/>
    <w:rsid w:val="008B4DE2"/>
    <w:rsid w:val="008B5250"/>
    <w:rsid w:val="008B5633"/>
    <w:rsid w:val="008B56B6"/>
    <w:rsid w:val="008B587C"/>
    <w:rsid w:val="008B6793"/>
    <w:rsid w:val="008B6803"/>
    <w:rsid w:val="008B6981"/>
    <w:rsid w:val="008B7319"/>
    <w:rsid w:val="008B7A84"/>
    <w:rsid w:val="008B7EA6"/>
    <w:rsid w:val="008C02BD"/>
    <w:rsid w:val="008C0521"/>
    <w:rsid w:val="008C10FF"/>
    <w:rsid w:val="008C1702"/>
    <w:rsid w:val="008C187C"/>
    <w:rsid w:val="008C1BC4"/>
    <w:rsid w:val="008C1DD0"/>
    <w:rsid w:val="008C28CD"/>
    <w:rsid w:val="008C3701"/>
    <w:rsid w:val="008C3B35"/>
    <w:rsid w:val="008C40DA"/>
    <w:rsid w:val="008C4989"/>
    <w:rsid w:val="008C49CC"/>
    <w:rsid w:val="008C4BF6"/>
    <w:rsid w:val="008C52EA"/>
    <w:rsid w:val="008C5B31"/>
    <w:rsid w:val="008C63E4"/>
    <w:rsid w:val="008C7AE7"/>
    <w:rsid w:val="008C7C0E"/>
    <w:rsid w:val="008D053B"/>
    <w:rsid w:val="008D0AA5"/>
    <w:rsid w:val="008D0BCC"/>
    <w:rsid w:val="008D144C"/>
    <w:rsid w:val="008D1EEB"/>
    <w:rsid w:val="008D20C6"/>
    <w:rsid w:val="008D26BC"/>
    <w:rsid w:val="008D2D62"/>
    <w:rsid w:val="008D31C8"/>
    <w:rsid w:val="008D3B41"/>
    <w:rsid w:val="008D401A"/>
    <w:rsid w:val="008D526F"/>
    <w:rsid w:val="008D5CD7"/>
    <w:rsid w:val="008D61DD"/>
    <w:rsid w:val="008D6554"/>
    <w:rsid w:val="008D69DE"/>
    <w:rsid w:val="008D69E9"/>
    <w:rsid w:val="008D6A24"/>
    <w:rsid w:val="008D7BD5"/>
    <w:rsid w:val="008D7BF0"/>
    <w:rsid w:val="008D7F5B"/>
    <w:rsid w:val="008E0645"/>
    <w:rsid w:val="008E127F"/>
    <w:rsid w:val="008E1A46"/>
    <w:rsid w:val="008E28D9"/>
    <w:rsid w:val="008E2D1D"/>
    <w:rsid w:val="008E35BE"/>
    <w:rsid w:val="008E39CB"/>
    <w:rsid w:val="008E442F"/>
    <w:rsid w:val="008E4BF6"/>
    <w:rsid w:val="008E4CF0"/>
    <w:rsid w:val="008E5143"/>
    <w:rsid w:val="008E51A5"/>
    <w:rsid w:val="008E53EE"/>
    <w:rsid w:val="008E5C45"/>
    <w:rsid w:val="008E6506"/>
    <w:rsid w:val="008E6BD9"/>
    <w:rsid w:val="008E6D24"/>
    <w:rsid w:val="008E711A"/>
    <w:rsid w:val="008E745B"/>
    <w:rsid w:val="008E74AD"/>
    <w:rsid w:val="008E7B08"/>
    <w:rsid w:val="008F02E4"/>
    <w:rsid w:val="008F0B98"/>
    <w:rsid w:val="008F18B6"/>
    <w:rsid w:val="008F196D"/>
    <w:rsid w:val="008F1EB8"/>
    <w:rsid w:val="008F1F4A"/>
    <w:rsid w:val="008F2A7A"/>
    <w:rsid w:val="008F3009"/>
    <w:rsid w:val="008F32F2"/>
    <w:rsid w:val="008F333D"/>
    <w:rsid w:val="008F3AF7"/>
    <w:rsid w:val="008F3B34"/>
    <w:rsid w:val="008F3CE4"/>
    <w:rsid w:val="008F461F"/>
    <w:rsid w:val="008F4B5F"/>
    <w:rsid w:val="008F505D"/>
    <w:rsid w:val="008F569B"/>
    <w:rsid w:val="008F594A"/>
    <w:rsid w:val="008F5D25"/>
    <w:rsid w:val="008F6498"/>
    <w:rsid w:val="008F691F"/>
    <w:rsid w:val="008F6A3D"/>
    <w:rsid w:val="008F6CE3"/>
    <w:rsid w:val="008F6E1E"/>
    <w:rsid w:val="008F7111"/>
    <w:rsid w:val="008F72C6"/>
    <w:rsid w:val="008F76BA"/>
    <w:rsid w:val="008F78AE"/>
    <w:rsid w:val="00901091"/>
    <w:rsid w:val="0090139F"/>
    <w:rsid w:val="009013FA"/>
    <w:rsid w:val="00901CA2"/>
    <w:rsid w:val="00902336"/>
    <w:rsid w:val="00902556"/>
    <w:rsid w:val="00902B47"/>
    <w:rsid w:val="009035A9"/>
    <w:rsid w:val="00903B86"/>
    <w:rsid w:val="00903E7E"/>
    <w:rsid w:val="0090435D"/>
    <w:rsid w:val="00904652"/>
    <w:rsid w:val="0090469E"/>
    <w:rsid w:val="00904C7E"/>
    <w:rsid w:val="00904DC5"/>
    <w:rsid w:val="0090561C"/>
    <w:rsid w:val="00905AF9"/>
    <w:rsid w:val="00905B52"/>
    <w:rsid w:val="00905C44"/>
    <w:rsid w:val="00905DFC"/>
    <w:rsid w:val="00906257"/>
    <w:rsid w:val="009064E7"/>
    <w:rsid w:val="00906705"/>
    <w:rsid w:val="00907546"/>
    <w:rsid w:val="0091035B"/>
    <w:rsid w:val="00910F83"/>
    <w:rsid w:val="0091142C"/>
    <w:rsid w:val="00911699"/>
    <w:rsid w:val="00912134"/>
    <w:rsid w:val="009121B6"/>
    <w:rsid w:val="00912B5E"/>
    <w:rsid w:val="00912C9D"/>
    <w:rsid w:val="00913E29"/>
    <w:rsid w:val="00914010"/>
    <w:rsid w:val="00914406"/>
    <w:rsid w:val="00914BF0"/>
    <w:rsid w:val="00914CF1"/>
    <w:rsid w:val="00914FF1"/>
    <w:rsid w:val="009151EF"/>
    <w:rsid w:val="00915A92"/>
    <w:rsid w:val="00916172"/>
    <w:rsid w:val="00916520"/>
    <w:rsid w:val="00916564"/>
    <w:rsid w:val="009166AE"/>
    <w:rsid w:val="009169D6"/>
    <w:rsid w:val="0091779B"/>
    <w:rsid w:val="0091798D"/>
    <w:rsid w:val="00917ECE"/>
    <w:rsid w:val="009200E2"/>
    <w:rsid w:val="00920636"/>
    <w:rsid w:val="00920A10"/>
    <w:rsid w:val="00920C72"/>
    <w:rsid w:val="009214CE"/>
    <w:rsid w:val="00921E71"/>
    <w:rsid w:val="00921F6A"/>
    <w:rsid w:val="0092203B"/>
    <w:rsid w:val="00922267"/>
    <w:rsid w:val="00922333"/>
    <w:rsid w:val="009239BD"/>
    <w:rsid w:val="00923BC5"/>
    <w:rsid w:val="00923DCA"/>
    <w:rsid w:val="0092480A"/>
    <w:rsid w:val="009248DF"/>
    <w:rsid w:val="00924D3F"/>
    <w:rsid w:val="00924FC9"/>
    <w:rsid w:val="0092568B"/>
    <w:rsid w:val="009264AC"/>
    <w:rsid w:val="00926517"/>
    <w:rsid w:val="009270C3"/>
    <w:rsid w:val="00927FF5"/>
    <w:rsid w:val="00930225"/>
    <w:rsid w:val="009312E1"/>
    <w:rsid w:val="0093131F"/>
    <w:rsid w:val="00931B90"/>
    <w:rsid w:val="00931D97"/>
    <w:rsid w:val="00932248"/>
    <w:rsid w:val="00932636"/>
    <w:rsid w:val="009329C3"/>
    <w:rsid w:val="009331D4"/>
    <w:rsid w:val="009332AC"/>
    <w:rsid w:val="00933BEF"/>
    <w:rsid w:val="00933EF5"/>
    <w:rsid w:val="0093480E"/>
    <w:rsid w:val="0093614A"/>
    <w:rsid w:val="00936CB6"/>
    <w:rsid w:val="00940B70"/>
    <w:rsid w:val="00941F83"/>
    <w:rsid w:val="0094209E"/>
    <w:rsid w:val="009424A4"/>
    <w:rsid w:val="00942CF3"/>
    <w:rsid w:val="009433EB"/>
    <w:rsid w:val="009439E7"/>
    <w:rsid w:val="00943AFD"/>
    <w:rsid w:val="00944855"/>
    <w:rsid w:val="00944884"/>
    <w:rsid w:val="00944C30"/>
    <w:rsid w:val="00944E8E"/>
    <w:rsid w:val="00945278"/>
    <w:rsid w:val="009454BE"/>
    <w:rsid w:val="0094570F"/>
    <w:rsid w:val="00945C6D"/>
    <w:rsid w:val="00945F45"/>
    <w:rsid w:val="0094629C"/>
    <w:rsid w:val="00946391"/>
    <w:rsid w:val="00946579"/>
    <w:rsid w:val="0094663D"/>
    <w:rsid w:val="00946AA2"/>
    <w:rsid w:val="00946E73"/>
    <w:rsid w:val="009503F6"/>
    <w:rsid w:val="00950543"/>
    <w:rsid w:val="00951426"/>
    <w:rsid w:val="00952D6F"/>
    <w:rsid w:val="00953250"/>
    <w:rsid w:val="009538F0"/>
    <w:rsid w:val="00953A3E"/>
    <w:rsid w:val="00954E16"/>
    <w:rsid w:val="00954EAB"/>
    <w:rsid w:val="0095536F"/>
    <w:rsid w:val="009556BC"/>
    <w:rsid w:val="00955766"/>
    <w:rsid w:val="009558E5"/>
    <w:rsid w:val="00956D02"/>
    <w:rsid w:val="00956E7F"/>
    <w:rsid w:val="00957335"/>
    <w:rsid w:val="00957544"/>
    <w:rsid w:val="00957D4B"/>
    <w:rsid w:val="00957EB3"/>
    <w:rsid w:val="009602B0"/>
    <w:rsid w:val="009602EA"/>
    <w:rsid w:val="0096066E"/>
    <w:rsid w:val="0096094A"/>
    <w:rsid w:val="00961E90"/>
    <w:rsid w:val="00962098"/>
    <w:rsid w:val="009621BC"/>
    <w:rsid w:val="00962C2C"/>
    <w:rsid w:val="00962E08"/>
    <w:rsid w:val="00963ADB"/>
    <w:rsid w:val="00963BDD"/>
    <w:rsid w:val="00964318"/>
    <w:rsid w:val="009649F5"/>
    <w:rsid w:val="00964B31"/>
    <w:rsid w:val="00964B37"/>
    <w:rsid w:val="00964DD1"/>
    <w:rsid w:val="009658F2"/>
    <w:rsid w:val="00965A92"/>
    <w:rsid w:val="00965CF4"/>
    <w:rsid w:val="00967189"/>
    <w:rsid w:val="009706F4"/>
    <w:rsid w:val="00970A50"/>
    <w:rsid w:val="0097119D"/>
    <w:rsid w:val="009716C1"/>
    <w:rsid w:val="009719FB"/>
    <w:rsid w:val="00971A24"/>
    <w:rsid w:val="009721A7"/>
    <w:rsid w:val="00972336"/>
    <w:rsid w:val="00972888"/>
    <w:rsid w:val="00973928"/>
    <w:rsid w:val="00974113"/>
    <w:rsid w:val="00974737"/>
    <w:rsid w:val="00974CEC"/>
    <w:rsid w:val="009766AC"/>
    <w:rsid w:val="009768CD"/>
    <w:rsid w:val="00976EBC"/>
    <w:rsid w:val="00976F99"/>
    <w:rsid w:val="009770F9"/>
    <w:rsid w:val="00977770"/>
    <w:rsid w:val="009778D9"/>
    <w:rsid w:val="009804CA"/>
    <w:rsid w:val="00981D3C"/>
    <w:rsid w:val="009821BB"/>
    <w:rsid w:val="009821F6"/>
    <w:rsid w:val="009822CE"/>
    <w:rsid w:val="009825E1"/>
    <w:rsid w:val="00982BAF"/>
    <w:rsid w:val="00983809"/>
    <w:rsid w:val="009838C1"/>
    <w:rsid w:val="00983BB7"/>
    <w:rsid w:val="00983F20"/>
    <w:rsid w:val="00984477"/>
    <w:rsid w:val="009846D5"/>
    <w:rsid w:val="00985045"/>
    <w:rsid w:val="0098596E"/>
    <w:rsid w:val="009859AF"/>
    <w:rsid w:val="009860CA"/>
    <w:rsid w:val="009864B1"/>
    <w:rsid w:val="00986771"/>
    <w:rsid w:val="009875C0"/>
    <w:rsid w:val="00987B30"/>
    <w:rsid w:val="00987C47"/>
    <w:rsid w:val="00987F07"/>
    <w:rsid w:val="009901CD"/>
    <w:rsid w:val="00990441"/>
    <w:rsid w:val="00990911"/>
    <w:rsid w:val="0099094B"/>
    <w:rsid w:val="009909A6"/>
    <w:rsid w:val="00990DEC"/>
    <w:rsid w:val="00990FF9"/>
    <w:rsid w:val="009914C0"/>
    <w:rsid w:val="00991C9B"/>
    <w:rsid w:val="00992356"/>
    <w:rsid w:val="009928F9"/>
    <w:rsid w:val="009929EB"/>
    <w:rsid w:val="00993201"/>
    <w:rsid w:val="00994C4E"/>
    <w:rsid w:val="009951E0"/>
    <w:rsid w:val="0099551F"/>
    <w:rsid w:val="0099627B"/>
    <w:rsid w:val="00996995"/>
    <w:rsid w:val="00996BF1"/>
    <w:rsid w:val="009971D3"/>
    <w:rsid w:val="00997362"/>
    <w:rsid w:val="009975B5"/>
    <w:rsid w:val="009A0B88"/>
    <w:rsid w:val="009A185F"/>
    <w:rsid w:val="009A1F6E"/>
    <w:rsid w:val="009A3049"/>
    <w:rsid w:val="009A30E5"/>
    <w:rsid w:val="009A3A28"/>
    <w:rsid w:val="009A3AF0"/>
    <w:rsid w:val="009A41B3"/>
    <w:rsid w:val="009A421F"/>
    <w:rsid w:val="009A522B"/>
    <w:rsid w:val="009A58B5"/>
    <w:rsid w:val="009A59A7"/>
    <w:rsid w:val="009A5BFF"/>
    <w:rsid w:val="009A6776"/>
    <w:rsid w:val="009A7833"/>
    <w:rsid w:val="009A7A80"/>
    <w:rsid w:val="009B02B6"/>
    <w:rsid w:val="009B0EC2"/>
    <w:rsid w:val="009B0F74"/>
    <w:rsid w:val="009B167C"/>
    <w:rsid w:val="009B16F4"/>
    <w:rsid w:val="009B1DFE"/>
    <w:rsid w:val="009B267E"/>
    <w:rsid w:val="009B2DD4"/>
    <w:rsid w:val="009B2EAC"/>
    <w:rsid w:val="009B4003"/>
    <w:rsid w:val="009B40B6"/>
    <w:rsid w:val="009B506E"/>
    <w:rsid w:val="009B57C0"/>
    <w:rsid w:val="009B58CD"/>
    <w:rsid w:val="009B6399"/>
    <w:rsid w:val="009B64F5"/>
    <w:rsid w:val="009B659C"/>
    <w:rsid w:val="009B691E"/>
    <w:rsid w:val="009B6CAE"/>
    <w:rsid w:val="009B75C0"/>
    <w:rsid w:val="009B7B18"/>
    <w:rsid w:val="009B7F5C"/>
    <w:rsid w:val="009C0197"/>
    <w:rsid w:val="009C068B"/>
    <w:rsid w:val="009C0791"/>
    <w:rsid w:val="009C07EC"/>
    <w:rsid w:val="009C09A2"/>
    <w:rsid w:val="009C1E29"/>
    <w:rsid w:val="009C2124"/>
    <w:rsid w:val="009C213C"/>
    <w:rsid w:val="009C25A8"/>
    <w:rsid w:val="009C2BA0"/>
    <w:rsid w:val="009C3312"/>
    <w:rsid w:val="009C4C9D"/>
    <w:rsid w:val="009C4D0C"/>
    <w:rsid w:val="009C52D9"/>
    <w:rsid w:val="009C5708"/>
    <w:rsid w:val="009C5C11"/>
    <w:rsid w:val="009C6025"/>
    <w:rsid w:val="009C6C42"/>
    <w:rsid w:val="009C71C0"/>
    <w:rsid w:val="009C7D17"/>
    <w:rsid w:val="009C7FE3"/>
    <w:rsid w:val="009D09E4"/>
    <w:rsid w:val="009D14CB"/>
    <w:rsid w:val="009D16B6"/>
    <w:rsid w:val="009D27EC"/>
    <w:rsid w:val="009D3146"/>
    <w:rsid w:val="009D3455"/>
    <w:rsid w:val="009D37A9"/>
    <w:rsid w:val="009D3D7C"/>
    <w:rsid w:val="009D4286"/>
    <w:rsid w:val="009D432B"/>
    <w:rsid w:val="009D5316"/>
    <w:rsid w:val="009D58F3"/>
    <w:rsid w:val="009D5D32"/>
    <w:rsid w:val="009D65B0"/>
    <w:rsid w:val="009D76FB"/>
    <w:rsid w:val="009D7F6A"/>
    <w:rsid w:val="009E0056"/>
    <w:rsid w:val="009E05AF"/>
    <w:rsid w:val="009E0812"/>
    <w:rsid w:val="009E1828"/>
    <w:rsid w:val="009E1B0A"/>
    <w:rsid w:val="009E1B91"/>
    <w:rsid w:val="009E20C5"/>
    <w:rsid w:val="009E2249"/>
    <w:rsid w:val="009E2530"/>
    <w:rsid w:val="009E3A0A"/>
    <w:rsid w:val="009E3BE0"/>
    <w:rsid w:val="009E4677"/>
    <w:rsid w:val="009E484E"/>
    <w:rsid w:val="009E5281"/>
    <w:rsid w:val="009E5B45"/>
    <w:rsid w:val="009E6154"/>
    <w:rsid w:val="009E6599"/>
    <w:rsid w:val="009E6DAB"/>
    <w:rsid w:val="009E6E26"/>
    <w:rsid w:val="009E780F"/>
    <w:rsid w:val="009E7933"/>
    <w:rsid w:val="009E7FED"/>
    <w:rsid w:val="009F0595"/>
    <w:rsid w:val="009F11F9"/>
    <w:rsid w:val="009F1238"/>
    <w:rsid w:val="009F185F"/>
    <w:rsid w:val="009F1F21"/>
    <w:rsid w:val="009F279C"/>
    <w:rsid w:val="009F3163"/>
    <w:rsid w:val="009F3E4D"/>
    <w:rsid w:val="009F40FB"/>
    <w:rsid w:val="009F4731"/>
    <w:rsid w:val="009F4A74"/>
    <w:rsid w:val="009F4DA8"/>
    <w:rsid w:val="009F54F9"/>
    <w:rsid w:val="009F56F9"/>
    <w:rsid w:val="009F57F1"/>
    <w:rsid w:val="009F5DBC"/>
    <w:rsid w:val="009F6086"/>
    <w:rsid w:val="009F649E"/>
    <w:rsid w:val="009F67E6"/>
    <w:rsid w:val="009F68C8"/>
    <w:rsid w:val="009F6B3D"/>
    <w:rsid w:val="009F6DB6"/>
    <w:rsid w:val="009F78D7"/>
    <w:rsid w:val="009F7C53"/>
    <w:rsid w:val="009F7E6D"/>
    <w:rsid w:val="00A00DC3"/>
    <w:rsid w:val="00A010C5"/>
    <w:rsid w:val="00A014A7"/>
    <w:rsid w:val="00A01D09"/>
    <w:rsid w:val="00A026F3"/>
    <w:rsid w:val="00A02F4D"/>
    <w:rsid w:val="00A036C1"/>
    <w:rsid w:val="00A03F8A"/>
    <w:rsid w:val="00A04503"/>
    <w:rsid w:val="00A04741"/>
    <w:rsid w:val="00A0488A"/>
    <w:rsid w:val="00A050C4"/>
    <w:rsid w:val="00A06F5C"/>
    <w:rsid w:val="00A07DFE"/>
    <w:rsid w:val="00A100F9"/>
    <w:rsid w:val="00A10597"/>
    <w:rsid w:val="00A10D88"/>
    <w:rsid w:val="00A10E8D"/>
    <w:rsid w:val="00A10E9F"/>
    <w:rsid w:val="00A112D2"/>
    <w:rsid w:val="00A114E3"/>
    <w:rsid w:val="00A114F7"/>
    <w:rsid w:val="00A1156F"/>
    <w:rsid w:val="00A115AA"/>
    <w:rsid w:val="00A11819"/>
    <w:rsid w:val="00A120C3"/>
    <w:rsid w:val="00A12843"/>
    <w:rsid w:val="00A14283"/>
    <w:rsid w:val="00A14820"/>
    <w:rsid w:val="00A14AAB"/>
    <w:rsid w:val="00A14CA3"/>
    <w:rsid w:val="00A14D05"/>
    <w:rsid w:val="00A14DD5"/>
    <w:rsid w:val="00A1503E"/>
    <w:rsid w:val="00A157EB"/>
    <w:rsid w:val="00A162FC"/>
    <w:rsid w:val="00A173BD"/>
    <w:rsid w:val="00A17603"/>
    <w:rsid w:val="00A17627"/>
    <w:rsid w:val="00A17FAA"/>
    <w:rsid w:val="00A2022F"/>
    <w:rsid w:val="00A20C59"/>
    <w:rsid w:val="00A210A7"/>
    <w:rsid w:val="00A2127E"/>
    <w:rsid w:val="00A2159B"/>
    <w:rsid w:val="00A21A33"/>
    <w:rsid w:val="00A21D89"/>
    <w:rsid w:val="00A2207C"/>
    <w:rsid w:val="00A22CD6"/>
    <w:rsid w:val="00A22D11"/>
    <w:rsid w:val="00A22FCB"/>
    <w:rsid w:val="00A23840"/>
    <w:rsid w:val="00A23960"/>
    <w:rsid w:val="00A23FD9"/>
    <w:rsid w:val="00A24FCB"/>
    <w:rsid w:val="00A25FFA"/>
    <w:rsid w:val="00A27349"/>
    <w:rsid w:val="00A27B48"/>
    <w:rsid w:val="00A308C1"/>
    <w:rsid w:val="00A30ABA"/>
    <w:rsid w:val="00A30C50"/>
    <w:rsid w:val="00A31D8F"/>
    <w:rsid w:val="00A3233B"/>
    <w:rsid w:val="00A3272C"/>
    <w:rsid w:val="00A32875"/>
    <w:rsid w:val="00A33421"/>
    <w:rsid w:val="00A334DD"/>
    <w:rsid w:val="00A3355F"/>
    <w:rsid w:val="00A3390D"/>
    <w:rsid w:val="00A33BB1"/>
    <w:rsid w:val="00A33DF4"/>
    <w:rsid w:val="00A33E09"/>
    <w:rsid w:val="00A3494D"/>
    <w:rsid w:val="00A35170"/>
    <w:rsid w:val="00A35E6B"/>
    <w:rsid w:val="00A3613C"/>
    <w:rsid w:val="00A36341"/>
    <w:rsid w:val="00A36378"/>
    <w:rsid w:val="00A3693A"/>
    <w:rsid w:val="00A3711C"/>
    <w:rsid w:val="00A37496"/>
    <w:rsid w:val="00A37969"/>
    <w:rsid w:val="00A37E60"/>
    <w:rsid w:val="00A402DF"/>
    <w:rsid w:val="00A408D6"/>
    <w:rsid w:val="00A40AC4"/>
    <w:rsid w:val="00A40B93"/>
    <w:rsid w:val="00A40D93"/>
    <w:rsid w:val="00A4135C"/>
    <w:rsid w:val="00A41553"/>
    <w:rsid w:val="00A41609"/>
    <w:rsid w:val="00A41AAD"/>
    <w:rsid w:val="00A426D6"/>
    <w:rsid w:val="00A42A5B"/>
    <w:rsid w:val="00A42AE3"/>
    <w:rsid w:val="00A437FB"/>
    <w:rsid w:val="00A440E0"/>
    <w:rsid w:val="00A440FC"/>
    <w:rsid w:val="00A44499"/>
    <w:rsid w:val="00A44633"/>
    <w:rsid w:val="00A447C5"/>
    <w:rsid w:val="00A4494C"/>
    <w:rsid w:val="00A45156"/>
    <w:rsid w:val="00A455DE"/>
    <w:rsid w:val="00A456B1"/>
    <w:rsid w:val="00A4592E"/>
    <w:rsid w:val="00A4660C"/>
    <w:rsid w:val="00A4727E"/>
    <w:rsid w:val="00A472F1"/>
    <w:rsid w:val="00A4754C"/>
    <w:rsid w:val="00A475EB"/>
    <w:rsid w:val="00A4778E"/>
    <w:rsid w:val="00A47B90"/>
    <w:rsid w:val="00A5005B"/>
    <w:rsid w:val="00A50114"/>
    <w:rsid w:val="00A50398"/>
    <w:rsid w:val="00A504C9"/>
    <w:rsid w:val="00A50576"/>
    <w:rsid w:val="00A50B44"/>
    <w:rsid w:val="00A51F33"/>
    <w:rsid w:val="00A5237D"/>
    <w:rsid w:val="00A523D0"/>
    <w:rsid w:val="00A523D6"/>
    <w:rsid w:val="00A52F6F"/>
    <w:rsid w:val="00A5313E"/>
    <w:rsid w:val="00A54566"/>
    <w:rsid w:val="00A5459D"/>
    <w:rsid w:val="00A54AA9"/>
    <w:rsid w:val="00A554A3"/>
    <w:rsid w:val="00A55780"/>
    <w:rsid w:val="00A55CC5"/>
    <w:rsid w:val="00A55CCB"/>
    <w:rsid w:val="00A56832"/>
    <w:rsid w:val="00A569E2"/>
    <w:rsid w:val="00A571A7"/>
    <w:rsid w:val="00A6058D"/>
    <w:rsid w:val="00A608C5"/>
    <w:rsid w:val="00A61090"/>
    <w:rsid w:val="00A6184A"/>
    <w:rsid w:val="00A61C29"/>
    <w:rsid w:val="00A62366"/>
    <w:rsid w:val="00A63341"/>
    <w:rsid w:val="00A63C0B"/>
    <w:rsid w:val="00A664D4"/>
    <w:rsid w:val="00A6681E"/>
    <w:rsid w:val="00A6687C"/>
    <w:rsid w:val="00A66AB3"/>
    <w:rsid w:val="00A67489"/>
    <w:rsid w:val="00A67D29"/>
    <w:rsid w:val="00A67DA3"/>
    <w:rsid w:val="00A67DE9"/>
    <w:rsid w:val="00A70C67"/>
    <w:rsid w:val="00A70CCD"/>
    <w:rsid w:val="00A71259"/>
    <w:rsid w:val="00A71CB5"/>
    <w:rsid w:val="00A725FA"/>
    <w:rsid w:val="00A7268E"/>
    <w:rsid w:val="00A726B8"/>
    <w:rsid w:val="00A729AF"/>
    <w:rsid w:val="00A73348"/>
    <w:rsid w:val="00A75689"/>
    <w:rsid w:val="00A758EA"/>
    <w:rsid w:val="00A75AD9"/>
    <w:rsid w:val="00A76258"/>
    <w:rsid w:val="00A766C1"/>
    <w:rsid w:val="00A767A3"/>
    <w:rsid w:val="00A777C9"/>
    <w:rsid w:val="00A77B1D"/>
    <w:rsid w:val="00A77FD1"/>
    <w:rsid w:val="00A80EDD"/>
    <w:rsid w:val="00A816FA"/>
    <w:rsid w:val="00A81773"/>
    <w:rsid w:val="00A81B24"/>
    <w:rsid w:val="00A81FB7"/>
    <w:rsid w:val="00A82775"/>
    <w:rsid w:val="00A82908"/>
    <w:rsid w:val="00A82C94"/>
    <w:rsid w:val="00A82E83"/>
    <w:rsid w:val="00A830A9"/>
    <w:rsid w:val="00A83899"/>
    <w:rsid w:val="00A84293"/>
    <w:rsid w:val="00A84B71"/>
    <w:rsid w:val="00A854DC"/>
    <w:rsid w:val="00A8556C"/>
    <w:rsid w:val="00A85657"/>
    <w:rsid w:val="00A85B5C"/>
    <w:rsid w:val="00A85D17"/>
    <w:rsid w:val="00A86142"/>
    <w:rsid w:val="00A86961"/>
    <w:rsid w:val="00A90169"/>
    <w:rsid w:val="00A9057F"/>
    <w:rsid w:val="00A90938"/>
    <w:rsid w:val="00A90DA4"/>
    <w:rsid w:val="00A914B8"/>
    <w:rsid w:val="00A91849"/>
    <w:rsid w:val="00A91933"/>
    <w:rsid w:val="00A91EF3"/>
    <w:rsid w:val="00A92257"/>
    <w:rsid w:val="00A9280C"/>
    <w:rsid w:val="00A92AB2"/>
    <w:rsid w:val="00A92CB1"/>
    <w:rsid w:val="00A92D3B"/>
    <w:rsid w:val="00A9310B"/>
    <w:rsid w:val="00A93696"/>
    <w:rsid w:val="00A93B8A"/>
    <w:rsid w:val="00A93F76"/>
    <w:rsid w:val="00A94221"/>
    <w:rsid w:val="00A9486E"/>
    <w:rsid w:val="00A95074"/>
    <w:rsid w:val="00A9576A"/>
    <w:rsid w:val="00A95C50"/>
    <w:rsid w:val="00A95D49"/>
    <w:rsid w:val="00A96089"/>
    <w:rsid w:val="00A96A6F"/>
    <w:rsid w:val="00A96F53"/>
    <w:rsid w:val="00A97453"/>
    <w:rsid w:val="00A97A54"/>
    <w:rsid w:val="00A97AE8"/>
    <w:rsid w:val="00A97D57"/>
    <w:rsid w:val="00AA01DC"/>
    <w:rsid w:val="00AA0286"/>
    <w:rsid w:val="00AA03D1"/>
    <w:rsid w:val="00AA06B1"/>
    <w:rsid w:val="00AA08A3"/>
    <w:rsid w:val="00AA1C66"/>
    <w:rsid w:val="00AA2511"/>
    <w:rsid w:val="00AA3839"/>
    <w:rsid w:val="00AA3AC9"/>
    <w:rsid w:val="00AA48B8"/>
    <w:rsid w:val="00AA4A7D"/>
    <w:rsid w:val="00AA4C7C"/>
    <w:rsid w:val="00AA4D98"/>
    <w:rsid w:val="00AA5091"/>
    <w:rsid w:val="00AA509A"/>
    <w:rsid w:val="00AA5FD9"/>
    <w:rsid w:val="00AA601E"/>
    <w:rsid w:val="00AA6586"/>
    <w:rsid w:val="00AA68E6"/>
    <w:rsid w:val="00AA6C15"/>
    <w:rsid w:val="00AA6EA1"/>
    <w:rsid w:val="00AA6EB8"/>
    <w:rsid w:val="00AA787F"/>
    <w:rsid w:val="00AB1B84"/>
    <w:rsid w:val="00AB26EB"/>
    <w:rsid w:val="00AB2A7D"/>
    <w:rsid w:val="00AB2EAE"/>
    <w:rsid w:val="00AB2EC6"/>
    <w:rsid w:val="00AB5031"/>
    <w:rsid w:val="00AB5406"/>
    <w:rsid w:val="00AB665C"/>
    <w:rsid w:val="00AB6B5B"/>
    <w:rsid w:val="00AB72DD"/>
    <w:rsid w:val="00AB79A6"/>
    <w:rsid w:val="00AB7E22"/>
    <w:rsid w:val="00AC0047"/>
    <w:rsid w:val="00AC064A"/>
    <w:rsid w:val="00AC0CD8"/>
    <w:rsid w:val="00AC0F0F"/>
    <w:rsid w:val="00AC0F3C"/>
    <w:rsid w:val="00AC2446"/>
    <w:rsid w:val="00AC3513"/>
    <w:rsid w:val="00AC39FD"/>
    <w:rsid w:val="00AC3A80"/>
    <w:rsid w:val="00AC4850"/>
    <w:rsid w:val="00AC48A0"/>
    <w:rsid w:val="00AC5987"/>
    <w:rsid w:val="00AC6198"/>
    <w:rsid w:val="00AC6A7D"/>
    <w:rsid w:val="00AC74C0"/>
    <w:rsid w:val="00AC74DA"/>
    <w:rsid w:val="00AD01CD"/>
    <w:rsid w:val="00AD021F"/>
    <w:rsid w:val="00AD060F"/>
    <w:rsid w:val="00AD0B7E"/>
    <w:rsid w:val="00AD1144"/>
    <w:rsid w:val="00AD1782"/>
    <w:rsid w:val="00AD1963"/>
    <w:rsid w:val="00AD2EBF"/>
    <w:rsid w:val="00AD2FFF"/>
    <w:rsid w:val="00AD3C86"/>
    <w:rsid w:val="00AD4094"/>
    <w:rsid w:val="00AD52E7"/>
    <w:rsid w:val="00AD5700"/>
    <w:rsid w:val="00AD5CB8"/>
    <w:rsid w:val="00AD5D70"/>
    <w:rsid w:val="00AD5EA6"/>
    <w:rsid w:val="00AD5F11"/>
    <w:rsid w:val="00AD6A53"/>
    <w:rsid w:val="00AD6FCD"/>
    <w:rsid w:val="00AD7F3E"/>
    <w:rsid w:val="00AE0253"/>
    <w:rsid w:val="00AE02FD"/>
    <w:rsid w:val="00AE06AF"/>
    <w:rsid w:val="00AE1955"/>
    <w:rsid w:val="00AE19C7"/>
    <w:rsid w:val="00AE1D2F"/>
    <w:rsid w:val="00AE1DBA"/>
    <w:rsid w:val="00AE2A2D"/>
    <w:rsid w:val="00AE334B"/>
    <w:rsid w:val="00AE3403"/>
    <w:rsid w:val="00AE383C"/>
    <w:rsid w:val="00AE4307"/>
    <w:rsid w:val="00AE4C74"/>
    <w:rsid w:val="00AE4EA1"/>
    <w:rsid w:val="00AE5814"/>
    <w:rsid w:val="00AE5950"/>
    <w:rsid w:val="00AE5D2E"/>
    <w:rsid w:val="00AE5DC9"/>
    <w:rsid w:val="00AE651F"/>
    <w:rsid w:val="00AE6A06"/>
    <w:rsid w:val="00AE6DD6"/>
    <w:rsid w:val="00AE757F"/>
    <w:rsid w:val="00AF0142"/>
    <w:rsid w:val="00AF0A5D"/>
    <w:rsid w:val="00AF1538"/>
    <w:rsid w:val="00AF211C"/>
    <w:rsid w:val="00AF2D73"/>
    <w:rsid w:val="00AF312E"/>
    <w:rsid w:val="00AF38C2"/>
    <w:rsid w:val="00AF3A51"/>
    <w:rsid w:val="00AF434F"/>
    <w:rsid w:val="00AF452B"/>
    <w:rsid w:val="00AF4545"/>
    <w:rsid w:val="00AF4618"/>
    <w:rsid w:val="00AF487D"/>
    <w:rsid w:val="00AF48B0"/>
    <w:rsid w:val="00AF495A"/>
    <w:rsid w:val="00AF4AA7"/>
    <w:rsid w:val="00AF5094"/>
    <w:rsid w:val="00AF53A3"/>
    <w:rsid w:val="00AF595A"/>
    <w:rsid w:val="00AF5F37"/>
    <w:rsid w:val="00AF62EB"/>
    <w:rsid w:val="00AF6B90"/>
    <w:rsid w:val="00AF6BD9"/>
    <w:rsid w:val="00AF6E3F"/>
    <w:rsid w:val="00AF75B6"/>
    <w:rsid w:val="00AF7AD7"/>
    <w:rsid w:val="00AF7FD9"/>
    <w:rsid w:val="00B00910"/>
    <w:rsid w:val="00B00995"/>
    <w:rsid w:val="00B009AC"/>
    <w:rsid w:val="00B009EA"/>
    <w:rsid w:val="00B01552"/>
    <w:rsid w:val="00B016D6"/>
    <w:rsid w:val="00B01C38"/>
    <w:rsid w:val="00B01CCE"/>
    <w:rsid w:val="00B02BD4"/>
    <w:rsid w:val="00B02DA3"/>
    <w:rsid w:val="00B03012"/>
    <w:rsid w:val="00B031E7"/>
    <w:rsid w:val="00B03325"/>
    <w:rsid w:val="00B0345B"/>
    <w:rsid w:val="00B03BC6"/>
    <w:rsid w:val="00B0448A"/>
    <w:rsid w:val="00B04FF3"/>
    <w:rsid w:val="00B0524D"/>
    <w:rsid w:val="00B054EC"/>
    <w:rsid w:val="00B05655"/>
    <w:rsid w:val="00B058AD"/>
    <w:rsid w:val="00B05C3C"/>
    <w:rsid w:val="00B06229"/>
    <w:rsid w:val="00B0647E"/>
    <w:rsid w:val="00B0670C"/>
    <w:rsid w:val="00B06EC9"/>
    <w:rsid w:val="00B0720F"/>
    <w:rsid w:val="00B0742E"/>
    <w:rsid w:val="00B07F6A"/>
    <w:rsid w:val="00B10065"/>
    <w:rsid w:val="00B10127"/>
    <w:rsid w:val="00B10439"/>
    <w:rsid w:val="00B10F2A"/>
    <w:rsid w:val="00B13421"/>
    <w:rsid w:val="00B139A7"/>
    <w:rsid w:val="00B1406F"/>
    <w:rsid w:val="00B152B1"/>
    <w:rsid w:val="00B1589C"/>
    <w:rsid w:val="00B15D8E"/>
    <w:rsid w:val="00B16117"/>
    <w:rsid w:val="00B169EB"/>
    <w:rsid w:val="00B16AF9"/>
    <w:rsid w:val="00B16C57"/>
    <w:rsid w:val="00B16FBE"/>
    <w:rsid w:val="00B171E3"/>
    <w:rsid w:val="00B17384"/>
    <w:rsid w:val="00B177DE"/>
    <w:rsid w:val="00B1790E"/>
    <w:rsid w:val="00B17D8D"/>
    <w:rsid w:val="00B204D2"/>
    <w:rsid w:val="00B20776"/>
    <w:rsid w:val="00B20FF7"/>
    <w:rsid w:val="00B210D3"/>
    <w:rsid w:val="00B214CB"/>
    <w:rsid w:val="00B215D1"/>
    <w:rsid w:val="00B2169E"/>
    <w:rsid w:val="00B217D5"/>
    <w:rsid w:val="00B21846"/>
    <w:rsid w:val="00B21A75"/>
    <w:rsid w:val="00B21B5B"/>
    <w:rsid w:val="00B21D49"/>
    <w:rsid w:val="00B21D93"/>
    <w:rsid w:val="00B22526"/>
    <w:rsid w:val="00B22572"/>
    <w:rsid w:val="00B22666"/>
    <w:rsid w:val="00B22AF0"/>
    <w:rsid w:val="00B23B1C"/>
    <w:rsid w:val="00B2492A"/>
    <w:rsid w:val="00B24A0A"/>
    <w:rsid w:val="00B24B6A"/>
    <w:rsid w:val="00B25060"/>
    <w:rsid w:val="00B26BDB"/>
    <w:rsid w:val="00B26E15"/>
    <w:rsid w:val="00B278AE"/>
    <w:rsid w:val="00B3013C"/>
    <w:rsid w:val="00B30CFF"/>
    <w:rsid w:val="00B32182"/>
    <w:rsid w:val="00B324A8"/>
    <w:rsid w:val="00B32765"/>
    <w:rsid w:val="00B329F5"/>
    <w:rsid w:val="00B32A81"/>
    <w:rsid w:val="00B331CC"/>
    <w:rsid w:val="00B33AE0"/>
    <w:rsid w:val="00B33BC2"/>
    <w:rsid w:val="00B34771"/>
    <w:rsid w:val="00B34E25"/>
    <w:rsid w:val="00B35342"/>
    <w:rsid w:val="00B3550E"/>
    <w:rsid w:val="00B356BE"/>
    <w:rsid w:val="00B3579D"/>
    <w:rsid w:val="00B357D3"/>
    <w:rsid w:val="00B35C1E"/>
    <w:rsid w:val="00B35C91"/>
    <w:rsid w:val="00B35CE6"/>
    <w:rsid w:val="00B36F14"/>
    <w:rsid w:val="00B372FF"/>
    <w:rsid w:val="00B3731C"/>
    <w:rsid w:val="00B379C9"/>
    <w:rsid w:val="00B37AD0"/>
    <w:rsid w:val="00B37C22"/>
    <w:rsid w:val="00B37ECB"/>
    <w:rsid w:val="00B40796"/>
    <w:rsid w:val="00B409D0"/>
    <w:rsid w:val="00B4108F"/>
    <w:rsid w:val="00B4129B"/>
    <w:rsid w:val="00B41608"/>
    <w:rsid w:val="00B4164C"/>
    <w:rsid w:val="00B416C1"/>
    <w:rsid w:val="00B41C9F"/>
    <w:rsid w:val="00B42FAC"/>
    <w:rsid w:val="00B432A5"/>
    <w:rsid w:val="00B434F2"/>
    <w:rsid w:val="00B43715"/>
    <w:rsid w:val="00B43EBE"/>
    <w:rsid w:val="00B44E93"/>
    <w:rsid w:val="00B453D6"/>
    <w:rsid w:val="00B45FCD"/>
    <w:rsid w:val="00B4600E"/>
    <w:rsid w:val="00B46924"/>
    <w:rsid w:val="00B46CF5"/>
    <w:rsid w:val="00B474DC"/>
    <w:rsid w:val="00B47AF2"/>
    <w:rsid w:val="00B47B59"/>
    <w:rsid w:val="00B47C13"/>
    <w:rsid w:val="00B5142D"/>
    <w:rsid w:val="00B51675"/>
    <w:rsid w:val="00B51A57"/>
    <w:rsid w:val="00B51C82"/>
    <w:rsid w:val="00B52966"/>
    <w:rsid w:val="00B52A69"/>
    <w:rsid w:val="00B52E14"/>
    <w:rsid w:val="00B52E7C"/>
    <w:rsid w:val="00B53269"/>
    <w:rsid w:val="00B53DCA"/>
    <w:rsid w:val="00B53F81"/>
    <w:rsid w:val="00B54A5E"/>
    <w:rsid w:val="00B54DAB"/>
    <w:rsid w:val="00B556B8"/>
    <w:rsid w:val="00B56C2B"/>
    <w:rsid w:val="00B57A67"/>
    <w:rsid w:val="00B60043"/>
    <w:rsid w:val="00B606FC"/>
    <w:rsid w:val="00B609F6"/>
    <w:rsid w:val="00B60F48"/>
    <w:rsid w:val="00B612C4"/>
    <w:rsid w:val="00B61E38"/>
    <w:rsid w:val="00B628A3"/>
    <w:rsid w:val="00B62E04"/>
    <w:rsid w:val="00B63163"/>
    <w:rsid w:val="00B63281"/>
    <w:rsid w:val="00B63588"/>
    <w:rsid w:val="00B63613"/>
    <w:rsid w:val="00B63659"/>
    <w:rsid w:val="00B638B4"/>
    <w:rsid w:val="00B63A8B"/>
    <w:rsid w:val="00B63FDF"/>
    <w:rsid w:val="00B649AF"/>
    <w:rsid w:val="00B64B90"/>
    <w:rsid w:val="00B6577B"/>
    <w:rsid w:val="00B65BD3"/>
    <w:rsid w:val="00B65EC0"/>
    <w:rsid w:val="00B666D2"/>
    <w:rsid w:val="00B6670E"/>
    <w:rsid w:val="00B66ABD"/>
    <w:rsid w:val="00B66F45"/>
    <w:rsid w:val="00B6727D"/>
    <w:rsid w:val="00B67E07"/>
    <w:rsid w:val="00B67E2E"/>
    <w:rsid w:val="00B67EE6"/>
    <w:rsid w:val="00B7016B"/>
    <w:rsid w:val="00B70469"/>
    <w:rsid w:val="00B70496"/>
    <w:rsid w:val="00B70979"/>
    <w:rsid w:val="00B70A86"/>
    <w:rsid w:val="00B70E0C"/>
    <w:rsid w:val="00B711D4"/>
    <w:rsid w:val="00B71897"/>
    <w:rsid w:val="00B71D30"/>
    <w:rsid w:val="00B725F7"/>
    <w:rsid w:val="00B72794"/>
    <w:rsid w:val="00B72DD8"/>
    <w:rsid w:val="00B72E09"/>
    <w:rsid w:val="00B73288"/>
    <w:rsid w:val="00B738B7"/>
    <w:rsid w:val="00B738EA"/>
    <w:rsid w:val="00B73D9B"/>
    <w:rsid w:val="00B7482B"/>
    <w:rsid w:val="00B74E54"/>
    <w:rsid w:val="00B752A1"/>
    <w:rsid w:val="00B75A6F"/>
    <w:rsid w:val="00B75C53"/>
    <w:rsid w:val="00B767B0"/>
    <w:rsid w:val="00B77827"/>
    <w:rsid w:val="00B7788A"/>
    <w:rsid w:val="00B77ADA"/>
    <w:rsid w:val="00B77DDC"/>
    <w:rsid w:val="00B805F4"/>
    <w:rsid w:val="00B8073B"/>
    <w:rsid w:val="00B80C33"/>
    <w:rsid w:val="00B8172D"/>
    <w:rsid w:val="00B81AD2"/>
    <w:rsid w:val="00B823C2"/>
    <w:rsid w:val="00B828A5"/>
    <w:rsid w:val="00B82EC4"/>
    <w:rsid w:val="00B8323B"/>
    <w:rsid w:val="00B835CA"/>
    <w:rsid w:val="00B83B62"/>
    <w:rsid w:val="00B83BE1"/>
    <w:rsid w:val="00B83D17"/>
    <w:rsid w:val="00B84687"/>
    <w:rsid w:val="00B8475C"/>
    <w:rsid w:val="00B8476F"/>
    <w:rsid w:val="00B8652B"/>
    <w:rsid w:val="00B867BF"/>
    <w:rsid w:val="00B86892"/>
    <w:rsid w:val="00B86BC7"/>
    <w:rsid w:val="00B86E49"/>
    <w:rsid w:val="00B86ECC"/>
    <w:rsid w:val="00B86FF4"/>
    <w:rsid w:val="00B8737E"/>
    <w:rsid w:val="00B873A2"/>
    <w:rsid w:val="00B87C4F"/>
    <w:rsid w:val="00B87E87"/>
    <w:rsid w:val="00B9064B"/>
    <w:rsid w:val="00B90797"/>
    <w:rsid w:val="00B9087F"/>
    <w:rsid w:val="00B90D95"/>
    <w:rsid w:val="00B9173D"/>
    <w:rsid w:val="00B91CD6"/>
    <w:rsid w:val="00B925A6"/>
    <w:rsid w:val="00B92918"/>
    <w:rsid w:val="00B92A8D"/>
    <w:rsid w:val="00B930A5"/>
    <w:rsid w:val="00B93FD9"/>
    <w:rsid w:val="00B9417F"/>
    <w:rsid w:val="00B941F0"/>
    <w:rsid w:val="00B94F24"/>
    <w:rsid w:val="00B94FD0"/>
    <w:rsid w:val="00B96692"/>
    <w:rsid w:val="00B96709"/>
    <w:rsid w:val="00B96B3E"/>
    <w:rsid w:val="00B96FD2"/>
    <w:rsid w:val="00B97142"/>
    <w:rsid w:val="00B971C5"/>
    <w:rsid w:val="00B97F53"/>
    <w:rsid w:val="00BA00D2"/>
    <w:rsid w:val="00BA097F"/>
    <w:rsid w:val="00BA0B1E"/>
    <w:rsid w:val="00BA0DCC"/>
    <w:rsid w:val="00BA239A"/>
    <w:rsid w:val="00BA252D"/>
    <w:rsid w:val="00BA2615"/>
    <w:rsid w:val="00BA2AC6"/>
    <w:rsid w:val="00BA2F00"/>
    <w:rsid w:val="00BA30EE"/>
    <w:rsid w:val="00BA315F"/>
    <w:rsid w:val="00BA31D9"/>
    <w:rsid w:val="00BA3255"/>
    <w:rsid w:val="00BA3365"/>
    <w:rsid w:val="00BA387C"/>
    <w:rsid w:val="00BA3A46"/>
    <w:rsid w:val="00BA3FCD"/>
    <w:rsid w:val="00BA4078"/>
    <w:rsid w:val="00BA4320"/>
    <w:rsid w:val="00BA4ACB"/>
    <w:rsid w:val="00BA4AFD"/>
    <w:rsid w:val="00BA52B7"/>
    <w:rsid w:val="00BA5779"/>
    <w:rsid w:val="00BA595D"/>
    <w:rsid w:val="00BA5D5F"/>
    <w:rsid w:val="00BA5FFB"/>
    <w:rsid w:val="00BA6061"/>
    <w:rsid w:val="00BA6529"/>
    <w:rsid w:val="00BA67FA"/>
    <w:rsid w:val="00BA72BF"/>
    <w:rsid w:val="00BA769D"/>
    <w:rsid w:val="00BA7E55"/>
    <w:rsid w:val="00BA7F4A"/>
    <w:rsid w:val="00BB08FB"/>
    <w:rsid w:val="00BB0C42"/>
    <w:rsid w:val="00BB10C4"/>
    <w:rsid w:val="00BB19BC"/>
    <w:rsid w:val="00BB1DA4"/>
    <w:rsid w:val="00BB23F6"/>
    <w:rsid w:val="00BB2B4B"/>
    <w:rsid w:val="00BB3694"/>
    <w:rsid w:val="00BB43E9"/>
    <w:rsid w:val="00BB45D5"/>
    <w:rsid w:val="00BB5216"/>
    <w:rsid w:val="00BB5DDA"/>
    <w:rsid w:val="00BB6306"/>
    <w:rsid w:val="00BB65D2"/>
    <w:rsid w:val="00BB6E54"/>
    <w:rsid w:val="00BB6EFD"/>
    <w:rsid w:val="00BB757E"/>
    <w:rsid w:val="00BC0892"/>
    <w:rsid w:val="00BC09D2"/>
    <w:rsid w:val="00BC0A6A"/>
    <w:rsid w:val="00BC0BA3"/>
    <w:rsid w:val="00BC0C54"/>
    <w:rsid w:val="00BC15A2"/>
    <w:rsid w:val="00BC183B"/>
    <w:rsid w:val="00BC1F1B"/>
    <w:rsid w:val="00BC22F3"/>
    <w:rsid w:val="00BC2527"/>
    <w:rsid w:val="00BC263E"/>
    <w:rsid w:val="00BC2C5F"/>
    <w:rsid w:val="00BC31B7"/>
    <w:rsid w:val="00BC3420"/>
    <w:rsid w:val="00BC4379"/>
    <w:rsid w:val="00BC4B04"/>
    <w:rsid w:val="00BC4BF4"/>
    <w:rsid w:val="00BC50D2"/>
    <w:rsid w:val="00BC51CC"/>
    <w:rsid w:val="00BC5359"/>
    <w:rsid w:val="00BC56AF"/>
    <w:rsid w:val="00BC5800"/>
    <w:rsid w:val="00BC6AAD"/>
    <w:rsid w:val="00BC6B7B"/>
    <w:rsid w:val="00BC6BB8"/>
    <w:rsid w:val="00BC6F61"/>
    <w:rsid w:val="00BC728E"/>
    <w:rsid w:val="00BC7292"/>
    <w:rsid w:val="00BC7347"/>
    <w:rsid w:val="00BC7AA2"/>
    <w:rsid w:val="00BC7E2B"/>
    <w:rsid w:val="00BD014C"/>
    <w:rsid w:val="00BD1214"/>
    <w:rsid w:val="00BD13D7"/>
    <w:rsid w:val="00BD2475"/>
    <w:rsid w:val="00BD2CD6"/>
    <w:rsid w:val="00BD3247"/>
    <w:rsid w:val="00BD339E"/>
    <w:rsid w:val="00BD39F0"/>
    <w:rsid w:val="00BD4129"/>
    <w:rsid w:val="00BD4223"/>
    <w:rsid w:val="00BD4786"/>
    <w:rsid w:val="00BD4CD7"/>
    <w:rsid w:val="00BD59F2"/>
    <w:rsid w:val="00BD5A80"/>
    <w:rsid w:val="00BD5B96"/>
    <w:rsid w:val="00BD68EE"/>
    <w:rsid w:val="00BD7B56"/>
    <w:rsid w:val="00BD7F55"/>
    <w:rsid w:val="00BE003A"/>
    <w:rsid w:val="00BE0C00"/>
    <w:rsid w:val="00BE1615"/>
    <w:rsid w:val="00BE1849"/>
    <w:rsid w:val="00BE2379"/>
    <w:rsid w:val="00BE2BAD"/>
    <w:rsid w:val="00BE2E2A"/>
    <w:rsid w:val="00BE2EE6"/>
    <w:rsid w:val="00BE3030"/>
    <w:rsid w:val="00BE32B3"/>
    <w:rsid w:val="00BE3790"/>
    <w:rsid w:val="00BE455D"/>
    <w:rsid w:val="00BE5B5B"/>
    <w:rsid w:val="00BE6D55"/>
    <w:rsid w:val="00BE6D5D"/>
    <w:rsid w:val="00BF00D9"/>
    <w:rsid w:val="00BF0C69"/>
    <w:rsid w:val="00BF10E0"/>
    <w:rsid w:val="00BF1451"/>
    <w:rsid w:val="00BF1A67"/>
    <w:rsid w:val="00BF1CA1"/>
    <w:rsid w:val="00BF3086"/>
    <w:rsid w:val="00BF3242"/>
    <w:rsid w:val="00BF35C6"/>
    <w:rsid w:val="00BF43B8"/>
    <w:rsid w:val="00BF456C"/>
    <w:rsid w:val="00BF58C0"/>
    <w:rsid w:val="00BF5DF0"/>
    <w:rsid w:val="00BF6216"/>
    <w:rsid w:val="00BF629B"/>
    <w:rsid w:val="00BF655C"/>
    <w:rsid w:val="00BF6DE5"/>
    <w:rsid w:val="00BF775E"/>
    <w:rsid w:val="00C002EA"/>
    <w:rsid w:val="00C00F81"/>
    <w:rsid w:val="00C0136A"/>
    <w:rsid w:val="00C017DB"/>
    <w:rsid w:val="00C01C09"/>
    <w:rsid w:val="00C01D02"/>
    <w:rsid w:val="00C021FD"/>
    <w:rsid w:val="00C02CD9"/>
    <w:rsid w:val="00C02CE0"/>
    <w:rsid w:val="00C03300"/>
    <w:rsid w:val="00C0386D"/>
    <w:rsid w:val="00C03A2C"/>
    <w:rsid w:val="00C03CE0"/>
    <w:rsid w:val="00C04242"/>
    <w:rsid w:val="00C04490"/>
    <w:rsid w:val="00C0510C"/>
    <w:rsid w:val="00C05653"/>
    <w:rsid w:val="00C059E0"/>
    <w:rsid w:val="00C0659F"/>
    <w:rsid w:val="00C06C3F"/>
    <w:rsid w:val="00C06D04"/>
    <w:rsid w:val="00C0730C"/>
    <w:rsid w:val="00C07334"/>
    <w:rsid w:val="00C075EF"/>
    <w:rsid w:val="00C07BDF"/>
    <w:rsid w:val="00C10582"/>
    <w:rsid w:val="00C10951"/>
    <w:rsid w:val="00C10F24"/>
    <w:rsid w:val="00C10F38"/>
    <w:rsid w:val="00C10FE5"/>
    <w:rsid w:val="00C11E83"/>
    <w:rsid w:val="00C11FB0"/>
    <w:rsid w:val="00C12751"/>
    <w:rsid w:val="00C12CCD"/>
    <w:rsid w:val="00C14193"/>
    <w:rsid w:val="00C14286"/>
    <w:rsid w:val="00C147F7"/>
    <w:rsid w:val="00C1567F"/>
    <w:rsid w:val="00C1587C"/>
    <w:rsid w:val="00C158CB"/>
    <w:rsid w:val="00C15B6C"/>
    <w:rsid w:val="00C15CBD"/>
    <w:rsid w:val="00C15DDC"/>
    <w:rsid w:val="00C16253"/>
    <w:rsid w:val="00C16278"/>
    <w:rsid w:val="00C16456"/>
    <w:rsid w:val="00C200E1"/>
    <w:rsid w:val="00C204C0"/>
    <w:rsid w:val="00C2059F"/>
    <w:rsid w:val="00C20865"/>
    <w:rsid w:val="00C20EAD"/>
    <w:rsid w:val="00C21ED8"/>
    <w:rsid w:val="00C21F7C"/>
    <w:rsid w:val="00C232C3"/>
    <w:rsid w:val="00C236ED"/>
    <w:rsid w:val="00C2378A"/>
    <w:rsid w:val="00C23AFA"/>
    <w:rsid w:val="00C2442B"/>
    <w:rsid w:val="00C24895"/>
    <w:rsid w:val="00C24A1F"/>
    <w:rsid w:val="00C24C37"/>
    <w:rsid w:val="00C24F98"/>
    <w:rsid w:val="00C25761"/>
    <w:rsid w:val="00C2591D"/>
    <w:rsid w:val="00C25ECD"/>
    <w:rsid w:val="00C2673A"/>
    <w:rsid w:val="00C27228"/>
    <w:rsid w:val="00C27722"/>
    <w:rsid w:val="00C27F09"/>
    <w:rsid w:val="00C30471"/>
    <w:rsid w:val="00C3068D"/>
    <w:rsid w:val="00C30974"/>
    <w:rsid w:val="00C30C69"/>
    <w:rsid w:val="00C30FBD"/>
    <w:rsid w:val="00C312BF"/>
    <w:rsid w:val="00C313FC"/>
    <w:rsid w:val="00C3184B"/>
    <w:rsid w:val="00C31C1B"/>
    <w:rsid w:val="00C31F08"/>
    <w:rsid w:val="00C32825"/>
    <w:rsid w:val="00C32B23"/>
    <w:rsid w:val="00C33202"/>
    <w:rsid w:val="00C339B9"/>
    <w:rsid w:val="00C34013"/>
    <w:rsid w:val="00C344EA"/>
    <w:rsid w:val="00C347CF"/>
    <w:rsid w:val="00C34AEE"/>
    <w:rsid w:val="00C34AFC"/>
    <w:rsid w:val="00C34BE4"/>
    <w:rsid w:val="00C34DFC"/>
    <w:rsid w:val="00C34EFB"/>
    <w:rsid w:val="00C35446"/>
    <w:rsid w:val="00C35A05"/>
    <w:rsid w:val="00C35C2C"/>
    <w:rsid w:val="00C35F9B"/>
    <w:rsid w:val="00C3640F"/>
    <w:rsid w:val="00C36529"/>
    <w:rsid w:val="00C36558"/>
    <w:rsid w:val="00C3681C"/>
    <w:rsid w:val="00C37440"/>
    <w:rsid w:val="00C37517"/>
    <w:rsid w:val="00C37827"/>
    <w:rsid w:val="00C378A1"/>
    <w:rsid w:val="00C37FB0"/>
    <w:rsid w:val="00C40280"/>
    <w:rsid w:val="00C408D4"/>
    <w:rsid w:val="00C40F62"/>
    <w:rsid w:val="00C4158C"/>
    <w:rsid w:val="00C417F1"/>
    <w:rsid w:val="00C41A58"/>
    <w:rsid w:val="00C41DA8"/>
    <w:rsid w:val="00C42538"/>
    <w:rsid w:val="00C42917"/>
    <w:rsid w:val="00C4324B"/>
    <w:rsid w:val="00C43CF9"/>
    <w:rsid w:val="00C43DDA"/>
    <w:rsid w:val="00C440A0"/>
    <w:rsid w:val="00C44923"/>
    <w:rsid w:val="00C44BAA"/>
    <w:rsid w:val="00C44D48"/>
    <w:rsid w:val="00C450FB"/>
    <w:rsid w:val="00C4522E"/>
    <w:rsid w:val="00C46208"/>
    <w:rsid w:val="00C467A6"/>
    <w:rsid w:val="00C47039"/>
    <w:rsid w:val="00C4787B"/>
    <w:rsid w:val="00C47CF5"/>
    <w:rsid w:val="00C47F81"/>
    <w:rsid w:val="00C50559"/>
    <w:rsid w:val="00C50DE2"/>
    <w:rsid w:val="00C5179F"/>
    <w:rsid w:val="00C517A4"/>
    <w:rsid w:val="00C520E6"/>
    <w:rsid w:val="00C52749"/>
    <w:rsid w:val="00C5347C"/>
    <w:rsid w:val="00C545A1"/>
    <w:rsid w:val="00C54E86"/>
    <w:rsid w:val="00C553FA"/>
    <w:rsid w:val="00C55B66"/>
    <w:rsid w:val="00C55D7C"/>
    <w:rsid w:val="00C56BFD"/>
    <w:rsid w:val="00C570E5"/>
    <w:rsid w:val="00C573C7"/>
    <w:rsid w:val="00C575E4"/>
    <w:rsid w:val="00C57D63"/>
    <w:rsid w:val="00C60111"/>
    <w:rsid w:val="00C601D6"/>
    <w:rsid w:val="00C601F9"/>
    <w:rsid w:val="00C605CE"/>
    <w:rsid w:val="00C60E11"/>
    <w:rsid w:val="00C60F46"/>
    <w:rsid w:val="00C610ED"/>
    <w:rsid w:val="00C611F9"/>
    <w:rsid w:val="00C6142B"/>
    <w:rsid w:val="00C619B9"/>
    <w:rsid w:val="00C620ED"/>
    <w:rsid w:val="00C621D6"/>
    <w:rsid w:val="00C62265"/>
    <w:rsid w:val="00C62BB1"/>
    <w:rsid w:val="00C63D75"/>
    <w:rsid w:val="00C63E08"/>
    <w:rsid w:val="00C64926"/>
    <w:rsid w:val="00C64B6B"/>
    <w:rsid w:val="00C650C2"/>
    <w:rsid w:val="00C6555A"/>
    <w:rsid w:val="00C65A2C"/>
    <w:rsid w:val="00C65B63"/>
    <w:rsid w:val="00C66237"/>
    <w:rsid w:val="00C66393"/>
    <w:rsid w:val="00C663AE"/>
    <w:rsid w:val="00C668D8"/>
    <w:rsid w:val="00C66FDC"/>
    <w:rsid w:val="00C67445"/>
    <w:rsid w:val="00C6783B"/>
    <w:rsid w:val="00C70389"/>
    <w:rsid w:val="00C7069C"/>
    <w:rsid w:val="00C70858"/>
    <w:rsid w:val="00C70D0A"/>
    <w:rsid w:val="00C7129C"/>
    <w:rsid w:val="00C720CA"/>
    <w:rsid w:val="00C729EE"/>
    <w:rsid w:val="00C72A90"/>
    <w:rsid w:val="00C73339"/>
    <w:rsid w:val="00C7382F"/>
    <w:rsid w:val="00C738F8"/>
    <w:rsid w:val="00C73AE9"/>
    <w:rsid w:val="00C74A03"/>
    <w:rsid w:val="00C75761"/>
    <w:rsid w:val="00C75855"/>
    <w:rsid w:val="00C75A4F"/>
    <w:rsid w:val="00C7663C"/>
    <w:rsid w:val="00C76B26"/>
    <w:rsid w:val="00C76B89"/>
    <w:rsid w:val="00C7766C"/>
    <w:rsid w:val="00C7785C"/>
    <w:rsid w:val="00C805B0"/>
    <w:rsid w:val="00C808E0"/>
    <w:rsid w:val="00C81525"/>
    <w:rsid w:val="00C82C15"/>
    <w:rsid w:val="00C82D86"/>
    <w:rsid w:val="00C82E64"/>
    <w:rsid w:val="00C839DD"/>
    <w:rsid w:val="00C83D2E"/>
    <w:rsid w:val="00C85043"/>
    <w:rsid w:val="00C852FE"/>
    <w:rsid w:val="00C85C41"/>
    <w:rsid w:val="00C86A6C"/>
    <w:rsid w:val="00C86EEE"/>
    <w:rsid w:val="00C871D9"/>
    <w:rsid w:val="00C8762A"/>
    <w:rsid w:val="00C878D8"/>
    <w:rsid w:val="00C90FE7"/>
    <w:rsid w:val="00C91210"/>
    <w:rsid w:val="00C91D50"/>
    <w:rsid w:val="00C92A5B"/>
    <w:rsid w:val="00C931A8"/>
    <w:rsid w:val="00C93D31"/>
    <w:rsid w:val="00C94DCA"/>
    <w:rsid w:val="00C9507E"/>
    <w:rsid w:val="00C952BD"/>
    <w:rsid w:val="00C95C56"/>
    <w:rsid w:val="00C96169"/>
    <w:rsid w:val="00C961E4"/>
    <w:rsid w:val="00C96EDE"/>
    <w:rsid w:val="00C96FCB"/>
    <w:rsid w:val="00C9703F"/>
    <w:rsid w:val="00C97CE6"/>
    <w:rsid w:val="00C97D21"/>
    <w:rsid w:val="00CA021B"/>
    <w:rsid w:val="00CA0355"/>
    <w:rsid w:val="00CA113D"/>
    <w:rsid w:val="00CA1278"/>
    <w:rsid w:val="00CA1508"/>
    <w:rsid w:val="00CA1763"/>
    <w:rsid w:val="00CA1E36"/>
    <w:rsid w:val="00CA2025"/>
    <w:rsid w:val="00CA24AE"/>
    <w:rsid w:val="00CA28B5"/>
    <w:rsid w:val="00CA28C5"/>
    <w:rsid w:val="00CA2C13"/>
    <w:rsid w:val="00CA2C7F"/>
    <w:rsid w:val="00CA3555"/>
    <w:rsid w:val="00CA3568"/>
    <w:rsid w:val="00CA4301"/>
    <w:rsid w:val="00CA469A"/>
    <w:rsid w:val="00CA4DC8"/>
    <w:rsid w:val="00CA4F33"/>
    <w:rsid w:val="00CA5061"/>
    <w:rsid w:val="00CA516C"/>
    <w:rsid w:val="00CA566C"/>
    <w:rsid w:val="00CA65A9"/>
    <w:rsid w:val="00CA6894"/>
    <w:rsid w:val="00CA6BC7"/>
    <w:rsid w:val="00CA6FBB"/>
    <w:rsid w:val="00CA76E1"/>
    <w:rsid w:val="00CA7808"/>
    <w:rsid w:val="00CA7816"/>
    <w:rsid w:val="00CB24CD"/>
    <w:rsid w:val="00CB2FAC"/>
    <w:rsid w:val="00CB3436"/>
    <w:rsid w:val="00CB3547"/>
    <w:rsid w:val="00CB3B7A"/>
    <w:rsid w:val="00CB4B8D"/>
    <w:rsid w:val="00CB53F9"/>
    <w:rsid w:val="00CB599F"/>
    <w:rsid w:val="00CB65B0"/>
    <w:rsid w:val="00CB65C8"/>
    <w:rsid w:val="00CB7DD1"/>
    <w:rsid w:val="00CC0135"/>
    <w:rsid w:val="00CC0528"/>
    <w:rsid w:val="00CC0DDA"/>
    <w:rsid w:val="00CC1286"/>
    <w:rsid w:val="00CC14CC"/>
    <w:rsid w:val="00CC1F40"/>
    <w:rsid w:val="00CC2EB9"/>
    <w:rsid w:val="00CC326C"/>
    <w:rsid w:val="00CC4929"/>
    <w:rsid w:val="00CC592A"/>
    <w:rsid w:val="00CC6B10"/>
    <w:rsid w:val="00CC74C4"/>
    <w:rsid w:val="00CC7691"/>
    <w:rsid w:val="00CC7C71"/>
    <w:rsid w:val="00CD0E76"/>
    <w:rsid w:val="00CD1B7C"/>
    <w:rsid w:val="00CD1C6C"/>
    <w:rsid w:val="00CD1F85"/>
    <w:rsid w:val="00CD203A"/>
    <w:rsid w:val="00CD2049"/>
    <w:rsid w:val="00CD2721"/>
    <w:rsid w:val="00CD2983"/>
    <w:rsid w:val="00CD2AAF"/>
    <w:rsid w:val="00CD3314"/>
    <w:rsid w:val="00CD3769"/>
    <w:rsid w:val="00CD39D7"/>
    <w:rsid w:val="00CD3FF9"/>
    <w:rsid w:val="00CD436C"/>
    <w:rsid w:val="00CD4440"/>
    <w:rsid w:val="00CD5382"/>
    <w:rsid w:val="00CD5CB9"/>
    <w:rsid w:val="00CD684F"/>
    <w:rsid w:val="00CD6D9D"/>
    <w:rsid w:val="00CD70EB"/>
    <w:rsid w:val="00CE020F"/>
    <w:rsid w:val="00CE0232"/>
    <w:rsid w:val="00CE15D1"/>
    <w:rsid w:val="00CE1CC7"/>
    <w:rsid w:val="00CE223D"/>
    <w:rsid w:val="00CE2374"/>
    <w:rsid w:val="00CE278D"/>
    <w:rsid w:val="00CE2CA4"/>
    <w:rsid w:val="00CE35D1"/>
    <w:rsid w:val="00CE3998"/>
    <w:rsid w:val="00CE487F"/>
    <w:rsid w:val="00CE4BE9"/>
    <w:rsid w:val="00CE4D17"/>
    <w:rsid w:val="00CE52B5"/>
    <w:rsid w:val="00CE5441"/>
    <w:rsid w:val="00CE5666"/>
    <w:rsid w:val="00CE6069"/>
    <w:rsid w:val="00CE62CB"/>
    <w:rsid w:val="00CE6B8B"/>
    <w:rsid w:val="00CE7039"/>
    <w:rsid w:val="00CE7755"/>
    <w:rsid w:val="00CE7868"/>
    <w:rsid w:val="00CE7A9F"/>
    <w:rsid w:val="00CF0548"/>
    <w:rsid w:val="00CF0AD6"/>
    <w:rsid w:val="00CF1155"/>
    <w:rsid w:val="00CF131A"/>
    <w:rsid w:val="00CF1985"/>
    <w:rsid w:val="00CF1EE2"/>
    <w:rsid w:val="00CF2151"/>
    <w:rsid w:val="00CF2700"/>
    <w:rsid w:val="00CF35F7"/>
    <w:rsid w:val="00CF3630"/>
    <w:rsid w:val="00CF3E2E"/>
    <w:rsid w:val="00CF44B5"/>
    <w:rsid w:val="00CF4731"/>
    <w:rsid w:val="00CF4EAA"/>
    <w:rsid w:val="00CF581F"/>
    <w:rsid w:val="00CF639D"/>
    <w:rsid w:val="00CF763D"/>
    <w:rsid w:val="00CF7A3C"/>
    <w:rsid w:val="00CF7C94"/>
    <w:rsid w:val="00CF7F77"/>
    <w:rsid w:val="00D00103"/>
    <w:rsid w:val="00D002F3"/>
    <w:rsid w:val="00D005C0"/>
    <w:rsid w:val="00D02132"/>
    <w:rsid w:val="00D028AE"/>
    <w:rsid w:val="00D029AE"/>
    <w:rsid w:val="00D0329E"/>
    <w:rsid w:val="00D034A1"/>
    <w:rsid w:val="00D036E8"/>
    <w:rsid w:val="00D03802"/>
    <w:rsid w:val="00D03A93"/>
    <w:rsid w:val="00D03E1C"/>
    <w:rsid w:val="00D041F3"/>
    <w:rsid w:val="00D04405"/>
    <w:rsid w:val="00D046C5"/>
    <w:rsid w:val="00D04869"/>
    <w:rsid w:val="00D04B06"/>
    <w:rsid w:val="00D04BAA"/>
    <w:rsid w:val="00D04E4D"/>
    <w:rsid w:val="00D052C7"/>
    <w:rsid w:val="00D0549D"/>
    <w:rsid w:val="00D056E6"/>
    <w:rsid w:val="00D05B3F"/>
    <w:rsid w:val="00D05C89"/>
    <w:rsid w:val="00D06623"/>
    <w:rsid w:val="00D06B69"/>
    <w:rsid w:val="00D07642"/>
    <w:rsid w:val="00D07906"/>
    <w:rsid w:val="00D0799F"/>
    <w:rsid w:val="00D10564"/>
    <w:rsid w:val="00D106A1"/>
    <w:rsid w:val="00D10E13"/>
    <w:rsid w:val="00D1103E"/>
    <w:rsid w:val="00D112D7"/>
    <w:rsid w:val="00D116B3"/>
    <w:rsid w:val="00D1180B"/>
    <w:rsid w:val="00D11867"/>
    <w:rsid w:val="00D11D4B"/>
    <w:rsid w:val="00D127C0"/>
    <w:rsid w:val="00D12828"/>
    <w:rsid w:val="00D1296D"/>
    <w:rsid w:val="00D12A13"/>
    <w:rsid w:val="00D12A84"/>
    <w:rsid w:val="00D12FCF"/>
    <w:rsid w:val="00D13293"/>
    <w:rsid w:val="00D133A7"/>
    <w:rsid w:val="00D133C0"/>
    <w:rsid w:val="00D14C6B"/>
    <w:rsid w:val="00D14CF9"/>
    <w:rsid w:val="00D15931"/>
    <w:rsid w:val="00D15AD9"/>
    <w:rsid w:val="00D177C0"/>
    <w:rsid w:val="00D17C0E"/>
    <w:rsid w:val="00D20463"/>
    <w:rsid w:val="00D2048D"/>
    <w:rsid w:val="00D2092C"/>
    <w:rsid w:val="00D210AC"/>
    <w:rsid w:val="00D215FF"/>
    <w:rsid w:val="00D21FC6"/>
    <w:rsid w:val="00D22545"/>
    <w:rsid w:val="00D228BD"/>
    <w:rsid w:val="00D22DCF"/>
    <w:rsid w:val="00D23371"/>
    <w:rsid w:val="00D23707"/>
    <w:rsid w:val="00D2379A"/>
    <w:rsid w:val="00D237F6"/>
    <w:rsid w:val="00D23FCD"/>
    <w:rsid w:val="00D247E2"/>
    <w:rsid w:val="00D24C95"/>
    <w:rsid w:val="00D24F1B"/>
    <w:rsid w:val="00D2522A"/>
    <w:rsid w:val="00D25776"/>
    <w:rsid w:val="00D26240"/>
    <w:rsid w:val="00D2626A"/>
    <w:rsid w:val="00D267D8"/>
    <w:rsid w:val="00D274E8"/>
    <w:rsid w:val="00D30169"/>
    <w:rsid w:val="00D30189"/>
    <w:rsid w:val="00D301AC"/>
    <w:rsid w:val="00D30EBF"/>
    <w:rsid w:val="00D32123"/>
    <w:rsid w:val="00D32898"/>
    <w:rsid w:val="00D32ABF"/>
    <w:rsid w:val="00D332EF"/>
    <w:rsid w:val="00D333D0"/>
    <w:rsid w:val="00D34718"/>
    <w:rsid w:val="00D34899"/>
    <w:rsid w:val="00D349AB"/>
    <w:rsid w:val="00D35405"/>
    <w:rsid w:val="00D35443"/>
    <w:rsid w:val="00D356DA"/>
    <w:rsid w:val="00D3587D"/>
    <w:rsid w:val="00D3592D"/>
    <w:rsid w:val="00D36ADE"/>
    <w:rsid w:val="00D36E6D"/>
    <w:rsid w:val="00D36ECF"/>
    <w:rsid w:val="00D378DC"/>
    <w:rsid w:val="00D40686"/>
    <w:rsid w:val="00D4189D"/>
    <w:rsid w:val="00D41DE6"/>
    <w:rsid w:val="00D41E85"/>
    <w:rsid w:val="00D42800"/>
    <w:rsid w:val="00D433BF"/>
    <w:rsid w:val="00D43FF4"/>
    <w:rsid w:val="00D44ADB"/>
    <w:rsid w:val="00D44DF8"/>
    <w:rsid w:val="00D45915"/>
    <w:rsid w:val="00D4701B"/>
    <w:rsid w:val="00D47172"/>
    <w:rsid w:val="00D473CE"/>
    <w:rsid w:val="00D478A5"/>
    <w:rsid w:val="00D47C91"/>
    <w:rsid w:val="00D47F45"/>
    <w:rsid w:val="00D50056"/>
    <w:rsid w:val="00D50D19"/>
    <w:rsid w:val="00D51327"/>
    <w:rsid w:val="00D51BCA"/>
    <w:rsid w:val="00D51C43"/>
    <w:rsid w:val="00D51DB3"/>
    <w:rsid w:val="00D51F97"/>
    <w:rsid w:val="00D52878"/>
    <w:rsid w:val="00D53405"/>
    <w:rsid w:val="00D53F0B"/>
    <w:rsid w:val="00D5429F"/>
    <w:rsid w:val="00D54713"/>
    <w:rsid w:val="00D54838"/>
    <w:rsid w:val="00D5536F"/>
    <w:rsid w:val="00D557E8"/>
    <w:rsid w:val="00D55ECC"/>
    <w:rsid w:val="00D56896"/>
    <w:rsid w:val="00D56935"/>
    <w:rsid w:val="00D5741F"/>
    <w:rsid w:val="00D60137"/>
    <w:rsid w:val="00D60EE0"/>
    <w:rsid w:val="00D61116"/>
    <w:rsid w:val="00D611CC"/>
    <w:rsid w:val="00D6157D"/>
    <w:rsid w:val="00D6158A"/>
    <w:rsid w:val="00D61869"/>
    <w:rsid w:val="00D6187E"/>
    <w:rsid w:val="00D63233"/>
    <w:rsid w:val="00D639AE"/>
    <w:rsid w:val="00D63B99"/>
    <w:rsid w:val="00D65132"/>
    <w:rsid w:val="00D65168"/>
    <w:rsid w:val="00D65C7E"/>
    <w:rsid w:val="00D66277"/>
    <w:rsid w:val="00D669CB"/>
    <w:rsid w:val="00D67675"/>
    <w:rsid w:val="00D67802"/>
    <w:rsid w:val="00D67BC3"/>
    <w:rsid w:val="00D67E0B"/>
    <w:rsid w:val="00D7009E"/>
    <w:rsid w:val="00D70302"/>
    <w:rsid w:val="00D70E37"/>
    <w:rsid w:val="00D715A8"/>
    <w:rsid w:val="00D72186"/>
    <w:rsid w:val="00D7254B"/>
    <w:rsid w:val="00D72825"/>
    <w:rsid w:val="00D72B77"/>
    <w:rsid w:val="00D736DA"/>
    <w:rsid w:val="00D73DDC"/>
    <w:rsid w:val="00D74599"/>
    <w:rsid w:val="00D74E17"/>
    <w:rsid w:val="00D74F28"/>
    <w:rsid w:val="00D758C6"/>
    <w:rsid w:val="00D7594B"/>
    <w:rsid w:val="00D76070"/>
    <w:rsid w:val="00D763CB"/>
    <w:rsid w:val="00D7715F"/>
    <w:rsid w:val="00D7768A"/>
    <w:rsid w:val="00D77726"/>
    <w:rsid w:val="00D801E5"/>
    <w:rsid w:val="00D8103E"/>
    <w:rsid w:val="00D816F1"/>
    <w:rsid w:val="00D81F87"/>
    <w:rsid w:val="00D82778"/>
    <w:rsid w:val="00D8494E"/>
    <w:rsid w:val="00D85017"/>
    <w:rsid w:val="00D85179"/>
    <w:rsid w:val="00D85497"/>
    <w:rsid w:val="00D85521"/>
    <w:rsid w:val="00D85586"/>
    <w:rsid w:val="00D85CA2"/>
    <w:rsid w:val="00D85D60"/>
    <w:rsid w:val="00D863F4"/>
    <w:rsid w:val="00D86A5A"/>
    <w:rsid w:val="00D86CE6"/>
    <w:rsid w:val="00D87155"/>
    <w:rsid w:val="00D8742A"/>
    <w:rsid w:val="00D87430"/>
    <w:rsid w:val="00D87531"/>
    <w:rsid w:val="00D87903"/>
    <w:rsid w:val="00D87ED3"/>
    <w:rsid w:val="00D90AAB"/>
    <w:rsid w:val="00D90C10"/>
    <w:rsid w:val="00D91727"/>
    <w:rsid w:val="00D91D37"/>
    <w:rsid w:val="00D91EBD"/>
    <w:rsid w:val="00D91F0F"/>
    <w:rsid w:val="00D92595"/>
    <w:rsid w:val="00D92E96"/>
    <w:rsid w:val="00D93228"/>
    <w:rsid w:val="00D937EA"/>
    <w:rsid w:val="00D93C25"/>
    <w:rsid w:val="00D93CA1"/>
    <w:rsid w:val="00D93E40"/>
    <w:rsid w:val="00D94300"/>
    <w:rsid w:val="00D9469A"/>
    <w:rsid w:val="00D949E5"/>
    <w:rsid w:val="00D94D68"/>
    <w:rsid w:val="00D95742"/>
    <w:rsid w:val="00D95BD2"/>
    <w:rsid w:val="00D95D63"/>
    <w:rsid w:val="00D95D72"/>
    <w:rsid w:val="00D95F6A"/>
    <w:rsid w:val="00D96342"/>
    <w:rsid w:val="00D9673E"/>
    <w:rsid w:val="00D96C13"/>
    <w:rsid w:val="00D96E15"/>
    <w:rsid w:val="00D97199"/>
    <w:rsid w:val="00D974BC"/>
    <w:rsid w:val="00D97999"/>
    <w:rsid w:val="00D97DAC"/>
    <w:rsid w:val="00DA00A3"/>
    <w:rsid w:val="00DA04EC"/>
    <w:rsid w:val="00DA04FC"/>
    <w:rsid w:val="00DA055D"/>
    <w:rsid w:val="00DA0F7A"/>
    <w:rsid w:val="00DA1254"/>
    <w:rsid w:val="00DA1561"/>
    <w:rsid w:val="00DA1EC9"/>
    <w:rsid w:val="00DA1FF9"/>
    <w:rsid w:val="00DA21C6"/>
    <w:rsid w:val="00DA22AD"/>
    <w:rsid w:val="00DA258C"/>
    <w:rsid w:val="00DA2B46"/>
    <w:rsid w:val="00DA2C70"/>
    <w:rsid w:val="00DA35AA"/>
    <w:rsid w:val="00DA3E0E"/>
    <w:rsid w:val="00DA45C8"/>
    <w:rsid w:val="00DA4A1B"/>
    <w:rsid w:val="00DA4D8E"/>
    <w:rsid w:val="00DA4FA4"/>
    <w:rsid w:val="00DA5472"/>
    <w:rsid w:val="00DA5A20"/>
    <w:rsid w:val="00DA5DB8"/>
    <w:rsid w:val="00DA6885"/>
    <w:rsid w:val="00DA6D42"/>
    <w:rsid w:val="00DA6DEB"/>
    <w:rsid w:val="00DA71AE"/>
    <w:rsid w:val="00DA757F"/>
    <w:rsid w:val="00DA76F0"/>
    <w:rsid w:val="00DB0FBA"/>
    <w:rsid w:val="00DB1937"/>
    <w:rsid w:val="00DB2970"/>
    <w:rsid w:val="00DB2AE2"/>
    <w:rsid w:val="00DB2C67"/>
    <w:rsid w:val="00DB338F"/>
    <w:rsid w:val="00DB475D"/>
    <w:rsid w:val="00DB492A"/>
    <w:rsid w:val="00DB4DBD"/>
    <w:rsid w:val="00DB4F3A"/>
    <w:rsid w:val="00DB5487"/>
    <w:rsid w:val="00DB599F"/>
    <w:rsid w:val="00DB5BA7"/>
    <w:rsid w:val="00DB6105"/>
    <w:rsid w:val="00DB636C"/>
    <w:rsid w:val="00DB6F48"/>
    <w:rsid w:val="00DB6F72"/>
    <w:rsid w:val="00DB7238"/>
    <w:rsid w:val="00DB78E4"/>
    <w:rsid w:val="00DC0ED6"/>
    <w:rsid w:val="00DC122D"/>
    <w:rsid w:val="00DC1271"/>
    <w:rsid w:val="00DC144D"/>
    <w:rsid w:val="00DC1C01"/>
    <w:rsid w:val="00DC1F3F"/>
    <w:rsid w:val="00DC204D"/>
    <w:rsid w:val="00DC25A3"/>
    <w:rsid w:val="00DC2B95"/>
    <w:rsid w:val="00DC3B74"/>
    <w:rsid w:val="00DC557F"/>
    <w:rsid w:val="00DC55EB"/>
    <w:rsid w:val="00DC595C"/>
    <w:rsid w:val="00DC59D1"/>
    <w:rsid w:val="00DC5D6F"/>
    <w:rsid w:val="00DC6A2A"/>
    <w:rsid w:val="00DC6B36"/>
    <w:rsid w:val="00DC6D5E"/>
    <w:rsid w:val="00DC73C3"/>
    <w:rsid w:val="00DC7A39"/>
    <w:rsid w:val="00DC7CBD"/>
    <w:rsid w:val="00DC7D10"/>
    <w:rsid w:val="00DC7E6C"/>
    <w:rsid w:val="00DD00DC"/>
    <w:rsid w:val="00DD04F6"/>
    <w:rsid w:val="00DD0EA6"/>
    <w:rsid w:val="00DD1ECE"/>
    <w:rsid w:val="00DD2C0F"/>
    <w:rsid w:val="00DD2E38"/>
    <w:rsid w:val="00DD3113"/>
    <w:rsid w:val="00DD3697"/>
    <w:rsid w:val="00DD3B33"/>
    <w:rsid w:val="00DD3CDF"/>
    <w:rsid w:val="00DD4306"/>
    <w:rsid w:val="00DD4C33"/>
    <w:rsid w:val="00DD5120"/>
    <w:rsid w:val="00DD51DB"/>
    <w:rsid w:val="00DD52D7"/>
    <w:rsid w:val="00DD5898"/>
    <w:rsid w:val="00DD636A"/>
    <w:rsid w:val="00DD677D"/>
    <w:rsid w:val="00DD6986"/>
    <w:rsid w:val="00DD6DDF"/>
    <w:rsid w:val="00DD7C2D"/>
    <w:rsid w:val="00DD7D8A"/>
    <w:rsid w:val="00DD7ECE"/>
    <w:rsid w:val="00DE01C9"/>
    <w:rsid w:val="00DE07FA"/>
    <w:rsid w:val="00DE0ED8"/>
    <w:rsid w:val="00DE0F85"/>
    <w:rsid w:val="00DE22F7"/>
    <w:rsid w:val="00DE2ADA"/>
    <w:rsid w:val="00DE2C08"/>
    <w:rsid w:val="00DE2CC4"/>
    <w:rsid w:val="00DE359C"/>
    <w:rsid w:val="00DE3AFC"/>
    <w:rsid w:val="00DE3F8B"/>
    <w:rsid w:val="00DE4C26"/>
    <w:rsid w:val="00DE4CEC"/>
    <w:rsid w:val="00DE5180"/>
    <w:rsid w:val="00DE5D10"/>
    <w:rsid w:val="00DE5EFA"/>
    <w:rsid w:val="00DE5F85"/>
    <w:rsid w:val="00DE60F1"/>
    <w:rsid w:val="00DE6FE3"/>
    <w:rsid w:val="00DE7F36"/>
    <w:rsid w:val="00DF0235"/>
    <w:rsid w:val="00DF13CE"/>
    <w:rsid w:val="00DF14B9"/>
    <w:rsid w:val="00DF1D4D"/>
    <w:rsid w:val="00DF1F2A"/>
    <w:rsid w:val="00DF29EC"/>
    <w:rsid w:val="00DF2A05"/>
    <w:rsid w:val="00DF2AB5"/>
    <w:rsid w:val="00DF2AD4"/>
    <w:rsid w:val="00DF2DDE"/>
    <w:rsid w:val="00DF41EF"/>
    <w:rsid w:val="00DF4812"/>
    <w:rsid w:val="00DF59C9"/>
    <w:rsid w:val="00DF62DD"/>
    <w:rsid w:val="00DF6532"/>
    <w:rsid w:val="00DF6B3A"/>
    <w:rsid w:val="00DF748C"/>
    <w:rsid w:val="00DF75D0"/>
    <w:rsid w:val="00DF7D8F"/>
    <w:rsid w:val="00E00351"/>
    <w:rsid w:val="00E0057B"/>
    <w:rsid w:val="00E00A76"/>
    <w:rsid w:val="00E00C84"/>
    <w:rsid w:val="00E010EE"/>
    <w:rsid w:val="00E01667"/>
    <w:rsid w:val="00E016FF"/>
    <w:rsid w:val="00E01880"/>
    <w:rsid w:val="00E02A6B"/>
    <w:rsid w:val="00E04F04"/>
    <w:rsid w:val="00E063EB"/>
    <w:rsid w:val="00E0674B"/>
    <w:rsid w:val="00E06FBB"/>
    <w:rsid w:val="00E07BA0"/>
    <w:rsid w:val="00E10021"/>
    <w:rsid w:val="00E1131E"/>
    <w:rsid w:val="00E11A40"/>
    <w:rsid w:val="00E12989"/>
    <w:rsid w:val="00E12E7F"/>
    <w:rsid w:val="00E142CE"/>
    <w:rsid w:val="00E144EC"/>
    <w:rsid w:val="00E144F7"/>
    <w:rsid w:val="00E14AF6"/>
    <w:rsid w:val="00E14D39"/>
    <w:rsid w:val="00E14FCD"/>
    <w:rsid w:val="00E1548B"/>
    <w:rsid w:val="00E15F77"/>
    <w:rsid w:val="00E1646A"/>
    <w:rsid w:val="00E16BE0"/>
    <w:rsid w:val="00E170C6"/>
    <w:rsid w:val="00E170E2"/>
    <w:rsid w:val="00E1731C"/>
    <w:rsid w:val="00E177D3"/>
    <w:rsid w:val="00E17AE7"/>
    <w:rsid w:val="00E17C32"/>
    <w:rsid w:val="00E17E94"/>
    <w:rsid w:val="00E200CD"/>
    <w:rsid w:val="00E20C6C"/>
    <w:rsid w:val="00E213C8"/>
    <w:rsid w:val="00E216C3"/>
    <w:rsid w:val="00E22532"/>
    <w:rsid w:val="00E2257A"/>
    <w:rsid w:val="00E228B3"/>
    <w:rsid w:val="00E22900"/>
    <w:rsid w:val="00E2307D"/>
    <w:rsid w:val="00E23172"/>
    <w:rsid w:val="00E2344D"/>
    <w:rsid w:val="00E23CC0"/>
    <w:rsid w:val="00E24094"/>
    <w:rsid w:val="00E241A0"/>
    <w:rsid w:val="00E24EF1"/>
    <w:rsid w:val="00E26226"/>
    <w:rsid w:val="00E26B06"/>
    <w:rsid w:val="00E26EBD"/>
    <w:rsid w:val="00E277A8"/>
    <w:rsid w:val="00E27EFD"/>
    <w:rsid w:val="00E304A2"/>
    <w:rsid w:val="00E30D27"/>
    <w:rsid w:val="00E31B59"/>
    <w:rsid w:val="00E31D3A"/>
    <w:rsid w:val="00E3218C"/>
    <w:rsid w:val="00E32A37"/>
    <w:rsid w:val="00E3319B"/>
    <w:rsid w:val="00E3394E"/>
    <w:rsid w:val="00E33E4A"/>
    <w:rsid w:val="00E33EF7"/>
    <w:rsid w:val="00E34110"/>
    <w:rsid w:val="00E343D6"/>
    <w:rsid w:val="00E3489A"/>
    <w:rsid w:val="00E34E0D"/>
    <w:rsid w:val="00E34EC6"/>
    <w:rsid w:val="00E352F8"/>
    <w:rsid w:val="00E36049"/>
    <w:rsid w:val="00E36209"/>
    <w:rsid w:val="00E36592"/>
    <w:rsid w:val="00E36618"/>
    <w:rsid w:val="00E36664"/>
    <w:rsid w:val="00E3684D"/>
    <w:rsid w:val="00E36DFC"/>
    <w:rsid w:val="00E376CF"/>
    <w:rsid w:val="00E379B0"/>
    <w:rsid w:val="00E379EF"/>
    <w:rsid w:val="00E37D18"/>
    <w:rsid w:val="00E40134"/>
    <w:rsid w:val="00E404DA"/>
    <w:rsid w:val="00E405F5"/>
    <w:rsid w:val="00E4072A"/>
    <w:rsid w:val="00E40AD7"/>
    <w:rsid w:val="00E40BA3"/>
    <w:rsid w:val="00E40D49"/>
    <w:rsid w:val="00E40DD9"/>
    <w:rsid w:val="00E420BB"/>
    <w:rsid w:val="00E42F7A"/>
    <w:rsid w:val="00E43205"/>
    <w:rsid w:val="00E4342C"/>
    <w:rsid w:val="00E4350C"/>
    <w:rsid w:val="00E4360E"/>
    <w:rsid w:val="00E43DC3"/>
    <w:rsid w:val="00E44AAE"/>
    <w:rsid w:val="00E460B7"/>
    <w:rsid w:val="00E46335"/>
    <w:rsid w:val="00E4668E"/>
    <w:rsid w:val="00E46804"/>
    <w:rsid w:val="00E46F86"/>
    <w:rsid w:val="00E474FF"/>
    <w:rsid w:val="00E50DF6"/>
    <w:rsid w:val="00E511EF"/>
    <w:rsid w:val="00E525A6"/>
    <w:rsid w:val="00E526EB"/>
    <w:rsid w:val="00E52B09"/>
    <w:rsid w:val="00E52BA3"/>
    <w:rsid w:val="00E52BFA"/>
    <w:rsid w:val="00E52F30"/>
    <w:rsid w:val="00E530B4"/>
    <w:rsid w:val="00E53922"/>
    <w:rsid w:val="00E53A2C"/>
    <w:rsid w:val="00E53C37"/>
    <w:rsid w:val="00E53E76"/>
    <w:rsid w:val="00E55459"/>
    <w:rsid w:val="00E559E4"/>
    <w:rsid w:val="00E563BF"/>
    <w:rsid w:val="00E56A05"/>
    <w:rsid w:val="00E57AAA"/>
    <w:rsid w:val="00E57AB2"/>
    <w:rsid w:val="00E57ECD"/>
    <w:rsid w:val="00E57EFB"/>
    <w:rsid w:val="00E6002B"/>
    <w:rsid w:val="00E60630"/>
    <w:rsid w:val="00E60791"/>
    <w:rsid w:val="00E610C8"/>
    <w:rsid w:val="00E612D5"/>
    <w:rsid w:val="00E616E1"/>
    <w:rsid w:val="00E61914"/>
    <w:rsid w:val="00E61EF4"/>
    <w:rsid w:val="00E6224E"/>
    <w:rsid w:val="00E622AB"/>
    <w:rsid w:val="00E637A0"/>
    <w:rsid w:val="00E64C5F"/>
    <w:rsid w:val="00E64ECF"/>
    <w:rsid w:val="00E652FB"/>
    <w:rsid w:val="00E6546A"/>
    <w:rsid w:val="00E65B66"/>
    <w:rsid w:val="00E65FBE"/>
    <w:rsid w:val="00E67BDF"/>
    <w:rsid w:val="00E67CB0"/>
    <w:rsid w:val="00E70744"/>
    <w:rsid w:val="00E7085C"/>
    <w:rsid w:val="00E7087E"/>
    <w:rsid w:val="00E70BAF"/>
    <w:rsid w:val="00E70CC3"/>
    <w:rsid w:val="00E70D17"/>
    <w:rsid w:val="00E711D9"/>
    <w:rsid w:val="00E714E1"/>
    <w:rsid w:val="00E72036"/>
    <w:rsid w:val="00E726B9"/>
    <w:rsid w:val="00E7317A"/>
    <w:rsid w:val="00E73663"/>
    <w:rsid w:val="00E73C9C"/>
    <w:rsid w:val="00E7478E"/>
    <w:rsid w:val="00E748EA"/>
    <w:rsid w:val="00E757C0"/>
    <w:rsid w:val="00E75B25"/>
    <w:rsid w:val="00E75DFF"/>
    <w:rsid w:val="00E76552"/>
    <w:rsid w:val="00E770D2"/>
    <w:rsid w:val="00E77171"/>
    <w:rsid w:val="00E77A8D"/>
    <w:rsid w:val="00E80ACE"/>
    <w:rsid w:val="00E80E86"/>
    <w:rsid w:val="00E81576"/>
    <w:rsid w:val="00E8191C"/>
    <w:rsid w:val="00E81BE8"/>
    <w:rsid w:val="00E81F0C"/>
    <w:rsid w:val="00E82209"/>
    <w:rsid w:val="00E825C3"/>
    <w:rsid w:val="00E82C5E"/>
    <w:rsid w:val="00E837AB"/>
    <w:rsid w:val="00E837EE"/>
    <w:rsid w:val="00E839DD"/>
    <w:rsid w:val="00E83E96"/>
    <w:rsid w:val="00E84350"/>
    <w:rsid w:val="00E8462A"/>
    <w:rsid w:val="00E84BA2"/>
    <w:rsid w:val="00E856ED"/>
    <w:rsid w:val="00E85E9D"/>
    <w:rsid w:val="00E863B5"/>
    <w:rsid w:val="00E86FDD"/>
    <w:rsid w:val="00E8758A"/>
    <w:rsid w:val="00E8783E"/>
    <w:rsid w:val="00E87BF8"/>
    <w:rsid w:val="00E90012"/>
    <w:rsid w:val="00E906DD"/>
    <w:rsid w:val="00E9074B"/>
    <w:rsid w:val="00E908E1"/>
    <w:rsid w:val="00E90A82"/>
    <w:rsid w:val="00E90D98"/>
    <w:rsid w:val="00E91421"/>
    <w:rsid w:val="00E91437"/>
    <w:rsid w:val="00E91B9C"/>
    <w:rsid w:val="00E91DA9"/>
    <w:rsid w:val="00E91DF5"/>
    <w:rsid w:val="00E9215C"/>
    <w:rsid w:val="00E9231F"/>
    <w:rsid w:val="00E92F4C"/>
    <w:rsid w:val="00E938E2"/>
    <w:rsid w:val="00E940D5"/>
    <w:rsid w:val="00E9467B"/>
    <w:rsid w:val="00E9470E"/>
    <w:rsid w:val="00E94F08"/>
    <w:rsid w:val="00E95F07"/>
    <w:rsid w:val="00E95F18"/>
    <w:rsid w:val="00E9618C"/>
    <w:rsid w:val="00E961AC"/>
    <w:rsid w:val="00E96429"/>
    <w:rsid w:val="00E965C5"/>
    <w:rsid w:val="00E96A3A"/>
    <w:rsid w:val="00E96DFB"/>
    <w:rsid w:val="00E96E99"/>
    <w:rsid w:val="00E97001"/>
    <w:rsid w:val="00E97402"/>
    <w:rsid w:val="00E97B78"/>
    <w:rsid w:val="00E97B99"/>
    <w:rsid w:val="00E97E1A"/>
    <w:rsid w:val="00EA0040"/>
    <w:rsid w:val="00EA00FE"/>
    <w:rsid w:val="00EA033D"/>
    <w:rsid w:val="00EA06B5"/>
    <w:rsid w:val="00EA0773"/>
    <w:rsid w:val="00EA08AA"/>
    <w:rsid w:val="00EA095D"/>
    <w:rsid w:val="00EA0B17"/>
    <w:rsid w:val="00EA11AC"/>
    <w:rsid w:val="00EA34FC"/>
    <w:rsid w:val="00EA3CB5"/>
    <w:rsid w:val="00EA3E8B"/>
    <w:rsid w:val="00EA3F2D"/>
    <w:rsid w:val="00EA466B"/>
    <w:rsid w:val="00EA493B"/>
    <w:rsid w:val="00EA4F9B"/>
    <w:rsid w:val="00EA5204"/>
    <w:rsid w:val="00EA5A7B"/>
    <w:rsid w:val="00EA5E60"/>
    <w:rsid w:val="00EA68BC"/>
    <w:rsid w:val="00EA7723"/>
    <w:rsid w:val="00EA7B3F"/>
    <w:rsid w:val="00EB06F3"/>
    <w:rsid w:val="00EB2E9D"/>
    <w:rsid w:val="00EB3224"/>
    <w:rsid w:val="00EB3471"/>
    <w:rsid w:val="00EB35E3"/>
    <w:rsid w:val="00EB37A0"/>
    <w:rsid w:val="00EB3D2C"/>
    <w:rsid w:val="00EB4711"/>
    <w:rsid w:val="00EB4A4B"/>
    <w:rsid w:val="00EB4B56"/>
    <w:rsid w:val="00EB4F5C"/>
    <w:rsid w:val="00EB55B5"/>
    <w:rsid w:val="00EB55EE"/>
    <w:rsid w:val="00EB5DDA"/>
    <w:rsid w:val="00EB6136"/>
    <w:rsid w:val="00EB65C9"/>
    <w:rsid w:val="00EB68C2"/>
    <w:rsid w:val="00EB7520"/>
    <w:rsid w:val="00EB7B46"/>
    <w:rsid w:val="00EC06A4"/>
    <w:rsid w:val="00EC088C"/>
    <w:rsid w:val="00EC124C"/>
    <w:rsid w:val="00EC1741"/>
    <w:rsid w:val="00EC1804"/>
    <w:rsid w:val="00EC24A6"/>
    <w:rsid w:val="00EC2740"/>
    <w:rsid w:val="00EC2864"/>
    <w:rsid w:val="00EC2F71"/>
    <w:rsid w:val="00EC3900"/>
    <w:rsid w:val="00EC3EA9"/>
    <w:rsid w:val="00EC3F44"/>
    <w:rsid w:val="00EC3F94"/>
    <w:rsid w:val="00EC45EF"/>
    <w:rsid w:val="00EC4F31"/>
    <w:rsid w:val="00EC644D"/>
    <w:rsid w:val="00EC6C77"/>
    <w:rsid w:val="00EC7604"/>
    <w:rsid w:val="00ED06D6"/>
    <w:rsid w:val="00ED1AE8"/>
    <w:rsid w:val="00ED1BFB"/>
    <w:rsid w:val="00ED212A"/>
    <w:rsid w:val="00ED2474"/>
    <w:rsid w:val="00ED24D2"/>
    <w:rsid w:val="00ED2542"/>
    <w:rsid w:val="00ED2D9D"/>
    <w:rsid w:val="00ED3CA6"/>
    <w:rsid w:val="00ED3DAB"/>
    <w:rsid w:val="00ED4590"/>
    <w:rsid w:val="00ED4647"/>
    <w:rsid w:val="00ED4C3E"/>
    <w:rsid w:val="00ED5511"/>
    <w:rsid w:val="00ED5854"/>
    <w:rsid w:val="00ED58E7"/>
    <w:rsid w:val="00ED5A83"/>
    <w:rsid w:val="00ED5D0F"/>
    <w:rsid w:val="00ED6A9C"/>
    <w:rsid w:val="00ED7050"/>
    <w:rsid w:val="00ED78D7"/>
    <w:rsid w:val="00ED7C3C"/>
    <w:rsid w:val="00ED7D01"/>
    <w:rsid w:val="00ED7F51"/>
    <w:rsid w:val="00EE007D"/>
    <w:rsid w:val="00EE041B"/>
    <w:rsid w:val="00EE094E"/>
    <w:rsid w:val="00EE13EE"/>
    <w:rsid w:val="00EE1512"/>
    <w:rsid w:val="00EE18F8"/>
    <w:rsid w:val="00EE1933"/>
    <w:rsid w:val="00EE1EDE"/>
    <w:rsid w:val="00EE22B6"/>
    <w:rsid w:val="00EE27F4"/>
    <w:rsid w:val="00EE2B65"/>
    <w:rsid w:val="00EE2D49"/>
    <w:rsid w:val="00EE2F40"/>
    <w:rsid w:val="00EE2FBD"/>
    <w:rsid w:val="00EE32D3"/>
    <w:rsid w:val="00EE3617"/>
    <w:rsid w:val="00EE362C"/>
    <w:rsid w:val="00EE3A8C"/>
    <w:rsid w:val="00EE3B96"/>
    <w:rsid w:val="00EE3E45"/>
    <w:rsid w:val="00EE428B"/>
    <w:rsid w:val="00EE4531"/>
    <w:rsid w:val="00EE472D"/>
    <w:rsid w:val="00EE548A"/>
    <w:rsid w:val="00EE5BBD"/>
    <w:rsid w:val="00EE6627"/>
    <w:rsid w:val="00EE66FC"/>
    <w:rsid w:val="00EE6992"/>
    <w:rsid w:val="00EE69A2"/>
    <w:rsid w:val="00EE6FFC"/>
    <w:rsid w:val="00EE7666"/>
    <w:rsid w:val="00EE7D95"/>
    <w:rsid w:val="00EE7F02"/>
    <w:rsid w:val="00EE7F47"/>
    <w:rsid w:val="00EF0130"/>
    <w:rsid w:val="00EF10AC"/>
    <w:rsid w:val="00EF1F72"/>
    <w:rsid w:val="00EF2061"/>
    <w:rsid w:val="00EF296D"/>
    <w:rsid w:val="00EF2A86"/>
    <w:rsid w:val="00EF2AB9"/>
    <w:rsid w:val="00EF38EA"/>
    <w:rsid w:val="00EF4398"/>
    <w:rsid w:val="00EF4701"/>
    <w:rsid w:val="00EF49E5"/>
    <w:rsid w:val="00EF4DB5"/>
    <w:rsid w:val="00EF51DE"/>
    <w:rsid w:val="00EF5638"/>
    <w:rsid w:val="00EF564E"/>
    <w:rsid w:val="00EF61B3"/>
    <w:rsid w:val="00EF756F"/>
    <w:rsid w:val="00EF7609"/>
    <w:rsid w:val="00F00E1E"/>
    <w:rsid w:val="00F016EE"/>
    <w:rsid w:val="00F03099"/>
    <w:rsid w:val="00F04171"/>
    <w:rsid w:val="00F04250"/>
    <w:rsid w:val="00F048C5"/>
    <w:rsid w:val="00F04A86"/>
    <w:rsid w:val="00F04BBA"/>
    <w:rsid w:val="00F04C19"/>
    <w:rsid w:val="00F0509A"/>
    <w:rsid w:val="00F057E6"/>
    <w:rsid w:val="00F05965"/>
    <w:rsid w:val="00F05E48"/>
    <w:rsid w:val="00F06406"/>
    <w:rsid w:val="00F06886"/>
    <w:rsid w:val="00F06D8D"/>
    <w:rsid w:val="00F07138"/>
    <w:rsid w:val="00F0793C"/>
    <w:rsid w:val="00F07A70"/>
    <w:rsid w:val="00F100E4"/>
    <w:rsid w:val="00F10589"/>
    <w:rsid w:val="00F10A2E"/>
    <w:rsid w:val="00F11093"/>
    <w:rsid w:val="00F111D5"/>
    <w:rsid w:val="00F1196E"/>
    <w:rsid w:val="00F1278B"/>
    <w:rsid w:val="00F133D7"/>
    <w:rsid w:val="00F13794"/>
    <w:rsid w:val="00F13C5F"/>
    <w:rsid w:val="00F148B3"/>
    <w:rsid w:val="00F14ACD"/>
    <w:rsid w:val="00F14FFD"/>
    <w:rsid w:val="00F152E8"/>
    <w:rsid w:val="00F15601"/>
    <w:rsid w:val="00F167B6"/>
    <w:rsid w:val="00F16B0C"/>
    <w:rsid w:val="00F177A3"/>
    <w:rsid w:val="00F17902"/>
    <w:rsid w:val="00F17A55"/>
    <w:rsid w:val="00F20119"/>
    <w:rsid w:val="00F202B9"/>
    <w:rsid w:val="00F2039D"/>
    <w:rsid w:val="00F203CB"/>
    <w:rsid w:val="00F2064D"/>
    <w:rsid w:val="00F206C0"/>
    <w:rsid w:val="00F211CC"/>
    <w:rsid w:val="00F21ACB"/>
    <w:rsid w:val="00F21CB3"/>
    <w:rsid w:val="00F2214C"/>
    <w:rsid w:val="00F22198"/>
    <w:rsid w:val="00F22328"/>
    <w:rsid w:val="00F2275D"/>
    <w:rsid w:val="00F22A1D"/>
    <w:rsid w:val="00F22A2D"/>
    <w:rsid w:val="00F22BD8"/>
    <w:rsid w:val="00F22DE7"/>
    <w:rsid w:val="00F230FA"/>
    <w:rsid w:val="00F23228"/>
    <w:rsid w:val="00F23986"/>
    <w:rsid w:val="00F23BFC"/>
    <w:rsid w:val="00F24399"/>
    <w:rsid w:val="00F24ABE"/>
    <w:rsid w:val="00F24CEF"/>
    <w:rsid w:val="00F2502B"/>
    <w:rsid w:val="00F250B5"/>
    <w:rsid w:val="00F253A5"/>
    <w:rsid w:val="00F25415"/>
    <w:rsid w:val="00F25C50"/>
    <w:rsid w:val="00F25ED8"/>
    <w:rsid w:val="00F262DC"/>
    <w:rsid w:val="00F2676F"/>
    <w:rsid w:val="00F26EC4"/>
    <w:rsid w:val="00F26F98"/>
    <w:rsid w:val="00F30080"/>
    <w:rsid w:val="00F30C70"/>
    <w:rsid w:val="00F31901"/>
    <w:rsid w:val="00F31DB1"/>
    <w:rsid w:val="00F3251E"/>
    <w:rsid w:val="00F325B0"/>
    <w:rsid w:val="00F32CD7"/>
    <w:rsid w:val="00F3305B"/>
    <w:rsid w:val="00F33D49"/>
    <w:rsid w:val="00F33F93"/>
    <w:rsid w:val="00F34569"/>
    <w:rsid w:val="00F3481E"/>
    <w:rsid w:val="00F34A04"/>
    <w:rsid w:val="00F34E79"/>
    <w:rsid w:val="00F351AC"/>
    <w:rsid w:val="00F36280"/>
    <w:rsid w:val="00F364B0"/>
    <w:rsid w:val="00F36C1C"/>
    <w:rsid w:val="00F375B2"/>
    <w:rsid w:val="00F37782"/>
    <w:rsid w:val="00F37BEE"/>
    <w:rsid w:val="00F37C32"/>
    <w:rsid w:val="00F37C8D"/>
    <w:rsid w:val="00F40280"/>
    <w:rsid w:val="00F4085C"/>
    <w:rsid w:val="00F408DD"/>
    <w:rsid w:val="00F40D5B"/>
    <w:rsid w:val="00F4137F"/>
    <w:rsid w:val="00F41ACC"/>
    <w:rsid w:val="00F41CF3"/>
    <w:rsid w:val="00F41CF7"/>
    <w:rsid w:val="00F41F3A"/>
    <w:rsid w:val="00F424B6"/>
    <w:rsid w:val="00F425FD"/>
    <w:rsid w:val="00F42FC0"/>
    <w:rsid w:val="00F432FD"/>
    <w:rsid w:val="00F43923"/>
    <w:rsid w:val="00F43E8A"/>
    <w:rsid w:val="00F44B1C"/>
    <w:rsid w:val="00F44BD7"/>
    <w:rsid w:val="00F45277"/>
    <w:rsid w:val="00F45300"/>
    <w:rsid w:val="00F4598A"/>
    <w:rsid w:val="00F45B68"/>
    <w:rsid w:val="00F45C2D"/>
    <w:rsid w:val="00F45E96"/>
    <w:rsid w:val="00F4642A"/>
    <w:rsid w:val="00F46EE2"/>
    <w:rsid w:val="00F47043"/>
    <w:rsid w:val="00F47401"/>
    <w:rsid w:val="00F47A90"/>
    <w:rsid w:val="00F50856"/>
    <w:rsid w:val="00F50A63"/>
    <w:rsid w:val="00F50D08"/>
    <w:rsid w:val="00F5215B"/>
    <w:rsid w:val="00F524B6"/>
    <w:rsid w:val="00F527CE"/>
    <w:rsid w:val="00F52D50"/>
    <w:rsid w:val="00F539A5"/>
    <w:rsid w:val="00F54B01"/>
    <w:rsid w:val="00F55F85"/>
    <w:rsid w:val="00F56427"/>
    <w:rsid w:val="00F5675B"/>
    <w:rsid w:val="00F56C9B"/>
    <w:rsid w:val="00F577F6"/>
    <w:rsid w:val="00F57AAD"/>
    <w:rsid w:val="00F57E75"/>
    <w:rsid w:val="00F57F36"/>
    <w:rsid w:val="00F605BD"/>
    <w:rsid w:val="00F60A20"/>
    <w:rsid w:val="00F61D37"/>
    <w:rsid w:val="00F62199"/>
    <w:rsid w:val="00F6248D"/>
    <w:rsid w:val="00F6284E"/>
    <w:rsid w:val="00F62915"/>
    <w:rsid w:val="00F62B45"/>
    <w:rsid w:val="00F6308A"/>
    <w:rsid w:val="00F63557"/>
    <w:rsid w:val="00F6396B"/>
    <w:rsid w:val="00F64198"/>
    <w:rsid w:val="00F64BE5"/>
    <w:rsid w:val="00F650E7"/>
    <w:rsid w:val="00F65266"/>
    <w:rsid w:val="00F6528C"/>
    <w:rsid w:val="00F652CB"/>
    <w:rsid w:val="00F6539F"/>
    <w:rsid w:val="00F65954"/>
    <w:rsid w:val="00F65F7A"/>
    <w:rsid w:val="00F66E37"/>
    <w:rsid w:val="00F672F3"/>
    <w:rsid w:val="00F67654"/>
    <w:rsid w:val="00F67BE9"/>
    <w:rsid w:val="00F67DB3"/>
    <w:rsid w:val="00F67FC5"/>
    <w:rsid w:val="00F70188"/>
    <w:rsid w:val="00F701C5"/>
    <w:rsid w:val="00F70534"/>
    <w:rsid w:val="00F72B22"/>
    <w:rsid w:val="00F72D25"/>
    <w:rsid w:val="00F72ED1"/>
    <w:rsid w:val="00F72F9C"/>
    <w:rsid w:val="00F73EF6"/>
    <w:rsid w:val="00F74491"/>
    <w:rsid w:val="00F7461A"/>
    <w:rsid w:val="00F75192"/>
    <w:rsid w:val="00F751E1"/>
    <w:rsid w:val="00F75606"/>
    <w:rsid w:val="00F75615"/>
    <w:rsid w:val="00F75A80"/>
    <w:rsid w:val="00F75A95"/>
    <w:rsid w:val="00F75C45"/>
    <w:rsid w:val="00F75F67"/>
    <w:rsid w:val="00F765C0"/>
    <w:rsid w:val="00F76948"/>
    <w:rsid w:val="00F76960"/>
    <w:rsid w:val="00F76CBE"/>
    <w:rsid w:val="00F76DA6"/>
    <w:rsid w:val="00F76F75"/>
    <w:rsid w:val="00F775FC"/>
    <w:rsid w:val="00F77891"/>
    <w:rsid w:val="00F77901"/>
    <w:rsid w:val="00F80446"/>
    <w:rsid w:val="00F80609"/>
    <w:rsid w:val="00F81260"/>
    <w:rsid w:val="00F819CB"/>
    <w:rsid w:val="00F822C4"/>
    <w:rsid w:val="00F82866"/>
    <w:rsid w:val="00F82AF3"/>
    <w:rsid w:val="00F83DAB"/>
    <w:rsid w:val="00F83E59"/>
    <w:rsid w:val="00F84DF7"/>
    <w:rsid w:val="00F852CB"/>
    <w:rsid w:val="00F85355"/>
    <w:rsid w:val="00F8569C"/>
    <w:rsid w:val="00F857C5"/>
    <w:rsid w:val="00F86195"/>
    <w:rsid w:val="00F8632B"/>
    <w:rsid w:val="00F86479"/>
    <w:rsid w:val="00F86652"/>
    <w:rsid w:val="00F866D1"/>
    <w:rsid w:val="00F867C2"/>
    <w:rsid w:val="00F87943"/>
    <w:rsid w:val="00F90886"/>
    <w:rsid w:val="00F911C8"/>
    <w:rsid w:val="00F91484"/>
    <w:rsid w:val="00F9275D"/>
    <w:rsid w:val="00F92ABA"/>
    <w:rsid w:val="00F93389"/>
    <w:rsid w:val="00F93DB3"/>
    <w:rsid w:val="00F9447E"/>
    <w:rsid w:val="00F94481"/>
    <w:rsid w:val="00F949F9"/>
    <w:rsid w:val="00F94F0A"/>
    <w:rsid w:val="00F95325"/>
    <w:rsid w:val="00F95B39"/>
    <w:rsid w:val="00F960D6"/>
    <w:rsid w:val="00F96866"/>
    <w:rsid w:val="00F972A2"/>
    <w:rsid w:val="00F975BB"/>
    <w:rsid w:val="00F97B9E"/>
    <w:rsid w:val="00FA05C7"/>
    <w:rsid w:val="00FA05F9"/>
    <w:rsid w:val="00FA11F0"/>
    <w:rsid w:val="00FA170D"/>
    <w:rsid w:val="00FA2490"/>
    <w:rsid w:val="00FA2A14"/>
    <w:rsid w:val="00FA2B0C"/>
    <w:rsid w:val="00FA2CE5"/>
    <w:rsid w:val="00FA30F3"/>
    <w:rsid w:val="00FA35D4"/>
    <w:rsid w:val="00FA4645"/>
    <w:rsid w:val="00FA47A3"/>
    <w:rsid w:val="00FA494E"/>
    <w:rsid w:val="00FA4A80"/>
    <w:rsid w:val="00FA4B5C"/>
    <w:rsid w:val="00FA4DC8"/>
    <w:rsid w:val="00FA50C8"/>
    <w:rsid w:val="00FA5A48"/>
    <w:rsid w:val="00FA5CC5"/>
    <w:rsid w:val="00FA5FBA"/>
    <w:rsid w:val="00FA642C"/>
    <w:rsid w:val="00FA642D"/>
    <w:rsid w:val="00FA64C4"/>
    <w:rsid w:val="00FA663C"/>
    <w:rsid w:val="00FA6761"/>
    <w:rsid w:val="00FA691D"/>
    <w:rsid w:val="00FA6C4D"/>
    <w:rsid w:val="00FA716E"/>
    <w:rsid w:val="00FA77D5"/>
    <w:rsid w:val="00FA7C8D"/>
    <w:rsid w:val="00FA7DD0"/>
    <w:rsid w:val="00FB0124"/>
    <w:rsid w:val="00FB021D"/>
    <w:rsid w:val="00FB0713"/>
    <w:rsid w:val="00FB071B"/>
    <w:rsid w:val="00FB156C"/>
    <w:rsid w:val="00FB27AC"/>
    <w:rsid w:val="00FB28EF"/>
    <w:rsid w:val="00FB299E"/>
    <w:rsid w:val="00FB3131"/>
    <w:rsid w:val="00FB403F"/>
    <w:rsid w:val="00FB4462"/>
    <w:rsid w:val="00FB4E01"/>
    <w:rsid w:val="00FB5662"/>
    <w:rsid w:val="00FB58D0"/>
    <w:rsid w:val="00FB58F9"/>
    <w:rsid w:val="00FB5E08"/>
    <w:rsid w:val="00FB63AA"/>
    <w:rsid w:val="00FB69FA"/>
    <w:rsid w:val="00FB6B23"/>
    <w:rsid w:val="00FB77F9"/>
    <w:rsid w:val="00FB78C6"/>
    <w:rsid w:val="00FB79C9"/>
    <w:rsid w:val="00FC0290"/>
    <w:rsid w:val="00FC0368"/>
    <w:rsid w:val="00FC15E9"/>
    <w:rsid w:val="00FC1E95"/>
    <w:rsid w:val="00FC24AD"/>
    <w:rsid w:val="00FC2B8F"/>
    <w:rsid w:val="00FC2CD0"/>
    <w:rsid w:val="00FC32B9"/>
    <w:rsid w:val="00FC3375"/>
    <w:rsid w:val="00FC4344"/>
    <w:rsid w:val="00FC52EE"/>
    <w:rsid w:val="00FC5408"/>
    <w:rsid w:val="00FC5564"/>
    <w:rsid w:val="00FC570F"/>
    <w:rsid w:val="00FC59B0"/>
    <w:rsid w:val="00FC6CF0"/>
    <w:rsid w:val="00FC7444"/>
    <w:rsid w:val="00FD0635"/>
    <w:rsid w:val="00FD0EED"/>
    <w:rsid w:val="00FD1290"/>
    <w:rsid w:val="00FD1305"/>
    <w:rsid w:val="00FD179E"/>
    <w:rsid w:val="00FD2335"/>
    <w:rsid w:val="00FD235C"/>
    <w:rsid w:val="00FD2653"/>
    <w:rsid w:val="00FD2BCD"/>
    <w:rsid w:val="00FD31D0"/>
    <w:rsid w:val="00FD3435"/>
    <w:rsid w:val="00FD347F"/>
    <w:rsid w:val="00FD373F"/>
    <w:rsid w:val="00FD3DB5"/>
    <w:rsid w:val="00FD3E0F"/>
    <w:rsid w:val="00FD3E19"/>
    <w:rsid w:val="00FD4369"/>
    <w:rsid w:val="00FD55D3"/>
    <w:rsid w:val="00FD568B"/>
    <w:rsid w:val="00FD56D1"/>
    <w:rsid w:val="00FD56F7"/>
    <w:rsid w:val="00FD5CE5"/>
    <w:rsid w:val="00FD6003"/>
    <w:rsid w:val="00FD6291"/>
    <w:rsid w:val="00FD63EC"/>
    <w:rsid w:val="00FD662D"/>
    <w:rsid w:val="00FD6769"/>
    <w:rsid w:val="00FD6D10"/>
    <w:rsid w:val="00FD7DAB"/>
    <w:rsid w:val="00FE0DDF"/>
    <w:rsid w:val="00FE1401"/>
    <w:rsid w:val="00FE2179"/>
    <w:rsid w:val="00FE3148"/>
    <w:rsid w:val="00FE38D2"/>
    <w:rsid w:val="00FE38D7"/>
    <w:rsid w:val="00FE3A70"/>
    <w:rsid w:val="00FE3DD0"/>
    <w:rsid w:val="00FE4B90"/>
    <w:rsid w:val="00FE5A28"/>
    <w:rsid w:val="00FE5D3B"/>
    <w:rsid w:val="00FE5E33"/>
    <w:rsid w:val="00FE6050"/>
    <w:rsid w:val="00FE6BC9"/>
    <w:rsid w:val="00FE7396"/>
    <w:rsid w:val="00FE768A"/>
    <w:rsid w:val="00FE7B51"/>
    <w:rsid w:val="00FF0993"/>
    <w:rsid w:val="00FF09A1"/>
    <w:rsid w:val="00FF13A1"/>
    <w:rsid w:val="00FF1646"/>
    <w:rsid w:val="00FF1747"/>
    <w:rsid w:val="00FF17C0"/>
    <w:rsid w:val="00FF26CE"/>
    <w:rsid w:val="00FF2772"/>
    <w:rsid w:val="00FF28F2"/>
    <w:rsid w:val="00FF2BC5"/>
    <w:rsid w:val="00FF3850"/>
    <w:rsid w:val="00FF3EF9"/>
    <w:rsid w:val="00FF3EFB"/>
    <w:rsid w:val="00FF4A94"/>
    <w:rsid w:val="00FF4AB7"/>
    <w:rsid w:val="00FF73A8"/>
    <w:rsid w:val="00FF7611"/>
    <w:rsid w:val="00FF7656"/>
    <w:rsid w:val="00FF7DB4"/>
    <w:rsid w:val="00FF7E82"/>
    <w:rsid w:val="5DEF77E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3,4,5,6,7,8"/>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qFormat="1" w:unhideWhenUsed="0" w:uiPriority="0" w:name="footnote text"/>
    <w:lsdException w:qFormat="1" w:uiPriority="99" w:name="annotation text"/>
    <w:lsdException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nhideWhenUsed="0" w:uiPriority="0" w:name="footnote reference"/>
    <w:lsdException w:qFormat="1" w:uiPriority="99" w:name="annotation reference"/>
    <w:lsdException w:qFormat="1" w:uiPriority="0" w:name="line number"/>
    <w:lsdException w:uiPriority="0" w:name="page number"/>
    <w:lsdException w:uiPriority="0" w:name="endnote reference"/>
    <w:lsdException w:uiPriority="0" w:name="endnote text"/>
    <w:lsdException w:uiPriority="0" w:name="table of authorities"/>
    <w:lsdException w:unhideWhenUsed="0" w:uiPriority="0" w:semiHidden="0" w:name="macro"/>
    <w:lsdException w:uiPriority="0" w:name="toa heading"/>
    <w:lsdException w:uiPriority="0" w:name="List"/>
    <w:lsdException w:unhideWhenUsed="0" w:uiPriority="0" w:semiHidden="0" w:name="List Bullet"/>
    <w:lsdException w:unhideWhenUsed="0" w:uiPriority="0" w:semiHidden="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qFormat="1" w:unhideWhenUsed="0" w:uiPriority="0" w:semiHidden="0" w:name="Body Text Indent"/>
    <w:lsdException w:uiPriority="0" w:name="List Continue"/>
    <w:lsdException w:uiPriority="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宋体" w:cs="Times New Roman"/>
      <w:lang w:val="en-US" w:eastAsia="en-US" w:bidi="ar-SA"/>
    </w:rPr>
  </w:style>
  <w:style w:type="paragraph" w:styleId="2">
    <w:name w:val="heading 1"/>
    <w:basedOn w:val="1"/>
    <w:next w:val="1"/>
    <w:link w:val="47"/>
    <w:qFormat/>
    <w:uiPriority w:val="9"/>
    <w:pPr>
      <w:keepNext/>
      <w:numPr>
        <w:ilvl w:val="0"/>
        <w:numId w:val="1"/>
      </w:numPr>
      <w:spacing w:before="240" w:after="80"/>
      <w:jc w:val="center"/>
      <w:outlineLvl w:val="0"/>
    </w:pPr>
    <w:rPr>
      <w:smallCaps/>
      <w:kern w:val="28"/>
    </w:rPr>
  </w:style>
  <w:style w:type="paragraph" w:styleId="3">
    <w:name w:val="heading 2"/>
    <w:basedOn w:val="1"/>
    <w:next w:val="1"/>
    <w:link w:val="52"/>
    <w:qFormat/>
    <w:uiPriority w:val="9"/>
    <w:pPr>
      <w:keepNext/>
      <w:numPr>
        <w:ilvl w:val="1"/>
        <w:numId w:val="1"/>
      </w:numPr>
      <w:spacing w:before="120" w:after="60"/>
      <w:outlineLvl w:val="1"/>
    </w:pPr>
    <w:rPr>
      <w:i/>
      <w:iCs/>
    </w:rPr>
  </w:style>
  <w:style w:type="paragraph" w:styleId="4">
    <w:name w:val="heading 3"/>
    <w:basedOn w:val="1"/>
    <w:next w:val="1"/>
    <w:qFormat/>
    <w:uiPriority w:val="9"/>
    <w:pPr>
      <w:keepNext/>
      <w:numPr>
        <w:ilvl w:val="2"/>
        <w:numId w:val="1"/>
      </w:numPr>
      <w:outlineLvl w:val="2"/>
    </w:pPr>
    <w:rPr>
      <w:i/>
      <w:iCs/>
    </w:rPr>
  </w:style>
  <w:style w:type="paragraph" w:styleId="5">
    <w:name w:val="heading 4"/>
    <w:basedOn w:val="1"/>
    <w:next w:val="1"/>
    <w:qFormat/>
    <w:uiPriority w:val="9"/>
    <w:pPr>
      <w:keepNext/>
      <w:numPr>
        <w:ilvl w:val="3"/>
        <w:numId w:val="1"/>
      </w:numPr>
      <w:spacing w:before="240" w:after="60"/>
      <w:outlineLvl w:val="3"/>
    </w:pPr>
    <w:rPr>
      <w:i/>
      <w:iCs/>
      <w:sz w:val="18"/>
      <w:szCs w:val="18"/>
    </w:rPr>
  </w:style>
  <w:style w:type="paragraph" w:styleId="6">
    <w:name w:val="heading 5"/>
    <w:basedOn w:val="1"/>
    <w:next w:val="1"/>
    <w:qFormat/>
    <w:uiPriority w:val="9"/>
    <w:pPr>
      <w:numPr>
        <w:ilvl w:val="4"/>
        <w:numId w:val="1"/>
      </w:numPr>
      <w:spacing w:before="240" w:after="60"/>
      <w:outlineLvl w:val="4"/>
    </w:pPr>
    <w:rPr>
      <w:sz w:val="18"/>
      <w:szCs w:val="18"/>
    </w:rPr>
  </w:style>
  <w:style w:type="paragraph" w:styleId="7">
    <w:name w:val="heading 6"/>
    <w:basedOn w:val="1"/>
    <w:next w:val="1"/>
    <w:qFormat/>
    <w:uiPriority w:val="9"/>
    <w:pPr>
      <w:numPr>
        <w:ilvl w:val="5"/>
        <w:numId w:val="1"/>
      </w:numPr>
      <w:spacing w:before="240" w:after="60"/>
      <w:outlineLvl w:val="5"/>
    </w:pPr>
    <w:rPr>
      <w:i/>
      <w:iCs/>
      <w:sz w:val="16"/>
      <w:szCs w:val="16"/>
    </w:rPr>
  </w:style>
  <w:style w:type="paragraph" w:styleId="8">
    <w:name w:val="heading 7"/>
    <w:basedOn w:val="1"/>
    <w:next w:val="1"/>
    <w:qFormat/>
    <w:uiPriority w:val="9"/>
    <w:pPr>
      <w:numPr>
        <w:ilvl w:val="6"/>
        <w:numId w:val="1"/>
      </w:numPr>
      <w:spacing w:before="240" w:after="60"/>
      <w:outlineLvl w:val="6"/>
    </w:pPr>
    <w:rPr>
      <w:sz w:val="16"/>
      <w:szCs w:val="16"/>
    </w:rPr>
  </w:style>
  <w:style w:type="paragraph" w:styleId="9">
    <w:name w:val="heading 8"/>
    <w:basedOn w:val="1"/>
    <w:next w:val="1"/>
    <w:qFormat/>
    <w:uiPriority w:val="9"/>
    <w:pPr>
      <w:numPr>
        <w:ilvl w:val="7"/>
        <w:numId w:val="1"/>
      </w:numPr>
      <w:spacing w:before="240" w:after="60"/>
      <w:outlineLvl w:val="7"/>
    </w:pPr>
    <w:rPr>
      <w:i/>
      <w:iCs/>
      <w:sz w:val="16"/>
      <w:szCs w:val="16"/>
    </w:rPr>
  </w:style>
  <w:style w:type="paragraph" w:styleId="10">
    <w:name w:val="heading 9"/>
    <w:basedOn w:val="1"/>
    <w:next w:val="1"/>
    <w:qFormat/>
    <w:uiPriority w:val="9"/>
    <w:pPr>
      <w:numPr>
        <w:ilvl w:val="8"/>
        <w:numId w:val="1"/>
      </w:numPr>
      <w:spacing w:before="240" w:after="60"/>
      <w:outlineLvl w:val="8"/>
    </w:pPr>
    <w:rPr>
      <w:sz w:val="16"/>
      <w:szCs w:val="16"/>
    </w:rPr>
  </w:style>
  <w:style w:type="character" w:default="1" w:styleId="22">
    <w:name w:val="Default Paragraph Font"/>
    <w:semiHidden/>
    <w:unhideWhenUsed/>
    <w:uiPriority w:val="1"/>
  </w:style>
  <w:style w:type="table" w:default="1" w:styleId="20">
    <w:name w:val="Normal Table"/>
    <w:semiHidden/>
    <w:unhideWhenUsed/>
    <w:uiPriority w:val="99"/>
    <w:tblPr>
      <w:tblCellMar>
        <w:top w:w="0" w:type="dxa"/>
        <w:left w:w="108" w:type="dxa"/>
        <w:bottom w:w="0" w:type="dxa"/>
        <w:right w:w="108" w:type="dxa"/>
      </w:tblCellMar>
    </w:tblPr>
  </w:style>
  <w:style w:type="paragraph" w:styleId="11">
    <w:name w:val="Document Map"/>
    <w:basedOn w:val="1"/>
    <w:link w:val="71"/>
    <w:semiHidden/>
    <w:qFormat/>
    <w:uiPriority w:val="0"/>
    <w:pPr>
      <w:shd w:val="clear" w:color="auto" w:fill="000080"/>
    </w:pPr>
    <w:rPr>
      <w:rFonts w:ascii="Tahoma" w:hAnsi="Tahoma" w:cs="Tahoma"/>
    </w:rPr>
  </w:style>
  <w:style w:type="paragraph" w:styleId="12">
    <w:name w:val="annotation text"/>
    <w:basedOn w:val="1"/>
    <w:link w:val="63"/>
    <w:semiHidden/>
    <w:unhideWhenUsed/>
    <w:qFormat/>
    <w:uiPriority w:val="99"/>
    <w:pPr>
      <w:widowControl w:val="0"/>
      <w:jc w:val="both"/>
    </w:pPr>
    <w:rPr>
      <w:rFonts w:asciiTheme="minorHAnsi" w:hAnsiTheme="minorHAnsi" w:eastAsiaTheme="minorEastAsia" w:cstheme="minorBidi"/>
      <w:kern w:val="2"/>
      <w:lang w:eastAsia="zh-CN"/>
    </w:rPr>
  </w:style>
  <w:style w:type="paragraph" w:styleId="13">
    <w:name w:val="Body Text Indent"/>
    <w:basedOn w:val="1"/>
    <w:link w:val="57"/>
    <w:qFormat/>
    <w:uiPriority w:val="0"/>
    <w:pPr>
      <w:ind w:left="630" w:hanging="630"/>
    </w:pPr>
    <w:rPr>
      <w:szCs w:val="24"/>
    </w:rPr>
  </w:style>
  <w:style w:type="paragraph" w:styleId="14">
    <w:name w:val="Balloon Text"/>
    <w:basedOn w:val="1"/>
    <w:link w:val="41"/>
    <w:qFormat/>
    <w:uiPriority w:val="0"/>
    <w:rPr>
      <w:rFonts w:ascii="Tahoma" w:hAnsi="Tahoma" w:cs="Tahoma"/>
      <w:sz w:val="16"/>
      <w:szCs w:val="16"/>
    </w:rPr>
  </w:style>
  <w:style w:type="paragraph" w:styleId="15">
    <w:name w:val="footer"/>
    <w:basedOn w:val="1"/>
    <w:link w:val="55"/>
    <w:qFormat/>
    <w:uiPriority w:val="99"/>
    <w:pPr>
      <w:tabs>
        <w:tab w:val="center" w:pos="4320"/>
        <w:tab w:val="right" w:pos="8640"/>
      </w:tabs>
    </w:pPr>
  </w:style>
  <w:style w:type="paragraph" w:styleId="16">
    <w:name w:val="header"/>
    <w:basedOn w:val="1"/>
    <w:uiPriority w:val="0"/>
    <w:pPr>
      <w:tabs>
        <w:tab w:val="center" w:pos="4320"/>
        <w:tab w:val="right" w:pos="8640"/>
      </w:tabs>
    </w:pPr>
  </w:style>
  <w:style w:type="paragraph" w:styleId="17">
    <w:name w:val="footnote text"/>
    <w:basedOn w:val="1"/>
    <w:link w:val="56"/>
    <w:semiHidden/>
    <w:qFormat/>
    <w:uiPriority w:val="0"/>
    <w:pPr>
      <w:ind w:firstLine="202"/>
      <w:jc w:val="both"/>
    </w:pPr>
    <w:rPr>
      <w:sz w:val="16"/>
      <w:szCs w:val="16"/>
    </w:rPr>
  </w:style>
  <w:style w:type="paragraph" w:styleId="18">
    <w:name w:val="Title"/>
    <w:basedOn w:val="1"/>
    <w:next w:val="1"/>
    <w:qFormat/>
    <w:uiPriority w:val="0"/>
    <w:pPr>
      <w:framePr w:w="9360" w:hSpace="187" w:vSpace="187" w:wrap="notBeside" w:vAnchor="text" w:hAnchor="page" w:xAlign="center" w:y="1"/>
      <w:jc w:val="center"/>
    </w:pPr>
    <w:rPr>
      <w:kern w:val="28"/>
      <w:sz w:val="48"/>
      <w:szCs w:val="48"/>
    </w:rPr>
  </w:style>
  <w:style w:type="paragraph" w:styleId="19">
    <w:name w:val="annotation subject"/>
    <w:basedOn w:val="12"/>
    <w:next w:val="12"/>
    <w:link w:val="64"/>
    <w:semiHidden/>
    <w:unhideWhenUsed/>
    <w:qFormat/>
    <w:uiPriority w:val="0"/>
    <w:pPr>
      <w:widowControl/>
      <w:jc w:val="left"/>
    </w:pPr>
    <w:rPr>
      <w:rFonts w:ascii="Times New Roman" w:hAnsi="Times New Roman" w:eastAsia="宋体" w:cs="Times New Roman"/>
      <w:b/>
      <w:bCs/>
      <w:kern w:val="0"/>
      <w:lang w:eastAsia="en-US"/>
    </w:rPr>
  </w:style>
  <w:style w:type="table" w:styleId="21">
    <w:name w:val="Table Grid"/>
    <w:basedOn w:val="20"/>
    <w:qFormat/>
    <w:uiPriority w:val="39"/>
    <w:pPr>
      <w:autoSpaceDE w:val="0"/>
      <w:autoSpaceDN w:val="0"/>
    </w:pPr>
    <w:rPr>
      <w:lang w:eastAsia="zh-C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FollowedHyperlink"/>
    <w:basedOn w:val="22"/>
    <w:uiPriority w:val="0"/>
    <w:rPr>
      <w:color w:val="800080"/>
      <w:u w:val="single"/>
    </w:rPr>
  </w:style>
  <w:style w:type="character" w:styleId="24">
    <w:name w:val="Emphasis"/>
    <w:basedOn w:val="22"/>
    <w:qFormat/>
    <w:uiPriority w:val="20"/>
    <w:rPr>
      <w:i/>
      <w:iCs/>
    </w:rPr>
  </w:style>
  <w:style w:type="character" w:styleId="25">
    <w:name w:val="line number"/>
    <w:basedOn w:val="22"/>
    <w:semiHidden/>
    <w:unhideWhenUsed/>
    <w:qFormat/>
    <w:uiPriority w:val="0"/>
  </w:style>
  <w:style w:type="character" w:styleId="26">
    <w:name w:val="Hyperlink"/>
    <w:basedOn w:val="22"/>
    <w:qFormat/>
    <w:uiPriority w:val="99"/>
    <w:rPr>
      <w:color w:val="0000FF"/>
      <w:u w:val="single"/>
    </w:rPr>
  </w:style>
  <w:style w:type="character" w:styleId="27">
    <w:name w:val="annotation reference"/>
    <w:basedOn w:val="22"/>
    <w:semiHidden/>
    <w:unhideWhenUsed/>
    <w:qFormat/>
    <w:uiPriority w:val="99"/>
    <w:rPr>
      <w:sz w:val="16"/>
      <w:szCs w:val="16"/>
    </w:rPr>
  </w:style>
  <w:style w:type="character" w:styleId="28">
    <w:name w:val="footnote reference"/>
    <w:basedOn w:val="22"/>
    <w:semiHidden/>
    <w:uiPriority w:val="0"/>
    <w:rPr>
      <w:vertAlign w:val="superscript"/>
    </w:rPr>
  </w:style>
  <w:style w:type="paragraph" w:customStyle="1" w:styleId="29">
    <w:name w:val="Abstract"/>
    <w:basedOn w:val="1"/>
    <w:next w:val="1"/>
    <w:qFormat/>
    <w:uiPriority w:val="0"/>
    <w:pPr>
      <w:spacing w:before="20"/>
      <w:ind w:firstLine="202"/>
      <w:jc w:val="both"/>
    </w:pPr>
    <w:rPr>
      <w:b/>
      <w:bCs/>
      <w:sz w:val="18"/>
      <w:szCs w:val="18"/>
    </w:rPr>
  </w:style>
  <w:style w:type="paragraph" w:customStyle="1" w:styleId="30">
    <w:name w:val="Authors"/>
    <w:basedOn w:val="1"/>
    <w:next w:val="1"/>
    <w:qFormat/>
    <w:uiPriority w:val="0"/>
    <w:pPr>
      <w:framePr w:w="9072" w:hSpace="187" w:vSpace="187" w:wrap="notBeside" w:vAnchor="text" w:hAnchor="page" w:xAlign="center" w:y="1"/>
      <w:spacing w:after="320"/>
      <w:jc w:val="center"/>
    </w:pPr>
    <w:rPr>
      <w:sz w:val="22"/>
      <w:szCs w:val="22"/>
    </w:rPr>
  </w:style>
  <w:style w:type="character" w:customStyle="1" w:styleId="31">
    <w:name w:val="MemberType"/>
    <w:basedOn w:val="22"/>
    <w:uiPriority w:val="0"/>
    <w:rPr>
      <w:rFonts w:ascii="Times New Roman" w:hAnsi="Times New Roman" w:cs="Times New Roman"/>
      <w:i/>
      <w:iCs/>
      <w:sz w:val="22"/>
      <w:szCs w:val="22"/>
    </w:rPr>
  </w:style>
  <w:style w:type="paragraph" w:customStyle="1" w:styleId="32">
    <w:name w:val="References"/>
    <w:basedOn w:val="1"/>
    <w:uiPriority w:val="0"/>
    <w:pPr>
      <w:numPr>
        <w:ilvl w:val="0"/>
        <w:numId w:val="2"/>
      </w:numPr>
      <w:jc w:val="both"/>
    </w:pPr>
    <w:rPr>
      <w:sz w:val="16"/>
      <w:szCs w:val="16"/>
    </w:rPr>
  </w:style>
  <w:style w:type="paragraph" w:customStyle="1" w:styleId="33">
    <w:name w:val="IndexTerms"/>
    <w:basedOn w:val="1"/>
    <w:next w:val="1"/>
    <w:uiPriority w:val="0"/>
    <w:pPr>
      <w:ind w:firstLine="202"/>
      <w:jc w:val="both"/>
    </w:pPr>
    <w:rPr>
      <w:b/>
      <w:bCs/>
      <w:sz w:val="18"/>
      <w:szCs w:val="18"/>
    </w:rPr>
  </w:style>
  <w:style w:type="paragraph" w:customStyle="1" w:styleId="34">
    <w:name w:val="Text"/>
    <w:basedOn w:val="1"/>
    <w:uiPriority w:val="0"/>
    <w:pPr>
      <w:widowControl w:val="0"/>
      <w:spacing w:line="252" w:lineRule="auto"/>
      <w:ind w:firstLine="202"/>
      <w:jc w:val="both"/>
    </w:pPr>
  </w:style>
  <w:style w:type="paragraph" w:customStyle="1" w:styleId="35">
    <w:name w:val="Figure Caption"/>
    <w:basedOn w:val="1"/>
    <w:qFormat/>
    <w:uiPriority w:val="0"/>
    <w:pPr>
      <w:jc w:val="both"/>
    </w:pPr>
    <w:rPr>
      <w:sz w:val="16"/>
      <w:szCs w:val="16"/>
    </w:rPr>
  </w:style>
  <w:style w:type="paragraph" w:customStyle="1" w:styleId="36">
    <w:name w:val="Table Title"/>
    <w:basedOn w:val="1"/>
    <w:uiPriority w:val="0"/>
    <w:pPr>
      <w:jc w:val="center"/>
    </w:pPr>
    <w:rPr>
      <w:smallCaps/>
      <w:sz w:val="16"/>
      <w:szCs w:val="16"/>
    </w:rPr>
  </w:style>
  <w:style w:type="paragraph" w:customStyle="1" w:styleId="37">
    <w:name w:val="Reference Head"/>
    <w:basedOn w:val="2"/>
    <w:link w:val="48"/>
    <w:uiPriority w:val="0"/>
    <w:pPr>
      <w:numPr>
        <w:numId w:val="0"/>
      </w:numPr>
    </w:pPr>
  </w:style>
  <w:style w:type="paragraph" w:customStyle="1" w:styleId="38">
    <w:name w:val="Equation"/>
    <w:basedOn w:val="1"/>
    <w:next w:val="1"/>
    <w:uiPriority w:val="0"/>
    <w:pPr>
      <w:widowControl w:val="0"/>
      <w:tabs>
        <w:tab w:val="right" w:pos="5040"/>
      </w:tabs>
      <w:spacing w:line="252" w:lineRule="auto"/>
      <w:jc w:val="both"/>
    </w:pPr>
  </w:style>
  <w:style w:type="paragraph" w:customStyle="1" w:styleId="39">
    <w:name w:val="Pa0"/>
    <w:basedOn w:val="1"/>
    <w:next w:val="1"/>
    <w:qFormat/>
    <w:uiPriority w:val="0"/>
    <w:pPr>
      <w:widowControl w:val="0"/>
      <w:adjustRightInd w:val="0"/>
      <w:spacing w:line="241" w:lineRule="atLeast"/>
    </w:pPr>
    <w:rPr>
      <w:rFonts w:ascii="Baskerville" w:hAnsi="Baskerville"/>
      <w:sz w:val="24"/>
      <w:szCs w:val="24"/>
    </w:rPr>
  </w:style>
  <w:style w:type="character" w:customStyle="1" w:styleId="40">
    <w:name w:val="A5"/>
    <w:qFormat/>
    <w:uiPriority w:val="0"/>
    <w:rPr>
      <w:color w:val="00529F"/>
      <w:sz w:val="20"/>
      <w:szCs w:val="20"/>
    </w:rPr>
  </w:style>
  <w:style w:type="character" w:customStyle="1" w:styleId="41">
    <w:name w:val="批注框文本 字符"/>
    <w:basedOn w:val="22"/>
    <w:link w:val="14"/>
    <w:qFormat/>
    <w:uiPriority w:val="0"/>
    <w:rPr>
      <w:rFonts w:ascii="Tahoma" w:hAnsi="Tahoma" w:cs="Tahoma"/>
      <w:sz w:val="16"/>
      <w:szCs w:val="16"/>
    </w:rPr>
  </w:style>
  <w:style w:type="character" w:styleId="42">
    <w:name w:val="Placeholder Text"/>
    <w:basedOn w:val="22"/>
    <w:semiHidden/>
    <w:qFormat/>
    <w:uiPriority w:val="99"/>
    <w:rPr>
      <w:color w:val="808080"/>
    </w:rPr>
  </w:style>
  <w:style w:type="paragraph" w:customStyle="1" w:styleId="43">
    <w:name w:val="Paragraph Style 1"/>
    <w:basedOn w:val="1"/>
    <w:qFormat/>
    <w:uiPriority w:val="99"/>
    <w:pPr>
      <w:widowControl w:val="0"/>
      <w:tabs>
        <w:tab w:val="left" w:pos="480"/>
      </w:tabs>
      <w:adjustRightInd w:val="0"/>
      <w:spacing w:before="100" w:line="280" w:lineRule="atLeast"/>
      <w:textAlignment w:val="center"/>
    </w:pPr>
    <w:rPr>
      <w:rFonts w:ascii="Formata-Regular" w:hAnsi="Formata-Regular" w:cs="Formata-Regular" w:eastAsiaTheme="minorEastAsia"/>
      <w:color w:val="000000"/>
      <w:sz w:val="22"/>
      <w:szCs w:val="22"/>
      <w:lang w:eastAsia="ja-JP"/>
    </w:rPr>
  </w:style>
  <w:style w:type="character" w:customStyle="1" w:styleId="44">
    <w:name w:val="Body Text1"/>
    <w:basedOn w:val="22"/>
    <w:qFormat/>
    <w:uiPriority w:val="99"/>
    <w:rPr>
      <w:rFonts w:ascii="Verdana" w:hAnsi="Verdana" w:cs="Verdana"/>
      <w:color w:val="000000"/>
      <w:sz w:val="22"/>
      <w:szCs w:val="22"/>
    </w:rPr>
  </w:style>
  <w:style w:type="character" w:customStyle="1" w:styleId="45">
    <w:name w:val="body type"/>
    <w:basedOn w:val="22"/>
    <w:qFormat/>
    <w:uiPriority w:val="99"/>
    <w:rPr>
      <w:rFonts w:ascii="Formata-Regular" w:hAnsi="Formata-Regular" w:cs="Formata-Regular"/>
      <w:color w:val="000000"/>
      <w:sz w:val="22"/>
      <w:szCs w:val="22"/>
    </w:rPr>
  </w:style>
  <w:style w:type="paragraph" w:customStyle="1" w:styleId="46">
    <w:name w:val="Style1"/>
    <w:basedOn w:val="37"/>
    <w:link w:val="49"/>
    <w:qFormat/>
    <w:uiPriority w:val="0"/>
  </w:style>
  <w:style w:type="character" w:customStyle="1" w:styleId="47">
    <w:name w:val="标题 1 字符"/>
    <w:basedOn w:val="22"/>
    <w:link w:val="2"/>
    <w:qFormat/>
    <w:uiPriority w:val="9"/>
    <w:rPr>
      <w:smallCaps/>
      <w:kern w:val="28"/>
    </w:rPr>
  </w:style>
  <w:style w:type="character" w:customStyle="1" w:styleId="48">
    <w:name w:val="Reference Head Char"/>
    <w:basedOn w:val="47"/>
    <w:link w:val="37"/>
    <w:qFormat/>
    <w:uiPriority w:val="0"/>
    <w:rPr>
      <w:kern w:val="28"/>
    </w:rPr>
  </w:style>
  <w:style w:type="character" w:customStyle="1" w:styleId="49">
    <w:name w:val="Style1 Char"/>
    <w:basedOn w:val="48"/>
    <w:link w:val="46"/>
    <w:qFormat/>
    <w:uiPriority w:val="0"/>
    <w:rPr>
      <w:kern w:val="28"/>
    </w:rPr>
  </w:style>
  <w:style w:type="paragraph" w:customStyle="1" w:styleId="50">
    <w:name w:val="Revision"/>
    <w:hidden/>
    <w:semiHidden/>
    <w:qFormat/>
    <w:uiPriority w:val="99"/>
    <w:rPr>
      <w:rFonts w:ascii="Times New Roman" w:hAnsi="Times New Roman" w:eastAsia="宋体" w:cs="Times New Roman"/>
      <w:lang w:val="en-US" w:eastAsia="en-US" w:bidi="ar-SA"/>
    </w:rPr>
  </w:style>
  <w:style w:type="character" w:customStyle="1" w:styleId="51">
    <w:name w:val="Body Text2"/>
    <w:basedOn w:val="22"/>
    <w:qFormat/>
    <w:uiPriority w:val="99"/>
    <w:rPr>
      <w:rFonts w:ascii="Verdana" w:hAnsi="Verdana" w:cs="Verdana"/>
      <w:color w:val="000000"/>
      <w:sz w:val="22"/>
      <w:szCs w:val="22"/>
    </w:rPr>
  </w:style>
  <w:style w:type="character" w:customStyle="1" w:styleId="52">
    <w:name w:val="标题 2 字符"/>
    <w:basedOn w:val="22"/>
    <w:link w:val="3"/>
    <w:qFormat/>
    <w:uiPriority w:val="9"/>
    <w:rPr>
      <w:i/>
      <w:iCs/>
    </w:rPr>
  </w:style>
  <w:style w:type="paragraph" w:customStyle="1" w:styleId="53">
    <w:name w:val="Text L-MAG"/>
    <w:basedOn w:val="1"/>
    <w:link w:val="54"/>
    <w:qFormat/>
    <w:uiPriority w:val="0"/>
    <w:pPr>
      <w:widowControl w:val="0"/>
      <w:tabs>
        <w:tab w:val="left" w:pos="360"/>
      </w:tabs>
      <w:spacing w:line="276" w:lineRule="auto"/>
      <w:ind w:firstLine="360"/>
      <w:jc w:val="both"/>
    </w:pPr>
    <w:rPr>
      <w:rFonts w:ascii="Arial" w:hAnsi="Arial" w:eastAsia="MS Mincho"/>
      <w:sz w:val="18"/>
      <w:szCs w:val="22"/>
      <w:lang w:eastAsia="ja-JP"/>
    </w:rPr>
  </w:style>
  <w:style w:type="character" w:customStyle="1" w:styleId="54">
    <w:name w:val="Text L-MAG Char"/>
    <w:basedOn w:val="22"/>
    <w:link w:val="53"/>
    <w:qFormat/>
    <w:uiPriority w:val="0"/>
    <w:rPr>
      <w:rFonts w:ascii="Arial" w:hAnsi="Arial" w:eastAsia="MS Mincho"/>
      <w:sz w:val="18"/>
      <w:szCs w:val="22"/>
      <w:lang w:eastAsia="ja-JP"/>
    </w:rPr>
  </w:style>
  <w:style w:type="character" w:customStyle="1" w:styleId="55">
    <w:name w:val="页脚 字符"/>
    <w:basedOn w:val="22"/>
    <w:link w:val="15"/>
    <w:qFormat/>
    <w:uiPriority w:val="99"/>
  </w:style>
  <w:style w:type="character" w:customStyle="1" w:styleId="56">
    <w:name w:val="脚注文本 字符"/>
    <w:basedOn w:val="22"/>
    <w:link w:val="17"/>
    <w:semiHidden/>
    <w:qFormat/>
    <w:uiPriority w:val="0"/>
    <w:rPr>
      <w:sz w:val="16"/>
      <w:szCs w:val="16"/>
    </w:rPr>
  </w:style>
  <w:style w:type="character" w:customStyle="1" w:styleId="57">
    <w:name w:val="正文文本缩进 字符"/>
    <w:basedOn w:val="22"/>
    <w:link w:val="13"/>
    <w:qFormat/>
    <w:uiPriority w:val="0"/>
    <w:rPr>
      <w:szCs w:val="24"/>
    </w:rPr>
  </w:style>
  <w:style w:type="paragraph" w:styleId="58">
    <w:name w:val="List Paragraph"/>
    <w:basedOn w:val="1"/>
    <w:link w:val="70"/>
    <w:qFormat/>
    <w:uiPriority w:val="34"/>
    <w:pPr>
      <w:widowControl w:val="0"/>
      <w:ind w:firstLine="420" w:firstLineChars="200"/>
      <w:jc w:val="both"/>
    </w:pPr>
    <w:rPr>
      <w:rFonts w:asciiTheme="minorHAnsi" w:hAnsiTheme="minorHAnsi" w:eastAsiaTheme="minorEastAsia" w:cstheme="minorBidi"/>
      <w:kern w:val="2"/>
      <w:sz w:val="21"/>
      <w:szCs w:val="22"/>
      <w:lang w:eastAsia="zh-CN"/>
    </w:rPr>
  </w:style>
  <w:style w:type="paragraph" w:customStyle="1" w:styleId="59">
    <w:name w:val="EndNote Bibliography Title"/>
    <w:basedOn w:val="1"/>
    <w:link w:val="60"/>
    <w:qFormat/>
    <w:uiPriority w:val="0"/>
    <w:pPr>
      <w:jc w:val="center"/>
    </w:pPr>
  </w:style>
  <w:style w:type="character" w:customStyle="1" w:styleId="60">
    <w:name w:val="EndNote Bibliography Title 字符"/>
    <w:basedOn w:val="22"/>
    <w:link w:val="59"/>
    <w:qFormat/>
    <w:uiPriority w:val="0"/>
  </w:style>
  <w:style w:type="paragraph" w:customStyle="1" w:styleId="61">
    <w:name w:val="EndNote Bibliography"/>
    <w:basedOn w:val="1"/>
    <w:link w:val="62"/>
    <w:qFormat/>
    <w:uiPriority w:val="0"/>
    <w:pPr>
      <w:jc w:val="both"/>
    </w:pPr>
  </w:style>
  <w:style w:type="character" w:customStyle="1" w:styleId="62">
    <w:name w:val="EndNote Bibliography 字符"/>
    <w:basedOn w:val="22"/>
    <w:link w:val="61"/>
    <w:qFormat/>
    <w:uiPriority w:val="0"/>
  </w:style>
  <w:style w:type="character" w:customStyle="1" w:styleId="63">
    <w:name w:val="批注文字 字符"/>
    <w:basedOn w:val="22"/>
    <w:link w:val="12"/>
    <w:semiHidden/>
    <w:qFormat/>
    <w:uiPriority w:val="99"/>
    <w:rPr>
      <w:rFonts w:asciiTheme="minorHAnsi" w:hAnsiTheme="minorHAnsi" w:eastAsiaTheme="minorEastAsia" w:cstheme="minorBidi"/>
      <w:kern w:val="2"/>
      <w:lang w:eastAsia="zh-CN"/>
    </w:rPr>
  </w:style>
  <w:style w:type="character" w:customStyle="1" w:styleId="64">
    <w:name w:val="批注主题 字符"/>
    <w:basedOn w:val="63"/>
    <w:link w:val="19"/>
    <w:semiHidden/>
    <w:qFormat/>
    <w:uiPriority w:val="0"/>
    <w:rPr>
      <w:rFonts w:asciiTheme="minorHAnsi" w:hAnsiTheme="minorHAnsi" w:eastAsiaTheme="minorEastAsia" w:cstheme="minorBidi"/>
      <w:b/>
      <w:bCs/>
      <w:kern w:val="2"/>
      <w:lang w:eastAsia="zh-CN"/>
    </w:rPr>
  </w:style>
  <w:style w:type="character" w:customStyle="1" w:styleId="65">
    <w:name w:val="Unresolved Mention"/>
    <w:basedOn w:val="22"/>
    <w:semiHidden/>
    <w:unhideWhenUsed/>
    <w:qFormat/>
    <w:uiPriority w:val="99"/>
    <w:rPr>
      <w:color w:val="605E5C"/>
      <w:shd w:val="clear" w:color="auto" w:fill="E1DFDD"/>
    </w:rPr>
  </w:style>
  <w:style w:type="paragraph" w:customStyle="1" w:styleId="66">
    <w:name w:val="表号"/>
    <w:basedOn w:val="1"/>
    <w:link w:val="68"/>
    <w:qFormat/>
    <w:uiPriority w:val="0"/>
    <w:pPr>
      <w:widowControl w:val="0"/>
      <w:pBdr>
        <w:top w:val="none" w:color="auto" w:sz="0" w:space="0"/>
        <w:left w:val="none" w:color="auto" w:sz="0" w:space="0"/>
        <w:bottom w:val="none" w:color="auto" w:sz="0" w:space="0"/>
        <w:right w:val="none" w:color="auto" w:sz="0" w:space="0"/>
        <w:between w:val="none" w:color="auto" w:sz="0" w:space="0"/>
      </w:pBdr>
      <w:spacing w:line="252" w:lineRule="auto"/>
      <w:ind w:firstLine="202"/>
      <w:jc w:val="center"/>
    </w:pPr>
    <w:rPr>
      <w:rFonts w:eastAsiaTheme="minorEastAsia"/>
      <w:caps/>
      <w:sz w:val="16"/>
    </w:rPr>
  </w:style>
  <w:style w:type="paragraph" w:customStyle="1" w:styleId="67">
    <w:name w:val="表头"/>
    <w:basedOn w:val="1"/>
    <w:link w:val="69"/>
    <w:autoRedefine/>
    <w:qFormat/>
    <w:uiPriority w:val="0"/>
    <w:pPr>
      <w:widowControl w:val="0"/>
      <w:pBdr>
        <w:top w:val="none" w:color="auto" w:sz="0" w:space="0"/>
        <w:left w:val="none" w:color="auto" w:sz="0" w:space="0"/>
        <w:bottom w:val="none" w:color="auto" w:sz="0" w:space="0"/>
        <w:right w:val="none" w:color="auto" w:sz="0" w:space="0"/>
        <w:between w:val="none" w:color="auto" w:sz="0" w:space="0"/>
      </w:pBdr>
      <w:jc w:val="center"/>
    </w:pPr>
    <w:rPr>
      <w:rFonts w:eastAsiaTheme="minorEastAsia"/>
      <w:smallCaps/>
      <w:sz w:val="16"/>
    </w:rPr>
  </w:style>
  <w:style w:type="character" w:customStyle="1" w:styleId="68">
    <w:name w:val="表号 字符"/>
    <w:basedOn w:val="22"/>
    <w:link w:val="66"/>
    <w:qFormat/>
    <w:uiPriority w:val="0"/>
    <w:rPr>
      <w:rFonts w:eastAsiaTheme="minorEastAsia"/>
      <w:caps/>
      <w:sz w:val="16"/>
    </w:rPr>
  </w:style>
  <w:style w:type="character" w:customStyle="1" w:styleId="69">
    <w:name w:val="表头 字符"/>
    <w:basedOn w:val="22"/>
    <w:link w:val="67"/>
    <w:qFormat/>
    <w:uiPriority w:val="0"/>
    <w:rPr>
      <w:rFonts w:eastAsiaTheme="minorEastAsia"/>
      <w:smallCaps/>
      <w:sz w:val="16"/>
    </w:rPr>
  </w:style>
  <w:style w:type="character" w:customStyle="1" w:styleId="70">
    <w:name w:val="列表段落 字符"/>
    <w:basedOn w:val="22"/>
    <w:link w:val="58"/>
    <w:qFormat/>
    <w:uiPriority w:val="34"/>
    <w:rPr>
      <w:rFonts w:asciiTheme="minorHAnsi" w:hAnsiTheme="minorHAnsi" w:eastAsiaTheme="minorEastAsia" w:cstheme="minorBidi"/>
      <w:kern w:val="2"/>
      <w:sz w:val="21"/>
      <w:szCs w:val="22"/>
      <w:lang w:eastAsia="zh-CN"/>
    </w:rPr>
  </w:style>
  <w:style w:type="character" w:customStyle="1" w:styleId="71">
    <w:name w:val="文档结构图 字符"/>
    <w:basedOn w:val="22"/>
    <w:link w:val="11"/>
    <w:semiHidden/>
    <w:qFormat/>
    <w:uiPriority w:val="0"/>
    <w:rPr>
      <w:rFonts w:ascii="Tahoma" w:hAnsi="Tahoma" w:cs="Tahoma"/>
      <w:shd w:val="clear" w:color="auto" w:fill="000080"/>
    </w:rPr>
  </w:style>
  <w:style w:type="paragraph" w:customStyle="1" w:styleId="72">
    <w:name w:val="1级标题"/>
    <w:basedOn w:val="1"/>
    <w:link w:val="73"/>
    <w:qFormat/>
    <w:uiPriority w:val="0"/>
    <w:pPr>
      <w:keepNext/>
      <w:pBdr>
        <w:top w:val="none" w:color="auto" w:sz="0" w:space="0"/>
        <w:left w:val="none" w:color="auto" w:sz="0" w:space="0"/>
        <w:bottom w:val="none" w:color="auto" w:sz="0" w:space="0"/>
        <w:right w:val="none" w:color="auto" w:sz="0" w:space="0"/>
        <w:between w:val="none" w:color="auto" w:sz="0" w:space="0"/>
      </w:pBdr>
      <w:spacing w:before="240" w:after="80"/>
      <w:jc w:val="center"/>
      <w:outlineLvl w:val="0"/>
    </w:pPr>
    <w:rPr>
      <w:rFonts w:eastAsiaTheme="minorEastAsia"/>
      <w:smallCaps/>
      <w:color w:val="000000"/>
    </w:rPr>
  </w:style>
  <w:style w:type="character" w:customStyle="1" w:styleId="73">
    <w:name w:val="1级标题 字符"/>
    <w:basedOn w:val="22"/>
    <w:link w:val="72"/>
    <w:qFormat/>
    <w:uiPriority w:val="0"/>
    <w:rPr>
      <w:rFonts w:eastAsiaTheme="minorEastAsia"/>
      <w:smallCaps/>
      <w:color w:val="000000"/>
    </w:rPr>
  </w:style>
  <w:style w:type="paragraph" w:customStyle="1" w:styleId="74">
    <w:name w:val="图名"/>
    <w:basedOn w:val="1"/>
    <w:link w:val="75"/>
    <w:qFormat/>
    <w:uiPriority w:val="0"/>
    <w:pPr>
      <w:jc w:val="both"/>
    </w:pPr>
    <w:rPr>
      <w:rFonts w:eastAsiaTheme="minorEastAsia"/>
      <w:sz w:val="16"/>
      <w:szCs w:val="18"/>
    </w:rPr>
  </w:style>
  <w:style w:type="character" w:customStyle="1" w:styleId="75">
    <w:name w:val="图名 字符"/>
    <w:basedOn w:val="22"/>
    <w:link w:val="74"/>
    <w:qFormat/>
    <w:uiPriority w:val="0"/>
    <w:rPr>
      <w:rFonts w:eastAsiaTheme="minorEastAsia"/>
      <w:sz w:val="16"/>
      <w:szCs w:val="18"/>
    </w:rPr>
  </w:style>
  <w:style w:type="paragraph" w:customStyle="1" w:styleId="76">
    <w:name w:val="3级标题"/>
    <w:basedOn w:val="58"/>
    <w:qFormat/>
    <w:uiPriority w:val="0"/>
    <w:pPr>
      <w:widowControl/>
      <w:numPr>
        <w:ilvl w:val="0"/>
        <w:numId w:val="3"/>
      </w:numPr>
      <w:ind w:left="540" w:firstLine="0" w:firstLineChars="0"/>
      <w:contextualSpacing/>
    </w:pPr>
    <w:rPr>
      <w:rFonts w:ascii="Times New Roman" w:hAnsi="Times New Roman" w:cs="Times New Roman"/>
      <w:b/>
      <w:kern w:val="0"/>
      <w:sz w:val="20"/>
      <w:szCs w:val="20"/>
      <w:lang w:eastAsia="en-US"/>
    </w:rPr>
  </w:style>
  <w:style w:type="paragraph" w:customStyle="1" w:styleId="77">
    <w:name w:val="列表abc"/>
    <w:basedOn w:val="58"/>
    <w:link w:val="78"/>
    <w:qFormat/>
    <w:uiPriority w:val="0"/>
    <w:pPr>
      <w:widowControl/>
      <w:numPr>
        <w:ilvl w:val="1"/>
        <w:numId w:val="3"/>
      </w:numPr>
      <w:ind w:firstLine="0" w:firstLineChars="0"/>
      <w:contextualSpacing/>
    </w:pPr>
    <w:rPr>
      <w:color w:val="000000"/>
    </w:rPr>
  </w:style>
  <w:style w:type="character" w:customStyle="1" w:styleId="78">
    <w:name w:val="列表abc 字符"/>
    <w:basedOn w:val="70"/>
    <w:link w:val="77"/>
    <w:qFormat/>
    <w:uiPriority w:val="0"/>
    <w:rPr>
      <w:rFonts w:asciiTheme="minorHAnsi" w:hAnsiTheme="minorHAnsi" w:eastAsiaTheme="minorEastAsia" w:cstheme="minorBidi"/>
      <w:color w:val="000000"/>
      <w:kern w:val="2"/>
      <w:sz w:val="21"/>
      <w:szCs w:val="22"/>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emf"/><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emf"/><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8805"/>
    <customShpInfo spid="_x0000_s8740"/>
    <customShpInfo spid="_x0000_s8786"/>
    <customShpInfo spid="_x0000_s8787"/>
    <customShpInfo spid="_x0000_s8790"/>
    <customShpInfo spid="_x0000_s8789"/>
    <customShpInfo spid="_x0000_s8769"/>
    <customShpInfo spid="_x0000_s8773"/>
    <customShpInfo spid="_x0000_s8775"/>
    <customShpInfo spid="_x0000_s8793"/>
    <customShpInfo spid="_x0000_s8794"/>
    <customShpInfo spid="_x0000_s8795"/>
    <customShpInfo spid="_x0000_s8796"/>
    <customShpInfo spid="_x0000_s8798"/>
    <customShpInfo spid="_x0000_s8797"/>
    <customShpInfo spid="_x0000_s8799"/>
    <customShpInfo spid="_x0000_s8803"/>
    <customShpInfo spid="_x0000_s8801"/>
    <customShpInfo spid="_x0000_s880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731827A-F411-476A-8C2F-A950019B77E3}">
  <ds:schemaRefs/>
</ds:datastoreItem>
</file>

<file path=docProps/app.xml><?xml version="1.0" encoding="utf-8"?>
<Properties xmlns="http://schemas.openxmlformats.org/officeDocument/2006/extended-properties" xmlns:vt="http://schemas.openxmlformats.org/officeDocument/2006/docPropsVTypes">
  <Template>Normal.dotm</Template>
  <Company>IEEE</Company>
  <Pages>18</Pages>
  <Words>2235</Words>
  <Characters>12396</Characters>
  <Lines>854</Lines>
  <Paragraphs>240</Paragraphs>
  <TotalTime>10781</TotalTime>
  <ScaleCrop>false</ScaleCrop>
  <LinksUpToDate>false</LinksUpToDate>
  <CharactersWithSpaces>14618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2012-11-21T16:14:00Z</dcterms:created>
  <dc:creator>-</dc:creator>
  <cp:lastModifiedBy>一行</cp:lastModifiedBy>
  <cp:lastPrinted>2025-10-19T14:42:00Z</cp:lastPrinted>
  <dcterms:modified xsi:type="dcterms:W3CDTF">2026-03-19T13:58:43Z</dcterms:modified>
  <dc:subject>IEEE Transactions on Magnetics</dc:subject>
  <dc:title></dc:title>
  <cp:revision>2207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KSOTemplateDocerSaveRecord">
    <vt:lpwstr>eyJoZGlkIjoiOTA2YzMxOTU5ZWQ1Mzc2MTgwYmYxZWU5YjRlYWEzMTEiLCJ1c2VySWQiOiIxMDAxNDg2MTgwIn0=</vt:lpwstr>
  </property>
  <property fmtid="{D5CDD505-2E9C-101B-9397-08002B2CF9AE}" pid="4" name="KSOProductBuildVer">
    <vt:lpwstr>2052-12.1.0.25225</vt:lpwstr>
  </property>
  <property fmtid="{D5CDD505-2E9C-101B-9397-08002B2CF9AE}" pid="5" name="ICV">
    <vt:lpwstr>890711D517564D0E8AB3185DAD082D9D_12</vt:lpwstr>
  </property>
</Properties>
</file>