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B4D4" w14:textId="4B089D01" w:rsidR="00A16AFC" w:rsidRPr="00EF0E6B" w:rsidRDefault="00A16AFC" w:rsidP="00F000A5">
      <w:pPr>
        <w:rPr>
          <w:rFonts w:cs="Arial"/>
        </w:rPr>
      </w:pPr>
    </w:p>
    <w:p w14:paraId="4E500C5F" w14:textId="77777777" w:rsidR="00A16AFC" w:rsidRPr="00EF0E6B" w:rsidRDefault="00536878" w:rsidP="003615EA">
      <w:pPr>
        <w:jc w:val="center"/>
        <w:rPr>
          <w:rFonts w:cs="Arial"/>
        </w:rPr>
      </w:pPr>
      <w:r w:rsidRPr="00EF0E6B">
        <w:rPr>
          <w:rFonts w:cs="Arial"/>
        </w:rPr>
        <w:t>Thesis Title -</w:t>
      </w:r>
    </w:p>
    <w:p w14:paraId="6FF76CCE" w14:textId="6BE3A3B7" w:rsidR="00536878" w:rsidRPr="00EF0E6B" w:rsidRDefault="001C1933" w:rsidP="001C1933">
      <w:pPr>
        <w:pStyle w:val="BodyText"/>
        <w:spacing w:line="480" w:lineRule="auto"/>
        <w:jc w:val="center"/>
        <w:rPr>
          <w:rFonts w:cs="Arial"/>
          <w:sz w:val="28"/>
          <w:szCs w:val="28"/>
        </w:rPr>
      </w:pPr>
      <w:r>
        <w:rPr>
          <w:rFonts w:cs="Arial"/>
          <w:sz w:val="28"/>
          <w:szCs w:val="28"/>
        </w:rPr>
        <w:t>An assessment of the i</w:t>
      </w:r>
      <w:r w:rsidR="00EF0E6B">
        <w:rPr>
          <w:rFonts w:cs="Arial"/>
          <w:sz w:val="28"/>
          <w:szCs w:val="28"/>
        </w:rPr>
        <w:t>nfluences on Undergraduate Law Course Design</w:t>
      </w:r>
      <w:r w:rsidR="008A2367">
        <w:rPr>
          <w:rFonts w:cs="Arial"/>
          <w:sz w:val="28"/>
          <w:szCs w:val="28"/>
        </w:rPr>
        <w:t>: A</w:t>
      </w:r>
      <w:r>
        <w:rPr>
          <w:rFonts w:cs="Arial"/>
          <w:sz w:val="28"/>
          <w:szCs w:val="28"/>
        </w:rPr>
        <w:t xml:space="preserve"> Bernstein </w:t>
      </w:r>
      <w:r w:rsidR="00EF0E6B">
        <w:rPr>
          <w:rFonts w:cs="Arial"/>
          <w:sz w:val="28"/>
          <w:szCs w:val="28"/>
        </w:rPr>
        <w:t>perspective</w:t>
      </w:r>
    </w:p>
    <w:p w14:paraId="021601F1" w14:textId="5D02E6A2" w:rsidR="00A16AFC" w:rsidRPr="00EF0E6B" w:rsidRDefault="00225AEF" w:rsidP="003615EA">
      <w:pPr>
        <w:jc w:val="center"/>
        <w:rPr>
          <w:rFonts w:cs="Arial"/>
        </w:rPr>
      </w:pPr>
      <w:r w:rsidRPr="00EF0E6B">
        <w:rPr>
          <w:rFonts w:cs="Arial"/>
        </w:rPr>
        <w:t>Jane Stonestreet LLB, LLM, MA</w:t>
      </w:r>
    </w:p>
    <w:p w14:paraId="21552BA2" w14:textId="48812982" w:rsidR="00A16AFC" w:rsidRPr="00EF0E6B" w:rsidRDefault="00225AEF" w:rsidP="003615EA">
      <w:pPr>
        <w:jc w:val="center"/>
        <w:rPr>
          <w:rFonts w:cs="Arial"/>
        </w:rPr>
      </w:pPr>
      <w:r w:rsidRPr="00EF0E6B">
        <w:rPr>
          <w:rFonts w:cs="Arial"/>
        </w:rPr>
        <w:t>September 2025</w:t>
      </w:r>
    </w:p>
    <w:p w14:paraId="161CB5E0" w14:textId="77777777" w:rsidR="00A16AFC" w:rsidRPr="00EF0E6B" w:rsidRDefault="00A16AFC" w:rsidP="003615EA">
      <w:pPr>
        <w:jc w:val="center"/>
        <w:rPr>
          <w:rFonts w:cs="Arial"/>
        </w:rPr>
      </w:pPr>
    </w:p>
    <w:p w14:paraId="667A0B8B" w14:textId="77777777" w:rsidR="00A16AFC" w:rsidRPr="00EF0E6B" w:rsidRDefault="00A16AFC" w:rsidP="00DB2480">
      <w:pPr>
        <w:jc w:val="center"/>
        <w:rPr>
          <w:rFonts w:cs="Arial"/>
        </w:rPr>
      </w:pPr>
      <w:r w:rsidRPr="00EF0E6B">
        <w:rPr>
          <w:rFonts w:cs="Arial"/>
        </w:rPr>
        <w:t>This thesis is submitted in partial fulfilment of the requirements for the degree</w:t>
      </w:r>
      <w:r w:rsidR="00DB2480" w:rsidRPr="00EF0E6B">
        <w:rPr>
          <w:rFonts w:cs="Arial"/>
        </w:rPr>
        <w:t xml:space="preserve"> of Doctor of Philosophy</w:t>
      </w:r>
    </w:p>
    <w:p w14:paraId="7319C409" w14:textId="77777777" w:rsidR="00DB2480" w:rsidRPr="00EF0E6B" w:rsidRDefault="00DB2480" w:rsidP="00DB2480">
      <w:pPr>
        <w:jc w:val="center"/>
        <w:rPr>
          <w:rFonts w:cs="Arial"/>
        </w:rPr>
      </w:pPr>
    </w:p>
    <w:p w14:paraId="30777858" w14:textId="77777777" w:rsidR="00DB2480" w:rsidRPr="00EF0E6B" w:rsidRDefault="00DB2480" w:rsidP="00DB2480">
      <w:pPr>
        <w:jc w:val="center"/>
        <w:rPr>
          <w:rFonts w:cs="Arial"/>
        </w:rPr>
      </w:pPr>
      <w:r w:rsidRPr="00EF0E6B">
        <w:rPr>
          <w:rFonts w:cs="Arial"/>
        </w:rPr>
        <w:br/>
        <w:t>Department of Educational Research</w:t>
      </w:r>
      <w:r w:rsidRPr="00EF0E6B">
        <w:rPr>
          <w:rFonts w:cs="Arial"/>
        </w:rPr>
        <w:br/>
        <w:t>Lancaster University</w:t>
      </w:r>
      <w:r w:rsidRPr="00EF0E6B">
        <w:rPr>
          <w:rFonts w:cs="Arial"/>
        </w:rPr>
        <w:br/>
        <w:t>UK</w:t>
      </w:r>
    </w:p>
    <w:p w14:paraId="72509B96" w14:textId="77777777" w:rsidR="00A16AFC" w:rsidRPr="00EF0E6B" w:rsidRDefault="00A16AFC" w:rsidP="00584475">
      <w:pPr>
        <w:rPr>
          <w:rFonts w:cs="Arial"/>
        </w:rPr>
      </w:pPr>
    </w:p>
    <w:p w14:paraId="196DBE9C" w14:textId="77777777" w:rsidR="00DB2480" w:rsidRPr="00EF0E6B" w:rsidRDefault="00DB2480" w:rsidP="00584475">
      <w:pPr>
        <w:rPr>
          <w:rFonts w:cs="Arial"/>
        </w:rPr>
      </w:pPr>
    </w:p>
    <w:p w14:paraId="2236168E" w14:textId="25501EC0" w:rsidR="00437BBE" w:rsidRDefault="00437BBE">
      <w:pPr>
        <w:spacing w:before="0" w:beforeAutospacing="0" w:after="0" w:line="240" w:lineRule="auto"/>
        <w:rPr>
          <w:rFonts w:cs="Arial"/>
          <w:b/>
          <w:lang w:eastAsia="en-US"/>
        </w:rPr>
      </w:pPr>
      <w:r>
        <w:rPr>
          <w:rFonts w:cs="Arial"/>
        </w:rPr>
        <w:br w:type="page"/>
      </w:r>
    </w:p>
    <w:p w14:paraId="0DB87C3A" w14:textId="5CFDDA7E" w:rsidR="00437BBE" w:rsidRDefault="00437BBE" w:rsidP="00584475">
      <w:pPr>
        <w:pStyle w:val="BodyText"/>
        <w:rPr>
          <w:rFonts w:cs="Arial"/>
        </w:rPr>
      </w:pPr>
    </w:p>
    <w:p w14:paraId="11B3F0C3" w14:textId="77777777" w:rsidR="00437BBE" w:rsidRDefault="00437BBE">
      <w:pPr>
        <w:spacing w:before="0" w:beforeAutospacing="0" w:after="0" w:line="240" w:lineRule="auto"/>
        <w:rPr>
          <w:rFonts w:cs="Arial"/>
          <w:b/>
          <w:lang w:eastAsia="en-US"/>
        </w:rPr>
      </w:pPr>
      <w:r>
        <w:rPr>
          <w:rFonts w:cs="Arial"/>
        </w:rPr>
        <w:br w:type="page"/>
      </w:r>
    </w:p>
    <w:p w14:paraId="7B8FF6D9" w14:textId="77777777" w:rsidR="001A2D91" w:rsidRPr="00EF0E6B" w:rsidRDefault="001A2D91" w:rsidP="00584475">
      <w:pPr>
        <w:pStyle w:val="BodyText"/>
        <w:rPr>
          <w:rFonts w:cs="Arial"/>
        </w:rPr>
        <w:sectPr w:rsidR="001A2D91" w:rsidRPr="00EF0E6B" w:rsidSect="007A419E">
          <w:footerReference w:type="even" r:id="rId8"/>
          <w:footerReference w:type="default" r:id="rId9"/>
          <w:pgSz w:w="11880" w:h="16800"/>
          <w:pgMar w:top="1418" w:right="1418" w:bottom="1418" w:left="1985" w:header="720" w:footer="720" w:gutter="0"/>
          <w:pgNumType w:fmt="lowerRoman" w:start="1"/>
          <w:cols w:space="720"/>
          <w:titlePg/>
          <w:docGrid w:linePitch="326"/>
        </w:sectPr>
      </w:pPr>
    </w:p>
    <w:p w14:paraId="100BFBB0" w14:textId="77777777" w:rsidR="00A16AFC" w:rsidRPr="00EF0E6B" w:rsidRDefault="00A16AFC" w:rsidP="001E3BCF">
      <w:pPr>
        <w:pStyle w:val="Heading1"/>
        <w:numPr>
          <w:ilvl w:val="0"/>
          <w:numId w:val="0"/>
        </w:numPr>
        <w:rPr>
          <w:rFonts w:ascii="Arial" w:hAnsi="Arial" w:cs="Arial"/>
        </w:rPr>
      </w:pPr>
      <w:bookmarkStart w:id="0" w:name="_Toc4491284"/>
      <w:bookmarkStart w:id="1" w:name="_Toc4492089"/>
      <w:bookmarkStart w:id="2" w:name="_Toc223348804"/>
      <w:r w:rsidRPr="00EF0E6B">
        <w:rPr>
          <w:rFonts w:ascii="Arial" w:hAnsi="Arial" w:cs="Arial"/>
        </w:rPr>
        <w:lastRenderedPageBreak/>
        <w:t>Abstract</w:t>
      </w:r>
      <w:bookmarkEnd w:id="0"/>
      <w:bookmarkEnd w:id="1"/>
      <w:bookmarkEnd w:id="2"/>
    </w:p>
    <w:p w14:paraId="1D4D86C1" w14:textId="7A816A59" w:rsidR="00A16AFC" w:rsidRPr="00211F89" w:rsidRDefault="00225AEF" w:rsidP="0003652C">
      <w:pPr>
        <w:spacing w:line="360" w:lineRule="auto"/>
        <w:jc w:val="both"/>
        <w:rPr>
          <w:rFonts w:cs="Arial"/>
          <w:color w:val="000000" w:themeColor="text1"/>
        </w:rPr>
      </w:pPr>
      <w:r w:rsidRPr="00B33BE4">
        <w:rPr>
          <w:rFonts w:cs="Arial"/>
          <w:color w:val="000000" w:themeColor="text1"/>
        </w:rPr>
        <w:t>This thesis investigates the influences evident in the design of the undergraduate law</w:t>
      </w:r>
      <w:r w:rsidR="00B43084">
        <w:rPr>
          <w:rFonts w:cs="Arial"/>
          <w:color w:val="000000" w:themeColor="text1"/>
        </w:rPr>
        <w:t xml:space="preserve"> courses</w:t>
      </w:r>
      <w:r w:rsidRPr="00B33BE4">
        <w:rPr>
          <w:rFonts w:cs="Arial"/>
          <w:color w:val="000000" w:themeColor="text1"/>
        </w:rPr>
        <w:t xml:space="preserve">, and the impact of those influences from the perspective of the course designers. The investigation is taking place at a time of change in legal </w:t>
      </w:r>
      <w:r w:rsidR="00036F7B" w:rsidRPr="00B33BE4">
        <w:rPr>
          <w:rFonts w:cs="Arial"/>
          <w:color w:val="000000" w:themeColor="text1"/>
        </w:rPr>
        <w:t>education,</w:t>
      </w:r>
      <w:r w:rsidRPr="00B33BE4">
        <w:rPr>
          <w:rFonts w:cs="Arial"/>
          <w:color w:val="000000" w:themeColor="text1"/>
        </w:rPr>
        <w:t xml:space="preserve"> and </w:t>
      </w:r>
      <w:r w:rsidR="00B33BE4" w:rsidRPr="00B33BE4">
        <w:rPr>
          <w:rFonts w:cs="Arial"/>
          <w:color w:val="000000" w:themeColor="text1"/>
        </w:rPr>
        <w:t xml:space="preserve">this will enable an </w:t>
      </w:r>
      <w:r w:rsidRPr="00B33BE4">
        <w:rPr>
          <w:rFonts w:cs="Arial"/>
          <w:color w:val="000000" w:themeColor="text1"/>
        </w:rPr>
        <w:t xml:space="preserve">assessment of </w:t>
      </w:r>
      <w:r w:rsidR="00B33BE4" w:rsidRPr="00B33BE4">
        <w:rPr>
          <w:rFonts w:cs="Arial"/>
          <w:color w:val="000000" w:themeColor="text1"/>
        </w:rPr>
        <w:t xml:space="preserve">both the </w:t>
      </w:r>
      <w:r w:rsidRPr="00B33BE4">
        <w:rPr>
          <w:rFonts w:cs="Arial"/>
          <w:color w:val="000000" w:themeColor="text1"/>
        </w:rPr>
        <w:t xml:space="preserve">context in which legal course design falls and </w:t>
      </w:r>
      <w:r w:rsidR="00B33BE4" w:rsidRPr="00B33BE4">
        <w:rPr>
          <w:rFonts w:cs="Arial"/>
          <w:color w:val="000000" w:themeColor="text1"/>
        </w:rPr>
        <w:t xml:space="preserve">the </w:t>
      </w:r>
      <w:r w:rsidRPr="00B33BE4">
        <w:rPr>
          <w:rFonts w:cs="Arial"/>
          <w:color w:val="000000" w:themeColor="text1"/>
        </w:rPr>
        <w:t>potential for change in th</w:t>
      </w:r>
      <w:r w:rsidR="00803C8B">
        <w:rPr>
          <w:rFonts w:cs="Arial"/>
          <w:color w:val="000000" w:themeColor="text1"/>
        </w:rPr>
        <w:t>at design</w:t>
      </w:r>
      <w:r w:rsidRPr="00B33BE4">
        <w:rPr>
          <w:rFonts w:cs="Arial"/>
          <w:color w:val="000000" w:themeColor="text1"/>
        </w:rPr>
        <w:t xml:space="preserve">. The literature on course design, legal education and students’ learning is bought together to identify an appropriate conceptual mechanism in Bernstein’s pedagogic theory and framework.  Interviews with course designers from a diverse group of twenty-two </w:t>
      </w:r>
      <w:r w:rsidR="00E76CF0">
        <w:rPr>
          <w:rFonts w:cs="Arial"/>
          <w:color w:val="000000" w:themeColor="text1"/>
        </w:rPr>
        <w:t>law school</w:t>
      </w:r>
      <w:r w:rsidRPr="00B33BE4">
        <w:rPr>
          <w:rFonts w:cs="Arial"/>
          <w:color w:val="000000" w:themeColor="text1"/>
        </w:rPr>
        <w:t>s were conducted and analysed to identify what external and internal forces there were on the disciplinary and non-disciplinary elements of design in degrees. Bernstein’s theory provid</w:t>
      </w:r>
      <w:r w:rsidR="00B33BE4" w:rsidRPr="00B33BE4">
        <w:rPr>
          <w:rFonts w:cs="Arial"/>
          <w:color w:val="000000" w:themeColor="text1"/>
        </w:rPr>
        <w:t>ed</w:t>
      </w:r>
      <w:r w:rsidRPr="00B33BE4">
        <w:rPr>
          <w:rFonts w:cs="Arial"/>
          <w:color w:val="000000" w:themeColor="text1"/>
        </w:rPr>
        <w:t xml:space="preserve"> the framework to interrogate the way in which knowledge structures operate</w:t>
      </w:r>
      <w:r w:rsidR="00B33BE4" w:rsidRPr="00B33BE4">
        <w:rPr>
          <w:rFonts w:cs="Arial"/>
          <w:color w:val="000000" w:themeColor="text1"/>
        </w:rPr>
        <w:t>d in this process</w:t>
      </w:r>
      <w:r w:rsidRPr="00B33BE4">
        <w:rPr>
          <w:rFonts w:cs="Arial"/>
          <w:color w:val="000000" w:themeColor="text1"/>
        </w:rPr>
        <w:t>. The thesis concludes that the spheres of influence and hierarchies are changing. The recontextuali</w:t>
      </w:r>
      <w:r w:rsidR="00437BBE">
        <w:rPr>
          <w:rFonts w:cs="Arial"/>
          <w:color w:val="000000" w:themeColor="text1"/>
        </w:rPr>
        <w:t>s</w:t>
      </w:r>
      <w:r w:rsidRPr="00B33BE4">
        <w:rPr>
          <w:rFonts w:cs="Arial"/>
          <w:color w:val="000000" w:themeColor="text1"/>
        </w:rPr>
        <w:t>ation of knowledge in law at the point of course design remains a site of struggle</w:t>
      </w:r>
      <w:r w:rsidR="00B33BE4" w:rsidRPr="00B33BE4">
        <w:rPr>
          <w:rFonts w:cs="Arial"/>
          <w:color w:val="000000" w:themeColor="text1"/>
        </w:rPr>
        <w:t xml:space="preserve"> and whilst the changes might present the </w:t>
      </w:r>
      <w:r w:rsidRPr="00B33BE4">
        <w:rPr>
          <w:rFonts w:cs="Arial"/>
          <w:color w:val="000000" w:themeColor="text1"/>
        </w:rPr>
        <w:t>designers and their teams with more autonomy</w:t>
      </w:r>
      <w:r w:rsidR="00B33BE4" w:rsidRPr="00B33BE4">
        <w:rPr>
          <w:rFonts w:cs="Arial"/>
          <w:color w:val="000000" w:themeColor="text1"/>
        </w:rPr>
        <w:t xml:space="preserve"> and control, the shifts </w:t>
      </w:r>
      <w:r w:rsidRPr="00B33BE4">
        <w:rPr>
          <w:rFonts w:cs="Arial"/>
          <w:color w:val="000000" w:themeColor="text1"/>
        </w:rPr>
        <w:t xml:space="preserve">within the power and control structures create uncertainties that </w:t>
      </w:r>
      <w:r w:rsidR="00B33BE4" w:rsidRPr="00B33BE4">
        <w:rPr>
          <w:rFonts w:cs="Arial"/>
          <w:color w:val="000000" w:themeColor="text1"/>
        </w:rPr>
        <w:t>may prevent</w:t>
      </w:r>
      <w:r w:rsidRPr="00B33BE4">
        <w:rPr>
          <w:rFonts w:cs="Arial"/>
          <w:color w:val="000000" w:themeColor="text1"/>
        </w:rPr>
        <w:t xml:space="preserve"> law schools from developing more integrated and holistic designs.  The thesis applies Bernstein’s theory to legal education at a specific point in time and utilises it to interrogate the approaches that are being adopted at a point of </w:t>
      </w:r>
      <w:r w:rsidR="00B33BE4" w:rsidRPr="00B33BE4">
        <w:rPr>
          <w:rFonts w:cs="Arial"/>
          <w:color w:val="000000" w:themeColor="text1"/>
        </w:rPr>
        <w:t xml:space="preserve">uncertainty, </w:t>
      </w:r>
      <w:r w:rsidR="00B33BE4" w:rsidRPr="00211F89">
        <w:rPr>
          <w:rFonts w:cs="Arial"/>
          <w:color w:val="000000" w:themeColor="text1"/>
        </w:rPr>
        <w:t>suggesting</w:t>
      </w:r>
      <w:r w:rsidRPr="00211F89">
        <w:rPr>
          <w:rFonts w:cs="Arial"/>
          <w:color w:val="000000" w:themeColor="text1"/>
        </w:rPr>
        <w:t xml:space="preserve"> that course design in law </w:t>
      </w:r>
      <w:r w:rsidR="00B33BE4" w:rsidRPr="00211F89">
        <w:rPr>
          <w:rFonts w:cs="Arial"/>
          <w:color w:val="000000" w:themeColor="text1"/>
        </w:rPr>
        <w:t>is deserving of more interrogation</w:t>
      </w:r>
      <w:r w:rsidRPr="00211F89">
        <w:rPr>
          <w:rFonts w:cs="Arial"/>
          <w:color w:val="000000" w:themeColor="text1"/>
        </w:rPr>
        <w:t xml:space="preserve">. </w:t>
      </w:r>
      <w:r w:rsidR="00A16AFC" w:rsidRPr="00211F89">
        <w:rPr>
          <w:rFonts w:cs="Arial"/>
        </w:rPr>
        <w:br w:type="page"/>
      </w:r>
    </w:p>
    <w:sdt>
      <w:sdtPr>
        <w:rPr>
          <w:rFonts w:ascii="Arial" w:eastAsia="Times New Roman" w:hAnsi="Arial" w:cs="Arial"/>
          <w:b w:val="0"/>
          <w:bCs w:val="0"/>
          <w:color w:val="auto"/>
          <w:sz w:val="24"/>
          <w:szCs w:val="20"/>
          <w:lang w:val="en-GB" w:eastAsia="en-GB"/>
        </w:rPr>
        <w:id w:val="-1374070277"/>
        <w:docPartObj>
          <w:docPartGallery w:val="Table of Contents"/>
          <w:docPartUnique/>
        </w:docPartObj>
      </w:sdtPr>
      <w:sdtEndPr>
        <w:rPr>
          <w:noProof/>
        </w:rPr>
      </w:sdtEndPr>
      <w:sdtContent>
        <w:p w14:paraId="42374E7D" w14:textId="77777777" w:rsidR="007E2CC3" w:rsidRPr="00211F89" w:rsidRDefault="007E2CC3" w:rsidP="007A419E">
          <w:pPr>
            <w:pStyle w:val="TOCHeading"/>
            <w:numPr>
              <w:ilvl w:val="0"/>
              <w:numId w:val="0"/>
            </w:numPr>
            <w:spacing w:before="100" w:after="100" w:afterAutospacing="1" w:line="360" w:lineRule="auto"/>
            <w:rPr>
              <w:rFonts w:ascii="Arial" w:hAnsi="Arial" w:cs="Arial"/>
              <w:color w:val="auto"/>
            </w:rPr>
          </w:pPr>
          <w:r w:rsidRPr="00211F89">
            <w:rPr>
              <w:rFonts w:ascii="Arial" w:hAnsi="Arial" w:cs="Arial"/>
              <w:color w:val="auto"/>
            </w:rPr>
            <w:t>Table of Contents</w:t>
          </w:r>
        </w:p>
        <w:p w14:paraId="1CC6738F" w14:textId="78F897FE" w:rsidR="00306A4F" w:rsidRDefault="007E2CC3">
          <w:pPr>
            <w:pStyle w:val="TOC1"/>
            <w:tabs>
              <w:tab w:val="right" w:leader="dot" w:pos="8467"/>
            </w:tabs>
            <w:rPr>
              <w:rFonts w:asciiTheme="minorHAnsi" w:eastAsiaTheme="minorEastAsia" w:hAnsiTheme="minorHAnsi" w:cstheme="minorBidi"/>
              <w:b w:val="0"/>
              <w:noProof/>
              <w:kern w:val="2"/>
              <w14:ligatures w14:val="standardContextual"/>
            </w:rPr>
          </w:pPr>
          <w:r w:rsidRPr="00211F89">
            <w:rPr>
              <w:rFonts w:cs="Arial"/>
              <w:bCs/>
              <w:noProof/>
            </w:rPr>
            <w:fldChar w:fldCharType="begin"/>
          </w:r>
          <w:r w:rsidRPr="00211F89">
            <w:rPr>
              <w:rFonts w:cs="Arial"/>
              <w:bCs/>
              <w:noProof/>
            </w:rPr>
            <w:instrText xml:space="preserve"> TOC \o "1-3" \h \z \u </w:instrText>
          </w:r>
          <w:r w:rsidRPr="00211F89">
            <w:rPr>
              <w:rFonts w:cs="Arial"/>
              <w:bCs/>
              <w:noProof/>
            </w:rPr>
            <w:fldChar w:fldCharType="separate"/>
          </w:r>
          <w:hyperlink w:anchor="_Toc223348804" w:history="1">
            <w:r w:rsidR="00306A4F" w:rsidRPr="00A95D78">
              <w:rPr>
                <w:rStyle w:val="Hyperlink"/>
                <w:rFonts w:cs="Arial"/>
                <w:noProof/>
              </w:rPr>
              <w:t>Abstract</w:t>
            </w:r>
            <w:r w:rsidR="00306A4F">
              <w:rPr>
                <w:noProof/>
                <w:webHidden/>
              </w:rPr>
              <w:tab/>
            </w:r>
            <w:r w:rsidR="00306A4F">
              <w:rPr>
                <w:noProof/>
                <w:webHidden/>
              </w:rPr>
              <w:fldChar w:fldCharType="begin"/>
            </w:r>
            <w:r w:rsidR="00306A4F">
              <w:rPr>
                <w:noProof/>
                <w:webHidden/>
              </w:rPr>
              <w:instrText xml:space="preserve"> PAGEREF _Toc223348804 \h </w:instrText>
            </w:r>
            <w:r w:rsidR="00306A4F">
              <w:rPr>
                <w:noProof/>
                <w:webHidden/>
              </w:rPr>
            </w:r>
            <w:r w:rsidR="00306A4F">
              <w:rPr>
                <w:noProof/>
                <w:webHidden/>
              </w:rPr>
              <w:fldChar w:fldCharType="separate"/>
            </w:r>
            <w:r w:rsidR="008446AA">
              <w:rPr>
                <w:noProof/>
                <w:webHidden/>
              </w:rPr>
              <w:t>i</w:t>
            </w:r>
            <w:r w:rsidR="00306A4F">
              <w:rPr>
                <w:noProof/>
                <w:webHidden/>
              </w:rPr>
              <w:fldChar w:fldCharType="end"/>
            </w:r>
          </w:hyperlink>
        </w:p>
        <w:p w14:paraId="044BF2B2" w14:textId="11583A56"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05" w:history="1">
            <w:r w:rsidRPr="00A95D78">
              <w:rPr>
                <w:rStyle w:val="Hyperlink"/>
                <w:rFonts w:cs="Arial"/>
                <w:noProof/>
              </w:rPr>
              <w:t>List of Figures and Tables</w:t>
            </w:r>
            <w:r>
              <w:rPr>
                <w:noProof/>
                <w:webHidden/>
              </w:rPr>
              <w:tab/>
            </w:r>
            <w:r>
              <w:rPr>
                <w:noProof/>
                <w:webHidden/>
              </w:rPr>
              <w:fldChar w:fldCharType="begin"/>
            </w:r>
            <w:r>
              <w:rPr>
                <w:noProof/>
                <w:webHidden/>
              </w:rPr>
              <w:instrText xml:space="preserve"> PAGEREF _Toc223348805 \h </w:instrText>
            </w:r>
            <w:r>
              <w:rPr>
                <w:noProof/>
                <w:webHidden/>
              </w:rPr>
            </w:r>
            <w:r>
              <w:rPr>
                <w:noProof/>
                <w:webHidden/>
              </w:rPr>
              <w:fldChar w:fldCharType="separate"/>
            </w:r>
            <w:r w:rsidR="008446AA">
              <w:rPr>
                <w:noProof/>
                <w:webHidden/>
              </w:rPr>
              <w:t>viii</w:t>
            </w:r>
            <w:r>
              <w:rPr>
                <w:noProof/>
                <w:webHidden/>
              </w:rPr>
              <w:fldChar w:fldCharType="end"/>
            </w:r>
          </w:hyperlink>
        </w:p>
        <w:p w14:paraId="70AA3D8D" w14:textId="4A8F8152"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06" w:history="1">
            <w:r w:rsidRPr="00A95D78">
              <w:rPr>
                <w:rStyle w:val="Hyperlink"/>
                <w:rFonts w:cs="Arial"/>
                <w:noProof/>
              </w:rPr>
              <w:t>Acknowledgements</w:t>
            </w:r>
            <w:r>
              <w:rPr>
                <w:noProof/>
                <w:webHidden/>
              </w:rPr>
              <w:tab/>
            </w:r>
            <w:r>
              <w:rPr>
                <w:noProof/>
                <w:webHidden/>
              </w:rPr>
              <w:fldChar w:fldCharType="begin"/>
            </w:r>
            <w:r>
              <w:rPr>
                <w:noProof/>
                <w:webHidden/>
              </w:rPr>
              <w:instrText xml:space="preserve"> PAGEREF _Toc223348806 \h </w:instrText>
            </w:r>
            <w:r>
              <w:rPr>
                <w:noProof/>
                <w:webHidden/>
              </w:rPr>
            </w:r>
            <w:r>
              <w:rPr>
                <w:noProof/>
                <w:webHidden/>
              </w:rPr>
              <w:fldChar w:fldCharType="separate"/>
            </w:r>
            <w:r w:rsidR="008446AA">
              <w:rPr>
                <w:noProof/>
                <w:webHidden/>
              </w:rPr>
              <w:t>x</w:t>
            </w:r>
            <w:r>
              <w:rPr>
                <w:noProof/>
                <w:webHidden/>
              </w:rPr>
              <w:fldChar w:fldCharType="end"/>
            </w:r>
          </w:hyperlink>
        </w:p>
        <w:p w14:paraId="4E082E7A" w14:textId="6B02F661"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07" w:history="1">
            <w:r w:rsidRPr="00A95D78">
              <w:rPr>
                <w:rStyle w:val="Hyperlink"/>
                <w:rFonts w:cs="Arial"/>
                <w:noProof/>
              </w:rPr>
              <w:t>Publications derived from work on Doctoral Programmes</w:t>
            </w:r>
            <w:r>
              <w:rPr>
                <w:noProof/>
                <w:webHidden/>
              </w:rPr>
              <w:tab/>
            </w:r>
            <w:r>
              <w:rPr>
                <w:noProof/>
                <w:webHidden/>
              </w:rPr>
              <w:fldChar w:fldCharType="begin"/>
            </w:r>
            <w:r>
              <w:rPr>
                <w:noProof/>
                <w:webHidden/>
              </w:rPr>
              <w:instrText xml:space="preserve"> PAGEREF _Toc223348807 \h </w:instrText>
            </w:r>
            <w:r>
              <w:rPr>
                <w:noProof/>
                <w:webHidden/>
              </w:rPr>
            </w:r>
            <w:r>
              <w:rPr>
                <w:noProof/>
                <w:webHidden/>
              </w:rPr>
              <w:fldChar w:fldCharType="separate"/>
            </w:r>
            <w:r w:rsidR="008446AA">
              <w:rPr>
                <w:noProof/>
                <w:webHidden/>
              </w:rPr>
              <w:t>xii</w:t>
            </w:r>
            <w:r>
              <w:rPr>
                <w:noProof/>
                <w:webHidden/>
              </w:rPr>
              <w:fldChar w:fldCharType="end"/>
            </w:r>
          </w:hyperlink>
        </w:p>
        <w:p w14:paraId="2AEBD9A9" w14:textId="480CBB51"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08" w:history="1">
            <w:r w:rsidRPr="00A95D78">
              <w:rPr>
                <w:rStyle w:val="Hyperlink"/>
                <w:rFonts w:cs="Arial"/>
                <w:noProof/>
              </w:rPr>
              <w:t>Chapter 1: Introduction and Background</w:t>
            </w:r>
            <w:r>
              <w:rPr>
                <w:noProof/>
                <w:webHidden/>
              </w:rPr>
              <w:tab/>
            </w:r>
            <w:r>
              <w:rPr>
                <w:noProof/>
                <w:webHidden/>
              </w:rPr>
              <w:fldChar w:fldCharType="begin"/>
            </w:r>
            <w:r>
              <w:rPr>
                <w:noProof/>
                <w:webHidden/>
              </w:rPr>
              <w:instrText xml:space="preserve"> PAGEREF _Toc223348808 \h </w:instrText>
            </w:r>
            <w:r>
              <w:rPr>
                <w:noProof/>
                <w:webHidden/>
              </w:rPr>
            </w:r>
            <w:r>
              <w:rPr>
                <w:noProof/>
                <w:webHidden/>
              </w:rPr>
              <w:fldChar w:fldCharType="separate"/>
            </w:r>
            <w:r w:rsidR="008446AA">
              <w:rPr>
                <w:noProof/>
                <w:webHidden/>
              </w:rPr>
              <w:t>13</w:t>
            </w:r>
            <w:r>
              <w:rPr>
                <w:noProof/>
                <w:webHidden/>
              </w:rPr>
              <w:fldChar w:fldCharType="end"/>
            </w:r>
          </w:hyperlink>
        </w:p>
        <w:p w14:paraId="3509EBFB" w14:textId="2622BA3D"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09" w:history="1">
            <w:r w:rsidRPr="00A95D78">
              <w:rPr>
                <w:rStyle w:val="Hyperlink"/>
                <w:rFonts w:ascii="Arial" w:hAnsi="Arial" w:cs="Arial"/>
                <w:noProof/>
              </w:rPr>
              <w:t>1.1 Overview, aims and research questions</w:t>
            </w:r>
            <w:r>
              <w:rPr>
                <w:noProof/>
                <w:webHidden/>
              </w:rPr>
              <w:tab/>
            </w:r>
            <w:r>
              <w:rPr>
                <w:noProof/>
                <w:webHidden/>
              </w:rPr>
              <w:fldChar w:fldCharType="begin"/>
            </w:r>
            <w:r>
              <w:rPr>
                <w:noProof/>
                <w:webHidden/>
              </w:rPr>
              <w:instrText xml:space="preserve"> PAGEREF _Toc223348809 \h </w:instrText>
            </w:r>
            <w:r>
              <w:rPr>
                <w:noProof/>
                <w:webHidden/>
              </w:rPr>
            </w:r>
            <w:r>
              <w:rPr>
                <w:noProof/>
                <w:webHidden/>
              </w:rPr>
              <w:fldChar w:fldCharType="separate"/>
            </w:r>
            <w:r w:rsidR="008446AA">
              <w:rPr>
                <w:noProof/>
                <w:webHidden/>
              </w:rPr>
              <w:t>13</w:t>
            </w:r>
            <w:r>
              <w:rPr>
                <w:noProof/>
                <w:webHidden/>
              </w:rPr>
              <w:fldChar w:fldCharType="end"/>
            </w:r>
          </w:hyperlink>
        </w:p>
        <w:p w14:paraId="58AECFE1" w14:textId="0DBEFF6C"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0" w:history="1">
            <w:r w:rsidRPr="00A95D78">
              <w:rPr>
                <w:rStyle w:val="Hyperlink"/>
                <w:rFonts w:ascii="Arial" w:hAnsi="Arial" w:cs="Arial"/>
                <w:noProof/>
              </w:rPr>
              <w:t>1.1.1 Overview</w:t>
            </w:r>
            <w:r>
              <w:rPr>
                <w:noProof/>
                <w:webHidden/>
              </w:rPr>
              <w:tab/>
            </w:r>
            <w:r>
              <w:rPr>
                <w:noProof/>
                <w:webHidden/>
              </w:rPr>
              <w:fldChar w:fldCharType="begin"/>
            </w:r>
            <w:r>
              <w:rPr>
                <w:noProof/>
                <w:webHidden/>
              </w:rPr>
              <w:instrText xml:space="preserve"> PAGEREF _Toc223348810 \h </w:instrText>
            </w:r>
            <w:r>
              <w:rPr>
                <w:noProof/>
                <w:webHidden/>
              </w:rPr>
            </w:r>
            <w:r>
              <w:rPr>
                <w:noProof/>
                <w:webHidden/>
              </w:rPr>
              <w:fldChar w:fldCharType="separate"/>
            </w:r>
            <w:r w:rsidR="008446AA">
              <w:rPr>
                <w:noProof/>
                <w:webHidden/>
              </w:rPr>
              <w:t>13</w:t>
            </w:r>
            <w:r>
              <w:rPr>
                <w:noProof/>
                <w:webHidden/>
              </w:rPr>
              <w:fldChar w:fldCharType="end"/>
            </w:r>
          </w:hyperlink>
        </w:p>
        <w:p w14:paraId="4569C075" w14:textId="4AAAFCF7"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1" w:history="1">
            <w:r w:rsidRPr="00A95D78">
              <w:rPr>
                <w:rStyle w:val="Hyperlink"/>
                <w:rFonts w:ascii="Arial" w:hAnsi="Arial" w:cs="Arial"/>
                <w:noProof/>
              </w:rPr>
              <w:t>1.1.2 Aims of the research</w:t>
            </w:r>
            <w:r>
              <w:rPr>
                <w:noProof/>
                <w:webHidden/>
              </w:rPr>
              <w:tab/>
            </w:r>
            <w:r>
              <w:rPr>
                <w:noProof/>
                <w:webHidden/>
              </w:rPr>
              <w:fldChar w:fldCharType="begin"/>
            </w:r>
            <w:r>
              <w:rPr>
                <w:noProof/>
                <w:webHidden/>
              </w:rPr>
              <w:instrText xml:space="preserve"> PAGEREF _Toc223348811 \h </w:instrText>
            </w:r>
            <w:r>
              <w:rPr>
                <w:noProof/>
                <w:webHidden/>
              </w:rPr>
            </w:r>
            <w:r>
              <w:rPr>
                <w:noProof/>
                <w:webHidden/>
              </w:rPr>
              <w:fldChar w:fldCharType="separate"/>
            </w:r>
            <w:r w:rsidR="008446AA">
              <w:rPr>
                <w:noProof/>
                <w:webHidden/>
              </w:rPr>
              <w:t>13</w:t>
            </w:r>
            <w:r>
              <w:rPr>
                <w:noProof/>
                <w:webHidden/>
              </w:rPr>
              <w:fldChar w:fldCharType="end"/>
            </w:r>
          </w:hyperlink>
        </w:p>
        <w:p w14:paraId="05091A8E" w14:textId="41E9E844"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2" w:history="1">
            <w:r w:rsidRPr="00A95D78">
              <w:rPr>
                <w:rStyle w:val="Hyperlink"/>
                <w:rFonts w:ascii="Arial" w:hAnsi="Arial" w:cs="Arial"/>
                <w:noProof/>
              </w:rPr>
              <w:t>1.1.3 Research questions</w:t>
            </w:r>
            <w:r>
              <w:rPr>
                <w:noProof/>
                <w:webHidden/>
              </w:rPr>
              <w:tab/>
            </w:r>
            <w:r>
              <w:rPr>
                <w:noProof/>
                <w:webHidden/>
              </w:rPr>
              <w:fldChar w:fldCharType="begin"/>
            </w:r>
            <w:r>
              <w:rPr>
                <w:noProof/>
                <w:webHidden/>
              </w:rPr>
              <w:instrText xml:space="preserve"> PAGEREF _Toc223348812 \h </w:instrText>
            </w:r>
            <w:r>
              <w:rPr>
                <w:noProof/>
                <w:webHidden/>
              </w:rPr>
            </w:r>
            <w:r>
              <w:rPr>
                <w:noProof/>
                <w:webHidden/>
              </w:rPr>
              <w:fldChar w:fldCharType="separate"/>
            </w:r>
            <w:r w:rsidR="008446AA">
              <w:rPr>
                <w:noProof/>
                <w:webHidden/>
              </w:rPr>
              <w:t>14</w:t>
            </w:r>
            <w:r>
              <w:rPr>
                <w:noProof/>
                <w:webHidden/>
              </w:rPr>
              <w:fldChar w:fldCharType="end"/>
            </w:r>
          </w:hyperlink>
        </w:p>
        <w:p w14:paraId="494C6917" w14:textId="656A417F"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13" w:history="1">
            <w:r w:rsidRPr="00A95D78">
              <w:rPr>
                <w:rStyle w:val="Hyperlink"/>
                <w:rFonts w:ascii="Arial" w:hAnsi="Arial" w:cs="Arial"/>
                <w:noProof/>
              </w:rPr>
              <w:t>1.2 Original contribution to knowledge</w:t>
            </w:r>
            <w:r>
              <w:rPr>
                <w:noProof/>
                <w:webHidden/>
              </w:rPr>
              <w:tab/>
            </w:r>
            <w:r>
              <w:rPr>
                <w:noProof/>
                <w:webHidden/>
              </w:rPr>
              <w:fldChar w:fldCharType="begin"/>
            </w:r>
            <w:r>
              <w:rPr>
                <w:noProof/>
                <w:webHidden/>
              </w:rPr>
              <w:instrText xml:space="preserve"> PAGEREF _Toc223348813 \h </w:instrText>
            </w:r>
            <w:r>
              <w:rPr>
                <w:noProof/>
                <w:webHidden/>
              </w:rPr>
            </w:r>
            <w:r>
              <w:rPr>
                <w:noProof/>
                <w:webHidden/>
              </w:rPr>
              <w:fldChar w:fldCharType="separate"/>
            </w:r>
            <w:r w:rsidR="008446AA">
              <w:rPr>
                <w:noProof/>
                <w:webHidden/>
              </w:rPr>
              <w:t>15</w:t>
            </w:r>
            <w:r>
              <w:rPr>
                <w:noProof/>
                <w:webHidden/>
              </w:rPr>
              <w:fldChar w:fldCharType="end"/>
            </w:r>
          </w:hyperlink>
        </w:p>
        <w:p w14:paraId="13687757" w14:textId="44CA7525"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4" w:history="1">
            <w:r w:rsidRPr="00A95D78">
              <w:rPr>
                <w:rStyle w:val="Hyperlink"/>
                <w:rFonts w:ascii="Arial" w:hAnsi="Arial" w:cs="Arial"/>
                <w:noProof/>
              </w:rPr>
              <w:t>1.2.1 Course design and legal education</w:t>
            </w:r>
            <w:r>
              <w:rPr>
                <w:noProof/>
                <w:webHidden/>
              </w:rPr>
              <w:tab/>
            </w:r>
            <w:r>
              <w:rPr>
                <w:noProof/>
                <w:webHidden/>
              </w:rPr>
              <w:fldChar w:fldCharType="begin"/>
            </w:r>
            <w:r>
              <w:rPr>
                <w:noProof/>
                <w:webHidden/>
              </w:rPr>
              <w:instrText xml:space="preserve"> PAGEREF _Toc223348814 \h </w:instrText>
            </w:r>
            <w:r>
              <w:rPr>
                <w:noProof/>
                <w:webHidden/>
              </w:rPr>
            </w:r>
            <w:r>
              <w:rPr>
                <w:noProof/>
                <w:webHidden/>
              </w:rPr>
              <w:fldChar w:fldCharType="separate"/>
            </w:r>
            <w:r w:rsidR="008446AA">
              <w:rPr>
                <w:noProof/>
                <w:webHidden/>
              </w:rPr>
              <w:t>15</w:t>
            </w:r>
            <w:r>
              <w:rPr>
                <w:noProof/>
                <w:webHidden/>
              </w:rPr>
              <w:fldChar w:fldCharType="end"/>
            </w:r>
          </w:hyperlink>
        </w:p>
        <w:p w14:paraId="29B7123C" w14:textId="71B96E39"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5" w:history="1">
            <w:r w:rsidRPr="00A95D78">
              <w:rPr>
                <w:rStyle w:val="Hyperlink"/>
                <w:rFonts w:ascii="Arial" w:hAnsi="Arial" w:cs="Arial"/>
                <w:noProof/>
              </w:rPr>
              <w:t>1.2.2 The context of change</w:t>
            </w:r>
            <w:r>
              <w:rPr>
                <w:noProof/>
                <w:webHidden/>
              </w:rPr>
              <w:tab/>
            </w:r>
            <w:r>
              <w:rPr>
                <w:noProof/>
                <w:webHidden/>
              </w:rPr>
              <w:fldChar w:fldCharType="begin"/>
            </w:r>
            <w:r>
              <w:rPr>
                <w:noProof/>
                <w:webHidden/>
              </w:rPr>
              <w:instrText xml:space="preserve"> PAGEREF _Toc223348815 \h </w:instrText>
            </w:r>
            <w:r>
              <w:rPr>
                <w:noProof/>
                <w:webHidden/>
              </w:rPr>
            </w:r>
            <w:r>
              <w:rPr>
                <w:noProof/>
                <w:webHidden/>
              </w:rPr>
              <w:fldChar w:fldCharType="separate"/>
            </w:r>
            <w:r w:rsidR="008446AA">
              <w:rPr>
                <w:noProof/>
                <w:webHidden/>
              </w:rPr>
              <w:t>16</w:t>
            </w:r>
            <w:r>
              <w:rPr>
                <w:noProof/>
                <w:webHidden/>
              </w:rPr>
              <w:fldChar w:fldCharType="end"/>
            </w:r>
          </w:hyperlink>
        </w:p>
        <w:p w14:paraId="6F43422A" w14:textId="653B542F"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16" w:history="1">
            <w:r w:rsidRPr="00A95D78">
              <w:rPr>
                <w:rStyle w:val="Hyperlink"/>
                <w:rFonts w:ascii="Arial" w:hAnsi="Arial" w:cs="Arial"/>
                <w:noProof/>
              </w:rPr>
              <w:t>1.2.3 Relevance beyond legal education</w:t>
            </w:r>
            <w:r>
              <w:rPr>
                <w:noProof/>
                <w:webHidden/>
              </w:rPr>
              <w:tab/>
            </w:r>
            <w:r>
              <w:rPr>
                <w:noProof/>
                <w:webHidden/>
              </w:rPr>
              <w:fldChar w:fldCharType="begin"/>
            </w:r>
            <w:r>
              <w:rPr>
                <w:noProof/>
                <w:webHidden/>
              </w:rPr>
              <w:instrText xml:space="preserve"> PAGEREF _Toc223348816 \h </w:instrText>
            </w:r>
            <w:r>
              <w:rPr>
                <w:noProof/>
                <w:webHidden/>
              </w:rPr>
            </w:r>
            <w:r>
              <w:rPr>
                <w:noProof/>
                <w:webHidden/>
              </w:rPr>
              <w:fldChar w:fldCharType="separate"/>
            </w:r>
            <w:r w:rsidR="008446AA">
              <w:rPr>
                <w:noProof/>
                <w:webHidden/>
              </w:rPr>
              <w:t>17</w:t>
            </w:r>
            <w:r>
              <w:rPr>
                <w:noProof/>
                <w:webHidden/>
              </w:rPr>
              <w:fldChar w:fldCharType="end"/>
            </w:r>
          </w:hyperlink>
        </w:p>
        <w:p w14:paraId="024E3235" w14:textId="5F3E6C9A"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17" w:history="1">
            <w:r w:rsidRPr="00A95D78">
              <w:rPr>
                <w:rStyle w:val="Hyperlink"/>
                <w:rFonts w:ascii="Arial" w:hAnsi="Arial" w:cs="Arial"/>
                <w:noProof/>
              </w:rPr>
              <w:t>1.3 Personal motivation</w:t>
            </w:r>
            <w:r>
              <w:rPr>
                <w:noProof/>
                <w:webHidden/>
              </w:rPr>
              <w:tab/>
            </w:r>
            <w:r>
              <w:rPr>
                <w:noProof/>
                <w:webHidden/>
              </w:rPr>
              <w:fldChar w:fldCharType="begin"/>
            </w:r>
            <w:r>
              <w:rPr>
                <w:noProof/>
                <w:webHidden/>
              </w:rPr>
              <w:instrText xml:space="preserve"> PAGEREF _Toc223348817 \h </w:instrText>
            </w:r>
            <w:r>
              <w:rPr>
                <w:noProof/>
                <w:webHidden/>
              </w:rPr>
            </w:r>
            <w:r>
              <w:rPr>
                <w:noProof/>
                <w:webHidden/>
              </w:rPr>
              <w:fldChar w:fldCharType="separate"/>
            </w:r>
            <w:r w:rsidR="008446AA">
              <w:rPr>
                <w:noProof/>
                <w:webHidden/>
              </w:rPr>
              <w:t>18</w:t>
            </w:r>
            <w:r>
              <w:rPr>
                <w:noProof/>
                <w:webHidden/>
              </w:rPr>
              <w:fldChar w:fldCharType="end"/>
            </w:r>
          </w:hyperlink>
        </w:p>
        <w:p w14:paraId="0CE8D2EE" w14:textId="4097798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18" w:history="1">
            <w:r w:rsidRPr="00A95D78">
              <w:rPr>
                <w:rStyle w:val="Hyperlink"/>
                <w:rFonts w:ascii="Arial" w:hAnsi="Arial" w:cs="Arial"/>
                <w:noProof/>
              </w:rPr>
              <w:t>1.4 Chapter overview</w:t>
            </w:r>
            <w:r>
              <w:rPr>
                <w:noProof/>
                <w:webHidden/>
              </w:rPr>
              <w:tab/>
            </w:r>
            <w:r>
              <w:rPr>
                <w:noProof/>
                <w:webHidden/>
              </w:rPr>
              <w:fldChar w:fldCharType="begin"/>
            </w:r>
            <w:r>
              <w:rPr>
                <w:noProof/>
                <w:webHidden/>
              </w:rPr>
              <w:instrText xml:space="preserve"> PAGEREF _Toc223348818 \h </w:instrText>
            </w:r>
            <w:r>
              <w:rPr>
                <w:noProof/>
                <w:webHidden/>
              </w:rPr>
            </w:r>
            <w:r>
              <w:rPr>
                <w:noProof/>
                <w:webHidden/>
              </w:rPr>
              <w:fldChar w:fldCharType="separate"/>
            </w:r>
            <w:r w:rsidR="008446AA">
              <w:rPr>
                <w:noProof/>
                <w:webHidden/>
              </w:rPr>
              <w:t>19</w:t>
            </w:r>
            <w:r>
              <w:rPr>
                <w:noProof/>
                <w:webHidden/>
              </w:rPr>
              <w:fldChar w:fldCharType="end"/>
            </w:r>
          </w:hyperlink>
        </w:p>
        <w:p w14:paraId="5AF0A65D" w14:textId="06B760BC"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19" w:history="1">
            <w:r w:rsidRPr="00A95D78">
              <w:rPr>
                <w:rStyle w:val="Hyperlink"/>
                <w:rFonts w:cs="Arial"/>
                <w:noProof/>
              </w:rPr>
              <w:t>Chapter 2: The concepts and context</w:t>
            </w:r>
            <w:r>
              <w:rPr>
                <w:noProof/>
                <w:webHidden/>
              </w:rPr>
              <w:tab/>
            </w:r>
            <w:r>
              <w:rPr>
                <w:noProof/>
                <w:webHidden/>
              </w:rPr>
              <w:fldChar w:fldCharType="begin"/>
            </w:r>
            <w:r>
              <w:rPr>
                <w:noProof/>
                <w:webHidden/>
              </w:rPr>
              <w:instrText xml:space="preserve"> PAGEREF _Toc223348819 \h </w:instrText>
            </w:r>
            <w:r>
              <w:rPr>
                <w:noProof/>
                <w:webHidden/>
              </w:rPr>
            </w:r>
            <w:r>
              <w:rPr>
                <w:noProof/>
                <w:webHidden/>
              </w:rPr>
              <w:fldChar w:fldCharType="separate"/>
            </w:r>
            <w:r w:rsidR="008446AA">
              <w:rPr>
                <w:noProof/>
                <w:webHidden/>
              </w:rPr>
              <w:t>22</w:t>
            </w:r>
            <w:r>
              <w:rPr>
                <w:noProof/>
                <w:webHidden/>
              </w:rPr>
              <w:fldChar w:fldCharType="end"/>
            </w:r>
          </w:hyperlink>
        </w:p>
        <w:p w14:paraId="5D2B2D91" w14:textId="4FCA39B1"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0" w:history="1">
            <w:r w:rsidRPr="00A95D78">
              <w:rPr>
                <w:rStyle w:val="Hyperlink"/>
                <w:rFonts w:ascii="Arial" w:hAnsi="Arial" w:cs="Arial"/>
                <w:noProof/>
              </w:rPr>
              <w:t>2.1 The social construction of a course</w:t>
            </w:r>
            <w:r>
              <w:rPr>
                <w:noProof/>
                <w:webHidden/>
              </w:rPr>
              <w:tab/>
            </w:r>
            <w:r>
              <w:rPr>
                <w:noProof/>
                <w:webHidden/>
              </w:rPr>
              <w:fldChar w:fldCharType="begin"/>
            </w:r>
            <w:r>
              <w:rPr>
                <w:noProof/>
                <w:webHidden/>
              </w:rPr>
              <w:instrText xml:space="preserve"> PAGEREF _Toc223348820 \h </w:instrText>
            </w:r>
            <w:r>
              <w:rPr>
                <w:noProof/>
                <w:webHidden/>
              </w:rPr>
            </w:r>
            <w:r>
              <w:rPr>
                <w:noProof/>
                <w:webHidden/>
              </w:rPr>
              <w:fldChar w:fldCharType="separate"/>
            </w:r>
            <w:r w:rsidR="008446AA">
              <w:rPr>
                <w:noProof/>
                <w:webHidden/>
              </w:rPr>
              <w:t>22</w:t>
            </w:r>
            <w:r>
              <w:rPr>
                <w:noProof/>
                <w:webHidden/>
              </w:rPr>
              <w:fldChar w:fldCharType="end"/>
            </w:r>
          </w:hyperlink>
        </w:p>
        <w:p w14:paraId="5C8004E4" w14:textId="487EE321"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1" w:history="1">
            <w:r w:rsidRPr="00A95D78">
              <w:rPr>
                <w:rStyle w:val="Hyperlink"/>
                <w:rFonts w:ascii="Arial" w:hAnsi="Arial" w:cs="Arial"/>
                <w:noProof/>
              </w:rPr>
              <w:t>2.2 Theorising course design</w:t>
            </w:r>
            <w:r>
              <w:rPr>
                <w:noProof/>
                <w:webHidden/>
              </w:rPr>
              <w:tab/>
            </w:r>
            <w:r>
              <w:rPr>
                <w:noProof/>
                <w:webHidden/>
              </w:rPr>
              <w:fldChar w:fldCharType="begin"/>
            </w:r>
            <w:r>
              <w:rPr>
                <w:noProof/>
                <w:webHidden/>
              </w:rPr>
              <w:instrText xml:space="preserve"> PAGEREF _Toc223348821 \h </w:instrText>
            </w:r>
            <w:r>
              <w:rPr>
                <w:noProof/>
                <w:webHidden/>
              </w:rPr>
            </w:r>
            <w:r>
              <w:rPr>
                <w:noProof/>
                <w:webHidden/>
              </w:rPr>
              <w:fldChar w:fldCharType="separate"/>
            </w:r>
            <w:r w:rsidR="008446AA">
              <w:rPr>
                <w:noProof/>
                <w:webHidden/>
              </w:rPr>
              <w:t>24</w:t>
            </w:r>
            <w:r>
              <w:rPr>
                <w:noProof/>
                <w:webHidden/>
              </w:rPr>
              <w:fldChar w:fldCharType="end"/>
            </w:r>
          </w:hyperlink>
        </w:p>
        <w:p w14:paraId="36488A47" w14:textId="0D863377"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2" w:history="1">
            <w:r w:rsidRPr="00A95D78">
              <w:rPr>
                <w:rStyle w:val="Hyperlink"/>
                <w:rFonts w:ascii="Arial" w:hAnsi="Arial" w:cs="Arial"/>
                <w:noProof/>
              </w:rPr>
              <w:t>2.3 Bernstein and course design</w:t>
            </w:r>
            <w:r>
              <w:rPr>
                <w:noProof/>
                <w:webHidden/>
              </w:rPr>
              <w:tab/>
            </w:r>
            <w:r>
              <w:rPr>
                <w:noProof/>
                <w:webHidden/>
              </w:rPr>
              <w:fldChar w:fldCharType="begin"/>
            </w:r>
            <w:r>
              <w:rPr>
                <w:noProof/>
                <w:webHidden/>
              </w:rPr>
              <w:instrText xml:space="preserve"> PAGEREF _Toc223348822 \h </w:instrText>
            </w:r>
            <w:r>
              <w:rPr>
                <w:noProof/>
                <w:webHidden/>
              </w:rPr>
            </w:r>
            <w:r>
              <w:rPr>
                <w:noProof/>
                <w:webHidden/>
              </w:rPr>
              <w:fldChar w:fldCharType="separate"/>
            </w:r>
            <w:r w:rsidR="008446AA">
              <w:rPr>
                <w:noProof/>
                <w:webHidden/>
              </w:rPr>
              <w:t>27</w:t>
            </w:r>
            <w:r>
              <w:rPr>
                <w:noProof/>
                <w:webHidden/>
              </w:rPr>
              <w:fldChar w:fldCharType="end"/>
            </w:r>
          </w:hyperlink>
        </w:p>
        <w:p w14:paraId="17ED8B67" w14:textId="3ACAF791"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3" w:history="1">
            <w:r w:rsidRPr="00A95D78">
              <w:rPr>
                <w:rStyle w:val="Hyperlink"/>
                <w:rFonts w:ascii="Arial" w:hAnsi="Arial" w:cs="Arial"/>
                <w:noProof/>
              </w:rPr>
              <w:t>2.4 Legal education: An introduction</w:t>
            </w:r>
            <w:r>
              <w:rPr>
                <w:noProof/>
                <w:webHidden/>
              </w:rPr>
              <w:tab/>
            </w:r>
            <w:r>
              <w:rPr>
                <w:noProof/>
                <w:webHidden/>
              </w:rPr>
              <w:fldChar w:fldCharType="begin"/>
            </w:r>
            <w:r>
              <w:rPr>
                <w:noProof/>
                <w:webHidden/>
              </w:rPr>
              <w:instrText xml:space="preserve"> PAGEREF _Toc223348823 \h </w:instrText>
            </w:r>
            <w:r>
              <w:rPr>
                <w:noProof/>
                <w:webHidden/>
              </w:rPr>
            </w:r>
            <w:r>
              <w:rPr>
                <w:noProof/>
                <w:webHidden/>
              </w:rPr>
              <w:fldChar w:fldCharType="separate"/>
            </w:r>
            <w:r w:rsidR="008446AA">
              <w:rPr>
                <w:noProof/>
                <w:webHidden/>
              </w:rPr>
              <w:t>29</w:t>
            </w:r>
            <w:r>
              <w:rPr>
                <w:noProof/>
                <w:webHidden/>
              </w:rPr>
              <w:fldChar w:fldCharType="end"/>
            </w:r>
          </w:hyperlink>
        </w:p>
        <w:p w14:paraId="0F09BE72" w14:textId="62BE53DE"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24" w:history="1">
            <w:r w:rsidRPr="00A95D78">
              <w:rPr>
                <w:rStyle w:val="Hyperlink"/>
                <w:rFonts w:ascii="Arial" w:hAnsi="Arial" w:cs="Arial"/>
                <w:noProof/>
              </w:rPr>
              <w:t>2.4.1 Academic and vocational legal education</w:t>
            </w:r>
            <w:r>
              <w:rPr>
                <w:noProof/>
                <w:webHidden/>
              </w:rPr>
              <w:tab/>
            </w:r>
            <w:r>
              <w:rPr>
                <w:noProof/>
                <w:webHidden/>
              </w:rPr>
              <w:fldChar w:fldCharType="begin"/>
            </w:r>
            <w:r>
              <w:rPr>
                <w:noProof/>
                <w:webHidden/>
              </w:rPr>
              <w:instrText xml:space="preserve"> PAGEREF _Toc223348824 \h </w:instrText>
            </w:r>
            <w:r>
              <w:rPr>
                <w:noProof/>
                <w:webHidden/>
              </w:rPr>
            </w:r>
            <w:r>
              <w:rPr>
                <w:noProof/>
                <w:webHidden/>
              </w:rPr>
              <w:fldChar w:fldCharType="separate"/>
            </w:r>
            <w:r w:rsidR="008446AA">
              <w:rPr>
                <w:noProof/>
                <w:webHidden/>
              </w:rPr>
              <w:t>30</w:t>
            </w:r>
            <w:r>
              <w:rPr>
                <w:noProof/>
                <w:webHidden/>
              </w:rPr>
              <w:fldChar w:fldCharType="end"/>
            </w:r>
          </w:hyperlink>
        </w:p>
        <w:p w14:paraId="03DBCE98" w14:textId="4B105DD3"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25" w:history="1">
            <w:r w:rsidRPr="00A95D78">
              <w:rPr>
                <w:rStyle w:val="Hyperlink"/>
                <w:rFonts w:ascii="Arial" w:hAnsi="Arial" w:cs="Arial"/>
                <w:noProof/>
              </w:rPr>
              <w:t>2.4.2 The law degree and the foundations of legal knowledge</w:t>
            </w:r>
            <w:r>
              <w:rPr>
                <w:noProof/>
                <w:webHidden/>
              </w:rPr>
              <w:tab/>
            </w:r>
            <w:r>
              <w:rPr>
                <w:noProof/>
                <w:webHidden/>
              </w:rPr>
              <w:fldChar w:fldCharType="begin"/>
            </w:r>
            <w:r>
              <w:rPr>
                <w:noProof/>
                <w:webHidden/>
              </w:rPr>
              <w:instrText xml:space="preserve"> PAGEREF _Toc223348825 \h </w:instrText>
            </w:r>
            <w:r>
              <w:rPr>
                <w:noProof/>
                <w:webHidden/>
              </w:rPr>
            </w:r>
            <w:r>
              <w:rPr>
                <w:noProof/>
                <w:webHidden/>
              </w:rPr>
              <w:fldChar w:fldCharType="separate"/>
            </w:r>
            <w:r w:rsidR="008446AA">
              <w:rPr>
                <w:noProof/>
                <w:webHidden/>
              </w:rPr>
              <w:t>33</w:t>
            </w:r>
            <w:r>
              <w:rPr>
                <w:noProof/>
                <w:webHidden/>
              </w:rPr>
              <w:fldChar w:fldCharType="end"/>
            </w:r>
          </w:hyperlink>
        </w:p>
        <w:p w14:paraId="22915305" w14:textId="7A4BDF72"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6" w:history="1">
            <w:r w:rsidRPr="00A95D78">
              <w:rPr>
                <w:rStyle w:val="Hyperlink"/>
                <w:rFonts w:ascii="Arial" w:hAnsi="Arial" w:cs="Arial"/>
                <w:noProof/>
              </w:rPr>
              <w:t>2.5 Conclusion</w:t>
            </w:r>
            <w:r>
              <w:rPr>
                <w:noProof/>
                <w:webHidden/>
              </w:rPr>
              <w:tab/>
            </w:r>
            <w:r>
              <w:rPr>
                <w:noProof/>
                <w:webHidden/>
              </w:rPr>
              <w:fldChar w:fldCharType="begin"/>
            </w:r>
            <w:r>
              <w:rPr>
                <w:noProof/>
                <w:webHidden/>
              </w:rPr>
              <w:instrText xml:space="preserve"> PAGEREF _Toc223348826 \h </w:instrText>
            </w:r>
            <w:r>
              <w:rPr>
                <w:noProof/>
                <w:webHidden/>
              </w:rPr>
            </w:r>
            <w:r>
              <w:rPr>
                <w:noProof/>
                <w:webHidden/>
              </w:rPr>
              <w:fldChar w:fldCharType="separate"/>
            </w:r>
            <w:r w:rsidR="008446AA">
              <w:rPr>
                <w:noProof/>
                <w:webHidden/>
              </w:rPr>
              <w:t>34</w:t>
            </w:r>
            <w:r>
              <w:rPr>
                <w:noProof/>
                <w:webHidden/>
              </w:rPr>
              <w:fldChar w:fldCharType="end"/>
            </w:r>
          </w:hyperlink>
        </w:p>
        <w:p w14:paraId="3C2AAA54" w14:textId="533A9B9D"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27" w:history="1">
            <w:r w:rsidRPr="00A95D78">
              <w:rPr>
                <w:rStyle w:val="Hyperlink"/>
                <w:rFonts w:cs="Arial"/>
                <w:noProof/>
              </w:rPr>
              <w:t>Chapter 3: Bernstein’s sociological theory of pedagogy: The codes and the pedagogic device</w:t>
            </w:r>
            <w:r>
              <w:rPr>
                <w:noProof/>
                <w:webHidden/>
              </w:rPr>
              <w:tab/>
            </w:r>
            <w:r>
              <w:rPr>
                <w:noProof/>
                <w:webHidden/>
              </w:rPr>
              <w:fldChar w:fldCharType="begin"/>
            </w:r>
            <w:r>
              <w:rPr>
                <w:noProof/>
                <w:webHidden/>
              </w:rPr>
              <w:instrText xml:space="preserve"> PAGEREF _Toc223348827 \h </w:instrText>
            </w:r>
            <w:r>
              <w:rPr>
                <w:noProof/>
                <w:webHidden/>
              </w:rPr>
            </w:r>
            <w:r>
              <w:rPr>
                <w:noProof/>
                <w:webHidden/>
              </w:rPr>
              <w:fldChar w:fldCharType="separate"/>
            </w:r>
            <w:r w:rsidR="008446AA">
              <w:rPr>
                <w:noProof/>
                <w:webHidden/>
              </w:rPr>
              <w:t>35</w:t>
            </w:r>
            <w:r>
              <w:rPr>
                <w:noProof/>
                <w:webHidden/>
              </w:rPr>
              <w:fldChar w:fldCharType="end"/>
            </w:r>
          </w:hyperlink>
        </w:p>
        <w:p w14:paraId="4BD5253E" w14:textId="22C13766"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8" w:history="1">
            <w:r w:rsidRPr="00A95D78">
              <w:rPr>
                <w:rStyle w:val="Hyperlink"/>
                <w:rFonts w:ascii="Arial" w:hAnsi="Arial" w:cs="Arial"/>
                <w:noProof/>
              </w:rPr>
              <w:t>3.1 Introduction</w:t>
            </w:r>
            <w:r>
              <w:rPr>
                <w:noProof/>
                <w:webHidden/>
              </w:rPr>
              <w:tab/>
            </w:r>
            <w:r>
              <w:rPr>
                <w:noProof/>
                <w:webHidden/>
              </w:rPr>
              <w:fldChar w:fldCharType="begin"/>
            </w:r>
            <w:r>
              <w:rPr>
                <w:noProof/>
                <w:webHidden/>
              </w:rPr>
              <w:instrText xml:space="preserve"> PAGEREF _Toc223348828 \h </w:instrText>
            </w:r>
            <w:r>
              <w:rPr>
                <w:noProof/>
                <w:webHidden/>
              </w:rPr>
            </w:r>
            <w:r>
              <w:rPr>
                <w:noProof/>
                <w:webHidden/>
              </w:rPr>
              <w:fldChar w:fldCharType="separate"/>
            </w:r>
            <w:r w:rsidR="008446AA">
              <w:rPr>
                <w:noProof/>
                <w:webHidden/>
              </w:rPr>
              <w:t>35</w:t>
            </w:r>
            <w:r>
              <w:rPr>
                <w:noProof/>
                <w:webHidden/>
              </w:rPr>
              <w:fldChar w:fldCharType="end"/>
            </w:r>
          </w:hyperlink>
        </w:p>
        <w:p w14:paraId="4B02955D" w14:textId="170DEB09"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29" w:history="1">
            <w:r w:rsidRPr="00A95D78">
              <w:rPr>
                <w:rStyle w:val="Hyperlink"/>
                <w:rFonts w:ascii="Arial" w:hAnsi="Arial" w:cs="Arial"/>
                <w:noProof/>
              </w:rPr>
              <w:t>3.2 Classification and framing of knowledge</w:t>
            </w:r>
            <w:r>
              <w:rPr>
                <w:noProof/>
                <w:webHidden/>
              </w:rPr>
              <w:tab/>
            </w:r>
            <w:r>
              <w:rPr>
                <w:noProof/>
                <w:webHidden/>
              </w:rPr>
              <w:fldChar w:fldCharType="begin"/>
            </w:r>
            <w:r>
              <w:rPr>
                <w:noProof/>
                <w:webHidden/>
              </w:rPr>
              <w:instrText xml:space="preserve"> PAGEREF _Toc223348829 \h </w:instrText>
            </w:r>
            <w:r>
              <w:rPr>
                <w:noProof/>
                <w:webHidden/>
              </w:rPr>
            </w:r>
            <w:r>
              <w:rPr>
                <w:noProof/>
                <w:webHidden/>
              </w:rPr>
              <w:fldChar w:fldCharType="separate"/>
            </w:r>
            <w:r w:rsidR="008446AA">
              <w:rPr>
                <w:noProof/>
                <w:webHidden/>
              </w:rPr>
              <w:t>36</w:t>
            </w:r>
            <w:r>
              <w:rPr>
                <w:noProof/>
                <w:webHidden/>
              </w:rPr>
              <w:fldChar w:fldCharType="end"/>
            </w:r>
          </w:hyperlink>
        </w:p>
        <w:p w14:paraId="3D28E275" w14:textId="39C33835"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30" w:history="1">
            <w:r w:rsidRPr="00A95D78">
              <w:rPr>
                <w:rStyle w:val="Hyperlink"/>
                <w:rFonts w:ascii="Arial" w:hAnsi="Arial" w:cs="Arial"/>
                <w:noProof/>
              </w:rPr>
              <w:t>3.2.1 Collection and integrated codes</w:t>
            </w:r>
            <w:r>
              <w:rPr>
                <w:noProof/>
                <w:webHidden/>
              </w:rPr>
              <w:tab/>
            </w:r>
            <w:r>
              <w:rPr>
                <w:noProof/>
                <w:webHidden/>
              </w:rPr>
              <w:fldChar w:fldCharType="begin"/>
            </w:r>
            <w:r>
              <w:rPr>
                <w:noProof/>
                <w:webHidden/>
              </w:rPr>
              <w:instrText xml:space="preserve"> PAGEREF _Toc223348830 \h </w:instrText>
            </w:r>
            <w:r>
              <w:rPr>
                <w:noProof/>
                <w:webHidden/>
              </w:rPr>
            </w:r>
            <w:r>
              <w:rPr>
                <w:noProof/>
                <w:webHidden/>
              </w:rPr>
              <w:fldChar w:fldCharType="separate"/>
            </w:r>
            <w:r w:rsidR="008446AA">
              <w:rPr>
                <w:noProof/>
                <w:webHidden/>
              </w:rPr>
              <w:t>37</w:t>
            </w:r>
            <w:r>
              <w:rPr>
                <w:noProof/>
                <w:webHidden/>
              </w:rPr>
              <w:fldChar w:fldCharType="end"/>
            </w:r>
          </w:hyperlink>
        </w:p>
        <w:p w14:paraId="64847BE4" w14:textId="48F7D18E"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1" w:history="1">
            <w:r w:rsidRPr="00A95D78">
              <w:rPr>
                <w:rStyle w:val="Hyperlink"/>
                <w:rFonts w:ascii="Arial" w:hAnsi="Arial" w:cs="Arial"/>
                <w:noProof/>
              </w:rPr>
              <w:t>3.3 Vertical and horizontal knowledge structures and access to powerful knowledge</w:t>
            </w:r>
            <w:r>
              <w:rPr>
                <w:noProof/>
                <w:webHidden/>
              </w:rPr>
              <w:tab/>
            </w:r>
            <w:r>
              <w:rPr>
                <w:noProof/>
                <w:webHidden/>
              </w:rPr>
              <w:fldChar w:fldCharType="begin"/>
            </w:r>
            <w:r>
              <w:rPr>
                <w:noProof/>
                <w:webHidden/>
              </w:rPr>
              <w:instrText xml:space="preserve"> PAGEREF _Toc223348831 \h </w:instrText>
            </w:r>
            <w:r>
              <w:rPr>
                <w:noProof/>
                <w:webHidden/>
              </w:rPr>
            </w:r>
            <w:r>
              <w:rPr>
                <w:noProof/>
                <w:webHidden/>
              </w:rPr>
              <w:fldChar w:fldCharType="separate"/>
            </w:r>
            <w:r w:rsidR="008446AA">
              <w:rPr>
                <w:noProof/>
                <w:webHidden/>
              </w:rPr>
              <w:t>38</w:t>
            </w:r>
            <w:r>
              <w:rPr>
                <w:noProof/>
                <w:webHidden/>
              </w:rPr>
              <w:fldChar w:fldCharType="end"/>
            </w:r>
          </w:hyperlink>
        </w:p>
        <w:p w14:paraId="4991CE6B" w14:textId="38AD81B9"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2" w:history="1">
            <w:r w:rsidRPr="00A95D78">
              <w:rPr>
                <w:rStyle w:val="Hyperlink"/>
                <w:rFonts w:ascii="Arial" w:hAnsi="Arial" w:cs="Arial"/>
                <w:noProof/>
              </w:rPr>
              <w:t>3.4 Singular and regional discourses</w:t>
            </w:r>
            <w:r>
              <w:rPr>
                <w:noProof/>
                <w:webHidden/>
              </w:rPr>
              <w:tab/>
            </w:r>
            <w:r>
              <w:rPr>
                <w:noProof/>
                <w:webHidden/>
              </w:rPr>
              <w:fldChar w:fldCharType="begin"/>
            </w:r>
            <w:r>
              <w:rPr>
                <w:noProof/>
                <w:webHidden/>
              </w:rPr>
              <w:instrText xml:space="preserve"> PAGEREF _Toc223348832 \h </w:instrText>
            </w:r>
            <w:r>
              <w:rPr>
                <w:noProof/>
                <w:webHidden/>
              </w:rPr>
            </w:r>
            <w:r>
              <w:rPr>
                <w:noProof/>
                <w:webHidden/>
              </w:rPr>
              <w:fldChar w:fldCharType="separate"/>
            </w:r>
            <w:r w:rsidR="008446AA">
              <w:rPr>
                <w:noProof/>
                <w:webHidden/>
              </w:rPr>
              <w:t>40</w:t>
            </w:r>
            <w:r>
              <w:rPr>
                <w:noProof/>
                <w:webHidden/>
              </w:rPr>
              <w:fldChar w:fldCharType="end"/>
            </w:r>
          </w:hyperlink>
        </w:p>
        <w:p w14:paraId="79A8AA9F" w14:textId="56B366EB"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3" w:history="1">
            <w:r w:rsidRPr="00A95D78">
              <w:rPr>
                <w:rStyle w:val="Hyperlink"/>
                <w:rFonts w:ascii="Arial" w:hAnsi="Arial" w:cs="Arial"/>
                <w:noProof/>
              </w:rPr>
              <w:t>3.5 Concluding comments</w:t>
            </w:r>
            <w:r>
              <w:rPr>
                <w:noProof/>
                <w:webHidden/>
              </w:rPr>
              <w:tab/>
            </w:r>
            <w:r>
              <w:rPr>
                <w:noProof/>
                <w:webHidden/>
              </w:rPr>
              <w:fldChar w:fldCharType="begin"/>
            </w:r>
            <w:r>
              <w:rPr>
                <w:noProof/>
                <w:webHidden/>
              </w:rPr>
              <w:instrText xml:space="preserve"> PAGEREF _Toc223348833 \h </w:instrText>
            </w:r>
            <w:r>
              <w:rPr>
                <w:noProof/>
                <w:webHidden/>
              </w:rPr>
            </w:r>
            <w:r>
              <w:rPr>
                <w:noProof/>
                <w:webHidden/>
              </w:rPr>
              <w:fldChar w:fldCharType="separate"/>
            </w:r>
            <w:r w:rsidR="008446AA">
              <w:rPr>
                <w:noProof/>
                <w:webHidden/>
              </w:rPr>
              <w:t>43</w:t>
            </w:r>
            <w:r>
              <w:rPr>
                <w:noProof/>
                <w:webHidden/>
              </w:rPr>
              <w:fldChar w:fldCharType="end"/>
            </w:r>
          </w:hyperlink>
        </w:p>
        <w:p w14:paraId="56A6881A" w14:textId="3DB2E6DC"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4" w:history="1">
            <w:r w:rsidRPr="00A95D78">
              <w:rPr>
                <w:rStyle w:val="Hyperlink"/>
                <w:rFonts w:ascii="Arial" w:hAnsi="Arial" w:cs="Arial"/>
                <w:noProof/>
              </w:rPr>
              <w:t>3.6 The Pedagogic Device</w:t>
            </w:r>
            <w:r>
              <w:rPr>
                <w:noProof/>
                <w:webHidden/>
              </w:rPr>
              <w:tab/>
            </w:r>
            <w:r>
              <w:rPr>
                <w:noProof/>
                <w:webHidden/>
              </w:rPr>
              <w:fldChar w:fldCharType="begin"/>
            </w:r>
            <w:r>
              <w:rPr>
                <w:noProof/>
                <w:webHidden/>
              </w:rPr>
              <w:instrText xml:space="preserve"> PAGEREF _Toc223348834 \h </w:instrText>
            </w:r>
            <w:r>
              <w:rPr>
                <w:noProof/>
                <w:webHidden/>
              </w:rPr>
            </w:r>
            <w:r>
              <w:rPr>
                <w:noProof/>
                <w:webHidden/>
              </w:rPr>
              <w:fldChar w:fldCharType="separate"/>
            </w:r>
            <w:r w:rsidR="008446AA">
              <w:rPr>
                <w:noProof/>
                <w:webHidden/>
              </w:rPr>
              <w:t>43</w:t>
            </w:r>
            <w:r>
              <w:rPr>
                <w:noProof/>
                <w:webHidden/>
              </w:rPr>
              <w:fldChar w:fldCharType="end"/>
            </w:r>
          </w:hyperlink>
        </w:p>
        <w:p w14:paraId="4DC02E7A" w14:textId="6417302B"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35" w:history="1">
            <w:r w:rsidRPr="00A95D78">
              <w:rPr>
                <w:rStyle w:val="Hyperlink"/>
                <w:rFonts w:ascii="Arial" w:hAnsi="Arial" w:cs="Arial"/>
                <w:noProof/>
              </w:rPr>
              <w:t>3.6.1 Distributive rules</w:t>
            </w:r>
            <w:r>
              <w:rPr>
                <w:noProof/>
                <w:webHidden/>
              </w:rPr>
              <w:tab/>
            </w:r>
            <w:r>
              <w:rPr>
                <w:noProof/>
                <w:webHidden/>
              </w:rPr>
              <w:fldChar w:fldCharType="begin"/>
            </w:r>
            <w:r>
              <w:rPr>
                <w:noProof/>
                <w:webHidden/>
              </w:rPr>
              <w:instrText xml:space="preserve"> PAGEREF _Toc223348835 \h </w:instrText>
            </w:r>
            <w:r>
              <w:rPr>
                <w:noProof/>
                <w:webHidden/>
              </w:rPr>
            </w:r>
            <w:r>
              <w:rPr>
                <w:noProof/>
                <w:webHidden/>
              </w:rPr>
              <w:fldChar w:fldCharType="separate"/>
            </w:r>
            <w:r w:rsidR="008446AA">
              <w:rPr>
                <w:noProof/>
                <w:webHidden/>
              </w:rPr>
              <w:t>45</w:t>
            </w:r>
            <w:r>
              <w:rPr>
                <w:noProof/>
                <w:webHidden/>
              </w:rPr>
              <w:fldChar w:fldCharType="end"/>
            </w:r>
          </w:hyperlink>
        </w:p>
        <w:p w14:paraId="60C3E0C6" w14:textId="575F7C11"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36" w:history="1">
            <w:r w:rsidRPr="00A95D78">
              <w:rPr>
                <w:rStyle w:val="Hyperlink"/>
                <w:rFonts w:ascii="Arial" w:hAnsi="Arial" w:cs="Arial"/>
                <w:noProof/>
              </w:rPr>
              <w:t>3.6.2 Recontextualising rules</w:t>
            </w:r>
            <w:r>
              <w:rPr>
                <w:noProof/>
                <w:webHidden/>
              </w:rPr>
              <w:tab/>
            </w:r>
            <w:r>
              <w:rPr>
                <w:noProof/>
                <w:webHidden/>
              </w:rPr>
              <w:fldChar w:fldCharType="begin"/>
            </w:r>
            <w:r>
              <w:rPr>
                <w:noProof/>
                <w:webHidden/>
              </w:rPr>
              <w:instrText xml:space="preserve"> PAGEREF _Toc223348836 \h </w:instrText>
            </w:r>
            <w:r>
              <w:rPr>
                <w:noProof/>
                <w:webHidden/>
              </w:rPr>
            </w:r>
            <w:r>
              <w:rPr>
                <w:noProof/>
                <w:webHidden/>
              </w:rPr>
              <w:fldChar w:fldCharType="separate"/>
            </w:r>
            <w:r w:rsidR="008446AA">
              <w:rPr>
                <w:noProof/>
                <w:webHidden/>
              </w:rPr>
              <w:t>51</w:t>
            </w:r>
            <w:r>
              <w:rPr>
                <w:noProof/>
                <w:webHidden/>
              </w:rPr>
              <w:fldChar w:fldCharType="end"/>
            </w:r>
          </w:hyperlink>
        </w:p>
        <w:p w14:paraId="5592FFB1" w14:textId="56A6C59B"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37" w:history="1">
            <w:r w:rsidRPr="00A95D78">
              <w:rPr>
                <w:rStyle w:val="Hyperlink"/>
                <w:rFonts w:ascii="Arial" w:hAnsi="Arial" w:cs="Arial"/>
                <w:noProof/>
              </w:rPr>
              <w:t>3.6.3 Evaluative rules</w:t>
            </w:r>
            <w:r>
              <w:rPr>
                <w:noProof/>
                <w:webHidden/>
              </w:rPr>
              <w:tab/>
            </w:r>
            <w:r>
              <w:rPr>
                <w:noProof/>
                <w:webHidden/>
              </w:rPr>
              <w:fldChar w:fldCharType="begin"/>
            </w:r>
            <w:r>
              <w:rPr>
                <w:noProof/>
                <w:webHidden/>
              </w:rPr>
              <w:instrText xml:space="preserve"> PAGEREF _Toc223348837 \h </w:instrText>
            </w:r>
            <w:r>
              <w:rPr>
                <w:noProof/>
                <w:webHidden/>
              </w:rPr>
            </w:r>
            <w:r>
              <w:rPr>
                <w:noProof/>
                <w:webHidden/>
              </w:rPr>
              <w:fldChar w:fldCharType="separate"/>
            </w:r>
            <w:r w:rsidR="008446AA">
              <w:rPr>
                <w:noProof/>
                <w:webHidden/>
              </w:rPr>
              <w:t>53</w:t>
            </w:r>
            <w:r>
              <w:rPr>
                <w:noProof/>
                <w:webHidden/>
              </w:rPr>
              <w:fldChar w:fldCharType="end"/>
            </w:r>
          </w:hyperlink>
        </w:p>
        <w:p w14:paraId="03681B7F" w14:textId="76172E02"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8" w:history="1">
            <w:r w:rsidRPr="00A95D78">
              <w:rPr>
                <w:rStyle w:val="Hyperlink"/>
                <w:rFonts w:ascii="Arial" w:hAnsi="Arial" w:cs="Arial"/>
                <w:noProof/>
              </w:rPr>
              <w:t>3.7 Bernstein on law course design</w:t>
            </w:r>
            <w:r>
              <w:rPr>
                <w:noProof/>
                <w:webHidden/>
              </w:rPr>
              <w:tab/>
            </w:r>
            <w:r>
              <w:rPr>
                <w:noProof/>
                <w:webHidden/>
              </w:rPr>
              <w:fldChar w:fldCharType="begin"/>
            </w:r>
            <w:r>
              <w:rPr>
                <w:noProof/>
                <w:webHidden/>
              </w:rPr>
              <w:instrText xml:space="preserve"> PAGEREF _Toc223348838 \h </w:instrText>
            </w:r>
            <w:r>
              <w:rPr>
                <w:noProof/>
                <w:webHidden/>
              </w:rPr>
            </w:r>
            <w:r>
              <w:rPr>
                <w:noProof/>
                <w:webHidden/>
              </w:rPr>
              <w:fldChar w:fldCharType="separate"/>
            </w:r>
            <w:r w:rsidR="008446AA">
              <w:rPr>
                <w:noProof/>
                <w:webHidden/>
              </w:rPr>
              <w:t>54</w:t>
            </w:r>
            <w:r>
              <w:rPr>
                <w:noProof/>
                <w:webHidden/>
              </w:rPr>
              <w:fldChar w:fldCharType="end"/>
            </w:r>
          </w:hyperlink>
        </w:p>
        <w:p w14:paraId="4BF383B8" w14:textId="0D42CF8F"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39" w:history="1">
            <w:r w:rsidRPr="00A95D78">
              <w:rPr>
                <w:rStyle w:val="Hyperlink"/>
                <w:rFonts w:ascii="Arial" w:hAnsi="Arial" w:cs="Arial"/>
                <w:noProof/>
              </w:rPr>
              <w:t>3.8 Conclusion</w:t>
            </w:r>
            <w:r>
              <w:rPr>
                <w:noProof/>
                <w:webHidden/>
              </w:rPr>
              <w:tab/>
            </w:r>
            <w:r>
              <w:rPr>
                <w:noProof/>
                <w:webHidden/>
              </w:rPr>
              <w:fldChar w:fldCharType="begin"/>
            </w:r>
            <w:r>
              <w:rPr>
                <w:noProof/>
                <w:webHidden/>
              </w:rPr>
              <w:instrText xml:space="preserve"> PAGEREF _Toc223348839 \h </w:instrText>
            </w:r>
            <w:r>
              <w:rPr>
                <w:noProof/>
                <w:webHidden/>
              </w:rPr>
            </w:r>
            <w:r>
              <w:rPr>
                <w:noProof/>
                <w:webHidden/>
              </w:rPr>
              <w:fldChar w:fldCharType="separate"/>
            </w:r>
            <w:r w:rsidR="008446AA">
              <w:rPr>
                <w:noProof/>
                <w:webHidden/>
              </w:rPr>
              <w:t>55</w:t>
            </w:r>
            <w:r>
              <w:rPr>
                <w:noProof/>
                <w:webHidden/>
              </w:rPr>
              <w:fldChar w:fldCharType="end"/>
            </w:r>
          </w:hyperlink>
        </w:p>
        <w:p w14:paraId="5811069B" w14:textId="35FE1C45"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40" w:history="1">
            <w:r w:rsidRPr="00A95D78">
              <w:rPr>
                <w:rStyle w:val="Hyperlink"/>
                <w:rFonts w:cs="Arial"/>
                <w:noProof/>
              </w:rPr>
              <w:t>Chapter 4: Methods and methodology</w:t>
            </w:r>
            <w:r>
              <w:rPr>
                <w:noProof/>
                <w:webHidden/>
              </w:rPr>
              <w:tab/>
            </w:r>
            <w:r>
              <w:rPr>
                <w:noProof/>
                <w:webHidden/>
              </w:rPr>
              <w:fldChar w:fldCharType="begin"/>
            </w:r>
            <w:r>
              <w:rPr>
                <w:noProof/>
                <w:webHidden/>
              </w:rPr>
              <w:instrText xml:space="preserve"> PAGEREF _Toc223348840 \h </w:instrText>
            </w:r>
            <w:r>
              <w:rPr>
                <w:noProof/>
                <w:webHidden/>
              </w:rPr>
            </w:r>
            <w:r>
              <w:rPr>
                <w:noProof/>
                <w:webHidden/>
              </w:rPr>
              <w:fldChar w:fldCharType="separate"/>
            </w:r>
            <w:r w:rsidR="008446AA">
              <w:rPr>
                <w:noProof/>
                <w:webHidden/>
              </w:rPr>
              <w:t>57</w:t>
            </w:r>
            <w:r>
              <w:rPr>
                <w:noProof/>
                <w:webHidden/>
              </w:rPr>
              <w:fldChar w:fldCharType="end"/>
            </w:r>
          </w:hyperlink>
        </w:p>
        <w:p w14:paraId="20373D34" w14:textId="4434614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41" w:history="1">
            <w:r w:rsidRPr="00A95D78">
              <w:rPr>
                <w:rStyle w:val="Hyperlink"/>
                <w:rFonts w:ascii="Arial" w:hAnsi="Arial" w:cs="Arial"/>
                <w:noProof/>
              </w:rPr>
              <w:t>4.1 Research design</w:t>
            </w:r>
            <w:r>
              <w:rPr>
                <w:noProof/>
                <w:webHidden/>
              </w:rPr>
              <w:tab/>
            </w:r>
            <w:r>
              <w:rPr>
                <w:noProof/>
                <w:webHidden/>
              </w:rPr>
              <w:fldChar w:fldCharType="begin"/>
            </w:r>
            <w:r>
              <w:rPr>
                <w:noProof/>
                <w:webHidden/>
              </w:rPr>
              <w:instrText xml:space="preserve"> PAGEREF _Toc223348841 \h </w:instrText>
            </w:r>
            <w:r>
              <w:rPr>
                <w:noProof/>
                <w:webHidden/>
              </w:rPr>
            </w:r>
            <w:r>
              <w:rPr>
                <w:noProof/>
                <w:webHidden/>
              </w:rPr>
              <w:fldChar w:fldCharType="separate"/>
            </w:r>
            <w:r w:rsidR="008446AA">
              <w:rPr>
                <w:noProof/>
                <w:webHidden/>
              </w:rPr>
              <w:t>57</w:t>
            </w:r>
            <w:r>
              <w:rPr>
                <w:noProof/>
                <w:webHidden/>
              </w:rPr>
              <w:fldChar w:fldCharType="end"/>
            </w:r>
          </w:hyperlink>
        </w:p>
        <w:p w14:paraId="0233C604" w14:textId="5EA37B0F"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42" w:history="1">
            <w:r w:rsidRPr="00A95D78">
              <w:rPr>
                <w:rStyle w:val="Hyperlink"/>
                <w:rFonts w:ascii="Arial" w:hAnsi="Arial" w:cs="Arial"/>
                <w:noProof/>
              </w:rPr>
              <w:t>4.2 Selection of data set</w:t>
            </w:r>
            <w:r>
              <w:rPr>
                <w:noProof/>
                <w:webHidden/>
              </w:rPr>
              <w:tab/>
            </w:r>
            <w:r>
              <w:rPr>
                <w:noProof/>
                <w:webHidden/>
              </w:rPr>
              <w:fldChar w:fldCharType="begin"/>
            </w:r>
            <w:r>
              <w:rPr>
                <w:noProof/>
                <w:webHidden/>
              </w:rPr>
              <w:instrText xml:space="preserve"> PAGEREF _Toc223348842 \h </w:instrText>
            </w:r>
            <w:r>
              <w:rPr>
                <w:noProof/>
                <w:webHidden/>
              </w:rPr>
            </w:r>
            <w:r>
              <w:rPr>
                <w:noProof/>
                <w:webHidden/>
              </w:rPr>
              <w:fldChar w:fldCharType="separate"/>
            </w:r>
            <w:r w:rsidR="008446AA">
              <w:rPr>
                <w:noProof/>
                <w:webHidden/>
              </w:rPr>
              <w:t>58</w:t>
            </w:r>
            <w:r>
              <w:rPr>
                <w:noProof/>
                <w:webHidden/>
              </w:rPr>
              <w:fldChar w:fldCharType="end"/>
            </w:r>
          </w:hyperlink>
        </w:p>
        <w:p w14:paraId="17403DEE" w14:textId="7754186D"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43" w:history="1">
            <w:r w:rsidRPr="00A95D78">
              <w:rPr>
                <w:rStyle w:val="Hyperlink"/>
                <w:rFonts w:ascii="Arial" w:hAnsi="Arial" w:cs="Arial"/>
                <w:noProof/>
              </w:rPr>
              <w:t>4.2.1 Sites</w:t>
            </w:r>
            <w:r>
              <w:rPr>
                <w:noProof/>
                <w:webHidden/>
              </w:rPr>
              <w:tab/>
            </w:r>
            <w:r>
              <w:rPr>
                <w:noProof/>
                <w:webHidden/>
              </w:rPr>
              <w:fldChar w:fldCharType="begin"/>
            </w:r>
            <w:r>
              <w:rPr>
                <w:noProof/>
                <w:webHidden/>
              </w:rPr>
              <w:instrText xml:space="preserve"> PAGEREF _Toc223348843 \h </w:instrText>
            </w:r>
            <w:r>
              <w:rPr>
                <w:noProof/>
                <w:webHidden/>
              </w:rPr>
            </w:r>
            <w:r>
              <w:rPr>
                <w:noProof/>
                <w:webHidden/>
              </w:rPr>
              <w:fldChar w:fldCharType="separate"/>
            </w:r>
            <w:r w:rsidR="008446AA">
              <w:rPr>
                <w:noProof/>
                <w:webHidden/>
              </w:rPr>
              <w:t>58</w:t>
            </w:r>
            <w:r>
              <w:rPr>
                <w:noProof/>
                <w:webHidden/>
              </w:rPr>
              <w:fldChar w:fldCharType="end"/>
            </w:r>
          </w:hyperlink>
        </w:p>
        <w:p w14:paraId="169488F7" w14:textId="7A8CED1E"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44" w:history="1">
            <w:r w:rsidRPr="00A95D78">
              <w:rPr>
                <w:rStyle w:val="Hyperlink"/>
                <w:rFonts w:ascii="Arial" w:hAnsi="Arial" w:cs="Arial"/>
                <w:noProof/>
              </w:rPr>
              <w:t>4.2.2 Timing</w:t>
            </w:r>
            <w:r>
              <w:rPr>
                <w:noProof/>
                <w:webHidden/>
              </w:rPr>
              <w:tab/>
            </w:r>
            <w:r>
              <w:rPr>
                <w:noProof/>
                <w:webHidden/>
              </w:rPr>
              <w:fldChar w:fldCharType="begin"/>
            </w:r>
            <w:r>
              <w:rPr>
                <w:noProof/>
                <w:webHidden/>
              </w:rPr>
              <w:instrText xml:space="preserve"> PAGEREF _Toc223348844 \h </w:instrText>
            </w:r>
            <w:r>
              <w:rPr>
                <w:noProof/>
                <w:webHidden/>
              </w:rPr>
            </w:r>
            <w:r>
              <w:rPr>
                <w:noProof/>
                <w:webHidden/>
              </w:rPr>
              <w:fldChar w:fldCharType="separate"/>
            </w:r>
            <w:r w:rsidR="008446AA">
              <w:rPr>
                <w:noProof/>
                <w:webHidden/>
              </w:rPr>
              <w:t>60</w:t>
            </w:r>
            <w:r>
              <w:rPr>
                <w:noProof/>
                <w:webHidden/>
              </w:rPr>
              <w:fldChar w:fldCharType="end"/>
            </w:r>
          </w:hyperlink>
        </w:p>
        <w:p w14:paraId="5B572A5F" w14:textId="1FC270BF"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45" w:history="1">
            <w:r w:rsidRPr="00A95D78">
              <w:rPr>
                <w:rStyle w:val="Hyperlink"/>
                <w:rFonts w:ascii="Arial" w:hAnsi="Arial" w:cs="Arial"/>
                <w:noProof/>
              </w:rPr>
              <w:t>4.2.3 Participants</w:t>
            </w:r>
            <w:r>
              <w:rPr>
                <w:noProof/>
                <w:webHidden/>
              </w:rPr>
              <w:tab/>
            </w:r>
            <w:r>
              <w:rPr>
                <w:noProof/>
                <w:webHidden/>
              </w:rPr>
              <w:fldChar w:fldCharType="begin"/>
            </w:r>
            <w:r>
              <w:rPr>
                <w:noProof/>
                <w:webHidden/>
              </w:rPr>
              <w:instrText xml:space="preserve"> PAGEREF _Toc223348845 \h </w:instrText>
            </w:r>
            <w:r>
              <w:rPr>
                <w:noProof/>
                <w:webHidden/>
              </w:rPr>
            </w:r>
            <w:r>
              <w:rPr>
                <w:noProof/>
                <w:webHidden/>
              </w:rPr>
              <w:fldChar w:fldCharType="separate"/>
            </w:r>
            <w:r w:rsidR="008446AA">
              <w:rPr>
                <w:noProof/>
                <w:webHidden/>
              </w:rPr>
              <w:t>61</w:t>
            </w:r>
            <w:r>
              <w:rPr>
                <w:noProof/>
                <w:webHidden/>
              </w:rPr>
              <w:fldChar w:fldCharType="end"/>
            </w:r>
          </w:hyperlink>
        </w:p>
        <w:p w14:paraId="3A0152A8" w14:textId="2A5A2B91"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46" w:history="1">
            <w:r w:rsidRPr="00A95D78">
              <w:rPr>
                <w:rStyle w:val="Hyperlink"/>
                <w:rFonts w:ascii="Arial" w:hAnsi="Arial" w:cs="Arial"/>
                <w:noProof/>
              </w:rPr>
              <w:t>4.3 Data collection methods</w:t>
            </w:r>
            <w:r>
              <w:rPr>
                <w:noProof/>
                <w:webHidden/>
              </w:rPr>
              <w:tab/>
            </w:r>
            <w:r>
              <w:rPr>
                <w:noProof/>
                <w:webHidden/>
              </w:rPr>
              <w:fldChar w:fldCharType="begin"/>
            </w:r>
            <w:r>
              <w:rPr>
                <w:noProof/>
                <w:webHidden/>
              </w:rPr>
              <w:instrText xml:space="preserve"> PAGEREF _Toc223348846 \h </w:instrText>
            </w:r>
            <w:r>
              <w:rPr>
                <w:noProof/>
                <w:webHidden/>
              </w:rPr>
            </w:r>
            <w:r>
              <w:rPr>
                <w:noProof/>
                <w:webHidden/>
              </w:rPr>
              <w:fldChar w:fldCharType="separate"/>
            </w:r>
            <w:r w:rsidR="008446AA">
              <w:rPr>
                <w:noProof/>
                <w:webHidden/>
              </w:rPr>
              <w:t>63</w:t>
            </w:r>
            <w:r>
              <w:rPr>
                <w:noProof/>
                <w:webHidden/>
              </w:rPr>
              <w:fldChar w:fldCharType="end"/>
            </w:r>
          </w:hyperlink>
        </w:p>
        <w:p w14:paraId="5FCCD032" w14:textId="7EBA9D11"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47" w:history="1">
            <w:r w:rsidRPr="00A95D78">
              <w:rPr>
                <w:rStyle w:val="Hyperlink"/>
                <w:rFonts w:ascii="Arial" w:hAnsi="Arial" w:cs="Arial"/>
                <w:noProof/>
              </w:rPr>
              <w:t>4.3.1 Semi-structured interviews</w:t>
            </w:r>
            <w:r>
              <w:rPr>
                <w:noProof/>
                <w:webHidden/>
              </w:rPr>
              <w:tab/>
            </w:r>
            <w:r>
              <w:rPr>
                <w:noProof/>
                <w:webHidden/>
              </w:rPr>
              <w:fldChar w:fldCharType="begin"/>
            </w:r>
            <w:r>
              <w:rPr>
                <w:noProof/>
                <w:webHidden/>
              </w:rPr>
              <w:instrText xml:space="preserve"> PAGEREF _Toc223348847 \h </w:instrText>
            </w:r>
            <w:r>
              <w:rPr>
                <w:noProof/>
                <w:webHidden/>
              </w:rPr>
            </w:r>
            <w:r>
              <w:rPr>
                <w:noProof/>
                <w:webHidden/>
              </w:rPr>
              <w:fldChar w:fldCharType="separate"/>
            </w:r>
            <w:r w:rsidR="008446AA">
              <w:rPr>
                <w:noProof/>
                <w:webHidden/>
              </w:rPr>
              <w:t>63</w:t>
            </w:r>
            <w:r>
              <w:rPr>
                <w:noProof/>
                <w:webHidden/>
              </w:rPr>
              <w:fldChar w:fldCharType="end"/>
            </w:r>
          </w:hyperlink>
        </w:p>
        <w:p w14:paraId="4F5BEDD9" w14:textId="24C440EB"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48" w:history="1">
            <w:r w:rsidRPr="00A95D78">
              <w:rPr>
                <w:rStyle w:val="Hyperlink"/>
                <w:rFonts w:ascii="Arial" w:hAnsi="Arial" w:cs="Arial"/>
                <w:noProof/>
              </w:rPr>
              <w:t>4.3.2 Design of interview questions</w:t>
            </w:r>
            <w:r>
              <w:rPr>
                <w:noProof/>
                <w:webHidden/>
              </w:rPr>
              <w:tab/>
            </w:r>
            <w:r>
              <w:rPr>
                <w:noProof/>
                <w:webHidden/>
              </w:rPr>
              <w:fldChar w:fldCharType="begin"/>
            </w:r>
            <w:r>
              <w:rPr>
                <w:noProof/>
                <w:webHidden/>
              </w:rPr>
              <w:instrText xml:space="preserve"> PAGEREF _Toc223348848 \h </w:instrText>
            </w:r>
            <w:r>
              <w:rPr>
                <w:noProof/>
                <w:webHidden/>
              </w:rPr>
            </w:r>
            <w:r>
              <w:rPr>
                <w:noProof/>
                <w:webHidden/>
              </w:rPr>
              <w:fldChar w:fldCharType="separate"/>
            </w:r>
            <w:r w:rsidR="008446AA">
              <w:rPr>
                <w:noProof/>
                <w:webHidden/>
              </w:rPr>
              <w:t>64</w:t>
            </w:r>
            <w:r>
              <w:rPr>
                <w:noProof/>
                <w:webHidden/>
              </w:rPr>
              <w:fldChar w:fldCharType="end"/>
            </w:r>
          </w:hyperlink>
        </w:p>
        <w:p w14:paraId="14C075F3" w14:textId="1F36787D"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49" w:history="1">
            <w:r w:rsidRPr="00A95D78">
              <w:rPr>
                <w:rStyle w:val="Hyperlink"/>
                <w:rFonts w:ascii="Arial" w:hAnsi="Arial" w:cs="Arial"/>
                <w:noProof/>
              </w:rPr>
              <w:t>4.4 Data analysis</w:t>
            </w:r>
            <w:r>
              <w:rPr>
                <w:noProof/>
                <w:webHidden/>
              </w:rPr>
              <w:tab/>
            </w:r>
            <w:r>
              <w:rPr>
                <w:noProof/>
                <w:webHidden/>
              </w:rPr>
              <w:fldChar w:fldCharType="begin"/>
            </w:r>
            <w:r>
              <w:rPr>
                <w:noProof/>
                <w:webHidden/>
              </w:rPr>
              <w:instrText xml:space="preserve"> PAGEREF _Toc223348849 \h </w:instrText>
            </w:r>
            <w:r>
              <w:rPr>
                <w:noProof/>
                <w:webHidden/>
              </w:rPr>
            </w:r>
            <w:r>
              <w:rPr>
                <w:noProof/>
                <w:webHidden/>
              </w:rPr>
              <w:fldChar w:fldCharType="separate"/>
            </w:r>
            <w:r w:rsidR="008446AA">
              <w:rPr>
                <w:noProof/>
                <w:webHidden/>
              </w:rPr>
              <w:t>65</w:t>
            </w:r>
            <w:r>
              <w:rPr>
                <w:noProof/>
                <w:webHidden/>
              </w:rPr>
              <w:fldChar w:fldCharType="end"/>
            </w:r>
          </w:hyperlink>
        </w:p>
        <w:p w14:paraId="3679B622" w14:textId="64F8AE35"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50" w:history="1">
            <w:r w:rsidRPr="00A95D78">
              <w:rPr>
                <w:rStyle w:val="Hyperlink"/>
                <w:rFonts w:ascii="Arial" w:hAnsi="Arial" w:cs="Arial"/>
                <w:noProof/>
              </w:rPr>
              <w:t>4.5 Ethical considerations and protections</w:t>
            </w:r>
            <w:r>
              <w:rPr>
                <w:noProof/>
                <w:webHidden/>
              </w:rPr>
              <w:tab/>
            </w:r>
            <w:r>
              <w:rPr>
                <w:noProof/>
                <w:webHidden/>
              </w:rPr>
              <w:fldChar w:fldCharType="begin"/>
            </w:r>
            <w:r>
              <w:rPr>
                <w:noProof/>
                <w:webHidden/>
              </w:rPr>
              <w:instrText xml:space="preserve"> PAGEREF _Toc223348850 \h </w:instrText>
            </w:r>
            <w:r>
              <w:rPr>
                <w:noProof/>
                <w:webHidden/>
              </w:rPr>
            </w:r>
            <w:r>
              <w:rPr>
                <w:noProof/>
                <w:webHidden/>
              </w:rPr>
              <w:fldChar w:fldCharType="separate"/>
            </w:r>
            <w:r w:rsidR="008446AA">
              <w:rPr>
                <w:noProof/>
                <w:webHidden/>
              </w:rPr>
              <w:t>67</w:t>
            </w:r>
            <w:r>
              <w:rPr>
                <w:noProof/>
                <w:webHidden/>
              </w:rPr>
              <w:fldChar w:fldCharType="end"/>
            </w:r>
          </w:hyperlink>
        </w:p>
        <w:p w14:paraId="764CFB6F" w14:textId="3A935A97"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51" w:history="1">
            <w:r w:rsidRPr="00A95D78">
              <w:rPr>
                <w:rStyle w:val="Hyperlink"/>
                <w:rFonts w:ascii="Arial" w:hAnsi="Arial" w:cs="Arial"/>
                <w:noProof/>
              </w:rPr>
              <w:t>4.5.1 Ethical protections</w:t>
            </w:r>
            <w:r>
              <w:rPr>
                <w:noProof/>
                <w:webHidden/>
              </w:rPr>
              <w:tab/>
            </w:r>
            <w:r>
              <w:rPr>
                <w:noProof/>
                <w:webHidden/>
              </w:rPr>
              <w:fldChar w:fldCharType="begin"/>
            </w:r>
            <w:r>
              <w:rPr>
                <w:noProof/>
                <w:webHidden/>
              </w:rPr>
              <w:instrText xml:space="preserve"> PAGEREF _Toc223348851 \h </w:instrText>
            </w:r>
            <w:r>
              <w:rPr>
                <w:noProof/>
                <w:webHidden/>
              </w:rPr>
            </w:r>
            <w:r>
              <w:rPr>
                <w:noProof/>
                <w:webHidden/>
              </w:rPr>
              <w:fldChar w:fldCharType="separate"/>
            </w:r>
            <w:r w:rsidR="008446AA">
              <w:rPr>
                <w:noProof/>
                <w:webHidden/>
              </w:rPr>
              <w:t>68</w:t>
            </w:r>
            <w:r>
              <w:rPr>
                <w:noProof/>
                <w:webHidden/>
              </w:rPr>
              <w:fldChar w:fldCharType="end"/>
            </w:r>
          </w:hyperlink>
        </w:p>
        <w:p w14:paraId="0256BD4D" w14:textId="24930525"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52" w:history="1">
            <w:r w:rsidRPr="00A95D78">
              <w:rPr>
                <w:rStyle w:val="Hyperlink"/>
                <w:rFonts w:ascii="Arial" w:hAnsi="Arial" w:cs="Arial"/>
                <w:noProof/>
              </w:rPr>
              <w:t>4.6 Concluding comments</w:t>
            </w:r>
            <w:r>
              <w:rPr>
                <w:noProof/>
                <w:webHidden/>
              </w:rPr>
              <w:tab/>
            </w:r>
            <w:r>
              <w:rPr>
                <w:noProof/>
                <w:webHidden/>
              </w:rPr>
              <w:fldChar w:fldCharType="begin"/>
            </w:r>
            <w:r>
              <w:rPr>
                <w:noProof/>
                <w:webHidden/>
              </w:rPr>
              <w:instrText xml:space="preserve"> PAGEREF _Toc223348852 \h </w:instrText>
            </w:r>
            <w:r>
              <w:rPr>
                <w:noProof/>
                <w:webHidden/>
              </w:rPr>
            </w:r>
            <w:r>
              <w:rPr>
                <w:noProof/>
                <w:webHidden/>
              </w:rPr>
              <w:fldChar w:fldCharType="separate"/>
            </w:r>
            <w:r w:rsidR="008446AA">
              <w:rPr>
                <w:noProof/>
                <w:webHidden/>
              </w:rPr>
              <w:t>68</w:t>
            </w:r>
            <w:r>
              <w:rPr>
                <w:noProof/>
                <w:webHidden/>
              </w:rPr>
              <w:fldChar w:fldCharType="end"/>
            </w:r>
          </w:hyperlink>
        </w:p>
        <w:p w14:paraId="54A8DCB5" w14:textId="264677F7"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53" w:history="1">
            <w:r w:rsidRPr="00A95D78">
              <w:rPr>
                <w:rStyle w:val="Hyperlink"/>
                <w:rFonts w:cs="Arial"/>
                <w:noProof/>
              </w:rPr>
              <w:t>Chapter 5: Recontextualising legal knowledge: The official recontextualising field</w:t>
            </w:r>
            <w:r>
              <w:rPr>
                <w:noProof/>
                <w:webHidden/>
              </w:rPr>
              <w:tab/>
            </w:r>
            <w:r>
              <w:rPr>
                <w:noProof/>
                <w:webHidden/>
              </w:rPr>
              <w:fldChar w:fldCharType="begin"/>
            </w:r>
            <w:r>
              <w:rPr>
                <w:noProof/>
                <w:webHidden/>
              </w:rPr>
              <w:instrText xml:space="preserve"> PAGEREF _Toc223348853 \h </w:instrText>
            </w:r>
            <w:r>
              <w:rPr>
                <w:noProof/>
                <w:webHidden/>
              </w:rPr>
            </w:r>
            <w:r>
              <w:rPr>
                <w:noProof/>
                <w:webHidden/>
              </w:rPr>
              <w:fldChar w:fldCharType="separate"/>
            </w:r>
            <w:r w:rsidR="008446AA">
              <w:rPr>
                <w:noProof/>
                <w:webHidden/>
              </w:rPr>
              <w:t>69</w:t>
            </w:r>
            <w:r>
              <w:rPr>
                <w:noProof/>
                <w:webHidden/>
              </w:rPr>
              <w:fldChar w:fldCharType="end"/>
            </w:r>
          </w:hyperlink>
        </w:p>
        <w:p w14:paraId="6D27EC43" w14:textId="39968BC3"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54" w:history="1">
            <w:r w:rsidRPr="00A95D78">
              <w:rPr>
                <w:rStyle w:val="Hyperlink"/>
                <w:rFonts w:ascii="Arial" w:hAnsi="Arial" w:cs="Arial"/>
                <w:noProof/>
              </w:rPr>
              <w:t>5.1 Overview</w:t>
            </w:r>
            <w:r>
              <w:rPr>
                <w:noProof/>
                <w:webHidden/>
              </w:rPr>
              <w:tab/>
            </w:r>
            <w:r>
              <w:rPr>
                <w:noProof/>
                <w:webHidden/>
              </w:rPr>
              <w:fldChar w:fldCharType="begin"/>
            </w:r>
            <w:r>
              <w:rPr>
                <w:noProof/>
                <w:webHidden/>
              </w:rPr>
              <w:instrText xml:space="preserve"> PAGEREF _Toc223348854 \h </w:instrText>
            </w:r>
            <w:r>
              <w:rPr>
                <w:noProof/>
                <w:webHidden/>
              </w:rPr>
            </w:r>
            <w:r>
              <w:rPr>
                <w:noProof/>
                <w:webHidden/>
              </w:rPr>
              <w:fldChar w:fldCharType="separate"/>
            </w:r>
            <w:r w:rsidR="008446AA">
              <w:rPr>
                <w:noProof/>
                <w:webHidden/>
              </w:rPr>
              <w:t>69</w:t>
            </w:r>
            <w:r>
              <w:rPr>
                <w:noProof/>
                <w:webHidden/>
              </w:rPr>
              <w:fldChar w:fldCharType="end"/>
            </w:r>
          </w:hyperlink>
        </w:p>
        <w:p w14:paraId="2F9FB563" w14:textId="49101055"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55" w:history="1">
            <w:r w:rsidRPr="00A95D78">
              <w:rPr>
                <w:rStyle w:val="Hyperlink"/>
                <w:rFonts w:ascii="Arial" w:hAnsi="Arial" w:cs="Arial"/>
                <w:noProof/>
              </w:rPr>
              <w:t>5.2 The official recontextualising field</w:t>
            </w:r>
            <w:r>
              <w:rPr>
                <w:noProof/>
                <w:webHidden/>
              </w:rPr>
              <w:tab/>
            </w:r>
            <w:r>
              <w:rPr>
                <w:noProof/>
                <w:webHidden/>
              </w:rPr>
              <w:fldChar w:fldCharType="begin"/>
            </w:r>
            <w:r>
              <w:rPr>
                <w:noProof/>
                <w:webHidden/>
              </w:rPr>
              <w:instrText xml:space="preserve"> PAGEREF _Toc223348855 \h </w:instrText>
            </w:r>
            <w:r>
              <w:rPr>
                <w:noProof/>
                <w:webHidden/>
              </w:rPr>
            </w:r>
            <w:r>
              <w:rPr>
                <w:noProof/>
                <w:webHidden/>
              </w:rPr>
              <w:fldChar w:fldCharType="separate"/>
            </w:r>
            <w:r w:rsidR="008446AA">
              <w:rPr>
                <w:noProof/>
                <w:webHidden/>
              </w:rPr>
              <w:t>70</w:t>
            </w:r>
            <w:r>
              <w:rPr>
                <w:noProof/>
                <w:webHidden/>
              </w:rPr>
              <w:fldChar w:fldCharType="end"/>
            </w:r>
          </w:hyperlink>
        </w:p>
        <w:p w14:paraId="1CFE51F0" w14:textId="6769C66E"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56" w:history="1">
            <w:r w:rsidRPr="00A95D78">
              <w:rPr>
                <w:rStyle w:val="Hyperlink"/>
                <w:rFonts w:ascii="Arial" w:hAnsi="Arial" w:cs="Arial"/>
                <w:noProof/>
              </w:rPr>
              <w:t>5.2.1 The professional regulatory bodies</w:t>
            </w:r>
            <w:r>
              <w:rPr>
                <w:noProof/>
                <w:webHidden/>
              </w:rPr>
              <w:tab/>
            </w:r>
            <w:r>
              <w:rPr>
                <w:noProof/>
                <w:webHidden/>
              </w:rPr>
              <w:fldChar w:fldCharType="begin"/>
            </w:r>
            <w:r>
              <w:rPr>
                <w:noProof/>
                <w:webHidden/>
              </w:rPr>
              <w:instrText xml:space="preserve"> PAGEREF _Toc223348856 \h </w:instrText>
            </w:r>
            <w:r>
              <w:rPr>
                <w:noProof/>
                <w:webHidden/>
              </w:rPr>
            </w:r>
            <w:r>
              <w:rPr>
                <w:noProof/>
                <w:webHidden/>
              </w:rPr>
              <w:fldChar w:fldCharType="separate"/>
            </w:r>
            <w:r w:rsidR="008446AA">
              <w:rPr>
                <w:noProof/>
                <w:webHidden/>
              </w:rPr>
              <w:t>71</w:t>
            </w:r>
            <w:r>
              <w:rPr>
                <w:noProof/>
                <w:webHidden/>
              </w:rPr>
              <w:fldChar w:fldCharType="end"/>
            </w:r>
          </w:hyperlink>
        </w:p>
        <w:p w14:paraId="639A15CA" w14:textId="55B9BDF8"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57" w:history="1">
            <w:r w:rsidRPr="00A95D78">
              <w:rPr>
                <w:rStyle w:val="Hyperlink"/>
                <w:rFonts w:ascii="Arial" w:hAnsi="Arial" w:cs="Arial"/>
                <w:noProof/>
              </w:rPr>
              <w:t>5.2.2 Reflections on change</w:t>
            </w:r>
            <w:r>
              <w:rPr>
                <w:noProof/>
                <w:webHidden/>
              </w:rPr>
              <w:tab/>
            </w:r>
            <w:r>
              <w:rPr>
                <w:noProof/>
                <w:webHidden/>
              </w:rPr>
              <w:fldChar w:fldCharType="begin"/>
            </w:r>
            <w:r>
              <w:rPr>
                <w:noProof/>
                <w:webHidden/>
              </w:rPr>
              <w:instrText xml:space="preserve"> PAGEREF _Toc223348857 \h </w:instrText>
            </w:r>
            <w:r>
              <w:rPr>
                <w:noProof/>
                <w:webHidden/>
              </w:rPr>
            </w:r>
            <w:r>
              <w:rPr>
                <w:noProof/>
                <w:webHidden/>
              </w:rPr>
              <w:fldChar w:fldCharType="separate"/>
            </w:r>
            <w:r w:rsidR="008446AA">
              <w:rPr>
                <w:noProof/>
                <w:webHidden/>
              </w:rPr>
              <w:t>73</w:t>
            </w:r>
            <w:r>
              <w:rPr>
                <w:noProof/>
                <w:webHidden/>
              </w:rPr>
              <w:fldChar w:fldCharType="end"/>
            </w:r>
          </w:hyperlink>
        </w:p>
        <w:p w14:paraId="2942C9AA" w14:textId="59D8EDC1"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58" w:history="1">
            <w:r w:rsidRPr="00A95D78">
              <w:rPr>
                <w:rStyle w:val="Hyperlink"/>
                <w:rFonts w:ascii="Arial" w:hAnsi="Arial" w:cs="Arial"/>
                <w:noProof/>
              </w:rPr>
              <w:t>5.2.3 The state</w:t>
            </w:r>
            <w:r>
              <w:rPr>
                <w:noProof/>
                <w:webHidden/>
              </w:rPr>
              <w:tab/>
            </w:r>
            <w:r>
              <w:rPr>
                <w:noProof/>
                <w:webHidden/>
              </w:rPr>
              <w:fldChar w:fldCharType="begin"/>
            </w:r>
            <w:r>
              <w:rPr>
                <w:noProof/>
                <w:webHidden/>
              </w:rPr>
              <w:instrText xml:space="preserve"> PAGEREF _Toc223348858 \h </w:instrText>
            </w:r>
            <w:r>
              <w:rPr>
                <w:noProof/>
                <w:webHidden/>
              </w:rPr>
            </w:r>
            <w:r>
              <w:rPr>
                <w:noProof/>
                <w:webHidden/>
              </w:rPr>
              <w:fldChar w:fldCharType="separate"/>
            </w:r>
            <w:r w:rsidR="008446AA">
              <w:rPr>
                <w:noProof/>
                <w:webHidden/>
              </w:rPr>
              <w:t>80</w:t>
            </w:r>
            <w:r>
              <w:rPr>
                <w:noProof/>
                <w:webHidden/>
              </w:rPr>
              <w:fldChar w:fldCharType="end"/>
            </w:r>
          </w:hyperlink>
        </w:p>
        <w:p w14:paraId="023F4C17" w14:textId="35B85C58"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59" w:history="1">
            <w:r w:rsidRPr="00A95D78">
              <w:rPr>
                <w:rStyle w:val="Hyperlink"/>
                <w:rFonts w:ascii="Arial" w:hAnsi="Arial" w:cs="Arial"/>
                <w:noProof/>
              </w:rPr>
              <w:t>5.3 Conclusion</w:t>
            </w:r>
            <w:r>
              <w:rPr>
                <w:noProof/>
                <w:webHidden/>
              </w:rPr>
              <w:tab/>
            </w:r>
            <w:r>
              <w:rPr>
                <w:noProof/>
                <w:webHidden/>
              </w:rPr>
              <w:fldChar w:fldCharType="begin"/>
            </w:r>
            <w:r>
              <w:rPr>
                <w:noProof/>
                <w:webHidden/>
              </w:rPr>
              <w:instrText xml:space="preserve"> PAGEREF _Toc223348859 \h </w:instrText>
            </w:r>
            <w:r>
              <w:rPr>
                <w:noProof/>
                <w:webHidden/>
              </w:rPr>
            </w:r>
            <w:r>
              <w:rPr>
                <w:noProof/>
                <w:webHidden/>
              </w:rPr>
              <w:fldChar w:fldCharType="separate"/>
            </w:r>
            <w:r w:rsidR="008446AA">
              <w:rPr>
                <w:noProof/>
                <w:webHidden/>
              </w:rPr>
              <w:t>82</w:t>
            </w:r>
            <w:r>
              <w:rPr>
                <w:noProof/>
                <w:webHidden/>
              </w:rPr>
              <w:fldChar w:fldCharType="end"/>
            </w:r>
          </w:hyperlink>
        </w:p>
        <w:p w14:paraId="5156ACDA" w14:textId="3B957B0C"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60" w:history="1">
            <w:r w:rsidRPr="00A95D78">
              <w:rPr>
                <w:rStyle w:val="Hyperlink"/>
                <w:rFonts w:cs="Arial"/>
                <w:noProof/>
                <w:lang w:val="fr-FR"/>
              </w:rPr>
              <w:t>Chapter 6: The pedagogic recontextualising field: The agents</w:t>
            </w:r>
            <w:r>
              <w:rPr>
                <w:noProof/>
                <w:webHidden/>
              </w:rPr>
              <w:tab/>
            </w:r>
            <w:r>
              <w:rPr>
                <w:noProof/>
                <w:webHidden/>
              </w:rPr>
              <w:fldChar w:fldCharType="begin"/>
            </w:r>
            <w:r>
              <w:rPr>
                <w:noProof/>
                <w:webHidden/>
              </w:rPr>
              <w:instrText xml:space="preserve"> PAGEREF _Toc223348860 \h </w:instrText>
            </w:r>
            <w:r>
              <w:rPr>
                <w:noProof/>
                <w:webHidden/>
              </w:rPr>
            </w:r>
            <w:r>
              <w:rPr>
                <w:noProof/>
                <w:webHidden/>
              </w:rPr>
              <w:fldChar w:fldCharType="separate"/>
            </w:r>
            <w:r w:rsidR="008446AA">
              <w:rPr>
                <w:noProof/>
                <w:webHidden/>
              </w:rPr>
              <w:t>85</w:t>
            </w:r>
            <w:r>
              <w:rPr>
                <w:noProof/>
                <w:webHidden/>
              </w:rPr>
              <w:fldChar w:fldCharType="end"/>
            </w:r>
          </w:hyperlink>
        </w:p>
        <w:p w14:paraId="0531FE45" w14:textId="066DC93C"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1" w:history="1">
            <w:r w:rsidRPr="00A95D78">
              <w:rPr>
                <w:rStyle w:val="Hyperlink"/>
                <w:rFonts w:ascii="Arial" w:hAnsi="Arial" w:cs="Arial"/>
                <w:noProof/>
                <w:lang w:val="fr-FR"/>
              </w:rPr>
              <w:t>6.1 The impact of the ORF on the PRF</w:t>
            </w:r>
            <w:r>
              <w:rPr>
                <w:noProof/>
                <w:webHidden/>
              </w:rPr>
              <w:tab/>
            </w:r>
            <w:r>
              <w:rPr>
                <w:noProof/>
                <w:webHidden/>
              </w:rPr>
              <w:fldChar w:fldCharType="begin"/>
            </w:r>
            <w:r>
              <w:rPr>
                <w:noProof/>
                <w:webHidden/>
              </w:rPr>
              <w:instrText xml:space="preserve"> PAGEREF _Toc223348861 \h </w:instrText>
            </w:r>
            <w:r>
              <w:rPr>
                <w:noProof/>
                <w:webHidden/>
              </w:rPr>
            </w:r>
            <w:r>
              <w:rPr>
                <w:noProof/>
                <w:webHidden/>
              </w:rPr>
              <w:fldChar w:fldCharType="separate"/>
            </w:r>
            <w:r w:rsidR="008446AA">
              <w:rPr>
                <w:noProof/>
                <w:webHidden/>
              </w:rPr>
              <w:t>85</w:t>
            </w:r>
            <w:r>
              <w:rPr>
                <w:noProof/>
                <w:webHidden/>
              </w:rPr>
              <w:fldChar w:fldCharType="end"/>
            </w:r>
          </w:hyperlink>
        </w:p>
        <w:p w14:paraId="69F443BA" w14:textId="3D15533D"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2" w:history="1">
            <w:r w:rsidRPr="00A95D78">
              <w:rPr>
                <w:rStyle w:val="Hyperlink"/>
                <w:rFonts w:ascii="Arial" w:hAnsi="Arial" w:cs="Arial"/>
                <w:noProof/>
              </w:rPr>
              <w:t>6.2 Agents in the PRF</w:t>
            </w:r>
            <w:r>
              <w:rPr>
                <w:noProof/>
                <w:webHidden/>
              </w:rPr>
              <w:tab/>
            </w:r>
            <w:r>
              <w:rPr>
                <w:noProof/>
                <w:webHidden/>
              </w:rPr>
              <w:fldChar w:fldCharType="begin"/>
            </w:r>
            <w:r>
              <w:rPr>
                <w:noProof/>
                <w:webHidden/>
              </w:rPr>
              <w:instrText xml:space="preserve"> PAGEREF _Toc223348862 \h </w:instrText>
            </w:r>
            <w:r>
              <w:rPr>
                <w:noProof/>
                <w:webHidden/>
              </w:rPr>
            </w:r>
            <w:r>
              <w:rPr>
                <w:noProof/>
                <w:webHidden/>
              </w:rPr>
              <w:fldChar w:fldCharType="separate"/>
            </w:r>
            <w:r w:rsidR="008446AA">
              <w:rPr>
                <w:noProof/>
                <w:webHidden/>
              </w:rPr>
              <w:t>86</w:t>
            </w:r>
            <w:r>
              <w:rPr>
                <w:noProof/>
                <w:webHidden/>
              </w:rPr>
              <w:fldChar w:fldCharType="end"/>
            </w:r>
          </w:hyperlink>
        </w:p>
        <w:p w14:paraId="5AD72C48" w14:textId="53E92385"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63" w:history="1">
            <w:r w:rsidRPr="00A95D78">
              <w:rPr>
                <w:rStyle w:val="Hyperlink"/>
                <w:rFonts w:ascii="Arial" w:hAnsi="Arial" w:cs="Arial"/>
                <w:noProof/>
              </w:rPr>
              <w:t>6.2.1 The university</w:t>
            </w:r>
            <w:r>
              <w:rPr>
                <w:noProof/>
                <w:webHidden/>
              </w:rPr>
              <w:tab/>
            </w:r>
            <w:r>
              <w:rPr>
                <w:noProof/>
                <w:webHidden/>
              </w:rPr>
              <w:fldChar w:fldCharType="begin"/>
            </w:r>
            <w:r>
              <w:rPr>
                <w:noProof/>
                <w:webHidden/>
              </w:rPr>
              <w:instrText xml:space="preserve"> PAGEREF _Toc223348863 \h </w:instrText>
            </w:r>
            <w:r>
              <w:rPr>
                <w:noProof/>
                <w:webHidden/>
              </w:rPr>
            </w:r>
            <w:r>
              <w:rPr>
                <w:noProof/>
                <w:webHidden/>
              </w:rPr>
              <w:fldChar w:fldCharType="separate"/>
            </w:r>
            <w:r w:rsidR="008446AA">
              <w:rPr>
                <w:noProof/>
                <w:webHidden/>
              </w:rPr>
              <w:t>88</w:t>
            </w:r>
            <w:r>
              <w:rPr>
                <w:noProof/>
                <w:webHidden/>
              </w:rPr>
              <w:fldChar w:fldCharType="end"/>
            </w:r>
          </w:hyperlink>
        </w:p>
        <w:p w14:paraId="0BCAADB6" w14:textId="73216118"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64" w:history="1">
            <w:r w:rsidRPr="00A95D78">
              <w:rPr>
                <w:rStyle w:val="Hyperlink"/>
                <w:rFonts w:ascii="Arial" w:hAnsi="Arial" w:cs="Arial"/>
                <w:noProof/>
              </w:rPr>
              <w:t>6.2.2 The academic community’s split identity</w:t>
            </w:r>
            <w:r>
              <w:rPr>
                <w:noProof/>
                <w:webHidden/>
              </w:rPr>
              <w:tab/>
            </w:r>
            <w:r>
              <w:rPr>
                <w:noProof/>
                <w:webHidden/>
              </w:rPr>
              <w:fldChar w:fldCharType="begin"/>
            </w:r>
            <w:r>
              <w:rPr>
                <w:noProof/>
                <w:webHidden/>
              </w:rPr>
              <w:instrText xml:space="preserve"> PAGEREF _Toc223348864 \h </w:instrText>
            </w:r>
            <w:r>
              <w:rPr>
                <w:noProof/>
                <w:webHidden/>
              </w:rPr>
            </w:r>
            <w:r>
              <w:rPr>
                <w:noProof/>
                <w:webHidden/>
              </w:rPr>
              <w:fldChar w:fldCharType="separate"/>
            </w:r>
            <w:r w:rsidR="008446AA">
              <w:rPr>
                <w:noProof/>
                <w:webHidden/>
              </w:rPr>
              <w:t>90</w:t>
            </w:r>
            <w:r>
              <w:rPr>
                <w:noProof/>
                <w:webHidden/>
              </w:rPr>
              <w:fldChar w:fldCharType="end"/>
            </w:r>
          </w:hyperlink>
        </w:p>
        <w:p w14:paraId="7976D3A4" w14:textId="4F4ED3D8"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5" w:history="1">
            <w:r w:rsidRPr="00A95D78">
              <w:rPr>
                <w:rStyle w:val="Hyperlink"/>
                <w:rFonts w:ascii="Arial" w:hAnsi="Arial" w:cs="Arial"/>
                <w:noProof/>
              </w:rPr>
              <w:t>6.3 The students</w:t>
            </w:r>
            <w:r>
              <w:rPr>
                <w:noProof/>
                <w:webHidden/>
              </w:rPr>
              <w:tab/>
            </w:r>
            <w:r>
              <w:rPr>
                <w:noProof/>
                <w:webHidden/>
              </w:rPr>
              <w:fldChar w:fldCharType="begin"/>
            </w:r>
            <w:r>
              <w:rPr>
                <w:noProof/>
                <w:webHidden/>
              </w:rPr>
              <w:instrText xml:space="preserve"> PAGEREF _Toc223348865 \h </w:instrText>
            </w:r>
            <w:r>
              <w:rPr>
                <w:noProof/>
                <w:webHidden/>
              </w:rPr>
            </w:r>
            <w:r>
              <w:rPr>
                <w:noProof/>
                <w:webHidden/>
              </w:rPr>
              <w:fldChar w:fldCharType="separate"/>
            </w:r>
            <w:r w:rsidR="008446AA">
              <w:rPr>
                <w:noProof/>
                <w:webHidden/>
              </w:rPr>
              <w:t>95</w:t>
            </w:r>
            <w:r>
              <w:rPr>
                <w:noProof/>
                <w:webHidden/>
              </w:rPr>
              <w:fldChar w:fldCharType="end"/>
            </w:r>
          </w:hyperlink>
        </w:p>
        <w:p w14:paraId="5EA22114" w14:textId="144A0DD5"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6" w:history="1">
            <w:r w:rsidRPr="00A95D78">
              <w:rPr>
                <w:rStyle w:val="Hyperlink"/>
                <w:rFonts w:ascii="Arial" w:hAnsi="Arial" w:cs="Arial"/>
                <w:noProof/>
              </w:rPr>
              <w:t>6.4 The relationship between the university and the academic community</w:t>
            </w:r>
            <w:r>
              <w:rPr>
                <w:noProof/>
                <w:webHidden/>
              </w:rPr>
              <w:tab/>
            </w:r>
            <w:r>
              <w:rPr>
                <w:noProof/>
                <w:webHidden/>
              </w:rPr>
              <w:fldChar w:fldCharType="begin"/>
            </w:r>
            <w:r>
              <w:rPr>
                <w:noProof/>
                <w:webHidden/>
              </w:rPr>
              <w:instrText xml:space="preserve"> PAGEREF _Toc223348866 \h </w:instrText>
            </w:r>
            <w:r>
              <w:rPr>
                <w:noProof/>
                <w:webHidden/>
              </w:rPr>
            </w:r>
            <w:r>
              <w:rPr>
                <w:noProof/>
                <w:webHidden/>
              </w:rPr>
              <w:fldChar w:fldCharType="separate"/>
            </w:r>
            <w:r w:rsidR="008446AA">
              <w:rPr>
                <w:noProof/>
                <w:webHidden/>
              </w:rPr>
              <w:t>95</w:t>
            </w:r>
            <w:r>
              <w:rPr>
                <w:noProof/>
                <w:webHidden/>
              </w:rPr>
              <w:fldChar w:fldCharType="end"/>
            </w:r>
          </w:hyperlink>
        </w:p>
        <w:p w14:paraId="0CDBE8B1" w14:textId="66BF5C4A"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7" w:history="1">
            <w:r w:rsidRPr="00A95D78">
              <w:rPr>
                <w:rStyle w:val="Hyperlink"/>
                <w:rFonts w:ascii="Arial" w:hAnsi="Arial" w:cs="Arial"/>
                <w:noProof/>
              </w:rPr>
              <w:t>6.5 Conclusion</w:t>
            </w:r>
            <w:r>
              <w:rPr>
                <w:noProof/>
                <w:webHidden/>
              </w:rPr>
              <w:tab/>
            </w:r>
            <w:r>
              <w:rPr>
                <w:noProof/>
                <w:webHidden/>
              </w:rPr>
              <w:fldChar w:fldCharType="begin"/>
            </w:r>
            <w:r>
              <w:rPr>
                <w:noProof/>
                <w:webHidden/>
              </w:rPr>
              <w:instrText xml:space="preserve"> PAGEREF _Toc223348867 \h </w:instrText>
            </w:r>
            <w:r>
              <w:rPr>
                <w:noProof/>
                <w:webHidden/>
              </w:rPr>
            </w:r>
            <w:r>
              <w:rPr>
                <w:noProof/>
                <w:webHidden/>
              </w:rPr>
              <w:fldChar w:fldCharType="separate"/>
            </w:r>
            <w:r w:rsidR="008446AA">
              <w:rPr>
                <w:noProof/>
                <w:webHidden/>
              </w:rPr>
              <w:t>97</w:t>
            </w:r>
            <w:r>
              <w:rPr>
                <w:noProof/>
                <w:webHidden/>
              </w:rPr>
              <w:fldChar w:fldCharType="end"/>
            </w:r>
          </w:hyperlink>
        </w:p>
        <w:p w14:paraId="6B7A7B68" w14:textId="19D39DCB"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68" w:history="1">
            <w:r w:rsidRPr="00A95D78">
              <w:rPr>
                <w:rStyle w:val="Hyperlink"/>
                <w:rFonts w:cs="Arial"/>
                <w:noProof/>
                <w:lang w:val="fr-FR"/>
              </w:rPr>
              <w:t>Chapter 7: The pedagogic recontextualising field and the disciplinary impact</w:t>
            </w:r>
            <w:r>
              <w:rPr>
                <w:noProof/>
                <w:webHidden/>
              </w:rPr>
              <w:tab/>
            </w:r>
            <w:r>
              <w:rPr>
                <w:noProof/>
                <w:webHidden/>
              </w:rPr>
              <w:fldChar w:fldCharType="begin"/>
            </w:r>
            <w:r>
              <w:rPr>
                <w:noProof/>
                <w:webHidden/>
              </w:rPr>
              <w:instrText xml:space="preserve"> PAGEREF _Toc223348868 \h </w:instrText>
            </w:r>
            <w:r>
              <w:rPr>
                <w:noProof/>
                <w:webHidden/>
              </w:rPr>
            </w:r>
            <w:r>
              <w:rPr>
                <w:noProof/>
                <w:webHidden/>
              </w:rPr>
              <w:fldChar w:fldCharType="separate"/>
            </w:r>
            <w:r w:rsidR="008446AA">
              <w:rPr>
                <w:noProof/>
                <w:webHidden/>
              </w:rPr>
              <w:t>100</w:t>
            </w:r>
            <w:r>
              <w:rPr>
                <w:noProof/>
                <w:webHidden/>
              </w:rPr>
              <w:fldChar w:fldCharType="end"/>
            </w:r>
          </w:hyperlink>
        </w:p>
        <w:p w14:paraId="54DD2BF5" w14:textId="06435A8E"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69" w:history="1">
            <w:r w:rsidRPr="00A95D78">
              <w:rPr>
                <w:rStyle w:val="Hyperlink"/>
                <w:rFonts w:ascii="Arial" w:hAnsi="Arial" w:cs="Arial"/>
                <w:noProof/>
                <w:lang w:val="fr-FR"/>
              </w:rPr>
              <w:t>7.1 Inter-disciplinary approaches</w:t>
            </w:r>
            <w:r>
              <w:rPr>
                <w:noProof/>
                <w:webHidden/>
              </w:rPr>
              <w:tab/>
            </w:r>
            <w:r>
              <w:rPr>
                <w:noProof/>
                <w:webHidden/>
              </w:rPr>
              <w:fldChar w:fldCharType="begin"/>
            </w:r>
            <w:r>
              <w:rPr>
                <w:noProof/>
                <w:webHidden/>
              </w:rPr>
              <w:instrText xml:space="preserve"> PAGEREF _Toc223348869 \h </w:instrText>
            </w:r>
            <w:r>
              <w:rPr>
                <w:noProof/>
                <w:webHidden/>
              </w:rPr>
            </w:r>
            <w:r>
              <w:rPr>
                <w:noProof/>
                <w:webHidden/>
              </w:rPr>
              <w:fldChar w:fldCharType="separate"/>
            </w:r>
            <w:r w:rsidR="008446AA">
              <w:rPr>
                <w:noProof/>
                <w:webHidden/>
              </w:rPr>
              <w:t>103</w:t>
            </w:r>
            <w:r>
              <w:rPr>
                <w:noProof/>
                <w:webHidden/>
              </w:rPr>
              <w:fldChar w:fldCharType="end"/>
            </w:r>
          </w:hyperlink>
        </w:p>
        <w:p w14:paraId="43EC347D" w14:textId="4AFA5C2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70" w:history="1">
            <w:r w:rsidRPr="00A95D78">
              <w:rPr>
                <w:rStyle w:val="Hyperlink"/>
                <w:rFonts w:ascii="Arial" w:hAnsi="Arial" w:cs="Arial"/>
                <w:noProof/>
              </w:rPr>
              <w:t>7.2 A liberal arts or vocational degree</w:t>
            </w:r>
            <w:r>
              <w:rPr>
                <w:noProof/>
                <w:webHidden/>
              </w:rPr>
              <w:tab/>
            </w:r>
            <w:r>
              <w:rPr>
                <w:noProof/>
                <w:webHidden/>
              </w:rPr>
              <w:fldChar w:fldCharType="begin"/>
            </w:r>
            <w:r>
              <w:rPr>
                <w:noProof/>
                <w:webHidden/>
              </w:rPr>
              <w:instrText xml:space="preserve"> PAGEREF _Toc223348870 \h </w:instrText>
            </w:r>
            <w:r>
              <w:rPr>
                <w:noProof/>
                <w:webHidden/>
              </w:rPr>
            </w:r>
            <w:r>
              <w:rPr>
                <w:noProof/>
                <w:webHidden/>
              </w:rPr>
              <w:fldChar w:fldCharType="separate"/>
            </w:r>
            <w:r w:rsidR="008446AA">
              <w:rPr>
                <w:noProof/>
                <w:webHidden/>
              </w:rPr>
              <w:t>105</w:t>
            </w:r>
            <w:r>
              <w:rPr>
                <w:noProof/>
                <w:webHidden/>
              </w:rPr>
              <w:fldChar w:fldCharType="end"/>
            </w:r>
          </w:hyperlink>
        </w:p>
        <w:p w14:paraId="57A67B1F" w14:textId="6589EAA9"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71" w:history="1">
            <w:r w:rsidRPr="00A95D78">
              <w:rPr>
                <w:rStyle w:val="Hyperlink"/>
                <w:rFonts w:ascii="Arial" w:hAnsi="Arial" w:cs="Arial"/>
                <w:noProof/>
              </w:rPr>
              <w:t>7.2.1 A liberal arts law degree</w:t>
            </w:r>
            <w:r>
              <w:rPr>
                <w:noProof/>
                <w:webHidden/>
              </w:rPr>
              <w:tab/>
            </w:r>
            <w:r>
              <w:rPr>
                <w:noProof/>
                <w:webHidden/>
              </w:rPr>
              <w:fldChar w:fldCharType="begin"/>
            </w:r>
            <w:r>
              <w:rPr>
                <w:noProof/>
                <w:webHidden/>
              </w:rPr>
              <w:instrText xml:space="preserve"> PAGEREF _Toc223348871 \h </w:instrText>
            </w:r>
            <w:r>
              <w:rPr>
                <w:noProof/>
                <w:webHidden/>
              </w:rPr>
            </w:r>
            <w:r>
              <w:rPr>
                <w:noProof/>
                <w:webHidden/>
              </w:rPr>
              <w:fldChar w:fldCharType="separate"/>
            </w:r>
            <w:r w:rsidR="008446AA">
              <w:rPr>
                <w:noProof/>
                <w:webHidden/>
              </w:rPr>
              <w:t>105</w:t>
            </w:r>
            <w:r>
              <w:rPr>
                <w:noProof/>
                <w:webHidden/>
              </w:rPr>
              <w:fldChar w:fldCharType="end"/>
            </w:r>
          </w:hyperlink>
        </w:p>
        <w:p w14:paraId="28CE3AB1" w14:textId="48D17E3E"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72" w:history="1">
            <w:r w:rsidRPr="00A95D78">
              <w:rPr>
                <w:rStyle w:val="Hyperlink"/>
                <w:rFonts w:ascii="Arial" w:hAnsi="Arial" w:cs="Arial"/>
                <w:noProof/>
              </w:rPr>
              <w:t>7.2.2 A vocational degree</w:t>
            </w:r>
            <w:r>
              <w:rPr>
                <w:noProof/>
                <w:webHidden/>
              </w:rPr>
              <w:tab/>
            </w:r>
            <w:r>
              <w:rPr>
                <w:noProof/>
                <w:webHidden/>
              </w:rPr>
              <w:fldChar w:fldCharType="begin"/>
            </w:r>
            <w:r>
              <w:rPr>
                <w:noProof/>
                <w:webHidden/>
              </w:rPr>
              <w:instrText xml:space="preserve"> PAGEREF _Toc223348872 \h </w:instrText>
            </w:r>
            <w:r>
              <w:rPr>
                <w:noProof/>
                <w:webHidden/>
              </w:rPr>
            </w:r>
            <w:r>
              <w:rPr>
                <w:noProof/>
                <w:webHidden/>
              </w:rPr>
              <w:fldChar w:fldCharType="separate"/>
            </w:r>
            <w:r w:rsidR="008446AA">
              <w:rPr>
                <w:noProof/>
                <w:webHidden/>
              </w:rPr>
              <w:t>108</w:t>
            </w:r>
            <w:r>
              <w:rPr>
                <w:noProof/>
                <w:webHidden/>
              </w:rPr>
              <w:fldChar w:fldCharType="end"/>
            </w:r>
          </w:hyperlink>
        </w:p>
        <w:p w14:paraId="0AAE5765" w14:textId="117060F2"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73" w:history="1">
            <w:r w:rsidRPr="00A95D78">
              <w:rPr>
                <w:rStyle w:val="Hyperlink"/>
                <w:rFonts w:ascii="Arial" w:hAnsi="Arial" w:cs="Arial"/>
                <w:noProof/>
              </w:rPr>
              <w:t>7.3 Programme content</w:t>
            </w:r>
            <w:r>
              <w:rPr>
                <w:noProof/>
                <w:webHidden/>
              </w:rPr>
              <w:tab/>
            </w:r>
            <w:r>
              <w:rPr>
                <w:noProof/>
                <w:webHidden/>
              </w:rPr>
              <w:fldChar w:fldCharType="begin"/>
            </w:r>
            <w:r>
              <w:rPr>
                <w:noProof/>
                <w:webHidden/>
              </w:rPr>
              <w:instrText xml:space="preserve"> PAGEREF _Toc223348873 \h </w:instrText>
            </w:r>
            <w:r>
              <w:rPr>
                <w:noProof/>
                <w:webHidden/>
              </w:rPr>
            </w:r>
            <w:r>
              <w:rPr>
                <w:noProof/>
                <w:webHidden/>
              </w:rPr>
              <w:fldChar w:fldCharType="separate"/>
            </w:r>
            <w:r w:rsidR="008446AA">
              <w:rPr>
                <w:noProof/>
                <w:webHidden/>
              </w:rPr>
              <w:t>114</w:t>
            </w:r>
            <w:r>
              <w:rPr>
                <w:noProof/>
                <w:webHidden/>
              </w:rPr>
              <w:fldChar w:fldCharType="end"/>
            </w:r>
          </w:hyperlink>
        </w:p>
        <w:p w14:paraId="5D5B6EEB" w14:textId="0B6E0930"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74" w:history="1">
            <w:r w:rsidRPr="00A95D78">
              <w:rPr>
                <w:rStyle w:val="Hyperlink"/>
                <w:rFonts w:ascii="Arial" w:hAnsi="Arial" w:cs="Arial"/>
                <w:noProof/>
              </w:rPr>
              <w:t>7.3.1 The foundations of legal knowledge</w:t>
            </w:r>
            <w:r>
              <w:rPr>
                <w:noProof/>
                <w:webHidden/>
              </w:rPr>
              <w:tab/>
            </w:r>
            <w:r>
              <w:rPr>
                <w:noProof/>
                <w:webHidden/>
              </w:rPr>
              <w:fldChar w:fldCharType="begin"/>
            </w:r>
            <w:r>
              <w:rPr>
                <w:noProof/>
                <w:webHidden/>
              </w:rPr>
              <w:instrText xml:space="preserve"> PAGEREF _Toc223348874 \h </w:instrText>
            </w:r>
            <w:r>
              <w:rPr>
                <w:noProof/>
                <w:webHidden/>
              </w:rPr>
            </w:r>
            <w:r>
              <w:rPr>
                <w:noProof/>
                <w:webHidden/>
              </w:rPr>
              <w:fldChar w:fldCharType="separate"/>
            </w:r>
            <w:r w:rsidR="008446AA">
              <w:rPr>
                <w:noProof/>
                <w:webHidden/>
              </w:rPr>
              <w:t>114</w:t>
            </w:r>
            <w:r>
              <w:rPr>
                <w:noProof/>
                <w:webHidden/>
              </w:rPr>
              <w:fldChar w:fldCharType="end"/>
            </w:r>
          </w:hyperlink>
        </w:p>
        <w:p w14:paraId="17BB142D" w14:textId="5587A26F"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75" w:history="1">
            <w:r w:rsidRPr="00A95D78">
              <w:rPr>
                <w:rStyle w:val="Hyperlink"/>
                <w:rFonts w:ascii="Arial" w:hAnsi="Arial" w:cs="Arial"/>
                <w:noProof/>
              </w:rPr>
              <w:t>7.3.2 Optionality</w:t>
            </w:r>
            <w:r>
              <w:rPr>
                <w:noProof/>
                <w:webHidden/>
              </w:rPr>
              <w:tab/>
            </w:r>
            <w:r>
              <w:rPr>
                <w:noProof/>
                <w:webHidden/>
              </w:rPr>
              <w:fldChar w:fldCharType="begin"/>
            </w:r>
            <w:r>
              <w:rPr>
                <w:noProof/>
                <w:webHidden/>
              </w:rPr>
              <w:instrText xml:space="preserve"> PAGEREF _Toc223348875 \h </w:instrText>
            </w:r>
            <w:r>
              <w:rPr>
                <w:noProof/>
                <w:webHidden/>
              </w:rPr>
            </w:r>
            <w:r>
              <w:rPr>
                <w:noProof/>
                <w:webHidden/>
              </w:rPr>
              <w:fldChar w:fldCharType="separate"/>
            </w:r>
            <w:r w:rsidR="008446AA">
              <w:rPr>
                <w:noProof/>
                <w:webHidden/>
              </w:rPr>
              <w:t>116</w:t>
            </w:r>
            <w:r>
              <w:rPr>
                <w:noProof/>
                <w:webHidden/>
              </w:rPr>
              <w:fldChar w:fldCharType="end"/>
            </w:r>
          </w:hyperlink>
        </w:p>
        <w:p w14:paraId="7F01BDEA" w14:textId="7D94179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76" w:history="1">
            <w:r w:rsidRPr="00A95D78">
              <w:rPr>
                <w:rStyle w:val="Hyperlink"/>
                <w:rFonts w:ascii="Arial" w:hAnsi="Arial" w:cs="Arial"/>
                <w:noProof/>
              </w:rPr>
              <w:t>7.4 Module content</w:t>
            </w:r>
            <w:r>
              <w:rPr>
                <w:noProof/>
                <w:webHidden/>
              </w:rPr>
              <w:tab/>
            </w:r>
            <w:r>
              <w:rPr>
                <w:noProof/>
                <w:webHidden/>
              </w:rPr>
              <w:fldChar w:fldCharType="begin"/>
            </w:r>
            <w:r>
              <w:rPr>
                <w:noProof/>
                <w:webHidden/>
              </w:rPr>
              <w:instrText xml:space="preserve"> PAGEREF _Toc223348876 \h </w:instrText>
            </w:r>
            <w:r>
              <w:rPr>
                <w:noProof/>
                <w:webHidden/>
              </w:rPr>
            </w:r>
            <w:r>
              <w:rPr>
                <w:noProof/>
                <w:webHidden/>
              </w:rPr>
              <w:fldChar w:fldCharType="separate"/>
            </w:r>
            <w:r w:rsidR="008446AA">
              <w:rPr>
                <w:noProof/>
                <w:webHidden/>
              </w:rPr>
              <w:t>120</w:t>
            </w:r>
            <w:r>
              <w:rPr>
                <w:noProof/>
                <w:webHidden/>
              </w:rPr>
              <w:fldChar w:fldCharType="end"/>
            </w:r>
          </w:hyperlink>
        </w:p>
        <w:p w14:paraId="00DFA35C" w14:textId="3108DFC5"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77" w:history="1">
            <w:r w:rsidRPr="00A95D78">
              <w:rPr>
                <w:rStyle w:val="Hyperlink"/>
                <w:rFonts w:ascii="Arial" w:hAnsi="Arial" w:cs="Arial"/>
                <w:noProof/>
              </w:rPr>
              <w:t>7.5 Conclusion</w:t>
            </w:r>
            <w:r>
              <w:rPr>
                <w:noProof/>
                <w:webHidden/>
              </w:rPr>
              <w:tab/>
            </w:r>
            <w:r>
              <w:rPr>
                <w:noProof/>
                <w:webHidden/>
              </w:rPr>
              <w:fldChar w:fldCharType="begin"/>
            </w:r>
            <w:r>
              <w:rPr>
                <w:noProof/>
                <w:webHidden/>
              </w:rPr>
              <w:instrText xml:space="preserve"> PAGEREF _Toc223348877 \h </w:instrText>
            </w:r>
            <w:r>
              <w:rPr>
                <w:noProof/>
                <w:webHidden/>
              </w:rPr>
            </w:r>
            <w:r>
              <w:rPr>
                <w:noProof/>
                <w:webHidden/>
              </w:rPr>
              <w:fldChar w:fldCharType="separate"/>
            </w:r>
            <w:r w:rsidR="008446AA">
              <w:rPr>
                <w:noProof/>
                <w:webHidden/>
              </w:rPr>
              <w:t>125</w:t>
            </w:r>
            <w:r>
              <w:rPr>
                <w:noProof/>
                <w:webHidden/>
              </w:rPr>
              <w:fldChar w:fldCharType="end"/>
            </w:r>
          </w:hyperlink>
        </w:p>
        <w:p w14:paraId="1E8AC2E3" w14:textId="2DEAC759"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78" w:history="1">
            <w:r w:rsidRPr="00A95D78">
              <w:rPr>
                <w:rStyle w:val="Hyperlink"/>
                <w:rFonts w:cs="Arial"/>
                <w:noProof/>
                <w:lang w:val="fr-FR"/>
              </w:rPr>
              <w:t>Chapter 8: The PRF and non and cross-disciplinary impact</w:t>
            </w:r>
            <w:r>
              <w:rPr>
                <w:noProof/>
                <w:webHidden/>
              </w:rPr>
              <w:tab/>
            </w:r>
            <w:r>
              <w:rPr>
                <w:noProof/>
                <w:webHidden/>
              </w:rPr>
              <w:fldChar w:fldCharType="begin"/>
            </w:r>
            <w:r>
              <w:rPr>
                <w:noProof/>
                <w:webHidden/>
              </w:rPr>
              <w:instrText xml:space="preserve"> PAGEREF _Toc223348878 \h </w:instrText>
            </w:r>
            <w:r>
              <w:rPr>
                <w:noProof/>
                <w:webHidden/>
              </w:rPr>
            </w:r>
            <w:r>
              <w:rPr>
                <w:noProof/>
                <w:webHidden/>
              </w:rPr>
              <w:fldChar w:fldCharType="separate"/>
            </w:r>
            <w:r w:rsidR="008446AA">
              <w:rPr>
                <w:noProof/>
                <w:webHidden/>
              </w:rPr>
              <w:t>126</w:t>
            </w:r>
            <w:r>
              <w:rPr>
                <w:noProof/>
                <w:webHidden/>
              </w:rPr>
              <w:fldChar w:fldCharType="end"/>
            </w:r>
          </w:hyperlink>
        </w:p>
        <w:p w14:paraId="4C63365D" w14:textId="2EE19C39"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79" w:history="1">
            <w:r w:rsidRPr="00A95D78">
              <w:rPr>
                <w:rStyle w:val="Hyperlink"/>
                <w:rFonts w:ascii="Arial" w:hAnsi="Arial" w:cs="Arial"/>
                <w:noProof/>
                <w:lang w:val="fr-FR"/>
              </w:rPr>
              <w:t>8.1 Non-disciplinary impact: The skills agenda</w:t>
            </w:r>
            <w:r>
              <w:rPr>
                <w:noProof/>
                <w:webHidden/>
              </w:rPr>
              <w:tab/>
            </w:r>
            <w:r>
              <w:rPr>
                <w:noProof/>
                <w:webHidden/>
              </w:rPr>
              <w:fldChar w:fldCharType="begin"/>
            </w:r>
            <w:r>
              <w:rPr>
                <w:noProof/>
                <w:webHidden/>
              </w:rPr>
              <w:instrText xml:space="preserve"> PAGEREF _Toc223348879 \h </w:instrText>
            </w:r>
            <w:r>
              <w:rPr>
                <w:noProof/>
                <w:webHidden/>
              </w:rPr>
            </w:r>
            <w:r>
              <w:rPr>
                <w:noProof/>
                <w:webHidden/>
              </w:rPr>
              <w:fldChar w:fldCharType="separate"/>
            </w:r>
            <w:r w:rsidR="008446AA">
              <w:rPr>
                <w:noProof/>
                <w:webHidden/>
              </w:rPr>
              <w:t>128</w:t>
            </w:r>
            <w:r>
              <w:rPr>
                <w:noProof/>
                <w:webHidden/>
              </w:rPr>
              <w:fldChar w:fldCharType="end"/>
            </w:r>
          </w:hyperlink>
        </w:p>
        <w:p w14:paraId="15296019" w14:textId="5F59DBB2"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0" w:history="1">
            <w:r w:rsidRPr="00A95D78">
              <w:rPr>
                <w:rStyle w:val="Hyperlink"/>
                <w:rFonts w:ascii="Arial" w:hAnsi="Arial" w:cs="Arial"/>
                <w:noProof/>
              </w:rPr>
              <w:t>8.2 Non-disciplinary impact: Employab</w:t>
            </w:r>
            <w:r w:rsidRPr="00A95D78">
              <w:rPr>
                <w:rStyle w:val="Hyperlink"/>
                <w:rFonts w:ascii="Arial" w:hAnsi="Arial" w:cs="Arial"/>
                <w:noProof/>
              </w:rPr>
              <w:t>i</w:t>
            </w:r>
            <w:r w:rsidRPr="00A95D78">
              <w:rPr>
                <w:rStyle w:val="Hyperlink"/>
                <w:rFonts w:ascii="Arial" w:hAnsi="Arial" w:cs="Arial"/>
                <w:noProof/>
              </w:rPr>
              <w:t>lity</w:t>
            </w:r>
            <w:r>
              <w:rPr>
                <w:noProof/>
                <w:webHidden/>
              </w:rPr>
              <w:tab/>
            </w:r>
            <w:r>
              <w:rPr>
                <w:noProof/>
                <w:webHidden/>
              </w:rPr>
              <w:fldChar w:fldCharType="begin"/>
            </w:r>
            <w:r>
              <w:rPr>
                <w:noProof/>
                <w:webHidden/>
              </w:rPr>
              <w:instrText xml:space="preserve"> PAGEREF _Toc223348880 \h </w:instrText>
            </w:r>
            <w:r>
              <w:rPr>
                <w:noProof/>
                <w:webHidden/>
              </w:rPr>
            </w:r>
            <w:r>
              <w:rPr>
                <w:noProof/>
                <w:webHidden/>
              </w:rPr>
              <w:fldChar w:fldCharType="separate"/>
            </w:r>
            <w:r w:rsidR="008446AA">
              <w:rPr>
                <w:noProof/>
                <w:webHidden/>
              </w:rPr>
              <w:t>132</w:t>
            </w:r>
            <w:r>
              <w:rPr>
                <w:noProof/>
                <w:webHidden/>
              </w:rPr>
              <w:fldChar w:fldCharType="end"/>
            </w:r>
          </w:hyperlink>
        </w:p>
        <w:p w14:paraId="6F5853D4" w14:textId="74A66D77"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1" w:history="1">
            <w:r w:rsidRPr="00A95D78">
              <w:rPr>
                <w:rStyle w:val="Hyperlink"/>
                <w:rFonts w:ascii="Arial" w:hAnsi="Arial" w:cs="Arial"/>
                <w:noProof/>
              </w:rPr>
              <w:t>8.3 Non-Disciplinary: Framing</w:t>
            </w:r>
            <w:r>
              <w:rPr>
                <w:noProof/>
                <w:webHidden/>
              </w:rPr>
              <w:tab/>
            </w:r>
            <w:r>
              <w:rPr>
                <w:noProof/>
                <w:webHidden/>
              </w:rPr>
              <w:fldChar w:fldCharType="begin"/>
            </w:r>
            <w:r>
              <w:rPr>
                <w:noProof/>
                <w:webHidden/>
              </w:rPr>
              <w:instrText xml:space="preserve"> PAGEREF _Toc223348881 \h </w:instrText>
            </w:r>
            <w:r>
              <w:rPr>
                <w:noProof/>
                <w:webHidden/>
              </w:rPr>
            </w:r>
            <w:r>
              <w:rPr>
                <w:noProof/>
                <w:webHidden/>
              </w:rPr>
              <w:fldChar w:fldCharType="separate"/>
            </w:r>
            <w:r w:rsidR="008446AA">
              <w:rPr>
                <w:noProof/>
                <w:webHidden/>
              </w:rPr>
              <w:t>136</w:t>
            </w:r>
            <w:r>
              <w:rPr>
                <w:noProof/>
                <w:webHidden/>
              </w:rPr>
              <w:fldChar w:fldCharType="end"/>
            </w:r>
          </w:hyperlink>
        </w:p>
        <w:p w14:paraId="2A94E76D" w14:textId="4FAC1A5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2" w:history="1">
            <w:r w:rsidRPr="00A95D78">
              <w:rPr>
                <w:rStyle w:val="Hyperlink"/>
                <w:rFonts w:ascii="Arial" w:hAnsi="Arial" w:cs="Arial"/>
                <w:noProof/>
              </w:rPr>
              <w:t>8.4 Cross-discipline and non-discipline programme level classification and framing</w:t>
            </w:r>
            <w:r>
              <w:rPr>
                <w:noProof/>
                <w:webHidden/>
              </w:rPr>
              <w:tab/>
            </w:r>
            <w:r>
              <w:rPr>
                <w:noProof/>
                <w:webHidden/>
              </w:rPr>
              <w:fldChar w:fldCharType="begin"/>
            </w:r>
            <w:r>
              <w:rPr>
                <w:noProof/>
                <w:webHidden/>
              </w:rPr>
              <w:instrText xml:space="preserve"> PAGEREF _Toc223348882 \h </w:instrText>
            </w:r>
            <w:r>
              <w:rPr>
                <w:noProof/>
                <w:webHidden/>
              </w:rPr>
            </w:r>
            <w:r>
              <w:rPr>
                <w:noProof/>
                <w:webHidden/>
              </w:rPr>
              <w:fldChar w:fldCharType="separate"/>
            </w:r>
            <w:r w:rsidR="008446AA">
              <w:rPr>
                <w:noProof/>
                <w:webHidden/>
              </w:rPr>
              <w:t>138</w:t>
            </w:r>
            <w:r>
              <w:rPr>
                <w:noProof/>
                <w:webHidden/>
              </w:rPr>
              <w:fldChar w:fldCharType="end"/>
            </w:r>
          </w:hyperlink>
        </w:p>
        <w:p w14:paraId="2D7EFA5E" w14:textId="2506C635" w:rsidR="00306A4F" w:rsidRDefault="00306A4F">
          <w:pPr>
            <w:pStyle w:val="TOC3"/>
            <w:tabs>
              <w:tab w:val="right" w:leader="dot" w:pos="8467"/>
            </w:tabs>
            <w:rPr>
              <w:rFonts w:asciiTheme="minorHAnsi" w:eastAsiaTheme="minorEastAsia" w:hAnsiTheme="minorHAnsi" w:cstheme="minorBidi"/>
              <w:noProof/>
              <w:kern w:val="2"/>
              <w:sz w:val="24"/>
              <w:szCs w:val="24"/>
              <w14:ligatures w14:val="standardContextual"/>
            </w:rPr>
          </w:pPr>
          <w:hyperlink w:anchor="_Toc223348883" w:history="1">
            <w:r w:rsidRPr="00A95D78">
              <w:rPr>
                <w:rStyle w:val="Hyperlink"/>
                <w:rFonts w:ascii="Arial" w:hAnsi="Arial" w:cs="Arial"/>
                <w:noProof/>
              </w:rPr>
              <w:t>8.4.1 The problem of space</w:t>
            </w:r>
            <w:r>
              <w:rPr>
                <w:noProof/>
                <w:webHidden/>
              </w:rPr>
              <w:tab/>
            </w:r>
            <w:r>
              <w:rPr>
                <w:noProof/>
                <w:webHidden/>
              </w:rPr>
              <w:fldChar w:fldCharType="begin"/>
            </w:r>
            <w:r>
              <w:rPr>
                <w:noProof/>
                <w:webHidden/>
              </w:rPr>
              <w:instrText xml:space="preserve"> PAGEREF _Toc223348883 \h </w:instrText>
            </w:r>
            <w:r>
              <w:rPr>
                <w:noProof/>
                <w:webHidden/>
              </w:rPr>
            </w:r>
            <w:r>
              <w:rPr>
                <w:noProof/>
                <w:webHidden/>
              </w:rPr>
              <w:fldChar w:fldCharType="separate"/>
            </w:r>
            <w:r w:rsidR="008446AA">
              <w:rPr>
                <w:noProof/>
                <w:webHidden/>
              </w:rPr>
              <w:t>138</w:t>
            </w:r>
            <w:r>
              <w:rPr>
                <w:noProof/>
                <w:webHidden/>
              </w:rPr>
              <w:fldChar w:fldCharType="end"/>
            </w:r>
          </w:hyperlink>
        </w:p>
        <w:p w14:paraId="7B57C3B5" w14:textId="4F3AB933"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4" w:history="1">
            <w:r w:rsidRPr="00A95D78">
              <w:rPr>
                <w:rStyle w:val="Hyperlink"/>
                <w:rFonts w:ascii="Arial" w:hAnsi="Arial" w:cs="Arial"/>
                <w:noProof/>
              </w:rPr>
              <w:t>8.5 Concluding observations</w:t>
            </w:r>
            <w:r>
              <w:rPr>
                <w:noProof/>
                <w:webHidden/>
              </w:rPr>
              <w:tab/>
            </w:r>
            <w:r>
              <w:rPr>
                <w:noProof/>
                <w:webHidden/>
              </w:rPr>
              <w:fldChar w:fldCharType="begin"/>
            </w:r>
            <w:r>
              <w:rPr>
                <w:noProof/>
                <w:webHidden/>
              </w:rPr>
              <w:instrText xml:space="preserve"> PAGEREF _Toc223348884 \h </w:instrText>
            </w:r>
            <w:r>
              <w:rPr>
                <w:noProof/>
                <w:webHidden/>
              </w:rPr>
            </w:r>
            <w:r>
              <w:rPr>
                <w:noProof/>
                <w:webHidden/>
              </w:rPr>
              <w:fldChar w:fldCharType="separate"/>
            </w:r>
            <w:r w:rsidR="008446AA">
              <w:rPr>
                <w:noProof/>
                <w:webHidden/>
              </w:rPr>
              <w:t>144</w:t>
            </w:r>
            <w:r>
              <w:rPr>
                <w:noProof/>
                <w:webHidden/>
              </w:rPr>
              <w:fldChar w:fldCharType="end"/>
            </w:r>
          </w:hyperlink>
        </w:p>
        <w:p w14:paraId="70FBF59B" w14:textId="12F98E6F"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85" w:history="1">
            <w:r w:rsidRPr="00A95D78">
              <w:rPr>
                <w:rStyle w:val="Hyperlink"/>
                <w:noProof/>
              </w:rPr>
              <w:t>Chapter 9: Conclusion</w:t>
            </w:r>
            <w:r>
              <w:rPr>
                <w:noProof/>
                <w:webHidden/>
              </w:rPr>
              <w:tab/>
            </w:r>
            <w:r>
              <w:rPr>
                <w:noProof/>
                <w:webHidden/>
              </w:rPr>
              <w:fldChar w:fldCharType="begin"/>
            </w:r>
            <w:r>
              <w:rPr>
                <w:noProof/>
                <w:webHidden/>
              </w:rPr>
              <w:instrText xml:space="preserve"> PAGEREF _Toc223348885 \h </w:instrText>
            </w:r>
            <w:r>
              <w:rPr>
                <w:noProof/>
                <w:webHidden/>
              </w:rPr>
            </w:r>
            <w:r>
              <w:rPr>
                <w:noProof/>
                <w:webHidden/>
              </w:rPr>
              <w:fldChar w:fldCharType="separate"/>
            </w:r>
            <w:r w:rsidR="008446AA">
              <w:rPr>
                <w:noProof/>
                <w:webHidden/>
              </w:rPr>
              <w:t>146</w:t>
            </w:r>
            <w:r>
              <w:rPr>
                <w:noProof/>
                <w:webHidden/>
              </w:rPr>
              <w:fldChar w:fldCharType="end"/>
            </w:r>
          </w:hyperlink>
        </w:p>
        <w:p w14:paraId="0D0A2915" w14:textId="690C1D0B"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6" w:history="1">
            <w:r w:rsidRPr="00A95D78">
              <w:rPr>
                <w:rStyle w:val="Hyperlink"/>
                <w:noProof/>
              </w:rPr>
              <w:t>9.1. The utility and adaptation of Bernstein’s theory of pedagogy</w:t>
            </w:r>
            <w:r>
              <w:rPr>
                <w:noProof/>
                <w:webHidden/>
              </w:rPr>
              <w:tab/>
            </w:r>
            <w:r>
              <w:rPr>
                <w:noProof/>
                <w:webHidden/>
              </w:rPr>
              <w:fldChar w:fldCharType="begin"/>
            </w:r>
            <w:r>
              <w:rPr>
                <w:noProof/>
                <w:webHidden/>
              </w:rPr>
              <w:instrText xml:space="preserve"> PAGEREF _Toc223348886 \h </w:instrText>
            </w:r>
            <w:r>
              <w:rPr>
                <w:noProof/>
                <w:webHidden/>
              </w:rPr>
            </w:r>
            <w:r>
              <w:rPr>
                <w:noProof/>
                <w:webHidden/>
              </w:rPr>
              <w:fldChar w:fldCharType="separate"/>
            </w:r>
            <w:r w:rsidR="008446AA">
              <w:rPr>
                <w:noProof/>
                <w:webHidden/>
              </w:rPr>
              <w:t>146</w:t>
            </w:r>
            <w:r>
              <w:rPr>
                <w:noProof/>
                <w:webHidden/>
              </w:rPr>
              <w:fldChar w:fldCharType="end"/>
            </w:r>
          </w:hyperlink>
        </w:p>
        <w:p w14:paraId="59D6C226" w14:textId="2744D3C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7" w:history="1">
            <w:r w:rsidRPr="00A95D78">
              <w:rPr>
                <w:rStyle w:val="Hyperlink"/>
                <w:noProof/>
              </w:rPr>
              <w:t>9.2. Legal education and the impact of the agents on the course design</w:t>
            </w:r>
            <w:r>
              <w:rPr>
                <w:noProof/>
                <w:webHidden/>
              </w:rPr>
              <w:tab/>
            </w:r>
            <w:r>
              <w:rPr>
                <w:noProof/>
                <w:webHidden/>
              </w:rPr>
              <w:fldChar w:fldCharType="begin"/>
            </w:r>
            <w:r>
              <w:rPr>
                <w:noProof/>
                <w:webHidden/>
              </w:rPr>
              <w:instrText xml:space="preserve"> PAGEREF _Toc223348887 \h </w:instrText>
            </w:r>
            <w:r>
              <w:rPr>
                <w:noProof/>
                <w:webHidden/>
              </w:rPr>
            </w:r>
            <w:r>
              <w:rPr>
                <w:noProof/>
                <w:webHidden/>
              </w:rPr>
              <w:fldChar w:fldCharType="separate"/>
            </w:r>
            <w:r w:rsidR="008446AA">
              <w:rPr>
                <w:noProof/>
                <w:webHidden/>
              </w:rPr>
              <w:t>149</w:t>
            </w:r>
            <w:r>
              <w:rPr>
                <w:noProof/>
                <w:webHidden/>
              </w:rPr>
              <w:fldChar w:fldCharType="end"/>
            </w:r>
          </w:hyperlink>
        </w:p>
        <w:p w14:paraId="1EE31C80" w14:textId="34D2ECE3"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8" w:history="1">
            <w:r w:rsidRPr="00A95D78">
              <w:rPr>
                <w:rStyle w:val="Hyperlink"/>
                <w:noProof/>
              </w:rPr>
              <w:t>9.3. Implications for undergraduate law course design.</w:t>
            </w:r>
            <w:r>
              <w:rPr>
                <w:noProof/>
                <w:webHidden/>
              </w:rPr>
              <w:tab/>
            </w:r>
            <w:r>
              <w:rPr>
                <w:noProof/>
                <w:webHidden/>
              </w:rPr>
              <w:fldChar w:fldCharType="begin"/>
            </w:r>
            <w:r>
              <w:rPr>
                <w:noProof/>
                <w:webHidden/>
              </w:rPr>
              <w:instrText xml:space="preserve"> PAGEREF _Toc223348888 \h </w:instrText>
            </w:r>
            <w:r>
              <w:rPr>
                <w:noProof/>
                <w:webHidden/>
              </w:rPr>
            </w:r>
            <w:r>
              <w:rPr>
                <w:noProof/>
                <w:webHidden/>
              </w:rPr>
              <w:fldChar w:fldCharType="separate"/>
            </w:r>
            <w:r w:rsidR="008446AA">
              <w:rPr>
                <w:noProof/>
                <w:webHidden/>
              </w:rPr>
              <w:t>150</w:t>
            </w:r>
            <w:r>
              <w:rPr>
                <w:noProof/>
                <w:webHidden/>
              </w:rPr>
              <w:fldChar w:fldCharType="end"/>
            </w:r>
          </w:hyperlink>
        </w:p>
        <w:p w14:paraId="09C9152C" w14:textId="34F61F00"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89" w:history="1">
            <w:r w:rsidRPr="00A95D78">
              <w:rPr>
                <w:rStyle w:val="Hyperlink"/>
                <w:noProof/>
              </w:rPr>
              <w:t>9.4. Practical implications and choices</w:t>
            </w:r>
            <w:r>
              <w:rPr>
                <w:noProof/>
                <w:webHidden/>
              </w:rPr>
              <w:tab/>
            </w:r>
            <w:r>
              <w:rPr>
                <w:noProof/>
                <w:webHidden/>
              </w:rPr>
              <w:fldChar w:fldCharType="begin"/>
            </w:r>
            <w:r>
              <w:rPr>
                <w:noProof/>
                <w:webHidden/>
              </w:rPr>
              <w:instrText xml:space="preserve"> PAGEREF _Toc223348889 \h </w:instrText>
            </w:r>
            <w:r>
              <w:rPr>
                <w:noProof/>
                <w:webHidden/>
              </w:rPr>
            </w:r>
            <w:r>
              <w:rPr>
                <w:noProof/>
                <w:webHidden/>
              </w:rPr>
              <w:fldChar w:fldCharType="separate"/>
            </w:r>
            <w:r w:rsidR="008446AA">
              <w:rPr>
                <w:noProof/>
                <w:webHidden/>
              </w:rPr>
              <w:t>154</w:t>
            </w:r>
            <w:r>
              <w:rPr>
                <w:noProof/>
                <w:webHidden/>
              </w:rPr>
              <w:fldChar w:fldCharType="end"/>
            </w:r>
          </w:hyperlink>
        </w:p>
        <w:p w14:paraId="023DF515" w14:textId="42DE8DE3" w:rsidR="00306A4F" w:rsidRDefault="00306A4F">
          <w:pPr>
            <w:pStyle w:val="TOC2"/>
            <w:tabs>
              <w:tab w:val="right" w:leader="dot" w:pos="8467"/>
            </w:tabs>
            <w:rPr>
              <w:rFonts w:asciiTheme="minorHAnsi" w:eastAsiaTheme="minorEastAsia" w:hAnsiTheme="minorHAnsi" w:cstheme="minorBidi"/>
              <w:b w:val="0"/>
              <w:noProof/>
              <w:kern w:val="2"/>
              <w:sz w:val="24"/>
              <w:szCs w:val="24"/>
              <w14:ligatures w14:val="standardContextual"/>
            </w:rPr>
          </w:pPr>
          <w:hyperlink w:anchor="_Toc223348890" w:history="1">
            <w:r w:rsidRPr="00A95D78">
              <w:rPr>
                <w:rStyle w:val="Hyperlink"/>
                <w:rFonts w:cs="Arial"/>
                <w:noProof/>
              </w:rPr>
              <w:t xml:space="preserve">9.5. </w:t>
            </w:r>
            <w:r w:rsidRPr="00A95D78">
              <w:rPr>
                <w:rStyle w:val="Hyperlink"/>
                <w:noProof/>
              </w:rPr>
              <w:t>The future</w:t>
            </w:r>
            <w:r>
              <w:rPr>
                <w:noProof/>
                <w:webHidden/>
              </w:rPr>
              <w:tab/>
            </w:r>
            <w:r>
              <w:rPr>
                <w:noProof/>
                <w:webHidden/>
              </w:rPr>
              <w:fldChar w:fldCharType="begin"/>
            </w:r>
            <w:r>
              <w:rPr>
                <w:noProof/>
                <w:webHidden/>
              </w:rPr>
              <w:instrText xml:space="preserve"> PAGEREF _Toc223348890 \h </w:instrText>
            </w:r>
            <w:r>
              <w:rPr>
                <w:noProof/>
                <w:webHidden/>
              </w:rPr>
            </w:r>
            <w:r>
              <w:rPr>
                <w:noProof/>
                <w:webHidden/>
              </w:rPr>
              <w:fldChar w:fldCharType="separate"/>
            </w:r>
            <w:r w:rsidR="008446AA">
              <w:rPr>
                <w:noProof/>
                <w:webHidden/>
              </w:rPr>
              <w:t>155</w:t>
            </w:r>
            <w:r>
              <w:rPr>
                <w:noProof/>
                <w:webHidden/>
              </w:rPr>
              <w:fldChar w:fldCharType="end"/>
            </w:r>
          </w:hyperlink>
        </w:p>
        <w:p w14:paraId="1DEFCDAB" w14:textId="7469E02A"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1" w:history="1">
            <w:r w:rsidRPr="00A95D78">
              <w:rPr>
                <w:rStyle w:val="Hyperlink"/>
                <w:rFonts w:cs="Arial"/>
                <w:noProof/>
              </w:rPr>
              <w:t xml:space="preserve">Appendix One: </w:t>
            </w:r>
            <w:r w:rsidRPr="00A95D78">
              <w:rPr>
                <w:rStyle w:val="Hyperlink"/>
                <w:rFonts w:cs="Arial"/>
                <w:bCs/>
                <w:noProof/>
              </w:rPr>
              <w:t>Professional body education and training requirements after secondary post-18 education</w:t>
            </w:r>
            <w:r>
              <w:rPr>
                <w:noProof/>
                <w:webHidden/>
              </w:rPr>
              <w:tab/>
            </w:r>
            <w:r>
              <w:rPr>
                <w:noProof/>
                <w:webHidden/>
              </w:rPr>
              <w:fldChar w:fldCharType="begin"/>
            </w:r>
            <w:r>
              <w:rPr>
                <w:noProof/>
                <w:webHidden/>
              </w:rPr>
              <w:instrText xml:space="preserve"> PAGEREF _Toc223348891 \h </w:instrText>
            </w:r>
            <w:r>
              <w:rPr>
                <w:noProof/>
                <w:webHidden/>
              </w:rPr>
            </w:r>
            <w:r>
              <w:rPr>
                <w:noProof/>
                <w:webHidden/>
              </w:rPr>
              <w:fldChar w:fldCharType="separate"/>
            </w:r>
            <w:r w:rsidR="008446AA">
              <w:rPr>
                <w:noProof/>
                <w:webHidden/>
              </w:rPr>
              <w:t>158</w:t>
            </w:r>
            <w:r>
              <w:rPr>
                <w:noProof/>
                <w:webHidden/>
              </w:rPr>
              <w:fldChar w:fldCharType="end"/>
            </w:r>
          </w:hyperlink>
        </w:p>
        <w:p w14:paraId="13B1E4F4" w14:textId="7FF75D48"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2" w:history="1">
            <w:r w:rsidRPr="00A95D78">
              <w:rPr>
                <w:rStyle w:val="Hyperlink"/>
                <w:rFonts w:cs="Arial"/>
                <w:noProof/>
              </w:rPr>
              <w:t>Appendix Two: Interview Outline</w:t>
            </w:r>
            <w:r>
              <w:rPr>
                <w:noProof/>
                <w:webHidden/>
              </w:rPr>
              <w:tab/>
            </w:r>
            <w:r>
              <w:rPr>
                <w:noProof/>
                <w:webHidden/>
              </w:rPr>
              <w:fldChar w:fldCharType="begin"/>
            </w:r>
            <w:r>
              <w:rPr>
                <w:noProof/>
                <w:webHidden/>
              </w:rPr>
              <w:instrText xml:space="preserve"> PAGEREF _Toc223348892 \h </w:instrText>
            </w:r>
            <w:r>
              <w:rPr>
                <w:noProof/>
                <w:webHidden/>
              </w:rPr>
            </w:r>
            <w:r>
              <w:rPr>
                <w:noProof/>
                <w:webHidden/>
              </w:rPr>
              <w:fldChar w:fldCharType="separate"/>
            </w:r>
            <w:r w:rsidR="008446AA">
              <w:rPr>
                <w:noProof/>
                <w:webHidden/>
              </w:rPr>
              <w:t>159</w:t>
            </w:r>
            <w:r>
              <w:rPr>
                <w:noProof/>
                <w:webHidden/>
              </w:rPr>
              <w:fldChar w:fldCharType="end"/>
            </w:r>
          </w:hyperlink>
        </w:p>
        <w:p w14:paraId="2AA9283A" w14:textId="77F7D271"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3" w:history="1">
            <w:r w:rsidRPr="00A95D78">
              <w:rPr>
                <w:rStyle w:val="Hyperlink"/>
                <w:rFonts w:cs="Arial"/>
                <w:noProof/>
              </w:rPr>
              <w:t>Appendix Three: Representation of the initial Code Book</w:t>
            </w:r>
            <w:r>
              <w:rPr>
                <w:noProof/>
                <w:webHidden/>
              </w:rPr>
              <w:tab/>
            </w:r>
            <w:r>
              <w:rPr>
                <w:noProof/>
                <w:webHidden/>
              </w:rPr>
              <w:fldChar w:fldCharType="begin"/>
            </w:r>
            <w:r>
              <w:rPr>
                <w:noProof/>
                <w:webHidden/>
              </w:rPr>
              <w:instrText xml:space="preserve"> PAGEREF _Toc223348893 \h </w:instrText>
            </w:r>
            <w:r>
              <w:rPr>
                <w:noProof/>
                <w:webHidden/>
              </w:rPr>
            </w:r>
            <w:r>
              <w:rPr>
                <w:noProof/>
                <w:webHidden/>
              </w:rPr>
              <w:fldChar w:fldCharType="separate"/>
            </w:r>
            <w:r w:rsidR="008446AA">
              <w:rPr>
                <w:noProof/>
                <w:webHidden/>
              </w:rPr>
              <w:t>161</w:t>
            </w:r>
            <w:r>
              <w:rPr>
                <w:noProof/>
                <w:webHidden/>
              </w:rPr>
              <w:fldChar w:fldCharType="end"/>
            </w:r>
          </w:hyperlink>
        </w:p>
        <w:p w14:paraId="36790CC4" w14:textId="3BFFE515"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4" w:history="1">
            <w:r w:rsidRPr="00A95D78">
              <w:rPr>
                <w:rStyle w:val="Hyperlink"/>
                <w:rFonts w:cs="Arial"/>
                <w:noProof/>
              </w:rPr>
              <w:t>Appendix Four: Categorisation of participant law schools</w:t>
            </w:r>
            <w:r>
              <w:rPr>
                <w:noProof/>
                <w:webHidden/>
              </w:rPr>
              <w:tab/>
            </w:r>
            <w:r>
              <w:rPr>
                <w:noProof/>
                <w:webHidden/>
              </w:rPr>
              <w:fldChar w:fldCharType="begin"/>
            </w:r>
            <w:r>
              <w:rPr>
                <w:noProof/>
                <w:webHidden/>
              </w:rPr>
              <w:instrText xml:space="preserve"> PAGEREF _Toc223348894 \h </w:instrText>
            </w:r>
            <w:r>
              <w:rPr>
                <w:noProof/>
                <w:webHidden/>
              </w:rPr>
            </w:r>
            <w:r>
              <w:rPr>
                <w:noProof/>
                <w:webHidden/>
              </w:rPr>
              <w:fldChar w:fldCharType="separate"/>
            </w:r>
            <w:r w:rsidR="008446AA">
              <w:rPr>
                <w:noProof/>
                <w:webHidden/>
              </w:rPr>
              <w:t>168</w:t>
            </w:r>
            <w:r>
              <w:rPr>
                <w:noProof/>
                <w:webHidden/>
              </w:rPr>
              <w:fldChar w:fldCharType="end"/>
            </w:r>
          </w:hyperlink>
        </w:p>
        <w:p w14:paraId="5CEB90EB" w14:textId="32234482"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5" w:history="1">
            <w:r w:rsidRPr="00A95D78">
              <w:rPr>
                <w:rStyle w:val="Hyperlink"/>
                <w:rFonts w:cs="Arial"/>
                <w:noProof/>
              </w:rPr>
              <w:t>Appendix Five: How categories of law school responded differently.</w:t>
            </w:r>
            <w:r>
              <w:rPr>
                <w:noProof/>
                <w:webHidden/>
              </w:rPr>
              <w:tab/>
            </w:r>
            <w:r>
              <w:rPr>
                <w:noProof/>
                <w:webHidden/>
              </w:rPr>
              <w:fldChar w:fldCharType="begin"/>
            </w:r>
            <w:r>
              <w:rPr>
                <w:noProof/>
                <w:webHidden/>
              </w:rPr>
              <w:instrText xml:space="preserve"> PAGEREF _Toc223348895 \h </w:instrText>
            </w:r>
            <w:r>
              <w:rPr>
                <w:noProof/>
                <w:webHidden/>
              </w:rPr>
            </w:r>
            <w:r>
              <w:rPr>
                <w:noProof/>
                <w:webHidden/>
              </w:rPr>
              <w:fldChar w:fldCharType="separate"/>
            </w:r>
            <w:r w:rsidR="008446AA">
              <w:rPr>
                <w:noProof/>
                <w:webHidden/>
              </w:rPr>
              <w:t>169</w:t>
            </w:r>
            <w:r>
              <w:rPr>
                <w:noProof/>
                <w:webHidden/>
              </w:rPr>
              <w:fldChar w:fldCharType="end"/>
            </w:r>
          </w:hyperlink>
        </w:p>
        <w:p w14:paraId="54237FC8" w14:textId="65566296"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6" w:history="1">
            <w:r w:rsidRPr="00A95D78">
              <w:rPr>
                <w:rStyle w:val="Hyperlink"/>
                <w:rFonts w:cs="Arial"/>
                <w:noProof/>
              </w:rPr>
              <w:t>List of abbreviations</w:t>
            </w:r>
            <w:r>
              <w:rPr>
                <w:noProof/>
                <w:webHidden/>
              </w:rPr>
              <w:tab/>
            </w:r>
            <w:r>
              <w:rPr>
                <w:noProof/>
                <w:webHidden/>
              </w:rPr>
              <w:fldChar w:fldCharType="begin"/>
            </w:r>
            <w:r>
              <w:rPr>
                <w:noProof/>
                <w:webHidden/>
              </w:rPr>
              <w:instrText xml:space="preserve"> PAGEREF _Toc223348896 \h </w:instrText>
            </w:r>
            <w:r>
              <w:rPr>
                <w:noProof/>
                <w:webHidden/>
              </w:rPr>
            </w:r>
            <w:r>
              <w:rPr>
                <w:noProof/>
                <w:webHidden/>
              </w:rPr>
              <w:fldChar w:fldCharType="separate"/>
            </w:r>
            <w:r w:rsidR="008446AA">
              <w:rPr>
                <w:noProof/>
                <w:webHidden/>
              </w:rPr>
              <w:t>172</w:t>
            </w:r>
            <w:r>
              <w:rPr>
                <w:noProof/>
                <w:webHidden/>
              </w:rPr>
              <w:fldChar w:fldCharType="end"/>
            </w:r>
          </w:hyperlink>
        </w:p>
        <w:p w14:paraId="70E9F185" w14:textId="2F065157" w:rsidR="00306A4F" w:rsidRDefault="00306A4F">
          <w:pPr>
            <w:pStyle w:val="TOC1"/>
            <w:tabs>
              <w:tab w:val="right" w:leader="dot" w:pos="8467"/>
            </w:tabs>
            <w:rPr>
              <w:rFonts w:asciiTheme="minorHAnsi" w:eastAsiaTheme="minorEastAsia" w:hAnsiTheme="minorHAnsi" w:cstheme="minorBidi"/>
              <w:b w:val="0"/>
              <w:noProof/>
              <w:kern w:val="2"/>
              <w14:ligatures w14:val="standardContextual"/>
            </w:rPr>
          </w:pPr>
          <w:hyperlink w:anchor="_Toc223348897" w:history="1">
            <w:r w:rsidRPr="00A95D78">
              <w:rPr>
                <w:rStyle w:val="Hyperlink"/>
                <w:rFonts w:cs="Arial"/>
                <w:noProof/>
              </w:rPr>
              <w:t>References</w:t>
            </w:r>
            <w:r>
              <w:rPr>
                <w:noProof/>
                <w:webHidden/>
              </w:rPr>
              <w:tab/>
            </w:r>
            <w:r>
              <w:rPr>
                <w:noProof/>
                <w:webHidden/>
              </w:rPr>
              <w:fldChar w:fldCharType="begin"/>
            </w:r>
            <w:r>
              <w:rPr>
                <w:noProof/>
                <w:webHidden/>
              </w:rPr>
              <w:instrText xml:space="preserve"> PAGEREF _Toc223348897 \h </w:instrText>
            </w:r>
            <w:r>
              <w:rPr>
                <w:noProof/>
                <w:webHidden/>
              </w:rPr>
            </w:r>
            <w:r>
              <w:rPr>
                <w:noProof/>
                <w:webHidden/>
              </w:rPr>
              <w:fldChar w:fldCharType="separate"/>
            </w:r>
            <w:r w:rsidR="008446AA">
              <w:rPr>
                <w:noProof/>
                <w:webHidden/>
              </w:rPr>
              <w:t>173</w:t>
            </w:r>
            <w:r>
              <w:rPr>
                <w:noProof/>
                <w:webHidden/>
              </w:rPr>
              <w:fldChar w:fldCharType="end"/>
            </w:r>
          </w:hyperlink>
        </w:p>
        <w:p w14:paraId="1C85E412" w14:textId="0F8361B0" w:rsidR="007E2CC3" w:rsidRPr="00211F89" w:rsidRDefault="007E2CC3" w:rsidP="007A419E">
          <w:pPr>
            <w:spacing w:after="100" w:afterAutospacing="1" w:line="360" w:lineRule="auto"/>
            <w:rPr>
              <w:rFonts w:cs="Arial"/>
            </w:rPr>
          </w:pPr>
          <w:r w:rsidRPr="00211F89">
            <w:rPr>
              <w:rFonts w:cs="Arial"/>
              <w:b/>
              <w:bCs/>
              <w:noProof/>
            </w:rPr>
            <w:fldChar w:fldCharType="end"/>
          </w:r>
        </w:p>
      </w:sdtContent>
    </w:sdt>
    <w:p w14:paraId="578B463A" w14:textId="77777777" w:rsidR="003B4117" w:rsidRPr="00211F89" w:rsidRDefault="00A16AFC" w:rsidP="007A419E">
      <w:pPr>
        <w:pStyle w:val="Heading1"/>
        <w:numPr>
          <w:ilvl w:val="0"/>
          <w:numId w:val="0"/>
        </w:numPr>
        <w:spacing w:before="100" w:after="100" w:afterAutospacing="1" w:line="360" w:lineRule="auto"/>
        <w:jc w:val="left"/>
        <w:rPr>
          <w:rFonts w:ascii="Arial" w:hAnsi="Arial" w:cs="Arial"/>
        </w:rPr>
      </w:pPr>
      <w:r w:rsidRPr="00211F89">
        <w:rPr>
          <w:rFonts w:ascii="Arial" w:hAnsi="Arial" w:cs="Arial"/>
        </w:rPr>
        <w:br w:type="page"/>
      </w:r>
      <w:bookmarkStart w:id="3" w:name="_Toc4491286"/>
      <w:bookmarkStart w:id="4" w:name="_Toc4492091"/>
    </w:p>
    <w:p w14:paraId="1512080C" w14:textId="77777777" w:rsidR="003B4117" w:rsidRDefault="003B4117" w:rsidP="007A419E">
      <w:pPr>
        <w:pStyle w:val="Heading1"/>
        <w:numPr>
          <w:ilvl w:val="0"/>
          <w:numId w:val="0"/>
        </w:numPr>
        <w:spacing w:before="100" w:after="100" w:afterAutospacing="1" w:line="360" w:lineRule="auto"/>
        <w:rPr>
          <w:rFonts w:ascii="Arial" w:hAnsi="Arial" w:cs="Arial"/>
        </w:rPr>
      </w:pPr>
      <w:bookmarkStart w:id="5" w:name="_Toc208723496"/>
      <w:bookmarkStart w:id="6" w:name="_Toc4491289"/>
      <w:bookmarkStart w:id="7" w:name="_Toc4492094"/>
      <w:bookmarkStart w:id="8" w:name="_Toc223348805"/>
      <w:r w:rsidRPr="00EF0E6B">
        <w:rPr>
          <w:rFonts w:ascii="Arial" w:hAnsi="Arial" w:cs="Arial"/>
        </w:rPr>
        <w:lastRenderedPageBreak/>
        <w:t>List of Figures and Tables</w:t>
      </w:r>
      <w:bookmarkEnd w:id="5"/>
      <w:bookmarkEnd w:id="6"/>
      <w:bookmarkEnd w:id="7"/>
      <w:bookmarkEnd w:id="8"/>
    </w:p>
    <w:p w14:paraId="6A5AEE2C" w14:textId="77777777" w:rsidR="00AC1557" w:rsidRDefault="00AC1557" w:rsidP="0003652C">
      <w:pPr>
        <w:spacing w:line="360" w:lineRule="auto"/>
        <w:rPr>
          <w:b/>
          <w:bCs/>
        </w:rPr>
      </w:pPr>
    </w:p>
    <w:p w14:paraId="4D09DDB5" w14:textId="44902EA9" w:rsidR="00AF2A6B" w:rsidRPr="00AF2A6B" w:rsidRDefault="00AF2A6B" w:rsidP="0003652C">
      <w:pPr>
        <w:spacing w:line="360" w:lineRule="auto"/>
        <w:rPr>
          <w:b/>
          <w:bCs/>
        </w:rPr>
      </w:pPr>
      <w:r w:rsidRPr="00AF2A6B">
        <w:rPr>
          <w:b/>
          <w:bCs/>
        </w:rPr>
        <w:t>Figures in text</w:t>
      </w:r>
    </w:p>
    <w:p w14:paraId="5E7E8BB8" w14:textId="0BAF885C" w:rsidR="00AF2A6B" w:rsidRPr="00AF2A6B" w:rsidRDefault="00AF2A6B" w:rsidP="0003652C">
      <w:pPr>
        <w:spacing w:line="360" w:lineRule="auto"/>
        <w:rPr>
          <w:szCs w:val="24"/>
        </w:rPr>
      </w:pPr>
      <w:r w:rsidRPr="00AF2A6B">
        <w:rPr>
          <w:szCs w:val="24"/>
        </w:rPr>
        <w:t>Figure 3.</w:t>
      </w:r>
      <w:r w:rsidR="00AC1557">
        <w:rPr>
          <w:szCs w:val="24"/>
        </w:rPr>
        <w:t>1</w:t>
      </w:r>
      <w:r w:rsidRPr="00AF2A6B">
        <w:rPr>
          <w:szCs w:val="24"/>
        </w:rPr>
        <w:t xml:space="preserve"> The recontextualising fields</w:t>
      </w:r>
    </w:p>
    <w:p w14:paraId="43B330CE" w14:textId="77777777" w:rsidR="00AC1557" w:rsidRPr="00AF2A6B" w:rsidRDefault="00AC1557" w:rsidP="0003652C">
      <w:pPr>
        <w:spacing w:line="360" w:lineRule="auto"/>
        <w:jc w:val="both"/>
        <w:rPr>
          <w:color w:val="000000" w:themeColor="text1"/>
          <w:szCs w:val="24"/>
        </w:rPr>
      </w:pPr>
    </w:p>
    <w:p w14:paraId="24851A63" w14:textId="7F17F4F4" w:rsidR="00AF2A6B" w:rsidRDefault="00AF2A6B" w:rsidP="0003652C">
      <w:pPr>
        <w:spacing w:after="100" w:afterAutospacing="1" w:line="360" w:lineRule="auto"/>
        <w:rPr>
          <w:rFonts w:cs="Arial"/>
          <w:b/>
          <w:bCs/>
        </w:rPr>
      </w:pPr>
      <w:r w:rsidRPr="00AF2A6B">
        <w:rPr>
          <w:rFonts w:cs="Arial"/>
          <w:b/>
          <w:bCs/>
        </w:rPr>
        <w:t>Tables in Appendix Three</w:t>
      </w:r>
      <w:r>
        <w:rPr>
          <w:rFonts w:cs="Arial"/>
          <w:b/>
          <w:bCs/>
        </w:rPr>
        <w:t>: The code book</w:t>
      </w:r>
    </w:p>
    <w:p w14:paraId="5826588A" w14:textId="7DDB6F28" w:rsidR="00AF2A6B" w:rsidRDefault="00AF2A6B" w:rsidP="0003652C">
      <w:pPr>
        <w:spacing w:after="100" w:afterAutospacing="1" w:line="360" w:lineRule="auto"/>
        <w:rPr>
          <w:rFonts w:cs="Arial"/>
        </w:rPr>
      </w:pPr>
      <w:r>
        <w:rPr>
          <w:rFonts w:cs="Arial"/>
        </w:rPr>
        <w:t>Table 1: Professional bodies</w:t>
      </w:r>
    </w:p>
    <w:p w14:paraId="5B70006D" w14:textId="438C8749" w:rsidR="00AF2A6B" w:rsidRDefault="00AF2A6B" w:rsidP="0003652C">
      <w:pPr>
        <w:spacing w:after="100" w:afterAutospacing="1" w:line="360" w:lineRule="auto"/>
        <w:rPr>
          <w:rFonts w:cs="Arial"/>
        </w:rPr>
      </w:pPr>
      <w:r>
        <w:rPr>
          <w:rFonts w:cs="Arial"/>
        </w:rPr>
        <w:t>Table 2: The state</w:t>
      </w:r>
    </w:p>
    <w:p w14:paraId="183BBB4B" w14:textId="70EAA112" w:rsidR="00AF2A6B" w:rsidRDefault="00AF2A6B" w:rsidP="0003652C">
      <w:pPr>
        <w:spacing w:after="100" w:afterAutospacing="1" w:line="360" w:lineRule="auto"/>
        <w:rPr>
          <w:rFonts w:cs="Arial"/>
        </w:rPr>
      </w:pPr>
      <w:r>
        <w:rPr>
          <w:rFonts w:cs="Arial"/>
        </w:rPr>
        <w:t>Table 3: The university</w:t>
      </w:r>
    </w:p>
    <w:p w14:paraId="26CD6CC4" w14:textId="2A1FDFFB" w:rsidR="00AF2A6B" w:rsidRDefault="00AF2A6B" w:rsidP="0003652C">
      <w:pPr>
        <w:spacing w:after="100" w:afterAutospacing="1" w:line="360" w:lineRule="auto"/>
        <w:rPr>
          <w:rFonts w:cs="Arial"/>
        </w:rPr>
      </w:pPr>
      <w:r>
        <w:rPr>
          <w:rFonts w:cs="Arial"/>
        </w:rPr>
        <w:t>Table 4: The academic community</w:t>
      </w:r>
    </w:p>
    <w:p w14:paraId="1C4EE40A" w14:textId="6CF82389" w:rsidR="00AF2A6B" w:rsidRDefault="00AF2A6B" w:rsidP="0003652C">
      <w:pPr>
        <w:spacing w:after="100" w:afterAutospacing="1" w:line="360" w:lineRule="auto"/>
        <w:rPr>
          <w:rFonts w:cs="Arial"/>
        </w:rPr>
      </w:pPr>
      <w:r>
        <w:rPr>
          <w:rFonts w:cs="Arial"/>
        </w:rPr>
        <w:t>Table 5: The students</w:t>
      </w:r>
    </w:p>
    <w:p w14:paraId="555B6DB5" w14:textId="651BA02A" w:rsidR="00AF2A6B" w:rsidRDefault="00AF2A6B" w:rsidP="0003652C">
      <w:pPr>
        <w:spacing w:after="100" w:afterAutospacing="1" w:line="360" w:lineRule="auto"/>
        <w:rPr>
          <w:rFonts w:cs="Arial"/>
        </w:rPr>
      </w:pPr>
      <w:r>
        <w:rPr>
          <w:rFonts w:cs="Arial"/>
        </w:rPr>
        <w:t>Table 6: Degree positioning</w:t>
      </w:r>
    </w:p>
    <w:p w14:paraId="710E7958" w14:textId="51B04305" w:rsidR="00AF2A6B" w:rsidRDefault="00AF2A6B" w:rsidP="0003652C">
      <w:pPr>
        <w:spacing w:after="100" w:afterAutospacing="1" w:line="360" w:lineRule="auto"/>
        <w:rPr>
          <w:rFonts w:cs="Arial"/>
        </w:rPr>
      </w:pPr>
      <w:r>
        <w:rPr>
          <w:rFonts w:cs="Arial"/>
        </w:rPr>
        <w:t>Table 7: The process</w:t>
      </w:r>
    </w:p>
    <w:p w14:paraId="363DA7FB" w14:textId="5C8931E2" w:rsidR="00AF2A6B" w:rsidRDefault="00AF2A6B" w:rsidP="0003652C">
      <w:pPr>
        <w:spacing w:after="100" w:afterAutospacing="1" w:line="360" w:lineRule="auto"/>
        <w:rPr>
          <w:rFonts w:cs="Arial"/>
        </w:rPr>
      </w:pPr>
      <w:r>
        <w:rPr>
          <w:rFonts w:cs="Arial"/>
        </w:rPr>
        <w:t>Table 8: Other factors</w:t>
      </w:r>
    </w:p>
    <w:p w14:paraId="234384A1" w14:textId="21CE766E" w:rsidR="00157941" w:rsidRDefault="00157941" w:rsidP="0003652C">
      <w:pPr>
        <w:spacing w:after="100" w:afterAutospacing="1" w:line="360" w:lineRule="auto"/>
        <w:rPr>
          <w:rFonts w:cs="Arial"/>
          <w:b/>
          <w:bCs/>
        </w:rPr>
      </w:pPr>
      <w:r w:rsidRPr="00157941">
        <w:rPr>
          <w:rFonts w:cs="Arial"/>
          <w:b/>
          <w:bCs/>
        </w:rPr>
        <w:t xml:space="preserve">Tables in Appendix Five: Different responses from categories of </w:t>
      </w:r>
      <w:r w:rsidR="00E76CF0">
        <w:rPr>
          <w:rFonts w:cs="Arial"/>
          <w:b/>
          <w:bCs/>
        </w:rPr>
        <w:t>law school</w:t>
      </w:r>
    </w:p>
    <w:p w14:paraId="31DC21AC" w14:textId="7BA8BC4E" w:rsidR="00157941" w:rsidRPr="00864D3C" w:rsidRDefault="00157941" w:rsidP="0003652C">
      <w:pPr>
        <w:spacing w:after="100" w:afterAutospacing="1" w:line="360" w:lineRule="auto"/>
        <w:rPr>
          <w:rFonts w:cs="Arial"/>
        </w:rPr>
      </w:pPr>
      <w:r w:rsidRPr="00864D3C">
        <w:rPr>
          <w:rFonts w:cs="Arial"/>
        </w:rPr>
        <w:t>Table 5.1: Regulatory changes</w:t>
      </w:r>
    </w:p>
    <w:p w14:paraId="4005795F" w14:textId="243C3E58" w:rsidR="00157941" w:rsidRPr="00864D3C" w:rsidRDefault="00157941" w:rsidP="0003652C">
      <w:pPr>
        <w:spacing w:after="100" w:afterAutospacing="1" w:line="360" w:lineRule="auto"/>
        <w:rPr>
          <w:rFonts w:cs="Arial"/>
        </w:rPr>
      </w:pPr>
      <w:r w:rsidRPr="00864D3C">
        <w:rPr>
          <w:rFonts w:cs="Arial"/>
        </w:rPr>
        <w:t>Table 5.2: Programme content</w:t>
      </w:r>
    </w:p>
    <w:p w14:paraId="0AD493A5" w14:textId="6D70D729" w:rsidR="00157941" w:rsidRPr="00864D3C" w:rsidRDefault="00157941" w:rsidP="0003652C">
      <w:pPr>
        <w:spacing w:after="100" w:afterAutospacing="1" w:line="360" w:lineRule="auto"/>
        <w:rPr>
          <w:rFonts w:cs="Arial"/>
        </w:rPr>
      </w:pPr>
      <w:r w:rsidRPr="00864D3C">
        <w:rPr>
          <w:rFonts w:cs="Arial"/>
        </w:rPr>
        <w:t>Table 5.3: TEF and metrics</w:t>
      </w:r>
    </w:p>
    <w:p w14:paraId="68DA8A3F" w14:textId="34943878" w:rsidR="00157941" w:rsidRPr="00864D3C" w:rsidRDefault="00157941" w:rsidP="0003652C">
      <w:pPr>
        <w:spacing w:after="100" w:afterAutospacing="1" w:line="360" w:lineRule="auto"/>
        <w:rPr>
          <w:rFonts w:cs="Arial"/>
        </w:rPr>
      </w:pPr>
      <w:r w:rsidRPr="00864D3C">
        <w:rPr>
          <w:rFonts w:cs="Arial"/>
        </w:rPr>
        <w:t>Table 6.1: University in design</w:t>
      </w:r>
    </w:p>
    <w:p w14:paraId="061CD335" w14:textId="3605AE36" w:rsidR="00157941" w:rsidRPr="00864D3C" w:rsidRDefault="00157941" w:rsidP="0003652C">
      <w:pPr>
        <w:spacing w:after="100" w:afterAutospacing="1" w:line="360" w:lineRule="auto"/>
        <w:rPr>
          <w:rFonts w:cs="Arial"/>
        </w:rPr>
      </w:pPr>
      <w:r w:rsidRPr="00864D3C">
        <w:rPr>
          <w:rFonts w:cs="Arial"/>
        </w:rPr>
        <w:lastRenderedPageBreak/>
        <w:t>Table 7.1:  Inter-disciplinary</w:t>
      </w:r>
    </w:p>
    <w:p w14:paraId="787A670E" w14:textId="2B116B4F" w:rsidR="00157941" w:rsidRPr="00864D3C" w:rsidRDefault="00157941" w:rsidP="0003652C">
      <w:pPr>
        <w:spacing w:after="100" w:afterAutospacing="1" w:line="360" w:lineRule="auto"/>
        <w:rPr>
          <w:rFonts w:cs="Arial"/>
        </w:rPr>
      </w:pPr>
      <w:r w:rsidRPr="00864D3C">
        <w:rPr>
          <w:rFonts w:cs="Arial"/>
        </w:rPr>
        <w:t>Table 7.2: Liberal arts law degree</w:t>
      </w:r>
    </w:p>
    <w:p w14:paraId="19D50D22" w14:textId="633DA84A" w:rsidR="00157941" w:rsidRPr="00864D3C" w:rsidRDefault="00157941" w:rsidP="0003652C">
      <w:pPr>
        <w:spacing w:after="100" w:afterAutospacing="1" w:line="360" w:lineRule="auto"/>
        <w:rPr>
          <w:rFonts w:cs="Arial"/>
        </w:rPr>
      </w:pPr>
      <w:r w:rsidRPr="00864D3C">
        <w:rPr>
          <w:rFonts w:cs="Arial"/>
        </w:rPr>
        <w:t>Table 7.3: vocational law degree</w:t>
      </w:r>
    </w:p>
    <w:p w14:paraId="4913E111" w14:textId="23B14F78" w:rsidR="00157941" w:rsidRPr="00864D3C" w:rsidRDefault="00157941" w:rsidP="0003652C">
      <w:pPr>
        <w:spacing w:after="100" w:afterAutospacing="1" w:line="360" w:lineRule="auto"/>
        <w:rPr>
          <w:rFonts w:cs="Arial"/>
        </w:rPr>
      </w:pPr>
      <w:r w:rsidRPr="00864D3C">
        <w:rPr>
          <w:rFonts w:cs="Arial"/>
        </w:rPr>
        <w:t>Table 7.4: Content: FLKs; Optionality; the SQE</w:t>
      </w:r>
    </w:p>
    <w:p w14:paraId="64681F4D" w14:textId="624EBD80" w:rsidR="00157941" w:rsidRPr="00864D3C" w:rsidRDefault="00864D3C" w:rsidP="0003652C">
      <w:pPr>
        <w:spacing w:after="100" w:afterAutospacing="1" w:line="360" w:lineRule="auto"/>
        <w:rPr>
          <w:rFonts w:cs="Arial"/>
        </w:rPr>
      </w:pPr>
      <w:r w:rsidRPr="00864D3C">
        <w:rPr>
          <w:rFonts w:cs="Arial"/>
        </w:rPr>
        <w:t>Table 8.1: Skills and employability</w:t>
      </w:r>
    </w:p>
    <w:p w14:paraId="0B693605" w14:textId="0D9AD6F1" w:rsidR="00864D3C" w:rsidRPr="00864D3C" w:rsidRDefault="00864D3C" w:rsidP="0003652C">
      <w:pPr>
        <w:spacing w:after="100" w:afterAutospacing="1" w:line="360" w:lineRule="auto"/>
        <w:rPr>
          <w:rFonts w:cs="Arial"/>
        </w:rPr>
      </w:pPr>
      <w:r w:rsidRPr="00864D3C">
        <w:rPr>
          <w:rFonts w:cs="Arial"/>
        </w:rPr>
        <w:t>Table 8.2: Responses in design</w:t>
      </w:r>
    </w:p>
    <w:p w14:paraId="2CC1170C" w14:textId="77777777" w:rsidR="00157941" w:rsidRPr="00157941" w:rsidRDefault="00157941" w:rsidP="007A419E">
      <w:pPr>
        <w:spacing w:after="100" w:afterAutospacing="1" w:line="360" w:lineRule="auto"/>
        <w:rPr>
          <w:rFonts w:cs="Arial"/>
          <w:b/>
          <w:bCs/>
        </w:rPr>
      </w:pPr>
    </w:p>
    <w:p w14:paraId="12049619" w14:textId="77777777" w:rsidR="00AF2A6B" w:rsidRPr="00AF2A6B" w:rsidRDefault="00AF2A6B" w:rsidP="007A419E">
      <w:pPr>
        <w:spacing w:after="100" w:afterAutospacing="1" w:line="360" w:lineRule="auto"/>
        <w:rPr>
          <w:rFonts w:cs="Arial"/>
        </w:rPr>
      </w:pPr>
    </w:p>
    <w:p w14:paraId="676AA649" w14:textId="77777777" w:rsidR="00AF2A6B" w:rsidRDefault="00AF2A6B" w:rsidP="007A419E">
      <w:pPr>
        <w:pStyle w:val="Heading1"/>
        <w:numPr>
          <w:ilvl w:val="0"/>
          <w:numId w:val="0"/>
        </w:numPr>
        <w:spacing w:before="100" w:after="100" w:afterAutospacing="1" w:line="360" w:lineRule="auto"/>
        <w:jc w:val="left"/>
        <w:rPr>
          <w:rFonts w:ascii="Arial" w:hAnsi="Arial" w:cs="Arial"/>
        </w:rPr>
      </w:pPr>
    </w:p>
    <w:p w14:paraId="0C64BB7A" w14:textId="77777777" w:rsidR="00864D3C" w:rsidRDefault="00864D3C" w:rsidP="00864D3C"/>
    <w:p w14:paraId="2EDCC55E" w14:textId="77777777" w:rsidR="00864D3C" w:rsidRDefault="00864D3C" w:rsidP="00864D3C"/>
    <w:p w14:paraId="36BA7178" w14:textId="77777777" w:rsidR="00864D3C" w:rsidRDefault="00864D3C" w:rsidP="00864D3C"/>
    <w:p w14:paraId="72299740" w14:textId="77777777" w:rsidR="00864D3C" w:rsidRDefault="00864D3C" w:rsidP="00864D3C"/>
    <w:p w14:paraId="48986F3C" w14:textId="77777777" w:rsidR="00864D3C" w:rsidRDefault="00864D3C" w:rsidP="00864D3C"/>
    <w:p w14:paraId="0C3B8E66" w14:textId="77777777" w:rsidR="00864D3C" w:rsidRPr="00864D3C" w:rsidRDefault="00864D3C" w:rsidP="00864D3C"/>
    <w:p w14:paraId="47834AE0" w14:textId="77777777" w:rsidR="00AF2A6B" w:rsidRDefault="00AF2A6B" w:rsidP="007A419E">
      <w:pPr>
        <w:pStyle w:val="Heading1"/>
        <w:numPr>
          <w:ilvl w:val="0"/>
          <w:numId w:val="0"/>
        </w:numPr>
        <w:spacing w:before="100" w:after="100" w:afterAutospacing="1" w:line="360" w:lineRule="auto"/>
        <w:jc w:val="left"/>
        <w:rPr>
          <w:rFonts w:ascii="Arial" w:hAnsi="Arial" w:cs="Arial"/>
        </w:rPr>
      </w:pPr>
    </w:p>
    <w:p w14:paraId="26210FEC" w14:textId="77777777" w:rsidR="00AF2A6B" w:rsidRDefault="00AF2A6B" w:rsidP="007A419E">
      <w:pPr>
        <w:pStyle w:val="Heading1"/>
        <w:numPr>
          <w:ilvl w:val="0"/>
          <w:numId w:val="0"/>
        </w:numPr>
        <w:spacing w:before="100" w:after="100" w:afterAutospacing="1" w:line="360" w:lineRule="auto"/>
        <w:jc w:val="left"/>
        <w:rPr>
          <w:rFonts w:ascii="Arial" w:hAnsi="Arial" w:cs="Arial"/>
        </w:rPr>
      </w:pPr>
    </w:p>
    <w:p w14:paraId="3EA5D8BB" w14:textId="77777777" w:rsidR="00AC1557" w:rsidRPr="00AC1557" w:rsidRDefault="00AC1557" w:rsidP="008446AA"/>
    <w:p w14:paraId="6D471908" w14:textId="12DC3D1C" w:rsidR="00A16AFC" w:rsidRPr="00EF0E6B" w:rsidRDefault="00A16AFC" w:rsidP="007A419E">
      <w:pPr>
        <w:pStyle w:val="Heading1"/>
        <w:numPr>
          <w:ilvl w:val="0"/>
          <w:numId w:val="0"/>
        </w:numPr>
        <w:spacing w:before="100" w:after="100" w:afterAutospacing="1" w:line="360" w:lineRule="auto"/>
        <w:jc w:val="left"/>
        <w:rPr>
          <w:rFonts w:ascii="Arial" w:hAnsi="Arial" w:cs="Arial"/>
        </w:rPr>
      </w:pPr>
      <w:bookmarkStart w:id="9" w:name="_Toc223348806"/>
      <w:r w:rsidRPr="00EF0E6B">
        <w:rPr>
          <w:rFonts w:ascii="Arial" w:hAnsi="Arial" w:cs="Arial"/>
        </w:rPr>
        <w:lastRenderedPageBreak/>
        <w:t>Acknowledgements</w:t>
      </w:r>
      <w:bookmarkEnd w:id="3"/>
      <w:bookmarkEnd w:id="4"/>
      <w:bookmarkEnd w:id="9"/>
    </w:p>
    <w:p w14:paraId="4674B05A" w14:textId="41FDD155" w:rsidR="001E3894" w:rsidRDefault="00966112" w:rsidP="001E3894">
      <w:pPr>
        <w:spacing w:after="100" w:afterAutospacing="1" w:line="360" w:lineRule="auto"/>
        <w:jc w:val="both"/>
        <w:rPr>
          <w:rFonts w:cs="Arial"/>
        </w:rPr>
      </w:pPr>
      <w:r>
        <w:rPr>
          <w:rFonts w:cs="Arial"/>
        </w:rPr>
        <w:t xml:space="preserve">I would like to thank </w:t>
      </w:r>
      <w:r w:rsidR="001E3894">
        <w:rPr>
          <w:rFonts w:cs="Arial"/>
        </w:rPr>
        <w:t xml:space="preserve">all the participants who came forward </w:t>
      </w:r>
      <w:r w:rsidR="0003652C">
        <w:rPr>
          <w:rFonts w:cs="Arial"/>
        </w:rPr>
        <w:t xml:space="preserve">so </w:t>
      </w:r>
      <w:r w:rsidR="001E3894">
        <w:rPr>
          <w:rFonts w:cs="Arial"/>
        </w:rPr>
        <w:t xml:space="preserve">willingly and gave up their time to engage enthusiastically with this project. </w:t>
      </w:r>
      <w:r w:rsidR="00BA4FAA">
        <w:rPr>
          <w:rFonts w:cs="Arial"/>
        </w:rPr>
        <w:t>I would like also to say thank you</w:t>
      </w:r>
      <w:r w:rsidR="001E3894">
        <w:rPr>
          <w:rFonts w:cs="Arial"/>
        </w:rPr>
        <w:t xml:space="preserve"> for </w:t>
      </w:r>
      <w:r>
        <w:rPr>
          <w:rFonts w:cs="Arial"/>
        </w:rPr>
        <w:t xml:space="preserve">the support I have had from my supervisor, Professor Jan McArthur, and Professor Malcolm Tight, at Lancaster University, for their </w:t>
      </w:r>
      <w:r w:rsidR="001E3894">
        <w:rPr>
          <w:rFonts w:cs="Arial"/>
        </w:rPr>
        <w:t xml:space="preserve">advice, encouragement and </w:t>
      </w:r>
      <w:r>
        <w:rPr>
          <w:rFonts w:cs="Arial"/>
        </w:rPr>
        <w:t>support</w:t>
      </w:r>
      <w:r w:rsidR="001E3894">
        <w:rPr>
          <w:rFonts w:cs="Arial"/>
        </w:rPr>
        <w:t xml:space="preserve"> over the past two years.</w:t>
      </w:r>
      <w:r>
        <w:rPr>
          <w:rFonts w:cs="Arial"/>
        </w:rPr>
        <w:t xml:space="preserve"> A big thank you is also due to Professor Luke Mason who has provided me with insights, resources and advice in all things legal education related and beyond, and without who’s help I would have struggled at times. Thank you to my family and friends</w:t>
      </w:r>
      <w:r w:rsidR="001E3894">
        <w:rPr>
          <w:rFonts w:cs="Arial"/>
        </w:rPr>
        <w:t>,</w:t>
      </w:r>
      <w:r>
        <w:rPr>
          <w:rFonts w:cs="Arial"/>
        </w:rPr>
        <w:t xml:space="preserve"> </w:t>
      </w:r>
      <w:r w:rsidR="001E3894">
        <w:rPr>
          <w:rFonts w:cs="Arial"/>
        </w:rPr>
        <w:t>often suffering</w:t>
      </w:r>
      <w:r>
        <w:rPr>
          <w:rFonts w:cs="Arial"/>
        </w:rPr>
        <w:t xml:space="preserve"> the brunt of my </w:t>
      </w:r>
      <w:r w:rsidR="001E3894">
        <w:rPr>
          <w:rFonts w:cs="Arial"/>
        </w:rPr>
        <w:t xml:space="preserve">self-imposed anxiety and </w:t>
      </w:r>
      <w:r>
        <w:rPr>
          <w:rFonts w:cs="Arial"/>
        </w:rPr>
        <w:t>frustrations</w:t>
      </w:r>
      <w:r w:rsidR="00D75293">
        <w:rPr>
          <w:rFonts w:cs="Arial"/>
        </w:rPr>
        <w:t>,</w:t>
      </w:r>
      <w:r w:rsidR="001E3894">
        <w:rPr>
          <w:rFonts w:cs="Arial"/>
        </w:rPr>
        <w:t xml:space="preserve"> whilst being</w:t>
      </w:r>
      <w:r>
        <w:rPr>
          <w:rFonts w:cs="Arial"/>
        </w:rPr>
        <w:t xml:space="preserve"> extremely patient with me. </w:t>
      </w:r>
      <w:r w:rsidR="0003652C">
        <w:rPr>
          <w:rFonts w:cs="Arial"/>
        </w:rPr>
        <w:t>Finally</w:t>
      </w:r>
      <w:r>
        <w:rPr>
          <w:rFonts w:cs="Arial"/>
        </w:rPr>
        <w:t xml:space="preserve">, thank you to </w:t>
      </w:r>
      <w:r w:rsidR="00601DB6">
        <w:rPr>
          <w:rFonts w:cs="Arial"/>
        </w:rPr>
        <w:t xml:space="preserve">‘the other </w:t>
      </w:r>
      <w:r>
        <w:rPr>
          <w:rFonts w:cs="Arial"/>
        </w:rPr>
        <w:t>Jane</w:t>
      </w:r>
      <w:r w:rsidR="00601DB6">
        <w:rPr>
          <w:rFonts w:cs="Arial"/>
        </w:rPr>
        <w:t>’</w:t>
      </w:r>
      <w:r>
        <w:rPr>
          <w:rFonts w:cs="Arial"/>
        </w:rPr>
        <w:t xml:space="preserve">, </w:t>
      </w:r>
      <w:r w:rsidR="00D75293">
        <w:rPr>
          <w:rFonts w:cs="Arial"/>
        </w:rPr>
        <w:t xml:space="preserve">a </w:t>
      </w:r>
      <w:r>
        <w:rPr>
          <w:rFonts w:cs="Arial"/>
        </w:rPr>
        <w:t xml:space="preserve">fellow PhD researcher at Lancaster. We have shared our experiences throughout this journey, </w:t>
      </w:r>
      <w:r w:rsidR="001E3894">
        <w:rPr>
          <w:rFonts w:cs="Arial"/>
        </w:rPr>
        <w:t>and Jane has been</w:t>
      </w:r>
      <w:r>
        <w:rPr>
          <w:rFonts w:cs="Arial"/>
        </w:rPr>
        <w:t xml:space="preserve"> </w:t>
      </w:r>
      <w:r w:rsidR="001E3894">
        <w:rPr>
          <w:rFonts w:cs="Arial"/>
        </w:rPr>
        <w:t xml:space="preserve">a pillar, a confidant and a fantastic </w:t>
      </w:r>
      <w:r w:rsidR="00D75293">
        <w:rPr>
          <w:rFonts w:cs="Arial"/>
        </w:rPr>
        <w:t xml:space="preserve">friend </w:t>
      </w:r>
      <w:r w:rsidR="0003652C">
        <w:rPr>
          <w:rFonts w:cs="Arial"/>
        </w:rPr>
        <w:t xml:space="preserve">and </w:t>
      </w:r>
      <w:r w:rsidR="00D75293">
        <w:rPr>
          <w:rFonts w:cs="Arial"/>
        </w:rPr>
        <w:t xml:space="preserve">support </w:t>
      </w:r>
      <w:r w:rsidR="001E3894">
        <w:rPr>
          <w:rFonts w:cs="Arial"/>
        </w:rPr>
        <w:t xml:space="preserve">throughout. </w:t>
      </w:r>
    </w:p>
    <w:p w14:paraId="22EDF3FD" w14:textId="77777777" w:rsidR="001E3894" w:rsidRDefault="001E3894" w:rsidP="007A419E">
      <w:pPr>
        <w:spacing w:after="100" w:afterAutospacing="1" w:line="360" w:lineRule="auto"/>
        <w:rPr>
          <w:rFonts w:cs="Arial"/>
        </w:rPr>
      </w:pPr>
    </w:p>
    <w:p w14:paraId="79054F18" w14:textId="77777777" w:rsidR="003B4117" w:rsidRPr="00EF0E6B" w:rsidRDefault="003B4117" w:rsidP="007A419E">
      <w:pPr>
        <w:spacing w:after="100" w:afterAutospacing="1" w:line="360" w:lineRule="auto"/>
        <w:rPr>
          <w:rFonts w:cs="Arial"/>
        </w:rPr>
      </w:pPr>
      <w:r w:rsidRPr="00EF0E6B">
        <w:rPr>
          <w:rFonts w:cs="Arial"/>
        </w:rPr>
        <w:br w:type="page"/>
      </w:r>
    </w:p>
    <w:p w14:paraId="392016BC" w14:textId="77777777" w:rsidR="001E3894" w:rsidRDefault="003B4117" w:rsidP="007A419E">
      <w:pPr>
        <w:spacing w:after="100" w:afterAutospacing="1" w:line="360" w:lineRule="auto"/>
        <w:rPr>
          <w:rFonts w:cs="Arial"/>
          <w:b/>
        </w:rPr>
      </w:pPr>
      <w:r w:rsidRPr="00EF0E6B">
        <w:rPr>
          <w:rFonts w:cs="Arial"/>
          <w:b/>
        </w:rPr>
        <w:lastRenderedPageBreak/>
        <w:t xml:space="preserve">Author’s declaration: </w:t>
      </w:r>
    </w:p>
    <w:p w14:paraId="3351ACFD" w14:textId="77777777" w:rsidR="001E3894" w:rsidRDefault="001E3894" w:rsidP="0005689B">
      <w:pPr>
        <w:spacing w:after="100" w:afterAutospacing="1" w:line="360" w:lineRule="auto"/>
        <w:jc w:val="both"/>
        <w:rPr>
          <w:rFonts w:cs="Arial"/>
          <w:b/>
        </w:rPr>
      </w:pPr>
    </w:p>
    <w:p w14:paraId="5BB83478" w14:textId="51875C1B" w:rsidR="003B4117" w:rsidRPr="00EF0E6B" w:rsidRDefault="001E3894" w:rsidP="0005689B">
      <w:pPr>
        <w:spacing w:after="100" w:afterAutospacing="1" w:line="360" w:lineRule="auto"/>
        <w:jc w:val="both"/>
        <w:rPr>
          <w:rFonts w:cs="Arial"/>
          <w:sz w:val="22"/>
          <w:szCs w:val="22"/>
        </w:rPr>
      </w:pPr>
      <w:r>
        <w:rPr>
          <w:rFonts w:cs="Arial"/>
        </w:rPr>
        <w:t>This</w:t>
      </w:r>
      <w:r w:rsidR="003B4117" w:rsidRPr="00EF0E6B">
        <w:rPr>
          <w:rFonts w:cs="Arial"/>
        </w:rPr>
        <w:t xml:space="preserve"> thesis is </w:t>
      </w:r>
      <w:r>
        <w:rPr>
          <w:rFonts w:cs="Arial"/>
        </w:rPr>
        <w:t>my</w:t>
      </w:r>
      <w:r w:rsidR="003B4117" w:rsidRPr="00EF0E6B">
        <w:rPr>
          <w:rFonts w:cs="Arial"/>
        </w:rPr>
        <w:t xml:space="preserve"> own work and has not been submitted in substantially the same form for </w:t>
      </w:r>
      <w:r w:rsidR="00D75293">
        <w:rPr>
          <w:rFonts w:cs="Arial"/>
        </w:rPr>
        <w:t>any other</w:t>
      </w:r>
      <w:r w:rsidR="003B4117" w:rsidRPr="00EF0E6B">
        <w:rPr>
          <w:rFonts w:cs="Arial"/>
        </w:rPr>
        <w:t xml:space="preserve"> award of a higher degree elsewhere. </w:t>
      </w:r>
      <w:r>
        <w:rPr>
          <w:rFonts w:cs="Arial"/>
        </w:rPr>
        <w:t xml:space="preserve">No sections have </w:t>
      </w:r>
      <w:r w:rsidR="003B4117" w:rsidRPr="00EF0E6B">
        <w:rPr>
          <w:rFonts w:cs="Arial"/>
        </w:rPr>
        <w:t xml:space="preserve">been </w:t>
      </w:r>
      <w:r w:rsidR="00D75293" w:rsidRPr="00EF0E6B">
        <w:rPr>
          <w:rFonts w:cs="Arial"/>
        </w:rPr>
        <w:t>published or</w:t>
      </w:r>
      <w:r w:rsidR="003B4117" w:rsidRPr="00EF0E6B">
        <w:rPr>
          <w:rFonts w:cs="Arial"/>
        </w:rPr>
        <w:t xml:space="preserve"> submitted for a higher degree elsewhere</w:t>
      </w:r>
      <w:r>
        <w:rPr>
          <w:rFonts w:cs="Arial"/>
        </w:rPr>
        <w:t xml:space="preserve">. </w:t>
      </w:r>
    </w:p>
    <w:p w14:paraId="5697AD22" w14:textId="77777777" w:rsidR="00A16AFC" w:rsidRPr="00EF0E6B" w:rsidRDefault="00A16AFC" w:rsidP="007A419E">
      <w:pPr>
        <w:pStyle w:val="Heading1"/>
        <w:numPr>
          <w:ilvl w:val="0"/>
          <w:numId w:val="0"/>
        </w:numPr>
        <w:spacing w:before="100" w:after="100" w:afterAutospacing="1" w:line="360" w:lineRule="auto"/>
        <w:rPr>
          <w:rFonts w:ascii="Arial" w:hAnsi="Arial" w:cs="Arial"/>
        </w:rPr>
      </w:pPr>
      <w:r w:rsidRPr="00EF0E6B">
        <w:rPr>
          <w:rFonts w:ascii="Arial" w:hAnsi="Arial" w:cs="Arial"/>
        </w:rPr>
        <w:br w:type="page"/>
      </w:r>
      <w:bookmarkStart w:id="10" w:name="_Toc4491287"/>
      <w:bookmarkStart w:id="11" w:name="_Toc4492092"/>
      <w:bookmarkStart w:id="12" w:name="_Toc223348807"/>
      <w:r w:rsidRPr="00EF0E6B">
        <w:rPr>
          <w:rFonts w:ascii="Arial" w:hAnsi="Arial" w:cs="Arial"/>
        </w:rPr>
        <w:lastRenderedPageBreak/>
        <w:t>Public</w:t>
      </w:r>
      <w:r w:rsidR="00DE29F3" w:rsidRPr="00EF0E6B">
        <w:rPr>
          <w:rFonts w:ascii="Arial" w:hAnsi="Arial" w:cs="Arial"/>
        </w:rPr>
        <w:t xml:space="preserve">ations derived from work on </w:t>
      </w:r>
      <w:r w:rsidRPr="00EF0E6B">
        <w:rPr>
          <w:rFonts w:ascii="Arial" w:hAnsi="Arial" w:cs="Arial"/>
        </w:rPr>
        <w:t>Doctoral Programme</w:t>
      </w:r>
      <w:bookmarkEnd w:id="10"/>
      <w:bookmarkEnd w:id="11"/>
      <w:r w:rsidR="00DE29F3" w:rsidRPr="00EF0E6B">
        <w:rPr>
          <w:rFonts w:ascii="Arial" w:hAnsi="Arial" w:cs="Arial"/>
        </w:rPr>
        <w:t>s</w:t>
      </w:r>
      <w:bookmarkEnd w:id="12"/>
    </w:p>
    <w:p w14:paraId="27C78C48" w14:textId="199E306F" w:rsidR="00A16AFC" w:rsidRPr="00EF0E6B" w:rsidRDefault="00D75293" w:rsidP="007A419E">
      <w:pPr>
        <w:spacing w:after="100" w:afterAutospacing="1" w:line="360" w:lineRule="auto"/>
        <w:rPr>
          <w:rFonts w:cs="Arial"/>
        </w:rPr>
      </w:pPr>
      <w:r>
        <w:rPr>
          <w:rFonts w:cs="Arial"/>
        </w:rPr>
        <w:t xml:space="preserve">There are no publications deriving from this work at present. </w:t>
      </w:r>
      <w:r w:rsidR="00FF30C8">
        <w:rPr>
          <w:rFonts w:cs="Arial"/>
        </w:rPr>
        <w:t xml:space="preserve"> </w:t>
      </w:r>
    </w:p>
    <w:p w14:paraId="2D5D6F83" w14:textId="77777777" w:rsidR="00914CA5" w:rsidRPr="00EF0E6B" w:rsidRDefault="00914CA5" w:rsidP="00914CA5">
      <w:pPr>
        <w:pStyle w:val="Heading1"/>
        <w:numPr>
          <w:ilvl w:val="0"/>
          <w:numId w:val="0"/>
        </w:numPr>
        <w:spacing w:before="100" w:after="100" w:afterAutospacing="1" w:line="360" w:lineRule="auto"/>
        <w:rPr>
          <w:rFonts w:ascii="Arial" w:hAnsi="Arial" w:cs="Arial"/>
        </w:rPr>
        <w:sectPr w:rsidR="00914CA5" w:rsidRPr="00EF0E6B" w:rsidSect="00914CA5">
          <w:headerReference w:type="default" r:id="rId10"/>
          <w:footerReference w:type="default" r:id="rId11"/>
          <w:pgSz w:w="11880" w:h="16800"/>
          <w:pgMar w:top="1418" w:right="1418" w:bottom="1418" w:left="1985" w:header="720" w:footer="720" w:gutter="0"/>
          <w:pgNumType w:fmt="lowerRoman" w:start="1"/>
          <w:cols w:space="720"/>
        </w:sectPr>
      </w:pPr>
    </w:p>
    <w:p w14:paraId="2E0ABDFD" w14:textId="5F117131" w:rsidR="0003652C" w:rsidRPr="0003652C" w:rsidRDefault="00374960" w:rsidP="0003652C">
      <w:pPr>
        <w:pStyle w:val="Heading1"/>
        <w:numPr>
          <w:ilvl w:val="0"/>
          <w:numId w:val="0"/>
        </w:numPr>
        <w:spacing w:before="100" w:after="100" w:afterAutospacing="1" w:line="360" w:lineRule="auto"/>
        <w:rPr>
          <w:rFonts w:ascii="Arial" w:hAnsi="Arial" w:cs="Arial"/>
        </w:rPr>
      </w:pPr>
      <w:bookmarkStart w:id="13" w:name="_Toc4491290"/>
      <w:bookmarkStart w:id="14" w:name="_Toc4492095"/>
      <w:bookmarkStart w:id="15" w:name="_Toc223348808"/>
      <w:r w:rsidRPr="0003652C">
        <w:rPr>
          <w:rFonts w:ascii="Arial" w:hAnsi="Arial" w:cs="Arial"/>
        </w:rPr>
        <w:lastRenderedPageBreak/>
        <w:t>Ch</w:t>
      </w:r>
      <w:r w:rsidR="00036F7B" w:rsidRPr="0003652C">
        <w:rPr>
          <w:rFonts w:ascii="Arial" w:hAnsi="Arial" w:cs="Arial"/>
        </w:rPr>
        <w:t>a</w:t>
      </w:r>
      <w:r w:rsidRPr="0003652C">
        <w:rPr>
          <w:rFonts w:ascii="Arial" w:hAnsi="Arial" w:cs="Arial"/>
        </w:rPr>
        <w:t xml:space="preserve">pter </w:t>
      </w:r>
      <w:r w:rsidR="00046A61">
        <w:rPr>
          <w:rFonts w:ascii="Arial" w:hAnsi="Arial" w:cs="Arial"/>
        </w:rPr>
        <w:t>1</w:t>
      </w:r>
      <w:r w:rsidRPr="0003652C">
        <w:rPr>
          <w:rFonts w:ascii="Arial" w:hAnsi="Arial" w:cs="Arial"/>
        </w:rPr>
        <w:t xml:space="preserve">: </w:t>
      </w:r>
      <w:r w:rsidR="00A16AFC" w:rsidRPr="0003652C">
        <w:rPr>
          <w:rFonts w:ascii="Arial" w:hAnsi="Arial" w:cs="Arial"/>
        </w:rPr>
        <w:t>Introduction and Background</w:t>
      </w:r>
      <w:bookmarkEnd w:id="13"/>
      <w:bookmarkEnd w:id="14"/>
      <w:bookmarkEnd w:id="15"/>
    </w:p>
    <w:p w14:paraId="5C279D11" w14:textId="526988EF" w:rsidR="0003652C" w:rsidRPr="0003652C" w:rsidRDefault="00D773E0" w:rsidP="0003652C">
      <w:pPr>
        <w:pStyle w:val="Heading2"/>
        <w:spacing w:before="100" w:after="100" w:afterAutospacing="1" w:line="360" w:lineRule="auto"/>
        <w:rPr>
          <w:rFonts w:ascii="Arial" w:hAnsi="Arial" w:cs="Arial"/>
        </w:rPr>
      </w:pPr>
      <w:bookmarkStart w:id="16" w:name="_Toc223348809"/>
      <w:r w:rsidRPr="0003652C">
        <w:rPr>
          <w:rFonts w:ascii="Arial" w:hAnsi="Arial" w:cs="Arial"/>
        </w:rPr>
        <w:t>Overview, aims and research questions</w:t>
      </w:r>
      <w:bookmarkEnd w:id="16"/>
    </w:p>
    <w:p w14:paraId="6481652B" w14:textId="065844BA" w:rsidR="00D773E0" w:rsidRPr="0003652C" w:rsidRDefault="00D773E0" w:rsidP="0003652C">
      <w:pPr>
        <w:pStyle w:val="Heading3"/>
        <w:spacing w:after="100" w:afterAutospacing="1" w:line="360" w:lineRule="auto"/>
        <w:rPr>
          <w:rFonts w:ascii="Arial" w:hAnsi="Arial" w:cs="Arial"/>
        </w:rPr>
      </w:pPr>
      <w:bookmarkStart w:id="17" w:name="_Toc223348810"/>
      <w:r w:rsidRPr="0003652C">
        <w:rPr>
          <w:rFonts w:ascii="Arial" w:hAnsi="Arial" w:cs="Arial"/>
        </w:rPr>
        <w:t>Overview</w:t>
      </w:r>
      <w:bookmarkEnd w:id="17"/>
    </w:p>
    <w:p w14:paraId="45DAA47D" w14:textId="3C69ECC6" w:rsidR="00D773E0" w:rsidRPr="0003652C" w:rsidRDefault="00D773E0" w:rsidP="0003652C">
      <w:pPr>
        <w:spacing w:line="360" w:lineRule="auto"/>
        <w:jc w:val="both"/>
        <w:rPr>
          <w:rFonts w:cs="Arial"/>
          <w:color w:val="000000" w:themeColor="text1"/>
        </w:rPr>
      </w:pPr>
      <w:r w:rsidRPr="0003652C">
        <w:rPr>
          <w:rFonts w:cs="Arial"/>
          <w:color w:val="000000" w:themeColor="text1"/>
        </w:rPr>
        <w:t xml:space="preserve">This investigation aims to </w:t>
      </w:r>
      <w:r w:rsidR="004E1052">
        <w:rPr>
          <w:rFonts w:cs="Arial"/>
          <w:color w:val="000000" w:themeColor="text1"/>
        </w:rPr>
        <w:t>identify</w:t>
      </w:r>
      <w:r w:rsidRPr="0003652C">
        <w:rPr>
          <w:rFonts w:cs="Arial"/>
          <w:color w:val="000000" w:themeColor="text1"/>
        </w:rPr>
        <w:t xml:space="preserve"> </w:t>
      </w:r>
      <w:r w:rsidR="001C1933" w:rsidRPr="0003652C">
        <w:rPr>
          <w:rFonts w:cs="Arial"/>
          <w:color w:val="000000" w:themeColor="text1"/>
        </w:rPr>
        <w:t xml:space="preserve">the influences apparent in </w:t>
      </w:r>
      <w:r w:rsidRPr="0003652C">
        <w:rPr>
          <w:rFonts w:cs="Arial"/>
          <w:color w:val="000000" w:themeColor="text1"/>
        </w:rPr>
        <w:t>the design of undergraduate law</w:t>
      </w:r>
      <w:r w:rsidR="00B43084">
        <w:rPr>
          <w:rFonts w:cs="Arial"/>
          <w:color w:val="000000" w:themeColor="text1"/>
        </w:rPr>
        <w:t xml:space="preserve"> courses</w:t>
      </w:r>
      <w:r w:rsidR="001C1933" w:rsidRPr="0003652C">
        <w:rPr>
          <w:rFonts w:cs="Arial"/>
          <w:color w:val="000000" w:themeColor="text1"/>
        </w:rPr>
        <w:t>. I will consider the</w:t>
      </w:r>
      <w:r w:rsidRPr="0003652C">
        <w:rPr>
          <w:rFonts w:cs="Arial"/>
          <w:color w:val="000000" w:themeColor="text1"/>
        </w:rPr>
        <w:t xml:space="preserve"> perceived impact of those influences</w:t>
      </w:r>
      <w:r w:rsidR="001C1933" w:rsidRPr="0003652C">
        <w:rPr>
          <w:rFonts w:cs="Arial"/>
          <w:color w:val="000000" w:themeColor="text1"/>
        </w:rPr>
        <w:t xml:space="preserve"> on course design</w:t>
      </w:r>
      <w:r w:rsidRPr="0003652C">
        <w:rPr>
          <w:rFonts w:cs="Arial"/>
          <w:color w:val="000000" w:themeColor="text1"/>
        </w:rPr>
        <w:t xml:space="preserve"> through the lens of the course designers. </w:t>
      </w:r>
      <w:r w:rsidR="001C1933" w:rsidRPr="0003652C">
        <w:rPr>
          <w:rFonts w:cs="Arial"/>
          <w:color w:val="000000" w:themeColor="text1"/>
        </w:rPr>
        <w:t>My investigation will consider</w:t>
      </w:r>
      <w:r w:rsidRPr="0003652C">
        <w:rPr>
          <w:rFonts w:cs="Arial"/>
          <w:color w:val="000000" w:themeColor="text1"/>
        </w:rPr>
        <w:t xml:space="preserve"> law as a discipline, and the endogenous ethnography of this discipline, </w:t>
      </w:r>
      <w:r w:rsidR="001C1933" w:rsidRPr="0003652C">
        <w:rPr>
          <w:rFonts w:cs="Arial"/>
          <w:color w:val="000000" w:themeColor="text1"/>
        </w:rPr>
        <w:t>and</w:t>
      </w:r>
      <w:r w:rsidRPr="0003652C">
        <w:rPr>
          <w:rFonts w:cs="Arial"/>
          <w:color w:val="000000" w:themeColor="text1"/>
        </w:rPr>
        <w:t xml:space="preserve"> </w:t>
      </w:r>
      <w:r w:rsidR="001C1933" w:rsidRPr="0003652C">
        <w:rPr>
          <w:rFonts w:cs="Arial"/>
          <w:color w:val="000000" w:themeColor="text1"/>
        </w:rPr>
        <w:t>it will look at</w:t>
      </w:r>
      <w:r w:rsidRPr="0003652C">
        <w:rPr>
          <w:rFonts w:cs="Arial"/>
          <w:color w:val="000000" w:themeColor="text1"/>
        </w:rPr>
        <w:t xml:space="preserve"> the exogenous influences to see where structures of power and control sit in </w:t>
      </w:r>
      <w:r w:rsidR="001C1933" w:rsidRPr="0003652C">
        <w:rPr>
          <w:rFonts w:cs="Arial"/>
          <w:color w:val="000000" w:themeColor="text1"/>
        </w:rPr>
        <w:t>legal education</w:t>
      </w:r>
      <w:r w:rsidRPr="0003652C">
        <w:rPr>
          <w:rFonts w:cs="Arial"/>
          <w:color w:val="000000" w:themeColor="text1"/>
        </w:rPr>
        <w:t xml:space="preserve"> and where they are then translated into course design. </w:t>
      </w:r>
      <w:r w:rsidR="001C1933" w:rsidRPr="0003652C">
        <w:rPr>
          <w:rFonts w:cs="Arial"/>
          <w:color w:val="000000" w:themeColor="text1"/>
        </w:rPr>
        <w:t>My enquiry</w:t>
      </w:r>
      <w:r w:rsidR="004E1052">
        <w:rPr>
          <w:rFonts w:cs="Arial"/>
          <w:color w:val="000000" w:themeColor="text1"/>
        </w:rPr>
        <w:t>,</w:t>
      </w:r>
      <w:r w:rsidR="001C1933" w:rsidRPr="0003652C">
        <w:rPr>
          <w:rFonts w:cs="Arial"/>
          <w:color w:val="000000" w:themeColor="text1"/>
        </w:rPr>
        <w:t xml:space="preserve"> therefore</w:t>
      </w:r>
      <w:r w:rsidR="004E1052">
        <w:rPr>
          <w:rFonts w:cs="Arial"/>
          <w:color w:val="000000" w:themeColor="text1"/>
        </w:rPr>
        <w:t>,</w:t>
      </w:r>
      <w:r w:rsidR="001C1933" w:rsidRPr="0003652C">
        <w:rPr>
          <w:rFonts w:cs="Arial"/>
          <w:color w:val="000000" w:themeColor="text1"/>
        </w:rPr>
        <w:t xml:space="preserve"> considers what</w:t>
      </w:r>
      <w:r w:rsidRPr="0003652C">
        <w:rPr>
          <w:rFonts w:cs="Arial"/>
          <w:color w:val="000000" w:themeColor="text1"/>
        </w:rPr>
        <w:t xml:space="preserve"> influences </w:t>
      </w:r>
      <w:r w:rsidR="001C1933" w:rsidRPr="0003652C">
        <w:rPr>
          <w:rFonts w:cs="Arial"/>
          <w:color w:val="000000" w:themeColor="text1"/>
        </w:rPr>
        <w:t xml:space="preserve">there </w:t>
      </w:r>
      <w:r w:rsidRPr="0003652C">
        <w:rPr>
          <w:rFonts w:cs="Arial"/>
          <w:color w:val="000000" w:themeColor="text1"/>
        </w:rPr>
        <w:t xml:space="preserve">might be, how a course may be a creation of these influences and human interactions, and what visibility and significance these influences have in the construction of the degree. </w:t>
      </w:r>
    </w:p>
    <w:p w14:paraId="6FE51D42" w14:textId="46AD2F09" w:rsidR="00D773E0" w:rsidRPr="0003652C" w:rsidRDefault="00D773E0" w:rsidP="0003652C">
      <w:pPr>
        <w:spacing w:line="360" w:lineRule="auto"/>
        <w:jc w:val="both"/>
        <w:rPr>
          <w:rFonts w:cs="Arial"/>
          <w:color w:val="000000" w:themeColor="text1"/>
        </w:rPr>
      </w:pPr>
      <w:r w:rsidRPr="0003652C">
        <w:rPr>
          <w:rFonts w:cs="Arial"/>
          <w:color w:val="000000" w:themeColor="text1"/>
        </w:rPr>
        <w:t xml:space="preserve">The investigation is taking place at a time of change in legal education when historical distinctions between </w:t>
      </w:r>
      <w:r w:rsidR="00AA60E6" w:rsidRPr="0003652C">
        <w:rPr>
          <w:rFonts w:cs="Arial"/>
          <w:color w:val="000000" w:themeColor="text1"/>
        </w:rPr>
        <w:t>the</w:t>
      </w:r>
      <w:r w:rsidRPr="0003652C">
        <w:rPr>
          <w:rFonts w:cs="Arial"/>
          <w:color w:val="000000" w:themeColor="text1"/>
        </w:rPr>
        <w:t xml:space="preserve"> academic and vocation stages of legal education are being </w:t>
      </w:r>
      <w:r w:rsidR="00AA60E6" w:rsidRPr="0003652C">
        <w:rPr>
          <w:rFonts w:cs="Arial"/>
          <w:color w:val="000000" w:themeColor="text1"/>
        </w:rPr>
        <w:t>blurred</w:t>
      </w:r>
      <w:r w:rsidRPr="0003652C">
        <w:rPr>
          <w:rFonts w:cs="Arial"/>
          <w:color w:val="000000" w:themeColor="text1"/>
        </w:rPr>
        <w:t xml:space="preserve"> by the </w:t>
      </w:r>
      <w:r w:rsidR="00AA60E6" w:rsidRPr="0003652C">
        <w:rPr>
          <w:rFonts w:cs="Arial"/>
          <w:color w:val="000000" w:themeColor="text1"/>
        </w:rPr>
        <w:t xml:space="preserve">changes in the routes to the profession by </w:t>
      </w:r>
      <w:r w:rsidRPr="0003652C">
        <w:rPr>
          <w:rFonts w:cs="Arial"/>
          <w:color w:val="000000" w:themeColor="text1"/>
        </w:rPr>
        <w:t>professional bodies</w:t>
      </w:r>
      <w:r w:rsidR="004E1052">
        <w:rPr>
          <w:rFonts w:cs="Arial"/>
          <w:color w:val="000000" w:themeColor="text1"/>
        </w:rPr>
        <w:t>. So</w:t>
      </w:r>
      <w:r w:rsidRPr="0003652C">
        <w:rPr>
          <w:rFonts w:cs="Arial"/>
          <w:color w:val="000000" w:themeColor="text1"/>
        </w:rPr>
        <w:t xml:space="preserve"> it is an appropriate point at which to consider course designers perspectives on what has gone before, and potentially what might come in terms of influences and impact.</w:t>
      </w:r>
    </w:p>
    <w:p w14:paraId="179B6AC3" w14:textId="2DA0B754" w:rsidR="00EF1F37" w:rsidRPr="0003652C" w:rsidRDefault="00EF1F37" w:rsidP="0003652C">
      <w:pPr>
        <w:pStyle w:val="Heading3"/>
        <w:spacing w:after="100" w:afterAutospacing="1" w:line="360" w:lineRule="auto"/>
        <w:rPr>
          <w:rFonts w:ascii="Arial" w:hAnsi="Arial" w:cs="Arial"/>
        </w:rPr>
      </w:pPr>
      <w:bookmarkStart w:id="18" w:name="_Toc223348811"/>
      <w:r w:rsidRPr="0003652C">
        <w:rPr>
          <w:rFonts w:ascii="Arial" w:hAnsi="Arial" w:cs="Arial"/>
        </w:rPr>
        <w:t>Aims of the research</w:t>
      </w:r>
      <w:bookmarkEnd w:id="18"/>
    </w:p>
    <w:p w14:paraId="110CA2B7" w14:textId="7CF25491" w:rsidR="00803C8B" w:rsidRDefault="00AA60E6" w:rsidP="0003652C">
      <w:pPr>
        <w:spacing w:line="360" w:lineRule="auto"/>
        <w:jc w:val="both"/>
        <w:rPr>
          <w:rFonts w:cs="Arial"/>
          <w:color w:val="000000" w:themeColor="text1"/>
        </w:rPr>
      </w:pPr>
      <w:r w:rsidRPr="0003652C">
        <w:rPr>
          <w:rFonts w:cs="Arial"/>
          <w:color w:val="000000" w:themeColor="text1"/>
        </w:rPr>
        <w:t xml:space="preserve">The aim of this research is to consider the </w:t>
      </w:r>
      <w:r w:rsidR="00F01C2C">
        <w:rPr>
          <w:rFonts w:cs="Arial"/>
          <w:color w:val="000000" w:themeColor="text1"/>
        </w:rPr>
        <w:t xml:space="preserve">influences on the </w:t>
      </w:r>
      <w:r w:rsidRPr="0003652C">
        <w:rPr>
          <w:rFonts w:cs="Arial"/>
          <w:color w:val="000000" w:themeColor="text1"/>
        </w:rPr>
        <w:t>construction of undergraduate law degrees</w:t>
      </w:r>
      <w:r w:rsidR="004E1052">
        <w:rPr>
          <w:rFonts w:cs="Arial"/>
          <w:color w:val="000000" w:themeColor="text1"/>
        </w:rPr>
        <w:t>. I</w:t>
      </w:r>
      <w:r w:rsidR="00F01C2C">
        <w:rPr>
          <w:rFonts w:cs="Arial"/>
          <w:color w:val="000000" w:themeColor="text1"/>
        </w:rPr>
        <w:t>n</w:t>
      </w:r>
      <w:r w:rsidR="00803C8B">
        <w:rPr>
          <w:rFonts w:cs="Arial"/>
          <w:color w:val="000000" w:themeColor="text1"/>
        </w:rPr>
        <w:t xml:space="preserve"> th</w:t>
      </w:r>
      <w:r w:rsidR="00F01C2C">
        <w:rPr>
          <w:rFonts w:cs="Arial"/>
          <w:color w:val="000000" w:themeColor="text1"/>
        </w:rPr>
        <w:t>at context</w:t>
      </w:r>
      <w:r w:rsidR="004E1052">
        <w:rPr>
          <w:rFonts w:cs="Arial"/>
          <w:color w:val="000000" w:themeColor="text1"/>
        </w:rPr>
        <w:t>,</w:t>
      </w:r>
      <w:r w:rsidR="00803C8B">
        <w:rPr>
          <w:rFonts w:cs="Arial"/>
          <w:color w:val="000000" w:themeColor="text1"/>
        </w:rPr>
        <w:t xml:space="preserve"> I consider course design </w:t>
      </w:r>
      <w:r w:rsidR="00F01C2C">
        <w:rPr>
          <w:rFonts w:cs="Arial"/>
          <w:color w:val="000000" w:themeColor="text1"/>
        </w:rPr>
        <w:t>as the construction of a programme of learning.</w:t>
      </w:r>
      <w:r w:rsidR="00803C8B">
        <w:rPr>
          <w:rFonts w:cs="Arial"/>
          <w:color w:val="000000" w:themeColor="text1"/>
        </w:rPr>
        <w:t xml:space="preserve"> </w:t>
      </w:r>
    </w:p>
    <w:p w14:paraId="054095DB" w14:textId="42FCAD73" w:rsidR="00803C8B" w:rsidRDefault="00803C8B" w:rsidP="008446AA">
      <w:pPr>
        <w:ind w:left="720"/>
        <w:jc w:val="both"/>
      </w:pPr>
      <w:r>
        <w:t xml:space="preserve">Course Design concerns how what is taught (and learnt) in higher education is planned, organised, delivered, assessed and evaluated. It is a more contemporary take on what used to be termed the curriculum or </w:t>
      </w:r>
      <w:r>
        <w:lastRenderedPageBreak/>
        <w:t>the syllabus, implying more in the way of conscious engagement. (Tight, 2019</w:t>
      </w:r>
      <w:r w:rsidR="00644959">
        <w:t>.</w:t>
      </w:r>
      <w:r>
        <w:t xml:space="preserve"> </w:t>
      </w:r>
      <w:r w:rsidR="00644959">
        <w:t>p.</w:t>
      </w:r>
      <w:r>
        <w:t>35)</w:t>
      </w:r>
    </w:p>
    <w:p w14:paraId="04B85D17" w14:textId="1B502676" w:rsidR="00803C8B" w:rsidRPr="008446AA" w:rsidRDefault="00F01C2C" w:rsidP="008446AA">
      <w:pPr>
        <w:jc w:val="both"/>
      </w:pPr>
      <w:r>
        <w:t xml:space="preserve">Whilst I use </w:t>
      </w:r>
      <w:r w:rsidR="00B43084">
        <w:t xml:space="preserve">the terminology </w:t>
      </w:r>
      <w:r>
        <w:t>course and programme interchangeably, I distinguish this from</w:t>
      </w:r>
      <w:r w:rsidR="00B43084">
        <w:t xml:space="preserve"> curriculum or curricula which represent</w:t>
      </w:r>
      <w:r>
        <w:t xml:space="preserve"> </w:t>
      </w:r>
      <w:r w:rsidR="00B43084">
        <w:t xml:space="preserve">a wider set of content or values from which course design draws, suggesting </w:t>
      </w:r>
      <w:r>
        <w:t>less autonomy</w:t>
      </w:r>
      <w:r w:rsidR="00B43084">
        <w:t xml:space="preserve"> and even</w:t>
      </w:r>
      <w:r>
        <w:t xml:space="preserve"> imposed criteria.</w:t>
      </w:r>
      <w:r w:rsidR="00B43084">
        <w:t xml:space="preserve"> </w:t>
      </w:r>
      <w:r>
        <w:t>This investigation</w:t>
      </w:r>
      <w:r w:rsidR="004E1052">
        <w:t>,</w:t>
      </w:r>
      <w:r>
        <w:t xml:space="preserve"> therefore</w:t>
      </w:r>
      <w:r w:rsidR="004E1052">
        <w:t>,</w:t>
      </w:r>
      <w:r>
        <w:t xml:space="preserve"> considers how a course is structured, how units of study are organised or influenced by academic paradigms, and what that design aims to achieve, but also how it might be influenced by</w:t>
      </w:r>
      <w:r w:rsidR="00B43084">
        <w:t>,</w:t>
      </w:r>
      <w:r>
        <w:t xml:space="preserve"> for example</w:t>
      </w:r>
      <w:r w:rsidR="00B43084">
        <w:t>,</w:t>
      </w:r>
      <w:r>
        <w:t xml:space="preserve"> the</w:t>
      </w:r>
      <w:r w:rsidR="00B43084">
        <w:t xml:space="preserve"> wider</w:t>
      </w:r>
      <w:r>
        <w:t xml:space="preserve"> curriculum </w:t>
      </w:r>
      <w:r w:rsidR="00B43084">
        <w:t>criteria from the</w:t>
      </w:r>
      <w:r>
        <w:t xml:space="preserve"> regulatory bodies.</w:t>
      </w:r>
      <w:r w:rsidR="00803C8B">
        <w:t xml:space="preserve"> </w:t>
      </w:r>
    </w:p>
    <w:p w14:paraId="3FDE6461" w14:textId="4990A670" w:rsidR="00EF1F37" w:rsidRPr="0003652C" w:rsidRDefault="00F01C2C" w:rsidP="0003652C">
      <w:pPr>
        <w:spacing w:line="360" w:lineRule="auto"/>
        <w:jc w:val="both"/>
        <w:rPr>
          <w:rFonts w:cs="Arial"/>
          <w:color w:val="000000" w:themeColor="text1"/>
        </w:rPr>
      </w:pPr>
      <w:r>
        <w:rPr>
          <w:rFonts w:cs="Arial"/>
          <w:color w:val="000000" w:themeColor="text1"/>
        </w:rPr>
        <w:t>This research also does</w:t>
      </w:r>
      <w:r w:rsidR="00AA60E6" w:rsidRPr="0003652C">
        <w:rPr>
          <w:rFonts w:cs="Arial"/>
          <w:color w:val="000000" w:themeColor="text1"/>
        </w:rPr>
        <w:t xml:space="preserve"> not focu</w:t>
      </w:r>
      <w:r>
        <w:rPr>
          <w:rFonts w:cs="Arial"/>
          <w:color w:val="000000" w:themeColor="text1"/>
        </w:rPr>
        <w:t>s</w:t>
      </w:r>
      <w:r w:rsidR="00AA60E6" w:rsidRPr="0003652C">
        <w:rPr>
          <w:rFonts w:cs="Arial"/>
          <w:color w:val="000000" w:themeColor="text1"/>
        </w:rPr>
        <w:t xml:space="preserve"> on the normative approaches to law, or what </w:t>
      </w:r>
      <w:r w:rsidR="008145D9" w:rsidRPr="0003652C">
        <w:rPr>
          <w:rFonts w:cs="Arial"/>
          <w:color w:val="000000" w:themeColor="text1"/>
        </w:rPr>
        <w:t xml:space="preserve">a law degree </w:t>
      </w:r>
      <w:r w:rsidR="00AA60E6" w:rsidRPr="0003652C">
        <w:rPr>
          <w:rFonts w:cs="Arial"/>
          <w:color w:val="000000" w:themeColor="text1"/>
        </w:rPr>
        <w:t xml:space="preserve">‘should’ </w:t>
      </w:r>
      <w:r w:rsidR="008145D9" w:rsidRPr="0003652C">
        <w:rPr>
          <w:rFonts w:cs="Arial"/>
          <w:color w:val="000000" w:themeColor="text1"/>
        </w:rPr>
        <w:t>do</w:t>
      </w:r>
      <w:r w:rsidR="00AA60E6" w:rsidRPr="0003652C">
        <w:rPr>
          <w:rFonts w:cs="Arial"/>
          <w:color w:val="000000" w:themeColor="text1"/>
        </w:rPr>
        <w:t xml:space="preserve">, but instead </w:t>
      </w:r>
      <w:r w:rsidR="002A269E">
        <w:rPr>
          <w:rFonts w:cs="Arial"/>
          <w:color w:val="000000" w:themeColor="text1"/>
        </w:rPr>
        <w:t>considers</w:t>
      </w:r>
      <w:r w:rsidR="00AA60E6" w:rsidRPr="0003652C">
        <w:rPr>
          <w:rFonts w:cs="Arial"/>
          <w:color w:val="000000" w:themeColor="text1"/>
        </w:rPr>
        <w:t xml:space="preserve"> how a law degree is constructed and who constructs it. My ontology is that of presenting the creation of a course by virtue of human interactions and social construction. </w:t>
      </w:r>
      <w:r w:rsidR="00EF1F37" w:rsidRPr="0003652C">
        <w:rPr>
          <w:rFonts w:cs="Arial"/>
          <w:color w:val="000000" w:themeColor="text1"/>
        </w:rPr>
        <w:t xml:space="preserve">By considering the influences and the visibility that they have in course design, the aim is to provide some transparency not only about what course design looks like, but </w:t>
      </w:r>
      <w:r w:rsidR="00AA60E6" w:rsidRPr="0003652C">
        <w:rPr>
          <w:rFonts w:cs="Arial"/>
          <w:color w:val="000000" w:themeColor="text1"/>
        </w:rPr>
        <w:t xml:space="preserve">also </w:t>
      </w:r>
      <w:r w:rsidR="00EF1F37" w:rsidRPr="0003652C">
        <w:rPr>
          <w:rFonts w:cs="Arial"/>
          <w:color w:val="000000" w:themeColor="text1"/>
        </w:rPr>
        <w:t>why</w:t>
      </w:r>
      <w:r w:rsidR="00AA60E6" w:rsidRPr="0003652C">
        <w:rPr>
          <w:rFonts w:cs="Arial"/>
          <w:color w:val="000000" w:themeColor="text1"/>
        </w:rPr>
        <w:t xml:space="preserve"> it is as it is</w:t>
      </w:r>
      <w:r w:rsidR="00EF1F37" w:rsidRPr="0003652C">
        <w:rPr>
          <w:rFonts w:cs="Arial"/>
          <w:color w:val="000000" w:themeColor="text1"/>
        </w:rPr>
        <w:t xml:space="preserve"> </w:t>
      </w:r>
      <w:r w:rsidR="00AA60E6" w:rsidRPr="0003652C">
        <w:rPr>
          <w:rFonts w:cs="Arial"/>
          <w:color w:val="000000" w:themeColor="text1"/>
        </w:rPr>
        <w:t>and what in turn that means in relation to transformative legal education. T</w:t>
      </w:r>
      <w:r w:rsidR="00EF1F37" w:rsidRPr="0003652C">
        <w:rPr>
          <w:rFonts w:cs="Arial"/>
          <w:color w:val="000000" w:themeColor="text1"/>
        </w:rPr>
        <w:t>he investigation utilises Basil Ber</w:t>
      </w:r>
      <w:r w:rsidR="004E1052">
        <w:rPr>
          <w:rFonts w:cs="Arial"/>
          <w:color w:val="000000" w:themeColor="text1"/>
        </w:rPr>
        <w:t>n</w:t>
      </w:r>
      <w:r w:rsidR="00EF1F37" w:rsidRPr="0003652C">
        <w:rPr>
          <w:rFonts w:cs="Arial"/>
          <w:color w:val="000000" w:themeColor="text1"/>
        </w:rPr>
        <w:t>stein’s pedagogic theory and framework to place the findings and analysis within the wider research into equality of access to education</w:t>
      </w:r>
      <w:r w:rsidR="008145D9" w:rsidRPr="0003652C">
        <w:rPr>
          <w:rFonts w:cs="Arial"/>
          <w:color w:val="000000" w:themeColor="text1"/>
        </w:rPr>
        <w:t xml:space="preserve"> and social justice</w:t>
      </w:r>
      <w:r w:rsidR="00EF1F37" w:rsidRPr="0003652C">
        <w:rPr>
          <w:rFonts w:cs="Arial"/>
          <w:color w:val="000000" w:themeColor="text1"/>
        </w:rPr>
        <w:t xml:space="preserve"> (Bernstein, 2000). </w:t>
      </w:r>
    </w:p>
    <w:p w14:paraId="3D3D13FD" w14:textId="03D63B21" w:rsidR="00EF1F37" w:rsidRPr="0003652C" w:rsidRDefault="00EF1F37" w:rsidP="0003652C">
      <w:pPr>
        <w:pStyle w:val="Heading3"/>
        <w:spacing w:after="100" w:afterAutospacing="1" w:line="360" w:lineRule="auto"/>
        <w:rPr>
          <w:rFonts w:ascii="Arial" w:hAnsi="Arial" w:cs="Arial"/>
        </w:rPr>
      </w:pPr>
      <w:bookmarkStart w:id="19" w:name="_Toc223348812"/>
      <w:r w:rsidRPr="0003652C">
        <w:rPr>
          <w:rFonts w:ascii="Arial" w:hAnsi="Arial" w:cs="Arial"/>
        </w:rPr>
        <w:t>Research questions</w:t>
      </w:r>
      <w:bookmarkEnd w:id="19"/>
    </w:p>
    <w:p w14:paraId="0A7CA460" w14:textId="77777777" w:rsidR="00EF1F37" w:rsidRPr="0003652C" w:rsidRDefault="00EF1F37" w:rsidP="0003652C">
      <w:pPr>
        <w:spacing w:line="360" w:lineRule="auto"/>
        <w:jc w:val="both"/>
        <w:rPr>
          <w:rFonts w:cs="Arial"/>
          <w:color w:val="000000" w:themeColor="text1"/>
        </w:rPr>
      </w:pPr>
      <w:r w:rsidRPr="0003652C">
        <w:rPr>
          <w:rFonts w:cs="Arial"/>
          <w:color w:val="000000" w:themeColor="text1"/>
        </w:rPr>
        <w:t>My research questions are:</w:t>
      </w:r>
    </w:p>
    <w:p w14:paraId="6ABAAC72" w14:textId="0452D14C" w:rsidR="00EF1F37" w:rsidRPr="0003652C" w:rsidRDefault="00EF1F37" w:rsidP="0003652C">
      <w:pPr>
        <w:spacing w:line="360" w:lineRule="auto"/>
        <w:jc w:val="both"/>
        <w:rPr>
          <w:rFonts w:cs="Arial"/>
          <w:color w:val="000000" w:themeColor="text1"/>
        </w:rPr>
      </w:pPr>
      <w:r w:rsidRPr="0003652C">
        <w:rPr>
          <w:rFonts w:cs="Arial"/>
          <w:color w:val="000000" w:themeColor="text1"/>
        </w:rPr>
        <w:t xml:space="preserve">What are the influences </w:t>
      </w:r>
      <w:r w:rsidR="008145D9" w:rsidRPr="0003652C">
        <w:rPr>
          <w:rFonts w:cs="Arial"/>
          <w:color w:val="000000" w:themeColor="text1"/>
        </w:rPr>
        <w:t>apparent in u</w:t>
      </w:r>
      <w:r w:rsidRPr="0003652C">
        <w:rPr>
          <w:rFonts w:cs="Arial"/>
          <w:color w:val="000000" w:themeColor="text1"/>
        </w:rPr>
        <w:t>ndergraduate law course design?</w:t>
      </w:r>
    </w:p>
    <w:p w14:paraId="16768CC0" w14:textId="21712E8F" w:rsidR="00EF1F37" w:rsidRDefault="00EF1F37" w:rsidP="0003652C">
      <w:pPr>
        <w:spacing w:line="360" w:lineRule="auto"/>
        <w:jc w:val="both"/>
        <w:rPr>
          <w:rFonts w:cs="Arial"/>
          <w:color w:val="000000" w:themeColor="text1"/>
        </w:rPr>
      </w:pPr>
      <w:r w:rsidRPr="0003652C">
        <w:rPr>
          <w:rFonts w:cs="Arial"/>
          <w:color w:val="000000" w:themeColor="text1"/>
        </w:rPr>
        <w:t>What impact are these influences understood to have on the course design?</w:t>
      </w:r>
    </w:p>
    <w:p w14:paraId="51FCF9F4" w14:textId="77777777" w:rsidR="009A26A6" w:rsidRPr="0003652C" w:rsidRDefault="009A26A6" w:rsidP="0003652C">
      <w:pPr>
        <w:spacing w:line="360" w:lineRule="auto"/>
        <w:jc w:val="both"/>
        <w:rPr>
          <w:rFonts w:cs="Arial"/>
          <w:color w:val="000000" w:themeColor="text1"/>
        </w:rPr>
      </w:pPr>
    </w:p>
    <w:p w14:paraId="12F97F12" w14:textId="74AA9B21" w:rsidR="00C622FE" w:rsidRPr="00C622FE" w:rsidRDefault="00EF1F37" w:rsidP="00C622FE">
      <w:pPr>
        <w:pStyle w:val="Heading2"/>
        <w:spacing w:before="100" w:after="100" w:afterAutospacing="1"/>
        <w:rPr>
          <w:rFonts w:ascii="Arial" w:hAnsi="Arial" w:cs="Arial"/>
        </w:rPr>
      </w:pPr>
      <w:bookmarkStart w:id="20" w:name="_Toc223348813"/>
      <w:r w:rsidRPr="0003652C">
        <w:rPr>
          <w:rFonts w:ascii="Arial" w:hAnsi="Arial" w:cs="Arial"/>
        </w:rPr>
        <w:lastRenderedPageBreak/>
        <w:t>Original contribution to knowledge</w:t>
      </w:r>
      <w:bookmarkEnd w:id="20"/>
    </w:p>
    <w:p w14:paraId="22601FAE" w14:textId="4D4DEA02" w:rsidR="00EF1F37" w:rsidRPr="0003652C" w:rsidRDefault="00EF1F37" w:rsidP="00C622FE">
      <w:pPr>
        <w:pStyle w:val="Heading3"/>
        <w:spacing w:after="100" w:afterAutospacing="1"/>
        <w:rPr>
          <w:rFonts w:ascii="Arial" w:hAnsi="Arial" w:cs="Arial"/>
        </w:rPr>
      </w:pPr>
      <w:bookmarkStart w:id="21" w:name="_Toc223348814"/>
      <w:r w:rsidRPr="0003652C">
        <w:rPr>
          <w:rFonts w:ascii="Arial" w:hAnsi="Arial" w:cs="Arial"/>
        </w:rPr>
        <w:t>C</w:t>
      </w:r>
      <w:r w:rsidR="00803C8B">
        <w:rPr>
          <w:rFonts w:ascii="Arial" w:hAnsi="Arial" w:cs="Arial"/>
        </w:rPr>
        <w:t>ourse</w:t>
      </w:r>
      <w:r w:rsidRPr="0003652C">
        <w:rPr>
          <w:rFonts w:ascii="Arial" w:hAnsi="Arial" w:cs="Arial"/>
        </w:rPr>
        <w:t xml:space="preserve"> design and legal education</w:t>
      </w:r>
      <w:bookmarkEnd w:id="21"/>
    </w:p>
    <w:p w14:paraId="363FB618" w14:textId="68D8BB6D" w:rsidR="00856F11" w:rsidRPr="0003652C" w:rsidRDefault="00EF1F37" w:rsidP="0003652C">
      <w:pPr>
        <w:spacing w:line="360" w:lineRule="auto"/>
        <w:jc w:val="both"/>
        <w:rPr>
          <w:rFonts w:cs="Arial"/>
          <w:color w:val="000000" w:themeColor="text1"/>
        </w:rPr>
      </w:pPr>
      <w:r w:rsidRPr="0003652C">
        <w:rPr>
          <w:rFonts w:cs="Arial"/>
          <w:color w:val="000000" w:themeColor="text1"/>
        </w:rPr>
        <w:t xml:space="preserve">Birks said in 1996, </w:t>
      </w:r>
    </w:p>
    <w:p w14:paraId="6503A567" w14:textId="41F2E7FE" w:rsidR="00856F11" w:rsidRPr="0003652C" w:rsidRDefault="00856F11" w:rsidP="0003652C">
      <w:pPr>
        <w:spacing w:line="360" w:lineRule="auto"/>
        <w:ind w:left="720"/>
        <w:jc w:val="both"/>
        <w:rPr>
          <w:rFonts w:cs="Arial"/>
          <w:color w:val="000000" w:themeColor="text1"/>
        </w:rPr>
      </w:pPr>
      <w:r w:rsidRPr="0003652C">
        <w:rPr>
          <w:rFonts w:cs="Arial"/>
          <w:color w:val="000000" w:themeColor="text1"/>
        </w:rPr>
        <w:t xml:space="preserve">It is a sad fact that, as a fish takes the water for granted in which it lives, so </w:t>
      </w:r>
      <w:r w:rsidR="00EF1F37" w:rsidRPr="0003652C">
        <w:rPr>
          <w:rFonts w:cs="Arial"/>
          <w:color w:val="000000" w:themeColor="text1"/>
        </w:rPr>
        <w:t>the real legal scholar will rarely take an active interest in legal education</w:t>
      </w:r>
      <w:r w:rsidRPr="0003652C">
        <w:rPr>
          <w:rFonts w:cs="Arial"/>
          <w:color w:val="000000" w:themeColor="text1"/>
        </w:rPr>
        <w:t>.</w:t>
      </w:r>
      <w:r w:rsidR="00EF1F37" w:rsidRPr="0003652C">
        <w:rPr>
          <w:rFonts w:cs="Arial"/>
          <w:color w:val="000000" w:themeColor="text1"/>
        </w:rPr>
        <w:t xml:space="preserve"> (Birks, 1996</w:t>
      </w:r>
      <w:r w:rsidR="004E1052">
        <w:rPr>
          <w:rFonts w:cs="Arial"/>
          <w:color w:val="000000" w:themeColor="text1"/>
        </w:rPr>
        <w:t>,</w:t>
      </w:r>
      <w:r w:rsidR="004C6419" w:rsidRPr="0003652C">
        <w:rPr>
          <w:rFonts w:cs="Arial"/>
          <w:color w:val="000000" w:themeColor="text1"/>
        </w:rPr>
        <w:t xml:space="preserve"> </w:t>
      </w:r>
      <w:r w:rsidR="00644959">
        <w:rPr>
          <w:rFonts w:cs="Arial"/>
          <w:color w:val="000000" w:themeColor="text1"/>
        </w:rPr>
        <w:t>p</w:t>
      </w:r>
      <w:r w:rsidR="00B67524" w:rsidRPr="0003652C">
        <w:rPr>
          <w:rFonts w:cs="Arial"/>
          <w:color w:val="000000" w:themeColor="text1"/>
        </w:rPr>
        <w:t xml:space="preserve">. </w:t>
      </w:r>
      <w:r w:rsidRPr="0003652C">
        <w:rPr>
          <w:rFonts w:cs="Arial"/>
          <w:color w:val="000000" w:themeColor="text1"/>
        </w:rPr>
        <w:t>xiv</w:t>
      </w:r>
      <w:r w:rsidR="00EF1F37" w:rsidRPr="0003652C">
        <w:rPr>
          <w:rFonts w:cs="Arial"/>
          <w:color w:val="000000" w:themeColor="text1"/>
        </w:rPr>
        <w:t>)</w:t>
      </w:r>
    </w:p>
    <w:p w14:paraId="26C82D48" w14:textId="73ED8E0D" w:rsidR="00EF1F37" w:rsidRPr="0003652C" w:rsidRDefault="00856F11" w:rsidP="0003652C">
      <w:pPr>
        <w:spacing w:line="360" w:lineRule="auto"/>
        <w:jc w:val="both"/>
        <w:rPr>
          <w:rFonts w:cs="Arial"/>
          <w:color w:val="000000" w:themeColor="text1"/>
        </w:rPr>
      </w:pPr>
      <w:r w:rsidRPr="0003652C">
        <w:rPr>
          <w:rFonts w:cs="Arial"/>
          <w:color w:val="000000" w:themeColor="text1"/>
        </w:rPr>
        <w:t>Legal</w:t>
      </w:r>
      <w:r w:rsidR="00EF1F37" w:rsidRPr="0003652C">
        <w:rPr>
          <w:rFonts w:cs="Arial"/>
          <w:color w:val="000000" w:themeColor="text1"/>
        </w:rPr>
        <w:t xml:space="preserve"> education is now</w:t>
      </w:r>
      <w:r w:rsidR="00937F78">
        <w:rPr>
          <w:rFonts w:cs="Arial"/>
          <w:color w:val="000000" w:themeColor="text1"/>
        </w:rPr>
        <w:t>,</w:t>
      </w:r>
      <w:r w:rsidR="00EF1F37" w:rsidRPr="0003652C">
        <w:rPr>
          <w:rFonts w:cs="Arial"/>
          <w:color w:val="000000" w:themeColor="text1"/>
        </w:rPr>
        <w:t xml:space="preserve"> </w:t>
      </w:r>
      <w:r w:rsidRPr="0003652C">
        <w:rPr>
          <w:rFonts w:cs="Arial"/>
          <w:color w:val="000000" w:themeColor="text1"/>
        </w:rPr>
        <w:t>however</w:t>
      </w:r>
      <w:r w:rsidR="00937F78">
        <w:rPr>
          <w:rFonts w:cs="Arial"/>
          <w:color w:val="000000" w:themeColor="text1"/>
        </w:rPr>
        <w:t>,</w:t>
      </w:r>
      <w:r w:rsidRPr="0003652C">
        <w:rPr>
          <w:rFonts w:cs="Arial"/>
          <w:color w:val="000000" w:themeColor="text1"/>
        </w:rPr>
        <w:t xml:space="preserve"> </w:t>
      </w:r>
      <w:r w:rsidR="00EF1F37" w:rsidRPr="0003652C">
        <w:rPr>
          <w:rFonts w:cs="Arial"/>
          <w:color w:val="000000" w:themeColor="text1"/>
        </w:rPr>
        <w:t xml:space="preserve">a much-investigated area, with many rejecting what might have been </w:t>
      </w:r>
      <w:r w:rsidR="008145D9" w:rsidRPr="0003652C">
        <w:rPr>
          <w:rFonts w:cs="Arial"/>
          <w:color w:val="000000" w:themeColor="text1"/>
        </w:rPr>
        <w:t>a prevalent</w:t>
      </w:r>
      <w:r w:rsidR="00EF1F37" w:rsidRPr="0003652C">
        <w:rPr>
          <w:rFonts w:cs="Arial"/>
          <w:color w:val="000000" w:themeColor="text1"/>
        </w:rPr>
        <w:t xml:space="preserve"> anti-intellectual approach to teaching (Cownie, 2000). Cownie some time ago called for theory </w:t>
      </w:r>
      <w:r w:rsidR="008145D9" w:rsidRPr="0003652C">
        <w:rPr>
          <w:rFonts w:cs="Arial"/>
          <w:color w:val="000000" w:themeColor="text1"/>
        </w:rPr>
        <w:t>‘</w:t>
      </w:r>
      <w:r w:rsidR="00EF1F37" w:rsidRPr="0003652C">
        <w:rPr>
          <w:rFonts w:cs="Arial"/>
          <w:color w:val="000000" w:themeColor="text1"/>
        </w:rPr>
        <w:t>to be taken seriously</w:t>
      </w:r>
      <w:r w:rsidR="008145D9" w:rsidRPr="0003652C">
        <w:rPr>
          <w:rFonts w:cs="Arial"/>
          <w:color w:val="000000" w:themeColor="text1"/>
        </w:rPr>
        <w:t>’</w:t>
      </w:r>
      <w:r w:rsidR="00EF1F37" w:rsidRPr="0003652C">
        <w:rPr>
          <w:rFonts w:cs="Arial"/>
          <w:color w:val="000000" w:themeColor="text1"/>
        </w:rPr>
        <w:t xml:space="preserve"> and to </w:t>
      </w:r>
      <w:r w:rsidR="008145D9" w:rsidRPr="0003652C">
        <w:rPr>
          <w:rFonts w:cs="Arial"/>
          <w:color w:val="000000" w:themeColor="text1"/>
        </w:rPr>
        <w:t>‘</w:t>
      </w:r>
      <w:r w:rsidR="00EF1F37" w:rsidRPr="0003652C">
        <w:rPr>
          <w:rFonts w:cs="Arial"/>
          <w:color w:val="000000" w:themeColor="text1"/>
        </w:rPr>
        <w:t>call for law teachers to take seriously their position as academics, as members of a university</w:t>
      </w:r>
      <w:r w:rsidR="008145D9" w:rsidRPr="0003652C">
        <w:rPr>
          <w:rFonts w:cs="Arial"/>
          <w:color w:val="000000" w:themeColor="text1"/>
        </w:rPr>
        <w:t>’</w:t>
      </w:r>
      <w:r w:rsidR="00EF1F37" w:rsidRPr="0003652C">
        <w:rPr>
          <w:rFonts w:cs="Arial"/>
          <w:color w:val="000000" w:themeColor="text1"/>
        </w:rPr>
        <w:t xml:space="preserve"> and</w:t>
      </w:r>
    </w:p>
    <w:p w14:paraId="687DDF52" w14:textId="7F5DD8E9" w:rsidR="00EF1F37" w:rsidRPr="0003652C" w:rsidRDefault="00EF1F37" w:rsidP="0003652C">
      <w:pPr>
        <w:spacing w:line="360" w:lineRule="auto"/>
        <w:ind w:left="720"/>
        <w:jc w:val="both"/>
        <w:rPr>
          <w:rFonts w:cs="Arial"/>
          <w:color w:val="000000" w:themeColor="text1"/>
        </w:rPr>
      </w:pPr>
      <w:r w:rsidRPr="0003652C">
        <w:rPr>
          <w:rFonts w:cs="Arial"/>
          <w:color w:val="000000" w:themeColor="text1"/>
        </w:rPr>
        <w:t xml:space="preserve"> to take part in a debate about the nature of legal education itself, to explain what we believe the purpose of legal education to be, in philosophical terms, and to work out the implications of that philosophy for teaching methods, methods of assessments and course content. (</w:t>
      </w:r>
      <w:r w:rsidR="008145D9" w:rsidRPr="0003652C">
        <w:rPr>
          <w:rFonts w:cs="Arial"/>
          <w:color w:val="000000" w:themeColor="text1"/>
        </w:rPr>
        <w:t xml:space="preserve">Cownie, </w:t>
      </w:r>
      <w:r w:rsidRPr="0003652C">
        <w:rPr>
          <w:rFonts w:cs="Arial"/>
          <w:color w:val="000000" w:themeColor="text1"/>
        </w:rPr>
        <w:t xml:space="preserve">2000, </w:t>
      </w:r>
      <w:r w:rsidR="00644959">
        <w:rPr>
          <w:rFonts w:cs="Arial"/>
          <w:color w:val="000000" w:themeColor="text1"/>
        </w:rPr>
        <w:t>p</w:t>
      </w:r>
      <w:r w:rsidRPr="0003652C">
        <w:rPr>
          <w:rFonts w:cs="Arial"/>
          <w:color w:val="000000" w:themeColor="text1"/>
        </w:rPr>
        <w:t>.236)</w:t>
      </w:r>
    </w:p>
    <w:p w14:paraId="3FED4786" w14:textId="1DDC8D39" w:rsidR="00EF1F37" w:rsidRPr="0003652C" w:rsidRDefault="00EF1F37" w:rsidP="0003652C">
      <w:pPr>
        <w:spacing w:line="360" w:lineRule="auto"/>
        <w:jc w:val="both"/>
        <w:rPr>
          <w:rFonts w:cs="Arial"/>
        </w:rPr>
      </w:pPr>
      <w:r w:rsidRPr="0003652C">
        <w:rPr>
          <w:rFonts w:cs="Arial"/>
          <w:color w:val="000000" w:themeColor="text1"/>
        </w:rPr>
        <w:t xml:space="preserve">Research on course design has grown as </w:t>
      </w:r>
      <w:r w:rsidR="00B71178">
        <w:rPr>
          <w:rFonts w:cs="Arial"/>
          <w:color w:val="000000" w:themeColor="text1"/>
        </w:rPr>
        <w:t xml:space="preserve">higher education </w:t>
      </w:r>
      <w:r w:rsidRPr="0003652C">
        <w:rPr>
          <w:rFonts w:cs="Arial"/>
          <w:color w:val="000000" w:themeColor="text1"/>
        </w:rPr>
        <w:t xml:space="preserve">institutions commit more time to this (Tight, 2019). This is perhaps unsurprising as these institutions compete within </w:t>
      </w:r>
      <w:r w:rsidR="008145D9" w:rsidRPr="0003652C">
        <w:rPr>
          <w:rFonts w:cs="Arial"/>
          <w:color w:val="000000" w:themeColor="text1"/>
        </w:rPr>
        <w:t>the</w:t>
      </w:r>
      <w:r w:rsidRPr="0003652C">
        <w:rPr>
          <w:rFonts w:cs="Arial"/>
          <w:color w:val="000000" w:themeColor="text1"/>
        </w:rPr>
        <w:t xml:space="preserve"> ever-evolving market</w:t>
      </w:r>
      <w:r w:rsidR="008145D9" w:rsidRPr="0003652C">
        <w:rPr>
          <w:rFonts w:cs="Arial"/>
          <w:color w:val="000000" w:themeColor="text1"/>
        </w:rPr>
        <w:t xml:space="preserve"> of higher education</w:t>
      </w:r>
      <w:r w:rsidRPr="0003652C">
        <w:rPr>
          <w:rFonts w:cs="Arial"/>
          <w:color w:val="000000" w:themeColor="text1"/>
        </w:rPr>
        <w:t>, where there is</w:t>
      </w:r>
      <w:r w:rsidR="008145D9" w:rsidRPr="0003652C">
        <w:rPr>
          <w:rFonts w:cs="Arial"/>
          <w:color w:val="000000" w:themeColor="text1"/>
        </w:rPr>
        <w:t xml:space="preserve"> increasing</w:t>
      </w:r>
      <w:r w:rsidRPr="0003652C">
        <w:rPr>
          <w:rFonts w:cs="Arial"/>
          <w:color w:val="000000" w:themeColor="text1"/>
        </w:rPr>
        <w:t xml:space="preserve"> value in</w:t>
      </w:r>
      <w:r w:rsidR="008145D9" w:rsidRPr="0003652C">
        <w:rPr>
          <w:rFonts w:cs="Arial"/>
          <w:color w:val="000000" w:themeColor="text1"/>
        </w:rPr>
        <w:t xml:space="preserve"> presenting</w:t>
      </w:r>
      <w:r w:rsidRPr="0003652C">
        <w:rPr>
          <w:rFonts w:cs="Arial"/>
          <w:color w:val="000000" w:themeColor="text1"/>
        </w:rPr>
        <w:t xml:space="preserve"> the right messaging (</w:t>
      </w:r>
      <w:r w:rsidR="00864084" w:rsidRPr="0003652C">
        <w:rPr>
          <w:rFonts w:cs="Arial"/>
          <w:color w:val="000000" w:themeColor="text1"/>
        </w:rPr>
        <w:t>Nicholson</w:t>
      </w:r>
      <w:r w:rsidRPr="0003652C">
        <w:rPr>
          <w:rFonts w:cs="Arial"/>
          <w:color w:val="000000" w:themeColor="text1"/>
        </w:rPr>
        <w:t>, 20</w:t>
      </w:r>
      <w:r w:rsidR="005157C0">
        <w:rPr>
          <w:rFonts w:cs="Arial"/>
          <w:color w:val="000000" w:themeColor="text1"/>
        </w:rPr>
        <w:t>19</w:t>
      </w:r>
      <w:r w:rsidR="00864084" w:rsidRPr="0003652C">
        <w:rPr>
          <w:rFonts w:cs="Arial"/>
          <w:color w:val="000000" w:themeColor="text1"/>
        </w:rPr>
        <w:t>; Nicholson &amp; Johnston, 2020</w:t>
      </w:r>
      <w:r w:rsidRPr="0003652C">
        <w:rPr>
          <w:rFonts w:cs="Arial"/>
          <w:color w:val="000000" w:themeColor="text1"/>
        </w:rPr>
        <w:t xml:space="preserve">). </w:t>
      </w:r>
      <w:r w:rsidR="00B71178">
        <w:rPr>
          <w:rFonts w:cs="Arial"/>
          <w:color w:val="000000" w:themeColor="text1"/>
        </w:rPr>
        <w:t>These higher education i</w:t>
      </w:r>
      <w:r w:rsidRPr="0003652C">
        <w:rPr>
          <w:rFonts w:cs="Arial"/>
          <w:color w:val="000000" w:themeColor="text1"/>
        </w:rPr>
        <w:t xml:space="preserve">nstitutions are diverse in nature, with varying attitudes towards teaching and research </w:t>
      </w:r>
      <w:r w:rsidR="00EB75DE" w:rsidRPr="0003652C">
        <w:rPr>
          <w:rFonts w:cs="Arial"/>
          <w:color w:val="000000" w:themeColor="text1"/>
        </w:rPr>
        <w:t xml:space="preserve">agendas </w:t>
      </w:r>
      <w:r w:rsidRPr="0003652C">
        <w:rPr>
          <w:rFonts w:cs="Arial"/>
          <w:color w:val="000000" w:themeColor="text1"/>
        </w:rPr>
        <w:t>(Henkel, 2000</w:t>
      </w:r>
      <w:r w:rsidRPr="0003652C">
        <w:rPr>
          <w:rFonts w:cs="Arial"/>
        </w:rPr>
        <w:t xml:space="preserve">; Hall &amp; Rasiah, 2022), </w:t>
      </w:r>
      <w:r w:rsidRPr="0003652C">
        <w:rPr>
          <w:rFonts w:cs="Arial"/>
          <w:color w:val="000000" w:themeColor="text1"/>
        </w:rPr>
        <w:t xml:space="preserve">different student cohorts (Croxford &amp; Raffe, 2015), and </w:t>
      </w:r>
      <w:r w:rsidR="00EB75DE" w:rsidRPr="0003652C">
        <w:rPr>
          <w:rFonts w:cs="Arial"/>
          <w:color w:val="000000" w:themeColor="text1"/>
        </w:rPr>
        <w:t>other</w:t>
      </w:r>
      <w:r w:rsidRPr="0003652C">
        <w:rPr>
          <w:rFonts w:cs="Arial"/>
          <w:color w:val="000000" w:themeColor="text1"/>
        </w:rPr>
        <w:t xml:space="preserve"> educational objectives (Scott, 1995). How courses are presented to students and </w:t>
      </w:r>
      <w:r w:rsidRPr="0003652C">
        <w:rPr>
          <w:rFonts w:cs="Arial"/>
          <w:color w:val="000000" w:themeColor="text1"/>
        </w:rPr>
        <w:lastRenderedPageBreak/>
        <w:t xml:space="preserve">employers </w:t>
      </w:r>
      <w:r w:rsidR="00BA4FAA">
        <w:rPr>
          <w:rFonts w:cs="Arial"/>
          <w:color w:val="000000" w:themeColor="text1"/>
        </w:rPr>
        <w:t>has</w:t>
      </w:r>
      <w:r w:rsidRPr="0003652C">
        <w:rPr>
          <w:rFonts w:cs="Arial"/>
          <w:color w:val="000000" w:themeColor="text1"/>
        </w:rPr>
        <w:t xml:space="preserve"> institutional importance, and </w:t>
      </w:r>
      <w:r w:rsidR="00EB75DE" w:rsidRPr="0003652C">
        <w:rPr>
          <w:rFonts w:cs="Arial"/>
          <w:color w:val="000000" w:themeColor="text1"/>
        </w:rPr>
        <w:t>for</w:t>
      </w:r>
      <w:r w:rsidRPr="0003652C">
        <w:rPr>
          <w:rFonts w:cs="Arial"/>
          <w:color w:val="000000" w:themeColor="text1"/>
        </w:rPr>
        <w:t xml:space="preserve"> law schools</w:t>
      </w:r>
      <w:r w:rsidR="000A1712">
        <w:rPr>
          <w:rStyle w:val="FootnoteReference"/>
          <w:rFonts w:cs="Arial"/>
          <w:color w:val="000000" w:themeColor="text1"/>
        </w:rPr>
        <w:footnoteReference w:id="1"/>
      </w:r>
      <w:r w:rsidRPr="0003652C">
        <w:rPr>
          <w:rFonts w:cs="Arial"/>
          <w:color w:val="000000" w:themeColor="text1"/>
        </w:rPr>
        <w:t xml:space="preserve"> and law students</w:t>
      </w:r>
      <w:r w:rsidR="00BA4FAA">
        <w:rPr>
          <w:rFonts w:cs="Arial"/>
          <w:color w:val="000000" w:themeColor="text1"/>
        </w:rPr>
        <w:t>, often perceived to be</w:t>
      </w:r>
      <w:r w:rsidR="00EB75DE" w:rsidRPr="0003652C">
        <w:rPr>
          <w:rFonts w:cs="Arial"/>
          <w:color w:val="000000" w:themeColor="text1"/>
        </w:rPr>
        <w:t xml:space="preserve"> a</w:t>
      </w:r>
      <w:r w:rsidRPr="0003652C">
        <w:rPr>
          <w:rFonts w:cs="Arial"/>
          <w:color w:val="000000" w:themeColor="text1"/>
        </w:rPr>
        <w:t xml:space="preserve"> “source of capital accumulation”, </w:t>
      </w:r>
      <w:r w:rsidR="00BA4FAA">
        <w:rPr>
          <w:rFonts w:cs="Arial"/>
          <w:color w:val="000000" w:themeColor="text1"/>
        </w:rPr>
        <w:t>may be a</w:t>
      </w:r>
      <w:r w:rsidRPr="0003652C">
        <w:rPr>
          <w:rFonts w:cs="Arial"/>
          <w:color w:val="000000" w:themeColor="text1"/>
        </w:rPr>
        <w:t xml:space="preserve"> means of enticing students onto courses based on the promise of entry to a lucrative career </w:t>
      </w:r>
      <w:r w:rsidRPr="0003652C">
        <w:rPr>
          <w:rFonts w:cs="Arial"/>
        </w:rPr>
        <w:t xml:space="preserve">(Thornton, 2020. </w:t>
      </w:r>
      <w:r w:rsidR="00644959">
        <w:rPr>
          <w:rFonts w:cs="Arial"/>
        </w:rPr>
        <w:t>p.</w:t>
      </w:r>
      <w:r w:rsidRPr="0003652C">
        <w:rPr>
          <w:rFonts w:cs="Arial"/>
        </w:rPr>
        <w:t xml:space="preserve"> 241). </w:t>
      </w:r>
      <w:r w:rsidRPr="0003652C">
        <w:rPr>
          <w:rFonts w:cs="Arial"/>
          <w:color w:val="000000" w:themeColor="text1"/>
        </w:rPr>
        <w:t>This has had implications for legal education</w:t>
      </w:r>
      <w:r w:rsidR="00937F78">
        <w:rPr>
          <w:rFonts w:cs="Arial"/>
          <w:color w:val="000000" w:themeColor="text1"/>
        </w:rPr>
        <w:t>,</w:t>
      </w:r>
      <w:r w:rsidRPr="0003652C">
        <w:rPr>
          <w:rFonts w:cs="Arial"/>
          <w:color w:val="000000" w:themeColor="text1"/>
        </w:rPr>
        <w:t xml:space="preserve"> as </w:t>
      </w:r>
      <w:r w:rsidR="00B71178">
        <w:rPr>
          <w:rFonts w:cs="Arial"/>
          <w:color w:val="000000" w:themeColor="text1"/>
        </w:rPr>
        <w:t xml:space="preserve">within these higher education institutions, </w:t>
      </w:r>
      <w:r w:rsidRPr="0003652C">
        <w:rPr>
          <w:rFonts w:cs="Arial"/>
          <w:color w:val="000000" w:themeColor="text1"/>
        </w:rPr>
        <w:t xml:space="preserve">law schools have been encouraged to develop interdisciplinary links, </w:t>
      </w:r>
      <w:r w:rsidR="00EB75DE" w:rsidRPr="0003652C">
        <w:rPr>
          <w:rFonts w:cs="Arial"/>
          <w:color w:val="000000" w:themeColor="text1"/>
        </w:rPr>
        <w:t>to</w:t>
      </w:r>
      <w:r w:rsidRPr="0003652C">
        <w:rPr>
          <w:rFonts w:cs="Arial"/>
          <w:color w:val="000000" w:themeColor="text1"/>
        </w:rPr>
        <w:t xml:space="preserve"> bolster less popular courses (Birks, 1996), or </w:t>
      </w:r>
      <w:r w:rsidR="00EB75DE" w:rsidRPr="0003652C">
        <w:rPr>
          <w:rFonts w:cs="Arial"/>
          <w:color w:val="000000" w:themeColor="text1"/>
        </w:rPr>
        <w:t>to open</w:t>
      </w:r>
      <w:r w:rsidRPr="0003652C">
        <w:rPr>
          <w:rFonts w:cs="Arial"/>
          <w:color w:val="000000" w:themeColor="text1"/>
        </w:rPr>
        <w:t xml:space="preserve"> to the lucrative market of international students. </w:t>
      </w:r>
      <w:r w:rsidRPr="0003652C">
        <w:rPr>
          <w:rFonts w:cs="Arial"/>
        </w:rPr>
        <w:t>(Thornton, 2020).</w:t>
      </w:r>
      <w:r w:rsidRPr="0003652C">
        <w:rPr>
          <w:rFonts w:cs="Arial"/>
          <w:color w:val="000000" w:themeColor="text1"/>
        </w:rPr>
        <w:t xml:space="preserve"> The uncertainty that arises from these value</w:t>
      </w:r>
      <w:r w:rsidR="00937F78">
        <w:rPr>
          <w:rFonts w:cs="Arial"/>
          <w:color w:val="000000" w:themeColor="text1"/>
        </w:rPr>
        <w:t>-</w:t>
      </w:r>
      <w:r w:rsidRPr="0003652C">
        <w:rPr>
          <w:rFonts w:cs="Arial"/>
          <w:color w:val="000000" w:themeColor="text1"/>
        </w:rPr>
        <w:t>laden market forces is heightened for legal education currently (Nicholson, 20</w:t>
      </w:r>
      <w:r w:rsidR="005157C0">
        <w:rPr>
          <w:rFonts w:cs="Arial"/>
          <w:color w:val="000000" w:themeColor="text1"/>
        </w:rPr>
        <w:t>19</w:t>
      </w:r>
      <w:r w:rsidRPr="0003652C">
        <w:rPr>
          <w:rFonts w:cs="Arial"/>
          <w:color w:val="000000" w:themeColor="text1"/>
        </w:rPr>
        <w:t xml:space="preserve">). The sub-branding </w:t>
      </w:r>
      <w:r w:rsidR="00BA4FAA">
        <w:rPr>
          <w:rFonts w:cs="Arial"/>
          <w:color w:val="000000" w:themeColor="text1"/>
        </w:rPr>
        <w:t xml:space="preserve">of degrees </w:t>
      </w:r>
      <w:r w:rsidRPr="0003652C">
        <w:rPr>
          <w:rFonts w:cs="Arial"/>
          <w:color w:val="000000" w:themeColor="text1"/>
        </w:rPr>
        <w:t xml:space="preserve">with the history and values of </w:t>
      </w:r>
      <w:r w:rsidR="00B71178">
        <w:rPr>
          <w:rFonts w:cs="Arial"/>
          <w:color w:val="000000" w:themeColor="text1"/>
        </w:rPr>
        <w:t>an</w:t>
      </w:r>
      <w:r w:rsidRPr="0003652C">
        <w:rPr>
          <w:rFonts w:cs="Arial"/>
          <w:color w:val="000000" w:themeColor="text1"/>
        </w:rPr>
        <w:t xml:space="preserve"> institution, employability and student satisfaction, and </w:t>
      </w:r>
      <w:r w:rsidR="00BA4FAA">
        <w:rPr>
          <w:rFonts w:cs="Arial"/>
          <w:color w:val="000000" w:themeColor="text1"/>
        </w:rPr>
        <w:t>for law degrees</w:t>
      </w:r>
      <w:r w:rsidRPr="0003652C">
        <w:rPr>
          <w:rFonts w:cs="Arial"/>
          <w:color w:val="000000" w:themeColor="text1"/>
        </w:rPr>
        <w:t>, the optionality in modules</w:t>
      </w:r>
      <w:r w:rsidR="00BA4FAA">
        <w:rPr>
          <w:rFonts w:cs="Arial"/>
          <w:color w:val="000000" w:themeColor="text1"/>
        </w:rPr>
        <w:t>,</w:t>
      </w:r>
      <w:r w:rsidRPr="0003652C">
        <w:rPr>
          <w:rFonts w:cs="Arial"/>
          <w:color w:val="000000" w:themeColor="text1"/>
        </w:rPr>
        <w:t xml:space="preserve"> becomes more prominent </w:t>
      </w:r>
      <w:r w:rsidRPr="0003652C">
        <w:rPr>
          <w:rFonts w:cs="Arial"/>
        </w:rPr>
        <w:t xml:space="preserve">(Hall &amp; Rasiah, 2022). </w:t>
      </w:r>
    </w:p>
    <w:p w14:paraId="0FF40C51" w14:textId="24C5578B" w:rsidR="00EF1F37" w:rsidRPr="0003652C" w:rsidRDefault="00EB75DE" w:rsidP="0003652C">
      <w:pPr>
        <w:pStyle w:val="Heading3"/>
        <w:spacing w:after="100" w:afterAutospacing="1" w:line="360" w:lineRule="auto"/>
        <w:rPr>
          <w:rFonts w:ascii="Arial" w:hAnsi="Arial" w:cs="Arial"/>
        </w:rPr>
      </w:pPr>
      <w:bookmarkStart w:id="22" w:name="_Toc223348815"/>
      <w:r w:rsidRPr="0003652C">
        <w:rPr>
          <w:rFonts w:ascii="Arial" w:hAnsi="Arial" w:cs="Arial"/>
        </w:rPr>
        <w:t>The context of c</w:t>
      </w:r>
      <w:r w:rsidR="00EF1F37" w:rsidRPr="0003652C">
        <w:rPr>
          <w:rFonts w:ascii="Arial" w:hAnsi="Arial" w:cs="Arial"/>
        </w:rPr>
        <w:t>hange</w:t>
      </w:r>
      <w:bookmarkEnd w:id="22"/>
    </w:p>
    <w:p w14:paraId="03E67E4E" w14:textId="312279BB" w:rsidR="00EF1F37" w:rsidRPr="0003652C" w:rsidRDefault="00EF1F37" w:rsidP="0003652C">
      <w:pPr>
        <w:spacing w:line="360" w:lineRule="auto"/>
        <w:jc w:val="both"/>
        <w:rPr>
          <w:rFonts w:cs="Arial"/>
          <w:color w:val="000000" w:themeColor="text1"/>
        </w:rPr>
      </w:pPr>
      <w:r w:rsidRPr="0003652C">
        <w:rPr>
          <w:rFonts w:cs="Arial"/>
          <w:color w:val="000000" w:themeColor="text1"/>
        </w:rPr>
        <w:t>Regulatory change in the routes to the profession in law has b</w:t>
      </w:r>
      <w:r w:rsidR="00937F78">
        <w:rPr>
          <w:rFonts w:cs="Arial"/>
          <w:color w:val="000000" w:themeColor="text1"/>
        </w:rPr>
        <w:t>r</w:t>
      </w:r>
      <w:r w:rsidRPr="0003652C">
        <w:rPr>
          <w:rFonts w:cs="Arial"/>
          <w:color w:val="000000" w:themeColor="text1"/>
        </w:rPr>
        <w:t xml:space="preserve">ought with </w:t>
      </w:r>
      <w:r w:rsidR="00EB75DE" w:rsidRPr="0003652C">
        <w:rPr>
          <w:rFonts w:cs="Arial"/>
          <w:color w:val="000000" w:themeColor="text1"/>
        </w:rPr>
        <w:t>it uncertainty</w:t>
      </w:r>
      <w:r w:rsidRPr="0003652C">
        <w:rPr>
          <w:rFonts w:cs="Arial"/>
          <w:color w:val="000000" w:themeColor="text1"/>
        </w:rPr>
        <w:t xml:space="preserve"> around and discussion about what an undergraduate law degree is for</w:t>
      </w:r>
      <w:r w:rsidR="00BA4FAA">
        <w:rPr>
          <w:rFonts w:cs="Arial"/>
          <w:color w:val="000000" w:themeColor="text1"/>
        </w:rPr>
        <w:t xml:space="preserve">, </w:t>
      </w:r>
      <w:r w:rsidR="00F44061" w:rsidRPr="0003652C">
        <w:rPr>
          <w:rFonts w:cs="Arial"/>
          <w:color w:val="000000" w:themeColor="text1"/>
        </w:rPr>
        <w:t>reigniting the debate about the purpose of legal education more generally (</w:t>
      </w:r>
      <w:r w:rsidR="005B4D23">
        <w:rPr>
          <w:rFonts w:cs="Arial"/>
          <w:color w:val="000000" w:themeColor="text1"/>
        </w:rPr>
        <w:t xml:space="preserve">Sanders, 2015; </w:t>
      </w:r>
      <w:r w:rsidR="00F44061" w:rsidRPr="0003652C">
        <w:rPr>
          <w:rFonts w:cs="Arial"/>
          <w:color w:val="000000" w:themeColor="text1"/>
        </w:rPr>
        <w:t>Mason &amp; Guth, 2018)</w:t>
      </w:r>
      <w:r w:rsidRPr="0003652C">
        <w:rPr>
          <w:rFonts w:cs="Arial"/>
          <w:color w:val="000000" w:themeColor="text1"/>
        </w:rPr>
        <w:t xml:space="preserve">. Events </w:t>
      </w:r>
      <w:r w:rsidR="00EB75DE" w:rsidRPr="0003652C">
        <w:rPr>
          <w:rFonts w:cs="Arial"/>
          <w:color w:val="000000" w:themeColor="text1"/>
        </w:rPr>
        <w:t>addressing</w:t>
      </w:r>
      <w:r w:rsidRPr="0003652C">
        <w:rPr>
          <w:rFonts w:cs="Arial"/>
          <w:color w:val="000000" w:themeColor="text1"/>
        </w:rPr>
        <w:t xml:space="preserve"> these </w:t>
      </w:r>
      <w:r w:rsidR="00EB75DE" w:rsidRPr="0003652C">
        <w:rPr>
          <w:rFonts w:cs="Arial"/>
          <w:color w:val="000000" w:themeColor="text1"/>
        </w:rPr>
        <w:t>concerns</w:t>
      </w:r>
      <w:r w:rsidRPr="0003652C">
        <w:rPr>
          <w:rFonts w:cs="Arial"/>
          <w:color w:val="000000" w:themeColor="text1"/>
        </w:rPr>
        <w:t>, such as the annual Future of Legal Education and Training Conference from 2018 to 2020, and Nottingham Trent’s Centre for Legal Education Conference 2024, are illustrative of this</w:t>
      </w:r>
      <w:r w:rsidR="00F44061" w:rsidRPr="0003652C">
        <w:rPr>
          <w:rFonts w:cs="Arial"/>
          <w:color w:val="000000" w:themeColor="text1"/>
        </w:rPr>
        <w:t xml:space="preserve"> (CLE, 2024)</w:t>
      </w:r>
      <w:r w:rsidR="00EB75DE" w:rsidRPr="0003652C">
        <w:rPr>
          <w:rFonts w:cs="Arial"/>
          <w:color w:val="000000" w:themeColor="text1"/>
        </w:rPr>
        <w:t xml:space="preserve">. </w:t>
      </w:r>
      <w:r w:rsidRPr="0003652C">
        <w:rPr>
          <w:rFonts w:cs="Arial"/>
          <w:color w:val="000000" w:themeColor="text1"/>
        </w:rPr>
        <w:t>There has also been a great deal written about the purpose of law degrees and legal education more generally</w:t>
      </w:r>
      <w:r w:rsidR="00A07855">
        <w:rPr>
          <w:rFonts w:cs="Arial"/>
          <w:color w:val="000000" w:themeColor="text1"/>
        </w:rPr>
        <w:t>,</w:t>
      </w:r>
      <w:r w:rsidRPr="0003652C">
        <w:rPr>
          <w:rFonts w:cs="Arial"/>
          <w:color w:val="000000" w:themeColor="text1"/>
        </w:rPr>
        <w:t xml:space="preserve"> </w:t>
      </w:r>
      <w:r w:rsidR="00F44061" w:rsidRPr="0003652C">
        <w:rPr>
          <w:rFonts w:cs="Arial"/>
          <w:color w:val="000000" w:themeColor="text1"/>
        </w:rPr>
        <w:t>as will be discussed in the following two chapters. My</w:t>
      </w:r>
      <w:r w:rsidRPr="0003652C">
        <w:rPr>
          <w:rFonts w:cs="Arial"/>
          <w:color w:val="000000" w:themeColor="text1"/>
        </w:rPr>
        <w:t xml:space="preserve"> research </w:t>
      </w:r>
      <w:r w:rsidR="00F44061" w:rsidRPr="0003652C">
        <w:rPr>
          <w:rFonts w:cs="Arial"/>
          <w:color w:val="000000" w:themeColor="text1"/>
        </w:rPr>
        <w:t>utilises</w:t>
      </w:r>
      <w:r w:rsidRPr="0003652C">
        <w:rPr>
          <w:rFonts w:cs="Arial"/>
          <w:color w:val="000000" w:themeColor="text1"/>
        </w:rPr>
        <w:t xml:space="preserve"> that literature </w:t>
      </w:r>
      <w:r w:rsidR="00F44061" w:rsidRPr="0003652C">
        <w:rPr>
          <w:rFonts w:cs="Arial"/>
          <w:color w:val="000000" w:themeColor="text1"/>
        </w:rPr>
        <w:t>as reference points</w:t>
      </w:r>
      <w:r w:rsidRPr="0003652C">
        <w:rPr>
          <w:rFonts w:cs="Arial"/>
          <w:color w:val="000000" w:themeColor="text1"/>
        </w:rPr>
        <w:t>, before presenting the findings</w:t>
      </w:r>
      <w:r w:rsidR="00937F78">
        <w:rPr>
          <w:rFonts w:cs="Arial"/>
          <w:color w:val="000000" w:themeColor="text1"/>
        </w:rPr>
        <w:t>,</w:t>
      </w:r>
      <w:r w:rsidRPr="0003652C">
        <w:rPr>
          <w:rFonts w:cs="Arial"/>
          <w:color w:val="000000" w:themeColor="text1"/>
        </w:rPr>
        <w:t xml:space="preserve"> not on what the degree should be, nor on what it looks like, but on what influences are understood to be at play. The analysis will look at the influence of the professional regulatory bodies and </w:t>
      </w:r>
      <w:r w:rsidRPr="0003652C">
        <w:rPr>
          <w:rFonts w:cs="Arial"/>
          <w:color w:val="000000" w:themeColor="text1"/>
        </w:rPr>
        <w:lastRenderedPageBreak/>
        <w:t xml:space="preserve">the </w:t>
      </w:r>
      <w:r w:rsidR="00F44061" w:rsidRPr="0003652C">
        <w:rPr>
          <w:rFonts w:cs="Arial"/>
          <w:color w:val="000000" w:themeColor="text1"/>
        </w:rPr>
        <w:t>wider role of the state, and more specifically</w:t>
      </w:r>
      <w:r w:rsidR="00937F78">
        <w:rPr>
          <w:rFonts w:cs="Arial"/>
          <w:color w:val="000000" w:themeColor="text1"/>
        </w:rPr>
        <w:t>,</w:t>
      </w:r>
      <w:r w:rsidR="00F44061" w:rsidRPr="0003652C">
        <w:rPr>
          <w:rFonts w:cs="Arial"/>
          <w:color w:val="000000" w:themeColor="text1"/>
        </w:rPr>
        <w:t xml:space="preserve"> the educational regulatory bodies in</w:t>
      </w:r>
      <w:r w:rsidRPr="0003652C">
        <w:rPr>
          <w:rFonts w:cs="Arial"/>
          <w:color w:val="000000" w:themeColor="text1"/>
        </w:rPr>
        <w:t xml:space="preserve"> the design of degrees. It considers the identities within a law school and their impact upon the programme provision to students, and the autonomy of th</w:t>
      </w:r>
      <w:r w:rsidR="00F44061" w:rsidRPr="0003652C">
        <w:rPr>
          <w:rFonts w:cs="Arial"/>
          <w:color w:val="000000" w:themeColor="text1"/>
        </w:rPr>
        <w:t>ose and other</w:t>
      </w:r>
      <w:r w:rsidRPr="0003652C">
        <w:rPr>
          <w:rFonts w:cs="Arial"/>
          <w:color w:val="000000" w:themeColor="text1"/>
        </w:rPr>
        <w:t xml:space="preserve"> stakeholders in the design.</w:t>
      </w:r>
      <w:r w:rsidR="00644959">
        <w:rPr>
          <w:rFonts w:cs="Arial"/>
          <w:color w:val="000000" w:themeColor="text1"/>
        </w:rPr>
        <w:t xml:space="preserve"> </w:t>
      </w:r>
      <w:r w:rsidRPr="0003652C">
        <w:rPr>
          <w:rFonts w:cs="Arial"/>
          <w:color w:val="000000" w:themeColor="text1"/>
        </w:rPr>
        <w:t xml:space="preserve">Ultimately this question is important because it may provide answers as to </w:t>
      </w:r>
      <w:r w:rsidR="00F44061" w:rsidRPr="0003652C">
        <w:rPr>
          <w:rFonts w:cs="Arial"/>
          <w:color w:val="000000" w:themeColor="text1"/>
        </w:rPr>
        <w:t>who has the power or control in this process,</w:t>
      </w:r>
      <w:r w:rsidRPr="0003652C">
        <w:rPr>
          <w:rFonts w:cs="Arial"/>
          <w:color w:val="000000" w:themeColor="text1"/>
        </w:rPr>
        <w:t xml:space="preserve"> and </w:t>
      </w:r>
      <w:r w:rsidR="00F44061" w:rsidRPr="0003652C">
        <w:rPr>
          <w:rFonts w:cs="Arial"/>
          <w:color w:val="000000" w:themeColor="text1"/>
        </w:rPr>
        <w:t>what that means going forward</w:t>
      </w:r>
      <w:r w:rsidRPr="0003652C">
        <w:rPr>
          <w:rFonts w:cs="Arial"/>
          <w:color w:val="000000" w:themeColor="text1"/>
        </w:rPr>
        <w:t xml:space="preserve">. Whilst </w:t>
      </w:r>
      <w:r w:rsidR="00F44061" w:rsidRPr="0003652C">
        <w:rPr>
          <w:rFonts w:cs="Arial"/>
          <w:color w:val="000000" w:themeColor="text1"/>
        </w:rPr>
        <w:t xml:space="preserve">this investigation represents </w:t>
      </w:r>
      <w:r w:rsidRPr="0003652C">
        <w:rPr>
          <w:rFonts w:cs="Arial"/>
          <w:color w:val="000000" w:themeColor="text1"/>
        </w:rPr>
        <w:t xml:space="preserve">only a snapshot in time, </w:t>
      </w:r>
      <w:r w:rsidR="00F44061" w:rsidRPr="0003652C">
        <w:rPr>
          <w:rFonts w:cs="Arial"/>
          <w:color w:val="000000" w:themeColor="text1"/>
        </w:rPr>
        <w:t>it</w:t>
      </w:r>
      <w:r w:rsidRPr="0003652C">
        <w:rPr>
          <w:rFonts w:cs="Arial"/>
          <w:color w:val="000000" w:themeColor="text1"/>
        </w:rPr>
        <w:t xml:space="preserve"> provides </w:t>
      </w:r>
      <w:r w:rsidR="00F44061" w:rsidRPr="0003652C">
        <w:rPr>
          <w:rFonts w:cs="Arial"/>
          <w:color w:val="000000" w:themeColor="text1"/>
        </w:rPr>
        <w:t>perspectives</w:t>
      </w:r>
      <w:r w:rsidRPr="0003652C">
        <w:rPr>
          <w:rFonts w:cs="Arial"/>
          <w:color w:val="000000" w:themeColor="text1"/>
        </w:rPr>
        <w:t xml:space="preserve"> </w:t>
      </w:r>
      <w:r w:rsidR="00F44061" w:rsidRPr="0003652C">
        <w:rPr>
          <w:rFonts w:cs="Arial"/>
          <w:color w:val="000000" w:themeColor="text1"/>
        </w:rPr>
        <w:t>based on</w:t>
      </w:r>
      <w:r w:rsidRPr="0003652C">
        <w:rPr>
          <w:rFonts w:cs="Arial"/>
          <w:color w:val="000000" w:themeColor="text1"/>
        </w:rPr>
        <w:t xml:space="preserve"> experience, </w:t>
      </w:r>
      <w:r w:rsidR="00F44061" w:rsidRPr="0003652C">
        <w:rPr>
          <w:rFonts w:cs="Arial"/>
          <w:color w:val="000000" w:themeColor="text1"/>
        </w:rPr>
        <w:t>and</w:t>
      </w:r>
      <w:r w:rsidRPr="0003652C">
        <w:rPr>
          <w:rFonts w:cs="Arial"/>
          <w:color w:val="000000" w:themeColor="text1"/>
        </w:rPr>
        <w:t xml:space="preserve"> on </w:t>
      </w:r>
      <w:r w:rsidR="00F44061" w:rsidRPr="0003652C">
        <w:rPr>
          <w:rFonts w:cs="Arial"/>
          <w:color w:val="000000" w:themeColor="text1"/>
        </w:rPr>
        <w:t xml:space="preserve">the </w:t>
      </w:r>
      <w:r w:rsidRPr="0003652C">
        <w:rPr>
          <w:rFonts w:cs="Arial"/>
          <w:color w:val="000000" w:themeColor="text1"/>
        </w:rPr>
        <w:t>changing contexts of legal education before, during and after these changes. It importantly provides a perspective on the strength of the identities and cultures that have a part to play in the process.</w:t>
      </w:r>
    </w:p>
    <w:p w14:paraId="77BB7B17" w14:textId="18D5EE6A" w:rsidR="00EF1F37" w:rsidRPr="0003652C" w:rsidRDefault="00F44061" w:rsidP="0003652C">
      <w:pPr>
        <w:spacing w:line="360" w:lineRule="auto"/>
        <w:jc w:val="both"/>
        <w:rPr>
          <w:rFonts w:cs="Arial"/>
          <w:color w:val="000000" w:themeColor="text1"/>
        </w:rPr>
      </w:pPr>
      <w:r w:rsidRPr="0003652C">
        <w:rPr>
          <w:rFonts w:cs="Arial"/>
          <w:color w:val="000000" w:themeColor="text1"/>
        </w:rPr>
        <w:t>More specifically</w:t>
      </w:r>
      <w:r w:rsidR="00644959">
        <w:rPr>
          <w:rFonts w:cs="Arial"/>
          <w:color w:val="000000" w:themeColor="text1"/>
        </w:rPr>
        <w:t>,</w:t>
      </w:r>
      <w:r w:rsidRPr="0003652C">
        <w:rPr>
          <w:rFonts w:cs="Arial"/>
          <w:color w:val="000000" w:themeColor="text1"/>
        </w:rPr>
        <w:t xml:space="preserve"> the </w:t>
      </w:r>
      <w:r w:rsidR="00EF1F37" w:rsidRPr="0003652C">
        <w:rPr>
          <w:rFonts w:cs="Arial"/>
          <w:color w:val="000000" w:themeColor="text1"/>
        </w:rPr>
        <w:t xml:space="preserve">reduction in the regulatory context </w:t>
      </w:r>
      <w:r w:rsidR="00B96AB4" w:rsidRPr="0003652C">
        <w:rPr>
          <w:rFonts w:cs="Arial"/>
          <w:color w:val="000000" w:themeColor="text1"/>
        </w:rPr>
        <w:t xml:space="preserve">that is taking place </w:t>
      </w:r>
      <w:r w:rsidR="00EF1F37" w:rsidRPr="0003652C">
        <w:rPr>
          <w:rFonts w:cs="Arial"/>
          <w:color w:val="000000" w:themeColor="text1"/>
        </w:rPr>
        <w:t>may play a prominent role in changing or increasing the visibility of influences that go into undergraduate law course choices and design. These influences may in turn enable or restrict the design, or the way in which a course is presented</w:t>
      </w:r>
      <w:r w:rsidR="004264C5">
        <w:rPr>
          <w:rFonts w:cs="Arial"/>
          <w:color w:val="000000" w:themeColor="text1"/>
        </w:rPr>
        <w:t>,</w:t>
      </w:r>
      <w:r w:rsidR="00EF1F37" w:rsidRPr="0003652C">
        <w:rPr>
          <w:rFonts w:cs="Arial"/>
          <w:color w:val="000000" w:themeColor="text1"/>
        </w:rPr>
        <w:t xml:space="preserve"> and ultimately </w:t>
      </w:r>
      <w:r w:rsidR="00B96AB4" w:rsidRPr="0003652C">
        <w:rPr>
          <w:rFonts w:cs="Arial"/>
          <w:color w:val="000000" w:themeColor="text1"/>
        </w:rPr>
        <w:t>ma</w:t>
      </w:r>
      <w:r w:rsidR="004264C5">
        <w:rPr>
          <w:rFonts w:cs="Arial"/>
          <w:color w:val="000000" w:themeColor="text1"/>
        </w:rPr>
        <w:t>y</w:t>
      </w:r>
      <w:r w:rsidR="00B96AB4" w:rsidRPr="0003652C">
        <w:rPr>
          <w:rFonts w:cs="Arial"/>
          <w:color w:val="000000" w:themeColor="text1"/>
        </w:rPr>
        <w:t xml:space="preserve"> impact on students</w:t>
      </w:r>
      <w:r w:rsidR="00644959">
        <w:rPr>
          <w:rFonts w:cs="Arial"/>
          <w:color w:val="000000" w:themeColor="text1"/>
        </w:rPr>
        <w:t>’</w:t>
      </w:r>
      <w:r w:rsidR="00B96AB4" w:rsidRPr="0003652C">
        <w:rPr>
          <w:rFonts w:cs="Arial"/>
          <w:color w:val="000000" w:themeColor="text1"/>
        </w:rPr>
        <w:t xml:space="preserve"> learning and understanding</w:t>
      </w:r>
      <w:r w:rsidR="00EF1F37" w:rsidRPr="0003652C">
        <w:rPr>
          <w:rFonts w:cs="Arial"/>
          <w:color w:val="000000" w:themeColor="text1"/>
        </w:rPr>
        <w:t xml:space="preserve">. This therefore presents a pertinent point at which to consider what influences, paradigms, or values emanating from educationalists, </w:t>
      </w:r>
      <w:r w:rsidR="00B71178">
        <w:rPr>
          <w:rFonts w:cs="Arial"/>
          <w:color w:val="000000" w:themeColor="text1"/>
        </w:rPr>
        <w:t>universitie</w:t>
      </w:r>
      <w:r w:rsidR="00EF1F37" w:rsidRPr="0003652C">
        <w:rPr>
          <w:rFonts w:cs="Arial"/>
          <w:color w:val="000000" w:themeColor="text1"/>
        </w:rPr>
        <w:t>s, the discipline, or the state and the profession have a part to play in the design of undergraduate law degrees.</w:t>
      </w:r>
    </w:p>
    <w:p w14:paraId="2089481C" w14:textId="3DCE90CF" w:rsidR="00EF1F37" w:rsidRPr="0003652C" w:rsidRDefault="00063441" w:rsidP="0003652C">
      <w:pPr>
        <w:pStyle w:val="Heading3"/>
        <w:spacing w:after="100" w:afterAutospacing="1" w:line="360" w:lineRule="auto"/>
        <w:rPr>
          <w:rFonts w:ascii="Arial" w:hAnsi="Arial" w:cs="Arial"/>
        </w:rPr>
      </w:pPr>
      <w:bookmarkStart w:id="23" w:name="_Toc223348816"/>
      <w:r w:rsidRPr="0003652C">
        <w:rPr>
          <w:rFonts w:ascii="Arial" w:hAnsi="Arial" w:cs="Arial"/>
        </w:rPr>
        <w:t>Relevance beyond legal education</w:t>
      </w:r>
      <w:bookmarkEnd w:id="23"/>
    </w:p>
    <w:p w14:paraId="2FB12156" w14:textId="62281F9D" w:rsidR="00E53D79" w:rsidRDefault="00EF1F37" w:rsidP="0003652C">
      <w:pPr>
        <w:spacing w:line="360" w:lineRule="auto"/>
        <w:jc w:val="both"/>
        <w:rPr>
          <w:rFonts w:cs="Arial"/>
          <w:color w:val="000000" w:themeColor="text1"/>
        </w:rPr>
      </w:pPr>
      <w:r w:rsidRPr="0003652C">
        <w:rPr>
          <w:rFonts w:cs="Arial"/>
          <w:color w:val="000000" w:themeColor="text1"/>
        </w:rPr>
        <w:t xml:space="preserve">Whilst this is an important investigation due to the current context for legal education, it </w:t>
      </w:r>
      <w:r w:rsidR="00B96AB4" w:rsidRPr="0003652C">
        <w:rPr>
          <w:rFonts w:cs="Arial"/>
          <w:color w:val="000000" w:themeColor="text1"/>
        </w:rPr>
        <w:t>provides more than a</w:t>
      </w:r>
      <w:r w:rsidRPr="0003652C">
        <w:rPr>
          <w:rFonts w:cs="Arial"/>
          <w:color w:val="000000" w:themeColor="text1"/>
        </w:rPr>
        <w:t xml:space="preserve"> snapshot of a challenging time for one discipline. The investigation also has resonance outside of legal education, </w:t>
      </w:r>
      <w:r w:rsidR="00B96AB4" w:rsidRPr="0003652C">
        <w:rPr>
          <w:rFonts w:cs="Arial"/>
          <w:color w:val="000000" w:themeColor="text1"/>
        </w:rPr>
        <w:t>investigating educational research on course design and presenting</w:t>
      </w:r>
      <w:r w:rsidRPr="0003652C">
        <w:rPr>
          <w:rFonts w:cs="Arial"/>
          <w:color w:val="000000" w:themeColor="text1"/>
        </w:rPr>
        <w:t xml:space="preserve"> a deep insight into current and potentially conflicting influences that are present</w:t>
      </w:r>
      <w:r w:rsidR="00B96AB4" w:rsidRPr="0003652C">
        <w:rPr>
          <w:rFonts w:cs="Arial"/>
          <w:color w:val="000000" w:themeColor="text1"/>
        </w:rPr>
        <w:t xml:space="preserve"> in</w:t>
      </w:r>
      <w:r w:rsidRPr="0003652C">
        <w:rPr>
          <w:rFonts w:cs="Arial"/>
          <w:color w:val="000000" w:themeColor="text1"/>
        </w:rPr>
        <w:t xml:space="preserve"> </w:t>
      </w:r>
      <w:r w:rsidR="00B96AB4" w:rsidRPr="0003652C">
        <w:rPr>
          <w:rFonts w:cs="Arial"/>
          <w:color w:val="000000" w:themeColor="text1"/>
        </w:rPr>
        <w:t>that activity</w:t>
      </w:r>
      <w:r w:rsidRPr="0003652C">
        <w:rPr>
          <w:rFonts w:cs="Arial"/>
          <w:color w:val="000000" w:themeColor="text1"/>
        </w:rPr>
        <w:t xml:space="preserve">. </w:t>
      </w:r>
      <w:r w:rsidR="00B96AB4" w:rsidRPr="0003652C">
        <w:rPr>
          <w:rFonts w:cs="Arial"/>
          <w:color w:val="000000" w:themeColor="text1"/>
        </w:rPr>
        <w:t xml:space="preserve">By focusing on legal </w:t>
      </w:r>
      <w:r w:rsidR="0090413C" w:rsidRPr="0003652C">
        <w:rPr>
          <w:rFonts w:cs="Arial"/>
          <w:color w:val="000000" w:themeColor="text1"/>
        </w:rPr>
        <w:t>education,</w:t>
      </w:r>
      <w:r w:rsidR="00B96AB4" w:rsidRPr="0003652C">
        <w:rPr>
          <w:rFonts w:cs="Arial"/>
          <w:color w:val="000000" w:themeColor="text1"/>
        </w:rPr>
        <w:t xml:space="preserve"> I </w:t>
      </w:r>
      <w:r w:rsidR="0090413C" w:rsidRPr="0003652C">
        <w:rPr>
          <w:rFonts w:cs="Arial"/>
          <w:color w:val="000000" w:themeColor="text1"/>
        </w:rPr>
        <w:t xml:space="preserve">have been </w:t>
      </w:r>
      <w:r w:rsidR="00B96AB4" w:rsidRPr="0003652C">
        <w:rPr>
          <w:rFonts w:cs="Arial"/>
          <w:color w:val="000000" w:themeColor="text1"/>
        </w:rPr>
        <w:t>able to consider identities and</w:t>
      </w:r>
      <w:r w:rsidRPr="0003652C">
        <w:rPr>
          <w:rFonts w:cs="Arial"/>
          <w:color w:val="000000" w:themeColor="text1"/>
        </w:rPr>
        <w:t xml:space="preserve"> culture in law </w:t>
      </w:r>
      <w:r w:rsidR="00B96AB4" w:rsidRPr="0003652C">
        <w:rPr>
          <w:rFonts w:cs="Arial"/>
          <w:color w:val="000000" w:themeColor="text1"/>
        </w:rPr>
        <w:t>schools and</w:t>
      </w:r>
      <w:r w:rsidRPr="0003652C">
        <w:rPr>
          <w:rFonts w:cs="Arial"/>
          <w:color w:val="000000" w:themeColor="text1"/>
        </w:rPr>
        <w:t xml:space="preserve"> consider epistemological influences in a specific area of activity</w:t>
      </w:r>
      <w:r w:rsidR="00B96AB4" w:rsidRPr="0003652C">
        <w:rPr>
          <w:rFonts w:cs="Arial"/>
          <w:color w:val="000000" w:themeColor="text1"/>
        </w:rPr>
        <w:t>, but also in how this might have resonance for the wider higher educational context</w:t>
      </w:r>
      <w:r w:rsidRPr="0003652C">
        <w:rPr>
          <w:rFonts w:cs="Arial"/>
          <w:color w:val="000000" w:themeColor="text1"/>
        </w:rPr>
        <w:t xml:space="preserve">. </w:t>
      </w:r>
    </w:p>
    <w:p w14:paraId="54CE1FFC" w14:textId="77777777" w:rsidR="00E53D79" w:rsidRDefault="00E53D79" w:rsidP="0003652C">
      <w:pPr>
        <w:spacing w:line="360" w:lineRule="auto"/>
        <w:jc w:val="both"/>
        <w:rPr>
          <w:rFonts w:cs="Arial"/>
          <w:color w:val="000000" w:themeColor="text1"/>
        </w:rPr>
      </w:pPr>
    </w:p>
    <w:p w14:paraId="47A2CF3B" w14:textId="05DADC96" w:rsidR="00E53D79" w:rsidRDefault="00E53D79" w:rsidP="0003652C">
      <w:pPr>
        <w:spacing w:line="360" w:lineRule="auto"/>
        <w:jc w:val="both"/>
        <w:rPr>
          <w:rFonts w:cs="Arial"/>
          <w:color w:val="000000" w:themeColor="text1"/>
        </w:rPr>
      </w:pPr>
      <w:r>
        <w:rPr>
          <w:rFonts w:cs="Arial"/>
          <w:color w:val="000000" w:themeColor="text1"/>
        </w:rPr>
        <w:lastRenderedPageBreak/>
        <w:t>The relevance of this investigation beyond legal education is also evident in how it builds upon the concept of ‘quality’ in education more generally (Mc</w:t>
      </w:r>
      <w:r w:rsidR="00424F6F">
        <w:rPr>
          <w:rFonts w:cs="Arial"/>
          <w:color w:val="000000" w:themeColor="text1"/>
        </w:rPr>
        <w:t>L</w:t>
      </w:r>
      <w:r>
        <w:rPr>
          <w:rFonts w:cs="Arial"/>
          <w:color w:val="000000" w:themeColor="text1"/>
        </w:rPr>
        <w:t xml:space="preserve">ean et al., 2019). The use of the Teaching Excellence Framework in England and Wales as a metric to place a value on quality in teaching is presented as integral to the role of the state in </w:t>
      </w:r>
      <w:r w:rsidR="00046A61">
        <w:rPr>
          <w:rFonts w:cs="Arial"/>
          <w:color w:val="000000" w:themeColor="text1"/>
        </w:rPr>
        <w:t>C</w:t>
      </w:r>
      <w:r>
        <w:rPr>
          <w:rFonts w:cs="Arial"/>
          <w:color w:val="000000" w:themeColor="text1"/>
        </w:rPr>
        <w:t xml:space="preserve">hapter </w:t>
      </w:r>
      <w:r w:rsidR="00046A61">
        <w:rPr>
          <w:rFonts w:cs="Arial"/>
          <w:color w:val="000000" w:themeColor="text1"/>
        </w:rPr>
        <w:t>T</w:t>
      </w:r>
      <w:r>
        <w:rPr>
          <w:rFonts w:cs="Arial"/>
          <w:color w:val="000000" w:themeColor="text1"/>
        </w:rPr>
        <w:t xml:space="preserve">hree and is reflected upon in a similar context in the findings in </w:t>
      </w:r>
      <w:r w:rsidR="00046A61">
        <w:rPr>
          <w:rFonts w:cs="Arial"/>
          <w:color w:val="000000" w:themeColor="text1"/>
        </w:rPr>
        <w:t>C</w:t>
      </w:r>
      <w:r>
        <w:rPr>
          <w:rFonts w:cs="Arial"/>
          <w:color w:val="000000" w:themeColor="text1"/>
        </w:rPr>
        <w:t xml:space="preserve">hapter </w:t>
      </w:r>
      <w:r w:rsidR="00046A61">
        <w:rPr>
          <w:rFonts w:cs="Arial"/>
          <w:color w:val="000000" w:themeColor="text1"/>
        </w:rPr>
        <w:t>F</w:t>
      </w:r>
      <w:r>
        <w:rPr>
          <w:rFonts w:cs="Arial"/>
          <w:color w:val="000000" w:themeColor="text1"/>
        </w:rPr>
        <w:t>ive. From a practical perspective</w:t>
      </w:r>
      <w:r w:rsidR="00644959">
        <w:rPr>
          <w:rFonts w:cs="Arial"/>
          <w:color w:val="000000" w:themeColor="text1"/>
        </w:rPr>
        <w:t>,</w:t>
      </w:r>
      <w:r>
        <w:rPr>
          <w:rFonts w:cs="Arial"/>
          <w:color w:val="000000" w:themeColor="text1"/>
        </w:rPr>
        <w:t xml:space="preserve"> the investigation contributes to research presenting perspectives on quality in education, and the wider policy implications of these metrics. </w:t>
      </w:r>
    </w:p>
    <w:p w14:paraId="623FF7F1" w14:textId="02A060AE" w:rsidR="00EF1F37" w:rsidRDefault="00E53D79" w:rsidP="0003652C">
      <w:pPr>
        <w:spacing w:line="360" w:lineRule="auto"/>
        <w:jc w:val="both"/>
        <w:rPr>
          <w:rFonts w:cs="Arial"/>
          <w:color w:val="000000" w:themeColor="text1"/>
        </w:rPr>
      </w:pPr>
      <w:r>
        <w:rPr>
          <w:rFonts w:cs="Arial"/>
          <w:color w:val="000000" w:themeColor="text1"/>
        </w:rPr>
        <w:t>The findings in this investigation  and the conclusions drawn from them further</w:t>
      </w:r>
      <w:r w:rsidR="00B96AB4" w:rsidRPr="0003652C">
        <w:rPr>
          <w:rFonts w:cs="Arial"/>
          <w:color w:val="000000" w:themeColor="text1"/>
        </w:rPr>
        <w:t xml:space="preserve"> provide a bas</w:t>
      </w:r>
      <w:r w:rsidR="00644959">
        <w:rPr>
          <w:rFonts w:cs="Arial"/>
          <w:color w:val="000000" w:themeColor="text1"/>
        </w:rPr>
        <w:t>is</w:t>
      </w:r>
      <w:r w:rsidR="00B96AB4" w:rsidRPr="0003652C">
        <w:rPr>
          <w:rFonts w:cs="Arial"/>
          <w:color w:val="000000" w:themeColor="text1"/>
        </w:rPr>
        <w:t xml:space="preserve"> </w:t>
      </w:r>
      <w:r w:rsidR="00EF1F37" w:rsidRPr="0003652C">
        <w:rPr>
          <w:rFonts w:cs="Arial"/>
          <w:color w:val="000000" w:themeColor="text1"/>
        </w:rPr>
        <w:t>for fu</w:t>
      </w:r>
      <w:r>
        <w:rPr>
          <w:rFonts w:cs="Arial"/>
          <w:color w:val="000000" w:themeColor="text1"/>
        </w:rPr>
        <w:t>ture</w:t>
      </w:r>
      <w:r w:rsidR="00EF1F37" w:rsidRPr="0003652C">
        <w:rPr>
          <w:rFonts w:cs="Arial"/>
          <w:color w:val="000000" w:themeColor="text1"/>
        </w:rPr>
        <w:t xml:space="preserve"> research investigating the impact of course design on student learning</w:t>
      </w:r>
      <w:r w:rsidR="00B96AB4" w:rsidRPr="0003652C">
        <w:rPr>
          <w:rFonts w:cs="Arial"/>
          <w:color w:val="000000" w:themeColor="text1"/>
        </w:rPr>
        <w:t xml:space="preserve"> and student access to education</w:t>
      </w:r>
      <w:r w:rsidR="00644959">
        <w:rPr>
          <w:rFonts w:cs="Arial"/>
          <w:color w:val="000000" w:themeColor="text1"/>
        </w:rPr>
        <w:t>,</w:t>
      </w:r>
      <w:r w:rsidR="00063441" w:rsidRPr="0003652C">
        <w:rPr>
          <w:rFonts w:cs="Arial"/>
          <w:color w:val="000000" w:themeColor="text1"/>
        </w:rPr>
        <w:t xml:space="preserve"> whilst also contributing to the existing research utilising Bernstein’s pedagogic social theory</w:t>
      </w:r>
      <w:r w:rsidR="00A07855">
        <w:rPr>
          <w:rFonts w:cs="Arial"/>
          <w:color w:val="000000" w:themeColor="text1"/>
        </w:rPr>
        <w:t>.</w:t>
      </w:r>
    </w:p>
    <w:p w14:paraId="53A02636" w14:textId="77777777" w:rsidR="00C622FE" w:rsidRPr="0003652C" w:rsidRDefault="00C622FE" w:rsidP="0003652C">
      <w:pPr>
        <w:spacing w:line="360" w:lineRule="auto"/>
        <w:jc w:val="both"/>
        <w:rPr>
          <w:rFonts w:cs="Arial"/>
          <w:color w:val="000000" w:themeColor="text1"/>
        </w:rPr>
      </w:pPr>
    </w:p>
    <w:p w14:paraId="3ABE14D9" w14:textId="4FF6A78C" w:rsidR="00A16AFC" w:rsidRPr="0003652C" w:rsidRDefault="00EF1F37" w:rsidP="0003652C">
      <w:pPr>
        <w:pStyle w:val="Heading2"/>
        <w:spacing w:before="100" w:after="100" w:afterAutospacing="1" w:line="360" w:lineRule="auto"/>
        <w:rPr>
          <w:rFonts w:ascii="Arial" w:hAnsi="Arial" w:cs="Arial"/>
        </w:rPr>
      </w:pPr>
      <w:bookmarkStart w:id="24" w:name="_Toc223348817"/>
      <w:r w:rsidRPr="0003652C">
        <w:rPr>
          <w:rFonts w:ascii="Arial" w:hAnsi="Arial" w:cs="Arial"/>
        </w:rPr>
        <w:t>Personal motivation</w:t>
      </w:r>
      <w:bookmarkEnd w:id="24"/>
      <w:r w:rsidRPr="0003652C">
        <w:rPr>
          <w:rFonts w:ascii="Arial" w:hAnsi="Arial" w:cs="Arial"/>
        </w:rPr>
        <w:t xml:space="preserve"> </w:t>
      </w:r>
    </w:p>
    <w:p w14:paraId="7C8D8B0A" w14:textId="346324F3" w:rsidR="00EF1F37" w:rsidRPr="0003652C" w:rsidRDefault="00EF1F37" w:rsidP="0003652C">
      <w:pPr>
        <w:spacing w:line="360" w:lineRule="auto"/>
        <w:jc w:val="both"/>
        <w:rPr>
          <w:rFonts w:cs="Arial"/>
          <w:color w:val="000000" w:themeColor="text1"/>
        </w:rPr>
      </w:pPr>
      <w:r w:rsidRPr="0003652C">
        <w:rPr>
          <w:rFonts w:cs="Arial"/>
          <w:color w:val="000000" w:themeColor="text1"/>
        </w:rPr>
        <w:t xml:space="preserve">I have been involved in course design for many years, both within </w:t>
      </w:r>
      <w:r w:rsidR="004264C5">
        <w:rPr>
          <w:rFonts w:cs="Arial"/>
          <w:color w:val="000000" w:themeColor="text1"/>
        </w:rPr>
        <w:t>l</w:t>
      </w:r>
      <w:r w:rsidRPr="0003652C">
        <w:rPr>
          <w:rFonts w:cs="Arial"/>
          <w:color w:val="000000" w:themeColor="text1"/>
        </w:rPr>
        <w:t xml:space="preserve">aw </w:t>
      </w:r>
      <w:r w:rsidR="004264C5">
        <w:rPr>
          <w:rFonts w:cs="Arial"/>
          <w:color w:val="000000" w:themeColor="text1"/>
        </w:rPr>
        <w:t>s</w:t>
      </w:r>
      <w:r w:rsidRPr="0003652C">
        <w:rPr>
          <w:rFonts w:cs="Arial"/>
          <w:color w:val="000000" w:themeColor="text1"/>
        </w:rPr>
        <w:t xml:space="preserve">chools, designing or redesigning courses, and outside of them, as an external advisor. I have also </w:t>
      </w:r>
      <w:r w:rsidR="00C85BF8" w:rsidRPr="0003652C">
        <w:rPr>
          <w:rFonts w:cs="Arial"/>
          <w:color w:val="000000" w:themeColor="text1"/>
        </w:rPr>
        <w:t>had</w:t>
      </w:r>
      <w:r w:rsidRPr="0003652C">
        <w:rPr>
          <w:rFonts w:cs="Arial"/>
          <w:color w:val="000000" w:themeColor="text1"/>
        </w:rPr>
        <w:t xml:space="preserve"> extensive experience in the validation and approval of non-law courses, having chaired over </w:t>
      </w:r>
      <w:r w:rsidR="00C85BF8" w:rsidRPr="0003652C">
        <w:rPr>
          <w:rFonts w:cs="Arial"/>
          <w:color w:val="000000" w:themeColor="text1"/>
        </w:rPr>
        <w:t>twenty-five</w:t>
      </w:r>
      <w:r w:rsidRPr="0003652C">
        <w:rPr>
          <w:rFonts w:cs="Arial"/>
          <w:color w:val="000000" w:themeColor="text1"/>
        </w:rPr>
        <w:t xml:space="preserve"> panels considering review or validation. </w:t>
      </w:r>
      <w:r w:rsidR="00944C13" w:rsidRPr="0003652C">
        <w:rPr>
          <w:rFonts w:cs="Arial"/>
          <w:color w:val="000000" w:themeColor="text1"/>
        </w:rPr>
        <w:t xml:space="preserve">I have therefore always had an interest in course design and how this is presented, and the educational context in which it sits.  </w:t>
      </w:r>
      <w:r w:rsidRPr="0003652C">
        <w:rPr>
          <w:rFonts w:cs="Arial"/>
          <w:color w:val="000000" w:themeColor="text1"/>
        </w:rPr>
        <w:t xml:space="preserve">I have been struck </w:t>
      </w:r>
      <w:r w:rsidR="00C85BF8" w:rsidRPr="0003652C">
        <w:rPr>
          <w:rFonts w:cs="Arial"/>
          <w:color w:val="000000" w:themeColor="text1"/>
        </w:rPr>
        <w:t>by</w:t>
      </w:r>
      <w:r w:rsidRPr="0003652C">
        <w:rPr>
          <w:rFonts w:cs="Arial"/>
          <w:color w:val="000000" w:themeColor="text1"/>
        </w:rPr>
        <w:t xml:space="preserve"> how the law curriculum is often seen to be restricted by the regulatory framework </w:t>
      </w:r>
      <w:r w:rsidR="00944C13" w:rsidRPr="0003652C">
        <w:rPr>
          <w:rFonts w:cs="Arial"/>
          <w:color w:val="000000" w:themeColor="text1"/>
        </w:rPr>
        <w:t>provided</w:t>
      </w:r>
      <w:r w:rsidRPr="0003652C">
        <w:rPr>
          <w:rFonts w:cs="Arial"/>
          <w:color w:val="000000" w:themeColor="text1"/>
        </w:rPr>
        <w:t xml:space="preserve"> by the professions</w:t>
      </w:r>
      <w:r w:rsidR="00644959">
        <w:rPr>
          <w:rFonts w:cs="Arial"/>
          <w:color w:val="000000" w:themeColor="text1"/>
        </w:rPr>
        <w:t>,</w:t>
      </w:r>
      <w:r w:rsidR="00944C13" w:rsidRPr="0003652C">
        <w:rPr>
          <w:rFonts w:cs="Arial"/>
          <w:color w:val="000000" w:themeColor="text1"/>
        </w:rPr>
        <w:t xml:space="preserve"> and so in part my motivation is to satisfy a curiosity about what</w:t>
      </w:r>
      <w:r w:rsidR="00C85BF8" w:rsidRPr="0003652C">
        <w:rPr>
          <w:rFonts w:cs="Arial"/>
          <w:color w:val="000000" w:themeColor="text1"/>
        </w:rPr>
        <w:t xml:space="preserve"> actu</w:t>
      </w:r>
      <w:r w:rsidR="004264C5">
        <w:rPr>
          <w:rFonts w:cs="Arial"/>
          <w:color w:val="000000" w:themeColor="text1"/>
        </w:rPr>
        <w:t xml:space="preserve">ally </w:t>
      </w:r>
      <w:r w:rsidR="00944C13" w:rsidRPr="0003652C">
        <w:rPr>
          <w:rFonts w:cs="Arial"/>
          <w:color w:val="000000" w:themeColor="text1"/>
        </w:rPr>
        <w:t>influences these designs.</w:t>
      </w:r>
    </w:p>
    <w:p w14:paraId="5881F804" w14:textId="33A5B2E7" w:rsidR="00944C13" w:rsidRPr="0003652C" w:rsidRDefault="00944C13" w:rsidP="0003652C">
      <w:pPr>
        <w:spacing w:line="360" w:lineRule="auto"/>
        <w:jc w:val="both"/>
        <w:rPr>
          <w:rFonts w:cs="Arial"/>
          <w:color w:val="000000" w:themeColor="text1"/>
        </w:rPr>
      </w:pPr>
      <w:r w:rsidRPr="0003652C">
        <w:rPr>
          <w:rFonts w:cs="Arial"/>
          <w:color w:val="000000" w:themeColor="text1"/>
        </w:rPr>
        <w:t>More recently</w:t>
      </w:r>
      <w:r w:rsidR="00644959">
        <w:rPr>
          <w:rFonts w:cs="Arial"/>
          <w:color w:val="000000" w:themeColor="text1"/>
        </w:rPr>
        <w:t>,</w:t>
      </w:r>
      <w:r w:rsidRPr="0003652C">
        <w:rPr>
          <w:rFonts w:cs="Arial"/>
          <w:color w:val="000000" w:themeColor="text1"/>
        </w:rPr>
        <w:t xml:space="preserve"> I have been working with students as co-creators and researchers </w:t>
      </w:r>
      <w:r w:rsidR="004264C5">
        <w:rPr>
          <w:rFonts w:cs="Arial"/>
          <w:color w:val="000000" w:themeColor="text1"/>
        </w:rPr>
        <w:t>into</w:t>
      </w:r>
      <w:r w:rsidRPr="0003652C">
        <w:rPr>
          <w:rFonts w:cs="Arial"/>
          <w:color w:val="000000" w:themeColor="text1"/>
        </w:rPr>
        <w:t xml:space="preserve"> their own </w:t>
      </w:r>
      <w:r w:rsidR="002A269E">
        <w:rPr>
          <w:rFonts w:cs="Arial"/>
          <w:color w:val="000000" w:themeColor="text1"/>
        </w:rPr>
        <w:t>programme design</w:t>
      </w:r>
      <w:r w:rsidR="00644959">
        <w:rPr>
          <w:rFonts w:cs="Arial"/>
          <w:color w:val="000000" w:themeColor="text1"/>
        </w:rPr>
        <w:t>. This</w:t>
      </w:r>
      <w:r w:rsidR="00C85BF8" w:rsidRPr="0003652C">
        <w:rPr>
          <w:rFonts w:cs="Arial"/>
          <w:color w:val="000000" w:themeColor="text1"/>
        </w:rPr>
        <w:t xml:space="preserve"> has highlighted the mismatch between what might be perceived to be a programme design at the point of inception by the designers and the teams more generally, and what the students understand it to be. The way in which a programme of study may be finally disseminated to students</w:t>
      </w:r>
      <w:r w:rsidR="00C7075B">
        <w:rPr>
          <w:rFonts w:cs="Arial"/>
          <w:color w:val="000000" w:themeColor="text1"/>
        </w:rPr>
        <w:t>,</w:t>
      </w:r>
      <w:r w:rsidR="00C85BF8" w:rsidRPr="0003652C">
        <w:rPr>
          <w:rFonts w:cs="Arial"/>
          <w:color w:val="000000" w:themeColor="text1"/>
        </w:rPr>
        <w:t xml:space="preserve"> as a series of hoops to jump through as opposed to what might have been its more thoughtful</w:t>
      </w:r>
      <w:r w:rsidR="00C7075B">
        <w:rPr>
          <w:rFonts w:cs="Arial"/>
          <w:color w:val="000000" w:themeColor="text1"/>
        </w:rPr>
        <w:t>,</w:t>
      </w:r>
      <w:r w:rsidR="00C85BF8" w:rsidRPr="0003652C">
        <w:rPr>
          <w:rFonts w:cs="Arial"/>
          <w:color w:val="000000" w:themeColor="text1"/>
        </w:rPr>
        <w:t xml:space="preserve"> holistic original design</w:t>
      </w:r>
      <w:r w:rsidR="00C7075B">
        <w:rPr>
          <w:rFonts w:cs="Arial"/>
          <w:color w:val="000000" w:themeColor="text1"/>
        </w:rPr>
        <w:t>,</w:t>
      </w:r>
      <w:r w:rsidR="00C85BF8" w:rsidRPr="0003652C">
        <w:rPr>
          <w:rFonts w:cs="Arial"/>
          <w:color w:val="000000" w:themeColor="text1"/>
        </w:rPr>
        <w:t xml:space="preserve"> often disrupts the way in which </w:t>
      </w:r>
      <w:r w:rsidR="00C85BF8" w:rsidRPr="0003652C">
        <w:rPr>
          <w:rFonts w:cs="Arial"/>
          <w:color w:val="000000" w:themeColor="text1"/>
        </w:rPr>
        <w:lastRenderedPageBreak/>
        <w:t xml:space="preserve">students can access that knowledge. It has not been uncommon in my experience on some of the projects with students for </w:t>
      </w:r>
      <w:r w:rsidR="005A5ACF" w:rsidRPr="0003652C">
        <w:rPr>
          <w:rFonts w:cs="Arial"/>
          <w:color w:val="000000" w:themeColor="text1"/>
        </w:rPr>
        <w:t>one or more of the students to</w:t>
      </w:r>
      <w:r w:rsidR="00C85BF8" w:rsidRPr="0003652C">
        <w:rPr>
          <w:rFonts w:cs="Arial"/>
          <w:color w:val="000000" w:themeColor="text1"/>
        </w:rPr>
        <w:t xml:space="preserve"> exclaim, ‘Oh! That’s why we do that</w:t>
      </w:r>
      <w:r w:rsidR="005A5ACF" w:rsidRPr="0003652C">
        <w:rPr>
          <w:rFonts w:cs="Arial"/>
          <w:color w:val="000000" w:themeColor="text1"/>
        </w:rPr>
        <w:t xml:space="preserve">’. </w:t>
      </w:r>
    </w:p>
    <w:p w14:paraId="5D1BF984" w14:textId="352D9151" w:rsidR="00EF1F37" w:rsidRPr="0003652C" w:rsidRDefault="005A5ACF" w:rsidP="0003652C">
      <w:pPr>
        <w:spacing w:line="360" w:lineRule="auto"/>
        <w:jc w:val="both"/>
        <w:rPr>
          <w:rFonts w:cs="Arial"/>
          <w:color w:val="000000" w:themeColor="text1"/>
        </w:rPr>
      </w:pPr>
      <w:r w:rsidRPr="0003652C">
        <w:rPr>
          <w:rFonts w:cs="Arial"/>
          <w:color w:val="000000" w:themeColor="text1"/>
        </w:rPr>
        <w:t xml:space="preserve">These two motivations, an interest in the influences particularly in legal education on course design, but also the way in which students are exposed to those designs, and therefore what they </w:t>
      </w:r>
      <w:r w:rsidR="00063441" w:rsidRPr="0003652C">
        <w:rPr>
          <w:rFonts w:cs="Arial"/>
          <w:color w:val="000000" w:themeColor="text1"/>
        </w:rPr>
        <w:t>see in these designs</w:t>
      </w:r>
      <w:r w:rsidRPr="0003652C">
        <w:rPr>
          <w:rFonts w:cs="Arial"/>
          <w:color w:val="000000" w:themeColor="text1"/>
        </w:rPr>
        <w:t>, led me to consider essentially what the influences</w:t>
      </w:r>
      <w:r w:rsidR="00C7075B">
        <w:rPr>
          <w:rFonts w:cs="Arial"/>
          <w:color w:val="000000" w:themeColor="text1"/>
        </w:rPr>
        <w:t xml:space="preserve"> are</w:t>
      </w:r>
      <w:r w:rsidRPr="0003652C">
        <w:rPr>
          <w:rFonts w:cs="Arial"/>
          <w:color w:val="000000" w:themeColor="text1"/>
        </w:rPr>
        <w:t xml:space="preserve">, and what is the impact of those influences on the design of courses. This motivation has had a strong influence </w:t>
      </w:r>
      <w:r w:rsidR="00C7075B">
        <w:rPr>
          <w:rFonts w:cs="Arial"/>
          <w:color w:val="000000" w:themeColor="text1"/>
        </w:rPr>
        <w:t>on</w:t>
      </w:r>
      <w:r w:rsidRPr="0003652C">
        <w:rPr>
          <w:rFonts w:cs="Arial"/>
          <w:color w:val="000000" w:themeColor="text1"/>
        </w:rPr>
        <w:t xml:space="preserve"> the choice of </w:t>
      </w:r>
      <w:r w:rsidR="002253DC" w:rsidRPr="0003652C">
        <w:rPr>
          <w:rFonts w:cs="Arial"/>
          <w:color w:val="000000" w:themeColor="text1"/>
        </w:rPr>
        <w:t xml:space="preserve">Bernstein’s sociological theory of pedagogy </w:t>
      </w:r>
      <w:r w:rsidRPr="0003652C">
        <w:rPr>
          <w:rFonts w:cs="Arial"/>
          <w:color w:val="000000" w:themeColor="text1"/>
        </w:rPr>
        <w:t>as a framework</w:t>
      </w:r>
      <w:r w:rsidR="0002331E" w:rsidRPr="0003652C">
        <w:rPr>
          <w:rFonts w:cs="Arial"/>
          <w:color w:val="000000" w:themeColor="text1"/>
        </w:rPr>
        <w:t xml:space="preserve"> for my investigation, as the latter allows an interrogation of the structures that impact on course design, and places that within a wider pedagogic device linking that ultimately to access to transformative education.</w:t>
      </w:r>
      <w:r w:rsidRPr="0003652C">
        <w:rPr>
          <w:rFonts w:cs="Arial"/>
          <w:color w:val="000000" w:themeColor="text1"/>
        </w:rPr>
        <w:t xml:space="preserve"> The impact of law course design on students</w:t>
      </w:r>
      <w:r w:rsidR="0002331E" w:rsidRPr="0003652C">
        <w:rPr>
          <w:rFonts w:cs="Arial"/>
          <w:color w:val="000000" w:themeColor="text1"/>
        </w:rPr>
        <w:t>’</w:t>
      </w:r>
      <w:r w:rsidRPr="0003652C">
        <w:rPr>
          <w:rFonts w:cs="Arial"/>
          <w:color w:val="000000" w:themeColor="text1"/>
        </w:rPr>
        <w:t xml:space="preserve"> learning is something that is necessarily beyond</w:t>
      </w:r>
      <w:r w:rsidR="0002331E" w:rsidRPr="0003652C">
        <w:rPr>
          <w:rFonts w:cs="Arial"/>
          <w:color w:val="000000" w:themeColor="text1"/>
        </w:rPr>
        <w:t>,</w:t>
      </w:r>
      <w:r w:rsidRPr="0003652C">
        <w:rPr>
          <w:rFonts w:cs="Arial"/>
          <w:color w:val="000000" w:themeColor="text1"/>
        </w:rPr>
        <w:t xml:space="preserve"> but may follow this investigation, although it is present in some research to date</w:t>
      </w:r>
      <w:r w:rsidR="00C7075B">
        <w:rPr>
          <w:rFonts w:cs="Arial"/>
          <w:color w:val="000000" w:themeColor="text1"/>
        </w:rPr>
        <w:t>,</w:t>
      </w:r>
      <w:r w:rsidRPr="0003652C">
        <w:rPr>
          <w:rFonts w:cs="Arial"/>
          <w:color w:val="000000" w:themeColor="text1"/>
        </w:rPr>
        <w:t xml:space="preserve"> </w:t>
      </w:r>
      <w:r w:rsidR="00063441" w:rsidRPr="0003652C">
        <w:rPr>
          <w:rFonts w:cs="Arial"/>
          <w:color w:val="000000" w:themeColor="text1"/>
        </w:rPr>
        <w:t xml:space="preserve">albeit in different contexts </w:t>
      </w:r>
      <w:r w:rsidRPr="0003652C">
        <w:rPr>
          <w:rFonts w:cs="Arial"/>
          <w:color w:val="000000" w:themeColor="text1"/>
        </w:rPr>
        <w:t xml:space="preserve">elsewhere (see Section 3.3). </w:t>
      </w:r>
    </w:p>
    <w:p w14:paraId="5E8647EC" w14:textId="19D21BC9" w:rsidR="00EF1F37" w:rsidRPr="0003652C" w:rsidRDefault="00EF1F37" w:rsidP="0003652C">
      <w:pPr>
        <w:pStyle w:val="Heading2"/>
        <w:spacing w:before="100" w:after="100" w:afterAutospacing="1" w:line="360" w:lineRule="auto"/>
        <w:rPr>
          <w:rFonts w:ascii="Arial" w:hAnsi="Arial" w:cs="Arial"/>
        </w:rPr>
      </w:pPr>
      <w:bookmarkStart w:id="25" w:name="_Toc223348818"/>
      <w:r w:rsidRPr="0003652C">
        <w:rPr>
          <w:rFonts w:ascii="Arial" w:hAnsi="Arial" w:cs="Arial"/>
        </w:rPr>
        <w:t>Chapter overview</w:t>
      </w:r>
      <w:bookmarkEnd w:id="25"/>
    </w:p>
    <w:p w14:paraId="2CD97369" w14:textId="5B485281" w:rsidR="00EF1F37" w:rsidRPr="0003652C" w:rsidRDefault="00EF1F37" w:rsidP="0003652C">
      <w:pPr>
        <w:spacing w:line="360" w:lineRule="auto"/>
        <w:jc w:val="both"/>
        <w:rPr>
          <w:rFonts w:cs="Arial"/>
          <w:color w:val="000000" w:themeColor="text1"/>
        </w:rPr>
      </w:pPr>
      <w:r w:rsidRPr="0003652C">
        <w:rPr>
          <w:rFonts w:cs="Arial"/>
          <w:color w:val="000000" w:themeColor="text1"/>
        </w:rPr>
        <w:t xml:space="preserve">This chapter will provide a brief introduction to the structure of </w:t>
      </w:r>
      <w:r w:rsidR="009244DC" w:rsidRPr="0003652C">
        <w:rPr>
          <w:rFonts w:cs="Arial"/>
          <w:color w:val="000000" w:themeColor="text1"/>
        </w:rPr>
        <w:t>my thesis</w:t>
      </w:r>
      <w:r w:rsidRPr="0003652C">
        <w:rPr>
          <w:rFonts w:cs="Arial"/>
          <w:color w:val="000000" w:themeColor="text1"/>
        </w:rPr>
        <w:t xml:space="preserve">. In </w:t>
      </w:r>
      <w:r w:rsidR="00046A61">
        <w:rPr>
          <w:rFonts w:cs="Arial"/>
          <w:color w:val="000000" w:themeColor="text1"/>
        </w:rPr>
        <w:t>C</w:t>
      </w:r>
      <w:r w:rsidRPr="0003652C">
        <w:rPr>
          <w:rFonts w:cs="Arial"/>
          <w:color w:val="000000" w:themeColor="text1"/>
        </w:rPr>
        <w:t xml:space="preserve">hapters </w:t>
      </w:r>
      <w:r w:rsidR="00046A61">
        <w:rPr>
          <w:rFonts w:cs="Arial"/>
          <w:color w:val="000000" w:themeColor="text1"/>
        </w:rPr>
        <w:t>T</w:t>
      </w:r>
      <w:r w:rsidRPr="0003652C">
        <w:rPr>
          <w:rFonts w:cs="Arial"/>
          <w:color w:val="000000" w:themeColor="text1"/>
        </w:rPr>
        <w:t xml:space="preserve">wo and </w:t>
      </w:r>
      <w:r w:rsidR="00046A61">
        <w:rPr>
          <w:rFonts w:cs="Arial"/>
          <w:color w:val="000000" w:themeColor="text1"/>
        </w:rPr>
        <w:t>T</w:t>
      </w:r>
      <w:r w:rsidRPr="0003652C">
        <w:rPr>
          <w:rFonts w:cs="Arial"/>
          <w:color w:val="000000" w:themeColor="text1"/>
        </w:rPr>
        <w:t>hree</w:t>
      </w:r>
      <w:r w:rsidR="00C7075B">
        <w:rPr>
          <w:rFonts w:cs="Arial"/>
          <w:color w:val="000000" w:themeColor="text1"/>
        </w:rPr>
        <w:t>,</w:t>
      </w:r>
      <w:r w:rsidRPr="0003652C">
        <w:rPr>
          <w:rFonts w:cs="Arial"/>
          <w:color w:val="000000" w:themeColor="text1"/>
        </w:rPr>
        <w:t xml:space="preserve"> I present the concepts and context that frame this investigation and provide the theoretical tools for what follows. I consider </w:t>
      </w:r>
      <w:r w:rsidR="009244DC" w:rsidRPr="0003652C">
        <w:rPr>
          <w:rFonts w:cs="Arial"/>
          <w:color w:val="000000" w:themeColor="text1"/>
        </w:rPr>
        <w:t>the literature theorising course design</w:t>
      </w:r>
      <w:r w:rsidR="00C7075B">
        <w:rPr>
          <w:rFonts w:cs="Arial"/>
          <w:color w:val="000000" w:themeColor="text1"/>
        </w:rPr>
        <w:t>,</w:t>
      </w:r>
      <w:r w:rsidR="009244DC" w:rsidRPr="0003652C">
        <w:rPr>
          <w:rFonts w:cs="Arial"/>
          <w:color w:val="000000" w:themeColor="text1"/>
        </w:rPr>
        <w:t xml:space="preserve"> which underpins this</w:t>
      </w:r>
      <w:r w:rsidRPr="0003652C">
        <w:rPr>
          <w:rFonts w:cs="Arial"/>
          <w:color w:val="000000" w:themeColor="text1"/>
        </w:rPr>
        <w:t xml:space="preserve"> research. I further investigate how the transformative role of course design might overcome inequalities in access to education, and how these inequalit</w:t>
      </w:r>
      <w:r w:rsidR="00C7075B">
        <w:rPr>
          <w:rFonts w:cs="Arial"/>
          <w:color w:val="000000" w:themeColor="text1"/>
        </w:rPr>
        <w:t>ie</w:t>
      </w:r>
      <w:r w:rsidRPr="0003652C">
        <w:rPr>
          <w:rFonts w:cs="Arial"/>
          <w:color w:val="000000" w:themeColor="text1"/>
        </w:rPr>
        <w:t>s influence Bernstein's work and how</w:t>
      </w:r>
      <w:r w:rsidR="00C7075B">
        <w:rPr>
          <w:rFonts w:cs="Arial"/>
          <w:color w:val="000000" w:themeColor="text1"/>
        </w:rPr>
        <w:t>,</w:t>
      </w:r>
      <w:r w:rsidRPr="0003652C">
        <w:rPr>
          <w:rFonts w:cs="Arial"/>
          <w:color w:val="000000" w:themeColor="text1"/>
        </w:rPr>
        <w:t xml:space="preserve"> in turn</w:t>
      </w:r>
      <w:r w:rsidR="00C7075B">
        <w:rPr>
          <w:rFonts w:cs="Arial"/>
          <w:color w:val="000000" w:themeColor="text1"/>
        </w:rPr>
        <w:t>,</w:t>
      </w:r>
      <w:r w:rsidRPr="0003652C">
        <w:rPr>
          <w:rFonts w:cs="Arial"/>
          <w:color w:val="000000" w:themeColor="text1"/>
        </w:rPr>
        <w:t xml:space="preserve"> Bernstein provides a framework to interrogate educational structures as to their ability to provide this transformative role. </w:t>
      </w:r>
      <w:r w:rsidR="00150728" w:rsidRPr="0003652C">
        <w:rPr>
          <w:rFonts w:cs="Arial"/>
          <w:color w:val="000000" w:themeColor="text1"/>
        </w:rPr>
        <w:t xml:space="preserve">Whilst my investigation is not extending to an enquiry about actual inequality in access to legal education, it provides a justification for this more limited enquiry to sit within that wider research. </w:t>
      </w:r>
      <w:r w:rsidRPr="0003652C">
        <w:rPr>
          <w:rFonts w:cs="Arial"/>
          <w:color w:val="000000" w:themeColor="text1"/>
        </w:rPr>
        <w:t xml:space="preserve">I consider how Bernstein’s theory, codes and pedagogic device further facilitate </w:t>
      </w:r>
      <w:r w:rsidR="00150728" w:rsidRPr="0003652C">
        <w:rPr>
          <w:rFonts w:cs="Arial"/>
          <w:color w:val="000000" w:themeColor="text1"/>
        </w:rPr>
        <w:t>my investigation</w:t>
      </w:r>
      <w:r w:rsidRPr="0003652C">
        <w:rPr>
          <w:rFonts w:cs="Arial"/>
          <w:color w:val="000000" w:themeColor="text1"/>
        </w:rPr>
        <w:t xml:space="preserve">. I also consider why law is a pertinent discipline for this enquiry and why now. </w:t>
      </w:r>
    </w:p>
    <w:p w14:paraId="2D2D60E2" w14:textId="0091F842" w:rsidR="00EF1F37" w:rsidRPr="0003652C" w:rsidRDefault="00EF1F37" w:rsidP="0003652C">
      <w:pPr>
        <w:spacing w:line="360" w:lineRule="auto"/>
        <w:jc w:val="both"/>
        <w:rPr>
          <w:rFonts w:cs="Arial"/>
          <w:color w:val="000000" w:themeColor="text1"/>
        </w:rPr>
      </w:pPr>
      <w:r w:rsidRPr="0003652C">
        <w:rPr>
          <w:rFonts w:cs="Arial"/>
          <w:color w:val="000000" w:themeColor="text1"/>
        </w:rPr>
        <w:lastRenderedPageBreak/>
        <w:t xml:space="preserve">Chapter </w:t>
      </w:r>
      <w:r w:rsidR="00046A61">
        <w:rPr>
          <w:rFonts w:cs="Arial"/>
          <w:color w:val="000000" w:themeColor="text1"/>
        </w:rPr>
        <w:t>T</w:t>
      </w:r>
      <w:r w:rsidRPr="0003652C">
        <w:rPr>
          <w:rFonts w:cs="Arial"/>
          <w:color w:val="000000" w:themeColor="text1"/>
        </w:rPr>
        <w:t xml:space="preserve">hree focuses on the application of </w:t>
      </w:r>
      <w:r w:rsidR="00150728" w:rsidRPr="0003652C">
        <w:rPr>
          <w:rFonts w:cs="Arial"/>
          <w:color w:val="000000" w:themeColor="text1"/>
        </w:rPr>
        <w:t>Bernstein’s</w:t>
      </w:r>
      <w:r w:rsidRPr="0003652C">
        <w:rPr>
          <w:rFonts w:cs="Arial"/>
          <w:color w:val="000000" w:themeColor="text1"/>
        </w:rPr>
        <w:t xml:space="preserve"> theoretical framing to legal education. I utilise Bernstein's pedagogic device </w:t>
      </w:r>
      <w:r w:rsidR="00150728" w:rsidRPr="0003652C">
        <w:rPr>
          <w:rFonts w:cs="Arial"/>
          <w:color w:val="000000" w:themeColor="text1"/>
        </w:rPr>
        <w:t xml:space="preserve">as a model to consider law within his typologies of singular and regional disciplines and </w:t>
      </w:r>
      <w:r w:rsidRPr="0003652C">
        <w:rPr>
          <w:rFonts w:cs="Arial"/>
          <w:color w:val="000000" w:themeColor="text1"/>
        </w:rPr>
        <w:t xml:space="preserve">to consider the impact that </w:t>
      </w:r>
      <w:r w:rsidR="00C7075B">
        <w:rPr>
          <w:rFonts w:cs="Arial"/>
          <w:color w:val="000000" w:themeColor="text1"/>
        </w:rPr>
        <w:t xml:space="preserve">it </w:t>
      </w:r>
      <w:r w:rsidRPr="0003652C">
        <w:rPr>
          <w:rFonts w:cs="Arial"/>
          <w:color w:val="000000" w:themeColor="text1"/>
        </w:rPr>
        <w:t xml:space="preserve">has on legal education.  By presenting law as a regional discipline with an externally looking nature, I highlight </w:t>
      </w:r>
      <w:r w:rsidR="00150728" w:rsidRPr="0003652C">
        <w:rPr>
          <w:rFonts w:cs="Arial"/>
          <w:color w:val="000000" w:themeColor="text1"/>
        </w:rPr>
        <w:t>legal education</w:t>
      </w:r>
      <w:r w:rsidR="00C7075B">
        <w:rPr>
          <w:rFonts w:cs="Arial"/>
          <w:color w:val="000000" w:themeColor="text1"/>
        </w:rPr>
        <w:t>’</w:t>
      </w:r>
      <w:r w:rsidR="00150728" w:rsidRPr="0003652C">
        <w:rPr>
          <w:rFonts w:cs="Arial"/>
          <w:color w:val="000000" w:themeColor="text1"/>
        </w:rPr>
        <w:t>s</w:t>
      </w:r>
      <w:r w:rsidRPr="0003652C">
        <w:rPr>
          <w:rFonts w:cs="Arial"/>
          <w:color w:val="000000" w:themeColor="text1"/>
        </w:rPr>
        <w:t xml:space="preserve"> vulnerability to external change, and specifically now, the impact of that on the demarcation between the academic and vocational study. This is considered within the context of Bernstein's distributive rules, establishing what might be chosen or selected to then be recontextualized as the curriculum.  </w:t>
      </w:r>
    </w:p>
    <w:p w14:paraId="7E6A1D0B" w14:textId="1662A067" w:rsidR="00EF1F37" w:rsidRPr="0003652C" w:rsidRDefault="00EF1F37" w:rsidP="0003652C">
      <w:pPr>
        <w:spacing w:line="360" w:lineRule="auto"/>
        <w:jc w:val="both"/>
        <w:rPr>
          <w:rFonts w:cs="Arial"/>
        </w:rPr>
      </w:pPr>
      <w:r w:rsidRPr="0003652C">
        <w:rPr>
          <w:rFonts w:cs="Arial"/>
        </w:rPr>
        <w:t xml:space="preserve">The chapter continues to introduce the </w:t>
      </w:r>
      <w:r w:rsidR="00D44895" w:rsidRPr="0003652C">
        <w:rPr>
          <w:rFonts w:cs="Arial"/>
        </w:rPr>
        <w:t xml:space="preserve">theory behind </w:t>
      </w:r>
      <w:r w:rsidR="00C7075B">
        <w:rPr>
          <w:rFonts w:cs="Arial"/>
        </w:rPr>
        <w:t>the findings’ focus:</w:t>
      </w:r>
      <w:r w:rsidRPr="0003652C">
        <w:rPr>
          <w:rFonts w:cs="Arial"/>
        </w:rPr>
        <w:t xml:space="preserve"> the recontextuali</w:t>
      </w:r>
      <w:r w:rsidR="00D44895" w:rsidRPr="0003652C">
        <w:rPr>
          <w:rFonts w:cs="Arial"/>
        </w:rPr>
        <w:t>s</w:t>
      </w:r>
      <w:r w:rsidRPr="0003652C">
        <w:rPr>
          <w:rFonts w:cs="Arial"/>
        </w:rPr>
        <w:t xml:space="preserve">ation of knowledge </w:t>
      </w:r>
      <w:r w:rsidR="00D44895" w:rsidRPr="0003652C">
        <w:rPr>
          <w:rFonts w:cs="Arial"/>
        </w:rPr>
        <w:t>into the curriculum, or knowledge</w:t>
      </w:r>
      <w:r w:rsidRPr="0003652C">
        <w:rPr>
          <w:rFonts w:cs="Arial"/>
        </w:rPr>
        <w:t>-as-curriculum (Ashwin, 2009)</w:t>
      </w:r>
      <w:r w:rsidR="00D44895" w:rsidRPr="0003652C">
        <w:rPr>
          <w:rFonts w:cs="Arial"/>
        </w:rPr>
        <w:t xml:space="preserve">. </w:t>
      </w:r>
      <w:r w:rsidRPr="0003652C">
        <w:rPr>
          <w:rFonts w:cs="Arial"/>
        </w:rPr>
        <w:t>Here</w:t>
      </w:r>
      <w:r w:rsidR="00C7075B">
        <w:rPr>
          <w:rFonts w:cs="Arial"/>
        </w:rPr>
        <w:t>,</w:t>
      </w:r>
      <w:r w:rsidRPr="0003652C">
        <w:rPr>
          <w:rFonts w:cs="Arial"/>
        </w:rPr>
        <w:t xml:space="preserve"> </w:t>
      </w:r>
      <w:r w:rsidRPr="0003652C">
        <w:rPr>
          <w:rFonts w:cs="Arial"/>
          <w:color w:val="000000" w:themeColor="text1"/>
        </w:rPr>
        <w:t>I outline the impact of this recontextuali</w:t>
      </w:r>
      <w:r w:rsidR="00D44895" w:rsidRPr="0003652C">
        <w:rPr>
          <w:rFonts w:cs="Arial"/>
          <w:color w:val="000000" w:themeColor="text1"/>
        </w:rPr>
        <w:t>s</w:t>
      </w:r>
      <w:r w:rsidRPr="0003652C">
        <w:rPr>
          <w:rFonts w:cs="Arial"/>
          <w:color w:val="000000" w:themeColor="text1"/>
        </w:rPr>
        <w:t xml:space="preserve">ation to provide the context and framework for </w:t>
      </w:r>
      <w:r w:rsidR="00046A61">
        <w:rPr>
          <w:rFonts w:cs="Arial"/>
          <w:color w:val="000000" w:themeColor="text1"/>
        </w:rPr>
        <w:t>C</w:t>
      </w:r>
      <w:r w:rsidRPr="0003652C">
        <w:rPr>
          <w:rFonts w:cs="Arial"/>
          <w:color w:val="000000" w:themeColor="text1"/>
        </w:rPr>
        <w:t xml:space="preserve">hapters </w:t>
      </w:r>
      <w:r w:rsidR="00046A61">
        <w:rPr>
          <w:rFonts w:cs="Arial"/>
          <w:color w:val="000000" w:themeColor="text1"/>
        </w:rPr>
        <w:t>F</w:t>
      </w:r>
      <w:r w:rsidR="00D44895" w:rsidRPr="0003652C">
        <w:rPr>
          <w:rFonts w:cs="Arial"/>
          <w:color w:val="000000" w:themeColor="text1"/>
        </w:rPr>
        <w:t>ive</w:t>
      </w:r>
      <w:r w:rsidRPr="0003652C">
        <w:rPr>
          <w:rFonts w:cs="Arial"/>
          <w:color w:val="000000" w:themeColor="text1"/>
        </w:rPr>
        <w:t xml:space="preserve"> to </w:t>
      </w:r>
      <w:r w:rsidR="00046A61">
        <w:rPr>
          <w:rFonts w:cs="Arial"/>
          <w:color w:val="000000" w:themeColor="text1"/>
        </w:rPr>
        <w:t>N</w:t>
      </w:r>
      <w:r w:rsidR="00D44895" w:rsidRPr="0003652C">
        <w:rPr>
          <w:rFonts w:cs="Arial"/>
          <w:color w:val="000000" w:themeColor="text1"/>
        </w:rPr>
        <w:t>ine</w:t>
      </w:r>
      <w:r w:rsidRPr="0003652C">
        <w:rPr>
          <w:rFonts w:cs="Arial"/>
          <w:color w:val="000000" w:themeColor="text1"/>
        </w:rPr>
        <w:t>. Analysing the programme itself</w:t>
      </w:r>
      <w:r w:rsidR="00C7075B">
        <w:rPr>
          <w:rFonts w:cs="Arial"/>
          <w:color w:val="000000" w:themeColor="text1"/>
        </w:rPr>
        <w:t>,</w:t>
      </w:r>
      <w:r w:rsidRPr="0003652C">
        <w:rPr>
          <w:rFonts w:cs="Arial"/>
          <w:color w:val="000000" w:themeColor="text1"/>
        </w:rPr>
        <w:t xml:space="preserve"> I look at the professional body requirements that have defined most </w:t>
      </w:r>
      <w:r w:rsidR="00D44895" w:rsidRPr="0003652C">
        <w:rPr>
          <w:rFonts w:cs="Arial"/>
          <w:color w:val="000000" w:themeColor="text1"/>
        </w:rPr>
        <w:t>recent law degrees</w:t>
      </w:r>
      <w:r w:rsidRPr="0003652C">
        <w:rPr>
          <w:rFonts w:cs="Arial"/>
          <w:color w:val="000000" w:themeColor="text1"/>
        </w:rPr>
        <w:t xml:space="preserve">, and </w:t>
      </w:r>
      <w:r w:rsidR="00D44895" w:rsidRPr="0003652C">
        <w:rPr>
          <w:rFonts w:cs="Arial"/>
          <w:color w:val="000000" w:themeColor="text1"/>
        </w:rPr>
        <w:t xml:space="preserve">how the reduction in this regulation </w:t>
      </w:r>
      <w:r w:rsidRPr="0003652C">
        <w:rPr>
          <w:rFonts w:cs="Arial"/>
          <w:color w:val="000000" w:themeColor="text1"/>
        </w:rPr>
        <w:t xml:space="preserve">may provide the opportunity for change. </w:t>
      </w:r>
      <w:r w:rsidRPr="0003652C">
        <w:rPr>
          <w:rFonts w:cs="Arial"/>
        </w:rPr>
        <w:t xml:space="preserve">I also briefly introduce the final stage of the pedagogic device in the evaluation rules and explain how research </w:t>
      </w:r>
      <w:r w:rsidR="00D44895" w:rsidRPr="0003652C">
        <w:rPr>
          <w:rFonts w:cs="Arial"/>
        </w:rPr>
        <w:t>presents</w:t>
      </w:r>
      <w:r w:rsidRPr="0003652C">
        <w:rPr>
          <w:rFonts w:cs="Arial"/>
        </w:rPr>
        <w:t xml:space="preserve"> the hierarchical impact of the recontextualization on the students</w:t>
      </w:r>
      <w:r w:rsidR="00C7075B">
        <w:rPr>
          <w:rFonts w:cs="Arial"/>
        </w:rPr>
        <w:t>’</w:t>
      </w:r>
      <w:r w:rsidRPr="0003652C">
        <w:rPr>
          <w:rFonts w:cs="Arial"/>
        </w:rPr>
        <w:t xml:space="preserve"> understanding</w:t>
      </w:r>
      <w:r w:rsidR="00E70FE5" w:rsidRPr="0003652C">
        <w:rPr>
          <w:rFonts w:cs="Arial"/>
        </w:rPr>
        <w:t xml:space="preserve">. </w:t>
      </w:r>
      <w:r w:rsidRPr="0003652C">
        <w:rPr>
          <w:rFonts w:cs="Arial"/>
        </w:rPr>
        <w:t xml:space="preserve"> </w:t>
      </w:r>
    </w:p>
    <w:p w14:paraId="58F25B9E" w14:textId="0C5F9D15" w:rsidR="00EF1F37" w:rsidRPr="0003652C" w:rsidRDefault="00EF1F37" w:rsidP="0003652C">
      <w:pPr>
        <w:spacing w:line="360" w:lineRule="auto"/>
        <w:jc w:val="both"/>
        <w:rPr>
          <w:rFonts w:cs="Arial"/>
        </w:rPr>
      </w:pPr>
      <w:r w:rsidRPr="0003652C">
        <w:rPr>
          <w:rFonts w:cs="Arial"/>
        </w:rPr>
        <w:t xml:space="preserve">Having presented my methodology in </w:t>
      </w:r>
      <w:r w:rsidR="00046A61">
        <w:rPr>
          <w:rFonts w:cs="Arial"/>
        </w:rPr>
        <w:t>C</w:t>
      </w:r>
      <w:r w:rsidRPr="0003652C">
        <w:rPr>
          <w:rFonts w:cs="Arial"/>
        </w:rPr>
        <w:t xml:space="preserve">hapter </w:t>
      </w:r>
      <w:r w:rsidR="00046A61">
        <w:rPr>
          <w:rFonts w:cs="Arial"/>
        </w:rPr>
        <w:t>F</w:t>
      </w:r>
      <w:r w:rsidR="00E70FE5" w:rsidRPr="0003652C">
        <w:rPr>
          <w:rFonts w:cs="Arial"/>
        </w:rPr>
        <w:t>our</w:t>
      </w:r>
      <w:r w:rsidRPr="0003652C">
        <w:rPr>
          <w:rFonts w:cs="Arial"/>
        </w:rPr>
        <w:t xml:space="preserve">, I </w:t>
      </w:r>
      <w:r w:rsidR="00C7075B">
        <w:rPr>
          <w:rFonts w:cs="Arial"/>
        </w:rPr>
        <w:t>analyse</w:t>
      </w:r>
      <w:r w:rsidRPr="0003652C">
        <w:rPr>
          <w:rFonts w:cs="Arial"/>
        </w:rPr>
        <w:t xml:space="preserve"> the influences on undergraduate law degrees within the context of Bernstein’s </w:t>
      </w:r>
      <w:r w:rsidR="00E70FE5" w:rsidRPr="0003652C">
        <w:rPr>
          <w:rFonts w:cs="Arial"/>
        </w:rPr>
        <w:t xml:space="preserve">recontextualising knowledge within the </w:t>
      </w:r>
      <w:r w:rsidRPr="0003652C">
        <w:rPr>
          <w:rFonts w:cs="Arial"/>
        </w:rPr>
        <w:t xml:space="preserve">pedagogic device in the remaining chapters. The chapters are structured using Bernstein’s fields of influence, looking at the agents within the </w:t>
      </w:r>
      <w:r w:rsidR="0075156B" w:rsidRPr="0003652C">
        <w:rPr>
          <w:rFonts w:cs="Arial"/>
        </w:rPr>
        <w:t>Official recontextualising field</w:t>
      </w:r>
      <w:r w:rsidRPr="0003652C">
        <w:rPr>
          <w:rFonts w:cs="Arial"/>
        </w:rPr>
        <w:t xml:space="preserve"> (ORF) and </w:t>
      </w:r>
      <w:r w:rsidR="00C7075B">
        <w:rPr>
          <w:rFonts w:cs="Arial"/>
        </w:rPr>
        <w:t xml:space="preserve">the </w:t>
      </w:r>
      <w:r w:rsidR="0075156B" w:rsidRPr="0003652C">
        <w:rPr>
          <w:rFonts w:cs="Arial"/>
        </w:rPr>
        <w:t>Pedagogic recontextualising field</w:t>
      </w:r>
      <w:r w:rsidRPr="0003652C">
        <w:rPr>
          <w:rFonts w:cs="Arial"/>
        </w:rPr>
        <w:t xml:space="preserve"> (PRF), and the impact of these. Each chapter presents the findings and then discusses the impact of those. </w:t>
      </w:r>
    </w:p>
    <w:p w14:paraId="64B1B16F" w14:textId="1F5BE5D1" w:rsidR="00EF1F37" w:rsidRPr="0003652C" w:rsidRDefault="00EF1F37" w:rsidP="0003652C">
      <w:pPr>
        <w:spacing w:line="360" w:lineRule="auto"/>
        <w:jc w:val="both"/>
        <w:rPr>
          <w:rFonts w:cs="Arial"/>
        </w:rPr>
      </w:pPr>
      <w:r w:rsidRPr="0003652C">
        <w:rPr>
          <w:rFonts w:cs="Arial"/>
        </w:rPr>
        <w:t xml:space="preserve">The </w:t>
      </w:r>
      <w:r w:rsidR="00E70FE5" w:rsidRPr="0003652C">
        <w:rPr>
          <w:rFonts w:cs="Arial"/>
        </w:rPr>
        <w:t>focus</w:t>
      </w:r>
      <w:r w:rsidRPr="0003652C">
        <w:rPr>
          <w:rFonts w:cs="Arial"/>
        </w:rPr>
        <w:t xml:space="preserve"> </w:t>
      </w:r>
      <w:r w:rsidR="00E70FE5" w:rsidRPr="0003652C">
        <w:rPr>
          <w:rFonts w:cs="Arial"/>
        </w:rPr>
        <w:t>of</w:t>
      </w:r>
      <w:r w:rsidRPr="0003652C">
        <w:rPr>
          <w:rFonts w:cs="Arial"/>
        </w:rPr>
        <w:t xml:space="preserve"> the data analysis will be on the PRF. The PRF is here a contested field and so </w:t>
      </w:r>
      <w:r w:rsidR="00046A61">
        <w:rPr>
          <w:rFonts w:cs="Arial"/>
        </w:rPr>
        <w:t>C</w:t>
      </w:r>
      <w:r w:rsidRPr="0003652C">
        <w:rPr>
          <w:rFonts w:cs="Arial"/>
        </w:rPr>
        <w:t xml:space="preserve">hapter </w:t>
      </w:r>
      <w:r w:rsidR="00046A61">
        <w:rPr>
          <w:rFonts w:cs="Arial"/>
        </w:rPr>
        <w:t>S</w:t>
      </w:r>
      <w:r w:rsidR="00E70FE5" w:rsidRPr="0003652C">
        <w:rPr>
          <w:rFonts w:cs="Arial"/>
        </w:rPr>
        <w:t>ix</w:t>
      </w:r>
      <w:r w:rsidRPr="0003652C">
        <w:rPr>
          <w:rFonts w:cs="Arial"/>
        </w:rPr>
        <w:t xml:space="preserve"> begins this investigation by considering who are perceived to be the agents in this field with control and how they operate. This draws on Bernstein’s work but also </w:t>
      </w:r>
      <w:r w:rsidR="00C7075B">
        <w:rPr>
          <w:rFonts w:cs="Arial"/>
        </w:rPr>
        <w:t xml:space="preserve">on </w:t>
      </w:r>
      <w:r w:rsidRPr="0003652C">
        <w:rPr>
          <w:rFonts w:cs="Arial"/>
        </w:rPr>
        <w:t>others who have considered Bernstein more specifically within the context of higher education (Annala, 2022</w:t>
      </w:r>
      <w:r w:rsidR="00E70FE5" w:rsidRPr="0003652C">
        <w:rPr>
          <w:rFonts w:cs="Arial"/>
        </w:rPr>
        <w:t>;</w:t>
      </w:r>
      <w:r w:rsidRPr="0003652C">
        <w:rPr>
          <w:rFonts w:cs="Arial"/>
        </w:rPr>
        <w:t xml:space="preserve"> Ashwin, 2009). Here</w:t>
      </w:r>
      <w:r w:rsidR="00C7075B">
        <w:rPr>
          <w:rFonts w:cs="Arial"/>
        </w:rPr>
        <w:t>,</w:t>
      </w:r>
      <w:r w:rsidRPr="0003652C">
        <w:rPr>
          <w:rFonts w:cs="Arial"/>
        </w:rPr>
        <w:t xml:space="preserve"> I consider how the university operates as a bridge between the state </w:t>
      </w:r>
      <w:r w:rsidRPr="0003652C">
        <w:rPr>
          <w:rFonts w:cs="Arial"/>
        </w:rPr>
        <w:lastRenderedPageBreak/>
        <w:t xml:space="preserve">and the department or school, and the impact of the </w:t>
      </w:r>
      <w:r w:rsidR="00C7075B">
        <w:rPr>
          <w:rFonts w:cs="Arial"/>
        </w:rPr>
        <w:t>broader</w:t>
      </w:r>
      <w:r w:rsidR="00E70FE5" w:rsidRPr="0003652C">
        <w:rPr>
          <w:rFonts w:cs="Arial"/>
        </w:rPr>
        <w:t xml:space="preserve"> higher education</w:t>
      </w:r>
      <w:r w:rsidRPr="0003652C">
        <w:rPr>
          <w:rFonts w:cs="Arial"/>
        </w:rPr>
        <w:t xml:space="preserve"> context in which that takes place. I then consider the identities of the academics acting as agents </w:t>
      </w:r>
      <w:r w:rsidR="00E70FE5" w:rsidRPr="0003652C">
        <w:rPr>
          <w:rFonts w:cs="Arial"/>
        </w:rPr>
        <w:t>withi</w:t>
      </w:r>
      <w:r w:rsidRPr="0003652C">
        <w:rPr>
          <w:rFonts w:cs="Arial"/>
        </w:rPr>
        <w:t xml:space="preserve">n the PRF, as one group </w:t>
      </w:r>
      <w:r w:rsidR="00E70FE5" w:rsidRPr="0003652C">
        <w:rPr>
          <w:rFonts w:cs="Arial"/>
        </w:rPr>
        <w:t>and as a</w:t>
      </w:r>
      <w:r w:rsidRPr="0003652C">
        <w:rPr>
          <w:rFonts w:cs="Arial"/>
        </w:rPr>
        <w:t xml:space="preserve"> collection of sub-groups, and so as a whole, or </w:t>
      </w:r>
      <w:r w:rsidR="00C7075B">
        <w:rPr>
          <w:rFonts w:cs="Arial"/>
        </w:rPr>
        <w:t xml:space="preserve">as </w:t>
      </w:r>
      <w:r w:rsidRPr="0003652C">
        <w:rPr>
          <w:rFonts w:cs="Arial"/>
        </w:rPr>
        <w:t>a place of conflict.</w:t>
      </w:r>
    </w:p>
    <w:p w14:paraId="2789B215" w14:textId="238C45B0" w:rsidR="00EF1F37" w:rsidRPr="0003652C" w:rsidRDefault="00EF1F37" w:rsidP="0003652C">
      <w:pPr>
        <w:spacing w:line="360" w:lineRule="auto"/>
        <w:jc w:val="both"/>
        <w:rPr>
          <w:rFonts w:cs="Arial"/>
        </w:rPr>
      </w:pPr>
      <w:r w:rsidRPr="0003652C">
        <w:rPr>
          <w:rFonts w:cs="Arial"/>
        </w:rPr>
        <w:t>The impact of those relationships</w:t>
      </w:r>
      <w:r w:rsidR="00C7075B">
        <w:rPr>
          <w:rFonts w:cs="Arial"/>
        </w:rPr>
        <w:t>,</w:t>
      </w:r>
      <w:r w:rsidRPr="0003652C">
        <w:rPr>
          <w:rFonts w:cs="Arial"/>
        </w:rPr>
        <w:t xml:space="preserve"> and the relationship of the academic community to the university</w:t>
      </w:r>
      <w:r w:rsidR="00C7075B">
        <w:rPr>
          <w:rFonts w:cs="Arial"/>
        </w:rPr>
        <w:t>,</w:t>
      </w:r>
      <w:r w:rsidRPr="0003652C">
        <w:rPr>
          <w:rFonts w:cs="Arial"/>
        </w:rPr>
        <w:t xml:space="preserve"> is also investigated, </w:t>
      </w:r>
      <w:r w:rsidR="00E70FE5" w:rsidRPr="0003652C">
        <w:rPr>
          <w:rFonts w:cs="Arial"/>
        </w:rPr>
        <w:t>with reference to the</w:t>
      </w:r>
      <w:r w:rsidRPr="0003652C">
        <w:rPr>
          <w:rFonts w:cs="Arial"/>
        </w:rPr>
        <w:t xml:space="preserve"> presumed autonomy from the ORF and the operation of control within the PRF.</w:t>
      </w:r>
    </w:p>
    <w:p w14:paraId="2932A6DF" w14:textId="7CC427D0" w:rsidR="003F1AF4" w:rsidRPr="0003652C" w:rsidRDefault="00EF1F37" w:rsidP="0003652C">
      <w:pPr>
        <w:spacing w:line="360" w:lineRule="auto"/>
        <w:jc w:val="both"/>
        <w:rPr>
          <w:rFonts w:cs="Arial"/>
        </w:rPr>
      </w:pPr>
      <w:r w:rsidRPr="0003652C">
        <w:rPr>
          <w:rFonts w:cs="Arial"/>
        </w:rPr>
        <w:t>The final chapters look at the impact of these agents and the influence and control operated by the university and the academic community. Here</w:t>
      </w:r>
      <w:r w:rsidR="005C27AB">
        <w:rPr>
          <w:rFonts w:cs="Arial"/>
        </w:rPr>
        <w:t>,</w:t>
      </w:r>
      <w:r w:rsidRPr="0003652C">
        <w:rPr>
          <w:rFonts w:cs="Arial"/>
        </w:rPr>
        <w:t xml:space="preserve"> the difference between</w:t>
      </w:r>
      <w:r w:rsidR="00E70FE5" w:rsidRPr="0003652C">
        <w:rPr>
          <w:rFonts w:cs="Arial"/>
        </w:rPr>
        <w:t xml:space="preserve"> what Bernstein refers to as</w:t>
      </w:r>
      <w:r w:rsidRPr="0003652C">
        <w:rPr>
          <w:rFonts w:cs="Arial"/>
        </w:rPr>
        <w:t xml:space="preserve"> elite and non-elite universities is considered more directly to </w:t>
      </w:r>
      <w:r w:rsidR="00E70FE5" w:rsidRPr="0003652C">
        <w:rPr>
          <w:rFonts w:cs="Arial"/>
        </w:rPr>
        <w:t>interrogate any difference and</w:t>
      </w:r>
      <w:r w:rsidRPr="0003652C">
        <w:rPr>
          <w:rFonts w:cs="Arial"/>
        </w:rPr>
        <w:t xml:space="preserve"> the resultant impact on course design. Chapter </w:t>
      </w:r>
      <w:r w:rsidR="00046A61">
        <w:rPr>
          <w:rFonts w:cs="Arial"/>
        </w:rPr>
        <w:t>S</w:t>
      </w:r>
      <w:r w:rsidR="00E70FE5" w:rsidRPr="0003652C">
        <w:rPr>
          <w:rFonts w:cs="Arial"/>
        </w:rPr>
        <w:t xml:space="preserve">even </w:t>
      </w:r>
      <w:r w:rsidRPr="0003652C">
        <w:rPr>
          <w:rFonts w:cs="Arial"/>
        </w:rPr>
        <w:t xml:space="preserve">considers the impact on disciplinary knowledge and structures in the degree, and </w:t>
      </w:r>
      <w:r w:rsidR="00046A61">
        <w:rPr>
          <w:rFonts w:cs="Arial"/>
        </w:rPr>
        <w:t>C</w:t>
      </w:r>
      <w:r w:rsidRPr="0003652C">
        <w:rPr>
          <w:rFonts w:cs="Arial"/>
        </w:rPr>
        <w:t xml:space="preserve">hapter </w:t>
      </w:r>
      <w:r w:rsidR="00046A61">
        <w:rPr>
          <w:rFonts w:cs="Arial"/>
        </w:rPr>
        <w:t>E</w:t>
      </w:r>
      <w:r w:rsidR="00E70FE5" w:rsidRPr="0003652C">
        <w:rPr>
          <w:rFonts w:cs="Arial"/>
        </w:rPr>
        <w:t>ight</w:t>
      </w:r>
      <w:r w:rsidRPr="0003652C">
        <w:rPr>
          <w:rFonts w:cs="Arial"/>
        </w:rPr>
        <w:t xml:space="preserve"> considers the non-disciplinary impact. These have been separated so that a more nuanced assessment as to access to powerful knowledge can be made.</w:t>
      </w:r>
      <w:r w:rsidR="00E70FE5" w:rsidRPr="0003652C">
        <w:rPr>
          <w:rFonts w:cs="Arial"/>
        </w:rPr>
        <w:t xml:space="preserve"> The analysis</w:t>
      </w:r>
      <w:r w:rsidR="0085504F" w:rsidRPr="0003652C">
        <w:rPr>
          <w:rFonts w:cs="Arial"/>
        </w:rPr>
        <w:t xml:space="preserve"> and discussion</w:t>
      </w:r>
      <w:r w:rsidR="00E70FE5" w:rsidRPr="0003652C">
        <w:rPr>
          <w:rFonts w:cs="Arial"/>
        </w:rPr>
        <w:t xml:space="preserve"> </w:t>
      </w:r>
      <w:r w:rsidR="0085504F" w:rsidRPr="0003652C">
        <w:rPr>
          <w:rFonts w:cs="Arial"/>
        </w:rPr>
        <w:t>are</w:t>
      </w:r>
      <w:r w:rsidR="00E70FE5" w:rsidRPr="0003652C">
        <w:rPr>
          <w:rFonts w:cs="Arial"/>
        </w:rPr>
        <w:t xml:space="preserve"> presented alongside the findings as the former is cumulative</w:t>
      </w:r>
      <w:r w:rsidR="0085504F" w:rsidRPr="0003652C">
        <w:rPr>
          <w:rFonts w:cs="Arial"/>
        </w:rPr>
        <w:t xml:space="preserve"> alongside the latter, and the conclusion pulls these together</w:t>
      </w:r>
      <w:r w:rsidR="00FC3188">
        <w:rPr>
          <w:rFonts w:cs="Arial"/>
        </w:rPr>
        <w:t xml:space="preserve"> to make some more general observations.</w:t>
      </w:r>
      <w:r w:rsidR="003F1AF4" w:rsidRPr="0003652C">
        <w:rPr>
          <w:rFonts w:cs="Arial"/>
        </w:rPr>
        <w:br w:type="page"/>
      </w:r>
    </w:p>
    <w:p w14:paraId="667F0F0F" w14:textId="5EA181D7" w:rsidR="006F3BFC" w:rsidRPr="0003652C" w:rsidRDefault="006F3BFC" w:rsidP="0003652C">
      <w:pPr>
        <w:pStyle w:val="Heading1"/>
        <w:spacing w:before="100" w:after="100" w:afterAutospacing="1" w:line="360" w:lineRule="auto"/>
        <w:rPr>
          <w:rFonts w:ascii="Arial" w:hAnsi="Arial" w:cs="Arial"/>
        </w:rPr>
      </w:pPr>
      <w:bookmarkStart w:id="26" w:name="_Toc223348819"/>
      <w:r w:rsidRPr="0003652C">
        <w:rPr>
          <w:rFonts w:ascii="Arial" w:hAnsi="Arial" w:cs="Arial"/>
        </w:rPr>
        <w:lastRenderedPageBreak/>
        <w:t>The concepts and context</w:t>
      </w:r>
      <w:bookmarkEnd w:id="26"/>
    </w:p>
    <w:p w14:paraId="337191E9" w14:textId="08F76654"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This chapter will introduce the theoretical concepts that both frame this investigation and provide the justification for the research design. It will also explain the context in which the investigation falls, being that of legal education, and legal education at a specific juncture in time when choices are being made as to the purpose of undergraduate law programmes in higher education.  I explain how the literature, the context and timing of this investigation combine to make this a pertinent area for research. </w:t>
      </w:r>
      <w:r w:rsidR="005C27AB">
        <w:rPr>
          <w:rFonts w:cs="Arial"/>
          <w:color w:val="000000" w:themeColor="text1"/>
        </w:rPr>
        <w:t xml:space="preserve"> My</w:t>
      </w:r>
      <w:r w:rsidRPr="0003652C">
        <w:rPr>
          <w:rFonts w:cs="Arial"/>
          <w:color w:val="000000" w:themeColor="text1"/>
        </w:rPr>
        <w:t xml:space="preserve"> approach </w:t>
      </w:r>
      <w:r w:rsidR="005C27AB">
        <w:rPr>
          <w:rFonts w:cs="Arial"/>
          <w:color w:val="000000" w:themeColor="text1"/>
        </w:rPr>
        <w:t>is</w:t>
      </w:r>
      <w:r w:rsidRPr="0003652C">
        <w:rPr>
          <w:rFonts w:cs="Arial"/>
          <w:color w:val="000000" w:themeColor="text1"/>
        </w:rPr>
        <w:t xml:space="preserve"> presented before considering the more general theorisation of course design and why research in this area is </w:t>
      </w:r>
      <w:r w:rsidR="00FC3188">
        <w:rPr>
          <w:rFonts w:cs="Arial"/>
          <w:color w:val="000000" w:themeColor="text1"/>
        </w:rPr>
        <w:t xml:space="preserve">potentially </w:t>
      </w:r>
      <w:r w:rsidRPr="0003652C">
        <w:rPr>
          <w:rFonts w:cs="Arial"/>
          <w:color w:val="000000" w:themeColor="text1"/>
        </w:rPr>
        <w:t xml:space="preserve">relevant to a wider social justice agenda. Finally, I will explain why Bernstein’s theory enables a thorough investigation of course design and supports the research questions. </w:t>
      </w:r>
    </w:p>
    <w:p w14:paraId="337F1909" w14:textId="3D6902F9" w:rsidR="006F3BFC" w:rsidRPr="0003652C" w:rsidRDefault="00803C8B" w:rsidP="0003652C">
      <w:pPr>
        <w:pStyle w:val="Heading2"/>
        <w:spacing w:before="100" w:after="100" w:afterAutospacing="1" w:line="360" w:lineRule="auto"/>
        <w:rPr>
          <w:rFonts w:ascii="Arial" w:hAnsi="Arial" w:cs="Arial"/>
        </w:rPr>
      </w:pPr>
      <w:bookmarkStart w:id="27" w:name="_Toc223348820"/>
      <w:r>
        <w:rPr>
          <w:rFonts w:ascii="Arial" w:hAnsi="Arial" w:cs="Arial"/>
        </w:rPr>
        <w:t>The social construction of a course</w:t>
      </w:r>
      <w:bookmarkEnd w:id="27"/>
    </w:p>
    <w:p w14:paraId="35F5744E" w14:textId="5B5900FA" w:rsidR="006F3BFC" w:rsidRPr="0003652C" w:rsidRDefault="006F3BFC" w:rsidP="0003652C">
      <w:pPr>
        <w:spacing w:line="360" w:lineRule="auto"/>
        <w:jc w:val="both"/>
        <w:rPr>
          <w:rFonts w:cs="Arial"/>
          <w:color w:val="000000" w:themeColor="text1"/>
        </w:rPr>
      </w:pPr>
      <w:r w:rsidRPr="0003652C">
        <w:rPr>
          <w:rFonts w:cs="Arial"/>
          <w:color w:val="000000" w:themeColor="text1"/>
        </w:rPr>
        <w:t>My investigation considers c</w:t>
      </w:r>
      <w:r w:rsidR="002A269E">
        <w:rPr>
          <w:rFonts w:cs="Arial"/>
          <w:color w:val="000000" w:themeColor="text1"/>
        </w:rPr>
        <w:t>ourse</w:t>
      </w:r>
      <w:r w:rsidRPr="0003652C">
        <w:rPr>
          <w:rFonts w:cs="Arial"/>
          <w:color w:val="000000" w:themeColor="text1"/>
        </w:rPr>
        <w:t xml:space="preserve"> design</w:t>
      </w:r>
      <w:r w:rsidR="005C27AB">
        <w:rPr>
          <w:rFonts w:cs="Arial"/>
          <w:color w:val="000000" w:themeColor="text1"/>
        </w:rPr>
        <w:t>,</w:t>
      </w:r>
      <w:r w:rsidRPr="0003652C">
        <w:rPr>
          <w:rFonts w:cs="Arial"/>
          <w:color w:val="000000" w:themeColor="text1"/>
        </w:rPr>
        <w:t xml:space="preserve"> </w:t>
      </w:r>
      <w:r w:rsidR="00D0589F">
        <w:rPr>
          <w:rFonts w:cs="Arial"/>
          <w:color w:val="000000" w:themeColor="text1"/>
        </w:rPr>
        <w:t>focusing on</w:t>
      </w:r>
      <w:r w:rsidRPr="0003652C">
        <w:rPr>
          <w:rFonts w:cs="Arial"/>
          <w:color w:val="000000" w:themeColor="text1"/>
        </w:rPr>
        <w:t xml:space="preserve"> what happens in the design of a programme, and what influences come into play.</w:t>
      </w:r>
      <w:r w:rsidR="000424FC" w:rsidRPr="0003652C">
        <w:rPr>
          <w:rFonts w:cs="Arial"/>
          <w:color w:val="000000" w:themeColor="text1"/>
        </w:rPr>
        <w:t xml:space="preserve"> </w:t>
      </w:r>
      <w:r w:rsidR="00D0589F">
        <w:rPr>
          <w:rFonts w:cs="Arial"/>
          <w:color w:val="000000" w:themeColor="text1"/>
        </w:rPr>
        <w:t xml:space="preserve">I </w:t>
      </w:r>
      <w:r w:rsidR="000424FC" w:rsidRPr="0003652C">
        <w:rPr>
          <w:rFonts w:cs="Arial"/>
          <w:color w:val="000000" w:themeColor="text1"/>
        </w:rPr>
        <w:t>emphasis</w:t>
      </w:r>
      <w:r w:rsidR="00D0589F">
        <w:rPr>
          <w:rFonts w:cs="Arial"/>
          <w:color w:val="000000" w:themeColor="text1"/>
        </w:rPr>
        <w:t>e</w:t>
      </w:r>
      <w:r w:rsidR="000424FC" w:rsidRPr="0003652C">
        <w:rPr>
          <w:rFonts w:cs="Arial"/>
          <w:color w:val="000000" w:themeColor="text1"/>
        </w:rPr>
        <w:t xml:space="preserve"> the role of individuals, groups and bodies as agents, and their interactions in the creation of knowledge, </w:t>
      </w:r>
      <w:r w:rsidR="00D0589F">
        <w:rPr>
          <w:rFonts w:cs="Arial"/>
          <w:color w:val="000000" w:themeColor="text1"/>
        </w:rPr>
        <w:t xml:space="preserve">and of the courses of study through design, </w:t>
      </w:r>
      <w:r w:rsidR="000424FC" w:rsidRPr="0003652C">
        <w:rPr>
          <w:rFonts w:cs="Arial"/>
          <w:color w:val="000000" w:themeColor="text1"/>
        </w:rPr>
        <w:t xml:space="preserve">and allow for an assessment of power dynamics in that creation. This approach also </w:t>
      </w:r>
      <w:r w:rsidRPr="0003652C">
        <w:rPr>
          <w:rFonts w:cs="Arial"/>
          <w:color w:val="000000" w:themeColor="text1"/>
        </w:rPr>
        <w:t xml:space="preserve">complements research in this field and </w:t>
      </w:r>
      <w:r w:rsidR="002A635A">
        <w:rPr>
          <w:rFonts w:cs="Arial"/>
          <w:color w:val="000000" w:themeColor="text1"/>
        </w:rPr>
        <w:t>in</w:t>
      </w:r>
      <w:r w:rsidRPr="0003652C">
        <w:rPr>
          <w:rFonts w:cs="Arial"/>
          <w:color w:val="000000" w:themeColor="text1"/>
        </w:rPr>
        <w:t xml:space="preserve"> legal education that relate course design to wider questions of how to enable students</w:t>
      </w:r>
      <w:r w:rsidR="002A635A">
        <w:rPr>
          <w:rFonts w:cs="Arial"/>
          <w:color w:val="000000" w:themeColor="text1"/>
        </w:rPr>
        <w:t>’</w:t>
      </w:r>
      <w:r w:rsidRPr="0003652C">
        <w:rPr>
          <w:rFonts w:cs="Arial"/>
          <w:color w:val="000000" w:themeColor="text1"/>
        </w:rPr>
        <w:t xml:space="preserve"> learning (</w:t>
      </w:r>
      <w:r w:rsidR="000424FC" w:rsidRPr="0003652C">
        <w:rPr>
          <w:rFonts w:cs="Arial"/>
          <w:color w:val="000000" w:themeColor="text1"/>
        </w:rPr>
        <w:t>McArther &amp; Ashwin, 2020).</w:t>
      </w:r>
      <w:r w:rsidRPr="0003652C">
        <w:rPr>
          <w:rFonts w:cs="Arial"/>
          <w:color w:val="000000" w:themeColor="text1"/>
        </w:rPr>
        <w:t xml:space="preserve"> </w:t>
      </w:r>
    </w:p>
    <w:p w14:paraId="247BAC01" w14:textId="5A66A0B5" w:rsidR="006F3BFC" w:rsidRPr="0003652C" w:rsidRDefault="006F3BFC" w:rsidP="0003652C">
      <w:pPr>
        <w:spacing w:line="360" w:lineRule="auto"/>
        <w:jc w:val="both"/>
        <w:rPr>
          <w:rFonts w:cs="Arial"/>
        </w:rPr>
      </w:pPr>
      <w:r w:rsidRPr="0003652C">
        <w:rPr>
          <w:rFonts w:cs="Arial"/>
          <w:color w:val="000000" w:themeColor="text1"/>
        </w:rPr>
        <w:t xml:space="preserve">Accepting that knowledge is socially constructed, and that there are also power struggles that translate that knowledge into a curriculum, then the question of the curriculum must relate ‘closely to social justice’ (Clegg, 2016. </w:t>
      </w:r>
      <w:r w:rsidR="002A635A">
        <w:rPr>
          <w:rFonts w:cs="Arial"/>
          <w:color w:val="000000" w:themeColor="text1"/>
        </w:rPr>
        <w:t>p.</w:t>
      </w:r>
      <w:r w:rsidRPr="0003652C">
        <w:rPr>
          <w:rFonts w:cs="Arial"/>
          <w:color w:val="000000" w:themeColor="text1"/>
        </w:rPr>
        <w:t>458)</w:t>
      </w:r>
      <w:r w:rsidR="000424FC" w:rsidRPr="0003652C">
        <w:rPr>
          <w:rFonts w:cs="Arial"/>
          <w:color w:val="000000" w:themeColor="text1"/>
        </w:rPr>
        <w:t>.</w:t>
      </w:r>
      <w:r w:rsidRPr="0003652C">
        <w:rPr>
          <w:rFonts w:cs="Arial"/>
          <w:color w:val="000000" w:themeColor="text1"/>
        </w:rPr>
        <w:t xml:space="preserve"> </w:t>
      </w:r>
      <w:r w:rsidRPr="0003652C">
        <w:rPr>
          <w:rFonts w:cs="Arial"/>
        </w:rPr>
        <w:t>Mc</w:t>
      </w:r>
      <w:r w:rsidR="00424F6F">
        <w:rPr>
          <w:rFonts w:cs="Arial"/>
        </w:rPr>
        <w:t>L</w:t>
      </w:r>
      <w:r w:rsidRPr="0003652C">
        <w:rPr>
          <w:rFonts w:cs="Arial"/>
        </w:rPr>
        <w:t>ean et al. argue that whilst universities adapt to changing contexts, they remain important vehicles for transformation (Mc</w:t>
      </w:r>
      <w:r w:rsidR="00424F6F">
        <w:rPr>
          <w:rFonts w:cs="Arial"/>
        </w:rPr>
        <w:t>L</w:t>
      </w:r>
      <w:r w:rsidRPr="0003652C">
        <w:rPr>
          <w:rFonts w:cs="Arial"/>
        </w:rPr>
        <w:t>ean et al., 201</w:t>
      </w:r>
      <w:r w:rsidR="00A2597D" w:rsidRPr="0003652C">
        <w:rPr>
          <w:rFonts w:cs="Arial"/>
        </w:rPr>
        <w:t>8</w:t>
      </w:r>
      <w:r w:rsidRPr="0003652C">
        <w:rPr>
          <w:rFonts w:cs="Arial"/>
        </w:rPr>
        <w:t xml:space="preserve">). </w:t>
      </w:r>
      <w:r w:rsidR="000424FC" w:rsidRPr="0003652C">
        <w:rPr>
          <w:rFonts w:cs="Arial"/>
        </w:rPr>
        <w:t>Within the context of legal education</w:t>
      </w:r>
      <w:r w:rsidR="002A635A">
        <w:rPr>
          <w:rFonts w:cs="Arial"/>
        </w:rPr>
        <w:t xml:space="preserve"> </w:t>
      </w:r>
      <w:r w:rsidRPr="0003652C">
        <w:rPr>
          <w:rFonts w:cs="Arial"/>
        </w:rPr>
        <w:t>and the law school</w:t>
      </w:r>
      <w:r w:rsidR="002A635A">
        <w:rPr>
          <w:rFonts w:cs="Arial"/>
        </w:rPr>
        <w:t>’s</w:t>
      </w:r>
      <w:r w:rsidRPr="0003652C">
        <w:rPr>
          <w:rFonts w:cs="Arial"/>
        </w:rPr>
        <w:t xml:space="preserve"> transformative role</w:t>
      </w:r>
      <w:r w:rsidR="000424FC" w:rsidRPr="0003652C">
        <w:rPr>
          <w:rFonts w:cs="Arial"/>
        </w:rPr>
        <w:t>,</w:t>
      </w:r>
      <w:r w:rsidRPr="0003652C">
        <w:rPr>
          <w:rFonts w:cs="Arial"/>
        </w:rPr>
        <w:t xml:space="preserve"> Brownsword </w:t>
      </w:r>
      <w:r w:rsidR="002A635A">
        <w:rPr>
          <w:rFonts w:cs="Arial"/>
        </w:rPr>
        <w:t xml:space="preserve">similarly </w:t>
      </w:r>
      <w:r w:rsidRPr="0003652C">
        <w:rPr>
          <w:rFonts w:cs="Arial"/>
        </w:rPr>
        <w:t>argue</w:t>
      </w:r>
      <w:r w:rsidR="002A635A">
        <w:rPr>
          <w:rFonts w:cs="Arial"/>
        </w:rPr>
        <w:t xml:space="preserve">d </w:t>
      </w:r>
      <w:r w:rsidRPr="0003652C">
        <w:rPr>
          <w:rFonts w:cs="Arial"/>
        </w:rPr>
        <w:t xml:space="preserve">that we should be concerned with producing good citizens engaged in the life of the community, rather than producing good lawyers (Brownsword, 1999). </w:t>
      </w:r>
    </w:p>
    <w:p w14:paraId="781CB499" w14:textId="4DF5B0F2" w:rsidR="006F3BFC" w:rsidRPr="0003652C" w:rsidRDefault="006F3BFC" w:rsidP="0003652C">
      <w:pPr>
        <w:spacing w:line="360" w:lineRule="auto"/>
        <w:jc w:val="both"/>
        <w:rPr>
          <w:rFonts w:cs="Arial"/>
          <w:color w:val="000000" w:themeColor="text1"/>
        </w:rPr>
      </w:pPr>
      <w:r w:rsidRPr="0003652C">
        <w:rPr>
          <w:rFonts w:cs="Arial"/>
          <w:color w:val="000000" w:themeColor="text1"/>
        </w:rPr>
        <w:lastRenderedPageBreak/>
        <w:t>The transformative and liberational impact of education (Freire</w:t>
      </w:r>
      <w:r w:rsidR="00A94F24" w:rsidRPr="0003652C">
        <w:rPr>
          <w:rFonts w:cs="Arial"/>
          <w:color w:val="000000" w:themeColor="text1"/>
        </w:rPr>
        <w:t xml:space="preserve"> et al.</w:t>
      </w:r>
      <w:r w:rsidRPr="0003652C">
        <w:rPr>
          <w:rFonts w:cs="Arial"/>
          <w:color w:val="000000" w:themeColor="text1"/>
        </w:rPr>
        <w:t xml:space="preserve">, 2018; Fielding, 2004), situates prior discourses within the context of current learning (Paxton &amp; Frith, 2014), guiding students into a discipline (Northedge &amp; McArthur, 2008), whilst also potentially allowing for </w:t>
      </w:r>
      <w:r w:rsidR="00FE4407" w:rsidRPr="0003652C">
        <w:rPr>
          <w:rFonts w:cs="Arial"/>
          <w:color w:val="000000" w:themeColor="text1"/>
        </w:rPr>
        <w:t>the interrogation of other perspectives</w:t>
      </w:r>
      <w:r w:rsidRPr="0003652C">
        <w:rPr>
          <w:rFonts w:cs="Arial"/>
          <w:color w:val="000000" w:themeColor="text1"/>
        </w:rPr>
        <w:t xml:space="preserve"> and thereby furthering a wider social justice approach to higher education (McArthur &amp; Ashwin, 2020). If it is accepted that cultural practices impact the way in which a student engages with their studies, and here at the point o</w:t>
      </w:r>
      <w:r w:rsidR="002A269E">
        <w:rPr>
          <w:rFonts w:cs="Arial"/>
          <w:color w:val="000000" w:themeColor="text1"/>
        </w:rPr>
        <w:t xml:space="preserve">f course </w:t>
      </w:r>
      <w:r w:rsidRPr="0003652C">
        <w:rPr>
          <w:rFonts w:cs="Arial"/>
          <w:color w:val="000000" w:themeColor="text1"/>
        </w:rPr>
        <w:t>design, then the role of the academic is also central to this process</w:t>
      </w:r>
      <w:r w:rsidR="002A635A">
        <w:rPr>
          <w:rFonts w:cs="Arial"/>
          <w:color w:val="000000" w:themeColor="text1"/>
        </w:rPr>
        <w:t>,</w:t>
      </w:r>
      <w:r w:rsidRPr="0003652C">
        <w:rPr>
          <w:rFonts w:cs="Arial"/>
          <w:color w:val="000000" w:themeColor="text1"/>
        </w:rPr>
        <w:t xml:space="preserve"> and </w:t>
      </w:r>
      <w:r w:rsidR="00FC3188">
        <w:rPr>
          <w:rFonts w:cs="Arial"/>
          <w:color w:val="000000" w:themeColor="text1"/>
        </w:rPr>
        <w:t xml:space="preserve">this role </w:t>
      </w:r>
      <w:r w:rsidRPr="0003652C">
        <w:rPr>
          <w:rFonts w:cs="Arial"/>
          <w:color w:val="000000" w:themeColor="text1"/>
        </w:rPr>
        <w:t xml:space="preserve">is to identify, communicate and enable understanding of cultural practices (Paxton </w:t>
      </w:r>
      <w:r w:rsidR="002A635A">
        <w:rPr>
          <w:rFonts w:cs="Arial"/>
          <w:color w:val="000000" w:themeColor="text1"/>
        </w:rPr>
        <w:t>&amp;</w:t>
      </w:r>
      <w:r w:rsidRPr="0003652C">
        <w:rPr>
          <w:rFonts w:cs="Arial"/>
          <w:color w:val="000000" w:themeColor="text1"/>
        </w:rPr>
        <w:t xml:space="preserve"> Frith, 2014). </w:t>
      </w:r>
    </w:p>
    <w:p w14:paraId="13C5AC88" w14:textId="38AD4BF4"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Central to course design are the structures that </w:t>
      </w:r>
      <w:r w:rsidR="00FE4407" w:rsidRPr="0003652C">
        <w:rPr>
          <w:rFonts w:cs="Arial"/>
          <w:color w:val="000000" w:themeColor="text1"/>
        </w:rPr>
        <w:t>exist and enable</w:t>
      </w:r>
      <w:r w:rsidRPr="0003652C">
        <w:rPr>
          <w:rFonts w:cs="Arial"/>
          <w:color w:val="000000" w:themeColor="text1"/>
        </w:rPr>
        <w:t xml:space="preserve"> the process and outcomes of course design. This investigation factors in the hierarchies existing between </w:t>
      </w:r>
      <w:r w:rsidR="00B71178">
        <w:rPr>
          <w:rFonts w:cs="Arial"/>
          <w:color w:val="000000" w:themeColor="text1"/>
        </w:rPr>
        <w:t>universitie</w:t>
      </w:r>
      <w:r w:rsidRPr="0003652C">
        <w:rPr>
          <w:rFonts w:cs="Arial"/>
          <w:color w:val="000000" w:themeColor="text1"/>
        </w:rPr>
        <w:t xml:space="preserve">s, whose status </w:t>
      </w:r>
      <w:r w:rsidR="002A635A">
        <w:rPr>
          <w:rFonts w:cs="Arial"/>
          <w:color w:val="000000" w:themeColor="text1"/>
        </w:rPr>
        <w:t xml:space="preserve">is </w:t>
      </w:r>
      <w:r w:rsidRPr="0003652C">
        <w:rPr>
          <w:rFonts w:cs="Arial"/>
          <w:color w:val="000000" w:themeColor="text1"/>
        </w:rPr>
        <w:t xml:space="preserve">often based on wealth and reputation, </w:t>
      </w:r>
      <w:r w:rsidR="002A635A">
        <w:rPr>
          <w:rFonts w:cs="Arial"/>
          <w:color w:val="000000" w:themeColor="text1"/>
        </w:rPr>
        <w:t xml:space="preserve">which </w:t>
      </w:r>
      <w:r w:rsidRPr="0003652C">
        <w:rPr>
          <w:rFonts w:cs="Arial"/>
          <w:color w:val="000000" w:themeColor="text1"/>
        </w:rPr>
        <w:t>is central to these structures (Mc</w:t>
      </w:r>
      <w:r w:rsidR="00424F6F">
        <w:rPr>
          <w:rFonts w:cs="Arial"/>
          <w:color w:val="000000" w:themeColor="text1"/>
        </w:rPr>
        <w:t>L</w:t>
      </w:r>
      <w:r w:rsidRPr="0003652C">
        <w:rPr>
          <w:rFonts w:cs="Arial"/>
          <w:color w:val="000000" w:themeColor="text1"/>
        </w:rPr>
        <w:t>ean et al., 201</w:t>
      </w:r>
      <w:r w:rsidR="00765137" w:rsidRPr="0003652C">
        <w:rPr>
          <w:rFonts w:cs="Arial"/>
          <w:color w:val="000000" w:themeColor="text1"/>
        </w:rPr>
        <w:t>8</w:t>
      </w:r>
      <w:r w:rsidR="00AE67DC" w:rsidRPr="0003652C">
        <w:rPr>
          <w:rFonts w:cs="Arial"/>
          <w:color w:val="000000" w:themeColor="text1"/>
        </w:rPr>
        <w:t>; Reay, 2021</w:t>
      </w:r>
      <w:r w:rsidRPr="0003652C">
        <w:rPr>
          <w:rFonts w:cs="Arial"/>
          <w:color w:val="000000" w:themeColor="text1"/>
        </w:rPr>
        <w:t xml:space="preserve">). It does this by considering the ways in which influences operate within and between different </w:t>
      </w:r>
      <w:r w:rsidR="00B71178">
        <w:rPr>
          <w:rFonts w:cs="Arial"/>
          <w:color w:val="000000" w:themeColor="text1"/>
        </w:rPr>
        <w:t>universitie</w:t>
      </w:r>
      <w:r w:rsidRPr="0003652C">
        <w:rPr>
          <w:rFonts w:cs="Arial"/>
          <w:color w:val="000000" w:themeColor="text1"/>
        </w:rPr>
        <w:t xml:space="preserve">s, be they institutions that are selective as to their cohorts, or those </w:t>
      </w:r>
      <w:r w:rsidR="00FE4407" w:rsidRPr="0003652C">
        <w:rPr>
          <w:rFonts w:cs="Arial"/>
          <w:color w:val="000000" w:themeColor="text1"/>
        </w:rPr>
        <w:t xml:space="preserve">that </w:t>
      </w:r>
      <w:r w:rsidRPr="0003652C">
        <w:rPr>
          <w:rFonts w:cs="Arial"/>
          <w:color w:val="000000" w:themeColor="text1"/>
        </w:rPr>
        <w:t xml:space="preserve">might see themselves as having a widening participation agenda. </w:t>
      </w:r>
    </w:p>
    <w:p w14:paraId="217895E8" w14:textId="397F9319" w:rsidR="006F3BFC" w:rsidRPr="0003652C" w:rsidRDefault="006F3BFC" w:rsidP="0003652C">
      <w:pPr>
        <w:spacing w:line="360" w:lineRule="auto"/>
        <w:jc w:val="both"/>
        <w:rPr>
          <w:rFonts w:cs="Arial"/>
          <w:color w:val="E36C0A" w:themeColor="accent6" w:themeShade="BF"/>
        </w:rPr>
      </w:pPr>
      <w:r w:rsidRPr="0003652C">
        <w:rPr>
          <w:rFonts w:cs="Arial"/>
          <w:color w:val="000000" w:themeColor="text1"/>
        </w:rPr>
        <w:t>Within legal education</w:t>
      </w:r>
      <w:r w:rsidR="002A635A">
        <w:rPr>
          <w:rFonts w:cs="Arial"/>
          <w:color w:val="000000" w:themeColor="text1"/>
        </w:rPr>
        <w:t>,</w:t>
      </w:r>
      <w:r w:rsidRPr="0003652C">
        <w:rPr>
          <w:rFonts w:cs="Arial"/>
          <w:color w:val="000000" w:themeColor="text1"/>
        </w:rPr>
        <w:t xml:space="preserve"> the </w:t>
      </w:r>
      <w:r w:rsidR="00577BDF">
        <w:rPr>
          <w:rFonts w:cs="Arial"/>
          <w:color w:val="000000" w:themeColor="text1"/>
        </w:rPr>
        <w:t xml:space="preserve">identity differences in law schools </w:t>
      </w:r>
      <w:r w:rsidRPr="0003652C">
        <w:rPr>
          <w:rFonts w:cs="Arial"/>
          <w:color w:val="000000" w:themeColor="text1"/>
        </w:rPr>
        <w:t xml:space="preserve">are pronounced, either in the students who have access to </w:t>
      </w:r>
      <w:r w:rsidR="00577BDF">
        <w:rPr>
          <w:rFonts w:cs="Arial"/>
          <w:color w:val="000000" w:themeColor="text1"/>
        </w:rPr>
        <w:t>programmes in those schools</w:t>
      </w:r>
      <w:r w:rsidRPr="0003652C">
        <w:rPr>
          <w:rFonts w:cs="Arial"/>
          <w:color w:val="000000" w:themeColor="text1"/>
        </w:rPr>
        <w:t>, or the cultural capital that they might acquire and use to enter the profession. Whilst much socialisation that creates these elites happens pre-law school (Guth, 2025), the fact that law schools are also complicit in reproducing the hierarchies that exist has long been recognised (Kennedy, 1982; Thornton, 2007)</w:t>
      </w:r>
      <w:r w:rsidR="00B975A2" w:rsidRPr="0003652C">
        <w:rPr>
          <w:rFonts w:cs="Arial"/>
          <w:color w:val="000000" w:themeColor="text1"/>
        </w:rPr>
        <w:t>, and this in turn influences the wider profession (Krengel et al., 2024)</w:t>
      </w:r>
      <w:r w:rsidRPr="0003652C">
        <w:rPr>
          <w:rFonts w:cs="Arial"/>
          <w:color w:val="000000" w:themeColor="text1"/>
        </w:rPr>
        <w:t xml:space="preserve">. The context of the wider hierarchical structure of higher education, and </w:t>
      </w:r>
      <w:r w:rsidR="00911F74">
        <w:rPr>
          <w:rFonts w:cs="Arial"/>
          <w:color w:val="000000" w:themeColor="text1"/>
        </w:rPr>
        <w:t xml:space="preserve">the </w:t>
      </w:r>
      <w:r w:rsidRPr="0003652C">
        <w:rPr>
          <w:rFonts w:cs="Arial"/>
          <w:color w:val="000000" w:themeColor="text1"/>
        </w:rPr>
        <w:t>different positioning of</w:t>
      </w:r>
      <w:r w:rsidR="00577BDF">
        <w:rPr>
          <w:rFonts w:cs="Arial"/>
          <w:color w:val="000000" w:themeColor="text1"/>
        </w:rPr>
        <w:t xml:space="preserve"> higher education</w:t>
      </w:r>
      <w:r w:rsidRPr="0003652C">
        <w:rPr>
          <w:rFonts w:cs="Arial"/>
          <w:color w:val="000000" w:themeColor="text1"/>
        </w:rPr>
        <w:t xml:space="preserve"> institutions</w:t>
      </w:r>
      <w:r w:rsidR="00911F74">
        <w:rPr>
          <w:rFonts w:cs="Arial"/>
          <w:color w:val="000000" w:themeColor="text1"/>
        </w:rPr>
        <w:t>,</w:t>
      </w:r>
      <w:r w:rsidRPr="0003652C">
        <w:rPr>
          <w:rFonts w:cs="Arial"/>
          <w:color w:val="000000" w:themeColor="text1"/>
        </w:rPr>
        <w:t xml:space="preserve"> is then a context to investigate the degree of difference in the course designs. The research is therefore establishing influences are evident in course design and what impact they have, across a range of </w:t>
      </w:r>
      <w:r w:rsidR="00577BDF">
        <w:rPr>
          <w:rFonts w:cs="Arial"/>
          <w:color w:val="000000" w:themeColor="text1"/>
        </w:rPr>
        <w:t>universitie</w:t>
      </w:r>
      <w:r w:rsidRPr="0003652C">
        <w:rPr>
          <w:rFonts w:cs="Arial"/>
          <w:color w:val="000000" w:themeColor="text1"/>
        </w:rPr>
        <w:t>s within what might be perceived to be the higher education hierarchy. Accepting that status, or reputation does not necessarily amount to what might be seen as</w:t>
      </w:r>
      <w:r w:rsidR="00FE4407" w:rsidRPr="0003652C">
        <w:rPr>
          <w:rFonts w:cs="Arial"/>
          <w:color w:val="000000" w:themeColor="text1"/>
        </w:rPr>
        <w:t xml:space="preserve"> ‘good’ education,</w:t>
      </w:r>
      <w:r w:rsidRPr="0003652C">
        <w:rPr>
          <w:rFonts w:cs="Arial"/>
          <w:color w:val="000000" w:themeColor="text1"/>
        </w:rPr>
        <w:t xml:space="preserve"> I am looking at what influences have an impact in the specific arena of course design </w:t>
      </w:r>
      <w:r w:rsidR="00FE4407" w:rsidRPr="0003652C">
        <w:rPr>
          <w:rFonts w:cs="Arial"/>
          <w:color w:val="000000" w:themeColor="text1"/>
        </w:rPr>
        <w:t xml:space="preserve">and whether this might </w:t>
      </w:r>
      <w:r w:rsidRPr="0003652C">
        <w:rPr>
          <w:rFonts w:cs="Arial"/>
          <w:color w:val="000000" w:themeColor="text1"/>
        </w:rPr>
        <w:t xml:space="preserve">allow </w:t>
      </w:r>
      <w:r w:rsidRPr="0003652C">
        <w:rPr>
          <w:rFonts w:cs="Arial"/>
          <w:color w:val="000000" w:themeColor="text1"/>
        </w:rPr>
        <w:lastRenderedPageBreak/>
        <w:t>conclusions to be made about the role of course design in enabling or disrupting access to knowledge in legal education (Mc</w:t>
      </w:r>
      <w:r w:rsidR="00424F6F">
        <w:rPr>
          <w:rFonts w:cs="Arial"/>
          <w:color w:val="000000" w:themeColor="text1"/>
        </w:rPr>
        <w:t>L</w:t>
      </w:r>
      <w:r w:rsidRPr="0003652C">
        <w:rPr>
          <w:rFonts w:cs="Arial"/>
          <w:color w:val="000000" w:themeColor="text1"/>
        </w:rPr>
        <w:t>ean et al.</w:t>
      </w:r>
      <w:r w:rsidR="00FE4407" w:rsidRPr="0003652C">
        <w:rPr>
          <w:rFonts w:cs="Arial"/>
          <w:color w:val="000000" w:themeColor="text1"/>
        </w:rPr>
        <w:t>,</w:t>
      </w:r>
      <w:r w:rsidRPr="0003652C">
        <w:rPr>
          <w:rFonts w:cs="Arial"/>
          <w:color w:val="000000" w:themeColor="text1"/>
        </w:rPr>
        <w:t xml:space="preserve"> 201</w:t>
      </w:r>
      <w:r w:rsidR="00765137" w:rsidRPr="0003652C">
        <w:rPr>
          <w:rFonts w:cs="Arial"/>
          <w:color w:val="000000" w:themeColor="text1"/>
        </w:rPr>
        <w:t>8</w:t>
      </w:r>
      <w:r w:rsidR="00FE4407" w:rsidRPr="0003652C">
        <w:rPr>
          <w:rFonts w:cs="Arial"/>
          <w:color w:val="000000" w:themeColor="text1"/>
        </w:rPr>
        <w:t>)</w:t>
      </w:r>
      <w:r w:rsidR="00FC3188">
        <w:rPr>
          <w:rFonts w:cs="Arial"/>
          <w:color w:val="000000" w:themeColor="text1"/>
        </w:rPr>
        <w:t>.</w:t>
      </w:r>
    </w:p>
    <w:p w14:paraId="481DEDF1" w14:textId="7264B1EA" w:rsidR="006F3BFC" w:rsidRPr="0003652C" w:rsidRDefault="006F3BFC" w:rsidP="0003652C">
      <w:pPr>
        <w:pStyle w:val="Heading2"/>
        <w:spacing w:before="100" w:after="100" w:afterAutospacing="1" w:line="360" w:lineRule="auto"/>
        <w:rPr>
          <w:rFonts w:ascii="Arial" w:hAnsi="Arial" w:cs="Arial"/>
        </w:rPr>
      </w:pPr>
      <w:bookmarkStart w:id="28" w:name="_Toc223348821"/>
      <w:r w:rsidRPr="0003652C">
        <w:rPr>
          <w:rFonts w:ascii="Arial" w:hAnsi="Arial" w:cs="Arial"/>
        </w:rPr>
        <w:t>Theorising course design</w:t>
      </w:r>
      <w:bookmarkEnd w:id="28"/>
    </w:p>
    <w:p w14:paraId="3E82C80C" w14:textId="6E3B0743" w:rsidR="006F3BFC" w:rsidRPr="0003652C" w:rsidRDefault="006F3BFC" w:rsidP="0003652C">
      <w:pPr>
        <w:spacing w:line="360" w:lineRule="auto"/>
        <w:jc w:val="both"/>
        <w:rPr>
          <w:rFonts w:cs="Arial"/>
          <w:color w:val="000000" w:themeColor="text1"/>
        </w:rPr>
      </w:pPr>
      <w:r w:rsidRPr="0003652C">
        <w:rPr>
          <w:rFonts w:cs="Arial"/>
          <w:color w:val="000000" w:themeColor="text1"/>
        </w:rPr>
        <w:t>The question here is what might be understood to be important considerations in course design, and can we get some insight into this by considering the literature on theoretical approaches to course design</w:t>
      </w:r>
      <w:r w:rsidR="00FE4407" w:rsidRPr="0003652C">
        <w:rPr>
          <w:rFonts w:cs="Arial"/>
          <w:color w:val="000000" w:themeColor="text1"/>
        </w:rPr>
        <w:t xml:space="preserve">? </w:t>
      </w:r>
      <w:r w:rsidRPr="0003652C">
        <w:rPr>
          <w:rFonts w:cs="Arial"/>
          <w:color w:val="000000" w:themeColor="text1"/>
        </w:rPr>
        <w:t xml:space="preserve">Different theoretical approaches to course design are key to assessing the impact that </w:t>
      </w:r>
      <w:r w:rsidR="00911F74">
        <w:rPr>
          <w:rFonts w:cs="Arial"/>
          <w:color w:val="000000" w:themeColor="text1"/>
        </w:rPr>
        <w:t>it</w:t>
      </w:r>
      <w:r w:rsidRPr="0003652C">
        <w:rPr>
          <w:rFonts w:cs="Arial"/>
          <w:color w:val="000000" w:themeColor="text1"/>
        </w:rPr>
        <w:t xml:space="preserve"> may have in improving access to knowledge and understanding for the student</w:t>
      </w:r>
      <w:r w:rsidR="00A91483">
        <w:rPr>
          <w:rFonts w:cs="Arial"/>
          <w:color w:val="000000" w:themeColor="text1"/>
        </w:rPr>
        <w:t xml:space="preserve">. These approaches </w:t>
      </w:r>
      <w:r w:rsidRPr="0003652C">
        <w:rPr>
          <w:rFonts w:cs="Arial"/>
          <w:color w:val="000000" w:themeColor="text1"/>
        </w:rPr>
        <w:t>are key in placing this research within the wider field</w:t>
      </w:r>
      <w:r w:rsidR="00FE4407" w:rsidRPr="0003652C">
        <w:rPr>
          <w:rFonts w:cs="Arial"/>
          <w:color w:val="000000" w:themeColor="text1"/>
        </w:rPr>
        <w:t>.</w:t>
      </w:r>
    </w:p>
    <w:p w14:paraId="7844B678" w14:textId="35214275" w:rsidR="006F3BFC" w:rsidRPr="0003652C" w:rsidRDefault="006F3BFC" w:rsidP="0003652C">
      <w:pPr>
        <w:spacing w:line="360" w:lineRule="auto"/>
        <w:jc w:val="both"/>
        <w:rPr>
          <w:rFonts w:cs="Arial"/>
          <w:color w:val="000000" w:themeColor="text1"/>
        </w:rPr>
      </w:pPr>
      <w:r w:rsidRPr="0003652C">
        <w:rPr>
          <w:rFonts w:cs="Arial"/>
          <w:color w:val="000000" w:themeColor="text1"/>
        </w:rPr>
        <w:t>Course design is now a widely researched area of inquiry worldwide. Often this is evident in the development of ‘small-scale evaluative case studies’ borne from the activity itself and can be seen in the range of perspectives on the impact of course design that have been explored (Tight, 2019. Pg</w:t>
      </w:r>
      <w:r w:rsidR="00A91483">
        <w:rPr>
          <w:rFonts w:cs="Arial"/>
          <w:color w:val="000000" w:themeColor="text1"/>
        </w:rPr>
        <w:t>.</w:t>
      </w:r>
      <w:r w:rsidRPr="0003652C">
        <w:rPr>
          <w:rFonts w:cs="Arial"/>
          <w:color w:val="000000" w:themeColor="text1"/>
        </w:rPr>
        <w:t xml:space="preserve"> 35). Examples of specific investigations into aspects of course design include technologically enhanced learning (Webb &amp; Doman, 2020), post pandemic course design (Ols</w:t>
      </w:r>
      <w:r w:rsidR="00A94F24" w:rsidRPr="0003652C">
        <w:rPr>
          <w:rFonts w:cs="Arial"/>
          <w:color w:val="000000" w:themeColor="text1"/>
        </w:rPr>
        <w:t>o</w:t>
      </w:r>
      <w:r w:rsidRPr="0003652C">
        <w:rPr>
          <w:rFonts w:cs="Arial"/>
          <w:color w:val="000000" w:themeColor="text1"/>
        </w:rPr>
        <w:t>n &amp; Kenahan, 2021), and investigations into the impact of active and passive course designs (Wingfield &amp; Black, 2005). The challenges encountered within the process of course design are also popular area</w:t>
      </w:r>
      <w:r w:rsidR="00A91483">
        <w:rPr>
          <w:rFonts w:cs="Arial"/>
          <w:color w:val="000000" w:themeColor="text1"/>
        </w:rPr>
        <w:t>s</w:t>
      </w:r>
      <w:r w:rsidRPr="0003652C">
        <w:rPr>
          <w:rFonts w:cs="Arial"/>
          <w:color w:val="000000" w:themeColor="text1"/>
        </w:rPr>
        <w:t xml:space="preserve"> for investigation (</w:t>
      </w:r>
      <w:r w:rsidR="00911F74">
        <w:rPr>
          <w:rFonts w:cs="Arial"/>
          <w:color w:val="000000" w:themeColor="text1"/>
        </w:rPr>
        <w:t>S</w:t>
      </w:r>
      <w:r w:rsidRPr="0003652C">
        <w:rPr>
          <w:rFonts w:cs="Arial"/>
          <w:color w:val="000000" w:themeColor="text1"/>
        </w:rPr>
        <w:t>ee Zundans-Fraser, 2016;</w:t>
      </w:r>
      <w:r w:rsidR="006A7DCB" w:rsidRPr="0003652C">
        <w:rPr>
          <w:rFonts w:cs="Arial"/>
          <w:color w:val="000000" w:themeColor="text1"/>
        </w:rPr>
        <w:t xml:space="preserve"> Baca </w:t>
      </w:r>
      <w:r w:rsidR="00B61D46" w:rsidRPr="0003652C">
        <w:rPr>
          <w:rFonts w:cs="Arial"/>
          <w:color w:val="000000" w:themeColor="text1"/>
        </w:rPr>
        <w:t>&amp; Moise</w:t>
      </w:r>
      <w:r w:rsidRPr="0003652C">
        <w:rPr>
          <w:rFonts w:cs="Arial"/>
          <w:color w:val="000000" w:themeColor="text1"/>
        </w:rPr>
        <w:t>, 2016; Ponnaiah et al, 2022), as are the academics</w:t>
      </w:r>
      <w:r w:rsidR="00911F74">
        <w:rPr>
          <w:rFonts w:cs="Arial"/>
          <w:color w:val="000000" w:themeColor="text1"/>
        </w:rPr>
        <w:t>’</w:t>
      </w:r>
      <w:r w:rsidRPr="0003652C">
        <w:rPr>
          <w:rFonts w:cs="Arial"/>
          <w:color w:val="000000" w:themeColor="text1"/>
        </w:rPr>
        <w:t xml:space="preserve"> perceptions of, or agency in the involvement (Newell &amp; Bain, 2020; Annala</w:t>
      </w:r>
      <w:r w:rsidR="00FB2A36" w:rsidRPr="0003652C">
        <w:rPr>
          <w:rFonts w:cs="Arial"/>
          <w:color w:val="000000" w:themeColor="text1"/>
        </w:rPr>
        <w:t xml:space="preserve"> et al.,</w:t>
      </w:r>
      <w:r w:rsidRPr="0003652C">
        <w:rPr>
          <w:rFonts w:cs="Arial"/>
          <w:color w:val="000000" w:themeColor="text1"/>
        </w:rPr>
        <w:t xml:space="preserve"> 2023). </w:t>
      </w:r>
    </w:p>
    <w:p w14:paraId="7F19178B" w14:textId="17C1323B" w:rsidR="006F3BFC" w:rsidRPr="0003652C" w:rsidRDefault="006F3BFC" w:rsidP="0003652C">
      <w:pPr>
        <w:spacing w:line="360" w:lineRule="auto"/>
        <w:jc w:val="both"/>
        <w:rPr>
          <w:rFonts w:cs="Arial"/>
          <w:color w:val="000000" w:themeColor="text1"/>
        </w:rPr>
      </w:pPr>
      <w:r w:rsidRPr="0003652C">
        <w:rPr>
          <w:rFonts w:cs="Arial"/>
          <w:color w:val="000000" w:themeColor="text1"/>
        </w:rPr>
        <w:t>Whilst much of the above provides evidence of the importance of course design within specific contexts, for specific purposes or with specific challenges in mind, the research is useful when placed in the wider theoretical arena</w:t>
      </w:r>
      <w:r w:rsidR="006C6EF7">
        <w:rPr>
          <w:rFonts w:cs="Arial"/>
          <w:color w:val="000000" w:themeColor="text1"/>
        </w:rPr>
        <w:t xml:space="preserve"> (Young, 2013)</w:t>
      </w:r>
      <w:r w:rsidRPr="0003652C">
        <w:rPr>
          <w:rFonts w:cs="Arial"/>
          <w:color w:val="000000" w:themeColor="text1"/>
        </w:rPr>
        <w:t>.</w:t>
      </w:r>
      <w:r w:rsidR="002A269E">
        <w:rPr>
          <w:rFonts w:cs="Arial"/>
          <w:color w:val="000000" w:themeColor="text1"/>
        </w:rPr>
        <w:t xml:space="preserve"> C</w:t>
      </w:r>
      <w:r w:rsidRPr="0003652C">
        <w:rPr>
          <w:rFonts w:cs="Arial"/>
          <w:color w:val="000000" w:themeColor="text1"/>
        </w:rPr>
        <w:t>ourse design has been the subject of theoretical investigation for many years</w:t>
      </w:r>
      <w:r w:rsidR="00911F74">
        <w:rPr>
          <w:rFonts w:cs="Arial"/>
          <w:color w:val="000000" w:themeColor="text1"/>
        </w:rPr>
        <w:t>,</w:t>
      </w:r>
      <w:r w:rsidRPr="0003652C">
        <w:rPr>
          <w:rFonts w:cs="Arial"/>
          <w:color w:val="000000" w:themeColor="text1"/>
        </w:rPr>
        <w:t xml:space="preserve"> and there are </w:t>
      </w:r>
      <w:r w:rsidR="00C96373" w:rsidRPr="0003652C">
        <w:rPr>
          <w:rFonts w:cs="Arial"/>
          <w:color w:val="000000" w:themeColor="text1"/>
        </w:rPr>
        <w:t>several</w:t>
      </w:r>
      <w:r w:rsidRPr="0003652C">
        <w:rPr>
          <w:rFonts w:cs="Arial"/>
          <w:color w:val="000000" w:themeColor="text1"/>
        </w:rPr>
        <w:t xml:space="preserve"> trends in </w:t>
      </w:r>
      <w:r w:rsidR="002A269E">
        <w:rPr>
          <w:rFonts w:cs="Arial"/>
          <w:color w:val="000000" w:themeColor="text1"/>
        </w:rPr>
        <w:t>these</w:t>
      </w:r>
      <w:r w:rsidRPr="0003652C">
        <w:rPr>
          <w:rFonts w:cs="Arial"/>
          <w:color w:val="000000" w:themeColor="text1"/>
        </w:rPr>
        <w:t xml:space="preserve"> approaches </w:t>
      </w:r>
      <w:r w:rsidRPr="0003652C">
        <w:rPr>
          <w:rFonts w:cs="Arial"/>
        </w:rPr>
        <w:t xml:space="preserve"> (Tight, 2019). The </w:t>
      </w:r>
      <w:r w:rsidRPr="0003652C">
        <w:rPr>
          <w:rFonts w:cs="Arial"/>
          <w:color w:val="000000" w:themeColor="text1"/>
        </w:rPr>
        <w:t>investigation</w:t>
      </w:r>
      <w:r w:rsidR="00911F74">
        <w:rPr>
          <w:rFonts w:cs="Arial"/>
          <w:color w:val="000000" w:themeColor="text1"/>
        </w:rPr>
        <w:t>s</w:t>
      </w:r>
      <w:r w:rsidRPr="0003652C">
        <w:rPr>
          <w:rFonts w:cs="Arial"/>
          <w:color w:val="000000" w:themeColor="text1"/>
        </w:rPr>
        <w:t xml:space="preserve"> into constructive alignment, threshold concepts or academic literacies are some examples of theories that step back from the intricacies of how we navigate a particular context and consider how we communicate with </w:t>
      </w:r>
      <w:r w:rsidRPr="0003652C">
        <w:rPr>
          <w:rFonts w:cs="Arial"/>
          <w:color w:val="000000" w:themeColor="text1"/>
        </w:rPr>
        <w:lastRenderedPageBreak/>
        <w:t xml:space="preserve">students (Tight, 2019). It is </w:t>
      </w:r>
      <w:r w:rsidRPr="0003652C">
        <w:rPr>
          <w:rFonts w:cs="Arial"/>
        </w:rPr>
        <w:t xml:space="preserve">important </w:t>
      </w:r>
      <w:r w:rsidRPr="0003652C">
        <w:rPr>
          <w:rFonts w:cs="Arial"/>
          <w:color w:val="000000" w:themeColor="text1"/>
        </w:rPr>
        <w:t xml:space="preserve">to consider course design within this wider conceptual framework. </w:t>
      </w:r>
    </w:p>
    <w:p w14:paraId="00A93CBD" w14:textId="40FDD188" w:rsidR="006F3BFC" w:rsidRPr="0003652C" w:rsidRDefault="006F3BFC" w:rsidP="0003652C">
      <w:pPr>
        <w:spacing w:line="360" w:lineRule="auto"/>
        <w:jc w:val="both"/>
        <w:rPr>
          <w:rFonts w:cs="Arial"/>
          <w:color w:val="000000" w:themeColor="text1"/>
        </w:rPr>
      </w:pPr>
      <w:r w:rsidRPr="0003652C">
        <w:rPr>
          <w:rFonts w:cs="Arial"/>
        </w:rPr>
        <w:t xml:space="preserve">Due to external control mechanisms and the perceived need to measure a student’s progress on a programme, outcomes-based approaches to course design have become increasingly popular, particularly in developing the constructive alignment of a course (Biggs, 1999; </w:t>
      </w:r>
      <w:r w:rsidRPr="0003652C">
        <w:rPr>
          <w:rFonts w:cs="Arial"/>
          <w:color w:val="000000" w:themeColor="text1"/>
        </w:rPr>
        <w:t>Trigwell &amp; Prosser, 2014) and this has been regarded as particularly useful in course design (see for example Wang et al, 2013; Vanfretti &amp; Farrokhabadi, 2015). These approaches are not however universally accepted. The outcomes</w:t>
      </w:r>
      <w:r w:rsidR="00911F74">
        <w:rPr>
          <w:rFonts w:cs="Arial"/>
          <w:color w:val="000000" w:themeColor="text1"/>
        </w:rPr>
        <w:t>-</w:t>
      </w:r>
      <w:r w:rsidRPr="0003652C">
        <w:rPr>
          <w:rFonts w:cs="Arial"/>
          <w:color w:val="000000" w:themeColor="text1"/>
        </w:rPr>
        <w:t xml:space="preserve">based approaches have been criticised for presenting an asocial transactional learning perspective (Malcolm &amp; Zukas, 2001). Jenkins argues that there is a danger that </w:t>
      </w:r>
    </w:p>
    <w:p w14:paraId="778BE145" w14:textId="645C31FC" w:rsidR="006F3BFC" w:rsidRPr="0003652C" w:rsidRDefault="006F3BFC" w:rsidP="0003652C">
      <w:pPr>
        <w:spacing w:line="360" w:lineRule="auto"/>
        <w:ind w:left="720"/>
        <w:jc w:val="both"/>
        <w:rPr>
          <w:rFonts w:cs="Arial"/>
        </w:rPr>
      </w:pPr>
      <w:r w:rsidRPr="0003652C">
        <w:rPr>
          <w:rFonts w:cs="Arial"/>
        </w:rPr>
        <w:t>Course design is conceptualised as a rational purposive process relatively free of context (Jenkins, 2009</w:t>
      </w:r>
      <w:r w:rsidR="00911F74">
        <w:rPr>
          <w:rFonts w:cs="Arial"/>
        </w:rPr>
        <w:t>. p.</w:t>
      </w:r>
      <w:r w:rsidRPr="0003652C">
        <w:rPr>
          <w:rFonts w:cs="Arial"/>
        </w:rPr>
        <w:t xml:space="preserve"> 157)</w:t>
      </w:r>
    </w:p>
    <w:p w14:paraId="4C4E0043" w14:textId="07853860" w:rsidR="006F3BFC" w:rsidRPr="0003652C" w:rsidRDefault="006F3BFC" w:rsidP="0003652C">
      <w:pPr>
        <w:spacing w:line="360" w:lineRule="auto"/>
        <w:jc w:val="both"/>
        <w:rPr>
          <w:rFonts w:cs="Arial"/>
        </w:rPr>
      </w:pPr>
      <w:r w:rsidRPr="0003652C">
        <w:rPr>
          <w:rFonts w:cs="Arial"/>
          <w:color w:val="000000" w:themeColor="text1"/>
        </w:rPr>
        <w:t xml:space="preserve">He highlights </w:t>
      </w:r>
      <w:r w:rsidR="00911F74">
        <w:rPr>
          <w:rFonts w:cs="Arial"/>
          <w:color w:val="000000" w:themeColor="text1"/>
        </w:rPr>
        <w:t xml:space="preserve">that </w:t>
      </w:r>
      <w:r w:rsidRPr="0003652C">
        <w:rPr>
          <w:rFonts w:cs="Arial"/>
          <w:color w:val="000000" w:themeColor="text1"/>
        </w:rPr>
        <w:t>there are many contextual goals and perspectives at play in course design</w:t>
      </w:r>
      <w:r w:rsidR="00911F74">
        <w:rPr>
          <w:rFonts w:cs="Arial"/>
          <w:color w:val="000000" w:themeColor="text1"/>
        </w:rPr>
        <w:t>,</w:t>
      </w:r>
      <w:r w:rsidRPr="0003652C">
        <w:rPr>
          <w:rFonts w:cs="Arial"/>
          <w:color w:val="000000" w:themeColor="text1"/>
        </w:rPr>
        <w:t xml:space="preserve"> which the constructive alignment of learning outcomes ignores.</w:t>
      </w:r>
    </w:p>
    <w:p w14:paraId="5ADEA353" w14:textId="120134E9" w:rsidR="006F3BFC" w:rsidRPr="0003652C" w:rsidRDefault="006F3BFC" w:rsidP="0003652C">
      <w:pPr>
        <w:spacing w:line="360" w:lineRule="auto"/>
        <w:jc w:val="both"/>
        <w:rPr>
          <w:rFonts w:cs="Arial"/>
          <w:color w:val="000000" w:themeColor="text1"/>
        </w:rPr>
      </w:pPr>
      <w:r w:rsidRPr="0003652C">
        <w:rPr>
          <w:rFonts w:cs="Arial"/>
        </w:rPr>
        <w:t xml:space="preserve">The theory underpinning both threshold concepts and academic literacies proposes ways of enhancing understanding for students. They are presented as being beneficial to student learning when identified within the presentation of a course design (Tapp, 2015). </w:t>
      </w:r>
      <w:r w:rsidRPr="0003652C">
        <w:rPr>
          <w:rFonts w:cs="Arial"/>
          <w:color w:val="000000" w:themeColor="text1"/>
        </w:rPr>
        <w:t xml:space="preserve">They may also be seen to benefit from being considered or placed within the wider context of a student’s experience or journey (Barradell &amp; Kennedy-Jones, 2015). </w:t>
      </w:r>
      <w:r w:rsidR="00911F74">
        <w:rPr>
          <w:rFonts w:cs="Arial"/>
          <w:color w:val="000000" w:themeColor="text1"/>
        </w:rPr>
        <w:t>The analysis of t</w:t>
      </w:r>
      <w:r w:rsidRPr="0003652C">
        <w:rPr>
          <w:rFonts w:cs="Arial"/>
          <w:color w:val="000000" w:themeColor="text1"/>
        </w:rPr>
        <w:t>hreshold concepts, developed as a theory within higher education and building on the concept of ‘troublesome knowledge’</w:t>
      </w:r>
      <w:r w:rsidR="00911F74">
        <w:rPr>
          <w:rFonts w:cs="Arial"/>
          <w:color w:val="000000" w:themeColor="text1"/>
        </w:rPr>
        <w:t>,</w:t>
      </w:r>
      <w:r w:rsidRPr="0003652C">
        <w:rPr>
          <w:rFonts w:cs="Arial"/>
          <w:color w:val="000000" w:themeColor="text1"/>
        </w:rPr>
        <w:t xml:space="preserve"> ha</w:t>
      </w:r>
      <w:r w:rsidR="00911F74">
        <w:rPr>
          <w:rFonts w:cs="Arial"/>
          <w:color w:val="000000" w:themeColor="text1"/>
        </w:rPr>
        <w:t>s</w:t>
      </w:r>
      <w:r w:rsidRPr="0003652C">
        <w:rPr>
          <w:rFonts w:cs="Arial"/>
          <w:color w:val="000000" w:themeColor="text1"/>
        </w:rPr>
        <w:t xml:space="preserve"> gained great traction over the past twenty-five years (Meyer </w:t>
      </w:r>
      <w:r w:rsidR="00864084" w:rsidRPr="0003652C">
        <w:rPr>
          <w:rFonts w:cs="Arial"/>
          <w:color w:val="000000" w:themeColor="text1"/>
        </w:rPr>
        <w:t>et al.</w:t>
      </w:r>
      <w:r w:rsidRPr="0003652C">
        <w:rPr>
          <w:rFonts w:cs="Arial"/>
          <w:color w:val="000000" w:themeColor="text1"/>
        </w:rPr>
        <w:t>, 200</w:t>
      </w:r>
      <w:r w:rsidR="00864084" w:rsidRPr="0003652C">
        <w:rPr>
          <w:rFonts w:cs="Arial"/>
          <w:color w:val="000000" w:themeColor="text1"/>
        </w:rPr>
        <w:t>9</w:t>
      </w:r>
      <w:r w:rsidRPr="0003652C">
        <w:rPr>
          <w:rFonts w:cs="Arial"/>
          <w:color w:val="000000" w:themeColor="text1"/>
        </w:rPr>
        <w:t xml:space="preserve">; Tight, 2019). </w:t>
      </w:r>
      <w:r w:rsidR="00911F74">
        <w:rPr>
          <w:rFonts w:cs="Arial"/>
          <w:color w:val="000000" w:themeColor="text1"/>
        </w:rPr>
        <w:t>It,</w:t>
      </w:r>
      <w:r w:rsidRPr="0003652C">
        <w:rPr>
          <w:rFonts w:cs="Arial"/>
          <w:color w:val="000000" w:themeColor="text1"/>
        </w:rPr>
        <w:t xml:space="preserve"> however</w:t>
      </w:r>
      <w:r w:rsidR="00911F74">
        <w:rPr>
          <w:rFonts w:cs="Arial"/>
          <w:color w:val="000000" w:themeColor="text1"/>
        </w:rPr>
        <w:t>,</w:t>
      </w:r>
      <w:r w:rsidRPr="0003652C">
        <w:rPr>
          <w:rFonts w:cs="Arial"/>
          <w:color w:val="000000" w:themeColor="text1"/>
        </w:rPr>
        <w:t xml:space="preserve"> centre</w:t>
      </w:r>
      <w:r w:rsidR="00911F74">
        <w:rPr>
          <w:rFonts w:cs="Arial"/>
          <w:color w:val="000000" w:themeColor="text1"/>
        </w:rPr>
        <w:t>s</w:t>
      </w:r>
      <w:r w:rsidRPr="0003652C">
        <w:rPr>
          <w:rFonts w:cs="Arial"/>
          <w:color w:val="000000" w:themeColor="text1"/>
        </w:rPr>
        <w:t xml:space="preserve"> on what knowledge needs to be understood and so is open to dispute as to what a threshold concept might be in any given context (Rowbottom, 2007). The theory underlying academic literacies originates outside of higher education research, in theories of linguistics, and criticises assumptions about what is valid knowledge, and whose knowledge it is. Academic literacies have been interpreted in very different ways, both more instrumental and from </w:t>
      </w:r>
      <w:r w:rsidR="00911F74">
        <w:rPr>
          <w:rFonts w:cs="Arial"/>
          <w:color w:val="000000" w:themeColor="text1"/>
        </w:rPr>
        <w:t>a</w:t>
      </w:r>
      <w:r w:rsidRPr="0003652C">
        <w:rPr>
          <w:rFonts w:cs="Arial"/>
          <w:color w:val="000000" w:themeColor="text1"/>
        </w:rPr>
        <w:t xml:space="preserve"> wider theoretical perspective (Tight, </w:t>
      </w:r>
      <w:r w:rsidRPr="0003652C">
        <w:rPr>
          <w:rFonts w:cs="Arial"/>
          <w:color w:val="000000" w:themeColor="text1"/>
        </w:rPr>
        <w:lastRenderedPageBreak/>
        <w:t>2019). The link between the latter and Bernstein’s work, and knowledge structures</w:t>
      </w:r>
      <w:r w:rsidR="00911F74">
        <w:rPr>
          <w:rFonts w:cs="Arial"/>
          <w:color w:val="000000" w:themeColor="text1"/>
        </w:rPr>
        <w:t>,</w:t>
      </w:r>
      <w:r w:rsidRPr="0003652C">
        <w:rPr>
          <w:rFonts w:cs="Arial"/>
          <w:color w:val="000000" w:themeColor="text1"/>
        </w:rPr>
        <w:t xml:space="preserve"> is elaborated on below. </w:t>
      </w:r>
    </w:p>
    <w:p w14:paraId="0B823DBD" w14:textId="69B6868C"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At </w:t>
      </w:r>
      <w:r w:rsidR="00911F74">
        <w:rPr>
          <w:rFonts w:cs="Arial"/>
          <w:color w:val="000000" w:themeColor="text1"/>
        </w:rPr>
        <w:t xml:space="preserve">the </w:t>
      </w:r>
      <w:r w:rsidRPr="0003652C">
        <w:rPr>
          <w:rFonts w:cs="Arial"/>
          <w:color w:val="000000" w:themeColor="text1"/>
        </w:rPr>
        <w:t>course or programme level</w:t>
      </w:r>
      <w:r w:rsidR="00911F74">
        <w:rPr>
          <w:rFonts w:cs="Arial"/>
          <w:color w:val="000000" w:themeColor="text1"/>
        </w:rPr>
        <w:t>,</w:t>
      </w:r>
      <w:r w:rsidRPr="0003652C">
        <w:rPr>
          <w:rFonts w:cs="Arial"/>
          <w:color w:val="000000" w:themeColor="text1"/>
        </w:rPr>
        <w:t xml:space="preserve"> holistic approaches to course design, with programme</w:t>
      </w:r>
      <w:r w:rsidR="00911F74">
        <w:rPr>
          <w:rFonts w:cs="Arial"/>
          <w:color w:val="000000" w:themeColor="text1"/>
        </w:rPr>
        <w:t>-</w:t>
      </w:r>
      <w:r w:rsidRPr="0003652C">
        <w:rPr>
          <w:rFonts w:cs="Arial"/>
          <w:color w:val="000000" w:themeColor="text1"/>
        </w:rPr>
        <w:t>level clarity and</w:t>
      </w:r>
      <w:r w:rsidR="00054BE9" w:rsidRPr="0003652C">
        <w:rPr>
          <w:rFonts w:cs="Arial"/>
          <w:color w:val="000000" w:themeColor="text1"/>
        </w:rPr>
        <w:t xml:space="preserve"> messaging,</w:t>
      </w:r>
      <w:r w:rsidRPr="0003652C">
        <w:rPr>
          <w:rFonts w:cs="Arial"/>
          <w:color w:val="000000" w:themeColor="text1"/>
        </w:rPr>
        <w:t xml:space="preserve"> have been presented as a means to improve both access to academic literacies and threshold concepts (Barradell &amp; Kennedy-Jones, 2015) and provide an alternative to outcomes-based course construction. Holistic approaches have been presented as important for a student’s induction or transition into the wider discipline, </w:t>
      </w:r>
      <w:r w:rsidR="00054BE9" w:rsidRPr="0003652C">
        <w:rPr>
          <w:rFonts w:cs="Arial"/>
          <w:color w:val="000000" w:themeColor="text1"/>
        </w:rPr>
        <w:t>as enabling the</w:t>
      </w:r>
      <w:r w:rsidRPr="0003652C">
        <w:rPr>
          <w:rFonts w:cs="Arial"/>
          <w:color w:val="000000" w:themeColor="text1"/>
        </w:rPr>
        <w:t xml:space="preserve"> journey for the student through their studies, and with the design of a programme influencing future scholars in their engagement in that discipline (Cownie, 2004). A holistic, non-outcomes-based approach to design has been investigated as a vehicle to introduce critical pedagogy (Sardashti et al, 2019) and has been seen to have wider benefits to education</w:t>
      </w:r>
      <w:r w:rsidR="00664559">
        <w:rPr>
          <w:rFonts w:cs="Arial"/>
          <w:color w:val="000000" w:themeColor="text1"/>
        </w:rPr>
        <w:t>,</w:t>
      </w:r>
      <w:r w:rsidRPr="0003652C">
        <w:rPr>
          <w:rFonts w:cs="Arial"/>
          <w:color w:val="000000" w:themeColor="text1"/>
        </w:rPr>
        <w:t xml:space="preserve"> such as improving student motivation (Dutt et al, 2023) or even enabling students’ engagement in the design of their own course (Bovill et al, 2011). With an emphasis on the student’s journey as opposed to one that places value on the outcome, the focus becomes one of considering what interventions are needed to enable that journey. Such an approach may overcome challenges presented by the hidden curricula (S</w:t>
      </w:r>
      <w:r w:rsidR="007A66A0" w:rsidRPr="0003652C">
        <w:rPr>
          <w:rFonts w:cs="Arial"/>
          <w:color w:val="000000" w:themeColor="text1"/>
        </w:rPr>
        <w:t>nyd</w:t>
      </w:r>
      <w:r w:rsidRPr="0003652C">
        <w:rPr>
          <w:rFonts w:cs="Arial"/>
          <w:color w:val="000000" w:themeColor="text1"/>
        </w:rPr>
        <w:t>er, 1971) or it may enable transition for students’ grappling with new academic literacies (Tapp, 2015). From a wider perspective</w:t>
      </w:r>
      <w:r w:rsidR="00664559">
        <w:rPr>
          <w:rFonts w:cs="Arial"/>
          <w:color w:val="000000" w:themeColor="text1"/>
        </w:rPr>
        <w:t>,</w:t>
      </w:r>
      <w:r w:rsidRPr="0003652C">
        <w:rPr>
          <w:rFonts w:cs="Arial"/>
          <w:color w:val="000000" w:themeColor="text1"/>
        </w:rPr>
        <w:t xml:space="preserve"> it supports the shift towards developing the ontological dimensions of being a student as well as epistemological access (Barnett, 2009). These approaches investigating the impact of course design on the improvement of the student’s understanding in potentially removing barriers to learning, whether they be in the context of threshold concepts or academic literacies or other approaches to course design have often emphasised approaches to design and I return to the idea of holistic design again both in the context of Bernstein’s codes</w:t>
      </w:r>
      <w:r w:rsidR="00447335">
        <w:rPr>
          <w:rFonts w:cs="Arial"/>
          <w:color w:val="000000" w:themeColor="text1"/>
        </w:rPr>
        <w:t xml:space="preserve">, when reflecting on choices made by designers in </w:t>
      </w:r>
      <w:r w:rsidR="00046A61">
        <w:rPr>
          <w:rFonts w:cs="Arial"/>
          <w:color w:val="000000" w:themeColor="text1"/>
        </w:rPr>
        <w:t>C</w:t>
      </w:r>
      <w:r w:rsidR="00447335">
        <w:rPr>
          <w:rFonts w:cs="Arial"/>
          <w:color w:val="000000" w:themeColor="text1"/>
        </w:rPr>
        <w:t xml:space="preserve">hapter </w:t>
      </w:r>
      <w:r w:rsidR="00046A61">
        <w:rPr>
          <w:rFonts w:cs="Arial"/>
          <w:color w:val="000000" w:themeColor="text1"/>
        </w:rPr>
        <w:t>E</w:t>
      </w:r>
      <w:r w:rsidR="00447335">
        <w:rPr>
          <w:rFonts w:cs="Arial"/>
          <w:color w:val="000000" w:themeColor="text1"/>
        </w:rPr>
        <w:t>ight,</w:t>
      </w:r>
      <w:r w:rsidRPr="0003652C">
        <w:rPr>
          <w:rFonts w:cs="Arial"/>
          <w:color w:val="000000" w:themeColor="text1"/>
        </w:rPr>
        <w:t xml:space="preserve"> and at the end of this thesis.</w:t>
      </w:r>
    </w:p>
    <w:p w14:paraId="1E872BB1" w14:textId="5EFFA4C2"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Theoretical investigations into course design, and ultimately </w:t>
      </w:r>
      <w:r w:rsidR="00054BE9" w:rsidRPr="0003652C">
        <w:rPr>
          <w:rFonts w:cs="Arial"/>
          <w:color w:val="000000" w:themeColor="text1"/>
        </w:rPr>
        <w:t xml:space="preserve">questions over </w:t>
      </w:r>
      <w:r w:rsidRPr="0003652C">
        <w:rPr>
          <w:rFonts w:cs="Arial"/>
          <w:color w:val="000000" w:themeColor="text1"/>
        </w:rPr>
        <w:t xml:space="preserve">what </w:t>
      </w:r>
      <w:r w:rsidR="00036F7B" w:rsidRPr="0003652C">
        <w:rPr>
          <w:rFonts w:cs="Arial"/>
          <w:color w:val="000000" w:themeColor="text1"/>
        </w:rPr>
        <w:t>good course design is</w:t>
      </w:r>
      <w:r w:rsidR="00664559">
        <w:rPr>
          <w:rFonts w:cs="Arial"/>
          <w:color w:val="000000" w:themeColor="text1"/>
        </w:rPr>
        <w:t>,</w:t>
      </w:r>
      <w:r w:rsidRPr="0003652C">
        <w:rPr>
          <w:rFonts w:cs="Arial"/>
          <w:color w:val="000000" w:themeColor="text1"/>
        </w:rPr>
        <w:t xml:space="preserve"> will </w:t>
      </w:r>
      <w:r w:rsidR="00054BE9" w:rsidRPr="0003652C">
        <w:rPr>
          <w:rFonts w:cs="Arial"/>
          <w:color w:val="000000" w:themeColor="text1"/>
        </w:rPr>
        <w:t>be</w:t>
      </w:r>
      <w:r w:rsidRPr="0003652C">
        <w:rPr>
          <w:rFonts w:cs="Arial"/>
          <w:color w:val="000000" w:themeColor="text1"/>
        </w:rPr>
        <w:t xml:space="preserve"> dependent upon what outcomes or journeys are defined as ‘good’ for the student, and there may be a multiplicity of valuable </w:t>
      </w:r>
      <w:r w:rsidRPr="0003652C">
        <w:rPr>
          <w:rFonts w:cs="Arial"/>
          <w:color w:val="000000" w:themeColor="text1"/>
        </w:rPr>
        <w:lastRenderedPageBreak/>
        <w:t xml:space="preserve">viewpoints on this. This investigation aims to interrogate what is understood to </w:t>
      </w:r>
      <w:r w:rsidR="00054BE9" w:rsidRPr="0003652C">
        <w:rPr>
          <w:rFonts w:cs="Arial"/>
          <w:color w:val="000000" w:themeColor="text1"/>
        </w:rPr>
        <w:t>have a role</w:t>
      </w:r>
      <w:r w:rsidRPr="0003652C">
        <w:rPr>
          <w:rFonts w:cs="Arial"/>
          <w:color w:val="000000" w:themeColor="text1"/>
        </w:rPr>
        <w:t xml:space="preserve"> </w:t>
      </w:r>
      <w:r w:rsidR="00664559">
        <w:rPr>
          <w:rFonts w:cs="Arial"/>
          <w:color w:val="000000" w:themeColor="text1"/>
        </w:rPr>
        <w:t xml:space="preserve">in </w:t>
      </w:r>
      <w:r w:rsidRPr="0003652C">
        <w:rPr>
          <w:rFonts w:cs="Arial"/>
          <w:color w:val="000000" w:themeColor="text1"/>
        </w:rPr>
        <w:t xml:space="preserve">that assessment.  </w:t>
      </w:r>
    </w:p>
    <w:p w14:paraId="6CDBAAD6" w14:textId="36FA02C8" w:rsidR="006F3BFC" w:rsidRPr="0003652C" w:rsidRDefault="006F3BFC" w:rsidP="0003652C">
      <w:pPr>
        <w:pStyle w:val="Heading2"/>
        <w:spacing w:before="100" w:after="100" w:afterAutospacing="1" w:line="360" w:lineRule="auto"/>
        <w:rPr>
          <w:rFonts w:ascii="Arial" w:hAnsi="Arial" w:cs="Arial"/>
        </w:rPr>
      </w:pPr>
      <w:bookmarkStart w:id="29" w:name="_Toc223348822"/>
      <w:r w:rsidRPr="0003652C">
        <w:rPr>
          <w:rFonts w:ascii="Arial" w:hAnsi="Arial" w:cs="Arial"/>
        </w:rPr>
        <w:t>Bernstein and course design</w:t>
      </w:r>
      <w:bookmarkEnd w:id="29"/>
    </w:p>
    <w:p w14:paraId="164BEE12" w14:textId="166E2D2C" w:rsidR="006F3BFC" w:rsidRPr="0003652C" w:rsidRDefault="006F3BFC" w:rsidP="0003652C">
      <w:pPr>
        <w:spacing w:line="360" w:lineRule="auto"/>
        <w:jc w:val="both"/>
        <w:rPr>
          <w:rFonts w:cs="Arial"/>
          <w:color w:val="000000" w:themeColor="text1"/>
        </w:rPr>
      </w:pPr>
      <w:r w:rsidRPr="0003652C">
        <w:rPr>
          <w:rFonts w:cs="Arial"/>
          <w:color w:val="000000" w:themeColor="text1"/>
        </w:rPr>
        <w:t>Having presented a brief consideration of some of the theor</w:t>
      </w:r>
      <w:r w:rsidR="00664559">
        <w:rPr>
          <w:rFonts w:cs="Arial"/>
          <w:color w:val="000000" w:themeColor="text1"/>
        </w:rPr>
        <w:t>ies</w:t>
      </w:r>
      <w:r w:rsidRPr="0003652C">
        <w:rPr>
          <w:rFonts w:cs="Arial"/>
          <w:color w:val="000000" w:themeColor="text1"/>
        </w:rPr>
        <w:t xml:space="preserve"> that might be useful within the context of course design, it is necessary to consider why Bernstein might provide an appropriate framework for this investigation. In </w:t>
      </w:r>
      <w:r w:rsidR="00046A61">
        <w:rPr>
          <w:rFonts w:cs="Arial"/>
          <w:color w:val="000000" w:themeColor="text1"/>
        </w:rPr>
        <w:t>C</w:t>
      </w:r>
      <w:r w:rsidRPr="0003652C">
        <w:rPr>
          <w:rFonts w:cs="Arial"/>
          <w:color w:val="000000" w:themeColor="text1"/>
        </w:rPr>
        <w:t xml:space="preserve">hapter </w:t>
      </w:r>
      <w:r w:rsidR="00046A61">
        <w:rPr>
          <w:rFonts w:cs="Arial"/>
          <w:color w:val="000000" w:themeColor="text1"/>
        </w:rPr>
        <w:t>T</w:t>
      </w:r>
      <w:r w:rsidRPr="0003652C">
        <w:rPr>
          <w:rFonts w:cs="Arial"/>
          <w:color w:val="000000" w:themeColor="text1"/>
        </w:rPr>
        <w:t>hree</w:t>
      </w:r>
      <w:r w:rsidR="00664559">
        <w:rPr>
          <w:rFonts w:cs="Arial"/>
          <w:color w:val="000000" w:themeColor="text1"/>
        </w:rPr>
        <w:t>,</w:t>
      </w:r>
      <w:r w:rsidRPr="0003652C">
        <w:rPr>
          <w:rFonts w:cs="Arial"/>
          <w:color w:val="000000" w:themeColor="text1"/>
        </w:rPr>
        <w:t xml:space="preserve"> I </w:t>
      </w:r>
      <w:r w:rsidR="00054BE9" w:rsidRPr="0003652C">
        <w:rPr>
          <w:rFonts w:cs="Arial"/>
          <w:color w:val="000000" w:themeColor="text1"/>
        </w:rPr>
        <w:t>proceed</w:t>
      </w:r>
      <w:r w:rsidRPr="0003652C">
        <w:rPr>
          <w:rFonts w:cs="Arial"/>
          <w:color w:val="000000" w:themeColor="text1"/>
        </w:rPr>
        <w:t xml:space="preserve"> to explain how it can be used</w:t>
      </w:r>
      <w:r w:rsidR="00664559">
        <w:rPr>
          <w:rFonts w:cs="Arial"/>
          <w:color w:val="000000" w:themeColor="text1"/>
        </w:rPr>
        <w:t>,</w:t>
      </w:r>
      <w:r w:rsidR="00054BE9" w:rsidRPr="0003652C">
        <w:rPr>
          <w:rFonts w:cs="Arial"/>
          <w:color w:val="000000" w:themeColor="text1"/>
        </w:rPr>
        <w:t xml:space="preserve"> </w:t>
      </w:r>
      <w:r w:rsidR="00A91483">
        <w:rPr>
          <w:rFonts w:cs="Arial"/>
          <w:color w:val="000000" w:themeColor="text1"/>
        </w:rPr>
        <w:t>introducing some element of the legal education context</w:t>
      </w:r>
      <w:r w:rsidRPr="0003652C">
        <w:rPr>
          <w:rFonts w:cs="Arial"/>
          <w:color w:val="000000" w:themeColor="text1"/>
        </w:rPr>
        <w:t xml:space="preserve">. </w:t>
      </w:r>
    </w:p>
    <w:p w14:paraId="79F8E8E6" w14:textId="1BC7AAD5"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Bernstein’s work of over 40 years focused on the reasons for the disconnect between knowledge and understanding, and the structures that have the potential to enable learning, and in this way, he </w:t>
      </w:r>
      <w:r w:rsidR="00054BE9" w:rsidRPr="0003652C">
        <w:rPr>
          <w:rFonts w:cs="Arial"/>
          <w:color w:val="000000" w:themeColor="text1"/>
        </w:rPr>
        <w:t xml:space="preserve">presented a </w:t>
      </w:r>
      <w:r w:rsidR="00036F7B" w:rsidRPr="0003652C">
        <w:rPr>
          <w:rFonts w:cs="Arial"/>
          <w:color w:val="000000" w:themeColor="text1"/>
        </w:rPr>
        <w:t>pedagogic structure</w:t>
      </w:r>
      <w:r w:rsidR="00054BE9" w:rsidRPr="0003652C">
        <w:rPr>
          <w:rFonts w:cs="Arial"/>
          <w:color w:val="000000" w:themeColor="text1"/>
        </w:rPr>
        <w:t xml:space="preserve"> as non-neutral.</w:t>
      </w:r>
      <w:r w:rsidRPr="0003652C">
        <w:rPr>
          <w:rFonts w:cs="Arial"/>
          <w:color w:val="000000" w:themeColor="text1"/>
        </w:rPr>
        <w:t xml:space="preserve"> Bernstein provides a framework that allows questions to be asked as to whether and how we are empowering students, and for whom </w:t>
      </w:r>
      <w:r w:rsidR="00664559">
        <w:rPr>
          <w:rFonts w:cs="Arial"/>
          <w:color w:val="000000" w:themeColor="text1"/>
        </w:rPr>
        <w:t>we are</w:t>
      </w:r>
      <w:r w:rsidRPr="0003652C">
        <w:rPr>
          <w:rFonts w:cs="Arial"/>
          <w:color w:val="000000" w:themeColor="text1"/>
        </w:rPr>
        <w:t xml:space="preserve"> doing this. Are we</w:t>
      </w:r>
      <w:r w:rsidR="00664559">
        <w:rPr>
          <w:rFonts w:cs="Arial"/>
          <w:color w:val="000000" w:themeColor="text1"/>
        </w:rPr>
        <w:t>,</w:t>
      </w:r>
      <w:r w:rsidRPr="0003652C">
        <w:rPr>
          <w:rFonts w:cs="Arial"/>
          <w:color w:val="000000" w:themeColor="text1"/>
        </w:rPr>
        <w:t xml:space="preserve"> for example</w:t>
      </w:r>
      <w:r w:rsidR="00664559">
        <w:rPr>
          <w:rFonts w:cs="Arial"/>
          <w:color w:val="000000" w:themeColor="text1"/>
        </w:rPr>
        <w:t>,</w:t>
      </w:r>
      <w:r w:rsidRPr="0003652C">
        <w:rPr>
          <w:rFonts w:cs="Arial"/>
          <w:color w:val="000000" w:themeColor="text1"/>
        </w:rPr>
        <w:t xml:space="preserve"> providing only what employers want or something more? (Donnelly</w:t>
      </w:r>
      <w:r w:rsidR="00D81D36" w:rsidRPr="0003652C">
        <w:rPr>
          <w:rFonts w:cs="Arial"/>
          <w:color w:val="000000" w:themeColor="text1"/>
        </w:rPr>
        <w:t xml:space="preserve"> et al.</w:t>
      </w:r>
      <w:r w:rsidRPr="0003652C">
        <w:rPr>
          <w:rFonts w:cs="Arial"/>
          <w:color w:val="000000" w:themeColor="text1"/>
        </w:rPr>
        <w:t xml:space="preserve">, 2018). Bernstein sees education as having the power to disrupt, and the use of educational interventions as being key in this process. </w:t>
      </w:r>
    </w:p>
    <w:p w14:paraId="5D0BC0E1" w14:textId="296AF43B" w:rsidR="006F3BFC" w:rsidRPr="0003652C" w:rsidRDefault="006F3BFC" w:rsidP="0003652C">
      <w:pPr>
        <w:spacing w:line="360" w:lineRule="auto"/>
        <w:ind w:left="720"/>
        <w:jc w:val="both"/>
        <w:rPr>
          <w:rFonts w:cs="Arial"/>
          <w:color w:val="000000" w:themeColor="text1"/>
        </w:rPr>
      </w:pPr>
      <w:r w:rsidRPr="0003652C">
        <w:rPr>
          <w:rFonts w:cs="Arial"/>
          <w:color w:val="000000" w:themeColor="text1"/>
        </w:rPr>
        <w:t xml:space="preserve">A Bernsteinian approach allows for the possibility to understand the exceptional cases of education as a disruptive force (Donnelly </w:t>
      </w:r>
      <w:r w:rsidR="002A72CA" w:rsidRPr="0003652C">
        <w:rPr>
          <w:rFonts w:cs="Arial"/>
          <w:color w:val="000000" w:themeColor="text1"/>
        </w:rPr>
        <w:t>et al.</w:t>
      </w:r>
      <w:r w:rsidRPr="0003652C">
        <w:rPr>
          <w:rFonts w:cs="Arial"/>
          <w:color w:val="000000" w:themeColor="text1"/>
        </w:rPr>
        <w:t xml:space="preserve">, 2018. </w:t>
      </w:r>
      <w:r w:rsidR="00664559">
        <w:rPr>
          <w:rFonts w:cs="Arial"/>
          <w:color w:val="000000" w:themeColor="text1"/>
        </w:rPr>
        <w:t>P.</w:t>
      </w:r>
      <w:r w:rsidRPr="0003652C">
        <w:rPr>
          <w:rFonts w:cs="Arial"/>
          <w:color w:val="000000" w:themeColor="text1"/>
        </w:rPr>
        <w:t xml:space="preserve"> 14).</w:t>
      </w:r>
    </w:p>
    <w:p w14:paraId="433345D7" w14:textId="2EA48F66" w:rsidR="00F43964" w:rsidRPr="0003652C" w:rsidRDefault="006F3BFC" w:rsidP="0003652C">
      <w:pPr>
        <w:spacing w:line="360" w:lineRule="auto"/>
        <w:jc w:val="both"/>
        <w:rPr>
          <w:rFonts w:cs="Arial"/>
          <w:color w:val="000000" w:themeColor="text1"/>
        </w:rPr>
      </w:pPr>
      <w:r w:rsidRPr="0003652C">
        <w:rPr>
          <w:rFonts w:cs="Arial"/>
          <w:color w:val="000000" w:themeColor="text1"/>
        </w:rPr>
        <w:t>In this way</w:t>
      </w:r>
      <w:r w:rsidR="00664559">
        <w:rPr>
          <w:rFonts w:cs="Arial"/>
          <w:color w:val="000000" w:themeColor="text1"/>
        </w:rPr>
        <w:t>,</w:t>
      </w:r>
      <w:r w:rsidRPr="0003652C">
        <w:rPr>
          <w:rFonts w:cs="Arial"/>
          <w:color w:val="000000" w:themeColor="text1"/>
        </w:rPr>
        <w:t xml:space="preserve"> Bernstein provides a conceptual framework within which to consider the wider transformative power of higher education</w:t>
      </w:r>
      <w:r w:rsidR="00664559">
        <w:rPr>
          <w:rFonts w:cs="Arial"/>
          <w:color w:val="000000" w:themeColor="text1"/>
        </w:rPr>
        <w:t xml:space="preserve"> </w:t>
      </w:r>
      <w:r w:rsidRPr="0003652C">
        <w:rPr>
          <w:rFonts w:cs="Arial"/>
          <w:color w:val="000000" w:themeColor="text1"/>
        </w:rPr>
        <w:t>and the specific structuring of knowledge and what influences it. The framework not only facilitates investigation into the influences in course design, but also consider</w:t>
      </w:r>
      <w:r w:rsidR="00664559">
        <w:rPr>
          <w:rFonts w:cs="Arial"/>
          <w:color w:val="000000" w:themeColor="text1"/>
        </w:rPr>
        <w:t>s</w:t>
      </w:r>
      <w:r w:rsidRPr="0003652C">
        <w:rPr>
          <w:rFonts w:cs="Arial"/>
          <w:color w:val="000000" w:themeColor="text1"/>
        </w:rPr>
        <w:t xml:space="preserve"> the impact of these in different contexts. Whilst this investigation does not extend to the </w:t>
      </w:r>
      <w:r w:rsidR="00054BE9" w:rsidRPr="0003652C">
        <w:rPr>
          <w:rFonts w:cs="Arial"/>
          <w:color w:val="000000" w:themeColor="text1"/>
        </w:rPr>
        <w:t>assessment of</w:t>
      </w:r>
      <w:r w:rsidRPr="0003652C">
        <w:rPr>
          <w:rFonts w:cs="Arial"/>
          <w:color w:val="000000" w:themeColor="text1"/>
        </w:rPr>
        <w:t xml:space="preserve"> inequalities in legal education</w:t>
      </w:r>
      <w:r w:rsidR="00054BE9" w:rsidRPr="0003652C">
        <w:rPr>
          <w:rFonts w:cs="Arial"/>
          <w:color w:val="000000" w:themeColor="text1"/>
        </w:rPr>
        <w:t xml:space="preserve">, </w:t>
      </w:r>
      <w:r w:rsidRPr="0003652C">
        <w:rPr>
          <w:rFonts w:cs="Arial"/>
          <w:color w:val="000000" w:themeColor="text1"/>
        </w:rPr>
        <w:t>it makes an initial assessment as to the different approaches and understanding of the role of course design in enabling students</w:t>
      </w:r>
      <w:r w:rsidR="00664559">
        <w:rPr>
          <w:rFonts w:cs="Arial"/>
          <w:color w:val="000000" w:themeColor="text1"/>
        </w:rPr>
        <w:t>’</w:t>
      </w:r>
      <w:r w:rsidRPr="0003652C">
        <w:rPr>
          <w:rFonts w:cs="Arial"/>
          <w:color w:val="000000" w:themeColor="text1"/>
        </w:rPr>
        <w:t xml:space="preserve"> understanding</w:t>
      </w:r>
      <w:r w:rsidR="00A91483">
        <w:rPr>
          <w:rFonts w:cs="Arial"/>
          <w:color w:val="000000" w:themeColor="text1"/>
        </w:rPr>
        <w:t>. In this way</w:t>
      </w:r>
      <w:r w:rsidR="00664559">
        <w:rPr>
          <w:rFonts w:cs="Arial"/>
          <w:color w:val="000000" w:themeColor="text1"/>
        </w:rPr>
        <w:t>,</w:t>
      </w:r>
      <w:r w:rsidR="00A91483">
        <w:rPr>
          <w:rFonts w:cs="Arial"/>
          <w:color w:val="000000" w:themeColor="text1"/>
        </w:rPr>
        <w:t xml:space="preserve"> </w:t>
      </w:r>
      <w:r w:rsidR="00E048DE">
        <w:rPr>
          <w:rFonts w:cs="Arial"/>
          <w:color w:val="000000" w:themeColor="text1"/>
        </w:rPr>
        <w:t xml:space="preserve">Bernstein’s framework is </w:t>
      </w:r>
      <w:r w:rsidR="00A91483">
        <w:rPr>
          <w:rFonts w:cs="Arial"/>
          <w:color w:val="000000" w:themeColor="text1"/>
        </w:rPr>
        <w:t xml:space="preserve">presented as </w:t>
      </w:r>
      <w:r w:rsidR="00E048DE">
        <w:rPr>
          <w:rFonts w:cs="Arial"/>
          <w:color w:val="000000" w:themeColor="text1"/>
        </w:rPr>
        <w:t>an appropriate mechanism through which to do this (</w:t>
      </w:r>
      <w:r w:rsidR="00E048DE" w:rsidRPr="00E048DE">
        <w:rPr>
          <w:rFonts w:cs="Arial"/>
          <w:color w:val="000000" w:themeColor="text1"/>
        </w:rPr>
        <w:t>Lilliedahl</w:t>
      </w:r>
      <w:r w:rsidR="00E048DE">
        <w:rPr>
          <w:rFonts w:cs="Arial"/>
          <w:color w:val="000000" w:themeColor="text1"/>
        </w:rPr>
        <w:t>,</w:t>
      </w:r>
      <w:r w:rsidR="00E048DE" w:rsidRPr="00E048DE">
        <w:rPr>
          <w:rFonts w:cs="Arial"/>
          <w:color w:val="000000" w:themeColor="text1"/>
        </w:rPr>
        <w:t xml:space="preserve"> 2015) </w:t>
      </w:r>
      <w:r w:rsidRPr="0003652C">
        <w:rPr>
          <w:rFonts w:cs="Arial"/>
          <w:color w:val="000000" w:themeColor="text1"/>
        </w:rPr>
        <w:t xml:space="preserve"> </w:t>
      </w:r>
    </w:p>
    <w:p w14:paraId="44582905" w14:textId="6F23C4E5" w:rsidR="006F3BFC" w:rsidRPr="0003652C" w:rsidRDefault="006F3BFC" w:rsidP="0003652C">
      <w:pPr>
        <w:spacing w:line="360" w:lineRule="auto"/>
        <w:jc w:val="both"/>
        <w:rPr>
          <w:rFonts w:cs="Arial"/>
          <w:color w:val="000000" w:themeColor="text1"/>
        </w:rPr>
      </w:pPr>
      <w:r w:rsidRPr="0003652C">
        <w:rPr>
          <w:rFonts w:cs="Arial"/>
          <w:color w:val="000000" w:themeColor="text1"/>
        </w:rPr>
        <w:lastRenderedPageBreak/>
        <w:t>Theoretical approaches to course design</w:t>
      </w:r>
      <w:r w:rsidR="00664559">
        <w:rPr>
          <w:rFonts w:cs="Arial"/>
          <w:color w:val="000000" w:themeColor="text1"/>
        </w:rPr>
        <w:t>,</w:t>
      </w:r>
      <w:r w:rsidRPr="0003652C">
        <w:rPr>
          <w:rFonts w:cs="Arial"/>
          <w:color w:val="000000" w:themeColor="text1"/>
        </w:rPr>
        <w:t xml:space="preserve"> such as threshold concepts and, perhaps more so, academic literacies</w:t>
      </w:r>
      <w:r w:rsidR="00664559">
        <w:rPr>
          <w:rFonts w:cs="Arial"/>
          <w:color w:val="000000" w:themeColor="text1"/>
        </w:rPr>
        <w:t>,</w:t>
      </w:r>
      <w:r w:rsidRPr="0003652C">
        <w:rPr>
          <w:rFonts w:cs="Arial"/>
          <w:color w:val="000000" w:themeColor="text1"/>
        </w:rPr>
        <w:t xml:space="preserve"> can feed into this framework as they provide a means to analyse aspects of course design. Bernstein</w:t>
      </w:r>
      <w:r w:rsidR="00664559">
        <w:rPr>
          <w:rFonts w:cs="Arial"/>
          <w:color w:val="000000" w:themeColor="text1"/>
        </w:rPr>
        <w:t>,</w:t>
      </w:r>
      <w:r w:rsidRPr="0003652C">
        <w:rPr>
          <w:rFonts w:cs="Arial"/>
          <w:color w:val="000000" w:themeColor="text1"/>
        </w:rPr>
        <w:t xml:space="preserve"> however</w:t>
      </w:r>
      <w:r w:rsidR="00664559">
        <w:rPr>
          <w:rFonts w:cs="Arial"/>
          <w:color w:val="000000" w:themeColor="text1"/>
        </w:rPr>
        <w:t>,</w:t>
      </w:r>
      <w:r w:rsidRPr="0003652C">
        <w:rPr>
          <w:rFonts w:cs="Arial"/>
          <w:color w:val="000000" w:themeColor="text1"/>
        </w:rPr>
        <w:t xml:space="preserve"> provides a means of analysing the structure and relationships that impact on learning in a more comprehensive way, presenting these structures that might enable learning as equally important as what is learnt, and as being far from neutral. Ashwin considers whether other theories</w:t>
      </w:r>
      <w:r w:rsidR="00664559">
        <w:rPr>
          <w:rFonts w:cs="Arial"/>
          <w:color w:val="000000" w:themeColor="text1"/>
        </w:rPr>
        <w:t>,</w:t>
      </w:r>
      <w:r w:rsidRPr="0003652C">
        <w:rPr>
          <w:rFonts w:cs="Arial"/>
          <w:color w:val="000000" w:themeColor="text1"/>
        </w:rPr>
        <w:t xml:space="preserve"> such as that of communities of practice</w:t>
      </w:r>
      <w:r w:rsidR="00664559">
        <w:rPr>
          <w:rFonts w:cs="Arial"/>
          <w:color w:val="000000" w:themeColor="text1"/>
        </w:rPr>
        <w:t>,</w:t>
      </w:r>
      <w:r w:rsidRPr="0003652C">
        <w:rPr>
          <w:rFonts w:cs="Arial"/>
          <w:color w:val="000000" w:themeColor="text1"/>
        </w:rPr>
        <w:t xml:space="preserve"> might provide an alternative means to problemise student learning</w:t>
      </w:r>
      <w:r w:rsidR="00664559">
        <w:rPr>
          <w:rFonts w:cs="Arial"/>
          <w:color w:val="000000" w:themeColor="text1"/>
        </w:rPr>
        <w:t>,</w:t>
      </w:r>
      <w:r w:rsidRPr="0003652C">
        <w:rPr>
          <w:rFonts w:cs="Arial"/>
          <w:color w:val="000000" w:themeColor="text1"/>
        </w:rPr>
        <w:t xml:space="preserve"> but concludes that </w:t>
      </w:r>
      <w:r w:rsidR="00F43964" w:rsidRPr="0003652C">
        <w:rPr>
          <w:rFonts w:cs="Arial"/>
          <w:color w:val="000000" w:themeColor="text1"/>
        </w:rPr>
        <w:t>here there are</w:t>
      </w:r>
      <w:r w:rsidRPr="0003652C">
        <w:rPr>
          <w:rFonts w:cs="Arial"/>
          <w:color w:val="000000" w:themeColor="text1"/>
        </w:rPr>
        <w:t xml:space="preserve"> assumptions about the position of individuals in the process and what they want (Ashwin, 2009). Similarly, Trowler and Becher’s presentation of academic tribes ha</w:t>
      </w:r>
      <w:r w:rsidR="00664559">
        <w:rPr>
          <w:rFonts w:cs="Arial"/>
          <w:color w:val="000000" w:themeColor="text1"/>
        </w:rPr>
        <w:t>s</w:t>
      </w:r>
      <w:r w:rsidRPr="0003652C">
        <w:rPr>
          <w:rFonts w:cs="Arial"/>
          <w:color w:val="000000" w:themeColor="text1"/>
        </w:rPr>
        <w:t xml:space="preserve"> been found to limit their analysis to the discipline or knowledge, and less to the wider context of struggle that selects that knowledge (Ashwin, 2009).</w:t>
      </w:r>
    </w:p>
    <w:p w14:paraId="052A8DF2" w14:textId="115318E2"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Bernstein’s theory, codes and </w:t>
      </w:r>
      <w:r w:rsidR="00F43964" w:rsidRPr="0003652C">
        <w:rPr>
          <w:rFonts w:cs="Arial"/>
          <w:color w:val="000000" w:themeColor="text1"/>
        </w:rPr>
        <w:t>the framework in the pedagogic device bring together</w:t>
      </w:r>
      <w:r w:rsidRPr="0003652C">
        <w:rPr>
          <w:rFonts w:cs="Arial"/>
          <w:color w:val="000000" w:themeColor="text1"/>
        </w:rPr>
        <w:t xml:space="preserve"> much of the above</w:t>
      </w:r>
      <w:r w:rsidR="00F43964" w:rsidRPr="0003652C">
        <w:rPr>
          <w:rFonts w:cs="Arial"/>
          <w:color w:val="000000" w:themeColor="text1"/>
        </w:rPr>
        <w:t xml:space="preserve"> and allow a mapping of the contested spaces and the level of contestation within them</w:t>
      </w:r>
      <w:r w:rsidRPr="0003652C">
        <w:rPr>
          <w:rFonts w:cs="Arial"/>
          <w:color w:val="000000" w:themeColor="text1"/>
        </w:rPr>
        <w:t xml:space="preserve">. There is an emphasis on higher levels of knowledge to which educators could or should be providing access. The curricula become one of the ‘agentic factors’ in this (Donnelly </w:t>
      </w:r>
      <w:r w:rsidR="0091778B" w:rsidRPr="0003652C">
        <w:rPr>
          <w:rFonts w:cs="Arial"/>
          <w:color w:val="000000" w:themeColor="text1"/>
        </w:rPr>
        <w:t>et al.</w:t>
      </w:r>
      <w:r w:rsidRPr="0003652C">
        <w:rPr>
          <w:rFonts w:cs="Arial"/>
          <w:color w:val="000000" w:themeColor="text1"/>
        </w:rPr>
        <w:t xml:space="preserve">, 2018. </w:t>
      </w:r>
      <w:r w:rsidR="00664559">
        <w:rPr>
          <w:rFonts w:cs="Arial"/>
          <w:color w:val="000000" w:themeColor="text1"/>
        </w:rPr>
        <w:t>p.</w:t>
      </w:r>
      <w:r w:rsidRPr="0003652C">
        <w:rPr>
          <w:rFonts w:cs="Arial"/>
          <w:color w:val="000000" w:themeColor="text1"/>
        </w:rPr>
        <w:t xml:space="preserve">14). </w:t>
      </w:r>
      <w:r w:rsidR="00F43964" w:rsidRPr="0003652C">
        <w:rPr>
          <w:rFonts w:cs="Arial"/>
          <w:color w:val="000000" w:themeColor="text1"/>
        </w:rPr>
        <w:t>In this way</w:t>
      </w:r>
      <w:r w:rsidR="00664559">
        <w:rPr>
          <w:rFonts w:cs="Arial"/>
          <w:color w:val="000000" w:themeColor="text1"/>
        </w:rPr>
        <w:t>,</w:t>
      </w:r>
      <w:r w:rsidR="00F43964" w:rsidRPr="0003652C">
        <w:rPr>
          <w:rFonts w:cs="Arial"/>
          <w:color w:val="000000" w:themeColor="text1"/>
        </w:rPr>
        <w:t xml:space="preserve"> </w:t>
      </w:r>
      <w:r w:rsidRPr="0003652C">
        <w:rPr>
          <w:rFonts w:cs="Arial"/>
          <w:color w:val="000000" w:themeColor="text1"/>
        </w:rPr>
        <w:t>Bernstein’s framework allows for a means to visualise what is happening in c</w:t>
      </w:r>
      <w:r w:rsidR="002A269E">
        <w:rPr>
          <w:rFonts w:cs="Arial"/>
          <w:color w:val="000000" w:themeColor="text1"/>
        </w:rPr>
        <w:t>ourse</w:t>
      </w:r>
      <w:r w:rsidRPr="0003652C">
        <w:rPr>
          <w:rFonts w:cs="Arial"/>
          <w:color w:val="000000" w:themeColor="text1"/>
        </w:rPr>
        <w:t xml:space="preserve"> design and </w:t>
      </w:r>
      <w:r w:rsidR="00F43964" w:rsidRPr="0003652C">
        <w:rPr>
          <w:rFonts w:cs="Arial"/>
          <w:color w:val="000000" w:themeColor="text1"/>
        </w:rPr>
        <w:t>potentially an assessment of the</w:t>
      </w:r>
      <w:r w:rsidRPr="0003652C">
        <w:rPr>
          <w:rFonts w:cs="Arial"/>
          <w:color w:val="000000" w:themeColor="text1"/>
        </w:rPr>
        <w:t xml:space="preserve"> impact </w:t>
      </w:r>
      <w:r w:rsidR="00F43964" w:rsidRPr="0003652C">
        <w:rPr>
          <w:rFonts w:cs="Arial"/>
          <w:color w:val="000000" w:themeColor="text1"/>
        </w:rPr>
        <w:t xml:space="preserve">of that </w:t>
      </w:r>
      <w:r w:rsidRPr="0003652C">
        <w:rPr>
          <w:rFonts w:cs="Arial"/>
          <w:color w:val="000000" w:themeColor="text1"/>
        </w:rPr>
        <w:t>on the students</w:t>
      </w:r>
      <w:r w:rsidR="00664559">
        <w:rPr>
          <w:rFonts w:cs="Arial"/>
          <w:color w:val="000000" w:themeColor="text1"/>
        </w:rPr>
        <w:t>’</w:t>
      </w:r>
      <w:r w:rsidRPr="0003652C">
        <w:rPr>
          <w:rFonts w:cs="Arial"/>
          <w:color w:val="000000" w:themeColor="text1"/>
        </w:rPr>
        <w:t xml:space="preserve"> access to knowledge. It allows for a tiered approach to any investigation, looking at the macro, mesa and micro level forces at play (Muller</w:t>
      </w:r>
      <w:r w:rsidR="00864084" w:rsidRPr="0003652C">
        <w:rPr>
          <w:rFonts w:cs="Arial"/>
          <w:color w:val="000000" w:themeColor="text1"/>
        </w:rPr>
        <w:t xml:space="preserve"> &amp; Young</w:t>
      </w:r>
      <w:r w:rsidRPr="0003652C">
        <w:rPr>
          <w:rFonts w:cs="Arial"/>
          <w:color w:val="000000" w:themeColor="text1"/>
        </w:rPr>
        <w:t xml:space="preserve">, 2014). This approach ‘encourages deep interrogation without pre-judging outcomes.’ (Donnelly </w:t>
      </w:r>
      <w:r w:rsidR="0091778B" w:rsidRPr="0003652C">
        <w:rPr>
          <w:rFonts w:cs="Arial"/>
          <w:color w:val="000000" w:themeColor="text1"/>
        </w:rPr>
        <w:t>et al.</w:t>
      </w:r>
      <w:r w:rsidRPr="0003652C">
        <w:rPr>
          <w:rFonts w:cs="Arial"/>
          <w:color w:val="000000" w:themeColor="text1"/>
        </w:rPr>
        <w:t xml:space="preserve">, 2018. Pg 11). Bernstein’s analysis of integrated knowledge systems, and of hierarchical </w:t>
      </w:r>
      <w:r w:rsidR="00F43964" w:rsidRPr="0003652C">
        <w:rPr>
          <w:rFonts w:cs="Arial"/>
          <w:color w:val="000000" w:themeColor="text1"/>
        </w:rPr>
        <w:t xml:space="preserve">and vertical </w:t>
      </w:r>
      <w:r w:rsidRPr="0003652C">
        <w:rPr>
          <w:rFonts w:cs="Arial"/>
          <w:color w:val="000000" w:themeColor="text1"/>
        </w:rPr>
        <w:t>knowledge structures</w:t>
      </w:r>
      <w:r w:rsidR="00E847DF">
        <w:rPr>
          <w:rFonts w:cs="Arial"/>
          <w:color w:val="000000" w:themeColor="text1"/>
        </w:rPr>
        <w:t>,</w:t>
      </w:r>
      <w:r w:rsidR="00A91483">
        <w:rPr>
          <w:rFonts w:cs="Arial"/>
          <w:color w:val="000000" w:themeColor="text1"/>
        </w:rPr>
        <w:t xml:space="preserve"> also</w:t>
      </w:r>
      <w:r w:rsidRPr="0003652C">
        <w:rPr>
          <w:rFonts w:cs="Arial"/>
          <w:color w:val="000000" w:themeColor="text1"/>
        </w:rPr>
        <w:t xml:space="preserve"> draw</w:t>
      </w:r>
      <w:r w:rsidR="00E847DF">
        <w:rPr>
          <w:rFonts w:cs="Arial"/>
          <w:color w:val="000000" w:themeColor="text1"/>
        </w:rPr>
        <w:t>s</w:t>
      </w:r>
      <w:r w:rsidRPr="0003652C">
        <w:rPr>
          <w:rFonts w:cs="Arial"/>
          <w:color w:val="000000" w:themeColor="text1"/>
        </w:rPr>
        <w:t xml:space="preserve"> on holistic approaches to understanding</w:t>
      </w:r>
      <w:r w:rsidR="00E847DF">
        <w:rPr>
          <w:rFonts w:cs="Arial"/>
          <w:color w:val="000000" w:themeColor="text1"/>
        </w:rPr>
        <w:t>,</w:t>
      </w:r>
      <w:r w:rsidRPr="0003652C">
        <w:rPr>
          <w:rFonts w:cs="Arial"/>
          <w:color w:val="000000" w:themeColor="text1"/>
        </w:rPr>
        <w:t xml:space="preserve"> as I will discuss later (</w:t>
      </w:r>
      <w:r w:rsidR="00F43964" w:rsidRPr="0003652C">
        <w:rPr>
          <w:rFonts w:cs="Arial"/>
          <w:color w:val="000000" w:themeColor="text1"/>
        </w:rPr>
        <w:t xml:space="preserve">See </w:t>
      </w:r>
      <w:r w:rsidR="00046A61">
        <w:rPr>
          <w:rFonts w:cs="Arial"/>
          <w:color w:val="000000" w:themeColor="text1"/>
        </w:rPr>
        <w:t>C</w:t>
      </w:r>
      <w:r w:rsidRPr="0003652C">
        <w:rPr>
          <w:rFonts w:cs="Arial"/>
          <w:color w:val="000000" w:themeColor="text1"/>
        </w:rPr>
        <w:t xml:space="preserve">hapter </w:t>
      </w:r>
      <w:r w:rsidR="00046A61">
        <w:rPr>
          <w:rFonts w:cs="Arial"/>
          <w:color w:val="000000" w:themeColor="text1"/>
        </w:rPr>
        <w:t>T</w:t>
      </w:r>
      <w:r w:rsidRPr="0003652C">
        <w:rPr>
          <w:rFonts w:cs="Arial"/>
          <w:color w:val="000000" w:themeColor="text1"/>
        </w:rPr>
        <w:t xml:space="preserve">hree).The relevant codes that will be further explained in </w:t>
      </w:r>
      <w:r w:rsidR="00046A61">
        <w:rPr>
          <w:rFonts w:cs="Arial"/>
          <w:color w:val="000000" w:themeColor="text1"/>
        </w:rPr>
        <w:t>C</w:t>
      </w:r>
      <w:r w:rsidRPr="0003652C">
        <w:rPr>
          <w:rFonts w:cs="Arial"/>
          <w:color w:val="000000" w:themeColor="text1"/>
        </w:rPr>
        <w:t xml:space="preserve">hapter </w:t>
      </w:r>
      <w:r w:rsidR="00046A61">
        <w:rPr>
          <w:rFonts w:cs="Arial"/>
          <w:color w:val="000000" w:themeColor="text1"/>
        </w:rPr>
        <w:t>T</w:t>
      </w:r>
      <w:r w:rsidRPr="0003652C">
        <w:rPr>
          <w:rFonts w:cs="Arial"/>
          <w:color w:val="000000" w:themeColor="text1"/>
        </w:rPr>
        <w:t xml:space="preserve">hree provide an </w:t>
      </w:r>
      <w:r w:rsidR="00F43964" w:rsidRPr="0003652C">
        <w:rPr>
          <w:rFonts w:cs="Arial"/>
          <w:color w:val="000000" w:themeColor="text1"/>
        </w:rPr>
        <w:t>insight as to how</w:t>
      </w:r>
      <w:r w:rsidRPr="0003652C">
        <w:rPr>
          <w:rFonts w:cs="Arial"/>
          <w:color w:val="000000" w:themeColor="text1"/>
        </w:rPr>
        <w:t xml:space="preserve"> power structures </w:t>
      </w:r>
      <w:r w:rsidR="00F43964" w:rsidRPr="0003652C">
        <w:rPr>
          <w:rFonts w:cs="Arial"/>
          <w:color w:val="000000" w:themeColor="text1"/>
        </w:rPr>
        <w:t xml:space="preserve">might </w:t>
      </w:r>
      <w:r w:rsidRPr="0003652C">
        <w:rPr>
          <w:rFonts w:cs="Arial"/>
          <w:color w:val="000000" w:themeColor="text1"/>
        </w:rPr>
        <w:t>operate to enable (or otherwise) access to knowledge. Bernstein’s pedagogic device interrogates the vehicle that develops disciplinary and other knowledge into classroom practice and student learning.</w:t>
      </w:r>
    </w:p>
    <w:p w14:paraId="4C942A52" w14:textId="184D0E08" w:rsidR="006F3BFC" w:rsidRPr="0003652C" w:rsidRDefault="006F3BFC" w:rsidP="0003652C">
      <w:pPr>
        <w:spacing w:line="360" w:lineRule="auto"/>
        <w:jc w:val="both"/>
        <w:rPr>
          <w:rFonts w:cs="Arial"/>
          <w:color w:val="000000" w:themeColor="text1"/>
        </w:rPr>
      </w:pPr>
      <w:r w:rsidRPr="0003652C">
        <w:rPr>
          <w:rFonts w:cs="Arial"/>
          <w:color w:val="000000" w:themeColor="text1"/>
        </w:rPr>
        <w:lastRenderedPageBreak/>
        <w:t xml:space="preserve">Ashwin further interprets Bernstein’s </w:t>
      </w:r>
      <w:r w:rsidR="00F43964" w:rsidRPr="0003652C">
        <w:rPr>
          <w:rFonts w:cs="Arial"/>
          <w:color w:val="000000" w:themeColor="text1"/>
        </w:rPr>
        <w:t>rules within the pedagogic device</w:t>
      </w:r>
      <w:r w:rsidRPr="0003652C">
        <w:rPr>
          <w:rFonts w:cs="Arial"/>
          <w:color w:val="000000" w:themeColor="text1"/>
        </w:rPr>
        <w:t xml:space="preserve">, those of </w:t>
      </w:r>
      <w:r w:rsidR="005638D5" w:rsidRPr="0003652C">
        <w:rPr>
          <w:rFonts w:cs="Arial"/>
          <w:color w:val="000000" w:themeColor="text1"/>
        </w:rPr>
        <w:t>distributing</w:t>
      </w:r>
      <w:r w:rsidRPr="0003652C">
        <w:rPr>
          <w:rFonts w:cs="Arial"/>
          <w:color w:val="000000" w:themeColor="text1"/>
        </w:rPr>
        <w:t>, recontexualis</w:t>
      </w:r>
      <w:r w:rsidR="005638D5" w:rsidRPr="0003652C">
        <w:rPr>
          <w:rFonts w:cs="Arial"/>
          <w:color w:val="000000" w:themeColor="text1"/>
        </w:rPr>
        <w:t>ing</w:t>
      </w:r>
      <w:r w:rsidRPr="0003652C">
        <w:rPr>
          <w:rFonts w:cs="Arial"/>
          <w:color w:val="000000" w:themeColor="text1"/>
        </w:rPr>
        <w:t xml:space="preserve"> and </w:t>
      </w:r>
      <w:r w:rsidR="005638D5" w:rsidRPr="0003652C">
        <w:rPr>
          <w:rFonts w:cs="Arial"/>
          <w:color w:val="000000" w:themeColor="text1"/>
        </w:rPr>
        <w:t>evaluative rules</w:t>
      </w:r>
      <w:r w:rsidRPr="0003652C">
        <w:rPr>
          <w:rFonts w:cs="Arial"/>
          <w:color w:val="000000" w:themeColor="text1"/>
        </w:rPr>
        <w:t xml:space="preserve">, focusing on the </w:t>
      </w:r>
      <w:r w:rsidR="005638D5" w:rsidRPr="0003652C">
        <w:rPr>
          <w:rFonts w:cs="Arial"/>
          <w:color w:val="000000" w:themeColor="text1"/>
        </w:rPr>
        <w:t xml:space="preserve">knowledge and therefore the </w:t>
      </w:r>
      <w:r w:rsidRPr="0003652C">
        <w:rPr>
          <w:rFonts w:cs="Arial"/>
          <w:color w:val="000000" w:themeColor="text1"/>
        </w:rPr>
        <w:t xml:space="preserve">relationship between knowledge-as-research, knowledge-as-curriculum and knowledge-as-student-understanding, and argues that we can gain </w:t>
      </w:r>
    </w:p>
    <w:p w14:paraId="6B286879" w14:textId="77777777" w:rsidR="006F3BFC" w:rsidRPr="0003652C" w:rsidRDefault="006F3BFC" w:rsidP="0003652C">
      <w:pPr>
        <w:spacing w:line="360" w:lineRule="auto"/>
        <w:ind w:left="720"/>
        <w:jc w:val="both"/>
        <w:rPr>
          <w:rFonts w:cs="Arial"/>
          <w:color w:val="000000" w:themeColor="text1"/>
        </w:rPr>
      </w:pPr>
      <w:r w:rsidRPr="0003652C">
        <w:rPr>
          <w:rFonts w:cs="Arial"/>
          <w:color w:val="000000" w:themeColor="text1"/>
        </w:rPr>
        <w:t>a sense of the transformative power of higher education because it brings into focus the ways in which higher education transforms students’ understanding and identities. (Ashwin, 2014. Pg 124)</w:t>
      </w:r>
    </w:p>
    <w:p w14:paraId="0AC640BB" w14:textId="3BEE5F3B" w:rsidR="006F3BFC" w:rsidRPr="0003652C" w:rsidRDefault="006F3BFC" w:rsidP="0003652C">
      <w:pPr>
        <w:spacing w:line="360" w:lineRule="auto"/>
        <w:jc w:val="both"/>
        <w:rPr>
          <w:rFonts w:cs="Arial"/>
        </w:rPr>
      </w:pPr>
      <w:r w:rsidRPr="0003652C">
        <w:rPr>
          <w:rFonts w:cs="Arial"/>
        </w:rPr>
        <w:t xml:space="preserve">It is for this reason that Bernstein’s codes and </w:t>
      </w:r>
      <w:r w:rsidR="005638D5" w:rsidRPr="0003652C">
        <w:rPr>
          <w:rFonts w:cs="Arial"/>
        </w:rPr>
        <w:t xml:space="preserve">the </w:t>
      </w:r>
      <w:r w:rsidRPr="0003652C">
        <w:rPr>
          <w:rFonts w:cs="Arial"/>
        </w:rPr>
        <w:t>pedagogic device are applied to frame the discussion and analysis about legal education and course design in this investigation and to explain where this research sits in the wider body of work. The question we might ask</w:t>
      </w:r>
      <w:r w:rsidR="00E847DF">
        <w:rPr>
          <w:rFonts w:cs="Arial"/>
        </w:rPr>
        <w:t>,</w:t>
      </w:r>
      <w:r w:rsidRPr="0003652C">
        <w:rPr>
          <w:rFonts w:cs="Arial"/>
        </w:rPr>
        <w:t xml:space="preserve"> therefore in the context of this investigation</w:t>
      </w:r>
      <w:r w:rsidR="00E847DF">
        <w:rPr>
          <w:rFonts w:cs="Arial"/>
        </w:rPr>
        <w:t>,</w:t>
      </w:r>
      <w:r w:rsidRPr="0003652C">
        <w:rPr>
          <w:rFonts w:cs="Arial"/>
        </w:rPr>
        <w:t xml:space="preserve"> is what intervention is evident in the form of the influences on the design of the programme when knowledge transforms from knowledge-as-research, and is recontextualised as knowledge-as-curriculum, and so how this might impact on the students</w:t>
      </w:r>
      <w:r w:rsidR="005638D5" w:rsidRPr="0003652C">
        <w:rPr>
          <w:rFonts w:cs="Arial"/>
        </w:rPr>
        <w:t>’</w:t>
      </w:r>
      <w:r w:rsidRPr="0003652C">
        <w:rPr>
          <w:rFonts w:cs="Arial"/>
        </w:rPr>
        <w:t xml:space="preserve"> knowledge-as-understanding</w:t>
      </w:r>
      <w:r w:rsidR="005638D5" w:rsidRPr="0003652C">
        <w:rPr>
          <w:rFonts w:cs="Arial"/>
        </w:rPr>
        <w:t>, and therefore their access to knowledge</w:t>
      </w:r>
      <w:r w:rsidRPr="0003652C">
        <w:rPr>
          <w:rFonts w:cs="Arial"/>
        </w:rPr>
        <w:t xml:space="preserve"> (Bernstein, 2009; Ashwin, 2014). </w:t>
      </w:r>
    </w:p>
    <w:p w14:paraId="4235B500" w14:textId="635D102D" w:rsidR="006F3BFC" w:rsidRPr="0003652C" w:rsidRDefault="006F3BFC" w:rsidP="0003652C">
      <w:pPr>
        <w:pStyle w:val="Heading2"/>
        <w:spacing w:before="100" w:after="100" w:afterAutospacing="1" w:line="360" w:lineRule="auto"/>
        <w:rPr>
          <w:rFonts w:ascii="Arial" w:hAnsi="Arial" w:cs="Arial"/>
        </w:rPr>
      </w:pPr>
      <w:bookmarkStart w:id="30" w:name="_Toc223348823"/>
      <w:r w:rsidRPr="0003652C">
        <w:rPr>
          <w:rFonts w:ascii="Arial" w:hAnsi="Arial" w:cs="Arial"/>
        </w:rPr>
        <w:t>Legal education: An introduction</w:t>
      </w:r>
      <w:bookmarkEnd w:id="30"/>
      <w:r w:rsidRPr="0003652C">
        <w:rPr>
          <w:rFonts w:ascii="Arial" w:hAnsi="Arial" w:cs="Arial"/>
        </w:rPr>
        <w:t xml:space="preserve"> </w:t>
      </w:r>
    </w:p>
    <w:p w14:paraId="6061C88B" w14:textId="42C83F10" w:rsidR="00C745DA" w:rsidRPr="0003652C" w:rsidRDefault="006F3BFC" w:rsidP="0003652C">
      <w:pPr>
        <w:spacing w:line="360" w:lineRule="auto"/>
        <w:jc w:val="both"/>
        <w:rPr>
          <w:rFonts w:cs="Arial"/>
          <w:color w:val="000000" w:themeColor="text1"/>
        </w:rPr>
      </w:pPr>
      <w:r w:rsidRPr="0003652C">
        <w:rPr>
          <w:rFonts w:cs="Arial"/>
          <w:color w:val="000000" w:themeColor="text1"/>
        </w:rPr>
        <w:t xml:space="preserve">Having </w:t>
      </w:r>
      <w:r w:rsidR="00C745DA" w:rsidRPr="0003652C">
        <w:rPr>
          <w:rFonts w:cs="Arial"/>
          <w:color w:val="000000" w:themeColor="text1"/>
        </w:rPr>
        <w:t>introduced</w:t>
      </w:r>
      <w:r w:rsidR="005638D5" w:rsidRPr="0003652C">
        <w:rPr>
          <w:rFonts w:cs="Arial"/>
          <w:color w:val="000000" w:themeColor="text1"/>
        </w:rPr>
        <w:t xml:space="preserve"> the theory behind course design and how Bernstein’s theory provides a wider framework for this investigation, </w:t>
      </w:r>
      <w:r w:rsidRPr="0003652C">
        <w:rPr>
          <w:rFonts w:cs="Arial"/>
          <w:color w:val="000000" w:themeColor="text1"/>
        </w:rPr>
        <w:t xml:space="preserve">I will now provide the </w:t>
      </w:r>
      <w:r w:rsidR="005638D5" w:rsidRPr="0003652C">
        <w:rPr>
          <w:rFonts w:cs="Arial"/>
          <w:color w:val="000000" w:themeColor="text1"/>
        </w:rPr>
        <w:t xml:space="preserve">educational </w:t>
      </w:r>
      <w:r w:rsidRPr="0003652C">
        <w:rPr>
          <w:rFonts w:cs="Arial"/>
          <w:color w:val="000000" w:themeColor="text1"/>
        </w:rPr>
        <w:t xml:space="preserve">context for the investigation, being </w:t>
      </w:r>
      <w:r w:rsidR="00C745DA" w:rsidRPr="0003652C">
        <w:rPr>
          <w:rFonts w:cs="Arial"/>
          <w:color w:val="000000" w:themeColor="text1"/>
        </w:rPr>
        <w:t xml:space="preserve">that of </w:t>
      </w:r>
      <w:r w:rsidRPr="0003652C">
        <w:rPr>
          <w:rFonts w:cs="Arial"/>
          <w:color w:val="000000" w:themeColor="text1"/>
        </w:rPr>
        <w:t>undergraduate legal education. Legal education</w:t>
      </w:r>
      <w:r w:rsidR="00C745DA" w:rsidRPr="0003652C">
        <w:rPr>
          <w:rFonts w:cs="Arial"/>
          <w:color w:val="000000" w:themeColor="text1"/>
        </w:rPr>
        <w:t xml:space="preserve"> in England and Wales</w:t>
      </w:r>
      <w:r w:rsidRPr="0003652C">
        <w:rPr>
          <w:rFonts w:cs="Arial"/>
          <w:color w:val="000000" w:themeColor="text1"/>
        </w:rPr>
        <w:t xml:space="preserve"> is </w:t>
      </w:r>
      <w:r w:rsidR="005638D5" w:rsidRPr="0003652C">
        <w:rPr>
          <w:rFonts w:cs="Arial"/>
          <w:color w:val="000000" w:themeColor="text1"/>
        </w:rPr>
        <w:t>in flux due to</w:t>
      </w:r>
      <w:r w:rsidRPr="0003652C">
        <w:rPr>
          <w:rFonts w:cs="Arial"/>
          <w:color w:val="000000" w:themeColor="text1"/>
        </w:rPr>
        <w:t xml:space="preserve"> changing professional regulatory structures</w:t>
      </w:r>
      <w:r w:rsidR="00E847DF">
        <w:rPr>
          <w:rFonts w:cs="Arial"/>
          <w:color w:val="000000" w:themeColor="text1"/>
        </w:rPr>
        <w:t>,</w:t>
      </w:r>
      <w:r w:rsidRPr="0003652C">
        <w:rPr>
          <w:rFonts w:cs="Arial"/>
          <w:color w:val="000000" w:themeColor="text1"/>
        </w:rPr>
        <w:t xml:space="preserve"> and so it is necessary that both the historical and present-day context is explained as it will impac</w:t>
      </w:r>
      <w:r w:rsidR="00E847DF">
        <w:rPr>
          <w:rFonts w:cs="Arial"/>
          <w:color w:val="000000" w:themeColor="text1"/>
        </w:rPr>
        <w:t>t</w:t>
      </w:r>
      <w:r w:rsidRPr="0003652C">
        <w:rPr>
          <w:rFonts w:cs="Arial"/>
          <w:color w:val="000000" w:themeColor="text1"/>
        </w:rPr>
        <w:t xml:space="preserve"> the influences that are discussed in the following findings.</w:t>
      </w:r>
    </w:p>
    <w:p w14:paraId="22C28F59" w14:textId="1728207B" w:rsidR="006F3BFC" w:rsidRPr="0003652C" w:rsidRDefault="00C745DA" w:rsidP="0003652C">
      <w:pPr>
        <w:spacing w:line="360" w:lineRule="auto"/>
        <w:jc w:val="both"/>
        <w:rPr>
          <w:rFonts w:cs="Arial"/>
          <w:color w:val="000000" w:themeColor="text1"/>
        </w:rPr>
      </w:pPr>
      <w:r w:rsidRPr="0003652C">
        <w:rPr>
          <w:rFonts w:cs="Arial"/>
          <w:color w:val="000000" w:themeColor="text1"/>
        </w:rPr>
        <w:t>The history of legal education has complex origins</w:t>
      </w:r>
      <w:r w:rsidR="00AC3D05" w:rsidRPr="0003652C">
        <w:rPr>
          <w:rFonts w:cs="Arial"/>
          <w:color w:val="000000" w:themeColor="text1"/>
        </w:rPr>
        <w:t xml:space="preserve"> (Menis, 2020)</w:t>
      </w:r>
      <w:r w:rsidRPr="0003652C">
        <w:rPr>
          <w:rFonts w:cs="Arial"/>
          <w:color w:val="000000" w:themeColor="text1"/>
        </w:rPr>
        <w:t xml:space="preserve">. I will use the distinction between academic and professional legal education to introduce that complexity. </w:t>
      </w:r>
      <w:r w:rsidR="0038724E" w:rsidRPr="0003652C">
        <w:rPr>
          <w:rFonts w:cs="Arial"/>
          <w:color w:val="000000" w:themeColor="text1"/>
        </w:rPr>
        <w:t>In the following section</w:t>
      </w:r>
      <w:r w:rsidR="00E847DF">
        <w:rPr>
          <w:rFonts w:cs="Arial"/>
          <w:color w:val="000000" w:themeColor="text1"/>
        </w:rPr>
        <w:t>,</w:t>
      </w:r>
      <w:r w:rsidR="0038724E" w:rsidRPr="0003652C">
        <w:rPr>
          <w:rFonts w:cs="Arial"/>
          <w:color w:val="000000" w:themeColor="text1"/>
        </w:rPr>
        <w:t xml:space="preserve"> I will look more specifically at the undergraduate law degree. </w:t>
      </w:r>
    </w:p>
    <w:p w14:paraId="28EE715A" w14:textId="0B510CA6" w:rsidR="006F3BFC" w:rsidRPr="0003652C" w:rsidRDefault="006F3BFC" w:rsidP="0003652C">
      <w:pPr>
        <w:pStyle w:val="Heading3"/>
        <w:spacing w:after="100" w:afterAutospacing="1" w:line="360" w:lineRule="auto"/>
        <w:rPr>
          <w:rFonts w:ascii="Arial" w:hAnsi="Arial" w:cs="Arial"/>
        </w:rPr>
      </w:pPr>
      <w:bookmarkStart w:id="31" w:name="_Toc223348824"/>
      <w:r w:rsidRPr="0003652C">
        <w:rPr>
          <w:rFonts w:ascii="Arial" w:hAnsi="Arial" w:cs="Arial"/>
        </w:rPr>
        <w:lastRenderedPageBreak/>
        <w:t>Academic and vocational legal education</w:t>
      </w:r>
      <w:bookmarkEnd w:id="31"/>
    </w:p>
    <w:p w14:paraId="79539355" w14:textId="29084AFC"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Legal education has always been intrinsically linked with the profession. Whilst undergraduate legal education in England and Wales is an academic pursuit, the practice of law has often been seen to inform and structure legal education, whether it be at the academic undergraduate level or at </w:t>
      </w:r>
      <w:r w:rsidR="00C745DA" w:rsidRPr="0003652C">
        <w:rPr>
          <w:rFonts w:cs="Arial"/>
          <w:color w:val="000000" w:themeColor="text1"/>
        </w:rPr>
        <w:t xml:space="preserve">the </w:t>
      </w:r>
      <w:r w:rsidRPr="0003652C">
        <w:rPr>
          <w:rFonts w:cs="Arial"/>
          <w:color w:val="000000" w:themeColor="text1"/>
        </w:rPr>
        <w:t xml:space="preserve">postgraduate level </w:t>
      </w:r>
      <w:r w:rsidR="00A91483">
        <w:rPr>
          <w:rFonts w:cs="Arial"/>
          <w:color w:val="000000" w:themeColor="text1"/>
        </w:rPr>
        <w:t xml:space="preserve">of </w:t>
      </w:r>
      <w:r w:rsidRPr="0003652C">
        <w:rPr>
          <w:rFonts w:cs="Arial"/>
          <w:color w:val="000000" w:themeColor="text1"/>
        </w:rPr>
        <w:t>professional training.  Academic thought has influenced the practice, and the influence between practice and education has been cyclical and symbiotic, with practice influencing the academic and the academic influencing practice. I return to this relationship later when I consider law as a discipline</w:t>
      </w:r>
      <w:r w:rsidR="00C745DA" w:rsidRPr="0003652C">
        <w:rPr>
          <w:rFonts w:cs="Arial"/>
          <w:color w:val="000000" w:themeColor="text1"/>
        </w:rPr>
        <w:t xml:space="preserve">. </w:t>
      </w:r>
    </w:p>
    <w:p w14:paraId="16480E5B" w14:textId="3E316456" w:rsidR="006F3BFC" w:rsidRPr="0003652C" w:rsidRDefault="00C745DA" w:rsidP="0003652C">
      <w:pPr>
        <w:spacing w:line="360" w:lineRule="auto"/>
        <w:jc w:val="both"/>
        <w:rPr>
          <w:rFonts w:cs="Arial"/>
          <w:color w:val="000000" w:themeColor="text1"/>
        </w:rPr>
      </w:pPr>
      <w:r w:rsidRPr="0003652C">
        <w:rPr>
          <w:rFonts w:cs="Arial"/>
          <w:color w:val="000000" w:themeColor="text1"/>
        </w:rPr>
        <w:t>A historical division existed between</w:t>
      </w:r>
      <w:r w:rsidR="006F3BFC" w:rsidRPr="0003652C">
        <w:rPr>
          <w:rFonts w:cs="Arial"/>
          <w:color w:val="000000" w:themeColor="text1"/>
        </w:rPr>
        <w:t xml:space="preserve"> the teaching of universal Roman Law in universities and the training in the Inns of court as to local custom (or common law)</w:t>
      </w:r>
      <w:r w:rsidRPr="0003652C">
        <w:rPr>
          <w:rFonts w:cs="Arial"/>
          <w:color w:val="000000" w:themeColor="text1"/>
        </w:rPr>
        <w:t xml:space="preserve">. This </w:t>
      </w:r>
      <w:r w:rsidR="00E74ED4">
        <w:rPr>
          <w:rFonts w:cs="Arial"/>
          <w:color w:val="000000" w:themeColor="text1"/>
        </w:rPr>
        <w:t>is the origin of the division</w:t>
      </w:r>
      <w:r w:rsidR="006F3BFC" w:rsidRPr="0003652C">
        <w:rPr>
          <w:rFonts w:cs="Arial"/>
          <w:color w:val="000000" w:themeColor="text1"/>
        </w:rPr>
        <w:t xml:space="preserve"> between the academic and vocational study of law in England and </w:t>
      </w:r>
    </w:p>
    <w:p w14:paraId="655B70E1" w14:textId="77777777" w:rsidR="006F3BFC" w:rsidRPr="0003652C" w:rsidRDefault="006F3BFC" w:rsidP="0003652C">
      <w:pPr>
        <w:spacing w:line="360" w:lineRule="auto"/>
        <w:ind w:left="720"/>
        <w:jc w:val="both"/>
        <w:rPr>
          <w:rFonts w:cs="Arial"/>
          <w:color w:val="000000" w:themeColor="text1"/>
        </w:rPr>
      </w:pPr>
      <w:r w:rsidRPr="0003652C">
        <w:rPr>
          <w:rFonts w:cs="Arial"/>
          <w:color w:val="000000" w:themeColor="text1"/>
        </w:rPr>
        <w:t>Hence, the long-standing tension in English legal education between the practical and the academic approach, between legal education as principally for (and controlled by) legal practitioners versus legal education as a full-fledged university subject producing more than would-be lawyers. (Sugarman, 2025, Pg 148)</w:t>
      </w:r>
    </w:p>
    <w:p w14:paraId="00064DF2" w14:textId="2E4F5614"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How </w:t>
      </w:r>
      <w:r w:rsidR="00C745DA" w:rsidRPr="0003652C">
        <w:rPr>
          <w:rFonts w:cs="Arial"/>
          <w:color w:val="000000" w:themeColor="text1"/>
        </w:rPr>
        <w:t>legal education is seen externally</w:t>
      </w:r>
      <w:r w:rsidRPr="0003652C">
        <w:rPr>
          <w:rFonts w:cs="Arial"/>
          <w:color w:val="000000" w:themeColor="text1"/>
        </w:rPr>
        <w:t xml:space="preserve"> is often defined by this latter vocational nature and professional context, with academics and students within the discipline often being perceived as having the same qualities or aspirations as lawyers (Becher &amp; Trowler, 2001; Donald, 2008; Reid, 2006) or being seen to engage in pedagogic activities that are professional (Poole, 2008)</w:t>
      </w:r>
      <w:r w:rsidR="00C745DA" w:rsidRPr="0003652C">
        <w:rPr>
          <w:rFonts w:cs="Arial"/>
          <w:color w:val="000000" w:themeColor="text1"/>
        </w:rPr>
        <w:t xml:space="preserve">. This is </w:t>
      </w:r>
      <w:r w:rsidR="00935660" w:rsidRPr="0003652C">
        <w:rPr>
          <w:rFonts w:cs="Arial"/>
          <w:color w:val="000000" w:themeColor="text1"/>
        </w:rPr>
        <w:t>even though</w:t>
      </w:r>
      <w:r w:rsidRPr="0003652C">
        <w:rPr>
          <w:rFonts w:cs="Arial"/>
          <w:color w:val="000000" w:themeColor="text1"/>
        </w:rPr>
        <w:t xml:space="preserve"> less than 25% of students who study a law degree go on to practice law (Law Society, 2022).The vocational leaning is</w:t>
      </w:r>
      <w:r w:rsidR="00E847DF">
        <w:rPr>
          <w:rFonts w:cs="Arial"/>
          <w:color w:val="000000" w:themeColor="text1"/>
        </w:rPr>
        <w:t>,</w:t>
      </w:r>
      <w:r w:rsidRPr="0003652C">
        <w:rPr>
          <w:rFonts w:cs="Arial"/>
          <w:color w:val="000000" w:themeColor="text1"/>
        </w:rPr>
        <w:t xml:space="preserve"> however</w:t>
      </w:r>
      <w:r w:rsidR="00E847DF">
        <w:rPr>
          <w:rFonts w:cs="Arial"/>
          <w:color w:val="000000" w:themeColor="text1"/>
        </w:rPr>
        <w:t>,</w:t>
      </w:r>
      <w:r w:rsidRPr="0003652C">
        <w:rPr>
          <w:rFonts w:cs="Arial"/>
          <w:color w:val="000000" w:themeColor="text1"/>
        </w:rPr>
        <w:t xml:space="preserve"> not surprising considering its history</w:t>
      </w:r>
      <w:r w:rsidR="00935660" w:rsidRPr="0003652C">
        <w:rPr>
          <w:rFonts w:cs="Arial"/>
          <w:color w:val="000000" w:themeColor="text1"/>
        </w:rPr>
        <w:t>. Universities didn’t embrace law until the late 1800s with the University College London setting up the first law school in 1870</w:t>
      </w:r>
      <w:r w:rsidR="00E847DF">
        <w:rPr>
          <w:rFonts w:cs="Arial"/>
          <w:color w:val="000000" w:themeColor="text1"/>
        </w:rPr>
        <w:t>,</w:t>
      </w:r>
      <w:r w:rsidR="00935660" w:rsidRPr="0003652C">
        <w:rPr>
          <w:rFonts w:cs="Arial"/>
          <w:color w:val="000000" w:themeColor="text1"/>
        </w:rPr>
        <w:t xml:space="preserve"> and </w:t>
      </w:r>
      <w:r w:rsidRPr="0003652C">
        <w:rPr>
          <w:rFonts w:cs="Arial"/>
          <w:color w:val="000000" w:themeColor="text1"/>
        </w:rPr>
        <w:t xml:space="preserve">the discipline struggled to be seen as viable from the perspective of practitioners as well as academics </w:t>
      </w:r>
      <w:r w:rsidR="00E74ED4">
        <w:rPr>
          <w:rFonts w:cs="Arial"/>
          <w:color w:val="000000" w:themeColor="text1"/>
        </w:rPr>
        <w:t>until as</w:t>
      </w:r>
      <w:r w:rsidRPr="0003652C">
        <w:rPr>
          <w:rFonts w:cs="Arial"/>
          <w:color w:val="000000" w:themeColor="text1"/>
        </w:rPr>
        <w:t xml:space="preserve"> late as the 20</w:t>
      </w:r>
      <w:r w:rsidRPr="0003652C">
        <w:rPr>
          <w:rFonts w:cs="Arial"/>
          <w:color w:val="000000" w:themeColor="text1"/>
          <w:vertAlign w:val="superscript"/>
        </w:rPr>
        <w:t>th</w:t>
      </w:r>
      <w:r w:rsidRPr="0003652C">
        <w:rPr>
          <w:rFonts w:cs="Arial"/>
          <w:color w:val="000000" w:themeColor="text1"/>
        </w:rPr>
        <w:t xml:space="preserve"> Century (Twining, 1994). </w:t>
      </w:r>
    </w:p>
    <w:p w14:paraId="5DF68E09" w14:textId="6AD13E6E" w:rsidR="006F3BFC" w:rsidRPr="0003652C" w:rsidRDefault="006F3BFC" w:rsidP="0003652C">
      <w:pPr>
        <w:spacing w:line="360" w:lineRule="auto"/>
        <w:jc w:val="both"/>
        <w:rPr>
          <w:rFonts w:cs="Arial"/>
          <w:color w:val="000000" w:themeColor="text1"/>
        </w:rPr>
      </w:pPr>
      <w:r w:rsidRPr="0003652C">
        <w:rPr>
          <w:rFonts w:cs="Arial"/>
          <w:color w:val="000000" w:themeColor="text1"/>
        </w:rPr>
        <w:lastRenderedPageBreak/>
        <w:t>Legal education</w:t>
      </w:r>
      <w:r w:rsidR="00E847DF">
        <w:rPr>
          <w:rFonts w:cs="Arial"/>
          <w:color w:val="000000" w:themeColor="text1"/>
        </w:rPr>
        <w:t>,</w:t>
      </w:r>
      <w:r w:rsidRPr="0003652C">
        <w:rPr>
          <w:rFonts w:cs="Arial"/>
          <w:color w:val="000000" w:themeColor="text1"/>
        </w:rPr>
        <w:t xml:space="preserve"> until recently</w:t>
      </w:r>
      <w:r w:rsidR="00E847DF">
        <w:rPr>
          <w:rFonts w:cs="Arial"/>
          <w:color w:val="000000" w:themeColor="text1"/>
        </w:rPr>
        <w:t>,</w:t>
      </w:r>
      <w:r w:rsidRPr="0003652C">
        <w:rPr>
          <w:rFonts w:cs="Arial"/>
          <w:color w:val="000000" w:themeColor="text1"/>
        </w:rPr>
        <w:t xml:space="preserve"> had accreditation from the two professional regulatory bodies in England and Wales, the Solicitors Regulatory Authority and the Bar Standards Board. These bodies</w:t>
      </w:r>
      <w:r w:rsidR="00E847DF">
        <w:rPr>
          <w:rFonts w:cs="Arial"/>
          <w:color w:val="000000" w:themeColor="text1"/>
        </w:rPr>
        <w:t>,</w:t>
      </w:r>
      <w:r w:rsidRPr="0003652C">
        <w:rPr>
          <w:rFonts w:cs="Arial"/>
          <w:color w:val="000000" w:themeColor="text1"/>
        </w:rPr>
        <w:t xml:space="preserve"> for many years</w:t>
      </w:r>
      <w:r w:rsidR="00E847DF">
        <w:rPr>
          <w:rFonts w:cs="Arial"/>
          <w:color w:val="000000" w:themeColor="text1"/>
        </w:rPr>
        <w:t>,</w:t>
      </w:r>
      <w:r w:rsidRPr="0003652C">
        <w:rPr>
          <w:rFonts w:cs="Arial"/>
          <w:color w:val="000000" w:themeColor="text1"/>
        </w:rPr>
        <w:t xml:space="preserve"> had an agreement</w:t>
      </w:r>
      <w:r w:rsidR="00935660" w:rsidRPr="0003652C">
        <w:rPr>
          <w:rFonts w:cs="Arial"/>
          <w:color w:val="000000" w:themeColor="text1"/>
        </w:rPr>
        <w:t>, reflecting what had already been taught by academics,</w:t>
      </w:r>
      <w:r w:rsidRPr="0003652C">
        <w:rPr>
          <w:rFonts w:cs="Arial"/>
          <w:color w:val="000000" w:themeColor="text1"/>
        </w:rPr>
        <w:t xml:space="preserve"> as to what they required from the ‘academic stage of training’</w:t>
      </w:r>
      <w:r w:rsidR="00E847DF">
        <w:rPr>
          <w:rFonts w:cs="Arial"/>
          <w:color w:val="000000" w:themeColor="text1"/>
        </w:rPr>
        <w:t>,</w:t>
      </w:r>
      <w:r w:rsidRPr="0003652C">
        <w:rPr>
          <w:rFonts w:cs="Arial"/>
          <w:color w:val="000000" w:themeColor="text1"/>
        </w:rPr>
        <w:t xml:space="preserve"> usually a law degree</w:t>
      </w:r>
      <w:r w:rsidR="00935660" w:rsidRPr="0003652C">
        <w:rPr>
          <w:rFonts w:cs="Arial"/>
          <w:color w:val="000000" w:themeColor="text1"/>
        </w:rPr>
        <w:t xml:space="preserve">. The </w:t>
      </w:r>
      <w:r w:rsidRPr="0003652C">
        <w:rPr>
          <w:rFonts w:cs="Arial"/>
          <w:color w:val="000000" w:themeColor="text1"/>
        </w:rPr>
        <w:t>degree was not the only route</w:t>
      </w:r>
      <w:r w:rsidR="00935660" w:rsidRPr="0003652C">
        <w:rPr>
          <w:rFonts w:cs="Arial"/>
          <w:color w:val="000000" w:themeColor="text1"/>
        </w:rPr>
        <w:t xml:space="preserve"> into the profession, </w:t>
      </w:r>
      <w:r w:rsidRPr="0003652C">
        <w:rPr>
          <w:rFonts w:cs="Arial"/>
          <w:color w:val="000000" w:themeColor="text1"/>
        </w:rPr>
        <w:t xml:space="preserve">with a postgraduate student being able to take a conversion diploma </w:t>
      </w:r>
      <w:r w:rsidR="00935660" w:rsidRPr="0003652C">
        <w:rPr>
          <w:rFonts w:cs="Arial"/>
          <w:color w:val="000000" w:themeColor="text1"/>
        </w:rPr>
        <w:t xml:space="preserve">as an alternative. </w:t>
      </w:r>
      <w:r w:rsidRPr="0003652C">
        <w:rPr>
          <w:rFonts w:cs="Arial"/>
          <w:color w:val="000000" w:themeColor="text1"/>
        </w:rPr>
        <w:t>The requirements which I return to in the next section have separated the undergraduate degree from the professional stage of training</w:t>
      </w:r>
      <w:r w:rsidR="00E847DF">
        <w:rPr>
          <w:rFonts w:cs="Arial"/>
          <w:color w:val="000000" w:themeColor="text1"/>
        </w:rPr>
        <w:t>.</w:t>
      </w:r>
      <w:r w:rsidRPr="0003652C">
        <w:rPr>
          <w:rFonts w:cs="Arial"/>
          <w:color w:val="000000" w:themeColor="text1"/>
        </w:rPr>
        <w:t xml:space="preserve"> </w:t>
      </w:r>
      <w:r w:rsidR="00E847DF">
        <w:rPr>
          <w:rFonts w:cs="Arial"/>
          <w:color w:val="000000" w:themeColor="text1"/>
        </w:rPr>
        <w:t>A</w:t>
      </w:r>
      <w:r w:rsidRPr="0003652C">
        <w:rPr>
          <w:rFonts w:cs="Arial"/>
          <w:color w:val="000000" w:themeColor="text1"/>
        </w:rPr>
        <w:t xml:space="preserve">fter gaining a law degree or doing a conversion course, students </w:t>
      </w:r>
      <w:r w:rsidR="00935660" w:rsidRPr="0003652C">
        <w:rPr>
          <w:rFonts w:cs="Arial"/>
          <w:color w:val="000000" w:themeColor="text1"/>
        </w:rPr>
        <w:t xml:space="preserve">have, in the last 30 years, gone </w:t>
      </w:r>
      <w:r w:rsidRPr="0003652C">
        <w:rPr>
          <w:rFonts w:cs="Arial"/>
          <w:color w:val="000000" w:themeColor="text1"/>
        </w:rPr>
        <w:t>on to study a Legal Practice Course (LPC) if they wished to become solicitors, or the Bar Vocational</w:t>
      </w:r>
      <w:r w:rsidR="00E74ED4">
        <w:rPr>
          <w:rFonts w:cs="Arial"/>
          <w:color w:val="000000" w:themeColor="text1"/>
        </w:rPr>
        <w:t>, now Bar</w:t>
      </w:r>
      <w:r w:rsidRPr="0003652C">
        <w:rPr>
          <w:rFonts w:cs="Arial"/>
          <w:color w:val="000000" w:themeColor="text1"/>
        </w:rPr>
        <w:t xml:space="preserve"> Course (BVC) if they wanted to pursue a career at the Bar. There has been a clear demarcation between the academic role of the undergraduate degree (or conversion course), and the professional training role of the later postgraduate LPC or BVC. </w:t>
      </w:r>
    </w:p>
    <w:p w14:paraId="4E0914D2" w14:textId="7D35492F"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Law Schools in England and Wales all provided the academic stage of study in the form of </w:t>
      </w:r>
      <w:r w:rsidR="00E847DF">
        <w:rPr>
          <w:rFonts w:cs="Arial"/>
          <w:color w:val="000000" w:themeColor="text1"/>
        </w:rPr>
        <w:t>an</w:t>
      </w:r>
      <w:r w:rsidRPr="0003652C">
        <w:rPr>
          <w:rFonts w:cs="Arial"/>
          <w:color w:val="000000" w:themeColor="text1"/>
        </w:rPr>
        <w:t xml:space="preserve"> undergraduate degree. However, the professional training stage was largely delivered at ‘new’ or post ’92 </w:t>
      </w:r>
      <w:r w:rsidR="00577BDF">
        <w:rPr>
          <w:rFonts w:cs="Arial"/>
          <w:color w:val="000000" w:themeColor="text1"/>
        </w:rPr>
        <w:t>universitie</w:t>
      </w:r>
      <w:r w:rsidRPr="0003652C">
        <w:rPr>
          <w:rFonts w:cs="Arial"/>
          <w:color w:val="000000" w:themeColor="text1"/>
        </w:rPr>
        <w:t>s. There were exceptions to this, with integrated master</w:t>
      </w:r>
      <w:r w:rsidR="00E847DF">
        <w:rPr>
          <w:rFonts w:cs="Arial"/>
          <w:color w:val="000000" w:themeColor="text1"/>
        </w:rPr>
        <w:t>’</w:t>
      </w:r>
      <w:r w:rsidRPr="0003652C">
        <w:rPr>
          <w:rFonts w:cs="Arial"/>
          <w:color w:val="000000" w:themeColor="text1"/>
        </w:rPr>
        <w:t>s degrees merging the academic and professional stages. Occasionally</w:t>
      </w:r>
      <w:r w:rsidR="00BC56C4">
        <w:rPr>
          <w:rFonts w:cs="Arial"/>
          <w:color w:val="000000" w:themeColor="text1"/>
        </w:rPr>
        <w:t>,</w:t>
      </w:r>
      <w:r w:rsidRPr="0003652C">
        <w:rPr>
          <w:rFonts w:cs="Arial"/>
          <w:color w:val="000000" w:themeColor="text1"/>
        </w:rPr>
        <w:t xml:space="preserve"> a more selective</w:t>
      </w:r>
      <w:r w:rsidR="00BC56C4">
        <w:rPr>
          <w:rFonts w:cs="Arial"/>
          <w:color w:val="000000" w:themeColor="text1"/>
        </w:rPr>
        <w:t>,</w:t>
      </w:r>
      <w:r w:rsidR="00E74ED4">
        <w:rPr>
          <w:rFonts w:cs="Arial"/>
          <w:color w:val="000000" w:themeColor="text1"/>
        </w:rPr>
        <w:t xml:space="preserve"> </w:t>
      </w:r>
      <w:r w:rsidRPr="0003652C">
        <w:rPr>
          <w:rFonts w:cs="Arial"/>
          <w:color w:val="000000" w:themeColor="text1"/>
        </w:rPr>
        <w:t>or</w:t>
      </w:r>
      <w:r w:rsidR="00BC56C4">
        <w:rPr>
          <w:rFonts w:cs="Arial"/>
          <w:color w:val="000000" w:themeColor="text1"/>
        </w:rPr>
        <w:t>,</w:t>
      </w:r>
      <w:r w:rsidRPr="0003652C">
        <w:rPr>
          <w:rFonts w:cs="Arial"/>
          <w:color w:val="000000" w:themeColor="text1"/>
        </w:rPr>
        <w:t xml:space="preserve"> </w:t>
      </w:r>
      <w:r w:rsidR="00E74ED4">
        <w:rPr>
          <w:rFonts w:cs="Arial"/>
          <w:color w:val="000000" w:themeColor="text1"/>
        </w:rPr>
        <w:t xml:space="preserve">using Bernstein’s categorisation, elite </w:t>
      </w:r>
      <w:r w:rsidRPr="0003652C">
        <w:rPr>
          <w:rFonts w:cs="Arial"/>
          <w:color w:val="000000" w:themeColor="text1"/>
        </w:rPr>
        <w:t xml:space="preserve">university would enter the training provision market. </w:t>
      </w:r>
      <w:r w:rsidR="00935660" w:rsidRPr="0003652C">
        <w:rPr>
          <w:rFonts w:cs="Arial"/>
          <w:color w:val="000000" w:themeColor="text1"/>
        </w:rPr>
        <w:t xml:space="preserve">A </w:t>
      </w:r>
      <w:r w:rsidR="0038724E" w:rsidRPr="0003652C">
        <w:rPr>
          <w:rFonts w:cs="Arial"/>
          <w:color w:val="000000" w:themeColor="text1"/>
        </w:rPr>
        <w:t>complex</w:t>
      </w:r>
      <w:r w:rsidR="00935660" w:rsidRPr="0003652C">
        <w:rPr>
          <w:rFonts w:cs="Arial"/>
          <w:color w:val="000000" w:themeColor="text1"/>
        </w:rPr>
        <w:t xml:space="preserve"> mix of provision has emerged over time</w:t>
      </w:r>
      <w:r w:rsidR="00BC56C4">
        <w:rPr>
          <w:rFonts w:cs="Arial"/>
          <w:color w:val="000000" w:themeColor="text1"/>
        </w:rPr>
        <w:t>,</w:t>
      </w:r>
      <w:r w:rsidR="00935660" w:rsidRPr="0003652C">
        <w:rPr>
          <w:rFonts w:cs="Arial"/>
          <w:color w:val="000000" w:themeColor="text1"/>
        </w:rPr>
        <w:t xml:space="preserve"> but</w:t>
      </w:r>
      <w:r w:rsidR="0038724E" w:rsidRPr="0003652C">
        <w:rPr>
          <w:rFonts w:cs="Arial"/>
          <w:color w:val="000000" w:themeColor="text1"/>
        </w:rPr>
        <w:t xml:space="preserve"> until recently</w:t>
      </w:r>
      <w:r w:rsidR="00BC56C4">
        <w:rPr>
          <w:rFonts w:cs="Arial"/>
          <w:color w:val="000000" w:themeColor="text1"/>
        </w:rPr>
        <w:t>,</w:t>
      </w:r>
      <w:r w:rsidR="0038724E" w:rsidRPr="0003652C">
        <w:rPr>
          <w:rFonts w:cs="Arial"/>
          <w:color w:val="000000" w:themeColor="text1"/>
        </w:rPr>
        <w:t xml:space="preserve"> legal education has </w:t>
      </w:r>
      <w:r w:rsidR="00F72961" w:rsidRPr="0003652C">
        <w:rPr>
          <w:rFonts w:cs="Arial"/>
          <w:color w:val="000000" w:themeColor="text1"/>
        </w:rPr>
        <w:t>overall</w:t>
      </w:r>
      <w:r w:rsidR="0038724E" w:rsidRPr="0003652C">
        <w:rPr>
          <w:rFonts w:cs="Arial"/>
          <w:color w:val="000000" w:themeColor="text1"/>
        </w:rPr>
        <w:t xml:space="preserve"> retained the</w:t>
      </w:r>
      <w:r w:rsidRPr="0003652C">
        <w:rPr>
          <w:rFonts w:cs="Arial"/>
          <w:color w:val="000000" w:themeColor="text1"/>
        </w:rPr>
        <w:t xml:space="preserve"> demarcation between academic and vocational provision</w:t>
      </w:r>
      <w:r w:rsidR="00BC56C4">
        <w:rPr>
          <w:rFonts w:cs="Arial"/>
          <w:color w:val="000000" w:themeColor="text1"/>
        </w:rPr>
        <w:t>,</w:t>
      </w:r>
      <w:r w:rsidR="00577BDF">
        <w:rPr>
          <w:rFonts w:cs="Arial"/>
          <w:color w:val="000000" w:themeColor="text1"/>
        </w:rPr>
        <w:t xml:space="preserve"> being delivered respectively as</w:t>
      </w:r>
      <w:r w:rsidRPr="0003652C">
        <w:rPr>
          <w:rFonts w:cs="Arial"/>
          <w:color w:val="000000" w:themeColor="text1"/>
        </w:rPr>
        <w:t xml:space="preserve"> undergraduate and</w:t>
      </w:r>
      <w:r w:rsidR="00577BDF">
        <w:rPr>
          <w:rFonts w:cs="Arial"/>
          <w:color w:val="000000" w:themeColor="text1"/>
        </w:rPr>
        <w:t xml:space="preserve"> postgraduate</w:t>
      </w:r>
      <w:r w:rsidRPr="0003652C">
        <w:rPr>
          <w:rFonts w:cs="Arial"/>
          <w:color w:val="000000" w:themeColor="text1"/>
        </w:rPr>
        <w:t xml:space="preserve"> </w:t>
      </w:r>
      <w:r w:rsidR="00577BDF">
        <w:rPr>
          <w:rFonts w:cs="Arial"/>
          <w:color w:val="000000" w:themeColor="text1"/>
        </w:rPr>
        <w:t xml:space="preserve">provision, with the latter being more prevalent in the less </w:t>
      </w:r>
      <w:r w:rsidRPr="0003652C">
        <w:rPr>
          <w:rFonts w:cs="Arial"/>
          <w:color w:val="000000" w:themeColor="text1"/>
        </w:rPr>
        <w:t xml:space="preserve">selective </w:t>
      </w:r>
      <w:r w:rsidR="00577BDF">
        <w:rPr>
          <w:rFonts w:cs="Arial"/>
          <w:color w:val="000000" w:themeColor="text1"/>
        </w:rPr>
        <w:t>universitie</w:t>
      </w:r>
      <w:r w:rsidRPr="0003652C">
        <w:rPr>
          <w:rFonts w:cs="Arial"/>
          <w:color w:val="000000" w:themeColor="text1"/>
        </w:rPr>
        <w:t xml:space="preserve">s (Rasiah, 2022). </w:t>
      </w:r>
    </w:p>
    <w:p w14:paraId="4D70A530" w14:textId="00459873" w:rsidR="006F3BFC" w:rsidRPr="0003652C" w:rsidRDefault="006F3BFC" w:rsidP="0003652C">
      <w:pPr>
        <w:spacing w:line="360" w:lineRule="auto"/>
        <w:jc w:val="both"/>
        <w:rPr>
          <w:rFonts w:cs="Arial"/>
          <w:color w:val="000000" w:themeColor="text1"/>
        </w:rPr>
      </w:pPr>
      <w:r w:rsidRPr="0003652C">
        <w:rPr>
          <w:rFonts w:cs="Arial"/>
          <w:color w:val="000000" w:themeColor="text1"/>
        </w:rPr>
        <w:t>The law curriculum in England is</w:t>
      </w:r>
      <w:r w:rsidR="00BC56C4">
        <w:rPr>
          <w:rFonts w:cs="Arial"/>
          <w:color w:val="000000" w:themeColor="text1"/>
        </w:rPr>
        <w:t>,</w:t>
      </w:r>
      <w:r w:rsidRPr="0003652C">
        <w:rPr>
          <w:rFonts w:cs="Arial"/>
          <w:color w:val="000000" w:themeColor="text1"/>
        </w:rPr>
        <w:t xml:space="preserve"> however</w:t>
      </w:r>
      <w:r w:rsidR="00BC56C4">
        <w:rPr>
          <w:rFonts w:cs="Arial"/>
          <w:color w:val="000000" w:themeColor="text1"/>
        </w:rPr>
        <w:t>,</w:t>
      </w:r>
      <w:r w:rsidRPr="0003652C">
        <w:rPr>
          <w:rFonts w:cs="Arial"/>
          <w:color w:val="000000" w:themeColor="text1"/>
        </w:rPr>
        <w:t xml:space="preserve"> now in a state of flux, at a point in which different directions might be taken, by different </w:t>
      </w:r>
      <w:r w:rsidR="001D765D">
        <w:rPr>
          <w:rFonts w:cs="Arial"/>
          <w:color w:val="000000" w:themeColor="text1"/>
        </w:rPr>
        <w:t>provider</w:t>
      </w:r>
      <w:r w:rsidRPr="0003652C">
        <w:rPr>
          <w:rFonts w:cs="Arial"/>
          <w:color w:val="000000" w:themeColor="text1"/>
        </w:rPr>
        <w:t>s within and outside of higher education, and within different courses.</w:t>
      </w:r>
      <w:r w:rsidR="00F72961" w:rsidRPr="0003652C">
        <w:rPr>
          <w:rFonts w:cs="Arial"/>
          <w:color w:val="000000" w:themeColor="text1"/>
        </w:rPr>
        <w:t xml:space="preserve"> See </w:t>
      </w:r>
      <w:r w:rsidR="00AE29FD" w:rsidRPr="0003652C">
        <w:rPr>
          <w:rFonts w:cs="Arial"/>
          <w:color w:val="000000" w:themeColor="text1"/>
        </w:rPr>
        <w:t xml:space="preserve">Appendix </w:t>
      </w:r>
      <w:r w:rsidR="00AF2A6B" w:rsidRPr="0003652C">
        <w:rPr>
          <w:rFonts w:cs="Arial"/>
          <w:color w:val="000000" w:themeColor="text1"/>
        </w:rPr>
        <w:t>One</w:t>
      </w:r>
      <w:r w:rsidR="00F72961" w:rsidRPr="0003652C">
        <w:rPr>
          <w:rFonts w:cs="Arial"/>
          <w:color w:val="000000" w:themeColor="text1"/>
        </w:rPr>
        <w:t xml:space="preserve"> for an overview of the changes. </w:t>
      </w:r>
      <w:r w:rsidRPr="0003652C">
        <w:rPr>
          <w:rFonts w:cs="Arial"/>
          <w:color w:val="000000" w:themeColor="text1"/>
        </w:rPr>
        <w:t xml:space="preserve">  </w:t>
      </w:r>
      <w:bookmarkStart w:id="32" w:name="OLE_LINK1"/>
      <w:r w:rsidRPr="0003652C">
        <w:rPr>
          <w:rFonts w:cs="Arial"/>
          <w:color w:val="000000" w:themeColor="text1"/>
        </w:rPr>
        <w:t>In an entry into the Elgar Concise Encyclopaedia of Legal Education, Professor Steven Vaughan explains the current regulation of legal education in four pages of entry, prefacing this with</w:t>
      </w:r>
    </w:p>
    <w:p w14:paraId="6E3B0673" w14:textId="77777777" w:rsidR="0038724E" w:rsidRPr="0003652C" w:rsidRDefault="006F3BFC" w:rsidP="0003652C">
      <w:pPr>
        <w:spacing w:line="360" w:lineRule="auto"/>
        <w:ind w:left="720"/>
        <w:jc w:val="both"/>
        <w:rPr>
          <w:rFonts w:cs="Arial"/>
          <w:color w:val="000000" w:themeColor="text1"/>
        </w:rPr>
      </w:pPr>
      <w:r w:rsidRPr="0003652C">
        <w:rPr>
          <w:rFonts w:cs="Arial"/>
          <w:color w:val="000000" w:themeColor="text1"/>
        </w:rPr>
        <w:lastRenderedPageBreak/>
        <w:t>This entry sets out how law degrees are regulated in England. There is a longer and a short form of this entry. The shorter form goes: there is not much specific regulation of the law degree in England. The longer form follows. (Vaughan, 2025)</w:t>
      </w:r>
      <w:bookmarkEnd w:id="32"/>
    </w:p>
    <w:p w14:paraId="4BF6545F" w14:textId="08F6175F" w:rsidR="006F3BFC" w:rsidRDefault="006F3BFC" w:rsidP="0005689B">
      <w:pPr>
        <w:spacing w:line="360" w:lineRule="auto"/>
        <w:jc w:val="both"/>
        <w:rPr>
          <w:rFonts w:cs="Arial"/>
          <w:color w:val="000000" w:themeColor="text1"/>
        </w:rPr>
      </w:pPr>
      <w:r w:rsidRPr="0003652C">
        <w:rPr>
          <w:rFonts w:cs="Arial"/>
          <w:color w:val="000000" w:themeColor="text1"/>
        </w:rPr>
        <w:t xml:space="preserve">The national professional regulators have pulled back from accrediting undergraduate degrees as a requirement in the students’ route to the profession (Bowyer, 2019). A law degree is no longer one of the desired routes that the Solicitors Regulatory Authority accredit for the academic stage of training to become a solicitor. Instead, the introduction of a centralised assessment, in the form of the Solicitors Qualifying Examination, and a degree </w:t>
      </w:r>
      <w:r w:rsidR="00BC56C4">
        <w:rPr>
          <w:rFonts w:cs="Arial"/>
          <w:color w:val="000000" w:themeColor="text1"/>
        </w:rPr>
        <w:t>in</w:t>
      </w:r>
      <w:r w:rsidRPr="0003652C">
        <w:rPr>
          <w:rFonts w:cs="Arial"/>
          <w:color w:val="000000" w:themeColor="text1"/>
        </w:rPr>
        <w:t xml:space="preserve"> any discipline are to become the only requirements</w:t>
      </w:r>
      <w:r w:rsidR="0038724E" w:rsidRPr="0003652C">
        <w:rPr>
          <w:rFonts w:cs="Arial"/>
          <w:color w:val="000000" w:themeColor="text1"/>
        </w:rPr>
        <w:t xml:space="preserve">. This naturally has given rise </w:t>
      </w:r>
      <w:r w:rsidR="00BC56C4">
        <w:rPr>
          <w:rFonts w:cs="Arial"/>
          <w:color w:val="000000" w:themeColor="text1"/>
        </w:rPr>
        <w:t xml:space="preserve">to </w:t>
      </w:r>
      <w:r w:rsidR="0038724E" w:rsidRPr="0003652C">
        <w:rPr>
          <w:rFonts w:cs="Arial"/>
          <w:color w:val="000000" w:themeColor="text1"/>
        </w:rPr>
        <w:t xml:space="preserve">the questions about the </w:t>
      </w:r>
      <w:r w:rsidR="00E74ED4">
        <w:rPr>
          <w:rFonts w:cs="Arial"/>
          <w:color w:val="000000" w:themeColor="text1"/>
        </w:rPr>
        <w:t xml:space="preserve">continued </w:t>
      </w:r>
      <w:r w:rsidR="0038724E" w:rsidRPr="0003652C">
        <w:rPr>
          <w:rFonts w:cs="Arial"/>
          <w:color w:val="000000" w:themeColor="text1"/>
        </w:rPr>
        <w:t xml:space="preserve">role </w:t>
      </w:r>
      <w:r w:rsidR="00E74ED4">
        <w:rPr>
          <w:rFonts w:cs="Arial"/>
          <w:color w:val="000000" w:themeColor="text1"/>
        </w:rPr>
        <w:t>of</w:t>
      </w:r>
      <w:r w:rsidR="0038724E" w:rsidRPr="0003652C">
        <w:rPr>
          <w:rFonts w:cs="Arial"/>
          <w:color w:val="000000" w:themeColor="text1"/>
        </w:rPr>
        <w:t xml:space="preserve"> </w:t>
      </w:r>
      <w:r w:rsidR="00F72961" w:rsidRPr="0003652C">
        <w:rPr>
          <w:rFonts w:cs="Arial"/>
          <w:color w:val="000000" w:themeColor="text1"/>
        </w:rPr>
        <w:t xml:space="preserve">the law degree. </w:t>
      </w:r>
      <w:r w:rsidRPr="0003652C">
        <w:rPr>
          <w:rFonts w:cs="Arial"/>
          <w:color w:val="000000" w:themeColor="text1"/>
        </w:rPr>
        <w:t xml:space="preserve"> Beyond the concerns about the impact of the new external exam on equality and diversity in the profession (Webb, 2025), the change has given rise to a great deal of debate about the purpose of legal education </w:t>
      </w:r>
      <w:r w:rsidR="00576414" w:rsidRPr="0003652C">
        <w:rPr>
          <w:rFonts w:cs="Arial"/>
          <w:color w:val="000000" w:themeColor="text1"/>
        </w:rPr>
        <w:t>(Dunn et al., 2022</w:t>
      </w:r>
      <w:r w:rsidRPr="0003652C">
        <w:rPr>
          <w:rFonts w:cs="Arial"/>
          <w:color w:val="000000" w:themeColor="text1"/>
        </w:rPr>
        <w:t>), particularly in relation to undergraduate study, with some regarding the current shifting regulatory framework as welcome, whilst others are concerned that this may be more burdensome than liberating (Mason &amp; Guth, 2018). Students will still need to be prepared for the more restrictive centralised assessment, albeit the way in which they are prepared is no longer prescribed.</w:t>
      </w:r>
    </w:p>
    <w:p w14:paraId="406DB8C9" w14:textId="5643B977" w:rsidR="00D252DE" w:rsidRDefault="00D252DE" w:rsidP="0005689B">
      <w:pPr>
        <w:spacing w:line="360" w:lineRule="auto"/>
        <w:jc w:val="both"/>
        <w:rPr>
          <w:rFonts w:cs="Arial"/>
          <w:color w:val="000000" w:themeColor="text1"/>
        </w:rPr>
      </w:pPr>
      <w:r>
        <w:rPr>
          <w:rFonts w:cs="Arial"/>
          <w:color w:val="000000" w:themeColor="text1"/>
        </w:rPr>
        <w:t xml:space="preserve">As discussed in </w:t>
      </w:r>
      <w:r w:rsidR="00046A61">
        <w:rPr>
          <w:rFonts w:cs="Arial"/>
          <w:color w:val="000000" w:themeColor="text1"/>
        </w:rPr>
        <w:t>C</w:t>
      </w:r>
      <w:r>
        <w:rPr>
          <w:rFonts w:cs="Arial"/>
          <w:color w:val="000000" w:themeColor="text1"/>
        </w:rPr>
        <w:t xml:space="preserve">hapters </w:t>
      </w:r>
      <w:r w:rsidR="00046A61">
        <w:rPr>
          <w:rFonts w:cs="Arial"/>
          <w:color w:val="000000" w:themeColor="text1"/>
        </w:rPr>
        <w:t>F</w:t>
      </w:r>
      <w:r>
        <w:rPr>
          <w:rFonts w:cs="Arial"/>
          <w:color w:val="000000" w:themeColor="text1"/>
        </w:rPr>
        <w:t>ive, seven and eight, this change in regulation has wider implications for how the discipline is presented in the undergraduate degree, and the</w:t>
      </w:r>
      <w:r w:rsidR="00420065">
        <w:rPr>
          <w:rFonts w:cs="Arial"/>
          <w:color w:val="000000" w:themeColor="text1"/>
        </w:rPr>
        <w:t>re is a</w:t>
      </w:r>
      <w:r>
        <w:rPr>
          <w:rFonts w:cs="Arial"/>
          <w:color w:val="000000" w:themeColor="text1"/>
        </w:rPr>
        <w:t xml:space="preserve"> potential for </w:t>
      </w:r>
      <w:r w:rsidR="002A04E8">
        <w:rPr>
          <w:rFonts w:cs="Arial"/>
          <w:color w:val="000000" w:themeColor="text1"/>
        </w:rPr>
        <w:t>tension</w:t>
      </w:r>
      <w:r>
        <w:rPr>
          <w:rFonts w:cs="Arial"/>
          <w:color w:val="000000" w:themeColor="text1"/>
        </w:rPr>
        <w:t xml:space="preserve"> between those who </w:t>
      </w:r>
      <w:r w:rsidR="00420065">
        <w:rPr>
          <w:rFonts w:cs="Arial"/>
          <w:color w:val="000000" w:themeColor="text1"/>
        </w:rPr>
        <w:t xml:space="preserve">advocate for </w:t>
      </w:r>
      <w:r>
        <w:rPr>
          <w:rFonts w:cs="Arial"/>
          <w:color w:val="000000" w:themeColor="text1"/>
        </w:rPr>
        <w:t xml:space="preserve">a liberal arts approach </w:t>
      </w:r>
      <w:r w:rsidR="00420065">
        <w:rPr>
          <w:rFonts w:cs="Arial"/>
          <w:color w:val="000000" w:themeColor="text1"/>
        </w:rPr>
        <w:t xml:space="preserve">or alternatively for the inclusion of vocational learning. </w:t>
      </w:r>
      <w:r>
        <w:rPr>
          <w:rFonts w:cs="Arial"/>
          <w:color w:val="000000" w:themeColor="text1"/>
        </w:rPr>
        <w:t>As is evident in</w:t>
      </w:r>
      <w:r w:rsidR="002A04E8">
        <w:rPr>
          <w:rFonts w:cs="Arial"/>
          <w:color w:val="000000" w:themeColor="text1"/>
        </w:rPr>
        <w:t xml:space="preserve"> wider literature (Grimes &amp; Gibbons, 2016; Arthurs, 2025), and in</w:t>
      </w:r>
      <w:r>
        <w:rPr>
          <w:rFonts w:cs="Arial"/>
          <w:color w:val="000000" w:themeColor="text1"/>
        </w:rPr>
        <w:t xml:space="preserve"> th</w:t>
      </w:r>
      <w:r w:rsidR="00420065">
        <w:rPr>
          <w:rFonts w:cs="Arial"/>
          <w:color w:val="000000" w:themeColor="text1"/>
        </w:rPr>
        <w:t>o</w:t>
      </w:r>
      <w:r w:rsidR="002A04E8">
        <w:rPr>
          <w:rFonts w:cs="Arial"/>
          <w:color w:val="000000" w:themeColor="text1"/>
        </w:rPr>
        <w:t>se</w:t>
      </w:r>
      <w:r>
        <w:rPr>
          <w:rFonts w:cs="Arial"/>
          <w:color w:val="000000" w:themeColor="text1"/>
        </w:rPr>
        <w:t xml:space="preserve"> findings chapters, the discussion of </w:t>
      </w:r>
      <w:r w:rsidR="002A04E8">
        <w:rPr>
          <w:rFonts w:cs="Arial"/>
          <w:color w:val="000000" w:themeColor="text1"/>
        </w:rPr>
        <w:t xml:space="preserve">the relevance of applied methods or </w:t>
      </w:r>
      <w:r>
        <w:rPr>
          <w:rFonts w:cs="Arial"/>
          <w:color w:val="000000" w:themeColor="text1"/>
        </w:rPr>
        <w:t>experiential learning</w:t>
      </w:r>
      <w:r w:rsidR="002A04E8">
        <w:rPr>
          <w:rFonts w:cs="Arial"/>
          <w:color w:val="000000" w:themeColor="text1"/>
        </w:rPr>
        <w:t>,</w:t>
      </w:r>
      <w:r>
        <w:rPr>
          <w:rFonts w:cs="Arial"/>
          <w:color w:val="000000" w:themeColor="text1"/>
        </w:rPr>
        <w:t xml:space="preserve">  </w:t>
      </w:r>
      <w:r w:rsidR="002A04E8">
        <w:rPr>
          <w:rFonts w:cs="Arial"/>
          <w:color w:val="000000" w:themeColor="text1"/>
        </w:rPr>
        <w:t>for law</w:t>
      </w:r>
      <w:r w:rsidR="00BC56C4">
        <w:rPr>
          <w:rFonts w:cs="Arial"/>
          <w:color w:val="000000" w:themeColor="text1"/>
        </w:rPr>
        <w:t>,</w:t>
      </w:r>
      <w:r w:rsidR="002A04E8">
        <w:rPr>
          <w:rFonts w:cs="Arial"/>
          <w:color w:val="000000" w:themeColor="text1"/>
        </w:rPr>
        <w:t xml:space="preserve"> </w:t>
      </w:r>
      <w:r w:rsidR="00420065">
        <w:rPr>
          <w:rFonts w:cs="Arial"/>
          <w:color w:val="000000" w:themeColor="text1"/>
        </w:rPr>
        <w:t>often presented as</w:t>
      </w:r>
      <w:r>
        <w:rPr>
          <w:rFonts w:cs="Arial"/>
          <w:color w:val="000000" w:themeColor="text1"/>
        </w:rPr>
        <w:t xml:space="preserve"> problem</w:t>
      </w:r>
      <w:r w:rsidR="002A04E8">
        <w:rPr>
          <w:rFonts w:cs="Arial"/>
          <w:color w:val="000000" w:themeColor="text1"/>
        </w:rPr>
        <w:t>-</w:t>
      </w:r>
      <w:r>
        <w:rPr>
          <w:rFonts w:cs="Arial"/>
          <w:color w:val="000000" w:themeColor="text1"/>
        </w:rPr>
        <w:t xml:space="preserve">based learning </w:t>
      </w:r>
      <w:r w:rsidR="00420065">
        <w:rPr>
          <w:rFonts w:cs="Arial"/>
          <w:color w:val="000000" w:themeColor="text1"/>
        </w:rPr>
        <w:t>or</w:t>
      </w:r>
      <w:r>
        <w:rPr>
          <w:rFonts w:cs="Arial"/>
          <w:color w:val="000000" w:themeColor="text1"/>
        </w:rPr>
        <w:t xml:space="preserve"> clinic </w:t>
      </w:r>
      <w:r w:rsidR="002A04E8">
        <w:rPr>
          <w:rFonts w:cs="Arial"/>
          <w:color w:val="000000" w:themeColor="text1"/>
        </w:rPr>
        <w:t xml:space="preserve">experience, </w:t>
      </w:r>
      <w:r>
        <w:rPr>
          <w:rFonts w:cs="Arial"/>
          <w:color w:val="000000" w:themeColor="text1"/>
        </w:rPr>
        <w:t xml:space="preserve">or </w:t>
      </w:r>
      <w:r w:rsidR="002A04E8">
        <w:rPr>
          <w:rFonts w:cs="Arial"/>
          <w:color w:val="000000" w:themeColor="text1"/>
        </w:rPr>
        <w:t xml:space="preserve">the </w:t>
      </w:r>
      <w:r>
        <w:rPr>
          <w:rFonts w:cs="Arial"/>
          <w:color w:val="000000" w:themeColor="text1"/>
        </w:rPr>
        <w:t xml:space="preserve">wider non-disciplinary employability </w:t>
      </w:r>
      <w:r w:rsidR="002A04E8">
        <w:rPr>
          <w:rFonts w:cs="Arial"/>
          <w:color w:val="000000" w:themeColor="text1"/>
        </w:rPr>
        <w:t>agendas comes to the fore in this context.</w:t>
      </w:r>
    </w:p>
    <w:p w14:paraId="5781904A" w14:textId="77777777" w:rsidR="009A26A6" w:rsidRPr="0005689B" w:rsidRDefault="009A26A6" w:rsidP="0005689B">
      <w:pPr>
        <w:spacing w:line="360" w:lineRule="auto"/>
        <w:jc w:val="both"/>
        <w:rPr>
          <w:rFonts w:cs="Arial"/>
          <w:color w:val="000000" w:themeColor="text1"/>
        </w:rPr>
      </w:pPr>
    </w:p>
    <w:p w14:paraId="5391E672" w14:textId="4EF217E1" w:rsidR="0038724E" w:rsidRPr="0003652C" w:rsidRDefault="0038724E" w:rsidP="0003652C">
      <w:pPr>
        <w:pStyle w:val="Heading3"/>
        <w:spacing w:after="100" w:afterAutospacing="1" w:line="360" w:lineRule="auto"/>
        <w:rPr>
          <w:rFonts w:ascii="Arial" w:hAnsi="Arial" w:cs="Arial"/>
        </w:rPr>
      </w:pPr>
      <w:bookmarkStart w:id="33" w:name="_Toc223348825"/>
      <w:r w:rsidRPr="0003652C">
        <w:rPr>
          <w:rFonts w:ascii="Arial" w:hAnsi="Arial" w:cs="Arial"/>
        </w:rPr>
        <w:lastRenderedPageBreak/>
        <w:t>The law degree and the foundations of legal knowledge</w:t>
      </w:r>
      <w:bookmarkEnd w:id="33"/>
    </w:p>
    <w:p w14:paraId="39824DCA" w14:textId="2808D54A" w:rsidR="006F3BFC" w:rsidRPr="0003652C" w:rsidRDefault="006F3BFC" w:rsidP="0003652C">
      <w:pPr>
        <w:spacing w:line="360" w:lineRule="auto"/>
        <w:jc w:val="both"/>
        <w:rPr>
          <w:rFonts w:cs="Arial"/>
          <w:color w:val="000000" w:themeColor="text1"/>
        </w:rPr>
      </w:pPr>
      <w:r w:rsidRPr="0003652C">
        <w:rPr>
          <w:rFonts w:cs="Arial"/>
          <w:color w:val="000000" w:themeColor="text1"/>
        </w:rPr>
        <w:t>In England</w:t>
      </w:r>
      <w:r w:rsidR="00BC56C4">
        <w:rPr>
          <w:rFonts w:cs="Arial"/>
          <w:color w:val="000000" w:themeColor="text1"/>
        </w:rPr>
        <w:t>,</w:t>
      </w:r>
      <w:r w:rsidRPr="0003652C">
        <w:rPr>
          <w:rFonts w:cs="Arial"/>
          <w:color w:val="000000" w:themeColor="text1"/>
        </w:rPr>
        <w:t xml:space="preserve"> a proportion of the content of law degrees has, in line with the accreditation explained above, been prescribed </w:t>
      </w:r>
      <w:r w:rsidR="0038724E" w:rsidRPr="0003652C">
        <w:rPr>
          <w:rFonts w:cs="Arial"/>
          <w:color w:val="000000" w:themeColor="text1"/>
        </w:rPr>
        <w:t>in recent decades</w:t>
      </w:r>
      <w:r w:rsidRPr="0003652C">
        <w:rPr>
          <w:rFonts w:cs="Arial"/>
          <w:color w:val="000000" w:themeColor="text1"/>
        </w:rPr>
        <w:t xml:space="preserve"> by the professional regulators, with qualifying law degrees being required to have the seven foundations of legal knowledge represented within their programmes. These developed from five core subjects</w:t>
      </w:r>
      <w:r w:rsidR="0038724E" w:rsidRPr="0003652C">
        <w:rPr>
          <w:rFonts w:cs="Arial"/>
          <w:color w:val="000000" w:themeColor="text1"/>
        </w:rPr>
        <w:t xml:space="preserve"> reflecting what had become prevalent in law degrees, and set out</w:t>
      </w:r>
      <w:r w:rsidRPr="0003652C">
        <w:rPr>
          <w:rFonts w:cs="Arial"/>
          <w:color w:val="000000" w:themeColor="text1"/>
        </w:rPr>
        <w:t xml:space="preserve"> in 1971 by the Ormrod Committee</w:t>
      </w:r>
      <w:r w:rsidR="0038724E" w:rsidRPr="0003652C">
        <w:rPr>
          <w:rStyle w:val="CommentReference"/>
          <w:rFonts w:cs="Arial"/>
        </w:rPr>
        <w:t xml:space="preserve">, </w:t>
      </w:r>
      <w:r w:rsidR="0038724E" w:rsidRPr="0003652C">
        <w:rPr>
          <w:rFonts w:cs="Arial"/>
          <w:color w:val="000000" w:themeColor="text1"/>
        </w:rPr>
        <w:t xml:space="preserve">to </w:t>
      </w:r>
      <w:r w:rsidRPr="0003652C">
        <w:rPr>
          <w:rFonts w:cs="Arial"/>
          <w:color w:val="000000" w:themeColor="text1"/>
        </w:rPr>
        <w:t>what was recently seven foundational subjects as presented and agreed by both the Law Society, representing solicitors, and the Bar Council, representing Barristers, in their Joint Statements on Qualifying Law Degrees</w:t>
      </w:r>
      <w:r w:rsidR="006C6EF7">
        <w:rPr>
          <w:rFonts w:cs="Arial"/>
          <w:color w:val="000000" w:themeColor="text1"/>
        </w:rPr>
        <w:t xml:space="preserve"> (Wilson, 1971)</w:t>
      </w:r>
      <w:r w:rsidRPr="0003652C">
        <w:rPr>
          <w:rFonts w:cs="Arial"/>
          <w:color w:val="000000" w:themeColor="text1"/>
        </w:rPr>
        <w:t xml:space="preserve">. These represent what have been regarded as the key foundational subjects from which all other legal categories emerge, </w:t>
      </w:r>
      <w:r w:rsidR="0038724E" w:rsidRPr="0003652C">
        <w:rPr>
          <w:rFonts w:cs="Arial"/>
          <w:color w:val="000000" w:themeColor="text1"/>
        </w:rPr>
        <w:t>and include key ten</w:t>
      </w:r>
      <w:r w:rsidR="00BC56C4">
        <w:rPr>
          <w:rFonts w:cs="Arial"/>
          <w:color w:val="000000" w:themeColor="text1"/>
        </w:rPr>
        <w:t>e</w:t>
      </w:r>
      <w:r w:rsidR="0038724E" w:rsidRPr="0003652C">
        <w:rPr>
          <w:rFonts w:cs="Arial"/>
          <w:color w:val="000000" w:themeColor="text1"/>
        </w:rPr>
        <w:t>ts of law such as</w:t>
      </w:r>
      <w:r w:rsidRPr="0003652C">
        <w:rPr>
          <w:rFonts w:cs="Arial"/>
          <w:color w:val="000000" w:themeColor="text1"/>
        </w:rPr>
        <w:t xml:space="preserve"> contract, tort and criminal law. In the 1990s the level of regulation extended to the syllabi for the subjects, teaching hours and assessment</w:t>
      </w:r>
      <w:r w:rsidR="0038724E" w:rsidRPr="0003652C">
        <w:rPr>
          <w:rFonts w:cs="Arial"/>
          <w:color w:val="000000" w:themeColor="text1"/>
        </w:rPr>
        <w:t>. This</w:t>
      </w:r>
      <w:r w:rsidRPr="0003652C">
        <w:rPr>
          <w:rFonts w:cs="Arial"/>
          <w:color w:val="000000" w:themeColor="text1"/>
        </w:rPr>
        <w:t xml:space="preserve"> underwent some liberalisation until 2015 </w:t>
      </w:r>
      <w:r w:rsidR="0038724E" w:rsidRPr="0003652C">
        <w:rPr>
          <w:rFonts w:cs="Arial"/>
          <w:color w:val="000000" w:themeColor="text1"/>
        </w:rPr>
        <w:t xml:space="preserve">with </w:t>
      </w:r>
      <w:r w:rsidRPr="0003652C">
        <w:rPr>
          <w:rFonts w:cs="Arial"/>
          <w:color w:val="000000" w:themeColor="text1"/>
        </w:rPr>
        <w:t>the advent of a review of the professional regulation by the newer regulators, the Solicitors Regulatory Authority</w:t>
      </w:r>
      <w:r w:rsidR="003E0AE1" w:rsidRPr="0003652C">
        <w:rPr>
          <w:rFonts w:cs="Arial"/>
          <w:color w:val="000000" w:themeColor="text1"/>
        </w:rPr>
        <w:t xml:space="preserve"> (SRA)</w:t>
      </w:r>
      <w:r w:rsidRPr="0003652C">
        <w:rPr>
          <w:rFonts w:cs="Arial"/>
          <w:color w:val="000000" w:themeColor="text1"/>
        </w:rPr>
        <w:t>, and the Bar Standards Board</w:t>
      </w:r>
      <w:r w:rsidR="003E0AE1" w:rsidRPr="0003652C">
        <w:rPr>
          <w:rFonts w:cs="Arial"/>
          <w:color w:val="000000" w:themeColor="text1"/>
        </w:rPr>
        <w:t xml:space="preserve"> (BSB)</w:t>
      </w:r>
      <w:r w:rsidRPr="0003652C">
        <w:rPr>
          <w:rFonts w:cs="Arial"/>
          <w:color w:val="000000" w:themeColor="text1"/>
        </w:rPr>
        <w:t>. The Legal Education and Training Review (LETR) reported in 2013, largely in support of the qualifying law degree, but with some concerns over consistency of content. As discussed above</w:t>
      </w:r>
      <w:r w:rsidR="00BC56C4">
        <w:rPr>
          <w:rFonts w:cs="Arial"/>
          <w:color w:val="000000" w:themeColor="text1"/>
        </w:rPr>
        <w:t>,</w:t>
      </w:r>
      <w:r w:rsidRPr="0003652C">
        <w:rPr>
          <w:rFonts w:cs="Arial"/>
          <w:color w:val="000000" w:themeColor="text1"/>
        </w:rPr>
        <w:t xml:space="preserve"> after further consultation</w:t>
      </w:r>
      <w:r w:rsidR="00BC56C4">
        <w:rPr>
          <w:rFonts w:cs="Arial"/>
          <w:color w:val="000000" w:themeColor="text1"/>
        </w:rPr>
        <w:t>,</w:t>
      </w:r>
      <w:r w:rsidRPr="0003652C">
        <w:rPr>
          <w:rFonts w:cs="Arial"/>
          <w:color w:val="000000" w:themeColor="text1"/>
        </w:rPr>
        <w:t xml:space="preserve"> the SRA introduced the centralised solicitors qualifying examination for those wishing to be solicitors and removed any requirements as to type or style of qualification or study, beyond the need for a degree in any subject</w:t>
      </w:r>
      <w:r w:rsidR="003E0AE1" w:rsidRPr="0003652C">
        <w:rPr>
          <w:rFonts w:cs="Arial"/>
          <w:color w:val="000000" w:themeColor="text1"/>
        </w:rPr>
        <w:t>,</w:t>
      </w:r>
      <w:r w:rsidRPr="0003652C">
        <w:rPr>
          <w:rFonts w:cs="Arial"/>
          <w:color w:val="000000" w:themeColor="text1"/>
        </w:rPr>
        <w:t xml:space="preserve"> prior to taking the assessment. The Bar retains the need for the foundations of legal knowledge in some form</w:t>
      </w:r>
      <w:r w:rsidR="00BC56C4">
        <w:rPr>
          <w:rFonts w:cs="Arial"/>
          <w:color w:val="000000" w:themeColor="text1"/>
        </w:rPr>
        <w:t>,</w:t>
      </w:r>
      <w:r w:rsidRPr="0003652C">
        <w:rPr>
          <w:rFonts w:cs="Arial"/>
          <w:color w:val="000000" w:themeColor="text1"/>
        </w:rPr>
        <w:t xml:space="preserve"> but defers much of what it requires to the Quality Assurance Agency subject benchmarks (QAA), which are </w:t>
      </w:r>
      <w:r w:rsidR="003E0AE1" w:rsidRPr="0003652C">
        <w:rPr>
          <w:rFonts w:cs="Arial"/>
          <w:color w:val="000000" w:themeColor="text1"/>
        </w:rPr>
        <w:t>not binding or consistent (</w:t>
      </w:r>
      <w:r w:rsidRPr="0003652C">
        <w:rPr>
          <w:rFonts w:cs="Arial"/>
          <w:color w:val="000000" w:themeColor="text1"/>
        </w:rPr>
        <w:t>Vaughan, 2025)</w:t>
      </w:r>
      <w:r w:rsidR="003E0AE1" w:rsidRPr="0003652C">
        <w:rPr>
          <w:rFonts w:cs="Arial"/>
          <w:color w:val="000000" w:themeColor="text1"/>
        </w:rPr>
        <w:t xml:space="preserve">. </w:t>
      </w:r>
      <w:r w:rsidRPr="0003652C">
        <w:rPr>
          <w:rFonts w:cs="Arial"/>
          <w:color w:val="000000" w:themeColor="text1"/>
        </w:rPr>
        <w:t>This has an interesting potential impact</w:t>
      </w:r>
      <w:r w:rsidR="00F72961" w:rsidRPr="0003652C">
        <w:rPr>
          <w:rFonts w:cs="Arial"/>
          <w:color w:val="000000" w:themeColor="text1"/>
        </w:rPr>
        <w:t>,</w:t>
      </w:r>
    </w:p>
    <w:p w14:paraId="56EEFEE5" w14:textId="5C32BFD7" w:rsidR="006F3BFC" w:rsidRPr="0003652C" w:rsidRDefault="006F3BFC" w:rsidP="0003652C">
      <w:pPr>
        <w:spacing w:line="360" w:lineRule="auto"/>
        <w:ind w:left="720"/>
        <w:jc w:val="both"/>
        <w:rPr>
          <w:rFonts w:cs="Arial"/>
          <w:color w:val="000000" w:themeColor="text1"/>
        </w:rPr>
      </w:pPr>
      <w:r w:rsidRPr="0003652C">
        <w:rPr>
          <w:rFonts w:cs="Arial"/>
          <w:color w:val="000000" w:themeColor="text1"/>
        </w:rPr>
        <w:t>It is an odd thing to have a regulator shaping degree content for almost 20,000 students a year when no more than a few hundred of those students go on to become professionals eventually regulated by that regulator (Vaughan, 2025</w:t>
      </w:r>
      <w:r w:rsidR="00BC56C4">
        <w:rPr>
          <w:rFonts w:cs="Arial"/>
          <w:color w:val="000000" w:themeColor="text1"/>
        </w:rPr>
        <w:t>.</w:t>
      </w:r>
      <w:r w:rsidRPr="0003652C">
        <w:rPr>
          <w:rFonts w:cs="Arial"/>
          <w:color w:val="000000" w:themeColor="text1"/>
        </w:rPr>
        <w:t xml:space="preserve"> p</w:t>
      </w:r>
      <w:r w:rsidR="00F72961" w:rsidRPr="0003652C">
        <w:rPr>
          <w:rFonts w:cs="Arial"/>
          <w:color w:val="000000" w:themeColor="text1"/>
        </w:rPr>
        <w:t>.</w:t>
      </w:r>
      <w:r w:rsidRPr="0003652C">
        <w:rPr>
          <w:rFonts w:cs="Arial"/>
          <w:color w:val="000000" w:themeColor="text1"/>
        </w:rPr>
        <w:t xml:space="preserve"> 154).</w:t>
      </w:r>
    </w:p>
    <w:p w14:paraId="32FFD796" w14:textId="58BBF2C6" w:rsidR="006F3BFC" w:rsidRPr="0003652C" w:rsidRDefault="006F3BFC" w:rsidP="0003652C">
      <w:pPr>
        <w:spacing w:line="360" w:lineRule="auto"/>
        <w:jc w:val="both"/>
        <w:rPr>
          <w:rFonts w:cs="Arial"/>
          <w:color w:val="000000" w:themeColor="text1"/>
        </w:rPr>
      </w:pPr>
      <w:r w:rsidRPr="0003652C">
        <w:rPr>
          <w:rFonts w:cs="Arial"/>
          <w:color w:val="000000" w:themeColor="text1"/>
        </w:rPr>
        <w:lastRenderedPageBreak/>
        <w:t xml:space="preserve">The impact of this is </w:t>
      </w:r>
      <w:r w:rsidR="003E0AE1" w:rsidRPr="0003652C">
        <w:rPr>
          <w:rFonts w:cs="Arial"/>
          <w:color w:val="000000" w:themeColor="text1"/>
        </w:rPr>
        <w:t xml:space="preserve">that how </w:t>
      </w:r>
      <w:r w:rsidRPr="0003652C">
        <w:rPr>
          <w:rFonts w:cs="Arial"/>
          <w:color w:val="000000" w:themeColor="text1"/>
        </w:rPr>
        <w:t xml:space="preserve">the foundations of legal knowledge are represented in degrees </w:t>
      </w:r>
      <w:r w:rsidR="003E0AE1" w:rsidRPr="0003652C">
        <w:rPr>
          <w:rFonts w:cs="Arial"/>
          <w:color w:val="000000" w:themeColor="text1"/>
        </w:rPr>
        <w:t>is no longer of any</w:t>
      </w:r>
      <w:r w:rsidRPr="0003652C">
        <w:rPr>
          <w:rFonts w:cs="Arial"/>
          <w:color w:val="000000" w:themeColor="text1"/>
        </w:rPr>
        <w:t xml:space="preserve"> regulatory concern</w:t>
      </w:r>
      <w:r w:rsidR="003E0AE1" w:rsidRPr="0003652C">
        <w:rPr>
          <w:rFonts w:cs="Arial"/>
          <w:color w:val="000000" w:themeColor="text1"/>
        </w:rPr>
        <w:t>. However, they retain a practical importance in providing foundational knowledge on which the solicitors</w:t>
      </w:r>
      <w:r w:rsidR="00F72961" w:rsidRPr="0003652C">
        <w:rPr>
          <w:rFonts w:cs="Arial"/>
          <w:color w:val="000000" w:themeColor="text1"/>
        </w:rPr>
        <w:t>’</w:t>
      </w:r>
      <w:r w:rsidR="003E0AE1" w:rsidRPr="0003652C">
        <w:rPr>
          <w:rFonts w:cs="Arial"/>
          <w:color w:val="000000" w:themeColor="text1"/>
        </w:rPr>
        <w:t xml:space="preserve"> qualifying exam is based. </w:t>
      </w:r>
    </w:p>
    <w:p w14:paraId="1BFE582E" w14:textId="3EE57E82" w:rsidR="006F3BFC" w:rsidRPr="0003652C" w:rsidRDefault="006F3BFC" w:rsidP="0003652C">
      <w:pPr>
        <w:spacing w:line="360" w:lineRule="auto"/>
        <w:jc w:val="both"/>
        <w:rPr>
          <w:rFonts w:cs="Arial"/>
          <w:color w:val="000000" w:themeColor="text1"/>
        </w:rPr>
      </w:pPr>
      <w:r w:rsidRPr="0003652C">
        <w:rPr>
          <w:rFonts w:cs="Arial"/>
          <w:color w:val="000000" w:themeColor="text1"/>
        </w:rPr>
        <w:t>The context of this is therefore particularly interesting at present.  Investigating influences in law course design when it is undergoing such change is a valuable exercise</w:t>
      </w:r>
      <w:r w:rsidR="00BC56C4">
        <w:rPr>
          <w:rFonts w:cs="Arial"/>
          <w:color w:val="000000" w:themeColor="text1"/>
        </w:rPr>
        <w:t>,</w:t>
      </w:r>
      <w:r w:rsidRPr="0003652C">
        <w:rPr>
          <w:rFonts w:cs="Arial"/>
          <w:color w:val="000000" w:themeColor="text1"/>
        </w:rPr>
        <w:t xml:space="preserve"> as it provides </w:t>
      </w:r>
      <w:r w:rsidR="003E0AE1" w:rsidRPr="0003652C">
        <w:rPr>
          <w:rFonts w:cs="Arial"/>
          <w:color w:val="000000" w:themeColor="text1"/>
        </w:rPr>
        <w:t>more than a</w:t>
      </w:r>
      <w:r w:rsidRPr="0003652C">
        <w:rPr>
          <w:rFonts w:cs="Arial"/>
          <w:color w:val="000000" w:themeColor="text1"/>
        </w:rPr>
        <w:t xml:space="preserve"> snapshot of what is taking place. </w:t>
      </w:r>
      <w:r w:rsidR="00E74ED4">
        <w:rPr>
          <w:rFonts w:cs="Arial"/>
          <w:color w:val="000000" w:themeColor="text1"/>
        </w:rPr>
        <w:t>B</w:t>
      </w:r>
      <w:r w:rsidRPr="0003652C">
        <w:rPr>
          <w:rFonts w:cs="Arial"/>
          <w:color w:val="000000" w:themeColor="text1"/>
        </w:rPr>
        <w:t>earing in mind that these are early days in the development and implementation of the centralised exam, and it has not been without controversy, it’s important that any investigation considers the wider considerations here.</w:t>
      </w:r>
      <w:r w:rsidRPr="0003652C">
        <w:rPr>
          <w:rFonts w:cs="Arial"/>
        </w:rPr>
        <w:t xml:space="preserve"> Whilst change produces unique circumstances that may not be more easily generalised for wider research,</w:t>
      </w:r>
      <w:r w:rsidRPr="0003652C">
        <w:rPr>
          <w:rFonts w:cs="Arial"/>
          <w:sz w:val="22"/>
          <w:szCs w:val="22"/>
        </w:rPr>
        <w:t xml:space="preserve"> t</w:t>
      </w:r>
      <w:r w:rsidRPr="0003652C">
        <w:rPr>
          <w:rFonts w:cs="Arial"/>
          <w:color w:val="000000" w:themeColor="text1"/>
        </w:rPr>
        <w:t xml:space="preserve">he findings in this investigation shed light not just on the more recent changes, but also on reflections that have developed over time and therefore on the longer-term concern of the perceived purpose of these degrees and ultimately on perceptions of what undergraduate legal education is for and whether it has the potential to </w:t>
      </w:r>
      <w:r w:rsidR="003E0AE1" w:rsidRPr="0003652C">
        <w:rPr>
          <w:rFonts w:cs="Arial"/>
          <w:color w:val="000000" w:themeColor="text1"/>
        </w:rPr>
        <w:t>be transformative.</w:t>
      </w:r>
      <w:r w:rsidR="00F72961" w:rsidRPr="0003652C">
        <w:rPr>
          <w:rFonts w:cs="Arial"/>
          <w:color w:val="000000" w:themeColor="text1"/>
        </w:rPr>
        <w:t xml:space="preserve"> </w:t>
      </w:r>
    </w:p>
    <w:p w14:paraId="6D12019A" w14:textId="21F67BFD" w:rsidR="006F3BFC" w:rsidRPr="0003652C" w:rsidRDefault="006F3BFC" w:rsidP="0003652C">
      <w:pPr>
        <w:spacing w:line="360" w:lineRule="auto"/>
        <w:jc w:val="both"/>
        <w:rPr>
          <w:rFonts w:cs="Arial"/>
          <w:color w:val="000000" w:themeColor="text1"/>
        </w:rPr>
      </w:pPr>
      <w:r w:rsidRPr="0003652C">
        <w:rPr>
          <w:rFonts w:cs="Arial"/>
          <w:color w:val="000000" w:themeColor="text1"/>
        </w:rPr>
        <w:t xml:space="preserve">The context of change is also important in the wider </w:t>
      </w:r>
      <w:r w:rsidR="003E0AE1" w:rsidRPr="0003652C">
        <w:rPr>
          <w:rFonts w:cs="Arial"/>
          <w:color w:val="000000" w:themeColor="text1"/>
        </w:rPr>
        <w:t>context</w:t>
      </w:r>
      <w:r w:rsidRPr="0003652C">
        <w:rPr>
          <w:rFonts w:cs="Arial"/>
          <w:color w:val="000000" w:themeColor="text1"/>
        </w:rPr>
        <w:t xml:space="preserve"> as higher education continues to adapt to </w:t>
      </w:r>
      <w:r w:rsidR="00BC56C4">
        <w:rPr>
          <w:rFonts w:cs="Arial"/>
          <w:color w:val="000000" w:themeColor="text1"/>
        </w:rPr>
        <w:t xml:space="preserve">the </w:t>
      </w:r>
      <w:r w:rsidRPr="0003652C">
        <w:rPr>
          <w:rFonts w:cs="Arial"/>
          <w:color w:val="000000" w:themeColor="text1"/>
        </w:rPr>
        <w:t xml:space="preserve">pressures of </w:t>
      </w:r>
      <w:r w:rsidR="003E0AE1" w:rsidRPr="0003652C">
        <w:rPr>
          <w:rFonts w:cs="Arial"/>
          <w:color w:val="000000" w:themeColor="text1"/>
        </w:rPr>
        <w:t>the market</w:t>
      </w:r>
      <w:r w:rsidRPr="0003652C">
        <w:rPr>
          <w:rFonts w:cs="Arial"/>
          <w:color w:val="000000" w:themeColor="text1"/>
        </w:rPr>
        <w:t>. The resultant massification</w:t>
      </w:r>
      <w:r w:rsidR="003E0AE1" w:rsidRPr="0003652C">
        <w:rPr>
          <w:rFonts w:cs="Arial"/>
          <w:color w:val="000000" w:themeColor="text1"/>
        </w:rPr>
        <w:t xml:space="preserve"> in higher education</w:t>
      </w:r>
      <w:r w:rsidRPr="0003652C">
        <w:rPr>
          <w:rFonts w:cs="Arial"/>
          <w:color w:val="000000" w:themeColor="text1"/>
        </w:rPr>
        <w:t xml:space="preserve"> is not </w:t>
      </w:r>
      <w:r w:rsidR="003E0AE1" w:rsidRPr="0003652C">
        <w:rPr>
          <w:rFonts w:cs="Arial"/>
          <w:color w:val="000000" w:themeColor="text1"/>
        </w:rPr>
        <w:t>necessarily equal</w:t>
      </w:r>
      <w:r w:rsidR="00BC56C4">
        <w:rPr>
          <w:rFonts w:cs="Arial"/>
          <w:color w:val="000000" w:themeColor="text1"/>
        </w:rPr>
        <w:t>,</w:t>
      </w:r>
      <w:r w:rsidRPr="0003652C">
        <w:rPr>
          <w:rFonts w:cs="Arial"/>
          <w:color w:val="000000" w:themeColor="text1"/>
        </w:rPr>
        <w:t xml:space="preserve"> and so ‘epistemic access’ is worthy of investigation as well as social access (Clegg, 2016.</w:t>
      </w:r>
      <w:r w:rsidR="00BC56C4">
        <w:rPr>
          <w:rFonts w:cs="Arial"/>
          <w:color w:val="000000" w:themeColor="text1"/>
        </w:rPr>
        <w:t xml:space="preserve"> p.</w:t>
      </w:r>
      <w:r w:rsidRPr="0003652C">
        <w:rPr>
          <w:rFonts w:cs="Arial"/>
          <w:color w:val="000000" w:themeColor="text1"/>
        </w:rPr>
        <w:t xml:space="preserve">458). </w:t>
      </w:r>
    </w:p>
    <w:p w14:paraId="66D47112" w14:textId="65E497FE" w:rsidR="006F3BFC" w:rsidRPr="0003652C" w:rsidRDefault="002A15F5" w:rsidP="0003652C">
      <w:pPr>
        <w:pStyle w:val="Heading2"/>
        <w:spacing w:line="360" w:lineRule="auto"/>
        <w:rPr>
          <w:rFonts w:ascii="Arial" w:hAnsi="Arial" w:cs="Arial"/>
          <w:color w:val="000000" w:themeColor="text1"/>
        </w:rPr>
      </w:pPr>
      <w:bookmarkStart w:id="34" w:name="_Toc223348826"/>
      <w:r w:rsidRPr="0003652C">
        <w:rPr>
          <w:rFonts w:ascii="Arial" w:hAnsi="Arial" w:cs="Arial"/>
        </w:rPr>
        <w:t>Conclusion</w:t>
      </w:r>
      <w:bookmarkEnd w:id="34"/>
    </w:p>
    <w:p w14:paraId="6C5BA299" w14:textId="63D1560C" w:rsidR="00A16385" w:rsidRPr="0003652C" w:rsidRDefault="003E0AE1" w:rsidP="0003652C">
      <w:pPr>
        <w:spacing w:after="100" w:afterAutospacing="1" w:line="360" w:lineRule="auto"/>
        <w:rPr>
          <w:rFonts w:cs="Arial"/>
        </w:rPr>
      </w:pPr>
      <w:r w:rsidRPr="0003652C">
        <w:rPr>
          <w:rFonts w:cs="Arial"/>
        </w:rPr>
        <w:t>Here</w:t>
      </w:r>
      <w:r w:rsidR="00BC56C4">
        <w:rPr>
          <w:rFonts w:cs="Arial"/>
        </w:rPr>
        <w:t>,</w:t>
      </w:r>
      <w:r w:rsidRPr="0003652C">
        <w:rPr>
          <w:rFonts w:cs="Arial"/>
        </w:rPr>
        <w:t xml:space="preserve"> I have provided a br</w:t>
      </w:r>
      <w:r w:rsidR="002A15F5" w:rsidRPr="0003652C">
        <w:rPr>
          <w:rFonts w:cs="Arial"/>
        </w:rPr>
        <w:t>ief</w:t>
      </w:r>
      <w:r w:rsidRPr="0003652C">
        <w:rPr>
          <w:rFonts w:cs="Arial"/>
        </w:rPr>
        <w:t xml:space="preserve"> introduction to </w:t>
      </w:r>
      <w:r w:rsidR="002A15F5" w:rsidRPr="0003652C">
        <w:rPr>
          <w:rFonts w:cs="Arial"/>
        </w:rPr>
        <w:t>some of the concepts and contexts that will provide the necessary tools with which to locate my investigation, and specifically the theory that underpins course design and how that relates to Bernstein’s sociologica</w:t>
      </w:r>
      <w:r w:rsidR="00165D64" w:rsidRPr="0003652C">
        <w:rPr>
          <w:rFonts w:cs="Arial"/>
        </w:rPr>
        <w:t>l theory of pedagogy</w:t>
      </w:r>
      <w:r w:rsidR="002A15F5" w:rsidRPr="0003652C">
        <w:rPr>
          <w:rFonts w:cs="Arial"/>
        </w:rPr>
        <w:t xml:space="preserve">. </w:t>
      </w:r>
      <w:r w:rsidR="006F3BFC" w:rsidRPr="0003652C">
        <w:rPr>
          <w:rFonts w:cs="Arial"/>
        </w:rPr>
        <w:t xml:space="preserve"> </w:t>
      </w:r>
      <w:r w:rsidR="002A15F5" w:rsidRPr="0003652C">
        <w:rPr>
          <w:rFonts w:cs="Arial"/>
        </w:rPr>
        <w:t xml:space="preserve">What </w:t>
      </w:r>
      <w:r w:rsidR="006F3BFC" w:rsidRPr="0003652C">
        <w:rPr>
          <w:rFonts w:cs="Arial"/>
        </w:rPr>
        <w:t xml:space="preserve">follows in </w:t>
      </w:r>
      <w:r w:rsidR="00046A61">
        <w:rPr>
          <w:rFonts w:cs="Arial"/>
        </w:rPr>
        <w:t>C</w:t>
      </w:r>
      <w:r w:rsidR="006F3BFC" w:rsidRPr="0003652C">
        <w:rPr>
          <w:rFonts w:cs="Arial"/>
        </w:rPr>
        <w:t xml:space="preserve">hapter </w:t>
      </w:r>
      <w:r w:rsidR="00046A61">
        <w:rPr>
          <w:rFonts w:cs="Arial"/>
        </w:rPr>
        <w:t>T</w:t>
      </w:r>
      <w:r w:rsidR="006F3BFC" w:rsidRPr="0003652C">
        <w:rPr>
          <w:rFonts w:cs="Arial"/>
        </w:rPr>
        <w:t xml:space="preserve">hree is an application of Bernstein’s theory, codes and pedagogic device to legal education. It will consider </w:t>
      </w:r>
      <w:r w:rsidR="002A15F5" w:rsidRPr="0003652C">
        <w:rPr>
          <w:rFonts w:cs="Arial"/>
        </w:rPr>
        <w:t xml:space="preserve">the nature of </w:t>
      </w:r>
      <w:r w:rsidR="006F3BFC" w:rsidRPr="0003652C">
        <w:rPr>
          <w:rFonts w:cs="Arial"/>
        </w:rPr>
        <w:t>law as a discipline</w:t>
      </w:r>
      <w:r w:rsidR="002A15F5" w:rsidRPr="0003652C">
        <w:rPr>
          <w:rFonts w:cs="Arial"/>
        </w:rPr>
        <w:t xml:space="preserve"> and then will focus on </w:t>
      </w:r>
      <w:r w:rsidR="006F3BFC" w:rsidRPr="0003652C">
        <w:rPr>
          <w:rFonts w:cs="Arial"/>
        </w:rPr>
        <w:t>law at</w:t>
      </w:r>
      <w:r w:rsidR="00BC56C4">
        <w:rPr>
          <w:rFonts w:cs="Arial"/>
        </w:rPr>
        <w:t xml:space="preserve"> the </w:t>
      </w:r>
      <w:r w:rsidR="006F3BFC" w:rsidRPr="0003652C">
        <w:rPr>
          <w:rFonts w:cs="Arial"/>
        </w:rPr>
        <w:t xml:space="preserve"> undergraduate programme level</w:t>
      </w:r>
      <w:r w:rsidR="00BC56C4">
        <w:rPr>
          <w:rFonts w:cs="Arial"/>
        </w:rPr>
        <w:t>,</w:t>
      </w:r>
      <w:r w:rsidR="006F3BFC" w:rsidRPr="0003652C">
        <w:rPr>
          <w:rFonts w:cs="Arial"/>
        </w:rPr>
        <w:t xml:space="preserve"> where the nature of the discipline </w:t>
      </w:r>
      <w:r w:rsidR="002A15F5" w:rsidRPr="0003652C">
        <w:rPr>
          <w:rFonts w:cs="Arial"/>
        </w:rPr>
        <w:t>reflects</w:t>
      </w:r>
      <w:r w:rsidR="006F3BFC" w:rsidRPr="0003652C">
        <w:rPr>
          <w:rFonts w:cs="Arial"/>
          <w:color w:val="000000" w:themeColor="text1"/>
        </w:rPr>
        <w:t xml:space="preserve"> a site of struggle, and</w:t>
      </w:r>
      <w:r w:rsidR="006F3BFC" w:rsidRPr="0003652C">
        <w:rPr>
          <w:rFonts w:cs="Arial"/>
        </w:rPr>
        <w:t xml:space="preserve"> where historically key categories of knowledge have been presented in ways that </w:t>
      </w:r>
      <w:r w:rsidR="002A15F5" w:rsidRPr="0003652C">
        <w:rPr>
          <w:rFonts w:cs="Arial"/>
        </w:rPr>
        <w:t>might impact upon</w:t>
      </w:r>
      <w:r w:rsidR="006F3BFC" w:rsidRPr="0003652C">
        <w:rPr>
          <w:rFonts w:cs="Arial"/>
        </w:rPr>
        <w:t xml:space="preserve"> students</w:t>
      </w:r>
      <w:r w:rsidR="002A15F5" w:rsidRPr="0003652C">
        <w:rPr>
          <w:rFonts w:cs="Arial"/>
        </w:rPr>
        <w:t>’</w:t>
      </w:r>
      <w:r w:rsidR="006F3BFC" w:rsidRPr="0003652C">
        <w:rPr>
          <w:rFonts w:cs="Arial"/>
        </w:rPr>
        <w:t xml:space="preserve"> learning. </w:t>
      </w:r>
      <w:r w:rsidR="00A16385" w:rsidRPr="0003652C">
        <w:rPr>
          <w:rFonts w:cs="Arial"/>
        </w:rPr>
        <w:br w:type="page"/>
      </w:r>
    </w:p>
    <w:p w14:paraId="6A7B7204" w14:textId="315D48B5" w:rsidR="0003652C" w:rsidRDefault="00ED5CC2" w:rsidP="0003652C">
      <w:pPr>
        <w:pStyle w:val="Heading1"/>
        <w:spacing w:before="100" w:after="100" w:afterAutospacing="1" w:line="360" w:lineRule="auto"/>
        <w:rPr>
          <w:rFonts w:ascii="Arial" w:hAnsi="Arial" w:cs="Arial"/>
        </w:rPr>
      </w:pPr>
      <w:bookmarkStart w:id="35" w:name="_Toc223348827"/>
      <w:r w:rsidRPr="0003652C">
        <w:rPr>
          <w:rFonts w:ascii="Arial" w:hAnsi="Arial" w:cs="Arial"/>
        </w:rPr>
        <w:lastRenderedPageBreak/>
        <w:t>Bernstein’s sociological theory of pedagogy</w:t>
      </w:r>
      <w:r w:rsidR="003C25F0" w:rsidRPr="0003652C">
        <w:rPr>
          <w:rFonts w:ascii="Arial" w:hAnsi="Arial" w:cs="Arial"/>
        </w:rPr>
        <w:t>: The codes and the pedagogic device</w:t>
      </w:r>
      <w:bookmarkEnd w:id="35"/>
    </w:p>
    <w:p w14:paraId="3B7B4A24" w14:textId="77777777" w:rsidR="0005689B" w:rsidRPr="0005689B" w:rsidRDefault="0005689B" w:rsidP="0005689B"/>
    <w:p w14:paraId="5B624436" w14:textId="5C52A6E7" w:rsidR="002253DC" w:rsidRPr="0003652C" w:rsidRDefault="002253DC" w:rsidP="0003652C">
      <w:pPr>
        <w:pStyle w:val="Heading2"/>
        <w:spacing w:line="360" w:lineRule="auto"/>
        <w:rPr>
          <w:rFonts w:ascii="Arial" w:hAnsi="Arial" w:cs="Arial"/>
        </w:rPr>
      </w:pPr>
      <w:bookmarkStart w:id="36" w:name="_Toc223348828"/>
      <w:r w:rsidRPr="0003652C">
        <w:rPr>
          <w:rFonts w:ascii="Arial" w:hAnsi="Arial" w:cs="Arial"/>
        </w:rPr>
        <w:t>Introduction</w:t>
      </w:r>
      <w:bookmarkEnd w:id="36"/>
    </w:p>
    <w:p w14:paraId="1DDD4FF3" w14:textId="299A93D6" w:rsidR="00366A06" w:rsidRPr="0003652C" w:rsidRDefault="00366A06" w:rsidP="0003652C">
      <w:pPr>
        <w:spacing w:line="360" w:lineRule="auto"/>
        <w:jc w:val="both"/>
        <w:rPr>
          <w:rFonts w:cs="Arial"/>
          <w:color w:val="000000" w:themeColor="text1"/>
        </w:rPr>
      </w:pPr>
      <w:r w:rsidRPr="0003652C">
        <w:rPr>
          <w:rFonts w:cs="Arial"/>
        </w:rPr>
        <w:t xml:space="preserve">This chapter presents Bernstein’s codes and sociological theory of pedagogy as </w:t>
      </w:r>
      <w:r w:rsidR="00E2689D">
        <w:rPr>
          <w:rFonts w:cs="Arial"/>
        </w:rPr>
        <w:t>they are</w:t>
      </w:r>
      <w:r w:rsidRPr="0003652C">
        <w:rPr>
          <w:rFonts w:cs="Arial"/>
        </w:rPr>
        <w:t xml:space="preserve"> relevant to my investigation. These are presented as a framework for the analysis that follows in the findings in the following chapters. Not all of Bernstein’s framework will be utilised as this is beyond the scope of the research questions, although there is sometimes a complex network between the codes</w:t>
      </w:r>
      <w:r w:rsidR="00E2689D">
        <w:rPr>
          <w:rFonts w:cs="Arial"/>
        </w:rPr>
        <w:t>,</w:t>
      </w:r>
      <w:r w:rsidRPr="0003652C">
        <w:rPr>
          <w:rFonts w:cs="Arial"/>
        </w:rPr>
        <w:t xml:space="preserve"> which will require some explanation. </w:t>
      </w:r>
      <w:r w:rsidRPr="0003652C">
        <w:rPr>
          <w:rFonts w:cs="Arial"/>
          <w:color w:val="000000" w:themeColor="text1"/>
        </w:rPr>
        <w:t>The analysis of Bernstein’s theoretical framework and of its application to the discipline and design draw</w:t>
      </w:r>
      <w:r w:rsidR="00E2689D">
        <w:rPr>
          <w:rFonts w:cs="Arial"/>
          <w:color w:val="000000" w:themeColor="text1"/>
        </w:rPr>
        <w:t>s</w:t>
      </w:r>
      <w:r w:rsidRPr="0003652C">
        <w:rPr>
          <w:rFonts w:cs="Arial"/>
          <w:color w:val="000000" w:themeColor="text1"/>
        </w:rPr>
        <w:t xml:space="preserve"> upon the existing literature, and my own analysis </w:t>
      </w:r>
      <w:r w:rsidR="00E2689D">
        <w:rPr>
          <w:rFonts w:cs="Arial"/>
          <w:color w:val="000000" w:themeColor="text1"/>
        </w:rPr>
        <w:t>providing</w:t>
      </w:r>
      <w:r w:rsidRPr="0003652C">
        <w:rPr>
          <w:rFonts w:cs="Arial"/>
          <w:color w:val="000000" w:themeColor="text1"/>
        </w:rPr>
        <w:t xml:space="preserve"> some initial observations on undergraduate la</w:t>
      </w:r>
      <w:r w:rsidR="002A269E">
        <w:rPr>
          <w:rFonts w:cs="Arial"/>
          <w:color w:val="000000" w:themeColor="text1"/>
        </w:rPr>
        <w:t xml:space="preserve">w course </w:t>
      </w:r>
      <w:r w:rsidRPr="0003652C">
        <w:rPr>
          <w:rFonts w:cs="Arial"/>
          <w:color w:val="000000" w:themeColor="text1"/>
        </w:rPr>
        <w:t>design. I then introduce the framework and rules that will be used to analyse the legal curriculum, and how legal education might fall within that framework. Here I look at and beyond the discipline to consider ‘institutional and political aspects of the conflict over the control over these rules’ (Ashwin, 2009.</w:t>
      </w:r>
      <w:r w:rsidR="00E2689D">
        <w:rPr>
          <w:rFonts w:cs="Arial"/>
          <w:color w:val="000000" w:themeColor="text1"/>
        </w:rPr>
        <w:t xml:space="preserve"> p</w:t>
      </w:r>
      <w:r w:rsidR="00E74ED4">
        <w:rPr>
          <w:rFonts w:cs="Arial"/>
          <w:color w:val="000000" w:themeColor="text1"/>
        </w:rPr>
        <w:t>.</w:t>
      </w:r>
      <w:r w:rsidRPr="0003652C">
        <w:rPr>
          <w:rFonts w:cs="Arial"/>
          <w:color w:val="000000" w:themeColor="text1"/>
        </w:rPr>
        <w:t xml:space="preserve"> 91)</w:t>
      </w:r>
      <w:r w:rsidR="00E2689D">
        <w:rPr>
          <w:rFonts w:cs="Arial"/>
          <w:color w:val="000000" w:themeColor="text1"/>
        </w:rPr>
        <w:t>,</w:t>
      </w:r>
      <w:r w:rsidRPr="0003652C">
        <w:rPr>
          <w:rFonts w:cs="Arial"/>
          <w:color w:val="000000" w:themeColor="text1"/>
        </w:rPr>
        <w:t xml:space="preserve"> which will in turn allow me to consider the taxonomy and role of power structures and hierarchies in course design in legal education.</w:t>
      </w:r>
    </w:p>
    <w:p w14:paraId="4E50F10C" w14:textId="19449065" w:rsidR="00366A06" w:rsidRPr="00E2689D" w:rsidRDefault="00366A06" w:rsidP="0003652C">
      <w:pPr>
        <w:spacing w:line="360" w:lineRule="auto"/>
        <w:jc w:val="both"/>
        <w:rPr>
          <w:rFonts w:cs="Arial"/>
        </w:rPr>
      </w:pPr>
      <w:r w:rsidRPr="0003652C">
        <w:rPr>
          <w:rFonts w:cs="Arial"/>
          <w:color w:val="000000" w:themeColor="text1"/>
        </w:rPr>
        <w:t>Disciplinary knowledge and its categorisation or framing present a contentious area for discussion, as can be seen in historical accounts of some of the roots and development of disciplines (Muller &amp; Young, 2014). Bernstein places this discussion in the context of student learning, investigating both the knowledge itself and the mechanism by which it is transmitted, and does this by building upon the work of Durkheim. Durkheim considered the nature of disciplinary knowledge, rather than the way it was transmitted, and the new sociology of education in the 1970s continued with this pursuit</w:t>
      </w:r>
      <w:r w:rsidR="00E2689D">
        <w:rPr>
          <w:rFonts w:cs="Arial"/>
          <w:color w:val="000000" w:themeColor="text1"/>
        </w:rPr>
        <w:t>,</w:t>
      </w:r>
      <w:r w:rsidRPr="0003652C">
        <w:rPr>
          <w:rFonts w:cs="Arial"/>
          <w:color w:val="000000" w:themeColor="text1"/>
        </w:rPr>
        <w:t xml:space="preserve"> producing a ‘sociology of knowers and knowing’ (Singh, 2002. </w:t>
      </w:r>
      <w:r w:rsidR="00E2689D">
        <w:rPr>
          <w:rFonts w:cs="Arial"/>
          <w:color w:val="000000" w:themeColor="text1"/>
        </w:rPr>
        <w:t>p</w:t>
      </w:r>
      <w:r w:rsidR="003A2A9B">
        <w:rPr>
          <w:rFonts w:cs="Arial"/>
          <w:color w:val="000000" w:themeColor="text1"/>
        </w:rPr>
        <w:t>.</w:t>
      </w:r>
      <w:r w:rsidRPr="0003652C">
        <w:rPr>
          <w:rFonts w:cs="Arial"/>
          <w:color w:val="000000" w:themeColor="text1"/>
        </w:rPr>
        <w:t xml:space="preserve">572). Bernstein went beyond this to consider the structures of transmission and the ‘construction and change of forms of consciousness’ (as cited by Singh, 2002. </w:t>
      </w:r>
      <w:r w:rsidR="00E2689D">
        <w:rPr>
          <w:rFonts w:cs="Arial"/>
          <w:color w:val="000000" w:themeColor="text1"/>
        </w:rPr>
        <w:t>p</w:t>
      </w:r>
      <w:r w:rsidR="003A2A9B">
        <w:rPr>
          <w:rFonts w:cs="Arial"/>
          <w:color w:val="000000" w:themeColor="text1"/>
        </w:rPr>
        <w:t>.</w:t>
      </w:r>
      <w:r w:rsidRPr="0003652C">
        <w:rPr>
          <w:rFonts w:cs="Arial"/>
          <w:color w:val="000000" w:themeColor="text1"/>
        </w:rPr>
        <w:t xml:space="preserve"> 572). He </w:t>
      </w:r>
      <w:r w:rsidR="003A2A9B">
        <w:rPr>
          <w:rFonts w:cs="Arial"/>
          <w:color w:val="000000" w:themeColor="text1"/>
        </w:rPr>
        <w:t xml:space="preserve">built on Durkheim’s ideas in </w:t>
      </w:r>
      <w:r w:rsidRPr="0003652C">
        <w:rPr>
          <w:rFonts w:cs="Arial"/>
          <w:color w:val="000000" w:themeColor="text1"/>
        </w:rPr>
        <w:t>dr</w:t>
      </w:r>
      <w:r w:rsidR="003A2A9B">
        <w:rPr>
          <w:rFonts w:cs="Arial"/>
          <w:color w:val="000000" w:themeColor="text1"/>
        </w:rPr>
        <w:t>awing</w:t>
      </w:r>
      <w:r w:rsidRPr="0003652C">
        <w:rPr>
          <w:rFonts w:cs="Arial"/>
          <w:color w:val="000000" w:themeColor="text1"/>
        </w:rPr>
        <w:t xml:space="preserve"> a distinction between the sacred, or more conceptual and fundamental </w:t>
      </w:r>
      <w:r w:rsidRPr="0003652C">
        <w:rPr>
          <w:rFonts w:cs="Arial"/>
          <w:color w:val="000000" w:themeColor="text1"/>
        </w:rPr>
        <w:lastRenderedPageBreak/>
        <w:t>questions of who we are, and the ‘profane’, focusing on the everyday or the practical problems found in society (Durkheim, 1977; Muller, 2023). He presented the idea of boundaries, or classifications, both surrounding and within disciplines, and the framing of what is selected, taught, and evaluated in the curriculum. The mechanism of transmission builds on this and is conceptually important as a ‘pedagogic device’ that acknowledges the discipline as not the only factor at play. By doing this</w:t>
      </w:r>
      <w:r w:rsidR="00E2689D">
        <w:rPr>
          <w:rFonts w:cs="Arial"/>
          <w:color w:val="000000" w:themeColor="text1"/>
        </w:rPr>
        <w:t>,</w:t>
      </w:r>
      <w:r w:rsidRPr="0003652C">
        <w:rPr>
          <w:rFonts w:cs="Arial"/>
          <w:color w:val="000000" w:themeColor="text1"/>
        </w:rPr>
        <w:t xml:space="preserve"> Bernstein invites research into ways in </w:t>
      </w:r>
      <w:r w:rsidRPr="0003652C">
        <w:rPr>
          <w:rFonts w:cs="Arial"/>
        </w:rPr>
        <w:t xml:space="preserve">which knowledge is presented in the curriculum and looks at how students are enabled to engage with this (Ashwin, 2009). </w:t>
      </w:r>
      <w:r w:rsidRPr="0003652C">
        <w:rPr>
          <w:rFonts w:cs="Arial"/>
          <w:color w:val="000000" w:themeColor="text1"/>
        </w:rPr>
        <w:t>Course design becomes one stage of this transition as he ‘seeks to provide an explicit link between the macro processes of knowledge production and the micro processes of teaching-learning interactions’ (</w:t>
      </w:r>
      <w:r w:rsidRPr="0003652C">
        <w:rPr>
          <w:rFonts w:cs="Arial"/>
        </w:rPr>
        <w:t xml:space="preserve">Ashwin, 2009. </w:t>
      </w:r>
      <w:r w:rsidR="00E2689D">
        <w:rPr>
          <w:rFonts w:cs="Arial"/>
        </w:rPr>
        <w:t>p.</w:t>
      </w:r>
      <w:r w:rsidRPr="0003652C">
        <w:rPr>
          <w:rFonts w:cs="Arial"/>
        </w:rPr>
        <w:t xml:space="preserve"> 89). I will be utilising Bernstein’s codes and pedagogic device to facilitate a comprehensive interrogation of undergraduate law course design in this way. </w:t>
      </w:r>
    </w:p>
    <w:p w14:paraId="63730A6A" w14:textId="1C622F4F" w:rsidR="002253DC" w:rsidRPr="0003652C" w:rsidRDefault="002253DC" w:rsidP="0003652C">
      <w:pPr>
        <w:pStyle w:val="Heading2"/>
        <w:spacing w:line="360" w:lineRule="auto"/>
        <w:rPr>
          <w:rFonts w:ascii="Arial" w:hAnsi="Arial" w:cs="Arial"/>
        </w:rPr>
      </w:pPr>
      <w:bookmarkStart w:id="37" w:name="_Toc223348829"/>
      <w:r w:rsidRPr="0003652C">
        <w:rPr>
          <w:rFonts w:ascii="Arial" w:hAnsi="Arial" w:cs="Arial"/>
        </w:rPr>
        <w:t>Classification and framing of knowledge</w:t>
      </w:r>
      <w:bookmarkEnd w:id="37"/>
    </w:p>
    <w:p w14:paraId="301289B8" w14:textId="77CC8FA9" w:rsidR="006A409E" w:rsidRPr="0003652C" w:rsidRDefault="002253DC" w:rsidP="0003652C">
      <w:pPr>
        <w:spacing w:line="360" w:lineRule="auto"/>
        <w:jc w:val="both"/>
        <w:rPr>
          <w:rFonts w:cs="Arial"/>
          <w:color w:val="000000" w:themeColor="text1"/>
        </w:rPr>
      </w:pPr>
      <w:r w:rsidRPr="0003652C">
        <w:rPr>
          <w:rFonts w:cs="Arial"/>
          <w:color w:val="000000" w:themeColor="text1"/>
        </w:rPr>
        <w:t>Bernstein’s theory rests upon the principles of classification and framing of knowledge</w:t>
      </w:r>
      <w:r w:rsidR="00412B04" w:rsidRPr="0003652C">
        <w:rPr>
          <w:rFonts w:cs="Arial"/>
          <w:color w:val="000000" w:themeColor="text1"/>
        </w:rPr>
        <w:t xml:space="preserve"> and in this way defines ‘two concepts, one for the translation of power, and the other for the translation of control relations’ (Bernstein, 2000. </w:t>
      </w:r>
      <w:r w:rsidR="00E2689D">
        <w:rPr>
          <w:rFonts w:cs="Arial"/>
          <w:color w:val="000000" w:themeColor="text1"/>
        </w:rPr>
        <w:t>P.</w:t>
      </w:r>
      <w:r w:rsidR="00412B04" w:rsidRPr="0003652C">
        <w:rPr>
          <w:rFonts w:cs="Arial"/>
          <w:color w:val="000000" w:themeColor="text1"/>
        </w:rPr>
        <w:t>5)</w:t>
      </w:r>
      <w:r w:rsidRPr="0003652C">
        <w:rPr>
          <w:rFonts w:cs="Arial"/>
          <w:color w:val="000000" w:themeColor="text1"/>
        </w:rPr>
        <w:t xml:space="preserve">. </w:t>
      </w:r>
    </w:p>
    <w:p w14:paraId="59A84C71" w14:textId="5A3A0C7F" w:rsidR="00412B04" w:rsidRPr="0003652C" w:rsidRDefault="002253DC" w:rsidP="0003652C">
      <w:pPr>
        <w:spacing w:line="360" w:lineRule="auto"/>
        <w:jc w:val="both"/>
        <w:rPr>
          <w:rFonts w:cs="Arial"/>
          <w:color w:val="000000" w:themeColor="text1"/>
        </w:rPr>
      </w:pPr>
      <w:r w:rsidRPr="0003652C">
        <w:rPr>
          <w:rFonts w:cs="Arial"/>
          <w:color w:val="000000" w:themeColor="text1"/>
        </w:rPr>
        <w:t xml:space="preserve">The classification of knowledge explains the separation or boundaries between different knowledge </w:t>
      </w:r>
      <w:r w:rsidR="00412B04" w:rsidRPr="0003652C">
        <w:rPr>
          <w:rFonts w:cs="Arial"/>
          <w:color w:val="000000" w:themeColor="text1"/>
        </w:rPr>
        <w:t>categories established due to power relations</w:t>
      </w:r>
      <w:r w:rsidRPr="0003652C">
        <w:rPr>
          <w:rFonts w:cs="Arial"/>
          <w:color w:val="000000" w:themeColor="text1"/>
        </w:rPr>
        <w:t>. These boundaries can exist in different contexts and might be between disciplines, or between subjects on a programme of study</w:t>
      </w:r>
      <w:r w:rsidR="00412B04" w:rsidRPr="0003652C">
        <w:rPr>
          <w:rFonts w:cs="Arial"/>
          <w:color w:val="000000" w:themeColor="text1"/>
        </w:rPr>
        <w:t>, or beyond this</w:t>
      </w:r>
      <w:r w:rsidR="00E2689D">
        <w:rPr>
          <w:rFonts w:cs="Arial"/>
          <w:color w:val="000000" w:themeColor="text1"/>
        </w:rPr>
        <w:t>,</w:t>
      </w:r>
      <w:r w:rsidR="00412B04" w:rsidRPr="0003652C">
        <w:rPr>
          <w:rFonts w:cs="Arial"/>
          <w:color w:val="000000" w:themeColor="text1"/>
        </w:rPr>
        <w:t xml:space="preserve"> ‘between discourses, between practices.’ (Bernstein, 2000. Pg</w:t>
      </w:r>
      <w:r w:rsidRPr="0003652C">
        <w:rPr>
          <w:rFonts w:cs="Arial"/>
          <w:color w:val="000000" w:themeColor="text1"/>
        </w:rPr>
        <w:t>.</w:t>
      </w:r>
      <w:r w:rsidR="00412B04" w:rsidRPr="0003652C">
        <w:rPr>
          <w:rFonts w:cs="Arial"/>
          <w:color w:val="000000" w:themeColor="text1"/>
        </w:rPr>
        <w:t xml:space="preserve"> 6).</w:t>
      </w:r>
      <w:r w:rsidR="00E2689D">
        <w:rPr>
          <w:rFonts w:cs="Arial"/>
          <w:color w:val="000000" w:themeColor="text1"/>
        </w:rPr>
        <w:t xml:space="preserve"> </w:t>
      </w:r>
      <w:r w:rsidRPr="0003652C">
        <w:rPr>
          <w:rFonts w:cs="Arial"/>
          <w:color w:val="000000" w:themeColor="text1"/>
        </w:rPr>
        <w:t>They may be strong boundaries keeping the knowledge categories separate, or weak and allowing for movement across the boundary. The boundaries represent power struggles and can explain where the power sits that defines the categories</w:t>
      </w:r>
      <w:r w:rsidR="00412B04" w:rsidRPr="0003652C">
        <w:rPr>
          <w:rFonts w:cs="Arial"/>
          <w:color w:val="000000" w:themeColor="text1"/>
        </w:rPr>
        <w:t xml:space="preserve"> with classification having two functions,</w:t>
      </w:r>
    </w:p>
    <w:p w14:paraId="3AFE8458" w14:textId="7FFE502E" w:rsidR="00412B04" w:rsidRPr="0003652C" w:rsidRDefault="003A2A9B" w:rsidP="0003652C">
      <w:pPr>
        <w:spacing w:line="360" w:lineRule="auto"/>
        <w:ind w:left="720"/>
        <w:jc w:val="both"/>
        <w:rPr>
          <w:rFonts w:cs="Arial"/>
          <w:color w:val="000000" w:themeColor="text1"/>
        </w:rPr>
      </w:pPr>
      <w:r>
        <w:rPr>
          <w:rFonts w:cs="Arial"/>
          <w:color w:val="000000" w:themeColor="text1"/>
        </w:rPr>
        <w:t>one</w:t>
      </w:r>
      <w:r w:rsidR="00412B04" w:rsidRPr="0003652C">
        <w:rPr>
          <w:rFonts w:cs="Arial"/>
          <w:color w:val="000000" w:themeColor="text1"/>
        </w:rPr>
        <w:t xml:space="preserve"> external to the individual</w:t>
      </w:r>
      <w:r w:rsidR="00E2689D">
        <w:rPr>
          <w:rFonts w:cs="Arial"/>
          <w:color w:val="000000" w:themeColor="text1"/>
        </w:rPr>
        <w:t>,</w:t>
      </w:r>
      <w:r w:rsidR="00412B04" w:rsidRPr="0003652C">
        <w:rPr>
          <w:rFonts w:cs="Arial"/>
          <w:color w:val="000000" w:themeColor="text1"/>
        </w:rPr>
        <w:t xml:space="preserve"> which regulates the relations between individuals, and another function which regulates relations within the individual (Bernstein, 2000. </w:t>
      </w:r>
      <w:r w:rsidR="00E2689D">
        <w:rPr>
          <w:rFonts w:cs="Arial"/>
          <w:color w:val="000000" w:themeColor="text1"/>
        </w:rPr>
        <w:t>p</w:t>
      </w:r>
      <w:r w:rsidR="000A7B3F" w:rsidRPr="0003652C">
        <w:rPr>
          <w:rFonts w:cs="Arial"/>
          <w:color w:val="000000" w:themeColor="text1"/>
        </w:rPr>
        <w:t>.</w:t>
      </w:r>
      <w:r w:rsidR="00412B04" w:rsidRPr="0003652C">
        <w:rPr>
          <w:rFonts w:cs="Arial"/>
          <w:color w:val="000000" w:themeColor="text1"/>
        </w:rPr>
        <w:t xml:space="preserve"> 7).</w:t>
      </w:r>
    </w:p>
    <w:p w14:paraId="2EFE0E4B" w14:textId="5A56F211" w:rsidR="000A7B3F" w:rsidRPr="0003652C" w:rsidRDefault="002253DC" w:rsidP="0003652C">
      <w:pPr>
        <w:spacing w:line="360" w:lineRule="auto"/>
        <w:jc w:val="both"/>
        <w:rPr>
          <w:rFonts w:cs="Arial"/>
          <w:color w:val="000000" w:themeColor="text1"/>
        </w:rPr>
      </w:pPr>
      <w:r w:rsidRPr="0003652C">
        <w:rPr>
          <w:rFonts w:cs="Arial"/>
          <w:color w:val="000000" w:themeColor="text1"/>
        </w:rPr>
        <w:lastRenderedPageBreak/>
        <w:t>Framing is</w:t>
      </w:r>
      <w:r w:rsidR="00E2689D">
        <w:rPr>
          <w:rFonts w:cs="Arial"/>
          <w:color w:val="000000" w:themeColor="text1"/>
        </w:rPr>
        <w:t>,</w:t>
      </w:r>
      <w:r w:rsidRPr="0003652C">
        <w:rPr>
          <w:rFonts w:cs="Arial"/>
          <w:color w:val="000000" w:themeColor="text1"/>
        </w:rPr>
        <w:t xml:space="preserve"> </w:t>
      </w:r>
      <w:r w:rsidR="00412B04" w:rsidRPr="0003652C">
        <w:rPr>
          <w:rFonts w:cs="Arial"/>
          <w:color w:val="000000" w:themeColor="text1"/>
        </w:rPr>
        <w:t>on the other hand</w:t>
      </w:r>
      <w:r w:rsidR="00E2689D">
        <w:rPr>
          <w:rFonts w:cs="Arial"/>
          <w:color w:val="000000" w:themeColor="text1"/>
        </w:rPr>
        <w:t>,</w:t>
      </w:r>
      <w:r w:rsidR="00412B04" w:rsidRPr="0003652C">
        <w:rPr>
          <w:rFonts w:cs="Arial"/>
          <w:color w:val="000000" w:themeColor="text1"/>
        </w:rPr>
        <w:t xml:space="preserve"> about pedagogic practice, and the </w:t>
      </w:r>
      <w:r w:rsidRPr="0003652C">
        <w:rPr>
          <w:rFonts w:cs="Arial"/>
          <w:color w:val="000000" w:themeColor="text1"/>
        </w:rPr>
        <w:t xml:space="preserve">control over the selection, sequence and pacing of knowledge. Again, this might be within a </w:t>
      </w:r>
      <w:r w:rsidR="002A269E">
        <w:rPr>
          <w:rFonts w:cs="Arial"/>
          <w:color w:val="000000" w:themeColor="text1"/>
        </w:rPr>
        <w:t>programme</w:t>
      </w:r>
      <w:r w:rsidRPr="0003652C">
        <w:rPr>
          <w:rFonts w:cs="Arial"/>
          <w:color w:val="000000" w:themeColor="text1"/>
        </w:rPr>
        <w:t>, or within a unit of knowledge</w:t>
      </w:r>
      <w:r w:rsidR="00E2689D">
        <w:rPr>
          <w:rFonts w:cs="Arial"/>
          <w:color w:val="000000" w:themeColor="text1"/>
        </w:rPr>
        <w:t>,</w:t>
      </w:r>
      <w:r w:rsidRPr="0003652C">
        <w:rPr>
          <w:rFonts w:cs="Arial"/>
          <w:color w:val="000000" w:themeColor="text1"/>
        </w:rPr>
        <w:t xml:space="preserve"> and so can operate at different </w:t>
      </w:r>
      <w:r w:rsidR="000A7B3F" w:rsidRPr="0003652C">
        <w:rPr>
          <w:rFonts w:cs="Arial"/>
          <w:color w:val="000000" w:themeColor="text1"/>
        </w:rPr>
        <w:t>levels and legitimises the communication.</w:t>
      </w:r>
      <w:r w:rsidRPr="0003652C">
        <w:rPr>
          <w:rFonts w:cs="Arial"/>
          <w:color w:val="000000" w:themeColor="text1"/>
        </w:rPr>
        <w:t xml:space="preserve"> </w:t>
      </w:r>
      <w:r w:rsidR="000A7B3F" w:rsidRPr="0003652C">
        <w:rPr>
          <w:rFonts w:cs="Arial"/>
          <w:color w:val="000000" w:themeColor="text1"/>
        </w:rPr>
        <w:t>The relationship between the two is key,</w:t>
      </w:r>
    </w:p>
    <w:p w14:paraId="793886CA" w14:textId="54914BAB" w:rsidR="002253DC" w:rsidRPr="0003652C" w:rsidRDefault="000A7B3F" w:rsidP="00E2689D">
      <w:pPr>
        <w:spacing w:line="360" w:lineRule="auto"/>
        <w:ind w:left="720"/>
        <w:jc w:val="both"/>
        <w:rPr>
          <w:rFonts w:cs="Arial"/>
          <w:color w:val="000000" w:themeColor="text1"/>
        </w:rPr>
      </w:pPr>
      <w:r w:rsidRPr="0003652C">
        <w:rPr>
          <w:rFonts w:cs="Arial"/>
          <w:color w:val="000000" w:themeColor="text1"/>
        </w:rPr>
        <w:t xml:space="preserve">If </w:t>
      </w:r>
      <w:r w:rsidR="003A2A9B">
        <w:rPr>
          <w:rFonts w:cs="Arial"/>
          <w:color w:val="000000" w:themeColor="text1"/>
        </w:rPr>
        <w:t>t</w:t>
      </w:r>
      <w:r w:rsidRPr="0003652C">
        <w:rPr>
          <w:rFonts w:cs="Arial"/>
          <w:color w:val="000000" w:themeColor="text1"/>
        </w:rPr>
        <w:t xml:space="preserve">he principle of classification provides us with our voice and the means of its recognition, then the principle of framing is the means of acquiring the legitimate message. Thus, classification establishes voice, and framing establishes the message; And they can vary independently (Bernstein, 2000. </w:t>
      </w:r>
      <w:r w:rsidR="00E2689D">
        <w:rPr>
          <w:rFonts w:cs="Arial"/>
          <w:color w:val="000000" w:themeColor="text1"/>
        </w:rPr>
        <w:t>p.</w:t>
      </w:r>
      <w:r w:rsidRPr="0003652C">
        <w:rPr>
          <w:rFonts w:cs="Arial"/>
          <w:color w:val="000000" w:themeColor="text1"/>
        </w:rPr>
        <w:t xml:space="preserve"> 12)</w:t>
      </w:r>
    </w:p>
    <w:p w14:paraId="0925A395" w14:textId="595BFF92" w:rsidR="002253DC" w:rsidRDefault="002253DC" w:rsidP="0003652C">
      <w:pPr>
        <w:spacing w:line="360" w:lineRule="auto"/>
        <w:jc w:val="both"/>
        <w:rPr>
          <w:rFonts w:cs="Arial"/>
          <w:color w:val="000000" w:themeColor="text1"/>
        </w:rPr>
      </w:pPr>
      <w:r w:rsidRPr="0003652C">
        <w:rPr>
          <w:rFonts w:cs="Arial"/>
          <w:color w:val="000000" w:themeColor="text1"/>
        </w:rPr>
        <w:t xml:space="preserve">Within the higher education context the classification and framing might have an impact on both the discipline as a whole and the internal structure of a degree, and it is in this context that I interrogate the structures here, defining the nature of the boundaries between units of knowledge, </w:t>
      </w:r>
      <w:r w:rsidR="003A2A9B">
        <w:rPr>
          <w:rFonts w:cs="Arial"/>
          <w:color w:val="000000" w:themeColor="text1"/>
        </w:rPr>
        <w:t xml:space="preserve">as </w:t>
      </w:r>
      <w:r w:rsidRPr="0003652C">
        <w:rPr>
          <w:rFonts w:cs="Arial"/>
          <w:color w:val="000000" w:themeColor="text1"/>
        </w:rPr>
        <w:t>strong (and so introspective), or weak and more fluid and enabling external perspectives, be they at discipline level – defining the discipline as regional or singular, or at unit level within a degree – presenting the knowledge as a collection of segmented knowledge units, or as an integrated whole.</w:t>
      </w:r>
    </w:p>
    <w:p w14:paraId="473B4AC3" w14:textId="77777777" w:rsidR="00C622FE" w:rsidRPr="0003652C" w:rsidRDefault="00C622FE" w:rsidP="0003652C">
      <w:pPr>
        <w:spacing w:line="360" w:lineRule="auto"/>
        <w:jc w:val="both"/>
        <w:rPr>
          <w:rFonts w:cs="Arial"/>
          <w:color w:val="000000" w:themeColor="text1"/>
        </w:rPr>
      </w:pPr>
    </w:p>
    <w:p w14:paraId="04012F40" w14:textId="641B8175" w:rsidR="002253DC" w:rsidRPr="0003652C" w:rsidRDefault="002253DC" w:rsidP="0003652C">
      <w:pPr>
        <w:pStyle w:val="Heading3"/>
        <w:spacing w:line="360" w:lineRule="auto"/>
        <w:rPr>
          <w:rFonts w:ascii="Arial" w:hAnsi="Arial" w:cs="Arial"/>
        </w:rPr>
      </w:pPr>
      <w:bookmarkStart w:id="38" w:name="_Toc223348830"/>
      <w:r w:rsidRPr="0003652C">
        <w:rPr>
          <w:rFonts w:ascii="Arial" w:hAnsi="Arial" w:cs="Arial"/>
        </w:rPr>
        <w:t>Collection and integrated codes</w:t>
      </w:r>
      <w:bookmarkEnd w:id="38"/>
    </w:p>
    <w:p w14:paraId="544957FC" w14:textId="6510C2A0" w:rsidR="002253DC" w:rsidRPr="0003652C" w:rsidRDefault="002253DC" w:rsidP="0003652C">
      <w:pPr>
        <w:spacing w:line="360" w:lineRule="auto"/>
        <w:jc w:val="both"/>
        <w:rPr>
          <w:rFonts w:cs="Arial"/>
        </w:rPr>
      </w:pPr>
      <w:r w:rsidRPr="0003652C">
        <w:rPr>
          <w:rFonts w:cs="Arial"/>
        </w:rPr>
        <w:t>Related to the strength of the boundaries between disciplines or units of knowledge, Bernstein sees groups of these as defined into collection and integrated codes. This might be seen in relation to subject areas, units, or modules within a programme of study. Where the boundaries between subject areas are strong</w:t>
      </w:r>
      <w:r w:rsidR="00E2689D">
        <w:rPr>
          <w:rFonts w:cs="Arial"/>
        </w:rPr>
        <w:t>,</w:t>
      </w:r>
      <w:r w:rsidRPr="0003652C">
        <w:rPr>
          <w:rFonts w:cs="Arial"/>
        </w:rPr>
        <w:t xml:space="preserve"> Bernstein sees this as a collection code – a collection of seemingly separate and stand-alone units of learning. Here</w:t>
      </w:r>
      <w:r w:rsidR="00E2689D">
        <w:rPr>
          <w:rFonts w:cs="Arial"/>
        </w:rPr>
        <w:t>,</w:t>
      </w:r>
      <w:r w:rsidRPr="0003652C">
        <w:rPr>
          <w:rFonts w:cs="Arial"/>
        </w:rPr>
        <w:t xml:space="preserve"> learning is segmented and non-relational to other areas. Studying each area is a separate endeavour</w:t>
      </w:r>
      <w:r w:rsidR="00B35D0D">
        <w:rPr>
          <w:rFonts w:cs="Arial"/>
        </w:rPr>
        <w:t>,</w:t>
      </w:r>
      <w:r w:rsidRPr="0003652C">
        <w:rPr>
          <w:rFonts w:cs="Arial"/>
        </w:rPr>
        <w:t xml:space="preserve"> and there is ‘a hierarchy of knowledge between the so-called common sense and the so-called uncommon sense’ (Bernstein, 2000.</w:t>
      </w:r>
      <w:r w:rsidR="00B35D0D">
        <w:rPr>
          <w:rFonts w:cs="Arial"/>
        </w:rPr>
        <w:t xml:space="preserve"> p.</w:t>
      </w:r>
      <w:r w:rsidRPr="0003652C">
        <w:rPr>
          <w:rFonts w:cs="Arial"/>
        </w:rPr>
        <w:t xml:space="preserve">10). He observes that programmes in secondary schools, presenting subjects as </w:t>
      </w:r>
      <w:r w:rsidRPr="0003652C">
        <w:rPr>
          <w:rFonts w:cs="Arial"/>
        </w:rPr>
        <w:lastRenderedPageBreak/>
        <w:t>segmented</w:t>
      </w:r>
      <w:r w:rsidR="00B35D0D">
        <w:rPr>
          <w:rFonts w:cs="Arial"/>
        </w:rPr>
        <w:t>,</w:t>
      </w:r>
      <w:r w:rsidRPr="0003652C">
        <w:rPr>
          <w:rFonts w:cs="Arial"/>
        </w:rPr>
        <w:t xml:space="preserve"> could hinder access to knowledge and may disadvantage some (Bernstein, 2000).</w:t>
      </w:r>
    </w:p>
    <w:p w14:paraId="1CC15310" w14:textId="4F07565B" w:rsidR="002253DC" w:rsidRPr="0003652C" w:rsidRDefault="002253DC" w:rsidP="0003652C">
      <w:pPr>
        <w:spacing w:line="360" w:lineRule="auto"/>
        <w:jc w:val="both"/>
        <w:rPr>
          <w:rFonts w:cs="Arial"/>
        </w:rPr>
      </w:pPr>
      <w:r w:rsidRPr="0003652C">
        <w:rPr>
          <w:rFonts w:cs="Arial"/>
        </w:rPr>
        <w:t>Where the classification is weak the boundaries are more permeable, in what Bernstein calls an integrated code. Here</w:t>
      </w:r>
      <w:r w:rsidR="00B35D0D">
        <w:rPr>
          <w:rFonts w:cs="Arial"/>
        </w:rPr>
        <w:t>,</w:t>
      </w:r>
      <w:r w:rsidRPr="0003652C">
        <w:rPr>
          <w:rFonts w:cs="Arial"/>
        </w:rPr>
        <w:t xml:space="preserve"> as subjects integrate, this presents conceptual challenges for teachers </w:t>
      </w:r>
      <w:r w:rsidR="00B35D0D">
        <w:rPr>
          <w:rFonts w:cs="Arial"/>
        </w:rPr>
        <w:t>who</w:t>
      </w:r>
      <w:r w:rsidRPr="0003652C">
        <w:rPr>
          <w:rFonts w:cs="Arial"/>
        </w:rPr>
        <w:t xml:space="preserve"> work outside of their area of expertise, working with others in different arenas, and having to be equip</w:t>
      </w:r>
      <w:r w:rsidR="00B35D0D">
        <w:rPr>
          <w:rFonts w:cs="Arial"/>
        </w:rPr>
        <w:t>ped</w:t>
      </w:r>
      <w:r w:rsidRPr="0003652C">
        <w:rPr>
          <w:rFonts w:cs="Arial"/>
        </w:rPr>
        <w:t xml:space="preserve"> with the means to deal with that uncertainty. However, Bernstein’s view is that this allows for a discursive gap that enables questions and inquisition, and therefore potential access to a higher level of understanding (Bernstein, 2000). Students are encouraged to see higher level themes or principles that cross the boundaries of the subjects</w:t>
      </w:r>
      <w:r w:rsidR="00B35D0D">
        <w:rPr>
          <w:rFonts w:cs="Arial"/>
        </w:rPr>
        <w:t>,</w:t>
      </w:r>
      <w:r w:rsidRPr="0003652C">
        <w:rPr>
          <w:rFonts w:cs="Arial"/>
        </w:rPr>
        <w:t xml:space="preserve"> which in turn provide more coherence.  A holistic approach is encouraged, and a deeper understanding may take place earlier, with students having more access to powerful knowledge (Bernstein, 2000).  In such a way</w:t>
      </w:r>
      <w:r w:rsidR="00B35D0D">
        <w:rPr>
          <w:rFonts w:cs="Arial"/>
        </w:rPr>
        <w:t>,</w:t>
      </w:r>
      <w:r w:rsidRPr="0003652C">
        <w:rPr>
          <w:rFonts w:cs="Arial"/>
        </w:rPr>
        <w:t xml:space="preserve"> Bernstein answers his own question,</w:t>
      </w:r>
    </w:p>
    <w:p w14:paraId="6AF32AAE" w14:textId="04377291" w:rsidR="002253DC" w:rsidRPr="0003652C" w:rsidRDefault="002253DC" w:rsidP="009A26A6">
      <w:pPr>
        <w:spacing w:line="360" w:lineRule="auto"/>
        <w:ind w:left="720"/>
        <w:jc w:val="both"/>
        <w:rPr>
          <w:rFonts w:cs="Arial"/>
        </w:rPr>
      </w:pPr>
      <w:r w:rsidRPr="0003652C">
        <w:rPr>
          <w:rFonts w:cs="Arial"/>
        </w:rPr>
        <w:t xml:space="preserve">We have to ask, in whose interest is the apartness of things, and in whose interest is the new togetherness and the new </w:t>
      </w:r>
      <w:r w:rsidR="00F72961" w:rsidRPr="0003652C">
        <w:rPr>
          <w:rFonts w:cs="Arial"/>
        </w:rPr>
        <w:t>integration.</w:t>
      </w:r>
      <w:r w:rsidRPr="0003652C">
        <w:rPr>
          <w:rFonts w:cs="Arial"/>
        </w:rPr>
        <w:t xml:space="preserve">  (Berstein, 2000. </w:t>
      </w:r>
      <w:r w:rsidR="00B35D0D">
        <w:rPr>
          <w:rFonts w:cs="Arial"/>
        </w:rPr>
        <w:t>p.</w:t>
      </w:r>
      <w:r w:rsidRPr="0003652C">
        <w:rPr>
          <w:rFonts w:cs="Arial"/>
        </w:rPr>
        <w:t xml:space="preserve">11) </w:t>
      </w:r>
    </w:p>
    <w:p w14:paraId="154EABE3" w14:textId="6A6154C1" w:rsidR="002253DC" w:rsidRPr="0003652C" w:rsidRDefault="002253DC" w:rsidP="0003652C">
      <w:pPr>
        <w:pStyle w:val="Heading2"/>
        <w:spacing w:line="360" w:lineRule="auto"/>
        <w:rPr>
          <w:rFonts w:ascii="Arial" w:hAnsi="Arial" w:cs="Arial"/>
        </w:rPr>
      </w:pPr>
      <w:bookmarkStart w:id="39" w:name="_Toc223348831"/>
      <w:r w:rsidRPr="0003652C">
        <w:rPr>
          <w:rFonts w:ascii="Arial" w:hAnsi="Arial" w:cs="Arial"/>
        </w:rPr>
        <w:t>Vertical and horizontal knowledge structures and access to powerful knowledge</w:t>
      </w:r>
      <w:bookmarkEnd w:id="39"/>
    </w:p>
    <w:p w14:paraId="4F5907B1" w14:textId="77777777" w:rsidR="00D6518F" w:rsidRPr="0003652C" w:rsidRDefault="002253DC" w:rsidP="0003652C">
      <w:pPr>
        <w:spacing w:line="360" w:lineRule="auto"/>
        <w:jc w:val="both"/>
        <w:rPr>
          <w:rFonts w:cs="Arial"/>
          <w:color w:val="000000" w:themeColor="text1"/>
        </w:rPr>
      </w:pPr>
      <w:r w:rsidRPr="0003652C">
        <w:rPr>
          <w:rFonts w:cs="Arial"/>
          <w:color w:val="000000" w:themeColor="text1"/>
        </w:rPr>
        <w:t>Classification and framing principles influence the knowledge structures that Bernstein utilises. These are vertical and horizontal structures, with the vertical structures being hierarchical, as knowledge is acquired for example within a discipline</w:t>
      </w:r>
      <w:r w:rsidR="000A7B3F" w:rsidRPr="0003652C">
        <w:rPr>
          <w:rFonts w:cs="Arial"/>
          <w:color w:val="000000" w:themeColor="text1"/>
        </w:rPr>
        <w:t>,</w:t>
      </w:r>
      <w:r w:rsidRPr="0003652C">
        <w:rPr>
          <w:rFonts w:cs="Arial"/>
          <w:color w:val="000000" w:themeColor="text1"/>
        </w:rPr>
        <w:t xml:space="preserve"> and moves towards what Bernstein refers to as sacred knowledge</w:t>
      </w:r>
      <w:r w:rsidR="000A7B3F" w:rsidRPr="0003652C">
        <w:rPr>
          <w:rFonts w:cs="Arial"/>
          <w:color w:val="000000" w:themeColor="text1"/>
        </w:rPr>
        <w:t xml:space="preserve">, </w:t>
      </w:r>
      <w:r w:rsidRPr="0003652C">
        <w:rPr>
          <w:rFonts w:cs="Arial"/>
          <w:color w:val="000000" w:themeColor="text1"/>
        </w:rPr>
        <w:t>represent</w:t>
      </w:r>
      <w:r w:rsidR="000A7B3F" w:rsidRPr="0003652C">
        <w:rPr>
          <w:rFonts w:cs="Arial"/>
          <w:color w:val="000000" w:themeColor="text1"/>
        </w:rPr>
        <w:t>ing</w:t>
      </w:r>
      <w:r w:rsidRPr="0003652C">
        <w:rPr>
          <w:rFonts w:cs="Arial"/>
          <w:color w:val="000000" w:themeColor="text1"/>
        </w:rPr>
        <w:t xml:space="preserve"> the acquisition of more complex understanding</w:t>
      </w:r>
      <w:r w:rsidR="00D6518F" w:rsidRPr="0003652C">
        <w:rPr>
          <w:rFonts w:cs="Arial"/>
          <w:color w:val="000000" w:themeColor="text1"/>
        </w:rPr>
        <w:t xml:space="preserve">, and </w:t>
      </w:r>
    </w:p>
    <w:p w14:paraId="1B639C9D" w14:textId="5E32D022" w:rsidR="00D6518F" w:rsidRPr="0003652C" w:rsidRDefault="00D6518F" w:rsidP="0003652C">
      <w:pPr>
        <w:spacing w:line="360" w:lineRule="auto"/>
        <w:ind w:left="720"/>
        <w:jc w:val="both"/>
        <w:rPr>
          <w:rFonts w:cs="Arial"/>
          <w:color w:val="000000" w:themeColor="text1"/>
        </w:rPr>
      </w:pPr>
      <w:r w:rsidRPr="0003652C">
        <w:rPr>
          <w:rFonts w:cs="Arial"/>
          <w:color w:val="000000" w:themeColor="text1"/>
        </w:rPr>
        <w:t>takes the form of a coherent, explicit and systematically principled structure, hierarchically organised as in the sciences, or it takes the form of a series of specialised languages… as in the social sciences or humanities (Bernstein, 2000.</w:t>
      </w:r>
      <w:r w:rsidR="00B35D0D">
        <w:rPr>
          <w:rFonts w:cs="Arial"/>
          <w:color w:val="000000" w:themeColor="text1"/>
        </w:rPr>
        <w:t xml:space="preserve"> P.</w:t>
      </w:r>
      <w:r w:rsidRPr="0003652C">
        <w:rPr>
          <w:rFonts w:cs="Arial"/>
          <w:color w:val="000000" w:themeColor="text1"/>
        </w:rPr>
        <w:t>157).</w:t>
      </w:r>
    </w:p>
    <w:p w14:paraId="0624E75B" w14:textId="49C6EE4F" w:rsidR="002253DC" w:rsidRPr="0003652C" w:rsidRDefault="002253DC" w:rsidP="0003652C">
      <w:pPr>
        <w:spacing w:line="360" w:lineRule="auto"/>
        <w:jc w:val="both"/>
        <w:rPr>
          <w:rFonts w:cs="Arial"/>
          <w:color w:val="000000" w:themeColor="text1"/>
        </w:rPr>
      </w:pPr>
      <w:r w:rsidRPr="0003652C">
        <w:rPr>
          <w:rFonts w:cs="Arial"/>
          <w:color w:val="000000" w:themeColor="text1"/>
        </w:rPr>
        <w:lastRenderedPageBreak/>
        <w:t>The horizontal knowledge structures</w:t>
      </w:r>
      <w:r w:rsidR="00B35D0D">
        <w:rPr>
          <w:rFonts w:cs="Arial"/>
          <w:color w:val="000000" w:themeColor="text1"/>
        </w:rPr>
        <w:t>,</w:t>
      </w:r>
      <w:r w:rsidRPr="0003652C">
        <w:rPr>
          <w:rFonts w:cs="Arial"/>
          <w:color w:val="000000" w:themeColor="text1"/>
        </w:rPr>
        <w:t xml:space="preserve"> on the other hand</w:t>
      </w:r>
      <w:r w:rsidR="00B35D0D">
        <w:rPr>
          <w:rFonts w:cs="Arial"/>
          <w:color w:val="000000" w:themeColor="text1"/>
        </w:rPr>
        <w:t>,</w:t>
      </w:r>
      <w:r w:rsidRPr="0003652C">
        <w:rPr>
          <w:rFonts w:cs="Arial"/>
          <w:color w:val="000000" w:themeColor="text1"/>
        </w:rPr>
        <w:t xml:space="preserve"> represent a collection of segmented knowledge units looking to the external context and often representing what Bernstein refers to as the mundane, or everyday knowledge. </w:t>
      </w:r>
      <w:r w:rsidR="00D6518F" w:rsidRPr="0003652C">
        <w:rPr>
          <w:rFonts w:cs="Arial"/>
          <w:color w:val="000000" w:themeColor="text1"/>
        </w:rPr>
        <w:t xml:space="preserve">These are </w:t>
      </w:r>
    </w:p>
    <w:p w14:paraId="50CC30E6" w14:textId="5E678FAD" w:rsidR="002253DC" w:rsidRPr="0003652C" w:rsidRDefault="00D6518F" w:rsidP="0005689B">
      <w:pPr>
        <w:spacing w:line="360" w:lineRule="auto"/>
        <w:ind w:left="720"/>
        <w:jc w:val="both"/>
        <w:rPr>
          <w:rFonts w:cs="Arial"/>
          <w:color w:val="000000" w:themeColor="text1"/>
        </w:rPr>
      </w:pPr>
      <w:r w:rsidRPr="0003652C">
        <w:rPr>
          <w:rFonts w:cs="Arial"/>
          <w:color w:val="000000" w:themeColor="text1"/>
        </w:rPr>
        <w:t xml:space="preserve">A set of strategies which are local, segmentally organised, context specific and dependent, for maximising encounters with persons and habits (Bernstein, 2000. </w:t>
      </w:r>
      <w:r w:rsidR="00B35D0D">
        <w:rPr>
          <w:rFonts w:cs="Arial"/>
          <w:color w:val="000000" w:themeColor="text1"/>
        </w:rPr>
        <w:t>p.</w:t>
      </w:r>
      <w:r w:rsidRPr="0003652C">
        <w:rPr>
          <w:rFonts w:cs="Arial"/>
          <w:color w:val="000000" w:themeColor="text1"/>
        </w:rPr>
        <w:t>157).</w:t>
      </w:r>
    </w:p>
    <w:p w14:paraId="447CD327" w14:textId="398036DD" w:rsidR="002253DC" w:rsidRPr="0003652C" w:rsidRDefault="002253DC" w:rsidP="0003652C">
      <w:pPr>
        <w:spacing w:line="360" w:lineRule="auto"/>
        <w:jc w:val="both"/>
        <w:rPr>
          <w:rFonts w:cs="Arial"/>
          <w:color w:val="E36C0A" w:themeColor="accent6" w:themeShade="BF"/>
        </w:rPr>
      </w:pPr>
      <w:r w:rsidRPr="0003652C">
        <w:rPr>
          <w:rFonts w:cs="Arial"/>
        </w:rPr>
        <w:t xml:space="preserve">Bernstein’s development of Durkheim’s distinction between esoteric or ‘unthinkable’ knowledge, and that </w:t>
      </w:r>
      <w:r w:rsidR="00B35D0D">
        <w:rPr>
          <w:rFonts w:cs="Arial"/>
        </w:rPr>
        <w:t xml:space="preserve">which </w:t>
      </w:r>
      <w:r w:rsidRPr="0003652C">
        <w:rPr>
          <w:rFonts w:cs="Arial"/>
        </w:rPr>
        <w:t>is mundane or ‘thinkable’ is central to this investigation.</w:t>
      </w:r>
      <w:r w:rsidRPr="0003652C">
        <w:rPr>
          <w:rFonts w:cs="Arial"/>
          <w:color w:val="000000" w:themeColor="text1"/>
        </w:rPr>
        <w:t xml:space="preserve">  He </w:t>
      </w:r>
      <w:r w:rsidRPr="0003652C">
        <w:rPr>
          <w:rFonts w:cs="Arial"/>
        </w:rPr>
        <w:t xml:space="preserve">observes that ‘distributive rules distribute forms of consciousness through distributing different forms of knowledge’ (Bernstein, 2000. </w:t>
      </w:r>
      <w:r w:rsidR="00B35D0D">
        <w:rPr>
          <w:rFonts w:cs="Arial"/>
        </w:rPr>
        <w:t>p.</w:t>
      </w:r>
      <w:r w:rsidRPr="0003652C">
        <w:rPr>
          <w:rFonts w:cs="Arial"/>
        </w:rPr>
        <w:t xml:space="preserve">28). It is access to the unthinkable that is regarded as desirable, and it is access to the unthinkable that he regards as unequally or unfairly enabled in education. Access to the mundane or thinkable, or access to everyday, is often interpreted as the </w:t>
      </w:r>
      <w:r w:rsidRPr="0003652C">
        <w:rPr>
          <w:rFonts w:cs="Arial"/>
          <w:i/>
          <w:iCs/>
        </w:rPr>
        <w:t>how</w:t>
      </w:r>
      <w:r w:rsidRPr="0003652C">
        <w:rPr>
          <w:rFonts w:cs="Arial"/>
        </w:rPr>
        <w:t xml:space="preserve"> to do something. It provides a horizontal knowledge structure, projecting outwards and learning from surroundings. Whereas access to the esoteric or unthinkable is acquired by development via vertical knowledge structures and allows you to access higher conceptual knowledge (Bernstein, </w:t>
      </w:r>
      <w:r w:rsidRPr="0003652C">
        <w:rPr>
          <w:rFonts w:cs="Arial"/>
          <w:color w:val="000000" w:themeColor="text1"/>
        </w:rPr>
        <w:t xml:space="preserve">2000. </w:t>
      </w:r>
      <w:r w:rsidR="00B35D0D">
        <w:rPr>
          <w:rFonts w:cs="Arial"/>
          <w:color w:val="000000" w:themeColor="text1"/>
        </w:rPr>
        <w:t>p.</w:t>
      </w:r>
      <w:r w:rsidRPr="0003652C">
        <w:rPr>
          <w:rFonts w:cs="Arial"/>
          <w:color w:val="000000" w:themeColor="text1"/>
        </w:rPr>
        <w:t xml:space="preserve"> 29).  </w:t>
      </w:r>
    </w:p>
    <w:p w14:paraId="53992AA1" w14:textId="13665F9D" w:rsidR="002253DC" w:rsidRPr="0003652C" w:rsidRDefault="002253DC" w:rsidP="0003652C">
      <w:pPr>
        <w:spacing w:line="360" w:lineRule="auto"/>
        <w:jc w:val="both"/>
        <w:rPr>
          <w:rFonts w:cs="Arial"/>
        </w:rPr>
      </w:pPr>
      <w:r w:rsidRPr="0003652C">
        <w:rPr>
          <w:rFonts w:cs="Arial"/>
        </w:rPr>
        <w:t xml:space="preserve">The distribution of what has since become known as ‘powerful knowledge’ </w:t>
      </w:r>
      <w:r w:rsidRPr="0003652C">
        <w:rPr>
          <w:rFonts w:cs="Arial"/>
          <w:color w:val="000000" w:themeColor="text1"/>
        </w:rPr>
        <w:t xml:space="preserve">(Wheelahan, 2007; 2010) </w:t>
      </w:r>
      <w:r w:rsidRPr="0003652C">
        <w:rPr>
          <w:rFonts w:cs="Arial"/>
        </w:rPr>
        <w:t>is unequal according to Bernstein as the educational system perpetuates inequalities, presenting knowledge differently to different people. Whilst Bernstein investigated the secondary school system in his empirical analysis, the observations are relevant and applicable within the higher education sector (Bernstein, 2000) and have been used as a base for much research in this</w:t>
      </w:r>
      <w:r w:rsidRPr="0003652C">
        <w:rPr>
          <w:rFonts w:cs="Arial"/>
          <w:color w:val="000000" w:themeColor="text1"/>
        </w:rPr>
        <w:t xml:space="preserve"> arena (See</w:t>
      </w:r>
      <w:r w:rsidR="00424F6F">
        <w:rPr>
          <w:rFonts w:cs="Arial"/>
          <w:color w:val="000000" w:themeColor="text1"/>
        </w:rPr>
        <w:t xml:space="preserve"> </w:t>
      </w:r>
      <w:r w:rsidRPr="0003652C">
        <w:rPr>
          <w:rFonts w:cs="Arial"/>
          <w:color w:val="000000" w:themeColor="text1"/>
        </w:rPr>
        <w:t>Mc</w:t>
      </w:r>
      <w:r w:rsidR="00424F6F">
        <w:rPr>
          <w:rFonts w:cs="Arial"/>
          <w:color w:val="000000" w:themeColor="text1"/>
        </w:rPr>
        <w:t>L</w:t>
      </w:r>
      <w:r w:rsidRPr="0003652C">
        <w:rPr>
          <w:rFonts w:cs="Arial"/>
          <w:color w:val="000000" w:themeColor="text1"/>
        </w:rPr>
        <w:t xml:space="preserve">ean et al., </w:t>
      </w:r>
      <w:r w:rsidR="00900765">
        <w:rPr>
          <w:rFonts w:cs="Arial"/>
          <w:color w:val="000000" w:themeColor="text1"/>
        </w:rPr>
        <w:t>2012</w:t>
      </w:r>
      <w:r w:rsidR="00B35D0D">
        <w:rPr>
          <w:rFonts w:cs="Arial"/>
          <w:color w:val="000000" w:themeColor="text1"/>
        </w:rPr>
        <w:t>,</w:t>
      </w:r>
      <w:r w:rsidR="00900765">
        <w:rPr>
          <w:rFonts w:cs="Arial"/>
          <w:color w:val="000000" w:themeColor="text1"/>
        </w:rPr>
        <w:t xml:space="preserve"> 2014</w:t>
      </w:r>
      <w:r w:rsidR="00B35D0D">
        <w:rPr>
          <w:rFonts w:cs="Arial"/>
          <w:color w:val="000000" w:themeColor="text1"/>
        </w:rPr>
        <w:t xml:space="preserve"> &amp;</w:t>
      </w:r>
      <w:r w:rsidR="00900765">
        <w:rPr>
          <w:rFonts w:cs="Arial"/>
          <w:color w:val="000000" w:themeColor="text1"/>
        </w:rPr>
        <w:t xml:space="preserve"> </w:t>
      </w:r>
      <w:r w:rsidRPr="0003652C">
        <w:rPr>
          <w:rFonts w:cs="Arial"/>
          <w:color w:val="000000" w:themeColor="text1"/>
        </w:rPr>
        <w:t>201</w:t>
      </w:r>
      <w:r w:rsidR="00765137" w:rsidRPr="0003652C">
        <w:rPr>
          <w:rFonts w:cs="Arial"/>
          <w:color w:val="000000" w:themeColor="text1"/>
        </w:rPr>
        <w:t>8</w:t>
      </w:r>
      <w:r w:rsidRPr="0003652C">
        <w:rPr>
          <w:rFonts w:cs="Arial"/>
          <w:color w:val="000000" w:themeColor="text1"/>
        </w:rPr>
        <w:t xml:space="preserve"> for </w:t>
      </w:r>
      <w:r w:rsidR="00900765">
        <w:rPr>
          <w:rFonts w:cs="Arial"/>
          <w:color w:val="000000" w:themeColor="text1"/>
        </w:rPr>
        <w:t xml:space="preserve">accounts of </w:t>
      </w:r>
      <w:r w:rsidRPr="0003652C">
        <w:rPr>
          <w:rFonts w:cs="Arial"/>
          <w:color w:val="000000" w:themeColor="text1"/>
        </w:rPr>
        <w:t xml:space="preserve">a large-scale review of sociology from this perspective). Translated </w:t>
      </w:r>
      <w:r w:rsidRPr="0003652C">
        <w:rPr>
          <w:rFonts w:cs="Arial"/>
        </w:rPr>
        <w:t>into a higher education context</w:t>
      </w:r>
      <w:r w:rsidR="00B35D0D">
        <w:rPr>
          <w:rFonts w:cs="Arial"/>
        </w:rPr>
        <w:t>,</w:t>
      </w:r>
      <w:r w:rsidRPr="0003652C">
        <w:rPr>
          <w:rFonts w:cs="Arial"/>
        </w:rPr>
        <w:t xml:space="preserve"> the inequality may be seen to exist between not only different groups of students at the same institution, but also between those students with access to what Bernstein refers to as the elite higher educational institutions, and those with access to the non-elite institutions</w:t>
      </w:r>
      <w:r w:rsidRPr="0003652C">
        <w:rPr>
          <w:rFonts w:cs="Arial"/>
          <w:color w:val="E36C0A" w:themeColor="accent6" w:themeShade="BF"/>
        </w:rPr>
        <w:t xml:space="preserve">. </w:t>
      </w:r>
      <w:r w:rsidRPr="0003652C">
        <w:rPr>
          <w:rFonts w:cs="Arial"/>
        </w:rPr>
        <w:t xml:space="preserve">Bernstein argues that disciplinary </w:t>
      </w:r>
      <w:r w:rsidRPr="0003652C">
        <w:rPr>
          <w:rFonts w:cs="Arial"/>
        </w:rPr>
        <w:lastRenderedPageBreak/>
        <w:t>knowledge is more likely to be presented in a particular way in elite institutions, providing a clearer route introspectively to that unthinkable knowledge, whilst at the non-elite ‘the identity of staff and students are likely to be formed… far more through mechanisms of projection. That is</w:t>
      </w:r>
      <w:r w:rsidR="00B35D0D">
        <w:rPr>
          <w:rFonts w:cs="Arial"/>
        </w:rPr>
        <w:t>,</w:t>
      </w:r>
      <w:r w:rsidRPr="0003652C">
        <w:rPr>
          <w:rFonts w:cs="Arial"/>
        </w:rPr>
        <w:t xml:space="preserve"> the identity is a reflection of external contingencies’ (Bernstein, 2000. </w:t>
      </w:r>
      <w:r w:rsidR="00B35D0D">
        <w:rPr>
          <w:rFonts w:cs="Arial"/>
        </w:rPr>
        <w:t>p.</w:t>
      </w:r>
      <w:r w:rsidRPr="0003652C">
        <w:rPr>
          <w:rFonts w:cs="Arial"/>
        </w:rPr>
        <w:t>70)</w:t>
      </w:r>
    </w:p>
    <w:p w14:paraId="01331C57" w14:textId="0E4363F9" w:rsidR="002253DC" w:rsidRPr="0005689B" w:rsidRDefault="002253DC" w:rsidP="0005689B">
      <w:pPr>
        <w:pStyle w:val="Heading2"/>
        <w:spacing w:line="360" w:lineRule="auto"/>
        <w:rPr>
          <w:rFonts w:ascii="Arial" w:hAnsi="Arial" w:cs="Arial"/>
        </w:rPr>
      </w:pPr>
      <w:bookmarkStart w:id="40" w:name="_Toc223348832"/>
      <w:r w:rsidRPr="0003652C">
        <w:rPr>
          <w:rFonts w:ascii="Arial" w:hAnsi="Arial" w:cs="Arial"/>
        </w:rPr>
        <w:t>Singular and regional</w:t>
      </w:r>
      <w:r w:rsidR="00642B50" w:rsidRPr="0003652C">
        <w:rPr>
          <w:rFonts w:ascii="Arial" w:hAnsi="Arial" w:cs="Arial"/>
        </w:rPr>
        <w:t xml:space="preserve"> discourses</w:t>
      </w:r>
      <w:bookmarkEnd w:id="40"/>
    </w:p>
    <w:p w14:paraId="20D2DFB8" w14:textId="457410E6" w:rsidR="002253DC" w:rsidRPr="0003652C" w:rsidRDefault="002253DC" w:rsidP="0003652C">
      <w:pPr>
        <w:spacing w:line="360" w:lineRule="auto"/>
        <w:jc w:val="both"/>
        <w:rPr>
          <w:rFonts w:cs="Arial"/>
          <w:color w:val="000000" w:themeColor="text1"/>
        </w:rPr>
      </w:pPr>
      <w:r w:rsidRPr="0003652C">
        <w:rPr>
          <w:rFonts w:cs="Arial"/>
          <w:color w:val="000000" w:themeColor="text1"/>
        </w:rPr>
        <w:t xml:space="preserve">Related to the above is Bernstein’s categorisation of approaches to disciplinary knowledge as singular or regional, with the former being a knowledge category that has strong boundaries, or classification, and is inward looking, the disciplinary examples he often cites are maths and physics, with ‘strong grammars’, ‘capable of relatively precise empirical descriptions’ (Bernstein, 2000. </w:t>
      </w:r>
      <w:r w:rsidR="009A26A6">
        <w:rPr>
          <w:rFonts w:cs="Arial"/>
          <w:color w:val="000000" w:themeColor="text1"/>
        </w:rPr>
        <w:t>p</w:t>
      </w:r>
      <w:r w:rsidR="003A2A9B">
        <w:rPr>
          <w:rFonts w:cs="Arial"/>
          <w:color w:val="000000" w:themeColor="text1"/>
        </w:rPr>
        <w:t>.</w:t>
      </w:r>
      <w:r w:rsidRPr="0003652C">
        <w:rPr>
          <w:rFonts w:cs="Arial"/>
          <w:color w:val="000000" w:themeColor="text1"/>
        </w:rPr>
        <w:t>163). The regional is more outward</w:t>
      </w:r>
      <w:r w:rsidR="00B35D0D">
        <w:rPr>
          <w:rFonts w:cs="Arial"/>
          <w:color w:val="000000" w:themeColor="text1"/>
        </w:rPr>
        <w:t>-</w:t>
      </w:r>
      <w:r w:rsidRPr="0003652C">
        <w:rPr>
          <w:rFonts w:cs="Arial"/>
          <w:color w:val="000000" w:themeColor="text1"/>
        </w:rPr>
        <w:t>looking and may represent relatively newer adapted disciplines, building on singular</w:t>
      </w:r>
      <w:r w:rsidR="003A2A9B">
        <w:rPr>
          <w:rFonts w:cs="Arial"/>
          <w:color w:val="000000" w:themeColor="text1"/>
        </w:rPr>
        <w:t xml:space="preserve"> disciplines</w:t>
      </w:r>
      <w:r w:rsidRPr="0003652C">
        <w:rPr>
          <w:rFonts w:cs="Arial"/>
          <w:color w:val="000000" w:themeColor="text1"/>
        </w:rPr>
        <w:t xml:space="preserve">, or considering professional or practice-based contexts. The regionals are perceived to have more fluid and permeable boundaries, or a weak grammar or classification, and therefore can be more changeable and open to interpretation. The examples usually given here are the social sciences, where ‘any one transmission necessarily entails some selection, and some privileging’ (Bernstein, 2000. </w:t>
      </w:r>
      <w:r w:rsidR="00B35D0D">
        <w:rPr>
          <w:rFonts w:cs="Arial"/>
          <w:color w:val="000000" w:themeColor="text1"/>
        </w:rPr>
        <w:t>p.</w:t>
      </w:r>
      <w:r w:rsidRPr="0003652C">
        <w:rPr>
          <w:rFonts w:cs="Arial"/>
          <w:color w:val="000000" w:themeColor="text1"/>
        </w:rPr>
        <w:t xml:space="preserve"> 164), and, as we will see later as relevant to legal education, this also encompasses the more professionally orientated disciplines of medicine and engineering. </w:t>
      </w:r>
    </w:p>
    <w:p w14:paraId="48CB6688" w14:textId="2BA455F3" w:rsidR="002253DC" w:rsidRPr="0005689B" w:rsidRDefault="002253DC" w:rsidP="00B35D0D">
      <w:pPr>
        <w:spacing w:line="360" w:lineRule="auto"/>
        <w:ind w:left="720"/>
        <w:jc w:val="both"/>
        <w:rPr>
          <w:rFonts w:cs="Arial"/>
          <w:color w:val="000000" w:themeColor="text1"/>
        </w:rPr>
      </w:pPr>
      <w:r w:rsidRPr="0003652C">
        <w:rPr>
          <w:rFonts w:cs="Arial"/>
          <w:color w:val="000000" w:themeColor="text1"/>
        </w:rPr>
        <w:t>Regions are the interface between the field of the production of knowledge and any field of practice</w:t>
      </w:r>
      <w:r w:rsidR="00B35D0D">
        <w:rPr>
          <w:rFonts w:cs="Arial"/>
          <w:color w:val="000000" w:themeColor="text1"/>
        </w:rPr>
        <w:t>,</w:t>
      </w:r>
      <w:r w:rsidRPr="0003652C">
        <w:rPr>
          <w:rFonts w:cs="Arial"/>
          <w:color w:val="000000" w:themeColor="text1"/>
        </w:rPr>
        <w:t xml:space="preserve"> and therefore, the regionalisation of knowledge has many implications (Bernstein, 2000. </w:t>
      </w:r>
      <w:r w:rsidR="00B35D0D">
        <w:rPr>
          <w:rFonts w:cs="Arial"/>
          <w:color w:val="000000" w:themeColor="text1"/>
        </w:rPr>
        <w:t>p.</w:t>
      </w:r>
      <w:r w:rsidRPr="0003652C">
        <w:rPr>
          <w:rFonts w:cs="Arial"/>
          <w:color w:val="000000" w:themeColor="text1"/>
        </w:rPr>
        <w:t>9).</w:t>
      </w:r>
    </w:p>
    <w:p w14:paraId="5019F100" w14:textId="183A8F62" w:rsidR="002253DC" w:rsidRPr="0003652C" w:rsidRDefault="002253DC" w:rsidP="0003652C">
      <w:pPr>
        <w:spacing w:line="360" w:lineRule="auto"/>
        <w:jc w:val="both"/>
        <w:rPr>
          <w:rFonts w:cs="Arial"/>
          <w:color w:val="000000" w:themeColor="text1"/>
        </w:rPr>
      </w:pPr>
      <w:r w:rsidRPr="0003652C">
        <w:rPr>
          <w:rFonts w:cs="Arial"/>
          <w:color w:val="000000" w:themeColor="text1"/>
        </w:rPr>
        <w:t>Bernstein is not the only theorist to consider the boundaries between, or categorisation of subject areas. Dur</w:t>
      </w:r>
      <w:r w:rsidR="007504B5" w:rsidRPr="0003652C">
        <w:rPr>
          <w:rFonts w:cs="Arial"/>
          <w:color w:val="000000" w:themeColor="text1"/>
        </w:rPr>
        <w:t>k</w:t>
      </w:r>
      <w:r w:rsidRPr="0003652C">
        <w:rPr>
          <w:rFonts w:cs="Arial"/>
          <w:color w:val="000000" w:themeColor="text1"/>
        </w:rPr>
        <w:t xml:space="preserve">heim has already been highlighted as an influence </w:t>
      </w:r>
      <w:r w:rsidR="00B35D0D">
        <w:rPr>
          <w:rFonts w:cs="Arial"/>
          <w:color w:val="000000" w:themeColor="text1"/>
        </w:rPr>
        <w:t>on</w:t>
      </w:r>
      <w:r w:rsidRPr="0003652C">
        <w:rPr>
          <w:rFonts w:cs="Arial"/>
          <w:color w:val="000000" w:themeColor="text1"/>
        </w:rPr>
        <w:t xml:space="preserve"> Bernstein. Becher adopts a discipline</w:t>
      </w:r>
      <w:r w:rsidR="00B35D0D">
        <w:rPr>
          <w:rFonts w:cs="Arial"/>
          <w:color w:val="000000" w:themeColor="text1"/>
        </w:rPr>
        <w:t>-</w:t>
      </w:r>
      <w:r w:rsidRPr="0003652C">
        <w:rPr>
          <w:rFonts w:cs="Arial"/>
          <w:color w:val="000000" w:themeColor="text1"/>
        </w:rPr>
        <w:t>centred approach, and with his cognitive disciplinary dimensions, law is presented as a soft-applied discipline with unclear boundaries, an unspecified theoretical structure</w:t>
      </w:r>
      <w:r w:rsidR="00B35D0D">
        <w:rPr>
          <w:rFonts w:cs="Arial"/>
          <w:color w:val="000000" w:themeColor="text1"/>
        </w:rPr>
        <w:t>,</w:t>
      </w:r>
      <w:r w:rsidRPr="0003652C">
        <w:rPr>
          <w:rFonts w:cs="Arial"/>
          <w:color w:val="000000" w:themeColor="text1"/>
        </w:rPr>
        <w:t xml:space="preserve"> and largely professionally regulated (Becher</w:t>
      </w:r>
      <w:r w:rsidR="00DC57B1" w:rsidRPr="0003652C">
        <w:rPr>
          <w:rFonts w:cs="Arial"/>
          <w:color w:val="000000" w:themeColor="text1"/>
        </w:rPr>
        <w:t xml:space="preserve"> &amp; Trowler</w:t>
      </w:r>
      <w:r w:rsidRPr="0003652C">
        <w:rPr>
          <w:rFonts w:cs="Arial"/>
          <w:color w:val="000000" w:themeColor="text1"/>
        </w:rPr>
        <w:t xml:space="preserve">, 2001).  The fluidity of a discipline is important, with disciplines being </w:t>
      </w:r>
    </w:p>
    <w:p w14:paraId="305F0308" w14:textId="62E94963" w:rsidR="002253DC" w:rsidRPr="0003652C" w:rsidRDefault="002253DC" w:rsidP="0005689B">
      <w:pPr>
        <w:spacing w:line="360" w:lineRule="auto"/>
        <w:ind w:left="720"/>
        <w:jc w:val="both"/>
        <w:rPr>
          <w:rFonts w:cs="Arial"/>
          <w:color w:val="000000" w:themeColor="text1"/>
        </w:rPr>
      </w:pPr>
      <w:r w:rsidRPr="0003652C">
        <w:rPr>
          <w:rFonts w:cs="Arial"/>
          <w:color w:val="000000" w:themeColor="text1"/>
        </w:rPr>
        <w:lastRenderedPageBreak/>
        <w:t xml:space="preserve">reservoirs of knowledge resources shaping regularised behavioural practices, sets of discourses, ways of thinking, procedures, emotional responses and motivations (Trowler et al, 2012. </w:t>
      </w:r>
      <w:r w:rsidR="0014423D">
        <w:rPr>
          <w:rFonts w:cs="Arial"/>
          <w:color w:val="000000" w:themeColor="text1"/>
        </w:rPr>
        <w:t>p.</w:t>
      </w:r>
      <w:r w:rsidRPr="0003652C">
        <w:rPr>
          <w:rFonts w:cs="Arial"/>
          <w:color w:val="000000" w:themeColor="text1"/>
        </w:rPr>
        <w:t>9)</w:t>
      </w:r>
    </w:p>
    <w:p w14:paraId="5E07F428" w14:textId="7A6961C8" w:rsidR="002253DC" w:rsidRPr="0005689B" w:rsidRDefault="002253DC" w:rsidP="0003652C">
      <w:pPr>
        <w:spacing w:line="360" w:lineRule="auto"/>
        <w:jc w:val="both"/>
        <w:rPr>
          <w:rFonts w:cs="Arial"/>
          <w:color w:val="FF0000"/>
        </w:rPr>
      </w:pPr>
      <w:r w:rsidRPr="0003652C">
        <w:rPr>
          <w:rFonts w:cs="Arial"/>
          <w:color w:val="000000" w:themeColor="text1"/>
        </w:rPr>
        <w:t xml:space="preserve">This echoes the nature of Bernstein’s regional classification, with the weaker and more permeable boundaries existing in those subjects that refer outward for their knowledge. </w:t>
      </w:r>
    </w:p>
    <w:p w14:paraId="722E941F" w14:textId="2AB14A16" w:rsidR="002253DC" w:rsidRPr="0003652C" w:rsidRDefault="002253DC" w:rsidP="0003652C">
      <w:pPr>
        <w:spacing w:line="360" w:lineRule="auto"/>
        <w:jc w:val="both"/>
        <w:rPr>
          <w:rFonts w:cs="Arial"/>
          <w:color w:val="000000" w:themeColor="text1"/>
        </w:rPr>
      </w:pPr>
      <w:r w:rsidRPr="0003652C">
        <w:rPr>
          <w:rFonts w:cs="Arial"/>
          <w:color w:val="000000" w:themeColor="text1"/>
        </w:rPr>
        <w:t>Bernstein argues that elite higher education institutions are driven by the research agenda and are more likely to be the site of singular introspective disciplines, whereas the non-elite institutions need to focus more on the market and recruiting students</w:t>
      </w:r>
      <w:r w:rsidR="0014423D">
        <w:rPr>
          <w:rFonts w:cs="Arial"/>
          <w:color w:val="000000" w:themeColor="text1"/>
        </w:rPr>
        <w:t>,</w:t>
      </w:r>
      <w:r w:rsidRPr="0003652C">
        <w:rPr>
          <w:rFonts w:cs="Arial"/>
          <w:color w:val="000000" w:themeColor="text1"/>
        </w:rPr>
        <w:t xml:space="preserve"> and so may adapt the knowledge to a more applied and externally looking regional field</w:t>
      </w:r>
      <w:r w:rsidR="0014423D">
        <w:rPr>
          <w:rFonts w:cs="Arial"/>
          <w:color w:val="000000" w:themeColor="text1"/>
        </w:rPr>
        <w:t>.</w:t>
      </w:r>
    </w:p>
    <w:p w14:paraId="7FF5512F" w14:textId="6E73EFC7" w:rsidR="002253DC" w:rsidRPr="0003652C" w:rsidRDefault="002253DC" w:rsidP="0003652C">
      <w:pPr>
        <w:spacing w:line="360" w:lineRule="auto"/>
        <w:ind w:left="720"/>
        <w:jc w:val="both"/>
        <w:rPr>
          <w:rFonts w:cs="Arial"/>
          <w:color w:val="000000" w:themeColor="text1"/>
        </w:rPr>
      </w:pPr>
      <w:r w:rsidRPr="0003652C">
        <w:rPr>
          <w:rFonts w:cs="Arial"/>
          <w:color w:val="000000" w:themeColor="text1"/>
        </w:rPr>
        <w:t>In these non-elite institutions, the unit of discourse is likely to be a unit which</w:t>
      </w:r>
      <w:r w:rsidR="0014423D">
        <w:rPr>
          <w:rFonts w:cs="Arial"/>
          <w:color w:val="000000" w:themeColor="text1"/>
        </w:rPr>
        <w:t>,</w:t>
      </w:r>
      <w:r w:rsidRPr="0003652C">
        <w:rPr>
          <w:rFonts w:cs="Arial"/>
          <w:color w:val="000000" w:themeColor="text1"/>
        </w:rPr>
        <w:t xml:space="preserve"> with other units</w:t>
      </w:r>
      <w:r w:rsidR="0014423D">
        <w:rPr>
          <w:rFonts w:cs="Arial"/>
          <w:color w:val="000000" w:themeColor="text1"/>
        </w:rPr>
        <w:t>,</w:t>
      </w:r>
      <w:r w:rsidRPr="0003652C">
        <w:rPr>
          <w:rFonts w:cs="Arial"/>
          <w:color w:val="000000" w:themeColor="text1"/>
        </w:rPr>
        <w:t xml:space="preserve"> can create varying packages according to the contingencies of local markets (Bernstein, 2000. </w:t>
      </w:r>
      <w:r w:rsidR="0014423D">
        <w:rPr>
          <w:rFonts w:cs="Arial"/>
          <w:color w:val="000000" w:themeColor="text1"/>
        </w:rPr>
        <w:t>p.</w:t>
      </w:r>
      <w:r w:rsidRPr="0003652C">
        <w:rPr>
          <w:rFonts w:cs="Arial"/>
          <w:color w:val="000000" w:themeColor="text1"/>
        </w:rPr>
        <w:t>70).</w:t>
      </w:r>
    </w:p>
    <w:p w14:paraId="013875E2" w14:textId="65A95644" w:rsidR="002253DC" w:rsidRPr="0003652C" w:rsidRDefault="002253DC" w:rsidP="0003652C">
      <w:pPr>
        <w:spacing w:line="360" w:lineRule="auto"/>
        <w:jc w:val="both"/>
        <w:rPr>
          <w:rFonts w:cs="Arial"/>
        </w:rPr>
      </w:pPr>
      <w:r w:rsidRPr="0003652C">
        <w:rPr>
          <w:rFonts w:cs="Arial"/>
          <w:color w:val="000000" w:themeColor="text1"/>
        </w:rPr>
        <w:t>These differences are seen to be key in a process that ha</w:t>
      </w:r>
      <w:r w:rsidR="0014423D">
        <w:rPr>
          <w:rFonts w:cs="Arial"/>
          <w:color w:val="000000" w:themeColor="text1"/>
        </w:rPr>
        <w:t>s</w:t>
      </w:r>
      <w:r w:rsidRPr="0003652C">
        <w:rPr>
          <w:rFonts w:cs="Arial"/>
          <w:color w:val="000000" w:themeColor="text1"/>
        </w:rPr>
        <w:t xml:space="preserve"> the potential to discriminate between students and their access to powerful knowledge. Some of these differences and how they are seen in different</w:t>
      </w:r>
      <w:r w:rsidR="001D765D">
        <w:rPr>
          <w:rFonts w:cs="Arial"/>
          <w:color w:val="000000" w:themeColor="text1"/>
        </w:rPr>
        <w:t xml:space="preserve"> types of institution</w:t>
      </w:r>
      <w:r w:rsidR="0014423D">
        <w:rPr>
          <w:rFonts w:cs="Arial"/>
          <w:color w:val="000000" w:themeColor="text1"/>
        </w:rPr>
        <w:t>s,</w:t>
      </w:r>
      <w:r w:rsidR="001D765D">
        <w:rPr>
          <w:rFonts w:cs="Arial"/>
          <w:color w:val="000000" w:themeColor="text1"/>
        </w:rPr>
        <w:t xml:space="preserve"> </w:t>
      </w:r>
      <w:r w:rsidRPr="0003652C">
        <w:rPr>
          <w:rFonts w:cs="Arial"/>
          <w:color w:val="000000" w:themeColor="text1"/>
        </w:rPr>
        <w:t>are recognised</w:t>
      </w:r>
      <w:r w:rsidR="0014423D">
        <w:rPr>
          <w:rFonts w:cs="Arial"/>
          <w:color w:val="000000" w:themeColor="text1"/>
        </w:rPr>
        <w:t>,</w:t>
      </w:r>
      <w:r w:rsidRPr="0003652C">
        <w:rPr>
          <w:rFonts w:cs="Arial"/>
          <w:color w:val="000000" w:themeColor="text1"/>
        </w:rPr>
        <w:t xml:space="preserve"> but others are not in later empirical research (Mc</w:t>
      </w:r>
      <w:r w:rsidR="00424F6F">
        <w:rPr>
          <w:rFonts w:cs="Arial"/>
          <w:color w:val="000000" w:themeColor="text1"/>
        </w:rPr>
        <w:t>L</w:t>
      </w:r>
      <w:r w:rsidRPr="0003652C">
        <w:rPr>
          <w:rFonts w:cs="Arial"/>
          <w:color w:val="000000" w:themeColor="text1"/>
        </w:rPr>
        <w:t>ean et al., 201</w:t>
      </w:r>
      <w:r w:rsidR="00765137" w:rsidRPr="0003652C">
        <w:rPr>
          <w:rFonts w:cs="Arial"/>
          <w:color w:val="000000" w:themeColor="text1"/>
        </w:rPr>
        <w:t>8</w:t>
      </w:r>
      <w:r w:rsidRPr="0003652C">
        <w:rPr>
          <w:rFonts w:cs="Arial"/>
          <w:color w:val="000000" w:themeColor="text1"/>
        </w:rPr>
        <w:t>). The analysis in this investigation adapts the categorisation of institutions to</w:t>
      </w:r>
      <w:r w:rsidR="001D765D">
        <w:rPr>
          <w:rFonts w:cs="Arial"/>
          <w:color w:val="000000" w:themeColor="text1"/>
        </w:rPr>
        <w:t xml:space="preserve"> that of law schools to enable the </w:t>
      </w:r>
      <w:r w:rsidRPr="0003652C">
        <w:rPr>
          <w:rFonts w:cs="Arial"/>
          <w:color w:val="000000" w:themeColor="text1"/>
        </w:rPr>
        <w:t>consider</w:t>
      </w:r>
      <w:r w:rsidR="001D765D">
        <w:rPr>
          <w:rFonts w:cs="Arial"/>
          <w:color w:val="000000" w:themeColor="text1"/>
        </w:rPr>
        <w:t>ation of</w:t>
      </w:r>
      <w:r w:rsidRPr="0003652C">
        <w:rPr>
          <w:rFonts w:cs="Arial"/>
          <w:color w:val="000000" w:themeColor="text1"/>
        </w:rPr>
        <w:t xml:space="preserve"> the different impact of the influences on course design.  This may then provide a foundation for later consideration of the students’ access to knowledge.  </w:t>
      </w:r>
    </w:p>
    <w:p w14:paraId="5D1F2224" w14:textId="47BF8973" w:rsidR="002253DC" w:rsidRPr="0003652C" w:rsidRDefault="008C07CE" w:rsidP="0003652C">
      <w:pPr>
        <w:spacing w:line="360" w:lineRule="auto"/>
        <w:jc w:val="both"/>
        <w:rPr>
          <w:rFonts w:cs="Arial"/>
          <w:color w:val="000000" w:themeColor="text1"/>
        </w:rPr>
      </w:pPr>
      <w:r>
        <w:rPr>
          <w:rFonts w:cs="Arial"/>
          <w:color w:val="000000" w:themeColor="text1"/>
        </w:rPr>
        <w:t>The</w:t>
      </w:r>
      <w:r w:rsidR="002253DC" w:rsidRPr="0003652C">
        <w:rPr>
          <w:rFonts w:cs="Arial"/>
          <w:color w:val="000000" w:themeColor="text1"/>
        </w:rPr>
        <w:t xml:space="preserve"> overarching conceptual or ‘powerful’ knowledge (Wheelahan, 2013; Young, 2008) that it is argued the students need access to, is central to questions about course design. It is not suggested anymore that this ‘powerful knowledge’ is only available from those singular disciplines. Regional disciplines may develop this conceptual knowledge producing </w:t>
      </w:r>
      <w:r w:rsidR="0014423D">
        <w:rPr>
          <w:rFonts w:cs="Arial"/>
          <w:color w:val="000000" w:themeColor="text1"/>
        </w:rPr>
        <w:t>their</w:t>
      </w:r>
      <w:r w:rsidR="002253DC" w:rsidRPr="0003652C">
        <w:rPr>
          <w:rFonts w:cs="Arial"/>
          <w:color w:val="000000" w:themeColor="text1"/>
        </w:rPr>
        <w:t xml:space="preserve"> own identity and therefore ‘legitimately be seen as constituting powerful knowledge’ (Clegg, 2016</w:t>
      </w:r>
      <w:r>
        <w:rPr>
          <w:rFonts w:cs="Arial"/>
          <w:color w:val="000000" w:themeColor="text1"/>
        </w:rPr>
        <w:t>.</w:t>
      </w:r>
      <w:r w:rsidR="0014423D">
        <w:rPr>
          <w:rFonts w:cs="Arial"/>
          <w:color w:val="000000" w:themeColor="text1"/>
        </w:rPr>
        <w:t xml:space="preserve"> p.</w:t>
      </w:r>
      <w:r w:rsidR="002253DC" w:rsidRPr="0003652C">
        <w:rPr>
          <w:rFonts w:cs="Arial"/>
          <w:color w:val="000000" w:themeColor="text1"/>
        </w:rPr>
        <w:t xml:space="preserve">458). Regional disciplines may also draw in knowledge from outside of the academy. Clegg </w:t>
      </w:r>
      <w:r w:rsidR="002253DC" w:rsidRPr="0003652C">
        <w:rPr>
          <w:rFonts w:cs="Arial"/>
          <w:color w:val="000000" w:themeColor="text1"/>
        </w:rPr>
        <w:lastRenderedPageBreak/>
        <w:t>argues that powerful knowledge will continue to be ‘a site of social contestation and struggle’</w:t>
      </w:r>
      <w:r w:rsidR="0014423D">
        <w:rPr>
          <w:rFonts w:cs="Arial"/>
          <w:color w:val="000000" w:themeColor="text1"/>
        </w:rPr>
        <w:t>,</w:t>
      </w:r>
      <w:r w:rsidR="002253DC" w:rsidRPr="0003652C">
        <w:rPr>
          <w:rFonts w:cs="Arial"/>
          <w:color w:val="000000" w:themeColor="text1"/>
        </w:rPr>
        <w:t xml:space="preserve"> justifying more research (Clegg, 2016. </w:t>
      </w:r>
      <w:r w:rsidR="0014423D">
        <w:rPr>
          <w:rFonts w:cs="Arial"/>
          <w:color w:val="000000" w:themeColor="text1"/>
        </w:rPr>
        <w:t>p.</w:t>
      </w:r>
      <w:r w:rsidR="002253DC" w:rsidRPr="0003652C">
        <w:rPr>
          <w:rFonts w:cs="Arial"/>
          <w:color w:val="000000" w:themeColor="text1"/>
        </w:rPr>
        <w:t>464).</w:t>
      </w:r>
    </w:p>
    <w:p w14:paraId="0E6DA06A" w14:textId="0DCC9584" w:rsidR="002253DC" w:rsidRPr="0003652C" w:rsidRDefault="002253DC" w:rsidP="0003652C">
      <w:pPr>
        <w:spacing w:line="360" w:lineRule="auto"/>
        <w:jc w:val="both"/>
        <w:rPr>
          <w:rFonts w:cs="Arial"/>
          <w:color w:val="000000" w:themeColor="text1"/>
        </w:rPr>
      </w:pPr>
      <w:r w:rsidRPr="0003652C">
        <w:rPr>
          <w:rFonts w:cs="Arial"/>
          <w:color w:val="000000" w:themeColor="text1"/>
        </w:rPr>
        <w:t>Regional disciplines do not</w:t>
      </w:r>
      <w:r w:rsidR="0014423D">
        <w:rPr>
          <w:rFonts w:cs="Arial"/>
          <w:color w:val="000000" w:themeColor="text1"/>
        </w:rPr>
        <w:t>,</w:t>
      </w:r>
      <w:r w:rsidRPr="0003652C">
        <w:rPr>
          <w:rFonts w:cs="Arial"/>
          <w:color w:val="000000" w:themeColor="text1"/>
        </w:rPr>
        <w:t xml:space="preserve"> therefore</w:t>
      </w:r>
      <w:r w:rsidR="0014423D">
        <w:rPr>
          <w:rFonts w:cs="Arial"/>
          <w:color w:val="000000" w:themeColor="text1"/>
        </w:rPr>
        <w:t>,</w:t>
      </w:r>
      <w:r w:rsidRPr="0003652C">
        <w:rPr>
          <w:rFonts w:cs="Arial"/>
          <w:color w:val="000000" w:themeColor="text1"/>
        </w:rPr>
        <w:t xml:space="preserve"> necessarily exclude the possibility of access to ‘powerful knowledge’ (Clegg, 2016). However, Bernstein introduces a further category of discipline or knowledge, having focused on performance and competency-based models of education, that might be useful here</w:t>
      </w:r>
      <w:r w:rsidR="0014423D">
        <w:rPr>
          <w:rFonts w:cs="Arial"/>
          <w:color w:val="000000" w:themeColor="text1"/>
        </w:rPr>
        <w:t>,</w:t>
      </w:r>
      <w:r w:rsidRPr="0003652C">
        <w:rPr>
          <w:rFonts w:cs="Arial"/>
          <w:color w:val="000000" w:themeColor="text1"/>
        </w:rPr>
        <w:t xml:space="preserve"> being that of vocationalisation of knowledge, or the concept of trainability. The assumption in relation to the ‘vocationalisation’ of the curriculum is that it is unlikely that vocational learning provides access to the esoteric or unthinkable, as it is anchored in the mundane or thinkable. Bernstein sees this in the context of ‘training’ categories of education (Bernstein, 2000. </w:t>
      </w:r>
      <w:r w:rsidR="0014423D">
        <w:rPr>
          <w:rFonts w:cs="Arial"/>
          <w:color w:val="000000" w:themeColor="text1"/>
        </w:rPr>
        <w:t>p.</w:t>
      </w:r>
      <w:r w:rsidRPr="0003652C">
        <w:rPr>
          <w:rFonts w:cs="Arial"/>
          <w:color w:val="000000" w:themeColor="text1"/>
        </w:rPr>
        <w:t>59). This type of curriculum is seen to be almost entirely practical and focused on testing competence in a given task. Wheelahan and others have investigated vocational programmes and consider whether there is still a presence of powerful knowledge in different contexts (Wheelahan, 2013; Shay &amp; Steyn, 2016; Annala, 2022). This becomes particularly interesting in the context of the findings of this investigation</w:t>
      </w:r>
      <w:r w:rsidR="0014423D">
        <w:rPr>
          <w:rFonts w:cs="Arial"/>
          <w:color w:val="000000" w:themeColor="text1"/>
        </w:rPr>
        <w:t>,</w:t>
      </w:r>
      <w:r w:rsidRPr="0003652C">
        <w:rPr>
          <w:rFonts w:cs="Arial"/>
          <w:color w:val="000000" w:themeColor="text1"/>
        </w:rPr>
        <w:t xml:space="preserve"> as legal education engages with vocational knowledge</w:t>
      </w:r>
      <w:r w:rsidR="0014423D">
        <w:rPr>
          <w:rFonts w:cs="Arial"/>
          <w:color w:val="000000" w:themeColor="text1"/>
        </w:rPr>
        <w:t>,</w:t>
      </w:r>
      <w:r w:rsidRPr="0003652C">
        <w:rPr>
          <w:rFonts w:cs="Arial"/>
          <w:color w:val="000000" w:themeColor="text1"/>
        </w:rPr>
        <w:t xml:space="preserve"> as discussed in section 3.2.1.  </w:t>
      </w:r>
    </w:p>
    <w:p w14:paraId="15492478" w14:textId="51B4464E" w:rsidR="002253DC" w:rsidRPr="0003652C" w:rsidRDefault="002253DC" w:rsidP="0003652C">
      <w:pPr>
        <w:spacing w:line="360" w:lineRule="auto"/>
        <w:jc w:val="both"/>
        <w:rPr>
          <w:rFonts w:cs="Arial"/>
          <w:color w:val="000000" w:themeColor="text1"/>
        </w:rPr>
      </w:pPr>
      <w:r w:rsidRPr="0003652C">
        <w:rPr>
          <w:rFonts w:cs="Arial"/>
          <w:color w:val="000000" w:themeColor="text1"/>
        </w:rPr>
        <w:t>In line with the above and in perhaps more practical terms, the neoliberal agenda in higher education has also led to a more general shift to an applied education (Wheelahan, 2007), as reflected in OECD priorities (OECD, 2019), and reflected in legal education as the shift from theoretical learning of the knowing</w:t>
      </w:r>
      <w:r w:rsidRPr="0003652C">
        <w:rPr>
          <w:rFonts w:cs="Arial"/>
          <w:i/>
          <w:iCs/>
          <w:color w:val="000000" w:themeColor="text1"/>
        </w:rPr>
        <w:t xml:space="preserve"> what</w:t>
      </w:r>
      <w:r w:rsidRPr="0003652C">
        <w:rPr>
          <w:rFonts w:cs="Arial"/>
          <w:color w:val="000000" w:themeColor="text1"/>
        </w:rPr>
        <w:t xml:space="preserve">, to the applied learning and knowing </w:t>
      </w:r>
      <w:r w:rsidRPr="0003652C">
        <w:rPr>
          <w:rFonts w:cs="Arial"/>
          <w:i/>
          <w:iCs/>
          <w:color w:val="000000" w:themeColor="text1"/>
        </w:rPr>
        <w:t xml:space="preserve">how </w:t>
      </w:r>
      <w:r w:rsidRPr="0003652C">
        <w:rPr>
          <w:rFonts w:cs="Arial"/>
          <w:color w:val="000000" w:themeColor="text1"/>
        </w:rPr>
        <w:t xml:space="preserve">(Thornton, 2007; 2022), often called for by employers with the aim to increase the ‘foucaultian human capital’ of ‘the pool of skilled job-ready’ students (Thornton, 2022. </w:t>
      </w:r>
      <w:r w:rsidR="009A26A6">
        <w:rPr>
          <w:rFonts w:cs="Arial"/>
          <w:color w:val="000000" w:themeColor="text1"/>
        </w:rPr>
        <w:t>p.</w:t>
      </w:r>
      <w:r w:rsidRPr="0003652C">
        <w:rPr>
          <w:rFonts w:cs="Arial"/>
          <w:color w:val="000000" w:themeColor="text1"/>
        </w:rPr>
        <w:t xml:space="preserve"> 233). </w:t>
      </w:r>
    </w:p>
    <w:p w14:paraId="3208D474" w14:textId="5FA407F5" w:rsidR="002253DC" w:rsidRPr="0003652C" w:rsidRDefault="002253DC" w:rsidP="0003652C">
      <w:pPr>
        <w:spacing w:line="360" w:lineRule="auto"/>
        <w:jc w:val="both"/>
        <w:rPr>
          <w:rFonts w:cs="Arial"/>
          <w:color w:val="000000" w:themeColor="text1"/>
        </w:rPr>
      </w:pPr>
      <w:r w:rsidRPr="0003652C">
        <w:rPr>
          <w:rFonts w:cs="Arial"/>
          <w:color w:val="000000" w:themeColor="text1"/>
        </w:rPr>
        <w:t>How a discipline adapts to change is central to this investigation</w:t>
      </w:r>
      <w:r w:rsidR="0014423D">
        <w:rPr>
          <w:rFonts w:cs="Arial"/>
          <w:color w:val="000000" w:themeColor="text1"/>
        </w:rPr>
        <w:t>,</w:t>
      </w:r>
      <w:r w:rsidRPr="0003652C">
        <w:rPr>
          <w:rFonts w:cs="Arial"/>
          <w:color w:val="000000" w:themeColor="text1"/>
        </w:rPr>
        <w:t xml:space="preserve"> as we will see later in section 3.2.1</w:t>
      </w:r>
    </w:p>
    <w:p w14:paraId="17CB3D36" w14:textId="0C81D458" w:rsidR="002253DC" w:rsidRPr="0003652C" w:rsidRDefault="002253DC" w:rsidP="0014423D">
      <w:pPr>
        <w:spacing w:line="360" w:lineRule="auto"/>
        <w:ind w:left="720"/>
        <w:jc w:val="both"/>
        <w:rPr>
          <w:rFonts w:cs="Arial"/>
          <w:color w:val="000000" w:themeColor="text1"/>
        </w:rPr>
      </w:pPr>
      <w:r w:rsidRPr="0003652C">
        <w:rPr>
          <w:rFonts w:cs="Arial"/>
          <w:color w:val="000000" w:themeColor="text1"/>
        </w:rPr>
        <w:t xml:space="preserve">Every time a discourse moves, there is space for ideology to play. New power relations develop between regions and singulars as they compete for resources and influence (Bernstein, 2000. </w:t>
      </w:r>
      <w:r w:rsidR="0014423D">
        <w:rPr>
          <w:rFonts w:cs="Arial"/>
          <w:color w:val="000000" w:themeColor="text1"/>
        </w:rPr>
        <w:t>p.</w:t>
      </w:r>
      <w:r w:rsidRPr="0003652C">
        <w:rPr>
          <w:rFonts w:cs="Arial"/>
          <w:color w:val="000000" w:themeColor="text1"/>
        </w:rPr>
        <w:t>9).</w:t>
      </w:r>
    </w:p>
    <w:p w14:paraId="6854D8D6" w14:textId="26D34956" w:rsidR="002253DC" w:rsidRPr="0005689B" w:rsidRDefault="002253DC" w:rsidP="0005689B">
      <w:pPr>
        <w:spacing w:line="360" w:lineRule="auto"/>
        <w:jc w:val="both"/>
        <w:rPr>
          <w:rFonts w:cs="Arial"/>
          <w:color w:val="000000" w:themeColor="text1"/>
        </w:rPr>
      </w:pPr>
      <w:r w:rsidRPr="0003652C">
        <w:rPr>
          <w:rFonts w:cs="Arial"/>
          <w:color w:val="000000" w:themeColor="text1"/>
        </w:rPr>
        <w:lastRenderedPageBreak/>
        <w:t xml:space="preserve">I return to these questions when we consider the nature of law as a discipline in section 3.2.1. and what legal knowledge is selected for the curriculum, and how that is presented in the findings chapters within the context of Bernstein’s pedagogic device. </w:t>
      </w:r>
    </w:p>
    <w:p w14:paraId="5D96E3D7" w14:textId="1863AE0B" w:rsidR="002253DC" w:rsidRPr="0005689B" w:rsidRDefault="002253DC" w:rsidP="0003652C">
      <w:pPr>
        <w:pStyle w:val="Heading2"/>
        <w:spacing w:line="360" w:lineRule="auto"/>
        <w:rPr>
          <w:rFonts w:ascii="Arial" w:hAnsi="Arial" w:cs="Arial"/>
        </w:rPr>
      </w:pPr>
      <w:bookmarkStart w:id="41" w:name="_Toc223348833"/>
      <w:r w:rsidRPr="0003652C">
        <w:rPr>
          <w:rFonts w:ascii="Arial" w:hAnsi="Arial" w:cs="Arial"/>
        </w:rPr>
        <w:t>Concluding comments</w:t>
      </w:r>
      <w:bookmarkEnd w:id="41"/>
    </w:p>
    <w:p w14:paraId="00AF92C4" w14:textId="4481EF87" w:rsidR="002253DC" w:rsidRPr="0003652C" w:rsidRDefault="002253DC" w:rsidP="0003652C">
      <w:pPr>
        <w:spacing w:line="360" w:lineRule="auto"/>
        <w:jc w:val="both"/>
        <w:rPr>
          <w:rFonts w:cs="Arial"/>
        </w:rPr>
      </w:pPr>
      <w:r w:rsidRPr="0003652C">
        <w:rPr>
          <w:rFonts w:cs="Arial"/>
        </w:rPr>
        <w:t>Presented here are different ways in which we can interrogate a</w:t>
      </w:r>
      <w:r w:rsidR="002A269E">
        <w:rPr>
          <w:rFonts w:cs="Arial"/>
        </w:rPr>
        <w:t xml:space="preserve"> course of study</w:t>
      </w:r>
      <w:r w:rsidRPr="0003652C">
        <w:rPr>
          <w:rFonts w:cs="Arial"/>
        </w:rPr>
        <w:t xml:space="preserve">, considering the transformation and presentation of knowledge and thereby considering how this might impact students’ learning. We can do this by investigating hierarchical and horizontal knowledge structures impacting the discipline and access to powerful knowledge.  How knowledge is organised within a programme, and how relational areas of study </w:t>
      </w:r>
      <w:r w:rsidR="0014423D">
        <w:rPr>
          <w:rFonts w:cs="Arial"/>
        </w:rPr>
        <w:t>relate</w:t>
      </w:r>
      <w:r w:rsidRPr="0003652C">
        <w:rPr>
          <w:rFonts w:cs="Arial"/>
        </w:rPr>
        <w:t xml:space="preserve"> to each other</w:t>
      </w:r>
      <w:r w:rsidR="0014423D">
        <w:rPr>
          <w:rFonts w:cs="Arial"/>
        </w:rPr>
        <w:t>,</w:t>
      </w:r>
      <w:r w:rsidRPr="0003652C">
        <w:rPr>
          <w:rFonts w:cs="Arial"/>
        </w:rPr>
        <w:t xml:space="preserve"> is also worthy of investigation. </w:t>
      </w:r>
    </w:p>
    <w:p w14:paraId="6A9E0CA4" w14:textId="77777777" w:rsidR="002253DC" w:rsidRPr="0003652C" w:rsidRDefault="002253DC" w:rsidP="0003652C">
      <w:pPr>
        <w:spacing w:line="360" w:lineRule="auto"/>
        <w:jc w:val="both"/>
        <w:rPr>
          <w:rFonts w:cs="Arial"/>
          <w:color w:val="000000" w:themeColor="text1"/>
        </w:rPr>
      </w:pPr>
      <w:r w:rsidRPr="0003652C">
        <w:rPr>
          <w:rFonts w:cs="Arial"/>
          <w:color w:val="000000" w:themeColor="text1"/>
        </w:rPr>
        <w:t>In line with this investigation and others, Clegg argues that,</w:t>
      </w:r>
    </w:p>
    <w:p w14:paraId="4C57EC8F" w14:textId="4ECF534C" w:rsidR="002253DC" w:rsidRPr="0003652C" w:rsidRDefault="002253DC" w:rsidP="0003652C">
      <w:pPr>
        <w:spacing w:line="360" w:lineRule="auto"/>
        <w:ind w:left="720"/>
        <w:jc w:val="both"/>
        <w:rPr>
          <w:rFonts w:cs="Arial"/>
          <w:color w:val="000000" w:themeColor="text1"/>
        </w:rPr>
      </w:pPr>
      <w:r w:rsidRPr="0003652C">
        <w:rPr>
          <w:rFonts w:cs="Arial"/>
          <w:color w:val="000000" w:themeColor="text1"/>
        </w:rPr>
        <w:t xml:space="preserve"> If we are to make epistemic access a reality, we clearly need more studies which look at the relationships between newer curricula, powerful knowledge, and what students at both more and less prestigious institutions are being offered (Clegg, 2016. </w:t>
      </w:r>
      <w:r w:rsidR="009A26A6">
        <w:rPr>
          <w:rFonts w:cs="Arial"/>
          <w:color w:val="000000" w:themeColor="text1"/>
        </w:rPr>
        <w:t>p.</w:t>
      </w:r>
      <w:r w:rsidRPr="0003652C">
        <w:rPr>
          <w:rFonts w:cs="Arial"/>
          <w:color w:val="000000" w:themeColor="text1"/>
        </w:rPr>
        <w:t>469)</w:t>
      </w:r>
    </w:p>
    <w:p w14:paraId="6AF6213B" w14:textId="02BB5A43" w:rsidR="00ED5CC2" w:rsidRPr="0003652C" w:rsidRDefault="002253DC" w:rsidP="0003652C">
      <w:pPr>
        <w:spacing w:line="360" w:lineRule="auto"/>
        <w:jc w:val="both"/>
        <w:rPr>
          <w:rFonts w:cs="Arial"/>
          <w:color w:val="000000" w:themeColor="text1"/>
        </w:rPr>
      </w:pPr>
      <w:r w:rsidRPr="0003652C">
        <w:rPr>
          <w:rFonts w:cs="Arial"/>
          <w:color w:val="000000" w:themeColor="text1"/>
        </w:rPr>
        <w:t xml:space="preserve">This investigation considers the nature of law as a discipline, what influences are at play when the disciplinary knowledge is recontextualised into the curriculum, and whether it is possible to establish any real difference between the way in which this operates in different </w:t>
      </w:r>
      <w:r w:rsidR="001D765D">
        <w:rPr>
          <w:rFonts w:cs="Arial"/>
          <w:color w:val="000000" w:themeColor="text1"/>
        </w:rPr>
        <w:t>law school</w:t>
      </w:r>
      <w:r w:rsidRPr="0003652C">
        <w:rPr>
          <w:rFonts w:cs="Arial"/>
          <w:color w:val="000000" w:themeColor="text1"/>
        </w:rPr>
        <w:t>s. In the following section</w:t>
      </w:r>
      <w:r w:rsidR="0014423D">
        <w:rPr>
          <w:rFonts w:cs="Arial"/>
          <w:color w:val="000000" w:themeColor="text1"/>
        </w:rPr>
        <w:t>,</w:t>
      </w:r>
      <w:r w:rsidRPr="0003652C">
        <w:rPr>
          <w:rFonts w:cs="Arial"/>
          <w:color w:val="000000" w:themeColor="text1"/>
        </w:rPr>
        <w:t xml:space="preserve"> I use Bernstein’s pedagogic device to contextualise law within these codes and provide the conceptual context for my investigation.  </w:t>
      </w:r>
    </w:p>
    <w:p w14:paraId="33D2D60B" w14:textId="2E87B474" w:rsidR="00ED5CC2" w:rsidRPr="0003652C" w:rsidRDefault="00ED5CC2" w:rsidP="0003652C">
      <w:pPr>
        <w:pStyle w:val="Heading2"/>
        <w:spacing w:before="100" w:after="100" w:afterAutospacing="1" w:line="360" w:lineRule="auto"/>
        <w:rPr>
          <w:rFonts w:ascii="Arial" w:hAnsi="Arial" w:cs="Arial"/>
        </w:rPr>
      </w:pPr>
      <w:bookmarkStart w:id="42" w:name="_Toc223348834"/>
      <w:r w:rsidRPr="0003652C">
        <w:rPr>
          <w:rFonts w:ascii="Arial" w:hAnsi="Arial" w:cs="Arial"/>
        </w:rPr>
        <w:t>The Pedagogic Device</w:t>
      </w:r>
      <w:bookmarkEnd w:id="42"/>
    </w:p>
    <w:p w14:paraId="61AF40ED" w14:textId="6726D1A3" w:rsidR="00C622FE" w:rsidRDefault="007E5C6B" w:rsidP="00C622FE">
      <w:pPr>
        <w:spacing w:line="360" w:lineRule="auto"/>
        <w:jc w:val="both"/>
        <w:rPr>
          <w:rFonts w:cs="Arial"/>
          <w:color w:val="F79646" w:themeColor="accent6"/>
        </w:rPr>
      </w:pPr>
      <w:r w:rsidRPr="0003652C">
        <w:rPr>
          <w:rFonts w:cs="Arial"/>
          <w:color w:val="000000" w:themeColor="text1"/>
        </w:rPr>
        <w:t>Bernstein’s pedagogic device was developed and emerged from successive empirical work (Bernstein, 1990</w:t>
      </w:r>
      <w:r w:rsidR="0014423D">
        <w:rPr>
          <w:rFonts w:cs="Arial"/>
          <w:color w:val="000000" w:themeColor="text1"/>
        </w:rPr>
        <w:t>,</w:t>
      </w:r>
      <w:r w:rsidRPr="0003652C">
        <w:rPr>
          <w:rFonts w:cs="Arial"/>
          <w:color w:val="000000" w:themeColor="text1"/>
        </w:rPr>
        <w:t xml:space="preserve"> 199</w:t>
      </w:r>
      <w:r w:rsidR="0014423D">
        <w:rPr>
          <w:rFonts w:cs="Arial"/>
          <w:color w:val="000000" w:themeColor="text1"/>
        </w:rPr>
        <w:t>6,</w:t>
      </w:r>
      <w:r w:rsidRPr="0003652C">
        <w:rPr>
          <w:rFonts w:cs="Arial"/>
          <w:color w:val="000000" w:themeColor="text1"/>
        </w:rPr>
        <w:t xml:space="preserve"> 2000). The device presents the relationship of a set of rules that explain how knowledge is transformed from disciplinary knowledge to that delivered and received ultimately in the classroom. </w:t>
      </w:r>
      <w:r w:rsidRPr="0003652C">
        <w:rPr>
          <w:rFonts w:cs="Arial"/>
          <w:color w:val="000000" w:themeColor="text1"/>
        </w:rPr>
        <w:lastRenderedPageBreak/>
        <w:t xml:space="preserve">It describes the principles present in the relay or the process of pedagogising knowledge, and so how knowledge becomes pedagogic communication, and the rules that regulate this pedagogic communication. The device provides the ‘intrinsic grammar of pedagogic discourse’ and is not neutral (Bernstein, 2000, </w:t>
      </w:r>
      <w:r w:rsidR="0014423D">
        <w:rPr>
          <w:rFonts w:cs="Arial"/>
          <w:color w:val="000000" w:themeColor="text1"/>
        </w:rPr>
        <w:t>p.</w:t>
      </w:r>
      <w:r w:rsidRPr="0003652C">
        <w:rPr>
          <w:rFonts w:cs="Arial"/>
          <w:color w:val="000000" w:themeColor="text1"/>
        </w:rPr>
        <w:t>28).</w:t>
      </w:r>
      <w:r w:rsidRPr="0003652C">
        <w:rPr>
          <w:rFonts w:cs="Arial"/>
          <w:color w:val="E36C0A" w:themeColor="accent6" w:themeShade="BF"/>
        </w:rPr>
        <w:t xml:space="preserve"> </w:t>
      </w:r>
      <w:r w:rsidRPr="0003652C">
        <w:rPr>
          <w:rFonts w:cs="Arial"/>
          <w:color w:val="000000" w:themeColor="text1"/>
        </w:rPr>
        <w:t>As such</w:t>
      </w:r>
      <w:r w:rsidR="0014423D">
        <w:rPr>
          <w:rFonts w:cs="Arial"/>
          <w:color w:val="000000" w:themeColor="text1"/>
        </w:rPr>
        <w:t>,</w:t>
      </w:r>
      <w:r w:rsidRPr="0003652C">
        <w:rPr>
          <w:rFonts w:cs="Arial"/>
          <w:color w:val="000000" w:themeColor="text1"/>
        </w:rPr>
        <w:t xml:space="preserve"> the theory provides researchers with explicit criteria or rules to </w:t>
      </w:r>
      <w:r w:rsidRPr="0003652C">
        <w:rPr>
          <w:rFonts w:cs="Arial"/>
        </w:rPr>
        <w:t>describe ‘the macro and micro structuring of knowledge, and in particular the generative relations of power and control constituting knowledge’ (</w:t>
      </w:r>
      <w:r w:rsidRPr="0003652C">
        <w:rPr>
          <w:rFonts w:cs="Arial"/>
          <w:color w:val="000000" w:themeColor="text1"/>
        </w:rPr>
        <w:t xml:space="preserve">Singh, 2002. </w:t>
      </w:r>
      <w:r w:rsidR="0014423D">
        <w:rPr>
          <w:rFonts w:cs="Arial"/>
          <w:color w:val="000000" w:themeColor="text1"/>
        </w:rPr>
        <w:t>p.</w:t>
      </w:r>
      <w:r w:rsidRPr="0003652C">
        <w:rPr>
          <w:rFonts w:cs="Arial"/>
          <w:color w:val="000000" w:themeColor="text1"/>
        </w:rPr>
        <w:t xml:space="preserve">571). It provides a means to consider how knowledge transforms from principles of practice to ‘virtual practice’ or transforms to that </w:t>
      </w:r>
      <w:r w:rsidR="0014423D">
        <w:rPr>
          <w:rFonts w:cs="Arial"/>
          <w:color w:val="000000" w:themeColor="text1"/>
        </w:rPr>
        <w:t>which</w:t>
      </w:r>
      <w:r w:rsidRPr="0003652C">
        <w:rPr>
          <w:rFonts w:cs="Arial"/>
          <w:color w:val="000000" w:themeColor="text1"/>
        </w:rPr>
        <w:t xml:space="preserve"> is useful in the classroom, presenting the transformation as one of distribution, recontextuali</w:t>
      </w:r>
      <w:r w:rsidR="0003652C" w:rsidRPr="0003652C">
        <w:rPr>
          <w:rFonts w:cs="Arial"/>
          <w:color w:val="000000" w:themeColor="text1"/>
        </w:rPr>
        <w:t>s</w:t>
      </w:r>
      <w:r w:rsidRPr="0003652C">
        <w:rPr>
          <w:rFonts w:cs="Arial"/>
          <w:color w:val="000000" w:themeColor="text1"/>
        </w:rPr>
        <w:t>ation and evaluation (Bernstein, 200</w:t>
      </w:r>
      <w:r w:rsidR="00AC1557">
        <w:rPr>
          <w:rFonts w:cs="Arial"/>
          <w:color w:val="000000" w:themeColor="text1"/>
        </w:rPr>
        <w:t>0</w:t>
      </w:r>
      <w:r w:rsidRPr="0003652C">
        <w:rPr>
          <w:rFonts w:cs="Arial"/>
          <w:color w:val="000000" w:themeColor="text1"/>
        </w:rPr>
        <w:t>).</w:t>
      </w:r>
    </w:p>
    <w:p w14:paraId="29D0FA11" w14:textId="3ED12689" w:rsidR="007E5C6B" w:rsidRPr="0003652C" w:rsidRDefault="007E5C6B" w:rsidP="0003652C">
      <w:pPr>
        <w:spacing w:line="360" w:lineRule="auto"/>
        <w:jc w:val="both"/>
        <w:rPr>
          <w:rFonts w:cs="Arial"/>
          <w:color w:val="000000" w:themeColor="text1"/>
        </w:rPr>
      </w:pPr>
      <w:r w:rsidRPr="0003652C">
        <w:rPr>
          <w:rFonts w:cs="Arial"/>
          <w:color w:val="000000" w:themeColor="text1"/>
        </w:rPr>
        <w:t xml:space="preserve">I utilise the pedagogic device in this investigation to focus specifically on the process of transformation from disciplinary knowledge (the point of </w:t>
      </w:r>
      <w:r w:rsidR="00E77F9B">
        <w:rPr>
          <w:rFonts w:cs="Arial"/>
          <w:color w:val="000000" w:themeColor="text1"/>
        </w:rPr>
        <w:t>distribution</w:t>
      </w:r>
      <w:r w:rsidRPr="0003652C">
        <w:rPr>
          <w:rFonts w:cs="Arial"/>
          <w:color w:val="000000" w:themeColor="text1"/>
        </w:rPr>
        <w:t>) to the curriculum using the process of recontextualisation. I am interested in the influences that play a part in the process of transformation here as knowledge becomes pedagogised, acknowledging that there are many factors at play (Ashwin, 2009). Here</w:t>
      </w:r>
      <w:r w:rsidR="0014423D">
        <w:rPr>
          <w:rFonts w:cs="Arial"/>
          <w:color w:val="000000" w:themeColor="text1"/>
        </w:rPr>
        <w:t>,</w:t>
      </w:r>
      <w:r w:rsidRPr="0003652C">
        <w:rPr>
          <w:rFonts w:cs="Arial"/>
          <w:color w:val="000000" w:themeColor="text1"/>
        </w:rPr>
        <w:t xml:space="preserve"> I place legal education in the context of this discussion and then consider what these influences or factors are and how they might impact on the transformation of knowledge at the key point of c</w:t>
      </w:r>
      <w:r w:rsidR="002A269E">
        <w:rPr>
          <w:rFonts w:cs="Arial"/>
          <w:color w:val="000000" w:themeColor="text1"/>
        </w:rPr>
        <w:t>ourse</w:t>
      </w:r>
      <w:r w:rsidRPr="0003652C">
        <w:rPr>
          <w:rFonts w:cs="Arial"/>
          <w:color w:val="000000" w:themeColor="text1"/>
        </w:rPr>
        <w:t xml:space="preserve"> design.  The transformation of knowledge and the potential sites of struggle are considered within this framework </w:t>
      </w:r>
      <w:r w:rsidR="00AC1CBE">
        <w:rPr>
          <w:rFonts w:cs="Arial"/>
          <w:color w:val="000000" w:themeColor="text1"/>
        </w:rPr>
        <w:t>explaining</w:t>
      </w:r>
      <w:r w:rsidRPr="0003652C">
        <w:rPr>
          <w:rFonts w:cs="Arial"/>
          <w:color w:val="000000" w:themeColor="text1"/>
        </w:rPr>
        <w:t xml:space="preserve"> where the investigation sits and how it relates to wider research.  </w:t>
      </w:r>
    </w:p>
    <w:p w14:paraId="060BA701" w14:textId="0037221D" w:rsidR="00C622FE" w:rsidRDefault="00455E45" w:rsidP="0003652C">
      <w:pPr>
        <w:spacing w:line="360" w:lineRule="auto"/>
        <w:jc w:val="both"/>
        <w:rPr>
          <w:rFonts w:cs="Arial"/>
          <w:color w:val="000000" w:themeColor="text1"/>
          <w:szCs w:val="24"/>
        </w:rPr>
      </w:pPr>
      <w:r w:rsidRPr="0003652C">
        <w:rPr>
          <w:rFonts w:cs="Arial"/>
          <w:color w:val="000000" w:themeColor="text1"/>
        </w:rPr>
        <w:t>A brief historical overview of the literature will establish how the codes and the distributive rules within Bernstein’s pedagogic device classify legal knowledge and how that classification impact</w:t>
      </w:r>
      <w:r w:rsidR="00AC1CBE">
        <w:rPr>
          <w:rFonts w:cs="Arial"/>
          <w:color w:val="000000" w:themeColor="text1"/>
        </w:rPr>
        <w:t>s</w:t>
      </w:r>
      <w:r w:rsidRPr="0003652C">
        <w:rPr>
          <w:rFonts w:cs="Arial"/>
          <w:color w:val="000000" w:themeColor="text1"/>
        </w:rPr>
        <w:t xml:space="preserve"> the recontextualization of the legal curriculum. I then turn to the data collected from the interviews with the course </w:t>
      </w:r>
      <w:r w:rsidRPr="0003652C">
        <w:rPr>
          <w:rFonts w:cs="Arial"/>
          <w:color w:val="000000" w:themeColor="text1"/>
          <w:szCs w:val="24"/>
        </w:rPr>
        <w:t>designers and provide an analysis of the research questions,</w:t>
      </w:r>
    </w:p>
    <w:p w14:paraId="37C1A5D5" w14:textId="77777777" w:rsidR="00C622FE" w:rsidRPr="0003652C" w:rsidRDefault="00C622FE" w:rsidP="00C622FE">
      <w:pPr>
        <w:pStyle w:val="ListParagraph"/>
        <w:numPr>
          <w:ilvl w:val="0"/>
          <w:numId w:val="15"/>
        </w:numPr>
        <w:spacing w:line="360" w:lineRule="auto"/>
        <w:jc w:val="both"/>
        <w:rPr>
          <w:rFonts w:ascii="Arial" w:hAnsi="Arial" w:cs="Arial"/>
          <w:color w:val="000000" w:themeColor="text1"/>
          <w:sz w:val="24"/>
          <w:szCs w:val="24"/>
        </w:rPr>
      </w:pPr>
      <w:r w:rsidRPr="0003652C">
        <w:rPr>
          <w:rFonts w:ascii="Arial" w:hAnsi="Arial" w:cs="Arial"/>
          <w:color w:val="000000" w:themeColor="text1"/>
          <w:sz w:val="24"/>
          <w:szCs w:val="24"/>
        </w:rPr>
        <w:t>What influences are apparent in undergraduate law course design?</w:t>
      </w:r>
    </w:p>
    <w:p w14:paraId="7EE84C2A" w14:textId="2952B7CF" w:rsidR="00C622FE" w:rsidRPr="00C622FE" w:rsidRDefault="00C622FE" w:rsidP="0003652C">
      <w:pPr>
        <w:pStyle w:val="ListParagraph"/>
        <w:numPr>
          <w:ilvl w:val="0"/>
          <w:numId w:val="15"/>
        </w:numPr>
        <w:spacing w:line="360" w:lineRule="auto"/>
        <w:jc w:val="both"/>
        <w:rPr>
          <w:rFonts w:ascii="Arial" w:hAnsi="Arial" w:cs="Arial"/>
          <w:color w:val="000000" w:themeColor="text1"/>
          <w:sz w:val="24"/>
          <w:szCs w:val="24"/>
        </w:rPr>
      </w:pPr>
      <w:r w:rsidRPr="0003652C">
        <w:rPr>
          <w:rFonts w:ascii="Arial" w:hAnsi="Arial" w:cs="Arial"/>
          <w:color w:val="000000" w:themeColor="text1"/>
          <w:sz w:val="24"/>
          <w:szCs w:val="24"/>
        </w:rPr>
        <w:t>What impact are these influences understood to have on the course design?</w:t>
      </w:r>
    </w:p>
    <w:p w14:paraId="2EAC774F" w14:textId="59B75875" w:rsidR="00455E45" w:rsidRPr="0003652C" w:rsidRDefault="00455E45" w:rsidP="0003652C">
      <w:pPr>
        <w:spacing w:line="360" w:lineRule="auto"/>
        <w:jc w:val="both"/>
        <w:rPr>
          <w:rFonts w:cs="Arial"/>
          <w:color w:val="000000" w:themeColor="text1"/>
        </w:rPr>
      </w:pPr>
      <w:r w:rsidRPr="0003652C">
        <w:rPr>
          <w:rFonts w:cs="Arial"/>
          <w:color w:val="000000" w:themeColor="text1"/>
        </w:rPr>
        <w:lastRenderedPageBreak/>
        <w:t>Reframing these questions utilising the language of Bernstein’s pedagogic codes and device is useful. What are the influences apparent in undergraduate law course design</w:t>
      </w:r>
      <w:r w:rsidR="00AC1CBE">
        <w:rPr>
          <w:rFonts w:cs="Arial"/>
          <w:color w:val="000000" w:themeColor="text1"/>
        </w:rPr>
        <w:t>,</w:t>
      </w:r>
      <w:r w:rsidRPr="0003652C">
        <w:rPr>
          <w:rFonts w:cs="Arial"/>
          <w:color w:val="000000" w:themeColor="text1"/>
        </w:rPr>
        <w:t xml:space="preserve"> becomes who are the players or agents operating in the fields within the recontextualisation of knowledge</w:t>
      </w:r>
      <w:r w:rsidR="00AC1CBE">
        <w:rPr>
          <w:rFonts w:cs="Arial"/>
          <w:color w:val="000000" w:themeColor="text1"/>
        </w:rPr>
        <w:t xml:space="preserve">? </w:t>
      </w:r>
      <w:r w:rsidRPr="0003652C">
        <w:rPr>
          <w:rFonts w:cs="Arial"/>
          <w:color w:val="000000" w:themeColor="text1"/>
        </w:rPr>
        <w:t xml:space="preserve">The question </w:t>
      </w:r>
      <w:r w:rsidR="00AC1CBE">
        <w:rPr>
          <w:rFonts w:cs="Arial"/>
          <w:color w:val="000000" w:themeColor="text1"/>
        </w:rPr>
        <w:t xml:space="preserve">of </w:t>
      </w:r>
      <w:r w:rsidRPr="0003652C">
        <w:rPr>
          <w:rFonts w:cs="Arial"/>
          <w:color w:val="000000" w:themeColor="text1"/>
        </w:rPr>
        <w:t>what impact these influences are understood to have on the course design entails an interrogation of the power and control that exists between the agents and the autonomy those agents might have in the process</w:t>
      </w:r>
      <w:r w:rsidR="00E77F9B">
        <w:rPr>
          <w:rFonts w:cs="Arial"/>
          <w:color w:val="000000" w:themeColor="text1"/>
        </w:rPr>
        <w:t>, and the outcome of the operation of that power and control</w:t>
      </w:r>
      <w:r w:rsidRPr="0003652C">
        <w:rPr>
          <w:rFonts w:cs="Arial"/>
          <w:color w:val="000000" w:themeColor="text1"/>
        </w:rPr>
        <w:t>. This focus on the recontextuali</w:t>
      </w:r>
      <w:r w:rsidR="00E77F9B">
        <w:rPr>
          <w:rFonts w:cs="Arial"/>
          <w:color w:val="000000" w:themeColor="text1"/>
        </w:rPr>
        <w:t>s</w:t>
      </w:r>
      <w:r w:rsidRPr="0003652C">
        <w:rPr>
          <w:rFonts w:cs="Arial"/>
          <w:color w:val="000000" w:themeColor="text1"/>
        </w:rPr>
        <w:t xml:space="preserve">ation stage of the pedagogic device is where a ‘discourse is dislocated, relocated and refocused’ (Bernstein, 1996. </w:t>
      </w:r>
      <w:r w:rsidR="00AC1CBE">
        <w:rPr>
          <w:rFonts w:cs="Arial"/>
          <w:color w:val="000000" w:themeColor="text1"/>
        </w:rPr>
        <w:t>p.</w:t>
      </w:r>
      <w:r w:rsidRPr="0003652C">
        <w:rPr>
          <w:rFonts w:cs="Arial"/>
          <w:color w:val="000000" w:themeColor="text1"/>
        </w:rPr>
        <w:t>47).</w:t>
      </w:r>
    </w:p>
    <w:p w14:paraId="2F72CB9D" w14:textId="69C974B7" w:rsidR="00455E45" w:rsidRPr="0003652C" w:rsidRDefault="00455E45" w:rsidP="0003652C">
      <w:pPr>
        <w:spacing w:line="360" w:lineRule="auto"/>
        <w:jc w:val="both"/>
        <w:rPr>
          <w:rFonts w:cs="Arial"/>
          <w:color w:val="000000" w:themeColor="text1"/>
        </w:rPr>
      </w:pPr>
      <w:r w:rsidRPr="0003652C">
        <w:rPr>
          <w:rFonts w:cs="Arial"/>
          <w:color w:val="000000" w:themeColor="text1"/>
        </w:rPr>
        <w:t xml:space="preserve">What will follow is an overview of how Bernstein’s framework applies specifically to course design and law. It will evidence how I apply the framework as opposed to developing it (Ashwin, 2009). This section considers the utility of Bernstein’s pedagogic device by applying it to current thinking in legal education and the findings in this investigation. </w:t>
      </w:r>
    </w:p>
    <w:p w14:paraId="2C1BFA8A" w14:textId="59311272" w:rsidR="00ED5CC2" w:rsidRPr="0003652C" w:rsidRDefault="00ED5CC2" w:rsidP="0003652C">
      <w:pPr>
        <w:pStyle w:val="Heading3"/>
        <w:spacing w:after="100" w:afterAutospacing="1" w:line="360" w:lineRule="auto"/>
        <w:rPr>
          <w:rFonts w:ascii="Arial" w:hAnsi="Arial" w:cs="Arial"/>
        </w:rPr>
      </w:pPr>
      <w:bookmarkStart w:id="43" w:name="_Toc223348835"/>
      <w:r w:rsidRPr="0003652C">
        <w:rPr>
          <w:rFonts w:ascii="Arial" w:hAnsi="Arial" w:cs="Arial"/>
        </w:rPr>
        <w:t>Distributive rules</w:t>
      </w:r>
      <w:bookmarkEnd w:id="43"/>
    </w:p>
    <w:p w14:paraId="7993F205" w14:textId="5D964AE3" w:rsidR="00B62656" w:rsidRPr="0003652C" w:rsidRDefault="00140742" w:rsidP="0003652C">
      <w:pPr>
        <w:spacing w:line="360" w:lineRule="auto"/>
        <w:jc w:val="both"/>
        <w:rPr>
          <w:rFonts w:cs="Arial"/>
          <w:color w:val="000000" w:themeColor="text1"/>
        </w:rPr>
      </w:pPr>
      <w:r w:rsidRPr="0003652C">
        <w:rPr>
          <w:rFonts w:cs="Arial"/>
          <w:color w:val="000000" w:themeColor="text1"/>
        </w:rPr>
        <w:t>Bernstein says that the field in which the production of the discourse occurs in the</w:t>
      </w:r>
      <w:r w:rsidR="00B62656" w:rsidRPr="0003652C">
        <w:rPr>
          <w:rFonts w:cs="Arial"/>
          <w:color w:val="000000" w:themeColor="text1"/>
        </w:rPr>
        <w:t xml:space="preserve"> pedagogic device dictates the stages that follow</w:t>
      </w:r>
      <w:r w:rsidRPr="0003652C">
        <w:rPr>
          <w:rFonts w:cs="Arial"/>
          <w:color w:val="000000" w:themeColor="text1"/>
        </w:rPr>
        <w:t xml:space="preserve">. The distributive rules here provide </w:t>
      </w:r>
      <w:r w:rsidR="00B62656" w:rsidRPr="0003652C">
        <w:rPr>
          <w:rFonts w:cs="Arial"/>
          <w:color w:val="000000" w:themeColor="text1"/>
        </w:rPr>
        <w:t xml:space="preserve">the hierarchical boundaries </w:t>
      </w:r>
      <w:r w:rsidRPr="0003652C">
        <w:rPr>
          <w:rFonts w:cs="Arial"/>
          <w:color w:val="000000" w:themeColor="text1"/>
        </w:rPr>
        <w:t>within</w:t>
      </w:r>
      <w:r w:rsidR="00B62656" w:rsidRPr="0003652C">
        <w:rPr>
          <w:rFonts w:cs="Arial"/>
          <w:color w:val="000000" w:themeColor="text1"/>
        </w:rPr>
        <w:t xml:space="preserve"> which </w:t>
      </w:r>
      <w:r w:rsidRPr="0003652C">
        <w:rPr>
          <w:rFonts w:cs="Arial"/>
          <w:color w:val="000000" w:themeColor="text1"/>
        </w:rPr>
        <w:t xml:space="preserve">later </w:t>
      </w:r>
      <w:r w:rsidR="00B62656" w:rsidRPr="0003652C">
        <w:rPr>
          <w:rFonts w:cs="Arial"/>
          <w:color w:val="000000" w:themeColor="text1"/>
        </w:rPr>
        <w:t xml:space="preserve">recontextualisation and </w:t>
      </w:r>
      <w:r w:rsidRPr="0003652C">
        <w:rPr>
          <w:rFonts w:cs="Arial"/>
          <w:color w:val="000000" w:themeColor="text1"/>
        </w:rPr>
        <w:t xml:space="preserve">then the </w:t>
      </w:r>
      <w:r w:rsidR="00B62656" w:rsidRPr="0003652C">
        <w:rPr>
          <w:rFonts w:cs="Arial"/>
          <w:color w:val="000000" w:themeColor="text1"/>
        </w:rPr>
        <w:t xml:space="preserve">evaluation </w:t>
      </w:r>
      <w:r w:rsidRPr="0003652C">
        <w:rPr>
          <w:rFonts w:cs="Arial"/>
          <w:color w:val="000000" w:themeColor="text1"/>
        </w:rPr>
        <w:t>rules operate</w:t>
      </w:r>
      <w:r w:rsidR="00B62656" w:rsidRPr="0003652C">
        <w:rPr>
          <w:rFonts w:cs="Arial"/>
          <w:color w:val="000000" w:themeColor="text1"/>
        </w:rPr>
        <w:t xml:space="preserve"> (Bernstein, 1990). </w:t>
      </w:r>
    </w:p>
    <w:p w14:paraId="3BB8A5AC" w14:textId="73188845" w:rsidR="00B62656" w:rsidRPr="0003652C" w:rsidRDefault="00B62656" w:rsidP="0003652C">
      <w:pPr>
        <w:spacing w:line="360" w:lineRule="auto"/>
        <w:jc w:val="both"/>
        <w:rPr>
          <w:rFonts w:cs="Arial"/>
          <w:color w:val="000000" w:themeColor="text1"/>
        </w:rPr>
      </w:pPr>
      <w:r w:rsidRPr="0003652C">
        <w:rPr>
          <w:rFonts w:cs="Arial"/>
          <w:color w:val="000000" w:themeColor="text1"/>
        </w:rPr>
        <w:t xml:space="preserve">The role of the distributive rules </w:t>
      </w:r>
      <w:r w:rsidR="0005689B" w:rsidRPr="0003652C">
        <w:rPr>
          <w:rFonts w:cs="Arial"/>
          <w:color w:val="000000" w:themeColor="text1"/>
        </w:rPr>
        <w:t>is</w:t>
      </w:r>
    </w:p>
    <w:p w14:paraId="35B89B11" w14:textId="4D190D7B" w:rsidR="00B62656" w:rsidRPr="0003652C" w:rsidRDefault="00B62656" w:rsidP="0003652C">
      <w:pPr>
        <w:spacing w:line="360" w:lineRule="auto"/>
        <w:ind w:left="720"/>
        <w:jc w:val="both"/>
        <w:rPr>
          <w:rFonts w:cs="Arial"/>
          <w:color w:val="000000" w:themeColor="text1"/>
        </w:rPr>
      </w:pPr>
      <w:r w:rsidRPr="0003652C">
        <w:rPr>
          <w:rFonts w:cs="Arial"/>
          <w:color w:val="000000" w:themeColor="text1"/>
        </w:rPr>
        <w:t xml:space="preserve">To regulate the power relationships between social groups by distributing different forms of knowledge and thus constituting different orientations to meaning or pedagogic identities. (Singh, 2002 </w:t>
      </w:r>
      <w:r w:rsidR="00AC1CBE">
        <w:rPr>
          <w:rFonts w:cs="Arial"/>
          <w:color w:val="000000" w:themeColor="text1"/>
        </w:rPr>
        <w:t>p.</w:t>
      </w:r>
      <w:r w:rsidRPr="0003652C">
        <w:rPr>
          <w:rFonts w:cs="Arial"/>
          <w:color w:val="000000" w:themeColor="text1"/>
        </w:rPr>
        <w:t>573)</w:t>
      </w:r>
    </w:p>
    <w:p w14:paraId="06219E04" w14:textId="77777777" w:rsidR="00B62656" w:rsidRDefault="00B62656" w:rsidP="0003652C">
      <w:pPr>
        <w:spacing w:line="360" w:lineRule="auto"/>
        <w:jc w:val="both"/>
        <w:rPr>
          <w:rFonts w:cs="Arial"/>
          <w:color w:val="000000" w:themeColor="text1"/>
        </w:rPr>
      </w:pPr>
      <w:r w:rsidRPr="0003652C">
        <w:rPr>
          <w:rFonts w:cs="Arial"/>
          <w:color w:val="000000" w:themeColor="text1"/>
        </w:rPr>
        <w:t xml:space="preserve">This stage reflects what knowledge is distributed, by whom and in what conditions. </w:t>
      </w:r>
    </w:p>
    <w:p w14:paraId="67CAF9DC" w14:textId="77777777" w:rsidR="00AC1557" w:rsidRDefault="00AC1557" w:rsidP="0003652C">
      <w:pPr>
        <w:spacing w:line="360" w:lineRule="auto"/>
        <w:jc w:val="both"/>
        <w:rPr>
          <w:rFonts w:cs="Arial"/>
          <w:color w:val="000000" w:themeColor="text1"/>
        </w:rPr>
      </w:pPr>
    </w:p>
    <w:p w14:paraId="2F95DD71" w14:textId="77777777" w:rsidR="00AC1557" w:rsidRPr="0003652C" w:rsidRDefault="00AC1557" w:rsidP="0003652C">
      <w:pPr>
        <w:spacing w:line="360" w:lineRule="auto"/>
        <w:jc w:val="both"/>
        <w:rPr>
          <w:rFonts w:cs="Arial"/>
          <w:color w:val="000000" w:themeColor="text1"/>
        </w:rPr>
      </w:pPr>
    </w:p>
    <w:p w14:paraId="633DBCD4" w14:textId="57F8EF3C" w:rsidR="00455E45" w:rsidRPr="0003652C" w:rsidRDefault="0039457C" w:rsidP="0003652C">
      <w:pPr>
        <w:pStyle w:val="Heading4"/>
        <w:spacing w:line="360" w:lineRule="auto"/>
        <w:rPr>
          <w:rFonts w:ascii="Arial" w:hAnsi="Arial" w:cs="Arial"/>
        </w:rPr>
      </w:pPr>
      <w:r w:rsidRPr="0003652C">
        <w:rPr>
          <w:rFonts w:ascii="Arial" w:hAnsi="Arial" w:cs="Arial"/>
        </w:rPr>
        <w:lastRenderedPageBreak/>
        <w:t>Law as a regional discipline</w:t>
      </w:r>
    </w:p>
    <w:p w14:paraId="55E87850" w14:textId="553B7A4C" w:rsidR="0039457C" w:rsidRPr="0003652C" w:rsidRDefault="0039457C" w:rsidP="0003652C">
      <w:pPr>
        <w:spacing w:line="360" w:lineRule="auto"/>
        <w:jc w:val="both"/>
        <w:rPr>
          <w:rFonts w:cs="Arial"/>
        </w:rPr>
      </w:pPr>
      <w:r w:rsidRPr="0003652C">
        <w:rPr>
          <w:rFonts w:cs="Arial"/>
          <w:color w:val="000000" w:themeColor="text1"/>
        </w:rPr>
        <w:t>In the very limited analysis of legal education from a Bernstein perspective that has been presented, there have been different conclusions on the status of law as regional or singular.  Ordoyno argues that it is inward</w:t>
      </w:r>
      <w:r w:rsidR="00AC1CBE">
        <w:rPr>
          <w:rFonts w:cs="Arial"/>
          <w:color w:val="000000" w:themeColor="text1"/>
        </w:rPr>
        <w:t>-</w:t>
      </w:r>
      <w:r w:rsidRPr="0003652C">
        <w:rPr>
          <w:rFonts w:cs="Arial"/>
          <w:color w:val="000000" w:themeColor="text1"/>
        </w:rPr>
        <w:t>looking, it has its own language, and it is therefore singular (Ordoyno, 2016), whilst Gibbons considers the discipline from the perspective of the profession and so externally referenced (Gibbons, 2020). Whilst law does present a unique name, the discipline</w:t>
      </w:r>
      <w:r w:rsidR="00AC1CBE">
        <w:rPr>
          <w:rFonts w:cs="Arial"/>
          <w:color w:val="000000" w:themeColor="text1"/>
        </w:rPr>
        <w:t>’</w:t>
      </w:r>
      <w:r w:rsidRPr="0003652C">
        <w:rPr>
          <w:rFonts w:cs="Arial"/>
          <w:color w:val="000000" w:themeColor="text1"/>
        </w:rPr>
        <w:t>s discourse is not just about itself. Bernstein does not consider law in any detail, but ultimately, he captures the nature of this type of discipline as regional, as it represents that bridge between knowledge and practice.</w:t>
      </w:r>
    </w:p>
    <w:p w14:paraId="525C78DE" w14:textId="6970E169" w:rsidR="0039457C" w:rsidRPr="0003652C" w:rsidRDefault="0039457C" w:rsidP="0003652C">
      <w:pPr>
        <w:spacing w:line="360" w:lineRule="auto"/>
        <w:jc w:val="both"/>
        <w:rPr>
          <w:rFonts w:cs="Arial"/>
          <w:color w:val="000000" w:themeColor="text1"/>
        </w:rPr>
      </w:pPr>
      <w:r w:rsidRPr="0003652C">
        <w:rPr>
          <w:rFonts w:cs="Arial"/>
          <w:color w:val="000000" w:themeColor="text1"/>
        </w:rPr>
        <w:t>Law as a discipline is obviously influenced by professional practice</w:t>
      </w:r>
      <w:r w:rsidR="00B2098A" w:rsidRPr="0003652C">
        <w:rPr>
          <w:rFonts w:cs="Arial"/>
          <w:color w:val="000000" w:themeColor="text1"/>
        </w:rPr>
        <w:t>, although the extent to which legal education reflects this might be contested</w:t>
      </w:r>
      <w:r w:rsidR="00AC1CBE">
        <w:rPr>
          <w:rFonts w:cs="Arial"/>
          <w:color w:val="000000" w:themeColor="text1"/>
        </w:rPr>
        <w:t>,</w:t>
      </w:r>
      <w:r w:rsidR="00B2098A" w:rsidRPr="0003652C">
        <w:rPr>
          <w:rFonts w:cs="Arial"/>
          <w:color w:val="000000" w:themeColor="text1"/>
        </w:rPr>
        <w:t xml:space="preserve"> as is discussed below and in the findings</w:t>
      </w:r>
      <w:r w:rsidRPr="0003652C">
        <w:rPr>
          <w:rFonts w:cs="Arial"/>
          <w:color w:val="000000" w:themeColor="text1"/>
        </w:rPr>
        <w:t xml:space="preserve">. Whilst it doesn’t draw upon an exclusive set of disciplines, it may also adopt or adapt other disciplines, </w:t>
      </w:r>
      <w:r w:rsidR="00AC1CBE">
        <w:rPr>
          <w:rFonts w:cs="Arial"/>
          <w:color w:val="000000" w:themeColor="text1"/>
        </w:rPr>
        <w:t xml:space="preserve">such as </w:t>
      </w:r>
      <w:r w:rsidRPr="0003652C">
        <w:rPr>
          <w:rFonts w:cs="Arial"/>
          <w:color w:val="000000" w:themeColor="text1"/>
        </w:rPr>
        <w:t>sociology in socio-legal thought</w:t>
      </w:r>
      <w:r w:rsidR="00AC1CBE">
        <w:rPr>
          <w:rFonts w:cs="Arial"/>
          <w:color w:val="000000" w:themeColor="text1"/>
        </w:rPr>
        <w:t>,</w:t>
      </w:r>
      <w:r w:rsidRPr="0003652C">
        <w:rPr>
          <w:rFonts w:cs="Arial"/>
          <w:color w:val="000000" w:themeColor="text1"/>
        </w:rPr>
        <w:t xml:space="preserve"> for example, or politics or economics in other contexts. It might even be argued to be truly </w:t>
      </w:r>
      <w:r w:rsidR="00F72961" w:rsidRPr="0003652C">
        <w:rPr>
          <w:rFonts w:cs="Arial"/>
          <w:color w:val="000000" w:themeColor="text1"/>
        </w:rPr>
        <w:t>interdisciplinary</w:t>
      </w:r>
      <w:r w:rsidRPr="0003652C">
        <w:rPr>
          <w:rFonts w:cs="Arial"/>
          <w:color w:val="000000" w:themeColor="text1"/>
        </w:rPr>
        <w:t xml:space="preserve">, an argument that is reflected in legal research (See the Law in Context series for an elaboration of this). </w:t>
      </w:r>
    </w:p>
    <w:p w14:paraId="0F0AB632" w14:textId="7FF54181" w:rsidR="0039457C" w:rsidRPr="0003652C" w:rsidRDefault="00B2098A" w:rsidP="0003652C">
      <w:pPr>
        <w:pStyle w:val="Heading4"/>
        <w:spacing w:line="360" w:lineRule="auto"/>
        <w:rPr>
          <w:rFonts w:ascii="Arial" w:hAnsi="Arial" w:cs="Arial"/>
        </w:rPr>
      </w:pPr>
      <w:r w:rsidRPr="0003652C">
        <w:rPr>
          <w:rFonts w:ascii="Arial" w:hAnsi="Arial" w:cs="Arial"/>
        </w:rPr>
        <w:t xml:space="preserve"> A contested arena</w:t>
      </w:r>
    </w:p>
    <w:p w14:paraId="5F4B6799" w14:textId="1F5CAF24" w:rsidR="0039457C" w:rsidRPr="0003652C" w:rsidRDefault="0039457C" w:rsidP="0003652C">
      <w:pPr>
        <w:spacing w:line="360" w:lineRule="auto"/>
        <w:jc w:val="both"/>
        <w:rPr>
          <w:rFonts w:cs="Arial"/>
          <w:color w:val="000000" w:themeColor="text1"/>
        </w:rPr>
      </w:pPr>
      <w:r w:rsidRPr="0003652C">
        <w:rPr>
          <w:rFonts w:cs="Arial"/>
          <w:color w:val="000000" w:themeColor="text1"/>
        </w:rPr>
        <w:t>The question of what knowledge within the discipline of law is the focus here. As a regional discourse, it has fluid boundaries and may borrow from or lend to other discourses, be these disciplines or other factors. Here</w:t>
      </w:r>
      <w:r w:rsidR="00AC1CBE">
        <w:rPr>
          <w:rFonts w:cs="Arial"/>
          <w:color w:val="000000" w:themeColor="text1"/>
        </w:rPr>
        <w:t>,</w:t>
      </w:r>
      <w:r w:rsidRPr="0003652C">
        <w:rPr>
          <w:rFonts w:cs="Arial"/>
          <w:color w:val="000000" w:themeColor="text1"/>
        </w:rPr>
        <w:t xml:space="preserve"> I consider what these externalities might be and how law interacts with them, thereby providing the boundaries or scope of knowledge in a hierarchical way that determines what can then be recontextualised. </w:t>
      </w:r>
    </w:p>
    <w:p w14:paraId="28572A5A" w14:textId="2A845AED" w:rsidR="0039457C" w:rsidRPr="0003652C" w:rsidRDefault="0039457C" w:rsidP="0003652C">
      <w:pPr>
        <w:spacing w:line="360" w:lineRule="auto"/>
        <w:jc w:val="both"/>
        <w:rPr>
          <w:rFonts w:cs="Arial"/>
        </w:rPr>
      </w:pPr>
      <w:r w:rsidRPr="0003652C">
        <w:rPr>
          <w:rFonts w:cs="Arial"/>
        </w:rPr>
        <w:t>Sherr and Sugerman talk of the coming together of legal theory and the philosophy of legal education</w:t>
      </w:r>
      <w:r w:rsidR="00AC1CBE">
        <w:rPr>
          <w:rFonts w:cs="Arial"/>
        </w:rPr>
        <w:t>,</w:t>
      </w:r>
      <w:r w:rsidRPr="0003652C">
        <w:rPr>
          <w:rFonts w:cs="Arial"/>
        </w:rPr>
        <w:t xml:space="preserve"> with collisions of thought and education continuing to provide a state of flux in legal education</w:t>
      </w:r>
      <w:r w:rsidR="00AC1CBE">
        <w:rPr>
          <w:rFonts w:cs="Arial"/>
        </w:rPr>
        <w:t>.</w:t>
      </w:r>
    </w:p>
    <w:p w14:paraId="33007E63" w14:textId="32A11183" w:rsidR="0039457C" w:rsidRPr="0003652C" w:rsidRDefault="0039457C" w:rsidP="0003652C">
      <w:pPr>
        <w:spacing w:line="360" w:lineRule="auto"/>
        <w:ind w:left="720"/>
        <w:jc w:val="both"/>
        <w:rPr>
          <w:rFonts w:cs="Arial"/>
        </w:rPr>
      </w:pPr>
      <w:r w:rsidRPr="0003652C">
        <w:rPr>
          <w:rFonts w:cs="Arial"/>
        </w:rPr>
        <w:t xml:space="preserve">Since the 1960s it has become increasingly difficult to contain this complex set of legal fields within monolithic conceptions of ‘law’. Because these </w:t>
      </w:r>
      <w:r w:rsidRPr="0003652C">
        <w:rPr>
          <w:rFonts w:cs="Arial"/>
        </w:rPr>
        <w:lastRenderedPageBreak/>
        <w:t xml:space="preserve">different centres of law are to some extent based upon different values and roles, their coexistence may result in contradictory applications of the law and, therefore, anomalies. From this perspective, the legal field has become a less well bounded and a less unified whole. Its centre has been displaced by a plurality of centres. (Sherr &amp; Sugarman, 2000. </w:t>
      </w:r>
      <w:r w:rsidR="009A26A6">
        <w:rPr>
          <w:rFonts w:cs="Arial"/>
        </w:rPr>
        <w:t>p.</w:t>
      </w:r>
      <w:r w:rsidRPr="0003652C">
        <w:rPr>
          <w:rFonts w:cs="Arial"/>
        </w:rPr>
        <w:t xml:space="preserve"> 166).  </w:t>
      </w:r>
    </w:p>
    <w:p w14:paraId="74DC7C62" w14:textId="2560C4CD" w:rsidR="005519C7" w:rsidRPr="0003652C" w:rsidRDefault="005519C7" w:rsidP="0003652C">
      <w:pPr>
        <w:pStyle w:val="Heading5"/>
        <w:spacing w:line="360" w:lineRule="auto"/>
        <w:rPr>
          <w:rFonts w:ascii="Arial" w:hAnsi="Arial" w:cs="Arial"/>
        </w:rPr>
      </w:pPr>
      <w:r w:rsidRPr="0003652C">
        <w:rPr>
          <w:rFonts w:ascii="Arial" w:hAnsi="Arial" w:cs="Arial"/>
        </w:rPr>
        <w:t>A vocational or academic discourse</w:t>
      </w:r>
    </w:p>
    <w:p w14:paraId="723CE782" w14:textId="5B376026" w:rsidR="0039457C" w:rsidRPr="0003652C" w:rsidRDefault="0039457C" w:rsidP="0003652C">
      <w:pPr>
        <w:spacing w:line="360" w:lineRule="auto"/>
        <w:jc w:val="both"/>
        <w:rPr>
          <w:rFonts w:cs="Arial"/>
          <w:color w:val="000000" w:themeColor="text1"/>
        </w:rPr>
      </w:pPr>
      <w:r w:rsidRPr="0003652C">
        <w:rPr>
          <w:rFonts w:cs="Arial"/>
          <w:color w:val="000000" w:themeColor="text1"/>
        </w:rPr>
        <w:t xml:space="preserve">Perspectives within the discipline present </w:t>
      </w:r>
      <w:r w:rsidR="00B2098A" w:rsidRPr="0003652C">
        <w:rPr>
          <w:rFonts w:cs="Arial"/>
          <w:color w:val="000000" w:themeColor="text1"/>
        </w:rPr>
        <w:t>a very prominent</w:t>
      </w:r>
      <w:r w:rsidRPr="0003652C">
        <w:rPr>
          <w:rFonts w:cs="Arial"/>
          <w:color w:val="000000" w:themeColor="text1"/>
        </w:rPr>
        <w:t xml:space="preserve"> clash of </w:t>
      </w:r>
      <w:r w:rsidR="00B2098A" w:rsidRPr="0003652C">
        <w:rPr>
          <w:rFonts w:cs="Arial"/>
          <w:color w:val="000000" w:themeColor="text1"/>
        </w:rPr>
        <w:t>‘centres’, reflecting a struggle between calls for legal education to focus on law as an academic liberal arts discipline, or alternatively</w:t>
      </w:r>
      <w:r w:rsidR="00AC1CBE">
        <w:rPr>
          <w:rFonts w:cs="Arial"/>
          <w:color w:val="000000" w:themeColor="text1"/>
        </w:rPr>
        <w:t>,</w:t>
      </w:r>
      <w:r w:rsidR="00B2098A" w:rsidRPr="0003652C">
        <w:rPr>
          <w:rFonts w:cs="Arial"/>
          <w:color w:val="000000" w:themeColor="text1"/>
        </w:rPr>
        <w:t xml:space="preserve"> for legal education to focus on the vocational route into the profession. The former is reflected in legal educational research and commentary, with a strong</w:t>
      </w:r>
      <w:r w:rsidRPr="0003652C">
        <w:rPr>
          <w:rFonts w:cs="Arial"/>
          <w:color w:val="000000" w:themeColor="text1"/>
        </w:rPr>
        <w:t xml:space="preserve"> tradition of pushing </w:t>
      </w:r>
      <w:r w:rsidR="00B2098A" w:rsidRPr="0003652C">
        <w:rPr>
          <w:rFonts w:cs="Arial"/>
          <w:color w:val="000000" w:themeColor="text1"/>
        </w:rPr>
        <w:t>an academic liberal arts</w:t>
      </w:r>
      <w:r w:rsidRPr="0003652C">
        <w:rPr>
          <w:rFonts w:cs="Arial"/>
          <w:color w:val="000000" w:themeColor="text1"/>
        </w:rPr>
        <w:t xml:space="preserve"> education to the fore.  Birks edited essays on the purpose of a law school</w:t>
      </w:r>
      <w:r w:rsidR="00AC1CBE">
        <w:rPr>
          <w:rFonts w:cs="Arial"/>
          <w:color w:val="000000" w:themeColor="text1"/>
        </w:rPr>
        <w:t>,</w:t>
      </w:r>
      <w:r w:rsidRPr="0003652C">
        <w:rPr>
          <w:rFonts w:cs="Arial"/>
          <w:color w:val="000000" w:themeColor="text1"/>
        </w:rPr>
        <w:t xml:space="preserve"> published in 1996</w:t>
      </w:r>
      <w:r w:rsidR="00AC1CBE">
        <w:rPr>
          <w:rFonts w:cs="Arial"/>
          <w:color w:val="000000" w:themeColor="text1"/>
        </w:rPr>
        <w:t>,</w:t>
      </w:r>
      <w:r w:rsidR="00B2098A" w:rsidRPr="0003652C">
        <w:rPr>
          <w:rFonts w:cs="Arial"/>
          <w:color w:val="000000" w:themeColor="text1"/>
        </w:rPr>
        <w:t xml:space="preserve"> is a </w:t>
      </w:r>
      <w:r w:rsidRPr="0003652C">
        <w:rPr>
          <w:rFonts w:cs="Arial"/>
          <w:color w:val="000000" w:themeColor="text1"/>
        </w:rPr>
        <w:t>good representation</w:t>
      </w:r>
      <w:r w:rsidR="00B2098A" w:rsidRPr="0003652C">
        <w:rPr>
          <w:rFonts w:cs="Arial"/>
          <w:color w:val="000000" w:themeColor="text1"/>
        </w:rPr>
        <w:t xml:space="preserve"> </w:t>
      </w:r>
      <w:r w:rsidRPr="0003652C">
        <w:rPr>
          <w:rFonts w:cs="Arial"/>
          <w:color w:val="000000" w:themeColor="text1"/>
        </w:rPr>
        <w:t>of the contested boundaries of law as a vocation</w:t>
      </w:r>
      <w:r w:rsidR="00B2098A" w:rsidRPr="0003652C">
        <w:rPr>
          <w:rFonts w:cs="Arial"/>
          <w:color w:val="000000" w:themeColor="text1"/>
        </w:rPr>
        <w:t>al</w:t>
      </w:r>
      <w:r w:rsidRPr="0003652C">
        <w:rPr>
          <w:rFonts w:cs="Arial"/>
          <w:color w:val="000000" w:themeColor="text1"/>
        </w:rPr>
        <w:t xml:space="preserve"> or a liberal arts education (Birks, 1996</w:t>
      </w:r>
      <w:r w:rsidR="00B2098A" w:rsidRPr="0003652C">
        <w:rPr>
          <w:rFonts w:cs="Arial"/>
          <w:color w:val="000000" w:themeColor="text1"/>
        </w:rPr>
        <w:t>)</w:t>
      </w:r>
      <w:r w:rsidR="005519C7" w:rsidRPr="0003652C">
        <w:rPr>
          <w:rFonts w:cs="Arial"/>
          <w:color w:val="000000" w:themeColor="text1"/>
        </w:rPr>
        <w:t xml:space="preserve">. </w:t>
      </w:r>
      <w:r w:rsidR="00B2098A" w:rsidRPr="0003652C">
        <w:rPr>
          <w:rFonts w:cs="Arial"/>
          <w:color w:val="000000" w:themeColor="text1"/>
        </w:rPr>
        <w:t>There was a return to this theme</w:t>
      </w:r>
      <w:r w:rsidRPr="0003652C">
        <w:rPr>
          <w:rFonts w:cs="Arial"/>
          <w:color w:val="000000" w:themeColor="text1"/>
        </w:rPr>
        <w:t xml:space="preserve"> </w:t>
      </w:r>
      <w:r w:rsidR="005519C7" w:rsidRPr="0003652C">
        <w:rPr>
          <w:rFonts w:cs="Arial"/>
          <w:color w:val="000000" w:themeColor="text1"/>
        </w:rPr>
        <w:t>following the</w:t>
      </w:r>
      <w:r w:rsidRPr="0003652C">
        <w:rPr>
          <w:rFonts w:cs="Arial"/>
          <w:color w:val="000000" w:themeColor="text1"/>
        </w:rPr>
        <w:t xml:space="preserve"> introduction of the Solicitors Qualifying Examination (SQE)</w:t>
      </w:r>
      <w:r w:rsidR="005519C7" w:rsidRPr="0003652C">
        <w:rPr>
          <w:rFonts w:cs="Arial"/>
          <w:color w:val="000000" w:themeColor="text1"/>
        </w:rPr>
        <w:t xml:space="preserve"> in 2019 (Roper et al., 2020)</w:t>
      </w:r>
      <w:r w:rsidRPr="0003652C">
        <w:rPr>
          <w:rFonts w:cs="Arial"/>
          <w:color w:val="000000" w:themeColor="text1"/>
        </w:rPr>
        <w:t>. These changes b</w:t>
      </w:r>
      <w:r w:rsidR="00AC1CBE">
        <w:rPr>
          <w:rFonts w:cs="Arial"/>
          <w:color w:val="000000" w:themeColor="text1"/>
        </w:rPr>
        <w:t>r</w:t>
      </w:r>
      <w:r w:rsidRPr="0003652C">
        <w:rPr>
          <w:rFonts w:cs="Arial"/>
          <w:color w:val="000000" w:themeColor="text1"/>
        </w:rPr>
        <w:t>ought to the forefront the discussion once again about the role of the law school and legal education, within the context of the massification of higher education and the appropriateness of the professional ‘training’ role of a law school.</w:t>
      </w:r>
    </w:p>
    <w:p w14:paraId="258A59D8" w14:textId="28D81FE8" w:rsidR="0039457C" w:rsidRPr="0003652C" w:rsidRDefault="0039457C" w:rsidP="0003652C">
      <w:pPr>
        <w:spacing w:line="360" w:lineRule="auto"/>
        <w:jc w:val="both"/>
        <w:rPr>
          <w:rFonts w:cs="Arial"/>
          <w:color w:val="000000" w:themeColor="text1"/>
        </w:rPr>
      </w:pPr>
      <w:r w:rsidRPr="0003652C">
        <w:rPr>
          <w:rFonts w:cs="Arial"/>
          <w:color w:val="000000" w:themeColor="text1"/>
        </w:rPr>
        <w:t>Educational theory in legal education reflects this constantly contested arena. Legal education has</w:t>
      </w:r>
      <w:r w:rsidR="00AC1CBE">
        <w:rPr>
          <w:rFonts w:cs="Arial"/>
          <w:color w:val="000000" w:themeColor="text1"/>
        </w:rPr>
        <w:t>,</w:t>
      </w:r>
      <w:r w:rsidRPr="0003652C">
        <w:rPr>
          <w:rFonts w:cs="Arial"/>
          <w:color w:val="000000" w:themeColor="text1"/>
        </w:rPr>
        <w:t xml:space="preserve"> in turn</w:t>
      </w:r>
      <w:r w:rsidR="00AC1CBE">
        <w:rPr>
          <w:rFonts w:cs="Arial"/>
          <w:color w:val="000000" w:themeColor="text1"/>
        </w:rPr>
        <w:t>,</w:t>
      </w:r>
      <w:r w:rsidRPr="0003652C">
        <w:rPr>
          <w:rFonts w:cs="Arial"/>
          <w:color w:val="000000" w:themeColor="text1"/>
        </w:rPr>
        <w:t xml:space="preserve"> emphasised the acquisition of knowledge, the acquisition of legal skills, and the development of criticality and social justice within a more liberal legal education (Twining, 1994; </w:t>
      </w:r>
      <w:r w:rsidR="009D3DE7" w:rsidRPr="0003652C">
        <w:rPr>
          <w:rFonts w:cs="Arial"/>
          <w:color w:val="000000" w:themeColor="text1"/>
        </w:rPr>
        <w:t>Ashford</w:t>
      </w:r>
      <w:r w:rsidR="0080424A" w:rsidRPr="0003652C">
        <w:rPr>
          <w:rFonts w:cs="Arial"/>
          <w:color w:val="000000" w:themeColor="text1"/>
        </w:rPr>
        <w:t xml:space="preserve"> &amp; </w:t>
      </w:r>
      <w:r w:rsidR="009D3DE7" w:rsidRPr="0003652C">
        <w:rPr>
          <w:rFonts w:cs="Arial"/>
          <w:color w:val="000000" w:themeColor="text1"/>
        </w:rPr>
        <w:t>Guth</w:t>
      </w:r>
      <w:r w:rsidRPr="0003652C">
        <w:rPr>
          <w:rFonts w:cs="Arial"/>
          <w:color w:val="000000" w:themeColor="text1"/>
        </w:rPr>
        <w:t>, 2014).  There are many ‘divisions’ in legal education. How important these are for legal education might be disputed,</w:t>
      </w:r>
    </w:p>
    <w:p w14:paraId="7C8236B8" w14:textId="446D8C62" w:rsidR="00696895" w:rsidRPr="0003652C" w:rsidRDefault="0039457C" w:rsidP="0003652C">
      <w:pPr>
        <w:spacing w:line="360" w:lineRule="auto"/>
        <w:ind w:left="720"/>
        <w:jc w:val="both"/>
        <w:rPr>
          <w:rFonts w:cs="Arial"/>
        </w:rPr>
      </w:pPr>
      <w:r w:rsidRPr="0003652C">
        <w:rPr>
          <w:rFonts w:cs="Arial"/>
        </w:rPr>
        <w:t>Some of the standard dichotomies in discourse about legal education</w:t>
      </w:r>
      <w:r w:rsidR="00AC1CBE">
        <w:rPr>
          <w:rFonts w:cs="Arial"/>
        </w:rPr>
        <w:t>,</w:t>
      </w:r>
      <w:r w:rsidRPr="0003652C">
        <w:rPr>
          <w:rFonts w:cs="Arial"/>
        </w:rPr>
        <w:t xml:space="preserve"> liberal/ vocational; theory/ practice; book-learning/ experience; academic/ practical; education/ training; clinical/intellectual; skills/understanding - are at the very least too sharp. Often, they represent mischievous nonsense (Twining, 1988. </w:t>
      </w:r>
      <w:r w:rsidR="00AC1CBE">
        <w:rPr>
          <w:rFonts w:cs="Arial"/>
        </w:rPr>
        <w:t>p.</w:t>
      </w:r>
      <w:r w:rsidRPr="0003652C">
        <w:rPr>
          <w:rFonts w:cs="Arial"/>
        </w:rPr>
        <w:t>5).</w:t>
      </w:r>
    </w:p>
    <w:p w14:paraId="2BB5B6BF" w14:textId="682065E3" w:rsidR="00696895" w:rsidRPr="0003652C" w:rsidRDefault="00BE092B" w:rsidP="0003652C">
      <w:pPr>
        <w:pStyle w:val="Heading5"/>
        <w:spacing w:line="360" w:lineRule="auto"/>
        <w:rPr>
          <w:rFonts w:ascii="Arial" w:hAnsi="Arial" w:cs="Arial"/>
        </w:rPr>
      </w:pPr>
      <w:r w:rsidRPr="0003652C">
        <w:rPr>
          <w:rFonts w:ascii="Arial" w:hAnsi="Arial" w:cs="Arial"/>
        </w:rPr>
        <w:lastRenderedPageBreak/>
        <w:t>Other paradigms</w:t>
      </w:r>
    </w:p>
    <w:p w14:paraId="2992AF1F" w14:textId="44D7241E" w:rsidR="003876BC" w:rsidRPr="0003652C" w:rsidRDefault="003876BC" w:rsidP="0003652C">
      <w:pPr>
        <w:spacing w:line="360" w:lineRule="auto"/>
        <w:jc w:val="both"/>
        <w:rPr>
          <w:rFonts w:cs="Arial"/>
          <w:color w:val="000000" w:themeColor="text1"/>
        </w:rPr>
      </w:pPr>
      <w:r w:rsidRPr="0003652C">
        <w:rPr>
          <w:rFonts w:cs="Arial"/>
          <w:color w:val="000000" w:themeColor="text1"/>
        </w:rPr>
        <w:t>The contested internal nature of law as a discipline goes beyond the question of its academic or vocational purpose. Culture wars within the discipline, highlighting paradigm choices, have been discussed for many years. In the United States, in the late 1990s, Toma identified doctrinal, socio-legal, critical legal and feminist paradigms running in parallel with the social sciences. He aligned these to the wider groupings of positivism, post-positivist, critical scholars, and interpretative scholars (Toma, 1997). Cownie</w:t>
      </w:r>
      <w:r w:rsidR="00AC1CBE">
        <w:rPr>
          <w:rFonts w:cs="Arial"/>
          <w:color w:val="000000" w:themeColor="text1"/>
        </w:rPr>
        <w:t>,</w:t>
      </w:r>
      <w:r w:rsidRPr="0003652C">
        <w:rPr>
          <w:rFonts w:cs="Arial"/>
          <w:color w:val="000000" w:themeColor="text1"/>
        </w:rPr>
        <w:t xml:space="preserve"> a few years</w:t>
      </w:r>
      <w:r w:rsidR="00AC1CBE">
        <w:rPr>
          <w:rFonts w:cs="Arial"/>
          <w:color w:val="000000" w:themeColor="text1"/>
        </w:rPr>
        <w:t>,</w:t>
      </w:r>
      <w:r w:rsidRPr="0003652C">
        <w:rPr>
          <w:rFonts w:cs="Arial"/>
          <w:color w:val="000000" w:themeColor="text1"/>
        </w:rPr>
        <w:t xml:space="preserve"> later acknowledged these contested epistemologies of legal scholarship,</w:t>
      </w:r>
      <w:r w:rsidR="00AC1CBE">
        <w:rPr>
          <w:rFonts w:cs="Arial"/>
          <w:color w:val="000000" w:themeColor="text1"/>
        </w:rPr>
        <w:t xml:space="preserve"> </w:t>
      </w:r>
      <w:r w:rsidRPr="0003652C">
        <w:rPr>
          <w:rFonts w:cs="Arial"/>
          <w:color w:val="000000" w:themeColor="text1"/>
        </w:rPr>
        <w:t>whilst contributing to the ethnography of the discipline by considering legal academics</w:t>
      </w:r>
      <w:r w:rsidR="00AC1CBE">
        <w:rPr>
          <w:rFonts w:cs="Arial"/>
          <w:color w:val="000000" w:themeColor="text1"/>
        </w:rPr>
        <w:t>’</w:t>
      </w:r>
      <w:r w:rsidRPr="0003652C">
        <w:rPr>
          <w:rFonts w:cs="Arial"/>
          <w:color w:val="000000" w:themeColor="text1"/>
        </w:rPr>
        <w:t xml:space="preserve"> perceptions of their own professional identity (Cownie, 2004).</w:t>
      </w:r>
      <w:r w:rsidR="00AC1CBE">
        <w:rPr>
          <w:rFonts w:cs="Arial"/>
          <w:color w:val="000000" w:themeColor="text1"/>
        </w:rPr>
        <w:t xml:space="preserve"> </w:t>
      </w:r>
      <w:r w:rsidRPr="0003652C">
        <w:rPr>
          <w:rFonts w:cs="Arial"/>
          <w:color w:val="000000" w:themeColor="text1"/>
        </w:rPr>
        <w:t xml:space="preserve">There is an underlying epistemic uncertainty (Boon &amp; Webb, 2008), which impacts the discipline’s identity, as well as those within it. There remains the question of whether </w:t>
      </w:r>
    </w:p>
    <w:p w14:paraId="05DE6C93" w14:textId="06FEDCB4" w:rsidR="003876BC" w:rsidRPr="0003652C" w:rsidRDefault="003876BC" w:rsidP="0005689B">
      <w:pPr>
        <w:spacing w:line="360" w:lineRule="auto"/>
        <w:ind w:left="720"/>
        <w:jc w:val="both"/>
        <w:rPr>
          <w:rFonts w:cs="Arial"/>
          <w:color w:val="000000" w:themeColor="text1"/>
        </w:rPr>
      </w:pPr>
      <w:r w:rsidRPr="0003652C">
        <w:rPr>
          <w:rFonts w:cs="Arial"/>
          <w:color w:val="000000" w:themeColor="text1"/>
        </w:rPr>
        <w:t xml:space="preserve">‘We’ equals the homogenous tribe, or an opportunistic band of fellow-travellers (Hall &amp; Rasiah, 2022, </w:t>
      </w:r>
      <w:r w:rsidR="00AC1CBE">
        <w:rPr>
          <w:rFonts w:cs="Arial"/>
          <w:color w:val="000000" w:themeColor="text1"/>
        </w:rPr>
        <w:t>p.</w:t>
      </w:r>
      <w:r w:rsidRPr="0003652C">
        <w:rPr>
          <w:rFonts w:cs="Arial"/>
          <w:color w:val="000000" w:themeColor="text1"/>
        </w:rPr>
        <w:t xml:space="preserve">11). </w:t>
      </w:r>
    </w:p>
    <w:p w14:paraId="40F7FA2D" w14:textId="55809686" w:rsidR="003876BC" w:rsidRPr="0003652C" w:rsidRDefault="003876BC" w:rsidP="0003652C">
      <w:pPr>
        <w:spacing w:line="360" w:lineRule="auto"/>
        <w:jc w:val="both"/>
        <w:rPr>
          <w:rFonts w:cs="Arial"/>
          <w:color w:val="000000" w:themeColor="text1"/>
        </w:rPr>
      </w:pPr>
      <w:r w:rsidRPr="0003652C">
        <w:rPr>
          <w:rFonts w:cs="Arial"/>
          <w:color w:val="000000" w:themeColor="text1"/>
        </w:rPr>
        <w:t>These paradigms or values obviously change and develop as specific movements gain traction. Disciplines also disperse</w:t>
      </w:r>
      <w:r w:rsidR="00AC1CBE">
        <w:rPr>
          <w:rFonts w:cs="Arial"/>
          <w:color w:val="000000" w:themeColor="text1"/>
        </w:rPr>
        <w:t>,</w:t>
      </w:r>
      <w:r w:rsidRPr="0003652C">
        <w:rPr>
          <w:rFonts w:cs="Arial"/>
          <w:color w:val="000000" w:themeColor="text1"/>
        </w:rPr>
        <w:t xml:space="preserve"> and there are more disciplines and more sub</w:t>
      </w:r>
      <w:r w:rsidR="000D705A">
        <w:rPr>
          <w:rFonts w:cs="Arial"/>
          <w:color w:val="000000" w:themeColor="text1"/>
        </w:rPr>
        <w:t>-</w:t>
      </w:r>
      <w:r w:rsidRPr="0003652C">
        <w:rPr>
          <w:rFonts w:cs="Arial"/>
          <w:color w:val="000000" w:themeColor="text1"/>
        </w:rPr>
        <w:t>disciplines (Henkel, 2000). Toma suggests that to understand cultures within the legal discipline, we need to recognise the impact of these paradigms, and we need to discover these and refine these (Toma, 1997). Others understandably shy away from this exercise, citing their complicated nature (Cownie, 2004).</w:t>
      </w:r>
    </w:p>
    <w:p w14:paraId="2D1FE789" w14:textId="3371E979" w:rsidR="00BE092B" w:rsidRPr="0003652C" w:rsidRDefault="00BE092B" w:rsidP="0003652C">
      <w:pPr>
        <w:pStyle w:val="Heading4"/>
        <w:spacing w:line="360" w:lineRule="auto"/>
        <w:rPr>
          <w:rFonts w:ascii="Arial" w:hAnsi="Arial" w:cs="Arial"/>
        </w:rPr>
      </w:pPr>
      <w:r w:rsidRPr="0003652C">
        <w:rPr>
          <w:rFonts w:ascii="Arial" w:hAnsi="Arial" w:cs="Arial"/>
        </w:rPr>
        <w:t>The knower</w:t>
      </w:r>
    </w:p>
    <w:p w14:paraId="5CEC7BC6" w14:textId="28FF134B" w:rsidR="000D63F5" w:rsidRPr="0005689B" w:rsidRDefault="000D63F5" w:rsidP="0003652C">
      <w:pPr>
        <w:spacing w:line="360" w:lineRule="auto"/>
        <w:jc w:val="both"/>
        <w:rPr>
          <w:rFonts w:cs="Arial"/>
          <w:color w:val="E36C0A" w:themeColor="accent6" w:themeShade="BF"/>
        </w:rPr>
      </w:pPr>
      <w:r w:rsidRPr="0003652C">
        <w:rPr>
          <w:rFonts w:cs="Arial"/>
          <w:color w:val="000000" w:themeColor="text1"/>
        </w:rPr>
        <w:t>Intrinsically linked with the difficult question of what knowledge is to be distributed</w:t>
      </w:r>
      <w:r w:rsidRPr="0003652C">
        <w:rPr>
          <w:rFonts w:cs="Arial"/>
        </w:rPr>
        <w:t xml:space="preserve"> is the question of who decides what it is, and under what conditions it is created and recognised. Bernstein sees these ‘knowers’ as being seated in the ‘elite’ universities, </w:t>
      </w:r>
      <w:r w:rsidRPr="0003652C">
        <w:rPr>
          <w:rFonts w:cs="Arial"/>
          <w:color w:val="000000" w:themeColor="text1"/>
        </w:rPr>
        <w:t xml:space="preserve">controlling the </w:t>
      </w:r>
      <w:r w:rsidRPr="0003652C">
        <w:rPr>
          <w:rFonts w:cs="Arial"/>
        </w:rPr>
        <w:t>intellectual field (Moore &amp; Maton, 2001; Maton, 2004), as a result of being able to attract better resources</w:t>
      </w:r>
      <w:r w:rsidR="00E20D7B">
        <w:rPr>
          <w:rFonts w:cs="Arial"/>
        </w:rPr>
        <w:t>,</w:t>
      </w:r>
      <w:r w:rsidRPr="0003652C">
        <w:rPr>
          <w:rFonts w:cs="Arial"/>
        </w:rPr>
        <w:t xml:space="preserve"> enabling a focus on research. The ‘non-elite’ institutions</w:t>
      </w:r>
      <w:r w:rsidR="00E20D7B">
        <w:rPr>
          <w:rFonts w:cs="Arial"/>
        </w:rPr>
        <w:t>,</w:t>
      </w:r>
      <w:r w:rsidRPr="0003652C">
        <w:rPr>
          <w:rFonts w:cs="Arial"/>
        </w:rPr>
        <w:t xml:space="preserve"> on the other hand</w:t>
      </w:r>
      <w:r w:rsidR="00E20D7B">
        <w:rPr>
          <w:rFonts w:cs="Arial"/>
        </w:rPr>
        <w:t>,</w:t>
      </w:r>
      <w:r w:rsidRPr="0003652C">
        <w:rPr>
          <w:rFonts w:cs="Arial"/>
        </w:rPr>
        <w:t xml:space="preserve"> are subject to market pressures. </w:t>
      </w:r>
      <w:r w:rsidRPr="0003652C">
        <w:rPr>
          <w:rFonts w:cs="Arial"/>
        </w:rPr>
        <w:lastRenderedPageBreak/>
        <w:t>The former provide</w:t>
      </w:r>
      <w:r w:rsidR="00E20D7B">
        <w:rPr>
          <w:rFonts w:cs="Arial"/>
        </w:rPr>
        <w:t>s</w:t>
      </w:r>
      <w:r w:rsidRPr="0003652C">
        <w:rPr>
          <w:rFonts w:cs="Arial"/>
        </w:rPr>
        <w:t xml:space="preserve"> the space for powerful disciplinary knowledge, whereas the influence of the vocational may hinder this</w:t>
      </w:r>
      <w:r w:rsidR="000D705A">
        <w:rPr>
          <w:rFonts w:cs="Arial"/>
        </w:rPr>
        <w:t xml:space="preserve"> for the latter</w:t>
      </w:r>
      <w:r w:rsidRPr="0003652C">
        <w:rPr>
          <w:rFonts w:cs="Arial"/>
        </w:rPr>
        <w:t xml:space="preserve">. </w:t>
      </w:r>
    </w:p>
    <w:p w14:paraId="1D967B8E" w14:textId="5C93EC67" w:rsidR="000D63F5" w:rsidRPr="0003652C" w:rsidRDefault="000D63F5" w:rsidP="0003652C">
      <w:pPr>
        <w:spacing w:line="360" w:lineRule="auto"/>
        <w:jc w:val="both"/>
        <w:rPr>
          <w:rFonts w:cs="Arial"/>
        </w:rPr>
      </w:pPr>
      <w:r w:rsidRPr="0003652C">
        <w:rPr>
          <w:rFonts w:cs="Arial"/>
        </w:rPr>
        <w:t>The hierarchical boundaries between the distribut</w:t>
      </w:r>
      <w:r w:rsidR="00140742" w:rsidRPr="0003652C">
        <w:rPr>
          <w:rFonts w:cs="Arial"/>
        </w:rPr>
        <w:t>ed</w:t>
      </w:r>
      <w:r w:rsidRPr="0003652C">
        <w:rPr>
          <w:rFonts w:cs="Arial"/>
        </w:rPr>
        <w:t xml:space="preserve"> knowledge and the consequential fields of recontextuali</w:t>
      </w:r>
      <w:r w:rsidR="000D705A">
        <w:rPr>
          <w:rFonts w:cs="Arial"/>
        </w:rPr>
        <w:t>s</w:t>
      </w:r>
      <w:r w:rsidRPr="0003652C">
        <w:rPr>
          <w:rFonts w:cs="Arial"/>
        </w:rPr>
        <w:t xml:space="preserve">ation are relatively strong in the context of schooling (Singh, 2002). Whilst Bernstein’s pedagogic device is applicable to higher education </w:t>
      </w:r>
      <w:r w:rsidRPr="0003652C">
        <w:rPr>
          <w:rFonts w:cs="Arial"/>
          <w:color w:val="000000" w:themeColor="text1"/>
        </w:rPr>
        <w:t>(Shay, 2008), the</w:t>
      </w:r>
      <w:r w:rsidRPr="0003652C">
        <w:rPr>
          <w:rFonts w:cs="Arial"/>
        </w:rPr>
        <w:t xml:space="preserve"> boundaries here might be more fluid. In higher education</w:t>
      </w:r>
      <w:r w:rsidR="00E20D7B">
        <w:rPr>
          <w:rFonts w:cs="Arial"/>
        </w:rPr>
        <w:t>,</w:t>
      </w:r>
      <w:r w:rsidRPr="0003652C">
        <w:rPr>
          <w:rFonts w:cs="Arial"/>
        </w:rPr>
        <w:t xml:space="preserve"> academics are creating the knowledge. They may</w:t>
      </w:r>
      <w:r w:rsidR="00E20D7B">
        <w:rPr>
          <w:rFonts w:cs="Arial"/>
        </w:rPr>
        <w:t>,</w:t>
      </w:r>
      <w:r w:rsidRPr="0003652C">
        <w:rPr>
          <w:rFonts w:cs="Arial"/>
        </w:rPr>
        <w:t xml:space="preserve"> however</w:t>
      </w:r>
      <w:r w:rsidR="00E20D7B">
        <w:rPr>
          <w:rFonts w:cs="Arial"/>
        </w:rPr>
        <w:t>,</w:t>
      </w:r>
      <w:r w:rsidRPr="0003652C">
        <w:rPr>
          <w:rFonts w:cs="Arial"/>
        </w:rPr>
        <w:t xml:space="preserve"> also be those who are responsible for recontex</w:t>
      </w:r>
      <w:r w:rsidR="00E20D7B">
        <w:rPr>
          <w:rFonts w:cs="Arial"/>
        </w:rPr>
        <w:t>t</w:t>
      </w:r>
      <w:r w:rsidRPr="0003652C">
        <w:rPr>
          <w:rFonts w:cs="Arial"/>
        </w:rPr>
        <w:t>ualising it for the purpose of learning.  Academics may</w:t>
      </w:r>
      <w:r w:rsidR="00E20D7B">
        <w:rPr>
          <w:rFonts w:cs="Arial"/>
        </w:rPr>
        <w:t>,</w:t>
      </w:r>
      <w:r w:rsidRPr="0003652C">
        <w:rPr>
          <w:rFonts w:cs="Arial"/>
        </w:rPr>
        <w:t xml:space="preserve"> in fact</w:t>
      </w:r>
      <w:r w:rsidR="00E20D7B">
        <w:rPr>
          <w:rFonts w:cs="Arial"/>
        </w:rPr>
        <w:t>,</w:t>
      </w:r>
      <w:r w:rsidRPr="0003652C">
        <w:rPr>
          <w:rFonts w:cs="Arial"/>
        </w:rPr>
        <w:t xml:space="preserve"> be involved in the production, recontextuali</w:t>
      </w:r>
      <w:r w:rsidR="00140742" w:rsidRPr="0003652C">
        <w:rPr>
          <w:rFonts w:cs="Arial"/>
        </w:rPr>
        <w:t>s</w:t>
      </w:r>
      <w:r w:rsidRPr="0003652C">
        <w:rPr>
          <w:rFonts w:cs="Arial"/>
        </w:rPr>
        <w:t>ation and reproduction</w:t>
      </w:r>
      <w:r w:rsidR="00140742" w:rsidRPr="0003652C">
        <w:rPr>
          <w:rFonts w:cs="Arial"/>
        </w:rPr>
        <w:t xml:space="preserve"> fields</w:t>
      </w:r>
      <w:r w:rsidRPr="0003652C">
        <w:rPr>
          <w:rFonts w:cs="Arial"/>
        </w:rPr>
        <w:t xml:space="preserve"> in different ways depending on their own professional positioning and autonomy or the institution they reside in (Mc</w:t>
      </w:r>
      <w:r w:rsidR="00424F6F">
        <w:rPr>
          <w:rFonts w:cs="Arial"/>
        </w:rPr>
        <w:t>L</w:t>
      </w:r>
      <w:r w:rsidRPr="0003652C">
        <w:rPr>
          <w:rFonts w:cs="Arial"/>
        </w:rPr>
        <w:t>ean et al., 201</w:t>
      </w:r>
      <w:r w:rsidR="00765137" w:rsidRPr="0003652C">
        <w:rPr>
          <w:rFonts w:cs="Arial"/>
        </w:rPr>
        <w:t>8</w:t>
      </w:r>
      <w:r w:rsidRPr="0003652C">
        <w:rPr>
          <w:rFonts w:cs="Arial"/>
        </w:rPr>
        <w:t>).</w:t>
      </w:r>
    </w:p>
    <w:p w14:paraId="1E7BCD00" w14:textId="201DABF4" w:rsidR="000D63F5" w:rsidRPr="0003652C" w:rsidRDefault="000D63F5" w:rsidP="0003652C">
      <w:pPr>
        <w:spacing w:line="360" w:lineRule="auto"/>
        <w:jc w:val="both"/>
        <w:rPr>
          <w:rFonts w:cs="Arial"/>
          <w:color w:val="000000" w:themeColor="text1"/>
        </w:rPr>
      </w:pPr>
      <w:r w:rsidRPr="0003652C">
        <w:rPr>
          <w:rFonts w:cs="Arial"/>
          <w:color w:val="000000" w:themeColor="text1"/>
        </w:rPr>
        <w:t>The position of the knower and the knower’s impact on knowledge are complicated in the context of law. Bernstein’s framework presents as linear and hierarchical. Legal educational knowledge, as with many regional disciplines, has a diverse range of sources or exigencies. Academics are obviously key in selecting the knowledge and developing that</w:t>
      </w:r>
      <w:r w:rsidR="00E20D7B">
        <w:rPr>
          <w:rFonts w:cs="Arial"/>
          <w:color w:val="000000" w:themeColor="text1"/>
        </w:rPr>
        <w:t xml:space="preserve"> knowledge</w:t>
      </w:r>
      <w:r w:rsidRPr="0003652C">
        <w:rPr>
          <w:rFonts w:cs="Arial"/>
          <w:color w:val="000000" w:themeColor="text1"/>
        </w:rPr>
        <w:t xml:space="preserve"> with research, publication and textbooks.  The profession and the participants in the ‘doing’ of law, including the enforcement and adherence to law</w:t>
      </w:r>
      <w:r w:rsidR="000D705A">
        <w:rPr>
          <w:rFonts w:cs="Arial"/>
          <w:color w:val="000000" w:themeColor="text1"/>
        </w:rPr>
        <w:t>,</w:t>
      </w:r>
      <w:r w:rsidRPr="0003652C">
        <w:rPr>
          <w:rFonts w:cs="Arial"/>
          <w:color w:val="000000" w:themeColor="text1"/>
        </w:rPr>
        <w:t xml:space="preserve"> </w:t>
      </w:r>
      <w:r w:rsidR="000D705A">
        <w:rPr>
          <w:rFonts w:cs="Arial"/>
          <w:color w:val="000000" w:themeColor="text1"/>
        </w:rPr>
        <w:t>however</w:t>
      </w:r>
      <w:r w:rsidR="00E20D7B">
        <w:rPr>
          <w:rFonts w:cs="Arial"/>
          <w:color w:val="000000" w:themeColor="text1"/>
        </w:rPr>
        <w:t>,</w:t>
      </w:r>
      <w:r w:rsidR="000D705A">
        <w:rPr>
          <w:rFonts w:cs="Arial"/>
          <w:color w:val="000000" w:themeColor="text1"/>
        </w:rPr>
        <w:t xml:space="preserve"> </w:t>
      </w:r>
      <w:r w:rsidRPr="0003652C">
        <w:rPr>
          <w:rFonts w:cs="Arial"/>
          <w:color w:val="000000" w:themeColor="text1"/>
        </w:rPr>
        <w:t>all have a part to play in creating law. This can blur the boundary between distribution and recontextuali</w:t>
      </w:r>
      <w:r w:rsidR="000D705A">
        <w:rPr>
          <w:rFonts w:cs="Arial"/>
          <w:color w:val="000000" w:themeColor="text1"/>
        </w:rPr>
        <w:t>s</w:t>
      </w:r>
      <w:r w:rsidRPr="0003652C">
        <w:rPr>
          <w:rFonts w:cs="Arial"/>
          <w:color w:val="000000" w:themeColor="text1"/>
        </w:rPr>
        <w:t>ation as there is a symbiotic relationship between the creation of new knowledge and its practice. At the point of recontextuali</w:t>
      </w:r>
      <w:r w:rsidR="000D705A">
        <w:rPr>
          <w:rFonts w:cs="Arial"/>
          <w:color w:val="000000" w:themeColor="text1"/>
        </w:rPr>
        <w:t>s</w:t>
      </w:r>
      <w:r w:rsidRPr="0003652C">
        <w:rPr>
          <w:rFonts w:cs="Arial"/>
          <w:color w:val="000000" w:themeColor="text1"/>
        </w:rPr>
        <w:t>ation, for example</w:t>
      </w:r>
      <w:r w:rsidR="00E20D7B">
        <w:rPr>
          <w:rFonts w:cs="Arial"/>
          <w:color w:val="000000" w:themeColor="text1"/>
        </w:rPr>
        <w:t>,</w:t>
      </w:r>
      <w:r w:rsidRPr="0003652C">
        <w:rPr>
          <w:rFonts w:cs="Arial"/>
          <w:color w:val="000000" w:themeColor="text1"/>
        </w:rPr>
        <w:t xml:space="preserve"> in the writing of a textbook, legal doctrine is being created. Authors are often cited in law courts. Equally</w:t>
      </w:r>
      <w:r w:rsidR="00E20D7B">
        <w:rPr>
          <w:rFonts w:cs="Arial"/>
          <w:color w:val="000000" w:themeColor="text1"/>
        </w:rPr>
        <w:t>,</w:t>
      </w:r>
      <w:r w:rsidRPr="0003652C">
        <w:rPr>
          <w:rFonts w:cs="Arial"/>
          <w:color w:val="000000" w:themeColor="text1"/>
        </w:rPr>
        <w:t xml:space="preserve"> the practice of law, or even the rejection of law</w:t>
      </w:r>
      <w:r w:rsidR="00E20D7B">
        <w:rPr>
          <w:rFonts w:cs="Arial"/>
          <w:color w:val="000000" w:themeColor="text1"/>
        </w:rPr>
        <w:t>,</w:t>
      </w:r>
      <w:r w:rsidRPr="0003652C">
        <w:rPr>
          <w:rFonts w:cs="Arial"/>
          <w:color w:val="000000" w:themeColor="text1"/>
        </w:rPr>
        <w:t xml:space="preserve"> can influence what is regarded as legal knowledge. The boundaries here are less clear as the agents, or knowers that operate in the production of knowledge, may also be apparent in the recontextualisation of that knowledge. If valid knowledge in law is created not only by academics, but also by judges, politicians, and other participants, and in fact if law is a constantly evolving human creation (unlike</w:t>
      </w:r>
      <w:r w:rsidR="00E20D7B">
        <w:rPr>
          <w:rFonts w:cs="Arial"/>
          <w:color w:val="000000" w:themeColor="text1"/>
        </w:rPr>
        <w:t>,</w:t>
      </w:r>
      <w:r w:rsidRPr="0003652C">
        <w:rPr>
          <w:rFonts w:cs="Arial"/>
          <w:color w:val="000000" w:themeColor="text1"/>
        </w:rPr>
        <w:t xml:space="preserve"> for example</w:t>
      </w:r>
      <w:r w:rsidR="00E20D7B">
        <w:rPr>
          <w:rFonts w:cs="Arial"/>
          <w:color w:val="000000" w:themeColor="text1"/>
        </w:rPr>
        <w:t>,</w:t>
      </w:r>
      <w:r w:rsidRPr="0003652C">
        <w:rPr>
          <w:rFonts w:cs="Arial"/>
          <w:color w:val="000000" w:themeColor="text1"/>
        </w:rPr>
        <w:t xml:space="preserve"> the laws of physics</w:t>
      </w:r>
      <w:r w:rsidR="00E20D7B">
        <w:rPr>
          <w:rFonts w:cs="Arial"/>
          <w:color w:val="000000" w:themeColor="text1"/>
        </w:rPr>
        <w:t>,</w:t>
      </w:r>
      <w:r w:rsidRPr="0003652C">
        <w:rPr>
          <w:rFonts w:cs="Arial"/>
          <w:color w:val="000000" w:themeColor="text1"/>
        </w:rPr>
        <w:t xml:space="preserve"> which exist independently of human intervention), then this contested space becomes a more complicated arena. </w:t>
      </w:r>
    </w:p>
    <w:p w14:paraId="67D45540" w14:textId="2D5A722E" w:rsidR="00AC1557" w:rsidRDefault="000D63F5" w:rsidP="0003652C">
      <w:pPr>
        <w:spacing w:line="360" w:lineRule="auto"/>
        <w:jc w:val="both"/>
        <w:rPr>
          <w:rFonts w:cs="Arial"/>
        </w:rPr>
      </w:pPr>
      <w:r w:rsidRPr="0003652C">
        <w:rPr>
          <w:rFonts w:cs="Arial"/>
          <w:color w:val="000000" w:themeColor="text1"/>
        </w:rPr>
        <w:lastRenderedPageBreak/>
        <w:t>A further factor for consideration</w:t>
      </w:r>
      <w:r w:rsidR="00E20D7B">
        <w:rPr>
          <w:rFonts w:cs="Arial"/>
          <w:color w:val="000000" w:themeColor="text1"/>
        </w:rPr>
        <w:t>,</w:t>
      </w:r>
      <w:r w:rsidRPr="0003652C">
        <w:rPr>
          <w:rFonts w:cs="Arial"/>
          <w:color w:val="000000" w:themeColor="text1"/>
        </w:rPr>
        <w:t xml:space="preserve"> which impacts on who the knower is, are the conditions in which the new knowledge exists or is produced.  Within an increasingly market led higher education, </w:t>
      </w:r>
      <w:r w:rsidRPr="0003652C">
        <w:rPr>
          <w:rFonts w:cs="Arial"/>
        </w:rPr>
        <w:t xml:space="preserve">Barnett highlights the shift in power relations to the employers, and the provision of more space for consumer driven students’ voice, stating that </w:t>
      </w:r>
      <w:r w:rsidRPr="000D705A">
        <w:rPr>
          <w:rFonts w:cs="Arial"/>
          <w:i/>
          <w:iCs/>
        </w:rPr>
        <w:t>whose</w:t>
      </w:r>
      <w:r w:rsidRPr="0003652C">
        <w:rPr>
          <w:rFonts w:cs="Arial"/>
        </w:rPr>
        <w:t xml:space="preserve"> discourse is dominant will constitute what is useful knowledge (Barnett, 2009), whilst Maton discusses how the hierarchical power structures remain even though the ‘knower’ base is extended to these ‘new students’ as higher education expands (Maton, 2004). </w:t>
      </w:r>
    </w:p>
    <w:p w14:paraId="0D4D4E56" w14:textId="77777777" w:rsidR="009A26A6" w:rsidRPr="0005689B" w:rsidRDefault="009A26A6" w:rsidP="0003652C">
      <w:pPr>
        <w:spacing w:line="360" w:lineRule="auto"/>
        <w:jc w:val="both"/>
        <w:rPr>
          <w:rFonts w:cs="Arial"/>
        </w:rPr>
      </w:pPr>
    </w:p>
    <w:p w14:paraId="12409BDE" w14:textId="4A9BDBFC" w:rsidR="00BE092B" w:rsidRPr="0003652C" w:rsidRDefault="00BE092B" w:rsidP="0003652C">
      <w:pPr>
        <w:pStyle w:val="Heading4"/>
        <w:spacing w:line="360" w:lineRule="auto"/>
        <w:rPr>
          <w:rFonts w:ascii="Arial" w:hAnsi="Arial" w:cs="Arial"/>
        </w:rPr>
      </w:pPr>
      <w:r w:rsidRPr="0003652C">
        <w:rPr>
          <w:rFonts w:ascii="Arial" w:hAnsi="Arial" w:cs="Arial"/>
        </w:rPr>
        <w:t xml:space="preserve">Conclusion  </w:t>
      </w:r>
    </w:p>
    <w:p w14:paraId="0C2DA8DF" w14:textId="0E5C430D" w:rsidR="00BE092B" w:rsidRPr="0003652C" w:rsidRDefault="00BE092B" w:rsidP="0003652C">
      <w:pPr>
        <w:spacing w:line="360" w:lineRule="auto"/>
        <w:jc w:val="both"/>
        <w:rPr>
          <w:rFonts w:cs="Arial"/>
          <w:color w:val="000000" w:themeColor="text1"/>
        </w:rPr>
      </w:pPr>
      <w:r w:rsidRPr="0003652C">
        <w:rPr>
          <w:rFonts w:cs="Arial"/>
          <w:color w:val="000000" w:themeColor="text1"/>
        </w:rPr>
        <w:t>Hall and Rasiah ask</w:t>
      </w:r>
    </w:p>
    <w:p w14:paraId="4EB41CF9" w14:textId="070593F3" w:rsidR="00BE092B" w:rsidRPr="0003652C" w:rsidRDefault="00BE092B" w:rsidP="0003652C">
      <w:pPr>
        <w:spacing w:line="360" w:lineRule="auto"/>
        <w:ind w:left="720"/>
        <w:jc w:val="both"/>
        <w:rPr>
          <w:rFonts w:cs="Arial"/>
          <w:color w:val="000000" w:themeColor="text1"/>
        </w:rPr>
      </w:pPr>
      <w:r w:rsidRPr="0003652C">
        <w:rPr>
          <w:rFonts w:cs="Arial"/>
          <w:color w:val="000000" w:themeColor="text1"/>
        </w:rPr>
        <w:t>Can we, as individual law teachers, as collective groups in law schools and across the law teacher community</w:t>
      </w:r>
      <w:r w:rsidR="00E20D7B">
        <w:rPr>
          <w:rFonts w:cs="Arial"/>
          <w:color w:val="000000" w:themeColor="text1"/>
        </w:rPr>
        <w:t>,</w:t>
      </w:r>
      <w:r w:rsidRPr="0003652C">
        <w:rPr>
          <w:rFonts w:cs="Arial"/>
          <w:color w:val="000000" w:themeColor="text1"/>
        </w:rPr>
        <w:t xml:space="preserve"> articulate to ourselves where that knowledge comes from, how theoretically commensurate it is with our understanding of what the law is and what law school is for? Can we map and interrogate how that translates to our structures and practices? (Hall &amp; Rasiah, 2022, </w:t>
      </w:r>
      <w:r w:rsidR="009A26A6">
        <w:rPr>
          <w:rFonts w:cs="Arial"/>
          <w:color w:val="000000" w:themeColor="text1"/>
        </w:rPr>
        <w:t>p.</w:t>
      </w:r>
      <w:r w:rsidRPr="0003652C">
        <w:rPr>
          <w:rFonts w:cs="Arial"/>
          <w:color w:val="000000" w:themeColor="text1"/>
        </w:rPr>
        <w:t xml:space="preserve">11) </w:t>
      </w:r>
    </w:p>
    <w:p w14:paraId="6EC84B81" w14:textId="12F4C046" w:rsidR="00BE092B" w:rsidRPr="0003652C" w:rsidRDefault="00BE092B" w:rsidP="0003652C">
      <w:pPr>
        <w:spacing w:line="360" w:lineRule="auto"/>
        <w:jc w:val="both"/>
        <w:rPr>
          <w:rFonts w:cs="Arial"/>
          <w:color w:val="000000" w:themeColor="text1"/>
        </w:rPr>
      </w:pPr>
      <w:r w:rsidRPr="0003652C">
        <w:rPr>
          <w:rFonts w:cs="Arial"/>
          <w:color w:val="000000" w:themeColor="text1"/>
        </w:rPr>
        <w:t>The distributive rules are operating in a</w:t>
      </w:r>
      <w:r w:rsidR="000D63F5" w:rsidRPr="0003652C">
        <w:rPr>
          <w:rFonts w:cs="Arial"/>
          <w:color w:val="000000" w:themeColor="text1"/>
        </w:rPr>
        <w:t xml:space="preserve"> highly contested </w:t>
      </w:r>
      <w:r w:rsidR="00870D89" w:rsidRPr="0003652C">
        <w:rPr>
          <w:rFonts w:cs="Arial"/>
          <w:color w:val="000000" w:themeColor="text1"/>
        </w:rPr>
        <w:t>field, and the agents have the potential to operate in more than one role</w:t>
      </w:r>
      <w:r w:rsidR="000D63F5" w:rsidRPr="0003652C">
        <w:rPr>
          <w:rFonts w:cs="Arial"/>
          <w:color w:val="000000" w:themeColor="text1"/>
        </w:rPr>
        <w:t xml:space="preserve">. </w:t>
      </w:r>
      <w:r w:rsidR="00870D89" w:rsidRPr="0003652C">
        <w:rPr>
          <w:rFonts w:cs="Arial"/>
          <w:color w:val="000000" w:themeColor="text1"/>
        </w:rPr>
        <w:t xml:space="preserve">The status of the </w:t>
      </w:r>
      <w:r w:rsidR="001D765D">
        <w:rPr>
          <w:rFonts w:cs="Arial"/>
          <w:color w:val="000000" w:themeColor="text1"/>
        </w:rPr>
        <w:t xml:space="preserve">higher education </w:t>
      </w:r>
      <w:r w:rsidR="00870D89" w:rsidRPr="0003652C">
        <w:rPr>
          <w:rFonts w:cs="Arial"/>
          <w:color w:val="000000" w:themeColor="text1"/>
        </w:rPr>
        <w:t>institution might also be pertinent to access to powerful knowledge. Additionally,</w:t>
      </w:r>
      <w:r w:rsidRPr="0003652C">
        <w:rPr>
          <w:rFonts w:cs="Arial"/>
          <w:color w:val="000000" w:themeColor="text1"/>
        </w:rPr>
        <w:t xml:space="preserve"> a change in regulation for legal education raises the discussion beyond the nature of that regulation and its efficiency or utility</w:t>
      </w:r>
      <w:r w:rsidR="000D63F5" w:rsidRPr="0003652C">
        <w:rPr>
          <w:rFonts w:cs="Arial"/>
          <w:color w:val="000000" w:themeColor="text1"/>
        </w:rPr>
        <w:t xml:space="preserve">. It </w:t>
      </w:r>
      <w:r w:rsidRPr="0003652C">
        <w:rPr>
          <w:rFonts w:cs="Arial"/>
          <w:color w:val="000000" w:themeColor="text1"/>
        </w:rPr>
        <w:t>bring</w:t>
      </w:r>
      <w:r w:rsidR="000D63F5" w:rsidRPr="0003652C">
        <w:rPr>
          <w:rFonts w:cs="Arial"/>
          <w:color w:val="000000" w:themeColor="text1"/>
        </w:rPr>
        <w:t>s</w:t>
      </w:r>
      <w:r w:rsidRPr="0003652C">
        <w:rPr>
          <w:rFonts w:cs="Arial"/>
          <w:color w:val="000000" w:themeColor="text1"/>
        </w:rPr>
        <w:t xml:space="preserve"> together different subcultures of law in discussions which go to the heart of what legal knowledge is </w:t>
      </w:r>
      <w:r w:rsidR="000D63F5" w:rsidRPr="0003652C">
        <w:rPr>
          <w:rFonts w:cs="Arial"/>
          <w:color w:val="000000" w:themeColor="text1"/>
        </w:rPr>
        <w:t>and what legal education is for.</w:t>
      </w:r>
      <w:r w:rsidR="00E20D7B">
        <w:rPr>
          <w:rFonts w:cs="Arial"/>
          <w:color w:val="000000" w:themeColor="text1"/>
        </w:rPr>
        <w:t xml:space="preserve"> </w:t>
      </w:r>
      <w:r w:rsidR="00870D89" w:rsidRPr="0003652C">
        <w:rPr>
          <w:rFonts w:cs="Arial"/>
          <w:color w:val="000000" w:themeColor="text1"/>
        </w:rPr>
        <w:t>The change here raises two questions for</w:t>
      </w:r>
      <w:r w:rsidRPr="0003652C">
        <w:rPr>
          <w:rFonts w:cs="Arial"/>
          <w:color w:val="000000" w:themeColor="text1"/>
        </w:rPr>
        <w:t xml:space="preserve"> Bernstein</w:t>
      </w:r>
      <w:r w:rsidR="00870D89" w:rsidRPr="0003652C">
        <w:rPr>
          <w:rFonts w:cs="Arial"/>
          <w:color w:val="000000" w:themeColor="text1"/>
        </w:rPr>
        <w:t>,</w:t>
      </w:r>
    </w:p>
    <w:p w14:paraId="150585E8" w14:textId="6908BF7C" w:rsidR="00BE092B" w:rsidRPr="0003652C" w:rsidRDefault="00BE092B" w:rsidP="0003652C">
      <w:pPr>
        <w:spacing w:line="360" w:lineRule="auto"/>
        <w:ind w:left="720"/>
        <w:jc w:val="both"/>
        <w:rPr>
          <w:rFonts w:cs="Arial"/>
          <w:color w:val="000000" w:themeColor="text1"/>
        </w:rPr>
      </w:pPr>
      <w:r w:rsidRPr="0003652C">
        <w:rPr>
          <w:rFonts w:cs="Arial"/>
          <w:color w:val="000000" w:themeColor="text1"/>
        </w:rPr>
        <w:t>Which group is responsible for initiating change? Is the change initiated by a dominant group or a dominated group?</w:t>
      </w:r>
    </w:p>
    <w:p w14:paraId="5D3831A0" w14:textId="3F51F1B8" w:rsidR="0039457C" w:rsidRPr="0005689B" w:rsidRDefault="00BE092B" w:rsidP="0005689B">
      <w:pPr>
        <w:spacing w:line="360" w:lineRule="auto"/>
        <w:ind w:left="720"/>
        <w:jc w:val="both"/>
        <w:rPr>
          <w:rFonts w:cs="Arial"/>
          <w:color w:val="000000" w:themeColor="text1"/>
        </w:rPr>
      </w:pPr>
      <w:r w:rsidRPr="0003652C">
        <w:rPr>
          <w:rFonts w:cs="Arial"/>
          <w:color w:val="000000" w:themeColor="text1"/>
        </w:rPr>
        <w:lastRenderedPageBreak/>
        <w:t xml:space="preserve">If values are weakening, what values still remain strong? (Bernstein, 2000. </w:t>
      </w:r>
      <w:r w:rsidR="009A26A6">
        <w:rPr>
          <w:rFonts w:cs="Arial"/>
          <w:color w:val="000000" w:themeColor="text1"/>
        </w:rPr>
        <w:t>p.</w:t>
      </w:r>
      <w:r w:rsidRPr="0003652C">
        <w:rPr>
          <w:rFonts w:cs="Arial"/>
          <w:color w:val="000000" w:themeColor="text1"/>
        </w:rPr>
        <w:t>15)</w:t>
      </w:r>
    </w:p>
    <w:p w14:paraId="0A9E0344" w14:textId="33245292" w:rsidR="001C57A6" w:rsidRPr="0005689B" w:rsidRDefault="00ED5CC2" w:rsidP="0003652C">
      <w:pPr>
        <w:pStyle w:val="Heading3"/>
        <w:spacing w:after="100" w:afterAutospacing="1" w:line="360" w:lineRule="auto"/>
        <w:rPr>
          <w:rFonts w:ascii="Arial" w:hAnsi="Arial" w:cs="Arial"/>
        </w:rPr>
      </w:pPr>
      <w:bookmarkStart w:id="44" w:name="_Toc223348836"/>
      <w:r w:rsidRPr="0003652C">
        <w:rPr>
          <w:rFonts w:ascii="Arial" w:hAnsi="Arial" w:cs="Arial"/>
        </w:rPr>
        <w:t>Recontextualising rules</w:t>
      </w:r>
      <w:bookmarkEnd w:id="44"/>
    </w:p>
    <w:p w14:paraId="539289ED" w14:textId="099D6356" w:rsidR="00870D89" w:rsidRPr="0003652C" w:rsidRDefault="00870D89" w:rsidP="0003652C">
      <w:pPr>
        <w:spacing w:line="360" w:lineRule="auto"/>
        <w:jc w:val="both"/>
        <w:rPr>
          <w:rFonts w:cs="Arial"/>
          <w:color w:val="000000" w:themeColor="text1"/>
        </w:rPr>
      </w:pPr>
      <w:r w:rsidRPr="0003652C">
        <w:rPr>
          <w:rFonts w:cs="Arial"/>
          <w:color w:val="000000" w:themeColor="text1"/>
        </w:rPr>
        <w:t xml:space="preserve">Bernstein’s </w:t>
      </w:r>
      <w:r w:rsidR="00DB32E4" w:rsidRPr="0003652C">
        <w:rPr>
          <w:rFonts w:cs="Arial"/>
          <w:color w:val="000000" w:themeColor="text1"/>
        </w:rPr>
        <w:t>recontextuali</w:t>
      </w:r>
      <w:r w:rsidR="000D705A">
        <w:rPr>
          <w:rFonts w:cs="Arial"/>
          <w:color w:val="000000" w:themeColor="text1"/>
        </w:rPr>
        <w:t>s</w:t>
      </w:r>
      <w:r w:rsidR="00DB32E4" w:rsidRPr="0003652C">
        <w:rPr>
          <w:rFonts w:cs="Arial"/>
          <w:color w:val="000000" w:themeColor="text1"/>
        </w:rPr>
        <w:t>ation rules enable the transformation of knowledge into</w:t>
      </w:r>
      <w:r w:rsidRPr="0003652C">
        <w:rPr>
          <w:rFonts w:cs="Arial"/>
          <w:color w:val="000000" w:themeColor="text1"/>
        </w:rPr>
        <w:t xml:space="preserve"> curricula a</w:t>
      </w:r>
      <w:r w:rsidR="000D705A">
        <w:rPr>
          <w:rFonts w:cs="Arial"/>
          <w:color w:val="000000" w:themeColor="text1"/>
        </w:rPr>
        <w:t>s it</w:t>
      </w:r>
      <w:r w:rsidRPr="0003652C">
        <w:rPr>
          <w:rFonts w:cs="Arial"/>
          <w:color w:val="000000" w:themeColor="text1"/>
        </w:rPr>
        <w:t xml:space="preserve"> becomes knowledge-as-curriculum (Bernstein, 2000; Ashwin, 2009). He sees this as taking place in the context of schools in state departments of education, in teacher training schools and with textbooks.  It is the point at which there is a selection of knowledge discriminating what is included (Gibbons, 2020)</w:t>
      </w:r>
      <w:r w:rsidR="00E20D7B">
        <w:rPr>
          <w:rFonts w:cs="Arial"/>
          <w:color w:val="000000" w:themeColor="text1"/>
        </w:rPr>
        <w:t>,</w:t>
      </w:r>
      <w:r w:rsidRPr="0003652C">
        <w:rPr>
          <w:rFonts w:cs="Arial"/>
          <w:color w:val="000000" w:themeColor="text1"/>
        </w:rPr>
        <w:t xml:space="preserve"> and it represents the site of the device where the power relations are most evident</w:t>
      </w:r>
      <w:r w:rsidRPr="0003652C">
        <w:rPr>
          <w:rFonts w:cs="Arial"/>
          <w:color w:val="E36C0A" w:themeColor="accent6" w:themeShade="BF"/>
        </w:rPr>
        <w:t xml:space="preserve">.  </w:t>
      </w:r>
      <w:r w:rsidRPr="0003652C">
        <w:rPr>
          <w:rFonts w:cs="Arial"/>
          <w:color w:val="000000" w:themeColor="text1"/>
        </w:rPr>
        <w:t>Here</w:t>
      </w:r>
      <w:r w:rsidR="00E20D7B">
        <w:rPr>
          <w:rFonts w:cs="Arial"/>
          <w:color w:val="000000" w:themeColor="text1"/>
        </w:rPr>
        <w:t>,</w:t>
      </w:r>
      <w:r w:rsidRPr="0003652C">
        <w:rPr>
          <w:rFonts w:cs="Arial"/>
          <w:color w:val="000000" w:themeColor="text1"/>
        </w:rPr>
        <w:t xml:space="preserve"> </w:t>
      </w:r>
      <w:r w:rsidR="00DB32E4" w:rsidRPr="0003652C">
        <w:rPr>
          <w:rFonts w:cs="Arial"/>
          <w:color w:val="000000" w:themeColor="text1"/>
        </w:rPr>
        <w:t xml:space="preserve">what is previously determined as </w:t>
      </w:r>
      <w:r w:rsidRPr="0003652C">
        <w:rPr>
          <w:rFonts w:cs="Arial"/>
          <w:color w:val="000000" w:themeColor="text1"/>
        </w:rPr>
        <w:t>legitimate knowledge is transformed into pedagogic discourse. For Bernstein</w:t>
      </w:r>
      <w:r w:rsidR="00E20D7B">
        <w:rPr>
          <w:rFonts w:cs="Arial"/>
          <w:color w:val="000000" w:themeColor="text1"/>
        </w:rPr>
        <w:t>,</w:t>
      </w:r>
      <w:r w:rsidRPr="0003652C">
        <w:rPr>
          <w:rFonts w:cs="Arial"/>
          <w:color w:val="000000" w:themeColor="text1"/>
        </w:rPr>
        <w:t xml:space="preserve"> the recontextualization of disciplinary knowledge is dictated by the distribution rules</w:t>
      </w:r>
      <w:r w:rsidR="00DB32E4" w:rsidRPr="0003652C">
        <w:rPr>
          <w:rFonts w:cs="Arial"/>
          <w:color w:val="000000" w:themeColor="text1"/>
        </w:rPr>
        <w:t>, and this recontextuali</w:t>
      </w:r>
      <w:r w:rsidR="000D705A">
        <w:rPr>
          <w:rFonts w:cs="Arial"/>
          <w:color w:val="000000" w:themeColor="text1"/>
        </w:rPr>
        <w:t>s</w:t>
      </w:r>
      <w:r w:rsidR="00DB32E4" w:rsidRPr="0003652C">
        <w:rPr>
          <w:rFonts w:cs="Arial"/>
          <w:color w:val="000000" w:themeColor="text1"/>
        </w:rPr>
        <w:t xml:space="preserve">ation in turn </w:t>
      </w:r>
      <w:r w:rsidRPr="0003652C">
        <w:rPr>
          <w:rFonts w:cs="Arial"/>
          <w:color w:val="000000" w:themeColor="text1"/>
        </w:rPr>
        <w:t>dictates or limits the evaluation of that knowledge or the student</w:t>
      </w:r>
      <w:r w:rsidR="00E20D7B">
        <w:rPr>
          <w:rFonts w:cs="Arial"/>
          <w:color w:val="000000" w:themeColor="text1"/>
        </w:rPr>
        <w:t>’s</w:t>
      </w:r>
      <w:r w:rsidRPr="0003652C">
        <w:rPr>
          <w:rFonts w:cs="Arial"/>
          <w:color w:val="000000" w:themeColor="text1"/>
        </w:rPr>
        <w:t xml:space="preserve"> understanding (Bernstein, 2000). It is therefore important that this recontex</w:t>
      </w:r>
      <w:r w:rsidR="00833640" w:rsidRPr="0003652C">
        <w:rPr>
          <w:rFonts w:cs="Arial"/>
          <w:color w:val="000000" w:themeColor="text1"/>
        </w:rPr>
        <w:t>t</w:t>
      </w:r>
      <w:r w:rsidRPr="0003652C">
        <w:rPr>
          <w:rFonts w:cs="Arial"/>
          <w:color w:val="000000" w:themeColor="text1"/>
        </w:rPr>
        <w:t xml:space="preserve">ualisation is analysed. Singh argues that </w:t>
      </w:r>
      <w:r w:rsidR="00DB32E4" w:rsidRPr="0003652C">
        <w:rPr>
          <w:rFonts w:cs="Arial"/>
          <w:color w:val="000000" w:themeColor="text1"/>
        </w:rPr>
        <w:t xml:space="preserve">as </w:t>
      </w:r>
      <w:r w:rsidRPr="0003652C">
        <w:rPr>
          <w:rFonts w:cs="Arial"/>
          <w:color w:val="000000" w:themeColor="text1"/>
        </w:rPr>
        <w:t>knowledge becomes more complex over time and there is less time to decode it</w:t>
      </w:r>
      <w:r w:rsidR="00DB32E4" w:rsidRPr="0003652C">
        <w:rPr>
          <w:rFonts w:cs="Arial"/>
          <w:color w:val="000000" w:themeColor="text1"/>
        </w:rPr>
        <w:t>, a</w:t>
      </w:r>
      <w:r w:rsidRPr="0003652C">
        <w:rPr>
          <w:rFonts w:cs="Arial"/>
          <w:color w:val="000000" w:themeColor="text1"/>
        </w:rPr>
        <w:t>gencies are increasingly left to do that decoding, and this restricts who has access to that knowledge (Singh 2002</w:t>
      </w:r>
      <w:r w:rsidR="009A26A6">
        <w:rPr>
          <w:rFonts w:cs="Arial"/>
          <w:color w:val="000000" w:themeColor="text1"/>
        </w:rPr>
        <w:t>;</w:t>
      </w:r>
      <w:r w:rsidRPr="0003652C">
        <w:rPr>
          <w:rFonts w:cs="Arial"/>
          <w:color w:val="000000" w:themeColor="text1"/>
        </w:rPr>
        <w:t xml:space="preserve"> Muller, 2000). These agencies require investigation</w:t>
      </w:r>
      <w:r w:rsidR="009A26A6">
        <w:rPr>
          <w:rFonts w:cs="Arial"/>
          <w:color w:val="000000" w:themeColor="text1"/>
        </w:rPr>
        <w:t>,</w:t>
      </w:r>
      <w:r w:rsidRPr="0003652C">
        <w:rPr>
          <w:rFonts w:cs="Arial"/>
          <w:color w:val="000000" w:themeColor="text1"/>
        </w:rPr>
        <w:t xml:space="preserve"> as they have a position of influence over the final stage of student</w:t>
      </w:r>
      <w:r w:rsidR="009A26A6">
        <w:rPr>
          <w:rFonts w:cs="Arial"/>
          <w:color w:val="000000" w:themeColor="text1"/>
        </w:rPr>
        <w:t>s’</w:t>
      </w:r>
      <w:r w:rsidRPr="0003652C">
        <w:rPr>
          <w:rFonts w:cs="Arial"/>
          <w:color w:val="000000" w:themeColor="text1"/>
        </w:rPr>
        <w:t xml:space="preserve"> understanding. Equally</w:t>
      </w:r>
      <w:r w:rsidR="00E20D7B">
        <w:rPr>
          <w:rFonts w:cs="Arial"/>
          <w:color w:val="000000" w:themeColor="text1"/>
        </w:rPr>
        <w:t>,</w:t>
      </w:r>
      <w:r w:rsidRPr="0003652C">
        <w:rPr>
          <w:rFonts w:cs="Arial"/>
          <w:color w:val="000000" w:themeColor="text1"/>
        </w:rPr>
        <w:t xml:space="preserve"> if those recontextualising the knowledge might also be those who have created or distributed that knowledge, as might be seen in higher education, the impact </w:t>
      </w:r>
      <w:r w:rsidR="00DB32E4" w:rsidRPr="0003652C">
        <w:rPr>
          <w:rFonts w:cs="Arial"/>
          <w:color w:val="000000" w:themeColor="text1"/>
        </w:rPr>
        <w:t>may have complexities</w:t>
      </w:r>
      <w:r w:rsidRPr="0003652C">
        <w:rPr>
          <w:rFonts w:cs="Arial"/>
          <w:color w:val="000000" w:themeColor="text1"/>
        </w:rPr>
        <w:t>. At this point</w:t>
      </w:r>
      <w:r w:rsidR="00E20D7B">
        <w:rPr>
          <w:rFonts w:cs="Arial"/>
          <w:color w:val="000000" w:themeColor="text1"/>
        </w:rPr>
        <w:t>,</w:t>
      </w:r>
      <w:r w:rsidRPr="0003652C">
        <w:rPr>
          <w:rFonts w:cs="Arial"/>
          <w:color w:val="000000" w:themeColor="text1"/>
        </w:rPr>
        <w:t xml:space="preserve"> therefore</w:t>
      </w:r>
      <w:r w:rsidR="00E20D7B">
        <w:rPr>
          <w:rFonts w:cs="Arial"/>
          <w:color w:val="000000" w:themeColor="text1"/>
        </w:rPr>
        <w:t>,</w:t>
      </w:r>
      <w:r w:rsidRPr="0003652C">
        <w:rPr>
          <w:rFonts w:cs="Arial"/>
          <w:color w:val="000000" w:themeColor="text1"/>
        </w:rPr>
        <w:t xml:space="preserve"> </w:t>
      </w:r>
      <w:r w:rsidR="00DB32E4" w:rsidRPr="0003652C">
        <w:rPr>
          <w:rFonts w:cs="Arial"/>
          <w:color w:val="000000" w:themeColor="text1"/>
        </w:rPr>
        <w:t xml:space="preserve">the </w:t>
      </w:r>
      <w:r w:rsidRPr="0003652C">
        <w:rPr>
          <w:rFonts w:cs="Arial"/>
          <w:color w:val="000000" w:themeColor="text1"/>
        </w:rPr>
        <w:t>investigation include</w:t>
      </w:r>
      <w:r w:rsidR="00DB32E4" w:rsidRPr="0003652C">
        <w:rPr>
          <w:rFonts w:cs="Arial"/>
          <w:color w:val="000000" w:themeColor="text1"/>
        </w:rPr>
        <w:t>s</w:t>
      </w:r>
      <w:r w:rsidRPr="0003652C">
        <w:rPr>
          <w:rFonts w:cs="Arial"/>
          <w:color w:val="000000" w:themeColor="text1"/>
        </w:rPr>
        <w:t xml:space="preserve"> the relevant power structures and the autonomy or agency present for the actors. </w:t>
      </w:r>
    </w:p>
    <w:p w14:paraId="64C93E86" w14:textId="60E87D15" w:rsidR="00870D89" w:rsidRPr="0003652C" w:rsidRDefault="00870D89" w:rsidP="0003652C">
      <w:pPr>
        <w:spacing w:line="360" w:lineRule="auto"/>
        <w:jc w:val="both"/>
        <w:rPr>
          <w:rFonts w:cs="Arial"/>
          <w:color w:val="000000" w:themeColor="text1"/>
        </w:rPr>
      </w:pPr>
      <w:r w:rsidRPr="0003652C">
        <w:rPr>
          <w:rFonts w:cs="Arial"/>
          <w:color w:val="000000" w:themeColor="text1"/>
        </w:rPr>
        <w:t>Th</w:t>
      </w:r>
      <w:r w:rsidR="00DB32E4" w:rsidRPr="0003652C">
        <w:rPr>
          <w:rFonts w:cs="Arial"/>
          <w:color w:val="000000" w:themeColor="text1"/>
        </w:rPr>
        <w:t>e focus of my</w:t>
      </w:r>
      <w:r w:rsidRPr="0003652C">
        <w:rPr>
          <w:rFonts w:cs="Arial"/>
          <w:color w:val="000000" w:themeColor="text1"/>
        </w:rPr>
        <w:t xml:space="preserve"> investigation is centred here, a</w:t>
      </w:r>
      <w:r w:rsidR="00DB32E4" w:rsidRPr="0003652C">
        <w:rPr>
          <w:rFonts w:cs="Arial"/>
          <w:color w:val="000000" w:themeColor="text1"/>
        </w:rPr>
        <w:t>s presented in</w:t>
      </w:r>
      <w:r w:rsidRPr="0003652C">
        <w:rPr>
          <w:rFonts w:cs="Arial"/>
          <w:color w:val="000000" w:themeColor="text1"/>
        </w:rPr>
        <w:t xml:space="preserve"> the findings and discussion </w:t>
      </w:r>
      <w:r w:rsidR="00DB32E4" w:rsidRPr="0003652C">
        <w:rPr>
          <w:rFonts w:cs="Arial"/>
          <w:color w:val="000000" w:themeColor="text1"/>
        </w:rPr>
        <w:t xml:space="preserve">in </w:t>
      </w:r>
      <w:r w:rsidR="00046A61">
        <w:rPr>
          <w:rFonts w:cs="Arial"/>
          <w:color w:val="000000" w:themeColor="text1"/>
        </w:rPr>
        <w:t>C</w:t>
      </w:r>
      <w:r w:rsidR="00F72961" w:rsidRPr="0003652C">
        <w:rPr>
          <w:rFonts w:cs="Arial"/>
          <w:color w:val="000000" w:themeColor="text1"/>
        </w:rPr>
        <w:t xml:space="preserve">hapters </w:t>
      </w:r>
      <w:r w:rsidR="00046A61">
        <w:rPr>
          <w:rFonts w:cs="Arial"/>
          <w:color w:val="000000" w:themeColor="text1"/>
        </w:rPr>
        <w:t>F</w:t>
      </w:r>
      <w:r w:rsidR="00F72961" w:rsidRPr="0003652C">
        <w:rPr>
          <w:rFonts w:cs="Arial"/>
          <w:color w:val="000000" w:themeColor="text1"/>
        </w:rPr>
        <w:t xml:space="preserve">ive to </w:t>
      </w:r>
      <w:r w:rsidR="00046A61">
        <w:rPr>
          <w:rFonts w:cs="Arial"/>
          <w:color w:val="000000" w:themeColor="text1"/>
        </w:rPr>
        <w:t>E</w:t>
      </w:r>
      <w:r w:rsidR="00F72961" w:rsidRPr="0003652C">
        <w:rPr>
          <w:rFonts w:cs="Arial"/>
          <w:color w:val="000000" w:themeColor="text1"/>
        </w:rPr>
        <w:t>ight.</w:t>
      </w:r>
      <w:r w:rsidRPr="0003652C">
        <w:rPr>
          <w:rFonts w:cs="Arial"/>
          <w:color w:val="000000" w:themeColor="text1"/>
        </w:rPr>
        <w:t xml:space="preserve"> </w:t>
      </w:r>
    </w:p>
    <w:p w14:paraId="1770993D" w14:textId="77777777" w:rsidR="00870D89" w:rsidRPr="0003652C" w:rsidRDefault="00870D89" w:rsidP="0003652C">
      <w:pPr>
        <w:pStyle w:val="Heading4"/>
        <w:spacing w:line="360" w:lineRule="auto"/>
        <w:rPr>
          <w:rFonts w:ascii="Arial" w:hAnsi="Arial" w:cs="Arial"/>
        </w:rPr>
      </w:pPr>
      <w:r w:rsidRPr="0003652C">
        <w:rPr>
          <w:rFonts w:ascii="Arial" w:hAnsi="Arial" w:cs="Arial"/>
        </w:rPr>
        <w:t>The impact of the classification and framing of knowledge: The regulatory fields</w:t>
      </w:r>
    </w:p>
    <w:p w14:paraId="575C02F1" w14:textId="3767333C" w:rsidR="006E628C" w:rsidRPr="0003652C" w:rsidRDefault="00DB32E4" w:rsidP="0003652C">
      <w:pPr>
        <w:spacing w:line="360" w:lineRule="auto"/>
        <w:jc w:val="both"/>
        <w:rPr>
          <w:rFonts w:cs="Arial"/>
          <w:color w:val="000000" w:themeColor="text1"/>
          <w:highlight w:val="yellow"/>
        </w:rPr>
      </w:pPr>
      <w:r w:rsidRPr="0003652C">
        <w:rPr>
          <w:rFonts w:cs="Arial"/>
          <w:color w:val="000000" w:themeColor="text1"/>
        </w:rPr>
        <w:t xml:space="preserve">Bernstein sees this process of recontextualisation as </w:t>
      </w:r>
      <w:r w:rsidR="006E628C" w:rsidRPr="0003652C">
        <w:rPr>
          <w:rFonts w:cs="Arial"/>
          <w:color w:val="000000" w:themeColor="text1"/>
        </w:rPr>
        <w:t>being one of</w:t>
      </w:r>
      <w:r w:rsidRPr="0003652C">
        <w:rPr>
          <w:rFonts w:cs="Arial"/>
          <w:color w:val="000000" w:themeColor="text1"/>
        </w:rPr>
        <w:t xml:space="preserve"> classification and framing, with the classification representing the strength (strong or weak) of the boundaries between disciplines, or units of knowledge, and the framing being </w:t>
      </w:r>
      <w:r w:rsidRPr="0003652C">
        <w:rPr>
          <w:rFonts w:cs="Arial"/>
          <w:color w:val="000000" w:themeColor="text1"/>
        </w:rPr>
        <w:lastRenderedPageBreak/>
        <w:t>the presentation of that knowledge, its scheduling, timing and context (Bernstein, 2000</w:t>
      </w:r>
      <w:r w:rsidR="00437BBE" w:rsidRPr="0003652C">
        <w:rPr>
          <w:rFonts w:cs="Arial"/>
          <w:color w:val="000000" w:themeColor="text1"/>
        </w:rPr>
        <w:t xml:space="preserve">; See </w:t>
      </w:r>
      <w:r w:rsidR="000D705A">
        <w:rPr>
          <w:rFonts w:cs="Arial"/>
          <w:color w:val="000000" w:themeColor="text1"/>
        </w:rPr>
        <w:t>earlier discussion</w:t>
      </w:r>
      <w:r w:rsidRPr="0003652C">
        <w:rPr>
          <w:rFonts w:cs="Arial"/>
          <w:color w:val="000000" w:themeColor="text1"/>
        </w:rPr>
        <w:t>).  The classification and framing within a discipline are the result of agents exercising power and control</w:t>
      </w:r>
      <w:r w:rsidR="00E20D7B">
        <w:rPr>
          <w:rFonts w:cs="Arial"/>
          <w:color w:val="000000" w:themeColor="text1"/>
        </w:rPr>
        <w:t>,</w:t>
      </w:r>
      <w:r w:rsidRPr="0003652C">
        <w:rPr>
          <w:rFonts w:cs="Arial"/>
          <w:color w:val="000000" w:themeColor="text1"/>
        </w:rPr>
        <w:t xml:space="preserve"> respectively.  </w:t>
      </w:r>
    </w:p>
    <w:p w14:paraId="3C17ED8E" w14:textId="6FF4D73E" w:rsidR="00870D89" w:rsidRPr="0003652C" w:rsidRDefault="00870D89" w:rsidP="0003652C">
      <w:pPr>
        <w:spacing w:line="360" w:lineRule="auto"/>
        <w:jc w:val="both"/>
        <w:rPr>
          <w:rFonts w:cs="Arial"/>
          <w:color w:val="000000" w:themeColor="text1"/>
        </w:rPr>
      </w:pPr>
      <w:r w:rsidRPr="0003652C">
        <w:rPr>
          <w:rFonts w:cs="Arial"/>
          <w:color w:val="000000" w:themeColor="text1"/>
        </w:rPr>
        <w:t>There are both internal and external forces that decide what is included or excluded in a curriculum (Annala, 2022)</w:t>
      </w:r>
      <w:r w:rsidR="00E50173">
        <w:rPr>
          <w:rFonts w:cs="Arial"/>
          <w:color w:val="000000" w:themeColor="text1"/>
        </w:rPr>
        <w:t>.</w:t>
      </w:r>
      <w:r w:rsidR="006E628C" w:rsidRPr="0003652C">
        <w:rPr>
          <w:rFonts w:cs="Arial"/>
          <w:color w:val="000000" w:themeColor="text1"/>
        </w:rPr>
        <w:t xml:space="preserve"> </w:t>
      </w:r>
      <w:r w:rsidR="00E50173">
        <w:rPr>
          <w:rFonts w:cs="Arial"/>
          <w:color w:val="000000" w:themeColor="text1"/>
        </w:rPr>
        <w:t>A</w:t>
      </w:r>
      <w:r w:rsidR="00E50173" w:rsidRPr="0003652C">
        <w:rPr>
          <w:rFonts w:cs="Arial"/>
          <w:color w:val="000000" w:themeColor="text1"/>
        </w:rPr>
        <w:t xml:space="preserve">s </w:t>
      </w:r>
      <w:r w:rsidR="006E628C" w:rsidRPr="0003652C">
        <w:rPr>
          <w:rFonts w:cs="Arial"/>
          <w:color w:val="000000" w:themeColor="text1"/>
        </w:rPr>
        <w:t>we have seen</w:t>
      </w:r>
      <w:r w:rsidR="00E20D7B">
        <w:rPr>
          <w:rFonts w:cs="Arial"/>
          <w:color w:val="000000" w:themeColor="text1"/>
        </w:rPr>
        <w:t>,</w:t>
      </w:r>
      <w:r w:rsidR="006E628C" w:rsidRPr="0003652C">
        <w:rPr>
          <w:rFonts w:cs="Arial"/>
          <w:color w:val="000000" w:themeColor="text1"/>
        </w:rPr>
        <w:t xml:space="preserve"> power </w:t>
      </w:r>
      <w:r w:rsidRPr="0003652C">
        <w:rPr>
          <w:rFonts w:cs="Arial"/>
          <w:color w:val="000000" w:themeColor="text1"/>
        </w:rPr>
        <w:t xml:space="preserve">structures are not ignored by </w:t>
      </w:r>
      <w:r w:rsidRPr="0003652C">
        <w:rPr>
          <w:rFonts w:cs="Arial"/>
        </w:rPr>
        <w:t>Bernstein, with regulatory fields that are either official or pedagogic having a part to play (Bernstein, 2000</w:t>
      </w:r>
      <w:r w:rsidR="00437BBE" w:rsidRPr="0003652C">
        <w:rPr>
          <w:rFonts w:cs="Arial"/>
        </w:rPr>
        <w:t xml:space="preserve">; See figure </w:t>
      </w:r>
      <w:r w:rsidR="00F00429" w:rsidRPr="0003652C">
        <w:rPr>
          <w:rFonts w:cs="Arial"/>
        </w:rPr>
        <w:t>3.3</w:t>
      </w:r>
      <w:r w:rsidR="00437BBE" w:rsidRPr="0003652C">
        <w:rPr>
          <w:rFonts w:cs="Arial"/>
        </w:rPr>
        <w:t xml:space="preserve"> below</w:t>
      </w:r>
      <w:r w:rsidRPr="0003652C">
        <w:rPr>
          <w:rFonts w:cs="Arial"/>
        </w:rPr>
        <w:t xml:space="preserve">). </w:t>
      </w:r>
      <w:r w:rsidR="006E628C" w:rsidRPr="0003652C">
        <w:rPr>
          <w:rFonts w:cs="Arial"/>
        </w:rPr>
        <w:t>The</w:t>
      </w:r>
      <w:r w:rsidRPr="0003652C">
        <w:rPr>
          <w:rFonts w:cs="Arial"/>
          <w:color w:val="000000" w:themeColor="text1"/>
        </w:rPr>
        <w:t xml:space="preserve"> </w:t>
      </w:r>
      <w:r w:rsidR="0075156B" w:rsidRPr="0003652C">
        <w:rPr>
          <w:rFonts w:cs="Arial"/>
          <w:color w:val="000000" w:themeColor="text1"/>
        </w:rPr>
        <w:t>official recontextualising field</w:t>
      </w:r>
      <w:r w:rsidRPr="0003652C">
        <w:rPr>
          <w:rFonts w:cs="Arial"/>
          <w:color w:val="000000" w:themeColor="text1"/>
        </w:rPr>
        <w:t xml:space="preserve"> (ORF) may be strong and hierarchically imposed from a national level, gaining validation from the discipline, profession, or institutions. </w:t>
      </w:r>
      <w:r w:rsidR="00E50173">
        <w:rPr>
          <w:rFonts w:cs="Arial"/>
          <w:color w:val="000000" w:themeColor="text1"/>
        </w:rPr>
        <w:t>This, in turn, may remove some of the autonomy of the pedagogic recontextualising field (PRF), which I return to later, providing ‘models of relationship between student and teacher, the context and organisation of curriculum, and the communication’ (Singh, 2002, p. 577).</w:t>
      </w:r>
      <w:r w:rsidRPr="0003652C">
        <w:rPr>
          <w:rFonts w:cs="Arial"/>
          <w:color w:val="000000" w:themeColor="text1"/>
        </w:rPr>
        <w:t xml:space="preserve"> It is this struggle that is the focus of this investigation. </w:t>
      </w:r>
    </w:p>
    <w:p w14:paraId="7D012D16" w14:textId="5C153478" w:rsidR="00870D89" w:rsidRPr="0003652C" w:rsidRDefault="00870D89" w:rsidP="0003652C">
      <w:pPr>
        <w:spacing w:line="360" w:lineRule="auto"/>
        <w:jc w:val="both"/>
        <w:rPr>
          <w:rFonts w:cs="Arial"/>
        </w:rPr>
      </w:pPr>
      <w:r w:rsidRPr="0003652C">
        <w:rPr>
          <w:rFonts w:cs="Arial"/>
        </w:rPr>
        <w:t xml:space="preserve">The </w:t>
      </w:r>
      <w:r w:rsidR="006E628C" w:rsidRPr="0003652C">
        <w:rPr>
          <w:rFonts w:cs="Arial"/>
        </w:rPr>
        <w:t>PRF</w:t>
      </w:r>
      <w:r w:rsidRPr="0003652C">
        <w:rPr>
          <w:rFonts w:cs="Arial"/>
        </w:rPr>
        <w:t xml:space="preserve"> here can both influence the classification and the framing</w:t>
      </w:r>
      <w:r w:rsidR="00E20D7B">
        <w:rPr>
          <w:rFonts w:cs="Arial"/>
        </w:rPr>
        <w:t>,</w:t>
      </w:r>
      <w:r w:rsidRPr="0003652C">
        <w:rPr>
          <w:rFonts w:cs="Arial"/>
        </w:rPr>
        <w:t xml:space="preserve"> and in relation to the latter, define what control there is over the selection, pacing, criteria and sequencing of the knowledge (Ashwin, 2009). This is a site of struggle between the dynamics of relationships between academics, institutions, the discipline and professional bodies, and therefore</w:t>
      </w:r>
      <w:r w:rsidR="00E20D7B">
        <w:rPr>
          <w:rFonts w:cs="Arial"/>
        </w:rPr>
        <w:t>,</w:t>
      </w:r>
      <w:r w:rsidRPr="0003652C">
        <w:rPr>
          <w:rFonts w:cs="Arial"/>
        </w:rPr>
        <w:t xml:space="preserve"> as a site of constant change</w:t>
      </w:r>
      <w:r w:rsidR="00E20D7B">
        <w:rPr>
          <w:rFonts w:cs="Arial"/>
        </w:rPr>
        <w:t>,</w:t>
      </w:r>
      <w:r w:rsidRPr="0003652C">
        <w:rPr>
          <w:rFonts w:cs="Arial"/>
        </w:rPr>
        <w:t xml:space="preserve"> it requires empirical investigation (Ashwin, 2009).  Here</w:t>
      </w:r>
      <w:r w:rsidR="00E50173">
        <w:rPr>
          <w:rFonts w:cs="Arial"/>
        </w:rPr>
        <w:t>,</w:t>
      </w:r>
      <w:r w:rsidRPr="0003652C">
        <w:rPr>
          <w:rFonts w:cs="Arial"/>
        </w:rPr>
        <w:t xml:space="preserve"> the contexts will dictate the process, and as these contexts differ, different outcomes in different institutions will be evident. Bernstein sees </w:t>
      </w:r>
      <w:r w:rsidR="006E628C" w:rsidRPr="0003652C">
        <w:rPr>
          <w:rFonts w:cs="Arial"/>
        </w:rPr>
        <w:t xml:space="preserve">these </w:t>
      </w:r>
      <w:r w:rsidRPr="0003652C">
        <w:rPr>
          <w:rFonts w:cs="Arial"/>
        </w:rPr>
        <w:t>struggles a</w:t>
      </w:r>
      <w:r w:rsidR="006E628C" w:rsidRPr="0003652C">
        <w:rPr>
          <w:rFonts w:cs="Arial"/>
        </w:rPr>
        <w:t>s being</w:t>
      </w:r>
      <w:r w:rsidRPr="0003652C">
        <w:rPr>
          <w:rFonts w:cs="Arial"/>
        </w:rPr>
        <w:t xml:space="preserve"> over the instructional and regulatory discourse that is produced. Those agents with power and control can inform what the disciplinary discourse is by dictating the two elements that create it, the instructional discourse, or what is taught, and the regulatory discourse, or the social order or conduct (Bernstein, 2000).</w:t>
      </w:r>
    </w:p>
    <w:p w14:paraId="43A16F01" w14:textId="1EF2486E" w:rsidR="00437BBE" w:rsidRPr="0003652C" w:rsidRDefault="00870D89" w:rsidP="0005689B">
      <w:pPr>
        <w:spacing w:line="360" w:lineRule="auto"/>
        <w:jc w:val="both"/>
        <w:rPr>
          <w:rFonts w:cs="Arial"/>
        </w:rPr>
      </w:pPr>
      <w:r w:rsidRPr="0003652C">
        <w:rPr>
          <w:rFonts w:cs="Arial"/>
        </w:rPr>
        <w:t xml:space="preserve">The </w:t>
      </w:r>
      <w:r w:rsidR="006E628C" w:rsidRPr="0003652C">
        <w:rPr>
          <w:rFonts w:cs="Arial"/>
        </w:rPr>
        <w:t>PRF</w:t>
      </w:r>
      <w:r w:rsidRPr="0003652C">
        <w:rPr>
          <w:rFonts w:cs="Arial"/>
        </w:rPr>
        <w:t xml:space="preserve"> may evidence more autonomy if the classification and framing from the ORF </w:t>
      </w:r>
      <w:r w:rsidR="00E20D7B">
        <w:rPr>
          <w:rFonts w:cs="Arial"/>
        </w:rPr>
        <w:t>are</w:t>
      </w:r>
      <w:r w:rsidRPr="0003652C">
        <w:rPr>
          <w:rFonts w:cs="Arial"/>
        </w:rPr>
        <w:t xml:space="preserve"> weak. Here</w:t>
      </w:r>
      <w:r w:rsidR="00E20D7B">
        <w:rPr>
          <w:rFonts w:cs="Arial"/>
        </w:rPr>
        <w:t>,</w:t>
      </w:r>
      <w:r w:rsidRPr="0003652C">
        <w:rPr>
          <w:rFonts w:cs="Arial"/>
        </w:rPr>
        <w:t xml:space="preserve"> the ORF may not dictate the PRF. </w:t>
      </w:r>
      <w:r w:rsidR="006E628C" w:rsidRPr="0003652C">
        <w:rPr>
          <w:rFonts w:cs="Arial"/>
        </w:rPr>
        <w:t>Alternatively</w:t>
      </w:r>
      <w:r w:rsidR="00CD1D23">
        <w:rPr>
          <w:rFonts w:cs="Arial"/>
        </w:rPr>
        <w:t>,</w:t>
      </w:r>
      <w:r w:rsidR="006E628C" w:rsidRPr="0003652C">
        <w:rPr>
          <w:rFonts w:cs="Arial"/>
        </w:rPr>
        <w:t xml:space="preserve"> if the ORF is strong</w:t>
      </w:r>
      <w:r w:rsidR="00CD1D23">
        <w:rPr>
          <w:rFonts w:cs="Arial"/>
        </w:rPr>
        <w:t>,</w:t>
      </w:r>
      <w:r w:rsidRPr="0003652C">
        <w:rPr>
          <w:rFonts w:cs="Arial"/>
        </w:rPr>
        <w:t xml:space="preserve"> then there may be more control from outside and less autonomy pedagogically, and the ORF will dictate the PRF. Here we are looking at the </w:t>
      </w:r>
      <w:r w:rsidRPr="0003652C">
        <w:rPr>
          <w:rFonts w:cs="Arial"/>
          <w:i/>
          <w:iCs/>
        </w:rPr>
        <w:t>how</w:t>
      </w:r>
      <w:r w:rsidRPr="0003652C">
        <w:rPr>
          <w:rFonts w:cs="Arial"/>
        </w:rPr>
        <w:t xml:space="preserve">, as opposed to the </w:t>
      </w:r>
      <w:r w:rsidRPr="0003652C">
        <w:rPr>
          <w:rFonts w:cs="Arial"/>
          <w:i/>
          <w:iCs/>
        </w:rPr>
        <w:t>what</w:t>
      </w:r>
      <w:r w:rsidRPr="0003652C">
        <w:rPr>
          <w:rFonts w:cs="Arial"/>
        </w:rPr>
        <w:t xml:space="preserve">, in the transmission of knowledge and its important as it </w:t>
      </w:r>
      <w:r w:rsidRPr="0003652C">
        <w:rPr>
          <w:rFonts w:cs="Arial"/>
        </w:rPr>
        <w:lastRenderedPageBreak/>
        <w:t>in turn may limit the evaluation stage of the pedagogic device, especially when conflict might create or change hierarchies and limit effective evaluation.</w:t>
      </w:r>
    </w:p>
    <w:p w14:paraId="201F30F2" w14:textId="4BEC4F0C" w:rsidR="00870D89" w:rsidRPr="0003652C" w:rsidRDefault="00437BBE" w:rsidP="0003652C">
      <w:pPr>
        <w:spacing w:line="360" w:lineRule="auto"/>
        <w:rPr>
          <w:rFonts w:cs="Arial"/>
        </w:rPr>
      </w:pPr>
      <w:r w:rsidRPr="0003652C">
        <w:rPr>
          <w:rFonts w:cs="Arial"/>
          <w:noProof/>
        </w:rPr>
        <w:drawing>
          <wp:inline distT="0" distB="0" distL="0" distR="0" wp14:anchorId="60F0308D" wp14:editId="7AA58067">
            <wp:extent cx="4114800" cy="4721860"/>
            <wp:effectExtent l="0" t="0" r="0" b="2540"/>
            <wp:docPr id="534379961" name="Picture 19" descr="Diagrame of ORF and P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79961" name="Picture 19" descr="Diagrame of ORF and PRF"/>
                    <pic:cNvPicPr/>
                  </pic:nvPicPr>
                  <pic:blipFill>
                    <a:blip r:embed="rId12">
                      <a:extLst>
                        <a:ext uri="{28A0092B-C50C-407E-A947-70E740481C1C}">
                          <a14:useLocalDpi xmlns:a14="http://schemas.microsoft.com/office/drawing/2010/main" val="0"/>
                        </a:ext>
                      </a:extLst>
                    </a:blip>
                    <a:stretch>
                      <a:fillRect/>
                    </a:stretch>
                  </pic:blipFill>
                  <pic:spPr>
                    <a:xfrm>
                      <a:off x="0" y="0"/>
                      <a:ext cx="4114800" cy="4721860"/>
                    </a:xfrm>
                    <a:prstGeom prst="rect">
                      <a:avLst/>
                    </a:prstGeom>
                  </pic:spPr>
                </pic:pic>
              </a:graphicData>
            </a:graphic>
          </wp:inline>
        </w:drawing>
      </w:r>
    </w:p>
    <w:p w14:paraId="74759B19" w14:textId="75146876" w:rsidR="00437BBE" w:rsidRPr="001E7C3E" w:rsidRDefault="00437BBE" w:rsidP="0003652C">
      <w:pPr>
        <w:spacing w:line="360" w:lineRule="auto"/>
        <w:rPr>
          <w:rFonts w:cs="Arial"/>
          <w:sz w:val="20"/>
        </w:rPr>
      </w:pPr>
      <w:r w:rsidRPr="001E7C3E">
        <w:rPr>
          <w:rFonts w:cs="Arial"/>
          <w:sz w:val="20"/>
        </w:rPr>
        <w:t xml:space="preserve">Figure </w:t>
      </w:r>
      <w:r w:rsidR="00F00429" w:rsidRPr="001E7C3E">
        <w:rPr>
          <w:rFonts w:cs="Arial"/>
          <w:sz w:val="20"/>
        </w:rPr>
        <w:t>3.3</w:t>
      </w:r>
      <w:r w:rsidRPr="001E7C3E">
        <w:rPr>
          <w:rFonts w:cs="Arial"/>
          <w:sz w:val="20"/>
        </w:rPr>
        <w:t xml:space="preserve"> The recontextualising fields</w:t>
      </w:r>
      <w:r w:rsidR="001E7C3E" w:rsidRPr="001E7C3E">
        <w:rPr>
          <w:rFonts w:cs="Arial"/>
          <w:sz w:val="20"/>
        </w:rPr>
        <w:t xml:space="preserve"> and their agents as presented in the findings chapters.</w:t>
      </w:r>
    </w:p>
    <w:p w14:paraId="5E34F6AE" w14:textId="4A7F5AA2" w:rsidR="00ED5CC2" w:rsidRPr="0003652C" w:rsidRDefault="001E7C3E" w:rsidP="0003652C">
      <w:pPr>
        <w:pStyle w:val="Heading3"/>
        <w:spacing w:after="100" w:afterAutospacing="1" w:line="360" w:lineRule="auto"/>
        <w:rPr>
          <w:rFonts w:ascii="Arial" w:hAnsi="Arial" w:cs="Arial"/>
        </w:rPr>
      </w:pPr>
      <w:bookmarkStart w:id="45" w:name="_Toc223348837"/>
      <w:r>
        <w:rPr>
          <w:rFonts w:ascii="Arial" w:hAnsi="Arial" w:cs="Arial"/>
        </w:rPr>
        <w:t>Evaluative</w:t>
      </w:r>
      <w:r w:rsidR="00F21032" w:rsidRPr="0003652C">
        <w:rPr>
          <w:rFonts w:ascii="Arial" w:hAnsi="Arial" w:cs="Arial"/>
        </w:rPr>
        <w:t xml:space="preserve"> </w:t>
      </w:r>
      <w:r w:rsidR="00ED5CC2" w:rsidRPr="0003652C">
        <w:rPr>
          <w:rFonts w:ascii="Arial" w:hAnsi="Arial" w:cs="Arial"/>
        </w:rPr>
        <w:t>rules</w:t>
      </w:r>
      <w:bookmarkEnd w:id="45"/>
    </w:p>
    <w:p w14:paraId="2E097D25" w14:textId="0A905064" w:rsidR="00870D89" w:rsidRPr="0003652C" w:rsidRDefault="00870D89" w:rsidP="0003652C">
      <w:pPr>
        <w:spacing w:line="360" w:lineRule="auto"/>
        <w:jc w:val="both"/>
        <w:rPr>
          <w:rFonts w:cs="Arial"/>
          <w:color w:val="000000" w:themeColor="text1"/>
        </w:rPr>
      </w:pPr>
      <w:r w:rsidRPr="0003652C">
        <w:rPr>
          <w:rFonts w:cs="Arial"/>
          <w:color w:val="000000" w:themeColor="text1"/>
        </w:rPr>
        <w:t xml:space="preserve">Whilst the findings of this investigation are not focused on how </w:t>
      </w:r>
      <w:r w:rsidR="00CD1D23">
        <w:rPr>
          <w:rFonts w:cs="Arial"/>
          <w:color w:val="000000" w:themeColor="text1"/>
        </w:rPr>
        <w:t xml:space="preserve">the </w:t>
      </w:r>
      <w:r w:rsidRPr="0003652C">
        <w:rPr>
          <w:rFonts w:cs="Arial"/>
          <w:color w:val="000000" w:themeColor="text1"/>
        </w:rPr>
        <w:t xml:space="preserve">curriculum is </w:t>
      </w:r>
      <w:r w:rsidR="001E7C3E" w:rsidRPr="0003652C">
        <w:rPr>
          <w:rFonts w:cs="Arial"/>
          <w:color w:val="000000" w:themeColor="text1"/>
        </w:rPr>
        <w:t>received</w:t>
      </w:r>
      <w:r w:rsidR="001E7C3E">
        <w:rPr>
          <w:rFonts w:cs="Arial"/>
          <w:color w:val="000000" w:themeColor="text1"/>
        </w:rPr>
        <w:t xml:space="preserve">, </w:t>
      </w:r>
      <w:r w:rsidRPr="0003652C">
        <w:rPr>
          <w:rFonts w:cs="Arial"/>
          <w:color w:val="000000" w:themeColor="text1"/>
        </w:rPr>
        <w:t xml:space="preserve">these are a necessary set of rules to explain the implications of the focus on </w:t>
      </w:r>
      <w:r w:rsidR="00F21032" w:rsidRPr="0003652C">
        <w:rPr>
          <w:rFonts w:cs="Arial"/>
          <w:color w:val="000000" w:themeColor="text1"/>
        </w:rPr>
        <w:t>the recontextuali</w:t>
      </w:r>
      <w:r w:rsidR="00833640" w:rsidRPr="0003652C">
        <w:rPr>
          <w:rFonts w:cs="Arial"/>
          <w:color w:val="000000" w:themeColor="text1"/>
        </w:rPr>
        <w:t>s</w:t>
      </w:r>
      <w:r w:rsidR="00F21032" w:rsidRPr="0003652C">
        <w:rPr>
          <w:rFonts w:cs="Arial"/>
          <w:color w:val="000000" w:themeColor="text1"/>
        </w:rPr>
        <w:t xml:space="preserve">ation in the course </w:t>
      </w:r>
      <w:r w:rsidRPr="0003652C">
        <w:rPr>
          <w:rFonts w:cs="Arial"/>
          <w:color w:val="000000" w:themeColor="text1"/>
        </w:rPr>
        <w:t>design. Bernstein presents reproduction as the contextualisation of reconstructed knowledge in the classroom</w:t>
      </w:r>
      <w:r w:rsidR="00140742" w:rsidRPr="0003652C">
        <w:rPr>
          <w:rFonts w:cs="Arial"/>
          <w:color w:val="000000" w:themeColor="text1"/>
        </w:rPr>
        <w:t xml:space="preserve"> and the acquisition of this by the students.</w:t>
      </w:r>
      <w:r w:rsidRPr="0003652C">
        <w:rPr>
          <w:rFonts w:cs="Arial"/>
          <w:color w:val="000000" w:themeColor="text1"/>
        </w:rPr>
        <w:t xml:space="preserve"> The context</w:t>
      </w:r>
      <w:r w:rsidR="00140742" w:rsidRPr="0003652C">
        <w:rPr>
          <w:rFonts w:cs="Arial"/>
          <w:color w:val="000000" w:themeColor="text1"/>
        </w:rPr>
        <w:t xml:space="preserve"> for this</w:t>
      </w:r>
      <w:r w:rsidRPr="0003652C">
        <w:rPr>
          <w:rFonts w:cs="Arial"/>
          <w:color w:val="000000" w:themeColor="text1"/>
        </w:rPr>
        <w:t xml:space="preserve"> might be physical (for example</w:t>
      </w:r>
      <w:r w:rsidR="00CD1D23">
        <w:rPr>
          <w:rFonts w:cs="Arial"/>
          <w:color w:val="000000" w:themeColor="text1"/>
        </w:rPr>
        <w:t>,</w:t>
      </w:r>
      <w:r w:rsidRPr="0003652C">
        <w:rPr>
          <w:rFonts w:cs="Arial"/>
          <w:color w:val="000000" w:themeColor="text1"/>
        </w:rPr>
        <w:t xml:space="preserve"> in classroom activities), but ultimately, they </w:t>
      </w:r>
      <w:r w:rsidR="00140742" w:rsidRPr="0003652C">
        <w:rPr>
          <w:rFonts w:cs="Arial"/>
          <w:color w:val="000000" w:themeColor="text1"/>
        </w:rPr>
        <w:t xml:space="preserve">are governed by the evaluative rules </w:t>
      </w:r>
      <w:r w:rsidRPr="0003652C">
        <w:rPr>
          <w:rFonts w:cs="Arial"/>
          <w:color w:val="000000" w:themeColor="text1"/>
        </w:rPr>
        <w:t xml:space="preserve">of the pedagogic device and </w:t>
      </w:r>
      <w:r w:rsidR="00140742" w:rsidRPr="0003652C">
        <w:rPr>
          <w:rFonts w:cs="Arial"/>
          <w:color w:val="000000" w:themeColor="text1"/>
        </w:rPr>
        <w:t xml:space="preserve">provide the context </w:t>
      </w:r>
      <w:r w:rsidR="00140742" w:rsidRPr="0003652C">
        <w:rPr>
          <w:rFonts w:cs="Arial"/>
          <w:color w:val="000000" w:themeColor="text1"/>
        </w:rPr>
        <w:lastRenderedPageBreak/>
        <w:t xml:space="preserve">for </w:t>
      </w:r>
      <w:r w:rsidR="00CD1D23">
        <w:rPr>
          <w:rFonts w:cs="Arial"/>
          <w:color w:val="000000" w:themeColor="text1"/>
        </w:rPr>
        <w:t xml:space="preserve">the </w:t>
      </w:r>
      <w:r w:rsidR="00140742" w:rsidRPr="0003652C">
        <w:rPr>
          <w:rFonts w:cs="Arial"/>
          <w:color w:val="000000" w:themeColor="text1"/>
        </w:rPr>
        <w:t>acquisition of knowledge</w:t>
      </w:r>
      <w:r w:rsidR="00F21032" w:rsidRPr="0003652C">
        <w:rPr>
          <w:rFonts w:cs="Arial"/>
          <w:color w:val="000000" w:themeColor="text1"/>
        </w:rPr>
        <w:t xml:space="preserve">. </w:t>
      </w:r>
      <w:r w:rsidRPr="0003652C">
        <w:rPr>
          <w:rFonts w:cs="Arial"/>
          <w:color w:val="000000" w:themeColor="text1"/>
        </w:rPr>
        <w:t>Ashwin refers to this</w:t>
      </w:r>
      <w:r w:rsidR="00F21032" w:rsidRPr="0003652C">
        <w:rPr>
          <w:rFonts w:cs="Arial"/>
          <w:color w:val="000000" w:themeColor="text1"/>
        </w:rPr>
        <w:t xml:space="preserve"> </w:t>
      </w:r>
      <w:r w:rsidR="001E7C3E">
        <w:rPr>
          <w:rFonts w:cs="Arial"/>
          <w:color w:val="000000" w:themeColor="text1"/>
        </w:rPr>
        <w:t>reproductive</w:t>
      </w:r>
      <w:r w:rsidR="00F21032" w:rsidRPr="0003652C">
        <w:rPr>
          <w:rFonts w:cs="Arial"/>
          <w:color w:val="000000" w:themeColor="text1"/>
        </w:rPr>
        <w:t xml:space="preserve"> stage as representing</w:t>
      </w:r>
      <w:r w:rsidRPr="0003652C">
        <w:rPr>
          <w:rFonts w:cs="Arial"/>
          <w:color w:val="000000" w:themeColor="text1"/>
        </w:rPr>
        <w:t xml:space="preserve"> knowledge-as-understanding (Ashwin, 2009). </w:t>
      </w:r>
    </w:p>
    <w:p w14:paraId="34F38D2F" w14:textId="50B489C8" w:rsidR="00870D89" w:rsidRPr="0003652C" w:rsidRDefault="00F21032" w:rsidP="0003652C">
      <w:pPr>
        <w:spacing w:line="360" w:lineRule="auto"/>
        <w:jc w:val="both"/>
        <w:rPr>
          <w:rFonts w:cs="Arial"/>
          <w:color w:val="000000" w:themeColor="text1"/>
        </w:rPr>
      </w:pPr>
      <w:r w:rsidRPr="0003652C">
        <w:rPr>
          <w:rFonts w:cs="Arial"/>
          <w:color w:val="000000" w:themeColor="text1"/>
        </w:rPr>
        <w:t>It is beyond the scope of my investigation to consider the actual impact of the recontextuali</w:t>
      </w:r>
      <w:r w:rsidR="001E7C3E">
        <w:rPr>
          <w:rFonts w:cs="Arial"/>
          <w:color w:val="000000" w:themeColor="text1"/>
        </w:rPr>
        <w:t>s</w:t>
      </w:r>
      <w:r w:rsidRPr="0003652C">
        <w:rPr>
          <w:rFonts w:cs="Arial"/>
          <w:color w:val="000000" w:themeColor="text1"/>
        </w:rPr>
        <w:t>ation of the curriculum on students’ understanding (and so the evaluative stage), although this is a potential area for future research. It is</w:t>
      </w:r>
      <w:r w:rsidR="00CD1D23">
        <w:rPr>
          <w:rFonts w:cs="Arial"/>
          <w:color w:val="000000" w:themeColor="text1"/>
        </w:rPr>
        <w:t>,</w:t>
      </w:r>
      <w:r w:rsidRPr="0003652C">
        <w:rPr>
          <w:rFonts w:cs="Arial"/>
          <w:color w:val="000000" w:themeColor="text1"/>
        </w:rPr>
        <w:t xml:space="preserve"> however</w:t>
      </w:r>
      <w:r w:rsidR="00CD1D23">
        <w:rPr>
          <w:rFonts w:cs="Arial"/>
          <w:color w:val="000000" w:themeColor="text1"/>
        </w:rPr>
        <w:t>,</w:t>
      </w:r>
      <w:r w:rsidRPr="0003652C">
        <w:rPr>
          <w:rFonts w:cs="Arial"/>
          <w:color w:val="000000" w:themeColor="text1"/>
        </w:rPr>
        <w:t xml:space="preserve"> useful to put my findings within the context of the final stage of the pedagogic device in order to show the potential impact of that recontext</w:t>
      </w:r>
      <w:r w:rsidR="00F00429" w:rsidRPr="0003652C">
        <w:rPr>
          <w:rFonts w:cs="Arial"/>
          <w:color w:val="000000" w:themeColor="text1"/>
        </w:rPr>
        <w:t>u</w:t>
      </w:r>
      <w:r w:rsidRPr="0003652C">
        <w:rPr>
          <w:rFonts w:cs="Arial"/>
          <w:color w:val="000000" w:themeColor="text1"/>
        </w:rPr>
        <w:t xml:space="preserve">alisation. </w:t>
      </w:r>
      <w:r w:rsidR="00870D89" w:rsidRPr="0003652C">
        <w:rPr>
          <w:rFonts w:cs="Arial"/>
          <w:color w:val="000000" w:themeColor="text1"/>
        </w:rPr>
        <w:t xml:space="preserve">Bernstein argues that the recontextualisation of the curricula </w:t>
      </w:r>
      <w:r w:rsidRPr="0003652C">
        <w:rPr>
          <w:rFonts w:cs="Arial"/>
          <w:color w:val="000000" w:themeColor="text1"/>
        </w:rPr>
        <w:t xml:space="preserve">has a hierarchical impact on </w:t>
      </w:r>
      <w:r w:rsidR="00870D89" w:rsidRPr="0003652C">
        <w:rPr>
          <w:rFonts w:cs="Arial"/>
          <w:color w:val="000000" w:themeColor="text1"/>
        </w:rPr>
        <w:t>the reproduction of that knowledge</w:t>
      </w:r>
      <w:r w:rsidRPr="0003652C">
        <w:rPr>
          <w:rFonts w:cs="Arial"/>
          <w:color w:val="000000" w:themeColor="text1"/>
        </w:rPr>
        <w:t xml:space="preserve"> in the classroom</w:t>
      </w:r>
      <w:r w:rsidR="00870D89" w:rsidRPr="0003652C">
        <w:rPr>
          <w:rFonts w:cs="Arial"/>
          <w:color w:val="000000" w:themeColor="text1"/>
        </w:rPr>
        <w:t xml:space="preserve"> (Bernstein, 2000</w:t>
      </w:r>
      <w:r w:rsidRPr="0003652C">
        <w:rPr>
          <w:rFonts w:cs="Arial"/>
          <w:color w:val="000000" w:themeColor="text1"/>
        </w:rPr>
        <w:t xml:space="preserve">). Other studies support </w:t>
      </w:r>
      <w:r w:rsidR="00CA67D1" w:rsidRPr="0003652C">
        <w:rPr>
          <w:rFonts w:cs="Arial"/>
          <w:color w:val="000000" w:themeColor="text1"/>
        </w:rPr>
        <w:t>this and</w:t>
      </w:r>
      <w:r w:rsidRPr="0003652C">
        <w:rPr>
          <w:rFonts w:cs="Arial"/>
          <w:color w:val="000000" w:themeColor="text1"/>
        </w:rPr>
        <w:t xml:space="preserve"> investigate </w:t>
      </w:r>
      <w:r w:rsidR="00CA67D1" w:rsidRPr="0003652C">
        <w:rPr>
          <w:rFonts w:cs="Arial"/>
          <w:color w:val="000000" w:themeColor="text1"/>
        </w:rPr>
        <w:t>whether the limitations in the recontextuali</w:t>
      </w:r>
      <w:r w:rsidR="001E7C3E">
        <w:rPr>
          <w:rFonts w:cs="Arial"/>
          <w:color w:val="000000" w:themeColor="text1"/>
        </w:rPr>
        <w:t>s</w:t>
      </w:r>
      <w:r w:rsidR="00CA67D1" w:rsidRPr="0003652C">
        <w:rPr>
          <w:rFonts w:cs="Arial"/>
          <w:color w:val="000000" w:themeColor="text1"/>
        </w:rPr>
        <w:t>ation of knowledge might be overcome by interactions between tutors and students</w:t>
      </w:r>
      <w:r w:rsidR="00870D89" w:rsidRPr="0003652C">
        <w:rPr>
          <w:rFonts w:cs="Arial"/>
          <w:color w:val="000000" w:themeColor="text1"/>
        </w:rPr>
        <w:t xml:space="preserve"> (Mc</w:t>
      </w:r>
      <w:r w:rsidR="00424F6F">
        <w:rPr>
          <w:rFonts w:cs="Arial"/>
          <w:color w:val="000000" w:themeColor="text1"/>
        </w:rPr>
        <w:t>L</w:t>
      </w:r>
      <w:r w:rsidR="00870D89" w:rsidRPr="0003652C">
        <w:rPr>
          <w:rFonts w:cs="Arial"/>
          <w:color w:val="000000" w:themeColor="text1"/>
        </w:rPr>
        <w:t>ean et al, 2012; 2014</w:t>
      </w:r>
      <w:r w:rsidR="00765137" w:rsidRPr="0003652C">
        <w:rPr>
          <w:rFonts w:cs="Arial"/>
          <w:color w:val="000000" w:themeColor="text1"/>
        </w:rPr>
        <w:t>; 2018</w:t>
      </w:r>
      <w:r w:rsidR="00AC3D05" w:rsidRPr="0003652C">
        <w:rPr>
          <w:rFonts w:cs="Arial"/>
          <w:color w:val="000000" w:themeColor="text1"/>
        </w:rPr>
        <w:t>; Lindblom-Ylänne et al., 2006</w:t>
      </w:r>
      <w:r w:rsidR="00870D89" w:rsidRPr="0003652C">
        <w:rPr>
          <w:rFonts w:cs="Arial"/>
          <w:color w:val="000000" w:themeColor="text1"/>
        </w:rPr>
        <w:t>)</w:t>
      </w:r>
      <w:r w:rsidR="00CA67D1" w:rsidRPr="0003652C">
        <w:rPr>
          <w:rFonts w:cs="Arial"/>
          <w:color w:val="000000" w:themeColor="text1"/>
        </w:rPr>
        <w:t xml:space="preserve">. </w:t>
      </w:r>
      <w:r w:rsidR="00870D89" w:rsidRPr="0003652C">
        <w:rPr>
          <w:rFonts w:cs="Arial"/>
        </w:rPr>
        <w:t>Mc</w:t>
      </w:r>
      <w:r w:rsidR="00424F6F">
        <w:rPr>
          <w:rFonts w:cs="Arial"/>
        </w:rPr>
        <w:t>L</w:t>
      </w:r>
      <w:r w:rsidR="00870D89" w:rsidRPr="0003652C">
        <w:rPr>
          <w:rFonts w:cs="Arial"/>
        </w:rPr>
        <w:t xml:space="preserve">ean et al. consider the development of student understanding across disciplines as students’ progress through their studies, and </w:t>
      </w:r>
      <w:r w:rsidR="00CA67D1" w:rsidRPr="0003652C">
        <w:rPr>
          <w:rFonts w:cs="Arial"/>
        </w:rPr>
        <w:t xml:space="preserve">within this </w:t>
      </w:r>
      <w:r w:rsidR="00870D89" w:rsidRPr="0003652C">
        <w:rPr>
          <w:rFonts w:cs="Arial"/>
        </w:rPr>
        <w:t>draw</w:t>
      </w:r>
      <w:r w:rsidR="00CA67D1" w:rsidRPr="0003652C">
        <w:rPr>
          <w:rFonts w:cs="Arial"/>
        </w:rPr>
        <w:t>ing</w:t>
      </w:r>
      <w:r w:rsidR="00870D89" w:rsidRPr="0003652C">
        <w:rPr>
          <w:rFonts w:cs="Arial"/>
        </w:rPr>
        <w:t xml:space="preserve"> on other research, they observe </w:t>
      </w:r>
      <w:r w:rsidR="00CA67D1" w:rsidRPr="0003652C">
        <w:rPr>
          <w:rFonts w:cs="Arial"/>
        </w:rPr>
        <w:t>that l</w:t>
      </w:r>
      <w:r w:rsidR="00870D89" w:rsidRPr="0003652C">
        <w:rPr>
          <w:rFonts w:cs="Arial"/>
        </w:rPr>
        <w:t xml:space="preserve">aw students’ understanding of knowledge </w:t>
      </w:r>
      <w:r w:rsidR="00CA67D1" w:rsidRPr="0003652C">
        <w:rPr>
          <w:rFonts w:cs="Arial"/>
        </w:rPr>
        <w:t>develops from that of knowledge</w:t>
      </w:r>
      <w:r w:rsidR="00870D89" w:rsidRPr="0003652C">
        <w:rPr>
          <w:rFonts w:cs="Arial"/>
        </w:rPr>
        <w:t xml:space="preserve"> of</w:t>
      </w:r>
      <w:r w:rsidR="00CA67D1" w:rsidRPr="0003652C">
        <w:rPr>
          <w:rFonts w:cs="Arial"/>
        </w:rPr>
        <w:t xml:space="preserve"> or about the</w:t>
      </w:r>
      <w:r w:rsidR="00870D89" w:rsidRPr="0003652C">
        <w:rPr>
          <w:rFonts w:cs="Arial"/>
        </w:rPr>
        <w:t xml:space="preserve"> content</w:t>
      </w:r>
      <w:r w:rsidR="00CA67D1" w:rsidRPr="0003652C">
        <w:rPr>
          <w:rFonts w:cs="Arial"/>
        </w:rPr>
        <w:t xml:space="preserve"> of law</w:t>
      </w:r>
      <w:r w:rsidR="00870D89" w:rsidRPr="0003652C">
        <w:rPr>
          <w:rFonts w:cs="Arial"/>
        </w:rPr>
        <w:t xml:space="preserve">, to </w:t>
      </w:r>
      <w:r w:rsidR="00CA67D1" w:rsidRPr="0003652C">
        <w:rPr>
          <w:rFonts w:cs="Arial"/>
        </w:rPr>
        <w:t>an</w:t>
      </w:r>
      <w:r w:rsidR="00870D89" w:rsidRPr="0003652C">
        <w:rPr>
          <w:rFonts w:cs="Arial"/>
        </w:rPr>
        <w:t xml:space="preserve"> understanding of systems, and finally </w:t>
      </w:r>
      <w:r w:rsidR="00CA67D1" w:rsidRPr="0003652C">
        <w:rPr>
          <w:rFonts w:cs="Arial"/>
        </w:rPr>
        <w:t>an understanding of</w:t>
      </w:r>
      <w:r w:rsidR="00870D89" w:rsidRPr="0003652C">
        <w:rPr>
          <w:rFonts w:cs="Arial"/>
        </w:rPr>
        <w:t xml:space="preserve"> the context </w:t>
      </w:r>
      <w:r w:rsidR="00CA67D1" w:rsidRPr="0003652C">
        <w:rPr>
          <w:rFonts w:cs="Arial"/>
        </w:rPr>
        <w:t>and</w:t>
      </w:r>
      <w:r w:rsidR="00870D89" w:rsidRPr="0003652C">
        <w:rPr>
          <w:rFonts w:cs="Arial"/>
        </w:rPr>
        <w:t xml:space="preserve"> how this relates to </w:t>
      </w:r>
      <w:r w:rsidR="00CA67D1" w:rsidRPr="0003652C">
        <w:rPr>
          <w:rFonts w:cs="Arial"/>
        </w:rPr>
        <w:t xml:space="preserve">the </w:t>
      </w:r>
      <w:r w:rsidR="00870D89" w:rsidRPr="0003652C">
        <w:rPr>
          <w:rFonts w:cs="Arial"/>
        </w:rPr>
        <w:t>student</w:t>
      </w:r>
      <w:r w:rsidR="00CA67D1" w:rsidRPr="0003652C">
        <w:rPr>
          <w:rFonts w:cs="Arial"/>
        </w:rPr>
        <w:t>’</w:t>
      </w:r>
      <w:r w:rsidR="00870D89" w:rsidRPr="0003652C">
        <w:rPr>
          <w:rFonts w:cs="Arial"/>
        </w:rPr>
        <w:t xml:space="preserve">s </w:t>
      </w:r>
      <w:r w:rsidR="00CA67D1" w:rsidRPr="0003652C">
        <w:rPr>
          <w:rFonts w:cs="Arial"/>
        </w:rPr>
        <w:t xml:space="preserve">own </w:t>
      </w:r>
      <w:r w:rsidR="00870D89" w:rsidRPr="0003652C">
        <w:rPr>
          <w:rFonts w:cs="Arial"/>
        </w:rPr>
        <w:t>position in the world (or their extension of self) as they progress from first year to final (Mc</w:t>
      </w:r>
      <w:r w:rsidR="00424F6F">
        <w:rPr>
          <w:rFonts w:cs="Arial"/>
        </w:rPr>
        <w:t>L</w:t>
      </w:r>
      <w:r w:rsidR="00870D89" w:rsidRPr="0003652C">
        <w:rPr>
          <w:rFonts w:cs="Arial"/>
        </w:rPr>
        <w:t>ean et al, 2014</w:t>
      </w:r>
      <w:r w:rsidR="00CA67D1" w:rsidRPr="0003652C">
        <w:rPr>
          <w:rFonts w:cs="Arial"/>
        </w:rPr>
        <w:t xml:space="preserve">; </w:t>
      </w:r>
      <w:r w:rsidR="00870D89" w:rsidRPr="0003652C">
        <w:rPr>
          <w:rFonts w:cs="Arial"/>
        </w:rPr>
        <w:t xml:space="preserve">Reid, 2006). </w:t>
      </w:r>
    </w:p>
    <w:p w14:paraId="7B1FF36F" w14:textId="39169B05" w:rsidR="00870D89" w:rsidRPr="0003652C" w:rsidRDefault="00870D89" w:rsidP="0003652C">
      <w:pPr>
        <w:spacing w:line="360" w:lineRule="auto"/>
        <w:jc w:val="both"/>
        <w:rPr>
          <w:rFonts w:cs="Arial"/>
          <w:color w:val="000000" w:themeColor="text1"/>
        </w:rPr>
      </w:pPr>
      <w:r w:rsidRPr="0003652C">
        <w:rPr>
          <w:rFonts w:cs="Arial"/>
          <w:color w:val="000000" w:themeColor="text1"/>
        </w:rPr>
        <w:t xml:space="preserve">This investigation </w:t>
      </w:r>
      <w:r w:rsidR="00CA67D1" w:rsidRPr="0003652C">
        <w:rPr>
          <w:rFonts w:cs="Arial"/>
          <w:color w:val="000000" w:themeColor="text1"/>
        </w:rPr>
        <w:t>is focused</w:t>
      </w:r>
      <w:r w:rsidR="00CD1D23">
        <w:rPr>
          <w:rFonts w:cs="Arial"/>
          <w:color w:val="000000" w:themeColor="text1"/>
        </w:rPr>
        <w:t>,</w:t>
      </w:r>
      <w:r w:rsidR="00CA67D1" w:rsidRPr="0003652C">
        <w:rPr>
          <w:rFonts w:cs="Arial"/>
          <w:color w:val="000000" w:themeColor="text1"/>
        </w:rPr>
        <w:t xml:space="preserve"> however</w:t>
      </w:r>
      <w:r w:rsidR="00CD1D23">
        <w:rPr>
          <w:rFonts w:cs="Arial"/>
          <w:color w:val="000000" w:themeColor="text1"/>
        </w:rPr>
        <w:t>,</w:t>
      </w:r>
      <w:r w:rsidR="00CA67D1" w:rsidRPr="0003652C">
        <w:rPr>
          <w:rFonts w:cs="Arial"/>
          <w:color w:val="000000" w:themeColor="text1"/>
        </w:rPr>
        <w:t xml:space="preserve"> on</w:t>
      </w:r>
      <w:r w:rsidRPr="0003652C">
        <w:rPr>
          <w:rFonts w:cs="Arial"/>
          <w:color w:val="000000" w:themeColor="text1"/>
        </w:rPr>
        <w:t xml:space="preserve"> the recontextuali</w:t>
      </w:r>
      <w:r w:rsidR="00833640" w:rsidRPr="0003652C">
        <w:rPr>
          <w:rFonts w:cs="Arial"/>
          <w:color w:val="000000" w:themeColor="text1"/>
        </w:rPr>
        <w:t>s</w:t>
      </w:r>
      <w:r w:rsidRPr="0003652C">
        <w:rPr>
          <w:rFonts w:cs="Arial"/>
          <w:color w:val="000000" w:themeColor="text1"/>
        </w:rPr>
        <w:t xml:space="preserve">ation of knowledge and creation of knowledge-as-curriculum (Ashwin, 2009). It will ask what role both the official and </w:t>
      </w:r>
      <w:r w:rsidR="0075156B" w:rsidRPr="0003652C">
        <w:rPr>
          <w:rFonts w:cs="Arial"/>
          <w:color w:val="000000" w:themeColor="text1"/>
        </w:rPr>
        <w:t>pedagogic recontextualising field</w:t>
      </w:r>
      <w:r w:rsidRPr="0003652C">
        <w:rPr>
          <w:rFonts w:cs="Arial"/>
          <w:color w:val="000000" w:themeColor="text1"/>
        </w:rPr>
        <w:t xml:space="preserve">s have in this process and the perceived impact of these fields and their agents on the design of the degree. This is pertinent now largely due to the shifting nature of the agents in these fields.  With a clearer understanding of the influences and how they might operate on course design, </w:t>
      </w:r>
      <w:r w:rsidR="00CA67D1" w:rsidRPr="0003652C">
        <w:rPr>
          <w:rFonts w:cs="Arial"/>
          <w:color w:val="000000" w:themeColor="text1"/>
        </w:rPr>
        <w:t>further research might consider</w:t>
      </w:r>
      <w:r w:rsidRPr="0003652C">
        <w:rPr>
          <w:rFonts w:cs="Arial"/>
          <w:color w:val="000000" w:themeColor="text1"/>
        </w:rPr>
        <w:t xml:space="preserve"> the </w:t>
      </w:r>
      <w:r w:rsidR="00CA67D1" w:rsidRPr="0003652C">
        <w:rPr>
          <w:rFonts w:cs="Arial"/>
          <w:color w:val="000000" w:themeColor="text1"/>
        </w:rPr>
        <w:t xml:space="preserve">evaluative stage and the </w:t>
      </w:r>
      <w:r w:rsidRPr="0003652C">
        <w:rPr>
          <w:rFonts w:cs="Arial"/>
          <w:color w:val="000000" w:themeColor="text1"/>
        </w:rPr>
        <w:t xml:space="preserve">potential impact on student understanding. </w:t>
      </w:r>
    </w:p>
    <w:p w14:paraId="3B1D30C1" w14:textId="22C56A18" w:rsidR="00314F17" w:rsidRPr="0003652C" w:rsidRDefault="00ED5CC2" w:rsidP="0003652C">
      <w:pPr>
        <w:pStyle w:val="Heading2"/>
        <w:spacing w:before="100" w:after="100" w:afterAutospacing="1" w:line="360" w:lineRule="auto"/>
        <w:rPr>
          <w:rFonts w:ascii="Arial" w:hAnsi="Arial" w:cs="Arial"/>
        </w:rPr>
      </w:pPr>
      <w:r w:rsidRPr="0003652C">
        <w:rPr>
          <w:rFonts w:ascii="Arial" w:hAnsi="Arial" w:cs="Arial"/>
        </w:rPr>
        <w:t xml:space="preserve"> </w:t>
      </w:r>
      <w:bookmarkStart w:id="46" w:name="_Toc223348838"/>
      <w:r w:rsidRPr="0003652C">
        <w:rPr>
          <w:rFonts w:ascii="Arial" w:hAnsi="Arial" w:cs="Arial"/>
        </w:rPr>
        <w:t>Bernstein on law course design</w:t>
      </w:r>
      <w:bookmarkEnd w:id="46"/>
    </w:p>
    <w:p w14:paraId="35F46353" w14:textId="0080E39F" w:rsidR="00870D89" w:rsidRPr="008446AA" w:rsidRDefault="001E7C3E" w:rsidP="0003652C">
      <w:pPr>
        <w:spacing w:line="360" w:lineRule="auto"/>
        <w:jc w:val="both"/>
        <w:rPr>
          <w:rFonts w:cs="Arial"/>
          <w:color w:val="000000" w:themeColor="text1"/>
        </w:rPr>
      </w:pPr>
      <w:r>
        <w:rPr>
          <w:rFonts w:cs="Arial"/>
          <w:color w:val="000000" w:themeColor="text1"/>
        </w:rPr>
        <w:t>Whilst social</w:t>
      </w:r>
      <w:r w:rsidR="00870D89" w:rsidRPr="0003652C">
        <w:rPr>
          <w:rFonts w:cs="Arial"/>
          <w:color w:val="000000" w:themeColor="text1"/>
        </w:rPr>
        <w:t xml:space="preserve"> realism </w:t>
      </w:r>
      <w:r>
        <w:rPr>
          <w:rFonts w:cs="Arial"/>
          <w:color w:val="000000" w:themeColor="text1"/>
        </w:rPr>
        <w:t>is</w:t>
      </w:r>
      <w:r w:rsidR="00314F17" w:rsidRPr="0003652C">
        <w:rPr>
          <w:rFonts w:cs="Arial"/>
          <w:color w:val="000000" w:themeColor="text1"/>
        </w:rPr>
        <w:t xml:space="preserve"> </w:t>
      </w:r>
      <w:r>
        <w:rPr>
          <w:rFonts w:cs="Arial"/>
          <w:color w:val="000000" w:themeColor="text1"/>
        </w:rPr>
        <w:t xml:space="preserve">evident </w:t>
      </w:r>
      <w:r w:rsidR="00870D89" w:rsidRPr="0003652C">
        <w:rPr>
          <w:rFonts w:cs="Arial"/>
          <w:color w:val="000000" w:themeColor="text1"/>
        </w:rPr>
        <w:t>in legal education</w:t>
      </w:r>
      <w:r w:rsidR="00CD1D23">
        <w:rPr>
          <w:rFonts w:cs="Arial"/>
          <w:color w:val="000000" w:themeColor="text1"/>
        </w:rPr>
        <w:t>,</w:t>
      </w:r>
      <w:r w:rsidR="00870D89" w:rsidRPr="0003652C">
        <w:rPr>
          <w:rFonts w:cs="Arial"/>
          <w:color w:val="000000" w:themeColor="text1"/>
        </w:rPr>
        <w:t xml:space="preserve"> drawing together social science and legal analysis</w:t>
      </w:r>
      <w:r>
        <w:rPr>
          <w:rFonts w:cs="Arial"/>
          <w:color w:val="000000" w:themeColor="text1"/>
        </w:rPr>
        <w:t>, it</w:t>
      </w:r>
      <w:r w:rsidRPr="0003652C">
        <w:rPr>
          <w:rFonts w:cs="Arial"/>
          <w:color w:val="000000" w:themeColor="text1"/>
        </w:rPr>
        <w:t xml:space="preserve"> has largely ignored Bernstein, with some notable </w:t>
      </w:r>
      <w:r w:rsidRPr="0003652C">
        <w:rPr>
          <w:rFonts w:cs="Arial"/>
          <w:color w:val="000000" w:themeColor="text1"/>
        </w:rPr>
        <w:lastRenderedPageBreak/>
        <w:t>exceptions</w:t>
      </w:r>
      <w:r w:rsidR="00870D89" w:rsidRPr="0003652C">
        <w:rPr>
          <w:rFonts w:cs="Arial"/>
          <w:color w:val="000000" w:themeColor="text1"/>
        </w:rPr>
        <w:t xml:space="preserve">. </w:t>
      </w:r>
      <w:r>
        <w:rPr>
          <w:rFonts w:cs="Arial"/>
          <w:color w:val="000000" w:themeColor="text1"/>
        </w:rPr>
        <w:t xml:space="preserve">As mentioned earlier, </w:t>
      </w:r>
      <w:r w:rsidR="00870D89" w:rsidRPr="0003652C">
        <w:rPr>
          <w:rFonts w:cs="Arial"/>
          <w:color w:val="000000" w:themeColor="text1"/>
        </w:rPr>
        <w:t>Ber</w:t>
      </w:r>
      <w:r w:rsidR="00CD1D23">
        <w:rPr>
          <w:rFonts w:cs="Arial"/>
          <w:color w:val="000000" w:themeColor="text1"/>
        </w:rPr>
        <w:t>n</w:t>
      </w:r>
      <w:r w:rsidR="00870D89" w:rsidRPr="0003652C">
        <w:rPr>
          <w:rFonts w:cs="Arial"/>
          <w:color w:val="000000" w:themeColor="text1"/>
        </w:rPr>
        <w:t xml:space="preserve">stein’s framework has been used specifically in relation to legal education in two </w:t>
      </w:r>
      <w:r w:rsidR="00833640" w:rsidRPr="0003652C">
        <w:rPr>
          <w:rFonts w:cs="Arial"/>
          <w:color w:val="000000" w:themeColor="text1"/>
        </w:rPr>
        <w:t>doctora</w:t>
      </w:r>
      <w:r w:rsidR="00CD1D23">
        <w:rPr>
          <w:rFonts w:cs="Arial"/>
          <w:color w:val="000000" w:themeColor="text1"/>
        </w:rPr>
        <w:t>l</w:t>
      </w:r>
      <w:r w:rsidR="00870D89" w:rsidRPr="0003652C">
        <w:rPr>
          <w:rFonts w:cs="Arial"/>
          <w:color w:val="000000" w:themeColor="text1"/>
        </w:rPr>
        <w:t xml:space="preserve"> thes</w:t>
      </w:r>
      <w:r w:rsidR="00CD1D23">
        <w:rPr>
          <w:rFonts w:cs="Arial"/>
          <w:color w:val="000000" w:themeColor="text1"/>
        </w:rPr>
        <w:t>e</w:t>
      </w:r>
      <w:r w:rsidR="00870D89" w:rsidRPr="0003652C">
        <w:rPr>
          <w:rFonts w:cs="Arial"/>
          <w:color w:val="000000" w:themeColor="text1"/>
        </w:rPr>
        <w:t>s’ (Ordoyno, 2016; Gibbons, 2020) and resultant publications (Gibbons, 2018). Ordoyno investigated the formation of lawyer</w:t>
      </w:r>
      <w:r w:rsidR="00CD1D23">
        <w:rPr>
          <w:rFonts w:cs="Arial"/>
          <w:color w:val="000000" w:themeColor="text1"/>
        </w:rPr>
        <w:t xml:space="preserve"> </w:t>
      </w:r>
      <w:r w:rsidR="00870D89" w:rsidRPr="0003652C">
        <w:rPr>
          <w:rFonts w:cs="Arial"/>
          <w:color w:val="000000" w:themeColor="text1"/>
        </w:rPr>
        <w:t>identity for students on two different undergraduate law degrees, building on the findings from a wider ESRC-funded research project from 2008 to 2012 (Mc</w:t>
      </w:r>
      <w:r w:rsidR="00424F6F">
        <w:rPr>
          <w:rFonts w:cs="Arial"/>
          <w:color w:val="000000" w:themeColor="text1"/>
        </w:rPr>
        <w:t>L</w:t>
      </w:r>
      <w:r w:rsidR="00870D89" w:rsidRPr="0003652C">
        <w:rPr>
          <w:rFonts w:cs="Arial"/>
          <w:color w:val="000000" w:themeColor="text1"/>
        </w:rPr>
        <w:t>ean et al.</w:t>
      </w:r>
      <w:r w:rsidR="00CD1D23">
        <w:rPr>
          <w:rFonts w:cs="Arial"/>
          <w:color w:val="000000" w:themeColor="text1"/>
        </w:rPr>
        <w:t>,</w:t>
      </w:r>
      <w:r w:rsidR="00870D89" w:rsidRPr="0003652C">
        <w:rPr>
          <w:rFonts w:cs="Arial"/>
          <w:color w:val="000000" w:themeColor="text1"/>
        </w:rPr>
        <w:t xml:space="preserve"> 20</w:t>
      </w:r>
      <w:r w:rsidR="00765137" w:rsidRPr="0003652C">
        <w:rPr>
          <w:rFonts w:cs="Arial"/>
          <w:color w:val="000000" w:themeColor="text1"/>
        </w:rPr>
        <w:t>18</w:t>
      </w:r>
      <w:r w:rsidR="00870D89" w:rsidRPr="0003652C">
        <w:rPr>
          <w:rFonts w:cs="Arial"/>
          <w:color w:val="000000" w:themeColor="text1"/>
        </w:rPr>
        <w:t xml:space="preserve">). Gibbons also researched students’ experiences at </w:t>
      </w:r>
      <w:r w:rsidR="00CD1D23">
        <w:rPr>
          <w:rFonts w:cs="Arial"/>
          <w:color w:val="000000" w:themeColor="text1"/>
        </w:rPr>
        <w:t xml:space="preserve">the </w:t>
      </w:r>
      <w:r w:rsidR="00870D89" w:rsidRPr="0003652C">
        <w:rPr>
          <w:rFonts w:cs="Arial"/>
          <w:color w:val="000000" w:themeColor="text1"/>
        </w:rPr>
        <w:t>undergraduate level in both the UK and Canada</w:t>
      </w:r>
      <w:r w:rsidR="00CD1D23">
        <w:rPr>
          <w:rFonts w:cs="Arial"/>
          <w:color w:val="000000" w:themeColor="text1"/>
        </w:rPr>
        <w:t>,</w:t>
      </w:r>
      <w:r w:rsidR="00870D89" w:rsidRPr="0003652C">
        <w:rPr>
          <w:rFonts w:cs="Arial"/>
          <w:color w:val="000000" w:themeColor="text1"/>
        </w:rPr>
        <w:t xml:space="preserve"> considering the relationship between </w:t>
      </w:r>
      <w:r w:rsidR="00314F17" w:rsidRPr="0003652C">
        <w:rPr>
          <w:rFonts w:cs="Arial"/>
          <w:color w:val="000000" w:themeColor="text1"/>
        </w:rPr>
        <w:t>law as learning and law as a profession</w:t>
      </w:r>
      <w:r w:rsidR="00870D89" w:rsidRPr="0003652C">
        <w:rPr>
          <w:rFonts w:cs="Arial"/>
          <w:color w:val="000000" w:themeColor="text1"/>
        </w:rPr>
        <w:t xml:space="preserve">. Both investigations looked at the students’ experiences </w:t>
      </w:r>
      <w:r w:rsidR="00CD1D23">
        <w:rPr>
          <w:rFonts w:cs="Arial"/>
          <w:color w:val="000000" w:themeColor="text1"/>
        </w:rPr>
        <w:t xml:space="preserve">with </w:t>
      </w:r>
      <w:r w:rsidR="00870D89" w:rsidRPr="0003652C">
        <w:rPr>
          <w:rFonts w:cs="Arial"/>
          <w:color w:val="000000" w:themeColor="text1"/>
        </w:rPr>
        <w:t xml:space="preserve">a focus on the reproduction </w:t>
      </w:r>
      <w:r w:rsidR="00140742" w:rsidRPr="0003652C">
        <w:rPr>
          <w:rFonts w:cs="Arial"/>
          <w:color w:val="000000" w:themeColor="text1"/>
        </w:rPr>
        <w:t xml:space="preserve">and acquisition </w:t>
      </w:r>
      <w:r w:rsidR="00870D89" w:rsidRPr="0003652C">
        <w:rPr>
          <w:rFonts w:cs="Arial"/>
          <w:color w:val="000000" w:themeColor="text1"/>
        </w:rPr>
        <w:t xml:space="preserve">of knowledge. </w:t>
      </w:r>
      <w:r w:rsidR="00576414" w:rsidRPr="0003652C">
        <w:rPr>
          <w:rFonts w:cs="Arial"/>
          <w:color w:val="000000" w:themeColor="text1"/>
        </w:rPr>
        <w:t>Ordoyno</w:t>
      </w:r>
      <w:r w:rsidR="00870D89" w:rsidRPr="0003652C">
        <w:rPr>
          <w:rFonts w:cs="Arial"/>
          <w:color w:val="000000" w:themeColor="text1"/>
        </w:rPr>
        <w:t xml:space="preserve"> </w:t>
      </w:r>
      <w:r w:rsidR="00314F17" w:rsidRPr="0003652C">
        <w:rPr>
          <w:rFonts w:cs="Arial"/>
          <w:color w:val="000000" w:themeColor="text1"/>
        </w:rPr>
        <w:t xml:space="preserve">considers </w:t>
      </w:r>
      <w:r w:rsidR="00870D89" w:rsidRPr="0003652C">
        <w:rPr>
          <w:rFonts w:cs="Arial"/>
          <w:color w:val="000000" w:themeColor="text1"/>
        </w:rPr>
        <w:t>the outcomes of the ESRC-funded research (Mc</w:t>
      </w:r>
      <w:r w:rsidR="00424F6F">
        <w:rPr>
          <w:rFonts w:cs="Arial"/>
          <w:color w:val="000000" w:themeColor="text1"/>
        </w:rPr>
        <w:t>L</w:t>
      </w:r>
      <w:r w:rsidR="00870D89" w:rsidRPr="0003652C">
        <w:rPr>
          <w:rFonts w:cs="Arial"/>
          <w:color w:val="000000" w:themeColor="text1"/>
        </w:rPr>
        <w:t>ean et al, 201</w:t>
      </w:r>
      <w:r w:rsidR="00A2597D" w:rsidRPr="0003652C">
        <w:rPr>
          <w:rFonts w:cs="Arial"/>
          <w:color w:val="000000" w:themeColor="text1"/>
        </w:rPr>
        <w:t>8</w:t>
      </w:r>
      <w:r w:rsidR="00576414" w:rsidRPr="0003652C">
        <w:rPr>
          <w:rFonts w:cs="Arial"/>
          <w:color w:val="000000" w:themeColor="text1"/>
        </w:rPr>
        <w:t>; Ordoyno, 2016</w:t>
      </w:r>
      <w:r w:rsidR="00870D89" w:rsidRPr="0003652C">
        <w:rPr>
          <w:rFonts w:cs="Arial"/>
          <w:color w:val="000000" w:themeColor="text1"/>
        </w:rPr>
        <w:t>) with respect to the hierarchical nature of the knowledge transformation in elite and non-elite institutions, considering this in the context of the widening participation agenda. Gibbons develops specialised theoretical identities and concludes</w:t>
      </w:r>
      <w:r w:rsidR="00CD1D23">
        <w:rPr>
          <w:rFonts w:cs="Arial"/>
          <w:color w:val="000000" w:themeColor="text1"/>
        </w:rPr>
        <w:t>,</w:t>
      </w:r>
      <w:r w:rsidR="00870D89" w:rsidRPr="0003652C">
        <w:rPr>
          <w:rFonts w:cs="Arial"/>
          <w:color w:val="000000" w:themeColor="text1"/>
        </w:rPr>
        <w:t xml:space="preserve"> amongst other things</w:t>
      </w:r>
      <w:r w:rsidR="00CD1D23">
        <w:rPr>
          <w:rFonts w:cs="Arial"/>
          <w:color w:val="000000" w:themeColor="text1"/>
        </w:rPr>
        <w:t>,</w:t>
      </w:r>
      <w:r w:rsidR="00870D89" w:rsidRPr="0003652C">
        <w:rPr>
          <w:rFonts w:cs="Arial"/>
          <w:color w:val="000000" w:themeColor="text1"/>
        </w:rPr>
        <w:t xml:space="preserve"> that c</w:t>
      </w:r>
      <w:r w:rsidR="002A269E">
        <w:rPr>
          <w:rFonts w:cs="Arial"/>
          <w:color w:val="000000" w:themeColor="text1"/>
        </w:rPr>
        <w:t>ourse</w:t>
      </w:r>
      <w:r w:rsidR="00870D89" w:rsidRPr="0003652C">
        <w:rPr>
          <w:rFonts w:cs="Arial"/>
          <w:color w:val="000000" w:themeColor="text1"/>
        </w:rPr>
        <w:t xml:space="preserve"> design and pedagogy might be more active in that transformative impact. </w:t>
      </w:r>
      <w:r w:rsidR="00314F17" w:rsidRPr="0003652C">
        <w:rPr>
          <w:rFonts w:cs="Arial"/>
          <w:color w:val="000000" w:themeColor="text1"/>
        </w:rPr>
        <w:t>A more specific</w:t>
      </w:r>
      <w:r w:rsidR="00870D89" w:rsidRPr="0003652C">
        <w:rPr>
          <w:rFonts w:cs="Arial"/>
          <w:color w:val="000000" w:themeColor="text1"/>
        </w:rPr>
        <w:t xml:space="preserve"> disciplinary investigation into employment law concentrat</w:t>
      </w:r>
      <w:r w:rsidR="00314F17" w:rsidRPr="0003652C">
        <w:rPr>
          <w:rFonts w:cs="Arial"/>
          <w:color w:val="000000" w:themeColor="text1"/>
        </w:rPr>
        <w:t>es</w:t>
      </w:r>
      <w:r w:rsidR="00870D89" w:rsidRPr="0003652C">
        <w:rPr>
          <w:rFonts w:cs="Arial"/>
          <w:color w:val="000000" w:themeColor="text1"/>
        </w:rPr>
        <w:t xml:space="preserve"> on the pedagogy and student identity and understanding, investigating the role of horizontal discourse in two employment law programmes (Breier, 2004). Whilst these investigations have different utilisation of the framework and a different focus from each other and from this research, they do point to the relevance and viability of Bernstein’s framework to legal education</w:t>
      </w:r>
      <w:r w:rsidR="00CD1D23">
        <w:rPr>
          <w:rFonts w:cs="Arial"/>
          <w:color w:val="000000" w:themeColor="text1"/>
        </w:rPr>
        <w:t>. They</w:t>
      </w:r>
      <w:r w:rsidR="00870D89" w:rsidRPr="0003652C">
        <w:rPr>
          <w:rFonts w:cs="Arial"/>
          <w:color w:val="000000" w:themeColor="text1"/>
        </w:rPr>
        <w:t xml:space="preserve"> provide some interesting, and occasionally conflicting, perspectives on elements of the placing of legal education within the framework</w:t>
      </w:r>
      <w:r w:rsidR="00CD1D23">
        <w:rPr>
          <w:rFonts w:cs="Arial"/>
          <w:color w:val="000000" w:themeColor="text1"/>
        </w:rPr>
        <w:t>,</w:t>
      </w:r>
      <w:r w:rsidR="00314F17" w:rsidRPr="0003652C">
        <w:rPr>
          <w:rFonts w:cs="Arial"/>
          <w:color w:val="000000" w:themeColor="text1"/>
        </w:rPr>
        <w:t xml:space="preserve"> which I refer to where relevant.</w:t>
      </w:r>
    </w:p>
    <w:p w14:paraId="3C7C7182" w14:textId="3F11A31F" w:rsidR="00ED5CC2" w:rsidRPr="0003652C" w:rsidRDefault="00ED5CC2" w:rsidP="0003652C">
      <w:pPr>
        <w:pStyle w:val="Heading2"/>
        <w:spacing w:before="100" w:after="100" w:afterAutospacing="1" w:line="360" w:lineRule="auto"/>
        <w:rPr>
          <w:rFonts w:ascii="Arial" w:hAnsi="Arial" w:cs="Arial"/>
        </w:rPr>
      </w:pPr>
      <w:bookmarkStart w:id="47" w:name="_Toc223348839"/>
      <w:r w:rsidRPr="0003652C">
        <w:rPr>
          <w:rFonts w:ascii="Arial" w:hAnsi="Arial" w:cs="Arial"/>
        </w:rPr>
        <w:t>Conclusion</w:t>
      </w:r>
      <w:bookmarkEnd w:id="47"/>
      <w:r w:rsidRPr="0003652C">
        <w:rPr>
          <w:rFonts w:ascii="Arial" w:hAnsi="Arial" w:cs="Arial"/>
        </w:rPr>
        <w:t xml:space="preserve"> </w:t>
      </w:r>
    </w:p>
    <w:p w14:paraId="6229E856" w14:textId="72C46A0E" w:rsidR="00870D89" w:rsidRPr="0003652C" w:rsidRDefault="00870D89" w:rsidP="0003652C">
      <w:pPr>
        <w:spacing w:line="360" w:lineRule="auto"/>
        <w:jc w:val="both"/>
        <w:rPr>
          <w:rFonts w:cs="Arial"/>
          <w:color w:val="000000" w:themeColor="text1"/>
        </w:rPr>
      </w:pPr>
      <w:r w:rsidRPr="0003652C">
        <w:rPr>
          <w:rFonts w:cs="Arial"/>
          <w:color w:val="000000" w:themeColor="text1"/>
        </w:rPr>
        <w:t xml:space="preserve">This chapter has presented Bernstein’s </w:t>
      </w:r>
      <w:r w:rsidR="00314F17" w:rsidRPr="0003652C">
        <w:rPr>
          <w:rFonts w:cs="Arial"/>
          <w:color w:val="000000" w:themeColor="text1"/>
        </w:rPr>
        <w:t xml:space="preserve">codes relevant to this investigation and his </w:t>
      </w:r>
      <w:r w:rsidRPr="0003652C">
        <w:rPr>
          <w:rFonts w:cs="Arial"/>
          <w:color w:val="000000" w:themeColor="text1"/>
        </w:rPr>
        <w:t>pedagogic device</w:t>
      </w:r>
      <w:r w:rsidR="00314F17" w:rsidRPr="0003652C">
        <w:rPr>
          <w:rFonts w:cs="Arial"/>
          <w:color w:val="000000" w:themeColor="text1"/>
        </w:rPr>
        <w:t>,</w:t>
      </w:r>
      <w:r w:rsidRPr="0003652C">
        <w:rPr>
          <w:rFonts w:cs="Arial"/>
          <w:color w:val="000000" w:themeColor="text1"/>
        </w:rPr>
        <w:t xml:space="preserve"> applying it to the legal context and thereby identifying where this investigation sits. Drawing on the initial discussion of Bernstein’s theory in </w:t>
      </w:r>
      <w:r w:rsidR="00046A61">
        <w:rPr>
          <w:rFonts w:cs="Arial"/>
          <w:color w:val="000000" w:themeColor="text1"/>
        </w:rPr>
        <w:t>C</w:t>
      </w:r>
      <w:r w:rsidRPr="0003652C">
        <w:rPr>
          <w:rFonts w:cs="Arial"/>
          <w:color w:val="000000" w:themeColor="text1"/>
        </w:rPr>
        <w:t xml:space="preserve">hapter </w:t>
      </w:r>
      <w:r w:rsidR="00046A61">
        <w:rPr>
          <w:rFonts w:cs="Arial"/>
          <w:color w:val="000000" w:themeColor="text1"/>
        </w:rPr>
        <w:t>T</w:t>
      </w:r>
      <w:r w:rsidRPr="0003652C">
        <w:rPr>
          <w:rFonts w:cs="Arial"/>
          <w:color w:val="000000" w:themeColor="text1"/>
        </w:rPr>
        <w:t xml:space="preserve">wo, I </w:t>
      </w:r>
      <w:r w:rsidR="00314F17" w:rsidRPr="0003652C">
        <w:rPr>
          <w:rFonts w:cs="Arial"/>
          <w:color w:val="000000" w:themeColor="text1"/>
        </w:rPr>
        <w:t xml:space="preserve">have presented the axis that I will use in the presentation of the findings, including the classification and framing principles, and related collection and integrated modes of design. </w:t>
      </w:r>
      <w:r w:rsidR="001C694F" w:rsidRPr="0003652C">
        <w:rPr>
          <w:rFonts w:cs="Arial"/>
          <w:color w:val="000000" w:themeColor="text1"/>
        </w:rPr>
        <w:t xml:space="preserve">I explain </w:t>
      </w:r>
      <w:r w:rsidR="00314F17" w:rsidRPr="0003652C">
        <w:rPr>
          <w:rFonts w:cs="Arial"/>
          <w:color w:val="000000" w:themeColor="text1"/>
        </w:rPr>
        <w:t xml:space="preserve">Bernstein’s evaluation </w:t>
      </w:r>
      <w:r w:rsidR="00F72961" w:rsidRPr="0003652C">
        <w:rPr>
          <w:rFonts w:cs="Arial"/>
          <w:color w:val="000000" w:themeColor="text1"/>
        </w:rPr>
        <w:t>of access</w:t>
      </w:r>
      <w:r w:rsidRPr="0003652C">
        <w:rPr>
          <w:rFonts w:cs="Arial"/>
          <w:color w:val="000000" w:themeColor="text1"/>
        </w:rPr>
        <w:t xml:space="preserve"> to sacred and mundane knowledge within vertical and horizontal </w:t>
      </w:r>
      <w:r w:rsidRPr="0003652C">
        <w:rPr>
          <w:rFonts w:cs="Arial"/>
          <w:color w:val="000000" w:themeColor="text1"/>
        </w:rPr>
        <w:lastRenderedPageBreak/>
        <w:t>knowledge structures and the implications of that for students</w:t>
      </w:r>
      <w:r w:rsidR="00CD1D23">
        <w:rPr>
          <w:rFonts w:cs="Arial"/>
          <w:color w:val="000000" w:themeColor="text1"/>
        </w:rPr>
        <w:t>’</w:t>
      </w:r>
      <w:r w:rsidRPr="0003652C">
        <w:rPr>
          <w:rFonts w:cs="Arial"/>
          <w:color w:val="000000" w:themeColor="text1"/>
        </w:rPr>
        <w:t xml:space="preserve"> access to knowledge</w:t>
      </w:r>
      <w:r w:rsidR="001C694F" w:rsidRPr="0003652C">
        <w:rPr>
          <w:rFonts w:cs="Arial"/>
          <w:color w:val="000000" w:themeColor="text1"/>
        </w:rPr>
        <w:t>. This then enables me to present</w:t>
      </w:r>
      <w:r w:rsidRPr="0003652C">
        <w:rPr>
          <w:rFonts w:cs="Arial"/>
          <w:color w:val="000000" w:themeColor="text1"/>
        </w:rPr>
        <w:t xml:space="preserve"> law </w:t>
      </w:r>
      <w:r w:rsidR="001C694F" w:rsidRPr="0003652C">
        <w:rPr>
          <w:rFonts w:cs="Arial"/>
          <w:color w:val="000000" w:themeColor="text1"/>
        </w:rPr>
        <w:t>within the context of the pedagogic device and as</w:t>
      </w:r>
      <w:r w:rsidRPr="0003652C">
        <w:rPr>
          <w:rFonts w:cs="Arial"/>
          <w:color w:val="000000" w:themeColor="text1"/>
        </w:rPr>
        <w:t xml:space="preserve"> a regional or singular discipline, assessing the implications of that categorisation. </w:t>
      </w:r>
    </w:p>
    <w:p w14:paraId="7CC30574" w14:textId="20F9F6BB" w:rsidR="00870D89" w:rsidRPr="0003652C" w:rsidRDefault="00870D89" w:rsidP="0003652C">
      <w:pPr>
        <w:spacing w:line="360" w:lineRule="auto"/>
        <w:jc w:val="both"/>
        <w:rPr>
          <w:rFonts w:cs="Arial"/>
          <w:color w:val="000000" w:themeColor="text1"/>
        </w:rPr>
      </w:pPr>
      <w:r w:rsidRPr="0003652C">
        <w:rPr>
          <w:rFonts w:cs="Arial"/>
          <w:color w:val="000000" w:themeColor="text1"/>
        </w:rPr>
        <w:t xml:space="preserve"> I conclude from this that Bernstein</w:t>
      </w:r>
      <w:r w:rsidR="001E7C3E">
        <w:rPr>
          <w:rFonts w:cs="Arial"/>
          <w:color w:val="000000" w:themeColor="text1"/>
        </w:rPr>
        <w:t>’s</w:t>
      </w:r>
      <w:r w:rsidRPr="0003652C">
        <w:rPr>
          <w:rFonts w:cs="Arial"/>
          <w:color w:val="000000" w:themeColor="text1"/>
        </w:rPr>
        <w:t xml:space="preserve"> theory is appropriate for this investigation as it provides</w:t>
      </w:r>
      <w:r w:rsidR="001C694F" w:rsidRPr="0003652C">
        <w:rPr>
          <w:rFonts w:cs="Arial"/>
          <w:color w:val="000000" w:themeColor="text1"/>
        </w:rPr>
        <w:t xml:space="preserve"> an appropriate</w:t>
      </w:r>
      <w:r w:rsidRPr="0003652C">
        <w:rPr>
          <w:rFonts w:cs="Arial"/>
          <w:color w:val="000000" w:themeColor="text1"/>
        </w:rPr>
        <w:t xml:space="preserve"> conceptual framework for the investigation</w:t>
      </w:r>
      <w:r w:rsidR="001E7C3E">
        <w:rPr>
          <w:rFonts w:cs="Arial"/>
          <w:color w:val="000000" w:themeColor="text1"/>
        </w:rPr>
        <w:t>, whilst also providing</w:t>
      </w:r>
      <w:r w:rsidRPr="0003652C">
        <w:rPr>
          <w:rFonts w:cs="Arial"/>
          <w:color w:val="000000" w:themeColor="text1"/>
        </w:rPr>
        <w:t xml:space="preserve"> the mechanism in the form of the pedagogic device and relating knowledge structures to interrogate the legal curriculum, to consider the power and control</w:t>
      </w:r>
      <w:r w:rsidR="001C694F" w:rsidRPr="0003652C">
        <w:rPr>
          <w:rFonts w:cs="Arial"/>
          <w:color w:val="000000" w:themeColor="text1"/>
        </w:rPr>
        <w:t xml:space="preserve"> exerted by agents in the process of course design</w:t>
      </w:r>
      <w:r w:rsidR="00CD1D23">
        <w:rPr>
          <w:rFonts w:cs="Arial"/>
          <w:color w:val="000000" w:themeColor="text1"/>
        </w:rPr>
        <w:t>,</w:t>
      </w:r>
      <w:r w:rsidRPr="0003652C">
        <w:rPr>
          <w:rFonts w:cs="Arial"/>
          <w:color w:val="000000" w:themeColor="text1"/>
        </w:rPr>
        <w:t xml:space="preserve"> impacting on design</w:t>
      </w:r>
      <w:r w:rsidR="001C694F" w:rsidRPr="0003652C">
        <w:rPr>
          <w:rFonts w:cs="Arial"/>
          <w:color w:val="000000" w:themeColor="text1"/>
        </w:rPr>
        <w:t>.</w:t>
      </w:r>
    </w:p>
    <w:p w14:paraId="5373A3AB" w14:textId="77777777" w:rsidR="00ED5CC2" w:rsidRPr="0003652C" w:rsidRDefault="00ED5CC2" w:rsidP="0003652C">
      <w:pPr>
        <w:spacing w:line="360" w:lineRule="auto"/>
        <w:rPr>
          <w:rFonts w:cs="Arial"/>
        </w:rPr>
      </w:pPr>
    </w:p>
    <w:p w14:paraId="5659DDBC" w14:textId="37755E96" w:rsidR="003E6D41" w:rsidRPr="0003652C" w:rsidRDefault="003E6D41" w:rsidP="0003652C">
      <w:pPr>
        <w:spacing w:after="100" w:afterAutospacing="1" w:line="360" w:lineRule="auto"/>
        <w:rPr>
          <w:rFonts w:cs="Arial"/>
        </w:rPr>
      </w:pPr>
    </w:p>
    <w:p w14:paraId="445E5666" w14:textId="77777777" w:rsidR="001C694F" w:rsidRPr="0003652C" w:rsidRDefault="001C694F" w:rsidP="0003652C">
      <w:pPr>
        <w:spacing w:after="100" w:afterAutospacing="1" w:line="360" w:lineRule="auto"/>
        <w:rPr>
          <w:rFonts w:cs="Arial"/>
        </w:rPr>
      </w:pPr>
    </w:p>
    <w:p w14:paraId="1DE38FCC" w14:textId="77777777" w:rsidR="001C694F" w:rsidRPr="0003652C" w:rsidRDefault="001C694F" w:rsidP="0003652C">
      <w:pPr>
        <w:spacing w:after="100" w:afterAutospacing="1" w:line="360" w:lineRule="auto"/>
        <w:rPr>
          <w:rFonts w:cs="Arial"/>
        </w:rPr>
      </w:pPr>
    </w:p>
    <w:p w14:paraId="1E14C4B2" w14:textId="77777777" w:rsidR="001C694F" w:rsidRPr="0003652C" w:rsidRDefault="001C694F" w:rsidP="0003652C">
      <w:pPr>
        <w:spacing w:after="100" w:afterAutospacing="1" w:line="360" w:lineRule="auto"/>
        <w:rPr>
          <w:rFonts w:cs="Arial"/>
        </w:rPr>
      </w:pPr>
    </w:p>
    <w:p w14:paraId="0E07A1B6" w14:textId="77777777" w:rsidR="001C694F" w:rsidRDefault="001C694F" w:rsidP="0003652C">
      <w:pPr>
        <w:spacing w:after="100" w:afterAutospacing="1" w:line="360" w:lineRule="auto"/>
        <w:rPr>
          <w:rFonts w:cs="Arial"/>
        </w:rPr>
      </w:pPr>
    </w:p>
    <w:p w14:paraId="2866161A" w14:textId="77777777" w:rsidR="0005689B" w:rsidRDefault="0005689B" w:rsidP="0003652C">
      <w:pPr>
        <w:spacing w:after="100" w:afterAutospacing="1" w:line="360" w:lineRule="auto"/>
        <w:rPr>
          <w:rFonts w:cs="Arial"/>
        </w:rPr>
      </w:pPr>
    </w:p>
    <w:p w14:paraId="6AA7C550" w14:textId="77777777" w:rsidR="0005689B" w:rsidRDefault="0005689B" w:rsidP="0003652C">
      <w:pPr>
        <w:spacing w:after="100" w:afterAutospacing="1" w:line="360" w:lineRule="auto"/>
        <w:rPr>
          <w:rFonts w:cs="Arial"/>
        </w:rPr>
      </w:pPr>
    </w:p>
    <w:p w14:paraId="093CC901" w14:textId="77777777" w:rsidR="0005689B" w:rsidRDefault="0005689B" w:rsidP="0003652C">
      <w:pPr>
        <w:spacing w:after="100" w:afterAutospacing="1" w:line="360" w:lineRule="auto"/>
        <w:rPr>
          <w:rFonts w:cs="Arial"/>
        </w:rPr>
      </w:pPr>
    </w:p>
    <w:p w14:paraId="313BD6AA" w14:textId="77777777" w:rsidR="0005689B" w:rsidRDefault="0005689B" w:rsidP="0003652C">
      <w:pPr>
        <w:spacing w:after="100" w:afterAutospacing="1" w:line="360" w:lineRule="auto"/>
        <w:rPr>
          <w:rFonts w:cs="Arial"/>
        </w:rPr>
      </w:pPr>
    </w:p>
    <w:p w14:paraId="5290E47C" w14:textId="77777777" w:rsidR="0005689B" w:rsidRDefault="0005689B" w:rsidP="0003652C">
      <w:pPr>
        <w:spacing w:after="100" w:afterAutospacing="1" w:line="360" w:lineRule="auto"/>
        <w:rPr>
          <w:rFonts w:cs="Arial"/>
        </w:rPr>
      </w:pPr>
    </w:p>
    <w:p w14:paraId="1ABAE375" w14:textId="77777777" w:rsidR="0005689B" w:rsidRDefault="0005689B" w:rsidP="0003652C">
      <w:pPr>
        <w:spacing w:after="100" w:afterAutospacing="1" w:line="360" w:lineRule="auto"/>
        <w:rPr>
          <w:rFonts w:cs="Arial"/>
        </w:rPr>
      </w:pPr>
    </w:p>
    <w:p w14:paraId="79DEE654" w14:textId="77777777" w:rsidR="0005689B" w:rsidRDefault="0005689B" w:rsidP="0003652C">
      <w:pPr>
        <w:spacing w:after="100" w:afterAutospacing="1" w:line="360" w:lineRule="auto"/>
        <w:rPr>
          <w:rFonts w:cs="Arial"/>
        </w:rPr>
      </w:pPr>
    </w:p>
    <w:p w14:paraId="19EB7E92" w14:textId="77777777" w:rsidR="00E50173" w:rsidRPr="0003652C" w:rsidRDefault="00E50173" w:rsidP="0003652C">
      <w:pPr>
        <w:spacing w:after="100" w:afterAutospacing="1" w:line="360" w:lineRule="auto"/>
        <w:rPr>
          <w:rFonts w:cs="Arial"/>
        </w:rPr>
      </w:pPr>
    </w:p>
    <w:p w14:paraId="377F0713" w14:textId="070EE8BE" w:rsidR="00A50B24" w:rsidRDefault="006613BB" w:rsidP="0003652C">
      <w:pPr>
        <w:pStyle w:val="Heading1"/>
        <w:spacing w:before="100" w:after="100" w:afterAutospacing="1" w:line="360" w:lineRule="auto"/>
        <w:rPr>
          <w:rFonts w:ascii="Arial" w:hAnsi="Arial" w:cs="Arial"/>
        </w:rPr>
      </w:pPr>
      <w:bookmarkStart w:id="48" w:name="_Toc223348840"/>
      <w:r w:rsidRPr="0005689B">
        <w:rPr>
          <w:rFonts w:ascii="Arial" w:hAnsi="Arial" w:cs="Arial"/>
        </w:rPr>
        <w:t>Methods and methodolog</w:t>
      </w:r>
      <w:r w:rsidR="0005689B">
        <w:rPr>
          <w:rFonts w:ascii="Arial" w:hAnsi="Arial" w:cs="Arial"/>
        </w:rPr>
        <w:t>y</w:t>
      </w:r>
      <w:bookmarkEnd w:id="48"/>
    </w:p>
    <w:p w14:paraId="3C81A2AD" w14:textId="77777777" w:rsidR="0005689B" w:rsidRPr="0005689B" w:rsidRDefault="0005689B" w:rsidP="0005689B"/>
    <w:p w14:paraId="3143BFAB" w14:textId="0B5CF418" w:rsidR="006F3BFC" w:rsidRPr="0003652C" w:rsidRDefault="006613BB" w:rsidP="0003652C">
      <w:pPr>
        <w:pStyle w:val="Heading2"/>
        <w:spacing w:before="100" w:after="100" w:afterAutospacing="1" w:line="360" w:lineRule="auto"/>
        <w:rPr>
          <w:rFonts w:ascii="Arial" w:hAnsi="Arial" w:cs="Arial"/>
        </w:rPr>
      </w:pPr>
      <w:bookmarkStart w:id="49" w:name="_Toc223348841"/>
      <w:r w:rsidRPr="0003652C">
        <w:rPr>
          <w:rFonts w:ascii="Arial" w:hAnsi="Arial" w:cs="Arial"/>
        </w:rPr>
        <w:t>Research design</w:t>
      </w:r>
      <w:bookmarkEnd w:id="49"/>
    </w:p>
    <w:p w14:paraId="58898FAF" w14:textId="548C1D75" w:rsidR="00A50B24" w:rsidRPr="0003652C" w:rsidRDefault="00A50B24" w:rsidP="0003652C">
      <w:pPr>
        <w:spacing w:line="360" w:lineRule="auto"/>
        <w:jc w:val="both"/>
        <w:rPr>
          <w:rFonts w:cs="Arial"/>
          <w:color w:val="000000" w:themeColor="text1"/>
        </w:rPr>
      </w:pPr>
      <w:r w:rsidRPr="0003652C">
        <w:rPr>
          <w:rFonts w:cs="Arial"/>
          <w:color w:val="000000" w:themeColor="text1"/>
        </w:rPr>
        <w:t xml:space="preserve">My investigation collected qualitative data on the perspectives held by academics responsible for leading on the design of undergraduate law courses in </w:t>
      </w:r>
      <w:r w:rsidR="001D765D">
        <w:rPr>
          <w:rFonts w:cs="Arial"/>
          <w:color w:val="000000" w:themeColor="text1"/>
        </w:rPr>
        <w:t>universitie</w:t>
      </w:r>
      <w:r w:rsidRPr="0003652C">
        <w:rPr>
          <w:rFonts w:cs="Arial"/>
          <w:color w:val="000000" w:themeColor="text1"/>
        </w:rPr>
        <w:t>s in the UK. I</w:t>
      </w:r>
      <w:r w:rsidRPr="0003652C">
        <w:rPr>
          <w:rFonts w:cs="Arial"/>
        </w:rPr>
        <w:t xml:space="preserve"> </w:t>
      </w:r>
      <w:r w:rsidRPr="0003652C">
        <w:rPr>
          <w:rFonts w:cs="Arial"/>
          <w:color w:val="000000" w:themeColor="text1"/>
        </w:rPr>
        <w:t>acknowledg</w:t>
      </w:r>
      <w:r w:rsidR="00D0589F">
        <w:rPr>
          <w:rFonts w:cs="Arial"/>
          <w:color w:val="000000" w:themeColor="text1"/>
        </w:rPr>
        <w:t>e</w:t>
      </w:r>
      <w:r w:rsidRPr="0003652C">
        <w:rPr>
          <w:rFonts w:cs="Arial"/>
          <w:color w:val="000000" w:themeColor="text1"/>
        </w:rPr>
        <w:t xml:space="preserve"> the extent to which the social contextualises knowledge, and therefore</w:t>
      </w:r>
      <w:r w:rsidR="00A116A9">
        <w:rPr>
          <w:rFonts w:cs="Arial"/>
          <w:color w:val="000000" w:themeColor="text1"/>
        </w:rPr>
        <w:t>,</w:t>
      </w:r>
      <w:r w:rsidRPr="0003652C">
        <w:rPr>
          <w:rFonts w:cs="Arial"/>
          <w:color w:val="000000" w:themeColor="text1"/>
        </w:rPr>
        <w:t xml:space="preserve"> here, how the social context, be it professional identities, institutional cultures, or wider legal educational paradigms and agendas</w:t>
      </w:r>
      <w:r w:rsidR="00A116A9">
        <w:rPr>
          <w:rFonts w:cs="Arial"/>
          <w:color w:val="000000" w:themeColor="text1"/>
        </w:rPr>
        <w:t>,</w:t>
      </w:r>
      <w:r w:rsidRPr="0003652C">
        <w:rPr>
          <w:rFonts w:cs="Arial"/>
          <w:color w:val="000000" w:themeColor="text1"/>
        </w:rPr>
        <w:t xml:space="preserve"> might impact on the designers of the curricula (Flick, 20</w:t>
      </w:r>
      <w:r w:rsidR="006C1FF1" w:rsidRPr="0003652C">
        <w:rPr>
          <w:rFonts w:cs="Arial"/>
          <w:color w:val="000000" w:themeColor="text1"/>
        </w:rPr>
        <w:t>22</w:t>
      </w:r>
      <w:r w:rsidRPr="0003652C">
        <w:rPr>
          <w:rFonts w:cs="Arial"/>
          <w:color w:val="000000" w:themeColor="text1"/>
        </w:rPr>
        <w:t xml:space="preserve">). </w:t>
      </w:r>
      <w:r w:rsidR="00D0589F">
        <w:rPr>
          <w:rFonts w:cs="Arial"/>
          <w:color w:val="000000" w:themeColor="text1"/>
        </w:rPr>
        <w:t>My</w:t>
      </w:r>
      <w:r w:rsidRPr="0003652C">
        <w:rPr>
          <w:rFonts w:cs="Arial"/>
          <w:color w:val="000000" w:themeColor="text1"/>
        </w:rPr>
        <w:t xml:space="preserve"> approach enables a focus on the participants’ perspectives on the activity and can demand a reflexive response by the participants (Flick, 2022). This approach also explains the importance of the investigation as it places the curriculum as a vehicle for learning that students should be able to access to construct their own learning.</w:t>
      </w:r>
    </w:p>
    <w:p w14:paraId="14E5E92D" w14:textId="5F7D3EA1" w:rsidR="008704FE" w:rsidRPr="0003652C" w:rsidRDefault="00A50B24" w:rsidP="0003652C">
      <w:pPr>
        <w:spacing w:line="360" w:lineRule="auto"/>
        <w:jc w:val="both"/>
        <w:rPr>
          <w:rFonts w:cs="Arial"/>
          <w:color w:val="000000" w:themeColor="text1"/>
        </w:rPr>
      </w:pPr>
      <w:r w:rsidRPr="0003652C">
        <w:rPr>
          <w:rFonts w:cs="Arial"/>
          <w:color w:val="000000" w:themeColor="text1"/>
        </w:rPr>
        <w:t xml:space="preserve">My research design is </w:t>
      </w:r>
      <w:r w:rsidR="008704FE" w:rsidRPr="0003652C">
        <w:rPr>
          <w:rFonts w:cs="Arial"/>
          <w:color w:val="000000" w:themeColor="text1"/>
        </w:rPr>
        <w:t>influenced by the nature of my research questions, which as a reminder</w:t>
      </w:r>
      <w:r w:rsidR="00A116A9">
        <w:rPr>
          <w:rFonts w:cs="Arial"/>
          <w:color w:val="000000" w:themeColor="text1"/>
        </w:rPr>
        <w:t>,</w:t>
      </w:r>
      <w:r w:rsidR="008704FE" w:rsidRPr="0003652C">
        <w:rPr>
          <w:rFonts w:cs="Arial"/>
          <w:color w:val="000000" w:themeColor="text1"/>
        </w:rPr>
        <w:t xml:space="preserve"> are, </w:t>
      </w:r>
    </w:p>
    <w:p w14:paraId="64BBE413" w14:textId="77777777" w:rsidR="008704FE" w:rsidRPr="0003652C" w:rsidRDefault="008704FE" w:rsidP="0003652C">
      <w:pPr>
        <w:spacing w:line="360" w:lineRule="auto"/>
        <w:jc w:val="both"/>
        <w:rPr>
          <w:rFonts w:cs="Arial"/>
          <w:color w:val="000000" w:themeColor="text1"/>
        </w:rPr>
      </w:pPr>
      <w:r w:rsidRPr="0003652C">
        <w:rPr>
          <w:rFonts w:cs="Arial"/>
          <w:color w:val="000000" w:themeColor="text1"/>
        </w:rPr>
        <w:t>What influences are apparent in undergraduate law course design?</w:t>
      </w:r>
    </w:p>
    <w:p w14:paraId="6589DDBF" w14:textId="4EF7A69E" w:rsidR="006613BB" w:rsidRPr="0005689B" w:rsidRDefault="008704FE" w:rsidP="0005689B">
      <w:pPr>
        <w:spacing w:line="360" w:lineRule="auto"/>
        <w:jc w:val="both"/>
        <w:rPr>
          <w:rFonts w:cs="Arial"/>
          <w:color w:val="000000" w:themeColor="text1"/>
        </w:rPr>
      </w:pPr>
      <w:r w:rsidRPr="0003652C">
        <w:rPr>
          <w:rFonts w:cs="Arial"/>
          <w:color w:val="000000" w:themeColor="text1"/>
        </w:rPr>
        <w:t>What impact are these influences understood to have on the course design?</w:t>
      </w:r>
    </w:p>
    <w:p w14:paraId="15E07564" w14:textId="48995891" w:rsidR="006613BB" w:rsidRPr="001E7C3E" w:rsidRDefault="006613BB" w:rsidP="0003652C">
      <w:pPr>
        <w:spacing w:line="360" w:lineRule="auto"/>
        <w:jc w:val="both"/>
        <w:rPr>
          <w:rFonts w:cs="Arial"/>
          <w:color w:val="FF0000"/>
        </w:rPr>
      </w:pPr>
      <w:r w:rsidRPr="0003652C">
        <w:rPr>
          <w:rFonts w:cs="Arial"/>
          <w:color w:val="000000" w:themeColor="text1"/>
        </w:rPr>
        <w:t xml:space="preserve">A qualitative approach </w:t>
      </w:r>
      <w:r w:rsidR="008704FE" w:rsidRPr="0003652C">
        <w:rPr>
          <w:rFonts w:cs="Arial"/>
          <w:color w:val="000000" w:themeColor="text1"/>
        </w:rPr>
        <w:t>meets</w:t>
      </w:r>
      <w:r w:rsidRPr="0003652C">
        <w:rPr>
          <w:rFonts w:cs="Arial"/>
          <w:color w:val="000000" w:themeColor="text1"/>
        </w:rPr>
        <w:t xml:space="preserve"> the needs of this investigation as it will allow for the interpretation of the experiences of course designers (Creswell, 2018)</w:t>
      </w:r>
      <w:r w:rsidR="006C6CF1" w:rsidRPr="0003652C">
        <w:rPr>
          <w:rFonts w:cs="Arial"/>
          <w:color w:val="000000" w:themeColor="text1"/>
        </w:rPr>
        <w:t xml:space="preserve"> and</w:t>
      </w:r>
      <w:r w:rsidRPr="0003652C">
        <w:rPr>
          <w:rFonts w:cs="Arial"/>
          <w:color w:val="000000" w:themeColor="text1"/>
        </w:rPr>
        <w:t xml:space="preserve"> enable</w:t>
      </w:r>
      <w:r w:rsidR="006C6CF1" w:rsidRPr="0003652C">
        <w:rPr>
          <w:rFonts w:cs="Arial"/>
          <w:color w:val="000000" w:themeColor="text1"/>
        </w:rPr>
        <w:t xml:space="preserve"> me</w:t>
      </w:r>
      <w:r w:rsidRPr="0003652C">
        <w:rPr>
          <w:rFonts w:cs="Arial"/>
          <w:color w:val="000000" w:themeColor="text1"/>
        </w:rPr>
        <w:t xml:space="preserve"> to explore relationships that would not be evident in quantitative data (Daniel &amp; Harland, 2019)</w:t>
      </w:r>
      <w:r w:rsidR="001E7C3E">
        <w:rPr>
          <w:rFonts w:cs="Arial"/>
          <w:color w:val="FF0000"/>
        </w:rPr>
        <w:t xml:space="preserve">. </w:t>
      </w:r>
      <w:r w:rsidRPr="0003652C">
        <w:rPr>
          <w:rFonts w:cs="Arial"/>
          <w:color w:val="000000" w:themeColor="text1"/>
        </w:rPr>
        <w:t xml:space="preserve">Whilst a single method as opposed to </w:t>
      </w:r>
      <w:r w:rsidR="00E50173">
        <w:rPr>
          <w:rFonts w:cs="Arial"/>
          <w:color w:val="000000" w:themeColor="text1"/>
        </w:rPr>
        <w:t xml:space="preserve">a </w:t>
      </w:r>
      <w:r w:rsidRPr="0003652C">
        <w:rPr>
          <w:rFonts w:cs="Arial"/>
          <w:color w:val="000000" w:themeColor="text1"/>
        </w:rPr>
        <w:t xml:space="preserve">mixed method of investigation presents only one perspective or interpretation (Charmaz, 2014), </w:t>
      </w:r>
      <w:r w:rsidR="001D2E2C" w:rsidRPr="0003652C">
        <w:rPr>
          <w:rFonts w:cs="Arial"/>
          <w:color w:val="000000" w:themeColor="text1"/>
        </w:rPr>
        <w:t>here</w:t>
      </w:r>
      <w:r w:rsidR="008704FE" w:rsidRPr="0003652C">
        <w:rPr>
          <w:rFonts w:cs="Arial"/>
          <w:color w:val="000000" w:themeColor="text1"/>
        </w:rPr>
        <w:t xml:space="preserve"> </w:t>
      </w:r>
      <w:r w:rsidRPr="0003652C">
        <w:rPr>
          <w:rFonts w:cs="Arial"/>
        </w:rPr>
        <w:t>being</w:t>
      </w:r>
      <w:r w:rsidRPr="0003652C">
        <w:rPr>
          <w:rFonts w:cs="Arial"/>
          <w:color w:val="000000" w:themeColor="text1"/>
        </w:rPr>
        <w:t xml:space="preserve"> that of the designer of the course, by having a breadth of perspectives, and reference to multiple sites, it shows the complexity</w:t>
      </w:r>
      <w:r w:rsidR="00A116A9">
        <w:rPr>
          <w:rFonts w:cs="Arial"/>
          <w:color w:val="000000" w:themeColor="text1"/>
        </w:rPr>
        <w:t>.</w:t>
      </w:r>
      <w:r w:rsidRPr="0003652C">
        <w:rPr>
          <w:rFonts w:cs="Arial"/>
          <w:color w:val="000000" w:themeColor="text1"/>
        </w:rPr>
        <w:t xml:space="preserve"> </w:t>
      </w:r>
      <w:r w:rsidR="00A116A9">
        <w:rPr>
          <w:rFonts w:cs="Arial"/>
          <w:color w:val="000000" w:themeColor="text1"/>
        </w:rPr>
        <w:t>It</w:t>
      </w:r>
      <w:r w:rsidRPr="0003652C">
        <w:rPr>
          <w:rFonts w:cs="Arial"/>
          <w:color w:val="000000" w:themeColor="text1"/>
        </w:rPr>
        <w:t xml:space="preserve"> can explore alternative meanings and interpretations, and whilst the aim </w:t>
      </w:r>
      <w:r w:rsidR="008704FE" w:rsidRPr="0003652C">
        <w:rPr>
          <w:rFonts w:cs="Arial"/>
          <w:color w:val="000000" w:themeColor="text1"/>
        </w:rPr>
        <w:t>was not for</w:t>
      </w:r>
      <w:r w:rsidRPr="0003652C">
        <w:rPr>
          <w:rFonts w:cs="Arial"/>
          <w:color w:val="000000" w:themeColor="text1"/>
        </w:rPr>
        <w:t xml:space="preserve"> the data to be </w:t>
      </w:r>
      <w:r w:rsidRPr="0003652C">
        <w:rPr>
          <w:rFonts w:cs="Arial"/>
          <w:color w:val="000000" w:themeColor="text1"/>
        </w:rPr>
        <w:lastRenderedPageBreak/>
        <w:t xml:space="preserve">generalisable, it </w:t>
      </w:r>
      <w:r w:rsidR="008704FE" w:rsidRPr="0003652C">
        <w:rPr>
          <w:rFonts w:cs="Arial"/>
          <w:color w:val="000000" w:themeColor="text1"/>
        </w:rPr>
        <w:t xml:space="preserve">enabled </w:t>
      </w:r>
      <w:r w:rsidRPr="0003652C">
        <w:rPr>
          <w:rFonts w:cs="Arial"/>
          <w:color w:val="000000" w:themeColor="text1"/>
        </w:rPr>
        <w:t>the collection and analysis of</w:t>
      </w:r>
      <w:r w:rsidR="001D2E2C" w:rsidRPr="0003652C">
        <w:rPr>
          <w:rFonts w:cs="Arial"/>
          <w:color w:val="000000" w:themeColor="text1"/>
        </w:rPr>
        <w:t xml:space="preserve"> both a wide range</w:t>
      </w:r>
      <w:r w:rsidRPr="0003652C">
        <w:rPr>
          <w:rFonts w:cs="Arial"/>
          <w:color w:val="000000" w:themeColor="text1"/>
        </w:rPr>
        <w:t xml:space="preserve"> </w:t>
      </w:r>
      <w:r w:rsidR="001D2E2C" w:rsidRPr="0003652C">
        <w:rPr>
          <w:rFonts w:cs="Arial"/>
          <w:color w:val="000000" w:themeColor="text1"/>
        </w:rPr>
        <w:t xml:space="preserve">and </w:t>
      </w:r>
      <w:r w:rsidRPr="0003652C">
        <w:rPr>
          <w:rFonts w:cs="Arial"/>
          <w:color w:val="000000" w:themeColor="text1"/>
        </w:rPr>
        <w:t xml:space="preserve">rich data. </w:t>
      </w:r>
    </w:p>
    <w:p w14:paraId="57911290" w14:textId="3DE792CF" w:rsidR="006613BB" w:rsidRPr="0005689B" w:rsidRDefault="00A116A9" w:rsidP="0005689B">
      <w:pPr>
        <w:spacing w:line="360" w:lineRule="auto"/>
        <w:jc w:val="both"/>
        <w:rPr>
          <w:rFonts w:cs="Arial"/>
          <w:color w:val="000000" w:themeColor="text1"/>
        </w:rPr>
      </w:pPr>
      <w:r>
        <w:rPr>
          <w:rFonts w:cs="Arial"/>
          <w:color w:val="000000" w:themeColor="text1"/>
        </w:rPr>
        <w:t>Main</w:t>
      </w:r>
      <w:r w:rsidR="006613BB" w:rsidRPr="0003652C">
        <w:rPr>
          <w:rFonts w:cs="Arial"/>
          <w:color w:val="000000" w:themeColor="text1"/>
        </w:rPr>
        <w:t xml:space="preserve">ly due to the nature of undergraduate law degrees and their focus on the foundations of legal knowledge, alternative sources of information are limited in what they can add to this investigation.  Available marketing course documents tell us little about the potential distinctive nature of the courses. There has also been relatively recent research based in part or whole on documentary data that I have found helpful to refer to (Rasiah, 2022; Giles &amp; Ang, 2025). </w:t>
      </w:r>
      <w:r w:rsidR="008704FE" w:rsidRPr="0003652C">
        <w:rPr>
          <w:rFonts w:cs="Arial"/>
          <w:color w:val="000000" w:themeColor="text1"/>
        </w:rPr>
        <w:t>My</w:t>
      </w:r>
      <w:r w:rsidR="006613BB" w:rsidRPr="0003652C">
        <w:rPr>
          <w:rFonts w:cs="Arial"/>
          <w:color w:val="000000" w:themeColor="text1"/>
        </w:rPr>
        <w:t xml:space="preserve"> research </w:t>
      </w:r>
      <w:r w:rsidR="001E7C3E">
        <w:rPr>
          <w:rFonts w:cs="Arial"/>
          <w:color w:val="000000" w:themeColor="text1"/>
        </w:rPr>
        <w:t>foc</w:t>
      </w:r>
      <w:r w:rsidR="008A4F29">
        <w:rPr>
          <w:rFonts w:cs="Arial"/>
          <w:color w:val="000000" w:themeColor="text1"/>
        </w:rPr>
        <w:t>uses</w:t>
      </w:r>
      <w:r w:rsidR="006613BB" w:rsidRPr="0003652C">
        <w:rPr>
          <w:rFonts w:cs="Arial"/>
          <w:color w:val="000000" w:themeColor="text1"/>
        </w:rPr>
        <w:t xml:space="preserve"> on what influences are actually at play rather than how courses present themselves.</w:t>
      </w:r>
    </w:p>
    <w:p w14:paraId="68FDF35A" w14:textId="03505945" w:rsidR="006613BB" w:rsidRPr="0003652C" w:rsidRDefault="006613BB" w:rsidP="0003652C">
      <w:pPr>
        <w:pStyle w:val="Heading2"/>
        <w:spacing w:before="100" w:after="100" w:afterAutospacing="1" w:line="360" w:lineRule="auto"/>
        <w:rPr>
          <w:rFonts w:ascii="Arial" w:hAnsi="Arial" w:cs="Arial"/>
        </w:rPr>
      </w:pPr>
      <w:bookmarkStart w:id="50" w:name="_Toc223348842"/>
      <w:r w:rsidRPr="0003652C">
        <w:rPr>
          <w:rFonts w:ascii="Arial" w:hAnsi="Arial" w:cs="Arial"/>
        </w:rPr>
        <w:t>Selection of data set</w:t>
      </w:r>
      <w:bookmarkEnd w:id="50"/>
    </w:p>
    <w:p w14:paraId="643BE646" w14:textId="77F7EAC2" w:rsidR="006613BB" w:rsidRPr="0005689B" w:rsidRDefault="006613BB" w:rsidP="0005689B">
      <w:pPr>
        <w:spacing w:line="360" w:lineRule="auto"/>
        <w:jc w:val="both"/>
        <w:rPr>
          <w:rFonts w:cs="Arial"/>
          <w:color w:val="000000" w:themeColor="text1"/>
        </w:rPr>
      </w:pPr>
      <w:r w:rsidRPr="0003652C">
        <w:rPr>
          <w:rFonts w:cs="Arial"/>
          <w:color w:val="000000" w:themeColor="text1"/>
        </w:rPr>
        <w:t xml:space="preserve">Several choices were made in relation to the data set or sample chosen to capture the diversity of the course designers’ experiences. The sample choices were important in relation to the </w:t>
      </w:r>
      <w:r w:rsidR="001D765D">
        <w:rPr>
          <w:rFonts w:cs="Arial"/>
          <w:color w:val="000000" w:themeColor="text1"/>
        </w:rPr>
        <w:t>law school</w:t>
      </w:r>
      <w:r w:rsidRPr="0003652C">
        <w:rPr>
          <w:rFonts w:cs="Arial"/>
          <w:color w:val="000000" w:themeColor="text1"/>
        </w:rPr>
        <w:t>s chosen and the participants within them, from the perspective of not only the site and the designer but also in relation to the number of sites. Ultimately</w:t>
      </w:r>
      <w:r w:rsidR="00A116A9">
        <w:rPr>
          <w:rFonts w:cs="Arial"/>
          <w:color w:val="000000" w:themeColor="text1"/>
        </w:rPr>
        <w:t>,</w:t>
      </w:r>
      <w:r w:rsidRPr="0003652C">
        <w:rPr>
          <w:rFonts w:cs="Arial"/>
          <w:color w:val="000000" w:themeColor="text1"/>
        </w:rPr>
        <w:t xml:space="preserve"> the diversity of the sample as opposed to commonality was important in making these choices.</w:t>
      </w:r>
    </w:p>
    <w:p w14:paraId="5D7027EA" w14:textId="4B22ED9C" w:rsidR="006F3BFC" w:rsidRPr="0003652C" w:rsidRDefault="006613BB" w:rsidP="0003652C">
      <w:pPr>
        <w:pStyle w:val="Heading3"/>
        <w:spacing w:after="100" w:afterAutospacing="1" w:line="360" w:lineRule="auto"/>
        <w:rPr>
          <w:rFonts w:ascii="Arial" w:hAnsi="Arial" w:cs="Arial"/>
        </w:rPr>
      </w:pPr>
      <w:bookmarkStart w:id="51" w:name="_Toc223348843"/>
      <w:r w:rsidRPr="0003652C">
        <w:rPr>
          <w:rFonts w:ascii="Arial" w:hAnsi="Arial" w:cs="Arial"/>
        </w:rPr>
        <w:t>Sites</w:t>
      </w:r>
      <w:bookmarkEnd w:id="51"/>
    </w:p>
    <w:p w14:paraId="1B9FFDE3" w14:textId="735D556B" w:rsidR="006613BB" w:rsidRPr="0003652C" w:rsidRDefault="005E5C72" w:rsidP="0003652C">
      <w:pPr>
        <w:spacing w:line="360" w:lineRule="auto"/>
        <w:jc w:val="both"/>
        <w:rPr>
          <w:rFonts w:cs="Arial"/>
          <w:color w:val="000000" w:themeColor="text1"/>
        </w:rPr>
      </w:pPr>
      <w:r w:rsidRPr="0003652C">
        <w:rPr>
          <w:rFonts w:cs="Arial"/>
          <w:color w:val="000000" w:themeColor="text1"/>
        </w:rPr>
        <w:t xml:space="preserve">Nineteen </w:t>
      </w:r>
      <w:r w:rsidR="00A20C6E" w:rsidRPr="0003652C">
        <w:rPr>
          <w:rFonts w:cs="Arial"/>
          <w:color w:val="000000" w:themeColor="text1"/>
        </w:rPr>
        <w:t>l</w:t>
      </w:r>
      <w:r w:rsidR="006613BB" w:rsidRPr="0003652C">
        <w:rPr>
          <w:rFonts w:cs="Arial"/>
          <w:color w:val="000000" w:themeColor="text1"/>
        </w:rPr>
        <w:t xml:space="preserve">aw </w:t>
      </w:r>
      <w:r w:rsidR="00A20C6E" w:rsidRPr="0003652C">
        <w:rPr>
          <w:rFonts w:cs="Arial"/>
          <w:color w:val="000000" w:themeColor="text1"/>
        </w:rPr>
        <w:t>s</w:t>
      </w:r>
      <w:r w:rsidR="006613BB" w:rsidRPr="0003652C">
        <w:rPr>
          <w:rFonts w:cs="Arial"/>
          <w:color w:val="000000" w:themeColor="text1"/>
        </w:rPr>
        <w:t>chools formed the sample</w:t>
      </w:r>
      <w:r w:rsidR="00A20C6E" w:rsidRPr="0003652C">
        <w:rPr>
          <w:rFonts w:cs="Arial"/>
          <w:color w:val="000000" w:themeColor="text1"/>
        </w:rPr>
        <w:t xml:space="preserve"> from which the data was collected</w:t>
      </w:r>
      <w:r w:rsidR="006613BB" w:rsidRPr="0003652C">
        <w:rPr>
          <w:rFonts w:cs="Arial"/>
          <w:color w:val="000000" w:themeColor="text1"/>
        </w:rPr>
        <w:t xml:space="preserve">, with </w:t>
      </w:r>
      <w:r w:rsidRPr="0003652C">
        <w:rPr>
          <w:rFonts w:cs="Arial"/>
          <w:color w:val="000000" w:themeColor="text1"/>
        </w:rPr>
        <w:t>one</w:t>
      </w:r>
      <w:r w:rsidR="006613BB" w:rsidRPr="0003652C">
        <w:rPr>
          <w:rFonts w:cs="Arial"/>
          <w:color w:val="000000" w:themeColor="text1"/>
        </w:rPr>
        <w:t xml:space="preserve"> of the </w:t>
      </w:r>
      <w:r w:rsidRPr="0003652C">
        <w:rPr>
          <w:rFonts w:cs="Arial"/>
          <w:color w:val="000000" w:themeColor="text1"/>
        </w:rPr>
        <w:t>eighteen</w:t>
      </w:r>
      <w:r w:rsidR="00A20C6E" w:rsidRPr="0003652C">
        <w:rPr>
          <w:rFonts w:cs="Arial"/>
          <w:color w:val="000000" w:themeColor="text1"/>
        </w:rPr>
        <w:t xml:space="preserve"> </w:t>
      </w:r>
      <w:r w:rsidR="006613BB" w:rsidRPr="0003652C">
        <w:rPr>
          <w:rFonts w:cs="Arial"/>
          <w:color w:val="000000" w:themeColor="text1"/>
        </w:rPr>
        <w:t>participants having the experience of working within course design in more than one</w:t>
      </w:r>
      <w:r w:rsidR="001D765D">
        <w:rPr>
          <w:rFonts w:cs="Arial"/>
          <w:color w:val="000000" w:themeColor="text1"/>
        </w:rPr>
        <w:t xml:space="preserve"> university</w:t>
      </w:r>
      <w:r w:rsidR="006613BB" w:rsidRPr="0003652C">
        <w:rPr>
          <w:rFonts w:cs="Arial"/>
          <w:color w:val="000000" w:themeColor="text1"/>
        </w:rPr>
        <w:t xml:space="preserve">. A multisite approach was taken so that a wide variety and potential diversity of experience could be captured. The size of the sample was manageable as the data was collected in the single method of a semi-structured interview from </w:t>
      </w:r>
      <w:r w:rsidR="001D765D">
        <w:rPr>
          <w:rFonts w:cs="Arial"/>
          <w:color w:val="000000" w:themeColor="text1"/>
        </w:rPr>
        <w:t>each law school</w:t>
      </w:r>
      <w:r w:rsidR="006613BB" w:rsidRPr="0003652C">
        <w:rPr>
          <w:rFonts w:cs="Arial"/>
          <w:color w:val="000000" w:themeColor="text1"/>
        </w:rPr>
        <w:t xml:space="preserve">. A mixed-methods approach would have been more labour-intensive and ultimately too ambitious for this project (Trowler, 2014). This </w:t>
      </w:r>
      <w:r w:rsidR="00D0589F">
        <w:rPr>
          <w:rFonts w:cs="Arial"/>
          <w:color w:val="000000" w:themeColor="text1"/>
        </w:rPr>
        <w:t>approach</w:t>
      </w:r>
      <w:r w:rsidR="006613BB" w:rsidRPr="0003652C">
        <w:rPr>
          <w:rFonts w:cs="Arial"/>
          <w:color w:val="000000" w:themeColor="text1"/>
        </w:rPr>
        <w:t xml:space="preserve"> avoids the search for generalisability. </w:t>
      </w:r>
    </w:p>
    <w:p w14:paraId="17C9E880" w14:textId="5EA2E49A" w:rsidR="006613BB" w:rsidRPr="0003652C" w:rsidRDefault="006613BB" w:rsidP="0003652C">
      <w:pPr>
        <w:spacing w:line="360" w:lineRule="auto"/>
        <w:jc w:val="both"/>
        <w:rPr>
          <w:rFonts w:cs="Arial"/>
          <w:color w:val="000000" w:themeColor="text1"/>
        </w:rPr>
      </w:pPr>
      <w:r w:rsidRPr="0003652C">
        <w:rPr>
          <w:rFonts w:cs="Arial"/>
          <w:color w:val="000000" w:themeColor="text1"/>
        </w:rPr>
        <w:t xml:space="preserve">England and Wales were chosen as the geographical site for the selection of the </w:t>
      </w:r>
      <w:r w:rsidR="00791F6A">
        <w:rPr>
          <w:rFonts w:cs="Arial"/>
          <w:color w:val="000000" w:themeColor="text1"/>
        </w:rPr>
        <w:t>universitie</w:t>
      </w:r>
      <w:r w:rsidRPr="0003652C">
        <w:rPr>
          <w:rFonts w:cs="Arial"/>
          <w:color w:val="000000" w:themeColor="text1"/>
        </w:rPr>
        <w:t xml:space="preserve">s. Whilst the findings of this research might have wider application and relevance, extending both the educational and jurisdictional range, the legal </w:t>
      </w:r>
      <w:r w:rsidRPr="0003652C">
        <w:rPr>
          <w:rFonts w:cs="Arial"/>
          <w:color w:val="000000" w:themeColor="text1"/>
        </w:rPr>
        <w:lastRenderedPageBreak/>
        <w:t>context of this research is not applicable in the same way to other jurisdictions, with the changing framework for the prescribed routes into the legal profession, and the impact of that on legal education being unique to England and Wales. Other jurisdictions vary in the routes to the profession, with study or training being funded differently and being offered at different levels of education.  The undergraduate law course w</w:t>
      </w:r>
      <w:r w:rsidR="005E5C72" w:rsidRPr="0003652C">
        <w:rPr>
          <w:rFonts w:cs="Arial"/>
          <w:color w:val="000000" w:themeColor="text1"/>
        </w:rPr>
        <w:t>as</w:t>
      </w:r>
      <w:r w:rsidRPr="0003652C">
        <w:rPr>
          <w:rFonts w:cs="Arial"/>
          <w:color w:val="000000" w:themeColor="text1"/>
        </w:rPr>
        <w:t xml:space="preserve"> chosen as </w:t>
      </w:r>
      <w:r w:rsidR="005E5C72" w:rsidRPr="0003652C">
        <w:rPr>
          <w:rFonts w:cs="Arial"/>
          <w:color w:val="000000" w:themeColor="text1"/>
        </w:rPr>
        <w:t>it was this course that was</w:t>
      </w:r>
      <w:r w:rsidRPr="0003652C">
        <w:rPr>
          <w:rFonts w:cs="Arial"/>
          <w:color w:val="000000" w:themeColor="text1"/>
        </w:rPr>
        <w:t xml:space="preserve"> most likely to be impacted by the changes, and so the influences there might be more revealing.</w:t>
      </w:r>
    </w:p>
    <w:p w14:paraId="7D0AD432" w14:textId="1488F2EA" w:rsidR="005E5C72" w:rsidRPr="0003652C" w:rsidRDefault="008704FE" w:rsidP="0003652C">
      <w:pPr>
        <w:spacing w:line="360" w:lineRule="auto"/>
        <w:jc w:val="both"/>
        <w:rPr>
          <w:rFonts w:cs="Arial"/>
          <w:color w:val="000000" w:themeColor="text1"/>
        </w:rPr>
      </w:pPr>
      <w:r w:rsidRPr="0003652C">
        <w:rPr>
          <w:rFonts w:cs="Arial"/>
          <w:color w:val="000000" w:themeColor="text1"/>
        </w:rPr>
        <w:t xml:space="preserve">The selection of </w:t>
      </w:r>
      <w:r w:rsidR="00791F6A">
        <w:rPr>
          <w:rFonts w:cs="Arial"/>
          <w:color w:val="000000" w:themeColor="text1"/>
        </w:rPr>
        <w:t>participant</w:t>
      </w:r>
      <w:r w:rsidRPr="0003652C">
        <w:rPr>
          <w:rFonts w:cs="Arial"/>
          <w:color w:val="000000" w:themeColor="text1"/>
        </w:rPr>
        <w:t>s</w:t>
      </w:r>
      <w:r w:rsidR="006613BB" w:rsidRPr="0003652C">
        <w:rPr>
          <w:rFonts w:cs="Arial"/>
          <w:color w:val="000000" w:themeColor="text1"/>
        </w:rPr>
        <w:t xml:space="preserve"> was obviously</w:t>
      </w:r>
      <w:r w:rsidR="00A116A9">
        <w:rPr>
          <w:rFonts w:cs="Arial"/>
          <w:color w:val="000000" w:themeColor="text1"/>
        </w:rPr>
        <w:t>,</w:t>
      </w:r>
      <w:r w:rsidR="006613BB" w:rsidRPr="0003652C">
        <w:rPr>
          <w:rFonts w:cs="Arial"/>
          <w:color w:val="000000" w:themeColor="text1"/>
        </w:rPr>
        <w:t xml:space="preserve"> in part</w:t>
      </w:r>
      <w:r w:rsidR="00A116A9">
        <w:rPr>
          <w:rFonts w:cs="Arial"/>
          <w:color w:val="000000" w:themeColor="text1"/>
        </w:rPr>
        <w:t>,</w:t>
      </w:r>
      <w:r w:rsidR="006613BB" w:rsidRPr="0003652C">
        <w:rPr>
          <w:rFonts w:cs="Arial"/>
          <w:color w:val="000000" w:themeColor="text1"/>
        </w:rPr>
        <w:t xml:space="preserve"> limited to those willing</w:t>
      </w:r>
      <w:r w:rsidR="00791F6A">
        <w:rPr>
          <w:rFonts w:cs="Arial"/>
          <w:color w:val="000000" w:themeColor="text1"/>
        </w:rPr>
        <w:t xml:space="preserve"> to be involved</w:t>
      </w:r>
      <w:r w:rsidR="006613BB" w:rsidRPr="0003652C">
        <w:rPr>
          <w:rFonts w:cs="Arial"/>
          <w:color w:val="000000" w:themeColor="text1"/>
        </w:rPr>
        <w:t>, but the diversity was still evident in the selection as represented</w:t>
      </w:r>
      <w:r w:rsidR="00BB71CC" w:rsidRPr="0003652C">
        <w:rPr>
          <w:rFonts w:cs="Arial"/>
          <w:color w:val="000000" w:themeColor="text1"/>
        </w:rPr>
        <w:t xml:space="preserve">. </w:t>
      </w:r>
      <w:r w:rsidR="003F7353" w:rsidRPr="0003652C">
        <w:rPr>
          <w:rFonts w:cs="Arial"/>
          <w:color w:val="000000" w:themeColor="text1"/>
        </w:rPr>
        <w:t xml:space="preserve">Due to </w:t>
      </w:r>
      <w:r w:rsidR="00833640" w:rsidRPr="0003652C">
        <w:rPr>
          <w:rFonts w:cs="Arial"/>
          <w:color w:val="000000" w:themeColor="text1"/>
        </w:rPr>
        <w:t>the need for</w:t>
      </w:r>
      <w:r w:rsidR="003F7353" w:rsidRPr="0003652C">
        <w:rPr>
          <w:rFonts w:cs="Arial"/>
          <w:color w:val="000000" w:themeColor="text1"/>
        </w:rPr>
        <w:t xml:space="preserve"> </w:t>
      </w:r>
      <w:r w:rsidR="00833640" w:rsidRPr="0003652C">
        <w:rPr>
          <w:rFonts w:cs="Arial"/>
          <w:color w:val="000000" w:themeColor="text1"/>
        </w:rPr>
        <w:t>anonymity,</w:t>
      </w:r>
      <w:r w:rsidR="003F7353" w:rsidRPr="0003652C">
        <w:rPr>
          <w:rFonts w:cs="Arial"/>
          <w:color w:val="000000" w:themeColor="text1"/>
        </w:rPr>
        <w:t xml:space="preserve"> it is not possible to s</w:t>
      </w:r>
      <w:r w:rsidR="00B30FB3">
        <w:rPr>
          <w:rFonts w:cs="Arial"/>
          <w:color w:val="000000" w:themeColor="text1"/>
        </w:rPr>
        <w:t>pecify</w:t>
      </w:r>
      <w:r w:rsidR="003F7353" w:rsidRPr="0003652C">
        <w:rPr>
          <w:rFonts w:cs="Arial"/>
          <w:color w:val="000000" w:themeColor="text1"/>
        </w:rPr>
        <w:t xml:space="preserve"> </w:t>
      </w:r>
      <w:r w:rsidR="005E5C72" w:rsidRPr="0003652C">
        <w:rPr>
          <w:rFonts w:cs="Arial"/>
          <w:color w:val="000000" w:themeColor="text1"/>
        </w:rPr>
        <w:t>the</w:t>
      </w:r>
      <w:r w:rsidR="003F7353" w:rsidRPr="0003652C">
        <w:rPr>
          <w:rFonts w:cs="Arial"/>
          <w:color w:val="000000" w:themeColor="text1"/>
        </w:rPr>
        <w:t xml:space="preserve"> diversity here</w:t>
      </w:r>
      <w:r w:rsidR="00A116A9">
        <w:rPr>
          <w:rFonts w:cs="Arial"/>
          <w:color w:val="000000" w:themeColor="text1"/>
        </w:rPr>
        <w:t>,</w:t>
      </w:r>
      <w:r w:rsidR="003F7353" w:rsidRPr="0003652C">
        <w:rPr>
          <w:rFonts w:cs="Arial"/>
          <w:color w:val="000000" w:themeColor="text1"/>
        </w:rPr>
        <w:t xml:space="preserve"> as </w:t>
      </w:r>
      <w:r w:rsidR="00A116A9">
        <w:rPr>
          <w:rFonts w:cs="Arial"/>
          <w:color w:val="000000" w:themeColor="text1"/>
        </w:rPr>
        <w:t>this</w:t>
      </w:r>
      <w:r w:rsidR="003F7353" w:rsidRPr="0003652C">
        <w:rPr>
          <w:rFonts w:cs="Arial"/>
          <w:color w:val="000000" w:themeColor="text1"/>
        </w:rPr>
        <w:t xml:space="preserve"> would identify </w:t>
      </w:r>
      <w:r w:rsidR="00B30FB3">
        <w:rPr>
          <w:rFonts w:cs="Arial"/>
          <w:color w:val="000000" w:themeColor="text1"/>
        </w:rPr>
        <w:t>law school</w:t>
      </w:r>
      <w:r w:rsidR="003F7353" w:rsidRPr="0003652C">
        <w:rPr>
          <w:rFonts w:cs="Arial"/>
          <w:color w:val="000000" w:themeColor="text1"/>
        </w:rPr>
        <w:t>s and possibly participants.</w:t>
      </w:r>
      <w:r w:rsidR="00BB71CC" w:rsidRPr="0003652C">
        <w:rPr>
          <w:rFonts w:cs="Arial"/>
          <w:color w:val="000000" w:themeColor="text1"/>
        </w:rPr>
        <w:t xml:space="preserve"> </w:t>
      </w:r>
      <w:r w:rsidR="006613BB" w:rsidRPr="0003652C">
        <w:rPr>
          <w:rFonts w:cs="Arial"/>
          <w:color w:val="000000" w:themeColor="text1"/>
        </w:rPr>
        <w:t xml:space="preserve">Institutional diversity obviously exists in many ways (Henkel, 2000), and this sample </w:t>
      </w:r>
      <w:r w:rsidR="003F7353" w:rsidRPr="0003652C">
        <w:rPr>
          <w:rFonts w:cs="Arial"/>
          <w:color w:val="000000" w:themeColor="text1"/>
        </w:rPr>
        <w:t xml:space="preserve">represented </w:t>
      </w:r>
      <w:r w:rsidR="006613BB" w:rsidRPr="0003652C">
        <w:rPr>
          <w:rFonts w:cs="Arial"/>
          <w:color w:val="000000" w:themeColor="text1"/>
        </w:rPr>
        <w:t>diversity in the student cohort size</w:t>
      </w:r>
      <w:r w:rsidR="003F7353" w:rsidRPr="0003652C">
        <w:rPr>
          <w:rFonts w:cs="Arial"/>
          <w:color w:val="000000" w:themeColor="text1"/>
        </w:rPr>
        <w:t xml:space="preserve"> (ranging from cohorts of seventy students to cohorts of nearer one thousand)</w:t>
      </w:r>
      <w:r w:rsidR="006613BB" w:rsidRPr="0003652C">
        <w:rPr>
          <w:rFonts w:cs="Arial"/>
          <w:color w:val="000000" w:themeColor="text1"/>
        </w:rPr>
        <w:t xml:space="preserve"> and geographical location</w:t>
      </w:r>
      <w:r w:rsidR="003F7353" w:rsidRPr="0003652C">
        <w:rPr>
          <w:rFonts w:cs="Arial"/>
          <w:color w:val="000000" w:themeColor="text1"/>
        </w:rPr>
        <w:t xml:space="preserve"> and from all areas of England and Wales</w:t>
      </w:r>
      <w:r w:rsidR="006613BB" w:rsidRPr="0003652C">
        <w:rPr>
          <w:rFonts w:cs="Arial"/>
          <w:color w:val="000000" w:themeColor="text1"/>
        </w:rPr>
        <w:t xml:space="preserve">, as well as in relation to categories more specific to higher education which I return to below. The approach also presents many categories of </w:t>
      </w:r>
      <w:r w:rsidR="00A116A9">
        <w:rPr>
          <w:rFonts w:cs="Arial"/>
          <w:color w:val="000000" w:themeColor="text1"/>
        </w:rPr>
        <w:t>institutions, not just the elite, as worthy of enquiry (Trowler et al., 2012), and identifies</w:t>
      </w:r>
      <w:r w:rsidR="006613BB" w:rsidRPr="0003652C">
        <w:rPr>
          <w:rFonts w:cs="Arial"/>
          <w:color w:val="000000" w:themeColor="text1"/>
        </w:rPr>
        <w:t xml:space="preserve"> the influences at play in very different contexts, and so is an appropriate approach to the selection of sites for the research.  </w:t>
      </w:r>
      <w:r w:rsidR="005E5C72" w:rsidRPr="0003652C">
        <w:rPr>
          <w:rFonts w:cs="Arial"/>
          <w:color w:val="000000" w:themeColor="text1"/>
        </w:rPr>
        <w:t xml:space="preserve">The benefit of having a wider and less targeted approach to the selection not only supports my research design, but it also has a practical ethical advantage.  I return to ethical issues later, but it is worth noting here that a wider selection in the small world of legal education is important if the data and analysis is not going to identify the </w:t>
      </w:r>
      <w:r w:rsidR="00B30FB3">
        <w:rPr>
          <w:rFonts w:cs="Arial"/>
          <w:color w:val="000000" w:themeColor="text1"/>
        </w:rPr>
        <w:t>law school</w:t>
      </w:r>
      <w:r w:rsidR="005E5C72" w:rsidRPr="0003652C">
        <w:rPr>
          <w:rFonts w:cs="Arial"/>
          <w:color w:val="000000" w:themeColor="text1"/>
        </w:rPr>
        <w:t xml:space="preserve">s and participants.  </w:t>
      </w:r>
    </w:p>
    <w:p w14:paraId="42DB32BB" w14:textId="683098E6" w:rsidR="006613BB" w:rsidRPr="0003652C" w:rsidRDefault="006613BB" w:rsidP="0003652C">
      <w:pPr>
        <w:spacing w:line="360" w:lineRule="auto"/>
        <w:jc w:val="both"/>
        <w:rPr>
          <w:rFonts w:cs="Arial"/>
          <w:color w:val="000000" w:themeColor="text1"/>
        </w:rPr>
      </w:pPr>
      <w:r w:rsidRPr="0003652C">
        <w:rPr>
          <w:rFonts w:cs="Arial"/>
          <w:color w:val="000000" w:themeColor="text1"/>
        </w:rPr>
        <w:t xml:space="preserve">As this investigation centres on a Bernstein framework, the categorisation of the </w:t>
      </w:r>
      <w:r w:rsidR="00447335">
        <w:rPr>
          <w:rFonts w:cs="Arial"/>
          <w:color w:val="000000" w:themeColor="text1"/>
        </w:rPr>
        <w:t>law school</w:t>
      </w:r>
      <w:r w:rsidRPr="0003652C">
        <w:rPr>
          <w:rFonts w:cs="Arial"/>
          <w:color w:val="000000" w:themeColor="text1"/>
        </w:rPr>
        <w:t>s i</w:t>
      </w:r>
      <w:r w:rsidR="007F0DDF" w:rsidRPr="0003652C">
        <w:rPr>
          <w:rFonts w:cs="Arial"/>
          <w:color w:val="000000" w:themeColor="text1"/>
        </w:rPr>
        <w:t>s important</w:t>
      </w:r>
      <w:r w:rsidRPr="0003652C">
        <w:rPr>
          <w:rFonts w:cs="Arial"/>
          <w:color w:val="000000" w:themeColor="text1"/>
        </w:rPr>
        <w:t>. Bernstein argues that the positioning of the institution is central to how the institution might see its purpose, as research or market led for example, or how it prioritises singular or regional disciplines (</w:t>
      </w:r>
      <w:r w:rsidR="008A4F29">
        <w:rPr>
          <w:rFonts w:cs="Arial"/>
          <w:color w:val="000000" w:themeColor="text1"/>
        </w:rPr>
        <w:t xml:space="preserve">Bernstein, 2000; </w:t>
      </w:r>
      <w:r w:rsidRPr="0003652C">
        <w:rPr>
          <w:rFonts w:cs="Arial"/>
          <w:color w:val="000000" w:themeColor="text1"/>
        </w:rPr>
        <w:t>Ashwin, 2014). Consideration of the student cohort was a useful initial exercise</w:t>
      </w:r>
      <w:r w:rsidR="005E5C72" w:rsidRPr="0003652C">
        <w:rPr>
          <w:rFonts w:cs="Arial"/>
          <w:color w:val="000000" w:themeColor="text1"/>
        </w:rPr>
        <w:t xml:space="preserve"> in the process of categorisation</w:t>
      </w:r>
      <w:r w:rsidRPr="0003652C">
        <w:rPr>
          <w:rFonts w:cs="Arial"/>
          <w:color w:val="000000" w:themeColor="text1"/>
        </w:rPr>
        <w:t xml:space="preserve">, although not an exclusive one. I spent some time considering how I might categorise </w:t>
      </w:r>
      <w:r w:rsidR="005E5C72" w:rsidRPr="0003652C">
        <w:rPr>
          <w:rFonts w:cs="Arial"/>
          <w:color w:val="000000" w:themeColor="text1"/>
        </w:rPr>
        <w:t>th</w:t>
      </w:r>
      <w:r w:rsidR="00B30FB3">
        <w:rPr>
          <w:rFonts w:cs="Arial"/>
          <w:color w:val="000000" w:themeColor="text1"/>
        </w:rPr>
        <w:t xml:space="preserve">e </w:t>
      </w:r>
      <w:r w:rsidR="00447335">
        <w:rPr>
          <w:rFonts w:cs="Arial"/>
          <w:color w:val="000000" w:themeColor="text1"/>
        </w:rPr>
        <w:t>law school</w:t>
      </w:r>
      <w:r w:rsidRPr="0003652C">
        <w:rPr>
          <w:rFonts w:cs="Arial"/>
          <w:color w:val="000000" w:themeColor="text1"/>
        </w:rPr>
        <w:t xml:space="preserve">s and </w:t>
      </w:r>
      <w:r w:rsidR="00447335">
        <w:rPr>
          <w:rFonts w:cs="Arial"/>
          <w:color w:val="000000" w:themeColor="text1"/>
        </w:rPr>
        <w:t xml:space="preserve">the </w:t>
      </w:r>
      <w:r w:rsidRPr="0003652C">
        <w:rPr>
          <w:rFonts w:cs="Arial"/>
          <w:color w:val="000000" w:themeColor="text1"/>
        </w:rPr>
        <w:t>programme</w:t>
      </w:r>
      <w:r w:rsidR="005E5C72" w:rsidRPr="0003652C">
        <w:rPr>
          <w:rFonts w:cs="Arial"/>
          <w:color w:val="000000" w:themeColor="text1"/>
        </w:rPr>
        <w:t>s</w:t>
      </w:r>
      <w:r w:rsidR="00447335">
        <w:rPr>
          <w:rFonts w:cs="Arial"/>
          <w:color w:val="000000" w:themeColor="text1"/>
        </w:rPr>
        <w:t xml:space="preserve"> they </w:t>
      </w:r>
      <w:r w:rsidR="00447335">
        <w:rPr>
          <w:rFonts w:cs="Arial"/>
          <w:color w:val="000000" w:themeColor="text1"/>
        </w:rPr>
        <w:lastRenderedPageBreak/>
        <w:t>deliver</w:t>
      </w:r>
      <w:r w:rsidRPr="0003652C">
        <w:rPr>
          <w:rFonts w:cs="Arial"/>
          <w:color w:val="000000" w:themeColor="text1"/>
        </w:rPr>
        <w:t xml:space="preserve">, without imposing a preconceived categorisation, or even </w:t>
      </w:r>
      <w:r w:rsidR="005E5C72" w:rsidRPr="0003652C">
        <w:rPr>
          <w:rFonts w:cs="Arial"/>
          <w:color w:val="000000" w:themeColor="text1"/>
        </w:rPr>
        <w:t xml:space="preserve">a </w:t>
      </w:r>
      <w:r w:rsidRPr="0003652C">
        <w:rPr>
          <w:rFonts w:cs="Arial"/>
          <w:color w:val="000000" w:themeColor="text1"/>
        </w:rPr>
        <w:t xml:space="preserve">hierarchy on the selection (Kinchen, 2022; Macfarlane, 2015). </w:t>
      </w:r>
      <w:r w:rsidR="00A116A9">
        <w:rPr>
          <w:rFonts w:cs="Arial"/>
          <w:color w:val="000000" w:themeColor="text1"/>
        </w:rPr>
        <w:t>References to universities as research-intensive and teaching-centred, Russell Group and post-1992,</w:t>
      </w:r>
      <w:r w:rsidRPr="0003652C">
        <w:rPr>
          <w:rFonts w:cs="Arial"/>
          <w:color w:val="000000" w:themeColor="text1"/>
        </w:rPr>
        <w:t xml:space="preserve"> commuter, new and old, all fell short of what I needed to capture the diversity. </w:t>
      </w:r>
      <w:r w:rsidR="007F0DDF" w:rsidRPr="0003652C">
        <w:rPr>
          <w:rFonts w:cs="Arial"/>
          <w:color w:val="000000" w:themeColor="text1"/>
        </w:rPr>
        <w:t>The</w:t>
      </w:r>
      <w:r w:rsidRPr="0003652C">
        <w:rPr>
          <w:rFonts w:cs="Arial"/>
          <w:color w:val="000000" w:themeColor="text1"/>
        </w:rPr>
        <w:t xml:space="preserve"> closest categorisation had reference to selective and c</w:t>
      </w:r>
      <w:r w:rsidR="003F7353" w:rsidRPr="0003652C">
        <w:rPr>
          <w:rFonts w:cs="Arial"/>
          <w:color w:val="000000" w:themeColor="text1"/>
        </w:rPr>
        <w:t>omprehensive</w:t>
      </w:r>
      <w:r w:rsidRPr="0003652C">
        <w:rPr>
          <w:rFonts w:cs="Arial"/>
          <w:color w:val="000000" w:themeColor="text1"/>
        </w:rPr>
        <w:t xml:space="preserve">, or widening participation, as it removed some of the hierarchy in the language, but even this required more nuance. Many of the participants were also likely to self-categorise their </w:t>
      </w:r>
      <w:r w:rsidR="00447335">
        <w:rPr>
          <w:rFonts w:cs="Arial"/>
          <w:color w:val="000000" w:themeColor="text1"/>
        </w:rPr>
        <w:t>schools or institution</w:t>
      </w:r>
      <w:r w:rsidRPr="0003652C">
        <w:rPr>
          <w:rFonts w:cs="Arial"/>
          <w:color w:val="000000" w:themeColor="text1"/>
        </w:rPr>
        <w:t xml:space="preserve">s, and I decided that these self-categorisations would not pre-determine the outcome of the analysis. </w:t>
      </w:r>
      <w:r w:rsidR="009C67F9" w:rsidRPr="0003652C">
        <w:rPr>
          <w:rFonts w:cs="Arial"/>
          <w:color w:val="000000" w:themeColor="text1"/>
        </w:rPr>
        <w:t>Appendix Four show</w:t>
      </w:r>
      <w:r w:rsidR="005E5C72" w:rsidRPr="0003652C">
        <w:rPr>
          <w:rFonts w:cs="Arial"/>
          <w:color w:val="000000" w:themeColor="text1"/>
        </w:rPr>
        <w:t>s</w:t>
      </w:r>
      <w:r w:rsidR="009C67F9" w:rsidRPr="0003652C">
        <w:rPr>
          <w:rFonts w:cs="Arial"/>
          <w:color w:val="000000" w:themeColor="text1"/>
        </w:rPr>
        <w:t xml:space="preserve"> the basis for the categorisation </w:t>
      </w:r>
      <w:r w:rsidR="005E5C72" w:rsidRPr="0003652C">
        <w:rPr>
          <w:rFonts w:cs="Arial"/>
          <w:color w:val="000000" w:themeColor="text1"/>
        </w:rPr>
        <w:t xml:space="preserve">I utilised, </w:t>
      </w:r>
      <w:r w:rsidR="00A116A9" w:rsidRPr="0003652C">
        <w:rPr>
          <w:rFonts w:cs="Arial"/>
          <w:color w:val="000000" w:themeColor="text1"/>
        </w:rPr>
        <w:t>cross</w:t>
      </w:r>
      <w:r w:rsidR="00A116A9">
        <w:rPr>
          <w:rFonts w:cs="Arial"/>
          <w:color w:val="000000" w:themeColor="text1"/>
        </w:rPr>
        <w:t>-</w:t>
      </w:r>
      <w:r w:rsidR="005E5C72" w:rsidRPr="0003652C">
        <w:rPr>
          <w:rFonts w:cs="Arial"/>
          <w:color w:val="000000" w:themeColor="text1"/>
        </w:rPr>
        <w:t xml:space="preserve">referencing performance in teaching and research frameworks with more recent entry tariffs for the student cohorts. The categorisations were </w:t>
      </w:r>
      <w:r w:rsidRPr="0003652C">
        <w:rPr>
          <w:rFonts w:cs="Arial"/>
          <w:color w:val="000000" w:themeColor="text1"/>
        </w:rPr>
        <w:t xml:space="preserve">that of </w:t>
      </w:r>
      <w:r w:rsidR="007F0DDF" w:rsidRPr="0003652C">
        <w:rPr>
          <w:rFonts w:cs="Arial"/>
          <w:color w:val="000000" w:themeColor="text1"/>
        </w:rPr>
        <w:t>s</w:t>
      </w:r>
      <w:r w:rsidRPr="0003652C">
        <w:rPr>
          <w:rFonts w:cs="Arial"/>
          <w:color w:val="000000" w:themeColor="text1"/>
        </w:rPr>
        <w:t xml:space="preserve">elective, semi-selective and widening participation. </w:t>
      </w:r>
      <w:r w:rsidR="009C67F9" w:rsidRPr="0003652C">
        <w:rPr>
          <w:rFonts w:cs="Arial"/>
          <w:color w:val="000000" w:themeColor="text1"/>
        </w:rPr>
        <w:t>Th</w:t>
      </w:r>
      <w:r w:rsidR="007F0DDF" w:rsidRPr="0003652C">
        <w:rPr>
          <w:rFonts w:cs="Arial"/>
          <w:color w:val="000000" w:themeColor="text1"/>
        </w:rPr>
        <w:t>e</w:t>
      </w:r>
      <w:r w:rsidRPr="0003652C">
        <w:rPr>
          <w:rFonts w:cs="Arial"/>
          <w:color w:val="000000" w:themeColor="text1"/>
        </w:rPr>
        <w:t xml:space="preserve"> analysis interrogates the impact of that selection. The diversity represented in the ultimate selection</w:t>
      </w:r>
      <w:r w:rsidR="00A116A9">
        <w:rPr>
          <w:rFonts w:cs="Arial"/>
          <w:color w:val="000000" w:themeColor="text1"/>
        </w:rPr>
        <w:t>,</w:t>
      </w:r>
      <w:r w:rsidRPr="0003652C">
        <w:rPr>
          <w:rFonts w:cs="Arial"/>
          <w:color w:val="000000" w:themeColor="text1"/>
        </w:rPr>
        <w:t xml:space="preserve"> however</w:t>
      </w:r>
      <w:r w:rsidR="00A116A9">
        <w:rPr>
          <w:rFonts w:cs="Arial"/>
          <w:color w:val="000000" w:themeColor="text1"/>
        </w:rPr>
        <w:t>,</w:t>
      </w:r>
      <w:r w:rsidRPr="0003652C">
        <w:rPr>
          <w:rFonts w:cs="Arial"/>
          <w:color w:val="000000" w:themeColor="text1"/>
        </w:rPr>
        <w:t xml:space="preserve"> is apparent across league positions, geographic</w:t>
      </w:r>
      <w:r w:rsidR="007F0DDF" w:rsidRPr="0003652C">
        <w:rPr>
          <w:rFonts w:cs="Arial"/>
          <w:color w:val="000000" w:themeColor="text1"/>
        </w:rPr>
        <w:t xml:space="preserve"> </w:t>
      </w:r>
      <w:r w:rsidR="00A116A9">
        <w:rPr>
          <w:rFonts w:cs="Arial"/>
          <w:color w:val="000000" w:themeColor="text1"/>
        </w:rPr>
        <w:t>locations</w:t>
      </w:r>
      <w:r w:rsidRPr="0003652C">
        <w:rPr>
          <w:rFonts w:cs="Arial"/>
          <w:color w:val="000000" w:themeColor="text1"/>
        </w:rPr>
        <w:t>, and the size of the cohort</w:t>
      </w:r>
      <w:r w:rsidRPr="0003652C">
        <w:rPr>
          <w:rFonts w:cs="Arial"/>
          <w:color w:val="92D050"/>
        </w:rPr>
        <w:t xml:space="preserve">. </w:t>
      </w:r>
      <w:r w:rsidR="00B42713" w:rsidRPr="0003652C">
        <w:rPr>
          <w:rFonts w:cs="Arial"/>
          <w:color w:val="000000" w:themeColor="text1"/>
        </w:rPr>
        <w:t>Where</w:t>
      </w:r>
      <w:r w:rsidR="005E5C72" w:rsidRPr="0003652C">
        <w:rPr>
          <w:rFonts w:cs="Arial"/>
          <w:color w:val="000000" w:themeColor="text1"/>
        </w:rPr>
        <w:t xml:space="preserve"> </w:t>
      </w:r>
      <w:r w:rsidR="00A116A9">
        <w:rPr>
          <w:rFonts w:cs="Arial"/>
          <w:color w:val="000000" w:themeColor="text1"/>
        </w:rPr>
        <w:t>participants' statements are quoted in the findings and discussion, only references to the wider categories are provided to preserve anonymity.</w:t>
      </w:r>
      <w:r w:rsidR="00B42713" w:rsidRPr="0003652C">
        <w:rPr>
          <w:rFonts w:cs="Arial"/>
          <w:color w:val="000000" w:themeColor="text1"/>
        </w:rPr>
        <w:t xml:space="preserve"> </w:t>
      </w:r>
    </w:p>
    <w:p w14:paraId="29BD61E7" w14:textId="2B66A904" w:rsidR="005E5C72" w:rsidRDefault="005E5C72" w:rsidP="0003652C">
      <w:pPr>
        <w:spacing w:line="360" w:lineRule="auto"/>
        <w:jc w:val="both"/>
        <w:rPr>
          <w:rFonts w:cs="Arial"/>
          <w:color w:val="000000" w:themeColor="text1"/>
        </w:rPr>
      </w:pPr>
      <w:r w:rsidRPr="0003652C">
        <w:rPr>
          <w:rFonts w:cs="Arial"/>
          <w:color w:val="000000" w:themeColor="text1"/>
        </w:rPr>
        <w:t xml:space="preserve">Appendix five presents a table that indicates where there is a differential in responses from these categories of </w:t>
      </w:r>
      <w:r w:rsidR="00447335">
        <w:rPr>
          <w:rFonts w:cs="Arial"/>
          <w:color w:val="000000" w:themeColor="text1"/>
        </w:rPr>
        <w:t>school</w:t>
      </w:r>
      <w:r w:rsidRPr="0003652C">
        <w:rPr>
          <w:rFonts w:cs="Arial"/>
          <w:color w:val="000000" w:themeColor="text1"/>
        </w:rPr>
        <w:t xml:space="preserve">. </w:t>
      </w:r>
    </w:p>
    <w:p w14:paraId="7DA65171" w14:textId="77777777" w:rsidR="004E60D9" w:rsidRPr="0003652C" w:rsidRDefault="004E60D9" w:rsidP="0003652C">
      <w:pPr>
        <w:spacing w:line="360" w:lineRule="auto"/>
        <w:jc w:val="both"/>
        <w:rPr>
          <w:rFonts w:cs="Arial"/>
          <w:color w:val="000000" w:themeColor="text1"/>
        </w:rPr>
      </w:pPr>
    </w:p>
    <w:p w14:paraId="597FF953" w14:textId="43363782" w:rsidR="006613BB" w:rsidRPr="0003652C" w:rsidRDefault="006613BB" w:rsidP="0003652C">
      <w:pPr>
        <w:pStyle w:val="Heading3"/>
        <w:spacing w:after="100" w:afterAutospacing="1" w:line="360" w:lineRule="auto"/>
        <w:rPr>
          <w:rFonts w:ascii="Arial" w:hAnsi="Arial" w:cs="Arial"/>
        </w:rPr>
      </w:pPr>
      <w:bookmarkStart w:id="52" w:name="_Toc223348844"/>
      <w:r w:rsidRPr="0003652C">
        <w:rPr>
          <w:rFonts w:ascii="Arial" w:hAnsi="Arial" w:cs="Arial"/>
        </w:rPr>
        <w:t>Timing</w:t>
      </w:r>
      <w:bookmarkEnd w:id="52"/>
    </w:p>
    <w:p w14:paraId="27718A76" w14:textId="65B433C7" w:rsidR="006613BB" w:rsidRPr="0005689B" w:rsidRDefault="006613BB" w:rsidP="0005689B">
      <w:pPr>
        <w:spacing w:line="360" w:lineRule="auto"/>
        <w:jc w:val="both"/>
        <w:rPr>
          <w:rFonts w:cs="Arial"/>
          <w:color w:val="000000" w:themeColor="text1"/>
        </w:rPr>
      </w:pPr>
      <w:r w:rsidRPr="0003652C">
        <w:rPr>
          <w:rFonts w:cs="Arial"/>
          <w:color w:val="000000" w:themeColor="text1"/>
        </w:rPr>
        <w:t>As the focus of this research is on influences and the experiences that flow from them, it was necessary to have a timing control mechanism. The period in which the design or redesign of the programmes took place was important as the contexts would change dramatically over time, especially in relation to the changes in the professional context. A period of approximately seven years was used as a guide</w:t>
      </w:r>
      <w:r w:rsidR="00A116A9">
        <w:rPr>
          <w:rFonts w:cs="Arial"/>
          <w:color w:val="000000" w:themeColor="text1"/>
        </w:rPr>
        <w:t>,</w:t>
      </w:r>
      <w:r w:rsidRPr="0003652C">
        <w:rPr>
          <w:rFonts w:cs="Arial"/>
          <w:color w:val="000000" w:themeColor="text1"/>
        </w:rPr>
        <w:t xml:space="preserve"> as this captured the period in which the changes were announced, reflected upon</w:t>
      </w:r>
      <w:r w:rsidR="00A116A9">
        <w:rPr>
          <w:rFonts w:cs="Arial"/>
          <w:color w:val="000000" w:themeColor="text1"/>
        </w:rPr>
        <w:t>,</w:t>
      </w:r>
      <w:r w:rsidRPr="0003652C">
        <w:rPr>
          <w:rFonts w:cs="Arial"/>
          <w:color w:val="000000" w:themeColor="text1"/>
        </w:rPr>
        <w:t xml:space="preserve"> and implemented</w:t>
      </w:r>
      <w:r w:rsidR="00A116A9">
        <w:rPr>
          <w:rFonts w:cs="Arial"/>
          <w:color w:val="000000" w:themeColor="text1"/>
        </w:rPr>
        <w:t>. S</w:t>
      </w:r>
      <w:r w:rsidRPr="0003652C">
        <w:rPr>
          <w:rFonts w:cs="Arial"/>
          <w:color w:val="000000" w:themeColor="text1"/>
        </w:rPr>
        <w:t xml:space="preserve">o designers would have been aware of the changes, even if they were not finalised. As previously mentioned, the changes to the routes to the profession are not the focus here, as the aim is </w:t>
      </w:r>
      <w:r w:rsidRPr="0003652C">
        <w:rPr>
          <w:rFonts w:cs="Arial"/>
          <w:color w:val="000000" w:themeColor="text1"/>
        </w:rPr>
        <w:lastRenderedPageBreak/>
        <w:t>to capture experience beyond that, but it would be foolish to ignore it</w:t>
      </w:r>
      <w:r w:rsidR="00A116A9">
        <w:rPr>
          <w:rFonts w:cs="Arial"/>
          <w:color w:val="000000" w:themeColor="text1"/>
        </w:rPr>
        <w:t>,</w:t>
      </w:r>
      <w:r w:rsidRPr="0003652C">
        <w:rPr>
          <w:rFonts w:cs="Arial"/>
          <w:color w:val="000000" w:themeColor="text1"/>
        </w:rPr>
        <w:t xml:space="preserve"> as it </w:t>
      </w:r>
      <w:r w:rsidR="00A116A9">
        <w:rPr>
          <w:rFonts w:cs="Arial"/>
          <w:color w:val="000000" w:themeColor="text1"/>
        </w:rPr>
        <w:t>has</w:t>
      </w:r>
      <w:r w:rsidRPr="0003652C">
        <w:rPr>
          <w:rFonts w:cs="Arial"/>
          <w:color w:val="000000" w:themeColor="text1"/>
        </w:rPr>
        <w:t xml:space="preserve"> </w:t>
      </w:r>
      <w:r w:rsidR="00A116A9" w:rsidRPr="0003652C">
        <w:rPr>
          <w:rFonts w:cs="Arial"/>
          <w:color w:val="000000" w:themeColor="text1"/>
        </w:rPr>
        <w:t>ha</w:t>
      </w:r>
      <w:r w:rsidR="00A116A9">
        <w:rPr>
          <w:rFonts w:cs="Arial"/>
          <w:color w:val="000000" w:themeColor="text1"/>
        </w:rPr>
        <w:t>d</w:t>
      </w:r>
      <w:r w:rsidR="00A116A9" w:rsidRPr="0003652C">
        <w:rPr>
          <w:rFonts w:cs="Arial"/>
          <w:color w:val="000000" w:themeColor="text1"/>
        </w:rPr>
        <w:t xml:space="preserve"> </w:t>
      </w:r>
      <w:r w:rsidRPr="0003652C">
        <w:rPr>
          <w:rFonts w:cs="Arial"/>
          <w:color w:val="000000" w:themeColor="text1"/>
        </w:rPr>
        <w:t>an impact on many course changes. It is also possible that a more historical perspective, looking at programme design over a longer period, would involve another level of interpretation as the terminology and refer</w:t>
      </w:r>
      <w:r w:rsidR="002843BB" w:rsidRPr="0003652C">
        <w:rPr>
          <w:rFonts w:cs="Arial"/>
          <w:color w:val="000000" w:themeColor="text1"/>
        </w:rPr>
        <w:t>ence</w:t>
      </w:r>
      <w:r w:rsidRPr="0003652C">
        <w:rPr>
          <w:rFonts w:cs="Arial"/>
          <w:color w:val="000000" w:themeColor="text1"/>
        </w:rPr>
        <w:t xml:space="preserve"> to context may have changed (Potter &amp; Robles, 2022).  </w:t>
      </w:r>
      <w:r w:rsidR="002843BB" w:rsidRPr="0003652C">
        <w:rPr>
          <w:rFonts w:cs="Arial"/>
          <w:color w:val="000000" w:themeColor="text1"/>
        </w:rPr>
        <w:t>Participants did</w:t>
      </w:r>
      <w:r w:rsidR="00A116A9">
        <w:rPr>
          <w:rFonts w:cs="Arial"/>
          <w:color w:val="000000" w:themeColor="text1"/>
        </w:rPr>
        <w:t>,</w:t>
      </w:r>
      <w:r w:rsidR="002843BB" w:rsidRPr="0003652C">
        <w:rPr>
          <w:rFonts w:cs="Arial"/>
          <w:color w:val="000000" w:themeColor="text1"/>
        </w:rPr>
        <w:t xml:space="preserve"> however</w:t>
      </w:r>
      <w:r w:rsidR="00A116A9">
        <w:rPr>
          <w:rFonts w:cs="Arial"/>
          <w:color w:val="000000" w:themeColor="text1"/>
        </w:rPr>
        <w:t>,</w:t>
      </w:r>
      <w:r w:rsidR="002843BB" w:rsidRPr="0003652C">
        <w:rPr>
          <w:rFonts w:cs="Arial"/>
          <w:color w:val="000000" w:themeColor="text1"/>
        </w:rPr>
        <w:t xml:space="preserve"> draw upon a much wider experience of course design when reflecting on </w:t>
      </w:r>
      <w:r w:rsidR="00A116A9">
        <w:rPr>
          <w:rFonts w:cs="Arial"/>
          <w:color w:val="000000" w:themeColor="text1"/>
        </w:rPr>
        <w:t>w</w:t>
      </w:r>
      <w:r w:rsidR="002843BB" w:rsidRPr="0003652C">
        <w:rPr>
          <w:rFonts w:cs="Arial"/>
          <w:color w:val="000000" w:themeColor="text1"/>
        </w:rPr>
        <w:t xml:space="preserve">hat had taken place in the past seven years. </w:t>
      </w:r>
      <w:r w:rsidRPr="0003652C">
        <w:rPr>
          <w:rFonts w:cs="Arial"/>
          <w:color w:val="000000" w:themeColor="text1"/>
        </w:rPr>
        <w:t>It was important to consider opportunities for structural and pedagogic change beyond small modifications to individual units of learning or modules, and so opportunities for programme design or redesign, as opposed to more common module redesign, were the focus</w:t>
      </w:r>
      <w:r w:rsidR="00A116A9">
        <w:rPr>
          <w:rFonts w:cs="Arial"/>
          <w:color w:val="000000" w:themeColor="text1"/>
        </w:rPr>
        <w:t>,</w:t>
      </w:r>
      <w:r w:rsidRPr="0003652C">
        <w:rPr>
          <w:rFonts w:cs="Arial"/>
          <w:color w:val="000000" w:themeColor="text1"/>
        </w:rPr>
        <w:t xml:space="preserve"> as this was the point at which many extrinsic and intrinsic influences collide. Occasionally</w:t>
      </w:r>
      <w:r w:rsidR="00A116A9">
        <w:rPr>
          <w:rFonts w:cs="Arial"/>
          <w:color w:val="000000" w:themeColor="text1"/>
        </w:rPr>
        <w:t>,</w:t>
      </w:r>
      <w:r w:rsidRPr="0003652C">
        <w:rPr>
          <w:rFonts w:cs="Arial"/>
          <w:color w:val="000000" w:themeColor="text1"/>
        </w:rPr>
        <w:t xml:space="preserve"> a review or redesign might have been instigated due to the implementation of an institution</w:t>
      </w:r>
      <w:r w:rsidR="00A116A9">
        <w:rPr>
          <w:rFonts w:cs="Arial"/>
          <w:color w:val="000000" w:themeColor="text1"/>
        </w:rPr>
        <w:t>-</w:t>
      </w:r>
      <w:r w:rsidR="00E75CE9">
        <w:rPr>
          <w:rFonts w:cs="Arial"/>
          <w:color w:val="000000" w:themeColor="text1"/>
        </w:rPr>
        <w:t>wide</w:t>
      </w:r>
      <w:r w:rsidRPr="0003652C">
        <w:rPr>
          <w:rFonts w:cs="Arial"/>
          <w:color w:val="000000" w:themeColor="text1"/>
        </w:rPr>
        <w:t xml:space="preserve"> policy or academic framework change, but this was also seen as an appropriate site to investigate other influences at play.</w:t>
      </w:r>
    </w:p>
    <w:p w14:paraId="536FA36A" w14:textId="13C66CFA" w:rsidR="006613BB" w:rsidRPr="0003652C" w:rsidRDefault="006613BB" w:rsidP="0003652C">
      <w:pPr>
        <w:pStyle w:val="Heading3"/>
        <w:spacing w:after="100" w:afterAutospacing="1" w:line="360" w:lineRule="auto"/>
        <w:rPr>
          <w:rFonts w:ascii="Arial" w:hAnsi="Arial" w:cs="Arial"/>
        </w:rPr>
      </w:pPr>
      <w:bookmarkStart w:id="53" w:name="_Toc223348845"/>
      <w:r w:rsidRPr="0003652C">
        <w:rPr>
          <w:rFonts w:ascii="Arial" w:hAnsi="Arial" w:cs="Arial"/>
        </w:rPr>
        <w:t>Participants</w:t>
      </w:r>
      <w:bookmarkEnd w:id="53"/>
    </w:p>
    <w:p w14:paraId="2F2CE6B6" w14:textId="2B9E0C34" w:rsidR="006613BB" w:rsidRPr="0003652C" w:rsidRDefault="006613BB" w:rsidP="0003652C">
      <w:pPr>
        <w:spacing w:line="360" w:lineRule="auto"/>
        <w:jc w:val="both"/>
        <w:rPr>
          <w:rFonts w:cs="Arial"/>
          <w:color w:val="000000" w:themeColor="text1"/>
        </w:rPr>
      </w:pPr>
      <w:r w:rsidRPr="0003652C">
        <w:rPr>
          <w:rFonts w:cs="Arial"/>
          <w:color w:val="000000" w:themeColor="text1"/>
        </w:rPr>
        <w:t xml:space="preserve">I am investigating course design from the perspective of those who are responsible for the design process and implementation in one way or another. The investigation captures the essence of the course design in the influences that create it, and so it is necessary to consider the presentation of that from the perspective of the designer or designers. To borrow from </w:t>
      </w:r>
      <w:r w:rsidR="0079612D">
        <w:rPr>
          <w:rFonts w:cs="Arial"/>
          <w:color w:val="000000" w:themeColor="text1"/>
        </w:rPr>
        <w:t xml:space="preserve">the </w:t>
      </w:r>
      <w:r w:rsidRPr="0003652C">
        <w:rPr>
          <w:rFonts w:cs="Arial"/>
          <w:color w:val="000000" w:themeColor="text1"/>
        </w:rPr>
        <w:t xml:space="preserve">policy implementation literature, this centres on the views of several ‘middle managers’ who can provide </w:t>
      </w:r>
      <w:r w:rsidR="0079612D">
        <w:rPr>
          <w:rFonts w:cs="Arial"/>
          <w:color w:val="000000" w:themeColor="text1"/>
        </w:rPr>
        <w:t>perspective</w:t>
      </w:r>
      <w:r w:rsidRPr="0003652C">
        <w:rPr>
          <w:rFonts w:cs="Arial"/>
          <w:color w:val="000000" w:themeColor="text1"/>
        </w:rPr>
        <w:t xml:space="preserve">s on an element of their professional practice. The terminology of middle managers is </w:t>
      </w:r>
      <w:r w:rsidR="0079612D">
        <w:rPr>
          <w:rFonts w:cs="Arial"/>
          <w:color w:val="000000" w:themeColor="text1"/>
        </w:rPr>
        <w:t>used flexibly here (Saunders and Sin, 2015) to denote those who lead other staff, but not necessarily limit</w:t>
      </w:r>
      <w:r w:rsidRPr="0003652C">
        <w:rPr>
          <w:rFonts w:cs="Arial"/>
          <w:color w:val="000000" w:themeColor="text1"/>
        </w:rPr>
        <w:t xml:space="preserve"> this to those who </w:t>
      </w:r>
      <w:r w:rsidR="002843BB" w:rsidRPr="0003652C">
        <w:rPr>
          <w:rFonts w:cs="Arial"/>
          <w:color w:val="000000" w:themeColor="text1"/>
        </w:rPr>
        <w:t>manage staff</w:t>
      </w:r>
      <w:r w:rsidRPr="0003652C">
        <w:rPr>
          <w:rFonts w:cs="Arial"/>
          <w:color w:val="000000" w:themeColor="text1"/>
        </w:rPr>
        <w:t>. The participants held various positions within their schools, including that of Head and Associate Head of School, Director of Education and of Learning and Teaching and Course and Programme Leader. These participants were chosen specifically because of their strategic plac</w:t>
      </w:r>
      <w:r w:rsidR="0079612D">
        <w:rPr>
          <w:rFonts w:cs="Arial"/>
          <w:color w:val="000000" w:themeColor="text1"/>
        </w:rPr>
        <w:t>ement</w:t>
      </w:r>
      <w:r w:rsidRPr="0003652C">
        <w:rPr>
          <w:rFonts w:cs="Arial"/>
          <w:color w:val="000000" w:themeColor="text1"/>
        </w:rPr>
        <w:t xml:space="preserve"> in the Law Schools (Clegg </w:t>
      </w:r>
      <w:r w:rsidR="00BD31EF" w:rsidRPr="0003652C">
        <w:rPr>
          <w:rFonts w:cs="Arial"/>
          <w:color w:val="000000" w:themeColor="text1"/>
        </w:rPr>
        <w:t>&amp;</w:t>
      </w:r>
      <w:r w:rsidRPr="0003652C">
        <w:rPr>
          <w:rFonts w:cs="Arial"/>
          <w:color w:val="000000" w:themeColor="text1"/>
        </w:rPr>
        <w:t xml:space="preserve"> McAuley, 2005), in their role of ‘brokering’ up and down the design and implementation staircase (Saunders and Sin, 2015). The participants were well placed in relation to their inward-looking perspectives on and knowledge of that design and implementation (Saunders and Sin, 2015).</w:t>
      </w:r>
    </w:p>
    <w:p w14:paraId="32AA9883" w14:textId="3A1D9420" w:rsidR="006613BB" w:rsidRPr="0003652C" w:rsidRDefault="006613BB" w:rsidP="0003652C">
      <w:pPr>
        <w:spacing w:line="360" w:lineRule="auto"/>
        <w:jc w:val="both"/>
        <w:rPr>
          <w:rFonts w:cs="Arial"/>
          <w:color w:val="000000" w:themeColor="text1"/>
        </w:rPr>
      </w:pPr>
      <w:r w:rsidRPr="0003652C">
        <w:rPr>
          <w:rFonts w:cs="Arial"/>
          <w:color w:val="000000" w:themeColor="text1"/>
        </w:rPr>
        <w:lastRenderedPageBreak/>
        <w:t xml:space="preserve">Many different academics are involved in course design, and some simultaneously occupy </w:t>
      </w:r>
      <w:r w:rsidR="002843BB" w:rsidRPr="0003652C">
        <w:rPr>
          <w:rFonts w:cs="Arial"/>
          <w:color w:val="000000" w:themeColor="text1"/>
        </w:rPr>
        <w:t>several</w:t>
      </w:r>
      <w:r w:rsidRPr="0003652C">
        <w:rPr>
          <w:rFonts w:cs="Arial"/>
          <w:color w:val="000000" w:themeColor="text1"/>
        </w:rPr>
        <w:t xml:space="preserve"> different identities (Buys et al</w:t>
      </w:r>
      <w:r w:rsidR="00244F52" w:rsidRPr="0003652C">
        <w:rPr>
          <w:rFonts w:cs="Arial"/>
          <w:color w:val="000000" w:themeColor="text1"/>
        </w:rPr>
        <w:t>.</w:t>
      </w:r>
      <w:r w:rsidRPr="0003652C">
        <w:rPr>
          <w:rFonts w:cs="Arial"/>
          <w:color w:val="000000" w:themeColor="text1"/>
        </w:rPr>
        <w:t xml:space="preserve">, 2022). Identifying who to approach was a time-consuming process and involved networking at conferences, contacting legal education groups and talking with colleagues in the world of legal education. Identifying the relevant people by virtue of their title was impossible as academic roles are not understood in a standard way across different </w:t>
      </w:r>
      <w:r w:rsidR="00E75CE9">
        <w:rPr>
          <w:rFonts w:cs="Arial"/>
          <w:color w:val="000000" w:themeColor="text1"/>
        </w:rPr>
        <w:t>universitie</w:t>
      </w:r>
      <w:r w:rsidRPr="0003652C">
        <w:rPr>
          <w:rFonts w:cs="Arial"/>
          <w:color w:val="000000" w:themeColor="text1"/>
        </w:rPr>
        <w:t xml:space="preserve">s (Macfarlane, 2015). Many participants were successfully recruited on </w:t>
      </w:r>
      <w:r w:rsidR="0079612D">
        <w:rPr>
          <w:rFonts w:cs="Arial"/>
          <w:color w:val="000000" w:themeColor="text1"/>
        </w:rPr>
        <w:t xml:space="preserve">the </w:t>
      </w:r>
      <w:r w:rsidRPr="0003652C">
        <w:rPr>
          <w:rFonts w:cs="Arial"/>
          <w:color w:val="000000" w:themeColor="text1"/>
        </w:rPr>
        <w:t xml:space="preserve">recommendation </w:t>
      </w:r>
      <w:r w:rsidR="0079612D">
        <w:rPr>
          <w:rFonts w:cs="Arial"/>
          <w:color w:val="000000" w:themeColor="text1"/>
        </w:rPr>
        <w:t>of</w:t>
      </w:r>
      <w:r w:rsidRPr="0003652C">
        <w:rPr>
          <w:rFonts w:cs="Arial"/>
          <w:color w:val="000000" w:themeColor="text1"/>
        </w:rPr>
        <w:t xml:space="preserve"> intermediaries who were known legal educat</w:t>
      </w:r>
      <w:r w:rsidR="0079612D">
        <w:rPr>
          <w:rFonts w:cs="Arial"/>
          <w:color w:val="000000" w:themeColor="text1"/>
        </w:rPr>
        <w:t>or</w:t>
      </w:r>
      <w:r w:rsidRPr="0003652C">
        <w:rPr>
          <w:rFonts w:cs="Arial"/>
          <w:color w:val="000000" w:themeColor="text1"/>
        </w:rPr>
        <w:t>s. This form of snowballing was successful in identifying the right people as well as increasing the likelihood of a positive response (Daneil and Harland, 2017).  Many were less likely to respond to a cold call.  The approach not only had the benefit of easing the pressure, but it also allowed me to continue to interview more participants until the data was ‘saturated’ (Daniel &amp; Harland, 201</w:t>
      </w:r>
      <w:r w:rsidR="00642721" w:rsidRPr="0003652C">
        <w:rPr>
          <w:rFonts w:cs="Arial"/>
          <w:color w:val="000000" w:themeColor="text1"/>
        </w:rPr>
        <w:t>9</w:t>
      </w:r>
      <w:r w:rsidRPr="0003652C">
        <w:rPr>
          <w:rFonts w:cs="Arial"/>
          <w:color w:val="000000" w:themeColor="text1"/>
        </w:rPr>
        <w:t>). It must</w:t>
      </w:r>
      <w:r w:rsidR="0079612D">
        <w:rPr>
          <w:rFonts w:cs="Arial"/>
          <w:color w:val="000000" w:themeColor="text1"/>
        </w:rPr>
        <w:t>,</w:t>
      </w:r>
      <w:r w:rsidRPr="0003652C">
        <w:rPr>
          <w:rFonts w:cs="Arial"/>
          <w:color w:val="000000" w:themeColor="text1"/>
        </w:rPr>
        <w:t xml:space="preserve"> however</w:t>
      </w:r>
      <w:r w:rsidR="0079612D">
        <w:rPr>
          <w:rFonts w:cs="Arial"/>
          <w:color w:val="000000" w:themeColor="text1"/>
        </w:rPr>
        <w:t>,</w:t>
      </w:r>
      <w:r w:rsidRPr="0003652C">
        <w:rPr>
          <w:rFonts w:cs="Arial"/>
          <w:color w:val="000000" w:themeColor="text1"/>
        </w:rPr>
        <w:t xml:space="preserve"> be acknowledged that the voluntary nature of the selection and so self-selection of the participants may have an implication for the data collected (Potter &amp; Roberts, 2022). </w:t>
      </w:r>
      <w:r w:rsidR="002843BB" w:rsidRPr="0003652C">
        <w:rPr>
          <w:rFonts w:cs="Arial"/>
          <w:color w:val="000000" w:themeColor="text1"/>
        </w:rPr>
        <w:t>Only three individuals did not respond to my invitation, and so this approach was successful.</w:t>
      </w:r>
    </w:p>
    <w:p w14:paraId="55B928A0" w14:textId="6638032C" w:rsidR="006613BB" w:rsidRDefault="006613BB" w:rsidP="0003652C">
      <w:pPr>
        <w:spacing w:line="360" w:lineRule="auto"/>
        <w:jc w:val="both"/>
        <w:rPr>
          <w:rFonts w:cs="Arial"/>
          <w:color w:val="000000" w:themeColor="text1"/>
        </w:rPr>
      </w:pPr>
      <w:r w:rsidRPr="0003652C">
        <w:rPr>
          <w:rFonts w:cs="Arial"/>
          <w:color w:val="000000" w:themeColor="text1"/>
        </w:rPr>
        <w:t xml:space="preserve">Only one member of a team was approached within each </w:t>
      </w:r>
      <w:r w:rsidR="00E75CE9">
        <w:rPr>
          <w:rFonts w:cs="Arial"/>
          <w:color w:val="000000" w:themeColor="text1"/>
        </w:rPr>
        <w:t>university</w:t>
      </w:r>
      <w:r w:rsidRPr="0003652C">
        <w:rPr>
          <w:rFonts w:cs="Arial"/>
          <w:color w:val="000000" w:themeColor="text1"/>
        </w:rPr>
        <w:t xml:space="preserve">, and the aim, as stated above, was to capture the thoughts of those who led on the design. However, many programme developments are </w:t>
      </w:r>
      <w:r w:rsidR="0079612D" w:rsidRPr="0003652C">
        <w:rPr>
          <w:rFonts w:cs="Arial"/>
          <w:color w:val="000000" w:themeColor="text1"/>
        </w:rPr>
        <w:t>team</w:t>
      </w:r>
      <w:r w:rsidR="0079612D">
        <w:rPr>
          <w:rFonts w:cs="Arial"/>
          <w:color w:val="000000" w:themeColor="text1"/>
        </w:rPr>
        <w:t>-</w:t>
      </w:r>
      <w:r w:rsidRPr="0003652C">
        <w:rPr>
          <w:rFonts w:cs="Arial"/>
          <w:color w:val="000000" w:themeColor="text1"/>
        </w:rPr>
        <w:t>led. The decision to only capture one perspective was made with a view to encourag</w:t>
      </w:r>
      <w:r w:rsidR="0079612D">
        <w:rPr>
          <w:rFonts w:cs="Arial"/>
          <w:color w:val="000000" w:themeColor="text1"/>
        </w:rPr>
        <w:t>ing</w:t>
      </w:r>
      <w:r w:rsidRPr="0003652C">
        <w:rPr>
          <w:rFonts w:cs="Arial"/>
          <w:color w:val="000000" w:themeColor="text1"/>
        </w:rPr>
        <w:t xml:space="preserve"> honesty from the participants. This would capture what the participant thought or experienced, rather than encouraging a representative </w:t>
      </w:r>
      <w:r w:rsidR="002843BB" w:rsidRPr="0003652C">
        <w:rPr>
          <w:rFonts w:cs="Arial"/>
          <w:color w:val="000000" w:themeColor="text1"/>
        </w:rPr>
        <w:t>response (</w:t>
      </w:r>
      <w:r w:rsidRPr="0003652C">
        <w:rPr>
          <w:rFonts w:cs="Arial"/>
          <w:color w:val="000000" w:themeColor="text1"/>
        </w:rPr>
        <w:t xml:space="preserve">Potter &amp; Robles, 2022). However, participants were asked overtly to reflect not only on what their own experiences were but also to reflect, where relevant, on their teams’ experiences, and how they interacted. Capturing </w:t>
      </w:r>
      <w:r w:rsidR="002843BB" w:rsidRPr="0003652C">
        <w:rPr>
          <w:rFonts w:cs="Arial"/>
          <w:color w:val="000000" w:themeColor="text1"/>
        </w:rPr>
        <w:t>th</w:t>
      </w:r>
      <w:r w:rsidR="006C6CF1" w:rsidRPr="0003652C">
        <w:rPr>
          <w:rFonts w:cs="Arial"/>
          <w:color w:val="000000" w:themeColor="text1"/>
        </w:rPr>
        <w:t>e data in this way enabled the</w:t>
      </w:r>
      <w:r w:rsidRPr="0003652C">
        <w:rPr>
          <w:rFonts w:cs="Arial"/>
          <w:color w:val="000000" w:themeColor="text1"/>
        </w:rPr>
        <w:t xml:space="preserve"> investigation </w:t>
      </w:r>
      <w:r w:rsidR="006C6CF1" w:rsidRPr="0003652C">
        <w:rPr>
          <w:rFonts w:cs="Arial"/>
          <w:color w:val="000000" w:themeColor="text1"/>
        </w:rPr>
        <w:t>to</w:t>
      </w:r>
      <w:r w:rsidRPr="0003652C">
        <w:rPr>
          <w:rFonts w:cs="Arial"/>
          <w:color w:val="000000" w:themeColor="text1"/>
        </w:rPr>
        <w:t xml:space="preserve"> ask what this data represents, rather than present the outcomes as representative (Cownie, 2004).</w:t>
      </w:r>
    </w:p>
    <w:p w14:paraId="476855D5" w14:textId="77777777" w:rsidR="00C622FE" w:rsidRDefault="00C622FE" w:rsidP="0003652C">
      <w:pPr>
        <w:spacing w:line="360" w:lineRule="auto"/>
        <w:jc w:val="both"/>
        <w:rPr>
          <w:rFonts w:cs="Arial"/>
          <w:color w:val="000000" w:themeColor="text1"/>
        </w:rPr>
      </w:pPr>
    </w:p>
    <w:p w14:paraId="709CBC3F" w14:textId="77777777" w:rsidR="00E50173" w:rsidRPr="0003652C" w:rsidRDefault="00E50173" w:rsidP="0003652C">
      <w:pPr>
        <w:spacing w:line="360" w:lineRule="auto"/>
        <w:jc w:val="both"/>
        <w:rPr>
          <w:rFonts w:cs="Arial"/>
          <w:color w:val="000000" w:themeColor="text1"/>
        </w:rPr>
      </w:pPr>
    </w:p>
    <w:p w14:paraId="2D116F5E" w14:textId="1C80E157" w:rsidR="006613BB" w:rsidRPr="0003652C" w:rsidRDefault="006613BB" w:rsidP="0003652C">
      <w:pPr>
        <w:pStyle w:val="Heading2"/>
        <w:spacing w:before="100" w:after="100" w:afterAutospacing="1" w:line="360" w:lineRule="auto"/>
        <w:rPr>
          <w:rFonts w:ascii="Arial" w:hAnsi="Arial" w:cs="Arial"/>
        </w:rPr>
      </w:pPr>
      <w:bookmarkStart w:id="54" w:name="_Toc223348846"/>
      <w:r w:rsidRPr="0003652C">
        <w:rPr>
          <w:rFonts w:ascii="Arial" w:hAnsi="Arial" w:cs="Arial"/>
        </w:rPr>
        <w:lastRenderedPageBreak/>
        <w:t>Data collection methods</w:t>
      </w:r>
      <w:bookmarkEnd w:id="54"/>
    </w:p>
    <w:p w14:paraId="6C0A500F" w14:textId="01DD94A7" w:rsidR="006613BB" w:rsidRPr="0003652C" w:rsidRDefault="006613BB" w:rsidP="0003652C">
      <w:pPr>
        <w:pStyle w:val="Heading3"/>
        <w:spacing w:after="100" w:afterAutospacing="1" w:line="360" w:lineRule="auto"/>
        <w:rPr>
          <w:rFonts w:ascii="Arial" w:hAnsi="Arial" w:cs="Arial"/>
        </w:rPr>
      </w:pPr>
      <w:bookmarkStart w:id="55" w:name="_Toc223348847"/>
      <w:r w:rsidRPr="0003652C">
        <w:rPr>
          <w:rFonts w:ascii="Arial" w:hAnsi="Arial" w:cs="Arial"/>
        </w:rPr>
        <w:t>Semi-structured interviews</w:t>
      </w:r>
      <w:bookmarkEnd w:id="55"/>
    </w:p>
    <w:p w14:paraId="373818BB" w14:textId="6E0C66C3"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The data collection method was essentially interview based as is common with a </w:t>
      </w:r>
      <w:r w:rsidR="00D0589F">
        <w:rPr>
          <w:rFonts w:cs="Arial"/>
          <w:color w:val="000000" w:themeColor="text1"/>
        </w:rPr>
        <w:t>qualitative</w:t>
      </w:r>
      <w:r w:rsidR="006C6CF1" w:rsidRPr="0003652C">
        <w:rPr>
          <w:rFonts w:cs="Arial"/>
          <w:color w:val="000000" w:themeColor="text1"/>
        </w:rPr>
        <w:t xml:space="preserve"> enquiry</w:t>
      </w:r>
      <w:r w:rsidRPr="0003652C">
        <w:rPr>
          <w:rFonts w:cs="Arial"/>
          <w:color w:val="000000" w:themeColor="text1"/>
        </w:rPr>
        <w:t xml:space="preserve"> (</w:t>
      </w:r>
      <w:r w:rsidR="00244F52" w:rsidRPr="0003652C">
        <w:rPr>
          <w:rFonts w:cs="Arial"/>
          <w:color w:val="000000" w:themeColor="text1"/>
        </w:rPr>
        <w:t>Buys et al.</w:t>
      </w:r>
      <w:r w:rsidRPr="0003652C">
        <w:rPr>
          <w:rFonts w:cs="Arial"/>
          <w:color w:val="000000" w:themeColor="text1"/>
        </w:rPr>
        <w:t xml:space="preserve">, 2022). Interviews provided ‘conversations with a purpose’ and were able to ‘elicit descriptions, often in the form of stories’ or verbal descriptions, which then could ‘encompass multiple ways of knowing’ (Roulston </w:t>
      </w:r>
      <w:r w:rsidR="0079612D">
        <w:rPr>
          <w:rFonts w:cs="Arial"/>
          <w:color w:val="000000" w:themeColor="text1"/>
        </w:rPr>
        <w:t>&amp;</w:t>
      </w:r>
      <w:r w:rsidRPr="0003652C">
        <w:rPr>
          <w:rFonts w:cs="Arial"/>
          <w:color w:val="000000" w:themeColor="text1"/>
        </w:rPr>
        <w:t xml:space="preserve"> Haplin, 2022). This was particularly relevant for this investigation as </w:t>
      </w:r>
    </w:p>
    <w:p w14:paraId="374AB3D1" w14:textId="426D7635" w:rsidR="00BE2C10" w:rsidRPr="0005689B" w:rsidRDefault="00BE2C10" w:rsidP="0005689B">
      <w:pPr>
        <w:spacing w:line="360" w:lineRule="auto"/>
        <w:ind w:left="720"/>
        <w:jc w:val="both"/>
        <w:rPr>
          <w:rFonts w:cs="Arial"/>
          <w:color w:val="000000" w:themeColor="text1"/>
        </w:rPr>
      </w:pPr>
      <w:r w:rsidRPr="0003652C">
        <w:rPr>
          <w:rFonts w:cs="Arial"/>
          <w:color w:val="000000" w:themeColor="text1"/>
        </w:rPr>
        <w:t xml:space="preserve">Thick description presents human behaviour in a way that takes not only the physical and social context into account, but also the actors' intentionality. In this way, the meaning and significance of </w:t>
      </w:r>
      <w:r w:rsidR="00833640" w:rsidRPr="0003652C">
        <w:rPr>
          <w:rFonts w:cs="Arial"/>
          <w:color w:val="000000" w:themeColor="text1"/>
        </w:rPr>
        <w:t>behaviours</w:t>
      </w:r>
      <w:r w:rsidRPr="0003652C">
        <w:rPr>
          <w:rFonts w:cs="Arial"/>
          <w:color w:val="000000" w:themeColor="text1"/>
        </w:rPr>
        <w:t xml:space="preserve"> or events are made accessible to the reader (Schultze and Avital, 2011</w:t>
      </w:r>
      <w:r w:rsidR="00E50173">
        <w:rPr>
          <w:rFonts w:cs="Arial"/>
          <w:color w:val="000000" w:themeColor="text1"/>
        </w:rPr>
        <w:t>. p.3</w:t>
      </w:r>
      <w:r w:rsidRPr="0003652C">
        <w:rPr>
          <w:rFonts w:cs="Arial"/>
          <w:color w:val="000000" w:themeColor="text1"/>
        </w:rPr>
        <w:t xml:space="preserve">) </w:t>
      </w:r>
    </w:p>
    <w:p w14:paraId="257C59D8" w14:textId="62E310FC"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The interview is also an appropriate vehicle considering the research questions, which look to the perceptions of the participants in their own professional practice. My own professional experience is closely aligned to those of the participants and that intersection is important in the choice of data collection methods (Roulston </w:t>
      </w:r>
      <w:r w:rsidR="0079612D">
        <w:rPr>
          <w:rFonts w:cs="Arial"/>
          <w:color w:val="000000" w:themeColor="text1"/>
        </w:rPr>
        <w:t>&amp;</w:t>
      </w:r>
      <w:r w:rsidRPr="0003652C">
        <w:rPr>
          <w:rFonts w:cs="Arial"/>
          <w:color w:val="000000" w:themeColor="text1"/>
        </w:rPr>
        <w:t xml:space="preserve"> Haplin, 2022</w:t>
      </w:r>
      <w:r w:rsidR="0079612D">
        <w:rPr>
          <w:rFonts w:cs="Arial"/>
          <w:color w:val="000000" w:themeColor="text1"/>
        </w:rPr>
        <w:t>).</w:t>
      </w:r>
      <w:r w:rsidRPr="0003652C">
        <w:rPr>
          <w:rFonts w:cs="Arial"/>
          <w:color w:val="000000" w:themeColor="text1"/>
        </w:rPr>
        <w:t xml:space="preserve"> </w:t>
      </w:r>
    </w:p>
    <w:p w14:paraId="4F2ADB0D" w14:textId="3C0F885C"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My positionality as the interviewer and the element of insider research also </w:t>
      </w:r>
      <w:r w:rsidR="0079612D" w:rsidRPr="0003652C">
        <w:rPr>
          <w:rFonts w:cs="Arial"/>
          <w:color w:val="000000" w:themeColor="text1"/>
        </w:rPr>
        <w:t>justif</w:t>
      </w:r>
      <w:r w:rsidR="0079612D">
        <w:rPr>
          <w:rFonts w:cs="Arial"/>
          <w:color w:val="000000" w:themeColor="text1"/>
        </w:rPr>
        <w:t>y</w:t>
      </w:r>
      <w:r w:rsidR="0079612D" w:rsidRPr="0003652C">
        <w:rPr>
          <w:rFonts w:cs="Arial"/>
          <w:color w:val="000000" w:themeColor="text1"/>
        </w:rPr>
        <w:t xml:space="preserve"> </w:t>
      </w:r>
      <w:r w:rsidRPr="0003652C">
        <w:rPr>
          <w:rFonts w:cs="Arial"/>
          <w:color w:val="000000" w:themeColor="text1"/>
        </w:rPr>
        <w:t>the semi-structured nature of the interviews. Whilst these may have been more complicated to analyse as the data was more fluid and followed varying formats (Ols</w:t>
      </w:r>
      <w:r w:rsidR="00804B61" w:rsidRPr="0003652C">
        <w:rPr>
          <w:rFonts w:cs="Arial"/>
          <w:color w:val="000000" w:themeColor="text1"/>
        </w:rPr>
        <w:t>o</w:t>
      </w:r>
      <w:r w:rsidRPr="0003652C">
        <w:rPr>
          <w:rFonts w:cs="Arial"/>
          <w:color w:val="000000" w:themeColor="text1"/>
        </w:rPr>
        <w:t>n, 2016), the familiarity with the specific research context was important and the semi-structured nature allowed for the flow of the conversation (Buys et al</w:t>
      </w:r>
      <w:r w:rsidR="00DE69AA" w:rsidRPr="0003652C">
        <w:rPr>
          <w:rFonts w:cs="Arial"/>
          <w:color w:val="000000" w:themeColor="text1"/>
        </w:rPr>
        <w:t>.</w:t>
      </w:r>
      <w:r w:rsidRPr="0003652C">
        <w:rPr>
          <w:rFonts w:cs="Arial"/>
          <w:color w:val="000000" w:themeColor="text1"/>
        </w:rPr>
        <w:t xml:space="preserve">, 2022).  The semi-structured format allowed me to follow up </w:t>
      </w:r>
      <w:r w:rsidR="0079612D">
        <w:rPr>
          <w:rFonts w:cs="Arial"/>
          <w:color w:val="000000" w:themeColor="text1"/>
        </w:rPr>
        <w:t xml:space="preserve">on </w:t>
      </w:r>
      <w:r w:rsidRPr="0003652C">
        <w:rPr>
          <w:rFonts w:cs="Arial"/>
          <w:color w:val="000000" w:themeColor="text1"/>
        </w:rPr>
        <w:t>ideas expressed by participants and flexibility in the development of the discussion (Buchanan et al</w:t>
      </w:r>
      <w:r w:rsidR="0079612D">
        <w:rPr>
          <w:rFonts w:cs="Arial"/>
          <w:color w:val="000000" w:themeColor="text1"/>
        </w:rPr>
        <w:t>.</w:t>
      </w:r>
      <w:r w:rsidRPr="0003652C">
        <w:rPr>
          <w:rFonts w:cs="Arial"/>
          <w:color w:val="000000" w:themeColor="text1"/>
        </w:rPr>
        <w:t>, 2013).</w:t>
      </w:r>
    </w:p>
    <w:p w14:paraId="6AB4FAF9" w14:textId="3AEF1214" w:rsidR="006613BB" w:rsidRPr="0003652C" w:rsidRDefault="00BE2C10" w:rsidP="0005689B">
      <w:pPr>
        <w:spacing w:line="360" w:lineRule="auto"/>
        <w:jc w:val="both"/>
        <w:rPr>
          <w:rFonts w:cs="Arial"/>
        </w:rPr>
      </w:pPr>
      <w:r w:rsidRPr="0003652C">
        <w:rPr>
          <w:rFonts w:cs="Arial"/>
          <w:color w:val="000000" w:themeColor="text1"/>
        </w:rPr>
        <w:t>The interviews were held online as this allowed for more flexibility in the selection of the participants in terms of time and space, and allowed for greater geographical diversity, and was not felt to be second</w:t>
      </w:r>
      <w:r w:rsidR="0079612D">
        <w:rPr>
          <w:rFonts w:cs="Arial"/>
          <w:color w:val="000000" w:themeColor="text1"/>
        </w:rPr>
        <w:t>-</w:t>
      </w:r>
      <w:r w:rsidRPr="0003652C">
        <w:rPr>
          <w:rFonts w:cs="Arial"/>
          <w:color w:val="000000" w:themeColor="text1"/>
        </w:rPr>
        <w:t>rate to a face-to-face interview (Weller, 2017). Aligning the methods with the purpose of the research and the need for more diversity and a greater reach</w:t>
      </w:r>
      <w:r w:rsidR="0079612D">
        <w:rPr>
          <w:rFonts w:cs="Arial"/>
          <w:color w:val="000000" w:themeColor="text1"/>
        </w:rPr>
        <w:t>,</w:t>
      </w:r>
      <w:r w:rsidRPr="0003652C">
        <w:rPr>
          <w:rFonts w:cs="Arial"/>
          <w:color w:val="000000" w:themeColor="text1"/>
        </w:rPr>
        <w:t xml:space="preserve"> the benefits of doing the interviews online were regarded as significant (Roulston &amp; Haplin, 2022).  The </w:t>
      </w:r>
      <w:r w:rsidRPr="0003652C">
        <w:rPr>
          <w:rFonts w:cs="Arial"/>
          <w:color w:val="000000" w:themeColor="text1"/>
        </w:rPr>
        <w:lastRenderedPageBreak/>
        <w:t>interviews were between 45 min</w:t>
      </w:r>
      <w:r w:rsidR="0079612D">
        <w:rPr>
          <w:rFonts w:cs="Arial"/>
          <w:color w:val="000000" w:themeColor="text1"/>
        </w:rPr>
        <w:t>ute</w:t>
      </w:r>
      <w:r w:rsidRPr="0003652C">
        <w:rPr>
          <w:rFonts w:cs="Arial"/>
          <w:color w:val="000000" w:themeColor="text1"/>
        </w:rPr>
        <w:t>s and an hour long and were held and recorded on Microsoft Teams</w:t>
      </w:r>
      <w:r w:rsidRPr="0003652C">
        <w:rPr>
          <w:rFonts w:cs="Arial"/>
        </w:rPr>
        <w:t xml:space="preserve">. They were conducted between May and September of 2024.  </w:t>
      </w:r>
    </w:p>
    <w:p w14:paraId="4E67D040" w14:textId="29B9BFEB" w:rsidR="006613BB" w:rsidRPr="0003652C" w:rsidRDefault="006613BB" w:rsidP="0003652C">
      <w:pPr>
        <w:pStyle w:val="Heading3"/>
        <w:spacing w:after="100" w:afterAutospacing="1" w:line="360" w:lineRule="auto"/>
        <w:rPr>
          <w:rFonts w:ascii="Arial" w:hAnsi="Arial" w:cs="Arial"/>
        </w:rPr>
      </w:pPr>
      <w:bookmarkStart w:id="56" w:name="_Toc223348848"/>
      <w:r w:rsidRPr="0003652C">
        <w:rPr>
          <w:rFonts w:ascii="Arial" w:hAnsi="Arial" w:cs="Arial"/>
        </w:rPr>
        <w:t>Design of interview questions</w:t>
      </w:r>
      <w:bookmarkEnd w:id="56"/>
    </w:p>
    <w:p w14:paraId="02C8D942" w14:textId="55FE4E5C" w:rsidR="00BE2C10" w:rsidRPr="0003652C" w:rsidRDefault="00BE2C10" w:rsidP="0003652C">
      <w:pPr>
        <w:spacing w:line="360" w:lineRule="auto"/>
        <w:jc w:val="both"/>
        <w:rPr>
          <w:rFonts w:cs="Arial"/>
          <w:color w:val="000000" w:themeColor="text1"/>
        </w:rPr>
      </w:pPr>
      <w:r w:rsidRPr="0003652C">
        <w:rPr>
          <w:rFonts w:cs="Arial"/>
          <w:color w:val="000000" w:themeColor="text1"/>
        </w:rPr>
        <w:t>The initial planning of the questions followed Patton’s past, present and future categories of questions (</w:t>
      </w:r>
      <w:r w:rsidR="008A4F29">
        <w:rPr>
          <w:rFonts w:cs="Arial"/>
          <w:color w:val="000000" w:themeColor="text1"/>
        </w:rPr>
        <w:t xml:space="preserve">Patton, </w:t>
      </w:r>
      <w:r w:rsidRPr="0003652C">
        <w:rPr>
          <w:rFonts w:cs="Arial"/>
          <w:color w:val="000000" w:themeColor="text1"/>
        </w:rPr>
        <w:t>2015). Acknowledging that the design of the questions may have constructive consequences in guiding the ‘answers’ (Potter &amp; Robles, 2022), these categories would capture experiences and behaviours and opinions and values by asking for a reflective approach, which in turn looked at the implications of decisions made. The questions were open and asked the participants to reflect on the design</w:t>
      </w:r>
      <w:r w:rsidR="0079612D">
        <w:rPr>
          <w:rFonts w:cs="Arial"/>
          <w:color w:val="000000" w:themeColor="text1"/>
        </w:rPr>
        <w:t>,</w:t>
      </w:r>
      <w:r w:rsidRPr="0003652C">
        <w:rPr>
          <w:rFonts w:cs="Arial"/>
          <w:color w:val="000000" w:themeColor="text1"/>
        </w:rPr>
        <w:t xml:space="preserve"> but without providing a focus. In this way</w:t>
      </w:r>
      <w:r w:rsidR="0079612D">
        <w:rPr>
          <w:rFonts w:cs="Arial"/>
          <w:color w:val="000000" w:themeColor="text1"/>
        </w:rPr>
        <w:t>,</w:t>
      </w:r>
      <w:r w:rsidRPr="0003652C">
        <w:rPr>
          <w:rFonts w:cs="Arial"/>
          <w:color w:val="000000" w:themeColor="text1"/>
        </w:rPr>
        <w:t xml:space="preserve"> they allowed the participant to interpret the question and experience as they wished and allowed them to generate descriptions in their own words (Roulston &amp; Haplin, 2022). This approach supported my research design and the focus of my research questions. </w:t>
      </w:r>
      <w:r w:rsidR="00AF2A6B" w:rsidRPr="0003652C">
        <w:rPr>
          <w:rFonts w:cs="Arial"/>
          <w:color w:val="000000" w:themeColor="text1"/>
        </w:rPr>
        <w:t xml:space="preserve">Appendix Two </w:t>
      </w:r>
      <w:r w:rsidR="0079612D">
        <w:rPr>
          <w:rFonts w:cs="Arial"/>
          <w:color w:val="000000" w:themeColor="text1"/>
        </w:rPr>
        <w:t>provides</w:t>
      </w:r>
      <w:r w:rsidR="00AF2A6B" w:rsidRPr="0003652C">
        <w:rPr>
          <w:rFonts w:cs="Arial"/>
          <w:color w:val="000000" w:themeColor="text1"/>
        </w:rPr>
        <w:t xml:space="preserve"> an overview of the interview approach. </w:t>
      </w:r>
    </w:p>
    <w:p w14:paraId="37EEB351" w14:textId="0A6275D0" w:rsidR="006C6CF1" w:rsidRDefault="006C6CF1" w:rsidP="0003652C">
      <w:pPr>
        <w:spacing w:line="360" w:lineRule="auto"/>
        <w:jc w:val="both"/>
        <w:rPr>
          <w:rFonts w:cs="Arial"/>
          <w:color w:val="000000" w:themeColor="text1"/>
        </w:rPr>
      </w:pPr>
      <w:r w:rsidRPr="0003652C">
        <w:rPr>
          <w:rFonts w:cs="Arial"/>
          <w:color w:val="000000" w:themeColor="text1"/>
        </w:rPr>
        <w:t>My interview schedule incorporated semi-structured open questions</w:t>
      </w:r>
      <w:r w:rsidR="00BE2C10" w:rsidRPr="0003652C">
        <w:rPr>
          <w:rFonts w:cs="Arial"/>
          <w:color w:val="000000" w:themeColor="text1"/>
        </w:rPr>
        <w:t>. After an initial introduction</w:t>
      </w:r>
      <w:r w:rsidR="0079612D">
        <w:rPr>
          <w:rFonts w:cs="Arial"/>
          <w:color w:val="000000" w:themeColor="text1"/>
        </w:rPr>
        <w:t>,</w:t>
      </w:r>
      <w:r w:rsidR="00BE2C10" w:rsidRPr="0003652C">
        <w:rPr>
          <w:rFonts w:cs="Arial"/>
          <w:color w:val="000000" w:themeColor="text1"/>
        </w:rPr>
        <w:t xml:space="preserve"> I asked the participants to explain what they </w:t>
      </w:r>
      <w:r w:rsidR="0079612D" w:rsidRPr="0003652C">
        <w:rPr>
          <w:rFonts w:cs="Arial"/>
          <w:color w:val="000000" w:themeColor="text1"/>
        </w:rPr>
        <w:t>ha</w:t>
      </w:r>
      <w:r w:rsidR="0079612D">
        <w:rPr>
          <w:rFonts w:cs="Arial"/>
          <w:color w:val="000000" w:themeColor="text1"/>
        </w:rPr>
        <w:t>d</w:t>
      </w:r>
      <w:r w:rsidR="0079612D" w:rsidRPr="0003652C">
        <w:rPr>
          <w:rFonts w:cs="Arial"/>
          <w:color w:val="000000" w:themeColor="text1"/>
        </w:rPr>
        <w:t xml:space="preserve"> </w:t>
      </w:r>
      <w:r w:rsidR="00BE2C10" w:rsidRPr="0003652C">
        <w:rPr>
          <w:rFonts w:cs="Arial"/>
          <w:color w:val="000000" w:themeColor="text1"/>
        </w:rPr>
        <w:t>designed</w:t>
      </w:r>
      <w:r w:rsidR="0079612D">
        <w:rPr>
          <w:rFonts w:cs="Arial"/>
          <w:color w:val="000000" w:themeColor="text1"/>
        </w:rPr>
        <w:t>,</w:t>
      </w:r>
      <w:r w:rsidR="00BE2C10" w:rsidRPr="0003652C">
        <w:rPr>
          <w:rFonts w:cs="Arial"/>
          <w:color w:val="000000" w:themeColor="text1"/>
        </w:rPr>
        <w:t xml:space="preserve"> then asked them to tell me what happened when they designed the</w:t>
      </w:r>
      <w:r w:rsidR="002A269E">
        <w:rPr>
          <w:rFonts w:cs="Arial"/>
          <w:color w:val="000000" w:themeColor="text1"/>
        </w:rPr>
        <w:t xml:space="preserve"> course</w:t>
      </w:r>
      <w:r w:rsidR="00BE2C10" w:rsidRPr="0003652C">
        <w:rPr>
          <w:rFonts w:cs="Arial"/>
          <w:color w:val="000000" w:themeColor="text1"/>
        </w:rPr>
        <w:t>. I then used prompts to enable them to reflect on their approach to design, why they designed it this way, whether they identif</w:t>
      </w:r>
      <w:r w:rsidR="00CC0FB9">
        <w:rPr>
          <w:rFonts w:cs="Arial"/>
          <w:color w:val="000000" w:themeColor="text1"/>
        </w:rPr>
        <w:t>ied</w:t>
      </w:r>
      <w:r w:rsidR="00BE2C10" w:rsidRPr="0003652C">
        <w:rPr>
          <w:rFonts w:cs="Arial"/>
          <w:color w:val="000000" w:themeColor="text1"/>
        </w:rPr>
        <w:t xml:space="preserve"> any influences that were apparent in that design, and where those influences are apparent in the design. Other prompts were used to </w:t>
      </w:r>
      <w:r w:rsidR="00CC0FB9">
        <w:rPr>
          <w:rFonts w:cs="Arial"/>
          <w:color w:val="000000" w:themeColor="text1"/>
        </w:rPr>
        <w:t>determine</w:t>
      </w:r>
      <w:r w:rsidR="00BE2C10" w:rsidRPr="0003652C">
        <w:rPr>
          <w:rFonts w:cs="Arial"/>
          <w:color w:val="000000" w:themeColor="text1"/>
        </w:rPr>
        <w:t xml:space="preserve"> </w:t>
      </w:r>
      <w:r w:rsidR="00CC0FB9">
        <w:rPr>
          <w:rFonts w:cs="Arial"/>
          <w:color w:val="000000" w:themeColor="text1"/>
        </w:rPr>
        <w:t>whether</w:t>
      </w:r>
      <w:r w:rsidR="00BE2C10" w:rsidRPr="0003652C">
        <w:rPr>
          <w:rFonts w:cs="Arial"/>
          <w:color w:val="000000" w:themeColor="text1"/>
        </w:rPr>
        <w:t xml:space="preserve"> the participant had been involved in course design before and how they might reflect on the</w:t>
      </w:r>
      <w:r w:rsidR="00CC0FB9">
        <w:rPr>
          <w:rFonts w:cs="Arial"/>
          <w:color w:val="000000" w:themeColor="text1"/>
        </w:rPr>
        <w:t>ir</w:t>
      </w:r>
      <w:r w:rsidR="00BE2C10" w:rsidRPr="0003652C">
        <w:rPr>
          <w:rFonts w:cs="Arial"/>
          <w:color w:val="000000" w:themeColor="text1"/>
        </w:rPr>
        <w:t xml:space="preserve"> different experiences. How the participants reflect</w:t>
      </w:r>
      <w:r w:rsidRPr="0003652C">
        <w:rPr>
          <w:rFonts w:cs="Arial"/>
          <w:color w:val="000000" w:themeColor="text1"/>
        </w:rPr>
        <w:t>ed</w:t>
      </w:r>
      <w:r w:rsidR="00BE2C10" w:rsidRPr="0003652C">
        <w:rPr>
          <w:rFonts w:cs="Arial"/>
          <w:color w:val="000000" w:themeColor="text1"/>
        </w:rPr>
        <w:t xml:space="preserve"> on their own professional identity or positioning in their institution (for example</w:t>
      </w:r>
      <w:r w:rsidR="0079612D">
        <w:rPr>
          <w:rFonts w:cs="Arial"/>
          <w:color w:val="000000" w:themeColor="text1"/>
        </w:rPr>
        <w:t>,</w:t>
      </w:r>
      <w:r w:rsidR="00BE2C10" w:rsidRPr="0003652C">
        <w:rPr>
          <w:rFonts w:cs="Arial"/>
          <w:color w:val="000000" w:themeColor="text1"/>
        </w:rPr>
        <w:t xml:space="preserve"> seniority, years of service, location in the </w:t>
      </w:r>
      <w:r w:rsidR="00E75CE9">
        <w:rPr>
          <w:rFonts w:cs="Arial"/>
          <w:color w:val="000000" w:themeColor="text1"/>
        </w:rPr>
        <w:t>l</w:t>
      </w:r>
      <w:r w:rsidR="00BE2C10" w:rsidRPr="0003652C">
        <w:rPr>
          <w:rFonts w:cs="Arial"/>
          <w:color w:val="000000" w:themeColor="text1"/>
        </w:rPr>
        <w:t xml:space="preserve">aw </w:t>
      </w:r>
      <w:r w:rsidR="00E75CE9">
        <w:rPr>
          <w:rFonts w:cs="Arial"/>
          <w:color w:val="000000" w:themeColor="text1"/>
        </w:rPr>
        <w:t>s</w:t>
      </w:r>
      <w:r w:rsidR="00BE2C10" w:rsidRPr="0003652C">
        <w:rPr>
          <w:rFonts w:cs="Arial"/>
          <w:color w:val="000000" w:themeColor="text1"/>
        </w:rPr>
        <w:t xml:space="preserve">chool as a teacher, researcher, or vocational ‘trainer’) was also a further prompt used. Many of the prompts were </w:t>
      </w:r>
      <w:r w:rsidR="00CC0FB9">
        <w:rPr>
          <w:rFonts w:cs="Arial"/>
          <w:color w:val="000000" w:themeColor="text1"/>
        </w:rPr>
        <w:t>unnecessary,</w:t>
      </w:r>
      <w:r w:rsidR="00BE2C10" w:rsidRPr="0003652C">
        <w:rPr>
          <w:rFonts w:cs="Arial"/>
          <w:color w:val="000000" w:themeColor="text1"/>
        </w:rPr>
        <w:t xml:space="preserve"> as the participants provided very rounded accounts of their experience without </w:t>
      </w:r>
      <w:r w:rsidR="00CC0FB9" w:rsidRPr="0003652C">
        <w:rPr>
          <w:rFonts w:cs="Arial"/>
          <w:color w:val="000000" w:themeColor="text1"/>
        </w:rPr>
        <w:t>the</w:t>
      </w:r>
      <w:r w:rsidR="00CC0FB9">
        <w:rPr>
          <w:rFonts w:cs="Arial"/>
          <w:color w:val="000000" w:themeColor="text1"/>
        </w:rPr>
        <w:t>m</w:t>
      </w:r>
      <w:r w:rsidR="00BE2C10" w:rsidRPr="0003652C">
        <w:rPr>
          <w:rFonts w:cs="Arial"/>
          <w:color w:val="000000" w:themeColor="text1"/>
        </w:rPr>
        <w:t xml:space="preserve">. </w:t>
      </w:r>
    </w:p>
    <w:p w14:paraId="4297632A" w14:textId="77777777" w:rsidR="00E50173" w:rsidRPr="0003652C" w:rsidRDefault="00E50173" w:rsidP="0003652C">
      <w:pPr>
        <w:spacing w:line="360" w:lineRule="auto"/>
        <w:jc w:val="both"/>
        <w:rPr>
          <w:rFonts w:cs="Arial"/>
          <w:color w:val="000000" w:themeColor="text1"/>
        </w:rPr>
      </w:pPr>
    </w:p>
    <w:p w14:paraId="166A62D6" w14:textId="465BCD5B" w:rsidR="00776946" w:rsidRPr="0005689B" w:rsidRDefault="006613BB" w:rsidP="0005689B">
      <w:pPr>
        <w:pStyle w:val="Heading2"/>
        <w:spacing w:before="100" w:after="100" w:afterAutospacing="1" w:line="360" w:lineRule="auto"/>
        <w:rPr>
          <w:rFonts w:ascii="Arial" w:hAnsi="Arial" w:cs="Arial"/>
        </w:rPr>
      </w:pPr>
      <w:bookmarkStart w:id="57" w:name="_Toc223348849"/>
      <w:r w:rsidRPr="0003652C">
        <w:rPr>
          <w:rFonts w:ascii="Arial" w:hAnsi="Arial" w:cs="Arial"/>
        </w:rPr>
        <w:lastRenderedPageBreak/>
        <w:t>Data analysis</w:t>
      </w:r>
      <w:bookmarkEnd w:id="57"/>
    </w:p>
    <w:p w14:paraId="75BEC3CB" w14:textId="5598F3EF" w:rsidR="00BE2C10" w:rsidRPr="0003652C" w:rsidRDefault="00BE2C10" w:rsidP="0003652C">
      <w:pPr>
        <w:spacing w:line="360" w:lineRule="auto"/>
        <w:jc w:val="both"/>
        <w:rPr>
          <w:rFonts w:cs="Arial"/>
          <w:color w:val="000000" w:themeColor="text1"/>
        </w:rPr>
      </w:pPr>
      <w:r w:rsidRPr="0003652C">
        <w:rPr>
          <w:rFonts w:cs="Arial"/>
          <w:color w:val="000000" w:themeColor="text1"/>
        </w:rPr>
        <w:t>My method of analysis involved an initial identification of the main themes and tentative conclusions, followed by a more in-depth refining and criti</w:t>
      </w:r>
      <w:r w:rsidR="00CC0FB9">
        <w:rPr>
          <w:rFonts w:cs="Arial"/>
          <w:color w:val="000000" w:themeColor="text1"/>
        </w:rPr>
        <w:t>que</w:t>
      </w:r>
      <w:r w:rsidRPr="0003652C">
        <w:rPr>
          <w:rFonts w:cs="Arial"/>
          <w:color w:val="000000" w:themeColor="text1"/>
        </w:rPr>
        <w:t xml:space="preserve"> of those themes, which took place in the process of recoding, writing and redrafting the analysis</w:t>
      </w:r>
      <w:r w:rsidR="00CC0FB9">
        <w:rPr>
          <w:rFonts w:cs="Arial"/>
          <w:color w:val="000000" w:themeColor="text1"/>
        </w:rPr>
        <w:t>,</w:t>
      </w:r>
      <w:r w:rsidR="00776946" w:rsidRPr="0003652C">
        <w:rPr>
          <w:rFonts w:cs="Arial"/>
          <w:color w:val="000000" w:themeColor="text1"/>
        </w:rPr>
        <w:t xml:space="preserve"> and so was a two-stage p</w:t>
      </w:r>
      <w:r w:rsidR="00CC0FB9">
        <w:rPr>
          <w:rFonts w:cs="Arial"/>
          <w:color w:val="000000" w:themeColor="text1"/>
        </w:rPr>
        <w:t>rocess</w:t>
      </w:r>
      <w:r w:rsidR="00776946" w:rsidRPr="0003652C">
        <w:rPr>
          <w:rFonts w:cs="Arial"/>
          <w:color w:val="000000" w:themeColor="text1"/>
        </w:rPr>
        <w:t xml:space="preserve"> (Daniel &amp; Harland, 2019)</w:t>
      </w:r>
      <w:r w:rsidRPr="0003652C">
        <w:rPr>
          <w:rFonts w:cs="Arial"/>
          <w:color w:val="000000" w:themeColor="text1"/>
        </w:rPr>
        <w:t xml:space="preserve">. </w:t>
      </w:r>
      <w:r w:rsidR="00776946" w:rsidRPr="0003652C">
        <w:rPr>
          <w:rFonts w:cs="Arial"/>
          <w:color w:val="000000" w:themeColor="text1"/>
        </w:rPr>
        <w:t xml:space="preserve">In this </w:t>
      </w:r>
      <w:r w:rsidR="00CC0FB9">
        <w:rPr>
          <w:rFonts w:cs="Arial"/>
          <w:color w:val="000000" w:themeColor="text1"/>
        </w:rPr>
        <w:t>way,</w:t>
      </w:r>
      <w:r w:rsidR="00776946" w:rsidRPr="0003652C">
        <w:rPr>
          <w:rFonts w:cs="Arial"/>
          <w:color w:val="000000" w:themeColor="text1"/>
        </w:rPr>
        <w:t xml:space="preserve"> the interrogation of the data </w:t>
      </w:r>
      <w:r w:rsidRPr="0003652C">
        <w:rPr>
          <w:rFonts w:cs="Arial"/>
          <w:color w:val="000000" w:themeColor="text1"/>
        </w:rPr>
        <w:t>identi</w:t>
      </w:r>
      <w:r w:rsidR="00776946" w:rsidRPr="0003652C">
        <w:rPr>
          <w:rFonts w:cs="Arial"/>
          <w:color w:val="000000" w:themeColor="text1"/>
        </w:rPr>
        <w:t>fied</w:t>
      </w:r>
      <w:r w:rsidRPr="0003652C">
        <w:rPr>
          <w:rFonts w:cs="Arial"/>
          <w:color w:val="000000" w:themeColor="text1"/>
        </w:rPr>
        <w:t xml:space="preserve"> the patterns and meanings </w:t>
      </w:r>
      <w:r w:rsidR="00776946" w:rsidRPr="0003652C">
        <w:rPr>
          <w:rFonts w:cs="Arial"/>
          <w:color w:val="000000" w:themeColor="text1"/>
        </w:rPr>
        <w:t xml:space="preserve">present </w:t>
      </w:r>
      <w:r w:rsidRPr="0003652C">
        <w:rPr>
          <w:rFonts w:cs="Arial"/>
          <w:color w:val="000000" w:themeColor="text1"/>
        </w:rPr>
        <w:t>(Patton, 2015).</w:t>
      </w:r>
    </w:p>
    <w:p w14:paraId="326A498C" w14:textId="2387ED2E" w:rsidR="00BE2C10" w:rsidRPr="0003652C" w:rsidRDefault="00776946" w:rsidP="0003652C">
      <w:pPr>
        <w:spacing w:line="360" w:lineRule="auto"/>
        <w:jc w:val="both"/>
        <w:rPr>
          <w:rFonts w:cs="Arial"/>
          <w:color w:val="000000" w:themeColor="text1"/>
        </w:rPr>
      </w:pPr>
      <w:r w:rsidRPr="0003652C">
        <w:rPr>
          <w:rFonts w:cs="Arial"/>
          <w:color w:val="000000" w:themeColor="text1"/>
        </w:rPr>
        <w:t>The online</w:t>
      </w:r>
      <w:r w:rsidR="00BE2C10" w:rsidRPr="0003652C">
        <w:rPr>
          <w:rFonts w:cs="Arial"/>
          <w:color w:val="000000" w:themeColor="text1"/>
        </w:rPr>
        <w:t xml:space="preserve"> software provided the interview </w:t>
      </w:r>
      <w:r w:rsidR="00F00429" w:rsidRPr="0003652C">
        <w:rPr>
          <w:rFonts w:cs="Arial"/>
          <w:color w:val="000000" w:themeColor="text1"/>
        </w:rPr>
        <w:t>transcripts,</w:t>
      </w:r>
      <w:r w:rsidR="00BE2C10" w:rsidRPr="0003652C">
        <w:rPr>
          <w:rFonts w:cs="Arial"/>
          <w:color w:val="000000" w:themeColor="text1"/>
        </w:rPr>
        <w:t xml:space="preserve"> </w:t>
      </w:r>
      <w:r w:rsidRPr="0003652C">
        <w:rPr>
          <w:rFonts w:cs="Arial"/>
          <w:color w:val="000000" w:themeColor="text1"/>
        </w:rPr>
        <w:t xml:space="preserve">and </w:t>
      </w:r>
      <w:r w:rsidR="00BE2C10" w:rsidRPr="0003652C">
        <w:rPr>
          <w:rFonts w:cs="Arial"/>
          <w:color w:val="000000" w:themeColor="text1"/>
        </w:rPr>
        <w:t xml:space="preserve">I </w:t>
      </w:r>
      <w:r w:rsidR="00CC0FB9">
        <w:rPr>
          <w:rFonts w:cs="Arial"/>
          <w:color w:val="000000" w:themeColor="text1"/>
        </w:rPr>
        <w:t>manually</w:t>
      </w:r>
      <w:r w:rsidR="00BE2C10" w:rsidRPr="0003652C">
        <w:rPr>
          <w:rFonts w:cs="Arial"/>
          <w:color w:val="000000" w:themeColor="text1"/>
        </w:rPr>
        <w:t xml:space="preserve"> transcribed the interviews. This transcription and further reading and rereading of the data set provided an initial perspective on the breadth and depth of the content (Buchanan et al, 2013).  </w:t>
      </w:r>
    </w:p>
    <w:p w14:paraId="4983F09F" w14:textId="7DB03196"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The semi-structured nature of the interviews allowed </w:t>
      </w:r>
      <w:r w:rsidR="00CC0FB9">
        <w:rPr>
          <w:rFonts w:cs="Arial"/>
          <w:color w:val="000000" w:themeColor="text1"/>
        </w:rPr>
        <w:t>participants to be fully reflexive and to develop their ideas, which in turn demanded an iterative,</w:t>
      </w:r>
      <w:r w:rsidRPr="0003652C">
        <w:rPr>
          <w:rFonts w:cs="Arial"/>
          <w:color w:val="000000" w:themeColor="text1"/>
        </w:rPr>
        <w:t xml:space="preserve"> cyclical process of analysis to capture the meaning. The coding drew upon data evident in words, sentences, and paragraphs as well as more holistically from the interview to identify different levels of meaning. The codes were then worked into themes. These themes then went through an iterative process and were modified as I worked through the transcripts (Miles et al, 2020). </w:t>
      </w:r>
    </w:p>
    <w:p w14:paraId="6AE2B5BC" w14:textId="09DD7479" w:rsidR="00BE2C10" w:rsidRPr="0003652C" w:rsidRDefault="00BE2C10" w:rsidP="0003652C">
      <w:pPr>
        <w:spacing w:line="360" w:lineRule="auto"/>
        <w:jc w:val="both"/>
        <w:rPr>
          <w:rFonts w:cs="Arial"/>
          <w:color w:val="000000" w:themeColor="text1"/>
        </w:rPr>
      </w:pPr>
      <w:r w:rsidRPr="0003652C">
        <w:rPr>
          <w:rFonts w:cs="Arial"/>
          <w:color w:val="000000" w:themeColor="text1"/>
        </w:rPr>
        <w:t>Annala’s conceptual framework  was helpful</w:t>
      </w:r>
      <w:r w:rsidR="00BF1D25">
        <w:rPr>
          <w:rFonts w:cs="Arial"/>
          <w:color w:val="000000" w:themeColor="text1"/>
        </w:rPr>
        <w:t>,</w:t>
      </w:r>
      <w:r w:rsidRPr="0003652C">
        <w:rPr>
          <w:rFonts w:cs="Arial"/>
          <w:color w:val="000000" w:themeColor="text1"/>
        </w:rPr>
        <w:t xml:space="preserve"> as my initial analysis </w:t>
      </w:r>
      <w:r w:rsidR="00202A85" w:rsidRPr="0003652C">
        <w:rPr>
          <w:rFonts w:cs="Arial"/>
          <w:color w:val="000000" w:themeColor="text1"/>
        </w:rPr>
        <w:t>suggested that</w:t>
      </w:r>
      <w:r w:rsidRPr="0003652C">
        <w:rPr>
          <w:rFonts w:cs="Arial"/>
          <w:color w:val="000000" w:themeColor="text1"/>
        </w:rPr>
        <w:t xml:space="preserve"> there is a layering of influences at play in the course design </w:t>
      </w:r>
      <w:r w:rsidR="00BF1D25">
        <w:rPr>
          <w:rFonts w:cs="Arial"/>
          <w:color w:val="000000" w:themeColor="text1"/>
        </w:rPr>
        <w:t>of</w:t>
      </w:r>
      <w:r w:rsidRPr="0003652C">
        <w:rPr>
          <w:rFonts w:cs="Arial"/>
          <w:color w:val="000000" w:themeColor="text1"/>
        </w:rPr>
        <w:t xml:space="preserve"> undergraduate law courses, including micro, meso</w:t>
      </w:r>
      <w:r w:rsidR="00BF1D25">
        <w:rPr>
          <w:rFonts w:cs="Arial"/>
          <w:color w:val="000000" w:themeColor="text1"/>
        </w:rPr>
        <w:t>,</w:t>
      </w:r>
      <w:r w:rsidRPr="0003652C">
        <w:rPr>
          <w:rFonts w:cs="Arial"/>
          <w:color w:val="000000" w:themeColor="text1"/>
        </w:rPr>
        <w:t xml:space="preserve"> and macro perspective</w:t>
      </w:r>
      <w:r w:rsidR="00BF1D25">
        <w:rPr>
          <w:rFonts w:cs="Arial"/>
          <w:color w:val="000000" w:themeColor="text1"/>
        </w:rPr>
        <w:t>s</w:t>
      </w:r>
      <w:r w:rsidR="00202A85" w:rsidRPr="0003652C">
        <w:rPr>
          <w:rFonts w:cs="Arial"/>
          <w:color w:val="000000" w:themeColor="text1"/>
        </w:rPr>
        <w:t xml:space="preserve"> (Annala</w:t>
      </w:r>
      <w:r w:rsidR="006146D0" w:rsidRPr="0003652C">
        <w:rPr>
          <w:rFonts w:cs="Arial"/>
          <w:color w:val="000000" w:themeColor="text1"/>
        </w:rPr>
        <w:t xml:space="preserve"> et al.</w:t>
      </w:r>
      <w:r w:rsidR="00202A85" w:rsidRPr="0003652C">
        <w:rPr>
          <w:rFonts w:cs="Arial"/>
          <w:color w:val="000000" w:themeColor="text1"/>
        </w:rPr>
        <w:t>, 2023).</w:t>
      </w:r>
      <w:r w:rsidRPr="0003652C">
        <w:rPr>
          <w:rFonts w:cs="Arial"/>
          <w:color w:val="000000" w:themeColor="text1"/>
        </w:rPr>
        <w:t xml:space="preserve"> Whilst I am not focusing on the agency of the participants, there are overlapping themes</w:t>
      </w:r>
      <w:r w:rsidR="00BF1D25">
        <w:rPr>
          <w:rFonts w:cs="Arial"/>
          <w:color w:val="000000" w:themeColor="text1"/>
        </w:rPr>
        <w:t>,</w:t>
      </w:r>
      <w:r w:rsidRPr="0003652C">
        <w:rPr>
          <w:rFonts w:cs="Arial"/>
          <w:color w:val="000000" w:themeColor="text1"/>
        </w:rPr>
        <w:t xml:space="preserve"> and so the initial categorisation and representation of these themes </w:t>
      </w:r>
      <w:r w:rsidR="00202A85" w:rsidRPr="0003652C">
        <w:rPr>
          <w:rFonts w:cs="Arial"/>
          <w:color w:val="000000" w:themeColor="text1"/>
        </w:rPr>
        <w:t>w</w:t>
      </w:r>
      <w:r w:rsidR="00BF1D25">
        <w:rPr>
          <w:rFonts w:cs="Arial"/>
          <w:color w:val="000000" w:themeColor="text1"/>
        </w:rPr>
        <w:t>ere</w:t>
      </w:r>
      <w:r w:rsidR="00202A85" w:rsidRPr="0003652C">
        <w:rPr>
          <w:rFonts w:cs="Arial"/>
          <w:color w:val="000000" w:themeColor="text1"/>
        </w:rPr>
        <w:t xml:space="preserve"> useful </w:t>
      </w:r>
      <w:r w:rsidR="00BF1D25">
        <w:rPr>
          <w:rFonts w:cs="Arial"/>
          <w:color w:val="000000" w:themeColor="text1"/>
        </w:rPr>
        <w:t>for</w:t>
      </w:r>
      <w:r w:rsidRPr="0003652C">
        <w:rPr>
          <w:rFonts w:cs="Arial"/>
          <w:color w:val="000000" w:themeColor="text1"/>
        </w:rPr>
        <w:t xml:space="preserve"> framing the analysis.  Annala’s investigation also draws upon Bernstein’s work, applying the pedagogic device (Bernstein, 2000). These categories of influence (as I used them) are taken from Annala’s work and include both intrinsic influences from within a law school or course team, such as those emanating from identity or cultures, and those that are extrinsic, such as institutional policy or design. </w:t>
      </w:r>
      <w:r w:rsidR="00202A85" w:rsidRPr="0003652C">
        <w:rPr>
          <w:rFonts w:cs="Arial"/>
          <w:color w:val="000000" w:themeColor="text1"/>
        </w:rPr>
        <w:t>Whilst not conclusive in my analysis</w:t>
      </w:r>
      <w:r w:rsidR="00BF1D25">
        <w:rPr>
          <w:rFonts w:cs="Arial"/>
          <w:color w:val="000000" w:themeColor="text1"/>
        </w:rPr>
        <w:t>,</w:t>
      </w:r>
      <w:r w:rsidR="00202A85" w:rsidRPr="0003652C">
        <w:rPr>
          <w:rFonts w:cs="Arial"/>
          <w:color w:val="000000" w:themeColor="text1"/>
        </w:rPr>
        <w:t xml:space="preserve">  categories</w:t>
      </w:r>
      <w:r w:rsidRPr="0003652C">
        <w:rPr>
          <w:rFonts w:cs="Arial"/>
          <w:color w:val="000000" w:themeColor="text1"/>
        </w:rPr>
        <w:t xml:space="preserve"> helped to group together some of the</w:t>
      </w:r>
      <w:r w:rsidR="00202A85" w:rsidRPr="0003652C">
        <w:rPr>
          <w:rFonts w:cs="Arial"/>
          <w:color w:val="000000" w:themeColor="text1"/>
        </w:rPr>
        <w:t xml:space="preserve"> initial</w:t>
      </w:r>
      <w:r w:rsidRPr="0003652C">
        <w:rPr>
          <w:rFonts w:cs="Arial"/>
          <w:color w:val="000000" w:themeColor="text1"/>
        </w:rPr>
        <w:t xml:space="preserve"> themes in the data, and to consider </w:t>
      </w:r>
      <w:r w:rsidRPr="0003652C">
        <w:rPr>
          <w:rFonts w:cs="Arial"/>
          <w:color w:val="000000" w:themeColor="text1"/>
        </w:rPr>
        <w:lastRenderedPageBreak/>
        <w:t xml:space="preserve">them within the context of Bernstein’s </w:t>
      </w:r>
      <w:r w:rsidR="0075156B" w:rsidRPr="0003652C">
        <w:rPr>
          <w:rFonts w:cs="Arial"/>
          <w:color w:val="000000" w:themeColor="text1"/>
        </w:rPr>
        <w:t>Official recontextualising field</w:t>
      </w:r>
      <w:r w:rsidRPr="0003652C">
        <w:rPr>
          <w:rFonts w:cs="Arial"/>
          <w:color w:val="000000" w:themeColor="text1"/>
        </w:rPr>
        <w:t xml:space="preserve"> and </w:t>
      </w:r>
      <w:r w:rsidR="0075156B" w:rsidRPr="0003652C">
        <w:rPr>
          <w:rFonts w:cs="Arial"/>
          <w:color w:val="000000" w:themeColor="text1"/>
        </w:rPr>
        <w:t>Pedagogic recontextualising field</w:t>
      </w:r>
      <w:r w:rsidRPr="0003652C">
        <w:rPr>
          <w:rFonts w:cs="Arial"/>
          <w:color w:val="000000" w:themeColor="text1"/>
        </w:rPr>
        <w:t xml:space="preserve">. </w:t>
      </w:r>
      <w:r w:rsidR="00202A85" w:rsidRPr="0003652C">
        <w:rPr>
          <w:rFonts w:cs="Arial"/>
          <w:color w:val="000000" w:themeColor="text1"/>
        </w:rPr>
        <w:t xml:space="preserve">Further analysis highlighted some differences as whilst </w:t>
      </w:r>
      <w:r w:rsidRPr="0003652C">
        <w:rPr>
          <w:rFonts w:cs="Arial"/>
          <w:color w:val="000000" w:themeColor="text1"/>
        </w:rPr>
        <w:t>Annala’s structure emerges from an analysis of agency and how those structures enabled or impeded agency</w:t>
      </w:r>
      <w:r w:rsidR="00202A85" w:rsidRPr="0003652C">
        <w:rPr>
          <w:rFonts w:cs="Arial"/>
          <w:color w:val="000000" w:themeColor="text1"/>
        </w:rPr>
        <w:t xml:space="preserve">, my </w:t>
      </w:r>
      <w:r w:rsidRPr="0003652C">
        <w:rPr>
          <w:rFonts w:cs="Arial"/>
          <w:color w:val="000000" w:themeColor="text1"/>
        </w:rPr>
        <w:t xml:space="preserve">investigation </w:t>
      </w:r>
      <w:r w:rsidR="00202A85" w:rsidRPr="0003652C">
        <w:rPr>
          <w:rFonts w:cs="Arial"/>
          <w:color w:val="000000" w:themeColor="text1"/>
        </w:rPr>
        <w:t>was</w:t>
      </w:r>
      <w:r w:rsidRPr="0003652C">
        <w:rPr>
          <w:rFonts w:cs="Arial"/>
          <w:color w:val="000000" w:themeColor="text1"/>
        </w:rPr>
        <w:t xml:space="preserve"> focused not only on the individual and their placement in the process, but on their perception of who sees what as being important in the design. </w:t>
      </w:r>
    </w:p>
    <w:p w14:paraId="68CE6E00" w14:textId="5EB4C7A7"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Whilst I chose a predetermined conceptual structure to </w:t>
      </w:r>
      <w:r w:rsidR="00202A85" w:rsidRPr="0003652C">
        <w:rPr>
          <w:rFonts w:cs="Arial"/>
          <w:color w:val="000000" w:themeColor="text1"/>
        </w:rPr>
        <w:t xml:space="preserve">initially </w:t>
      </w:r>
      <w:r w:rsidRPr="0003652C">
        <w:rPr>
          <w:rFonts w:cs="Arial"/>
          <w:color w:val="000000" w:themeColor="text1"/>
        </w:rPr>
        <w:t xml:space="preserve">guide the data analysis, I then proceeded to further recode the themes and categorise within that structure.  </w:t>
      </w:r>
      <w:r w:rsidR="00AF2A6B" w:rsidRPr="0003652C">
        <w:rPr>
          <w:rFonts w:cs="Arial"/>
          <w:color w:val="000000" w:themeColor="text1"/>
        </w:rPr>
        <w:t xml:space="preserve">Appendix three </w:t>
      </w:r>
      <w:r w:rsidR="00BF1D25">
        <w:rPr>
          <w:rFonts w:cs="Arial"/>
          <w:color w:val="000000" w:themeColor="text1"/>
        </w:rPr>
        <w:t>provides</w:t>
      </w:r>
      <w:r w:rsidR="00BF1D25" w:rsidRPr="0003652C">
        <w:rPr>
          <w:rFonts w:cs="Arial"/>
          <w:color w:val="000000" w:themeColor="text1"/>
        </w:rPr>
        <w:t xml:space="preserve"> </w:t>
      </w:r>
      <w:r w:rsidR="00AF2A6B" w:rsidRPr="0003652C">
        <w:rPr>
          <w:rFonts w:cs="Arial"/>
          <w:color w:val="000000" w:themeColor="text1"/>
        </w:rPr>
        <w:t xml:space="preserve">a representation of the code book created by the codes and </w:t>
      </w:r>
      <w:r w:rsidR="00833640" w:rsidRPr="0003652C">
        <w:rPr>
          <w:rFonts w:cs="Arial"/>
          <w:color w:val="000000" w:themeColor="text1"/>
        </w:rPr>
        <w:t>themes</w:t>
      </w:r>
      <w:r w:rsidR="005C1A7F" w:rsidRPr="0003652C">
        <w:rPr>
          <w:rFonts w:cs="Arial"/>
          <w:color w:val="000000" w:themeColor="text1"/>
        </w:rPr>
        <w:t xml:space="preserve">, </w:t>
      </w:r>
      <w:r w:rsidR="00AF2A6B" w:rsidRPr="0003652C">
        <w:rPr>
          <w:rFonts w:cs="Arial"/>
          <w:color w:val="000000" w:themeColor="text1"/>
        </w:rPr>
        <w:t xml:space="preserve">mapped against the findings sections. </w:t>
      </w:r>
      <w:r w:rsidR="00BB71CC" w:rsidRPr="0003652C">
        <w:rPr>
          <w:rFonts w:cs="Arial"/>
          <w:color w:val="000000" w:themeColor="text1"/>
        </w:rPr>
        <w:t xml:space="preserve"> </w:t>
      </w:r>
      <w:r w:rsidRPr="0003652C">
        <w:rPr>
          <w:rFonts w:cs="Arial"/>
          <w:color w:val="000000" w:themeColor="text1"/>
        </w:rPr>
        <w:t xml:space="preserve">The data created </w:t>
      </w:r>
      <w:r w:rsidR="00BB71CC" w:rsidRPr="0003652C">
        <w:rPr>
          <w:rFonts w:cs="Arial"/>
          <w:color w:val="000000" w:themeColor="text1"/>
        </w:rPr>
        <w:t>different</w:t>
      </w:r>
      <w:r w:rsidRPr="0003652C">
        <w:rPr>
          <w:rFonts w:cs="Arial"/>
          <w:color w:val="000000" w:themeColor="text1"/>
        </w:rPr>
        <w:t xml:space="preserve"> sub-categories</w:t>
      </w:r>
      <w:r w:rsidR="008A4F29">
        <w:rPr>
          <w:rFonts w:cs="Arial"/>
          <w:color w:val="000000" w:themeColor="text1"/>
        </w:rPr>
        <w:t>,</w:t>
      </w:r>
      <w:r w:rsidRPr="0003652C">
        <w:rPr>
          <w:rFonts w:cs="Arial"/>
          <w:color w:val="000000" w:themeColor="text1"/>
        </w:rPr>
        <w:t xml:space="preserve"> for example</w:t>
      </w:r>
      <w:r w:rsidR="00BF1D25">
        <w:rPr>
          <w:rFonts w:cs="Arial"/>
          <w:color w:val="000000" w:themeColor="text1"/>
        </w:rPr>
        <w:t>,</w:t>
      </w:r>
      <w:r w:rsidRPr="0003652C">
        <w:rPr>
          <w:rFonts w:cs="Arial"/>
          <w:color w:val="000000" w:themeColor="text1"/>
        </w:rPr>
        <w:t xml:space="preserve"> with respect to the profession. There were also variations that were local, national or global (Ashwin, 2009), intrinsic or extrinsic. </w:t>
      </w:r>
      <w:r w:rsidR="00202A85" w:rsidRPr="0003652C">
        <w:rPr>
          <w:rFonts w:cs="Arial"/>
          <w:color w:val="000000" w:themeColor="text1"/>
        </w:rPr>
        <w:t>The analysis was deductive</w:t>
      </w:r>
      <w:r w:rsidR="00BF1D25">
        <w:rPr>
          <w:rFonts w:cs="Arial"/>
          <w:color w:val="000000" w:themeColor="text1"/>
        </w:rPr>
        <w:t>,</w:t>
      </w:r>
      <w:r w:rsidR="00202A85" w:rsidRPr="0003652C">
        <w:rPr>
          <w:rFonts w:cs="Arial"/>
          <w:color w:val="000000" w:themeColor="text1"/>
        </w:rPr>
        <w:t xml:space="preserve"> and </w:t>
      </w:r>
      <w:r w:rsidR="00141828" w:rsidRPr="0003652C">
        <w:rPr>
          <w:rFonts w:cs="Arial"/>
          <w:color w:val="000000" w:themeColor="text1"/>
        </w:rPr>
        <w:t>so rather</w:t>
      </w:r>
      <w:r w:rsidR="00202A85" w:rsidRPr="0003652C">
        <w:rPr>
          <w:rFonts w:cs="Arial"/>
          <w:color w:val="000000" w:themeColor="text1"/>
        </w:rPr>
        <w:t xml:space="preserve"> </w:t>
      </w:r>
      <w:r w:rsidRPr="0003652C">
        <w:rPr>
          <w:rFonts w:cs="Arial"/>
          <w:color w:val="000000" w:themeColor="text1"/>
        </w:rPr>
        <w:t xml:space="preserve">than imposing a theoretical structure on the data, </w:t>
      </w:r>
      <w:r w:rsidR="00202A85" w:rsidRPr="0003652C">
        <w:rPr>
          <w:rFonts w:cs="Arial"/>
          <w:color w:val="000000" w:themeColor="text1"/>
        </w:rPr>
        <w:t xml:space="preserve">Annala’s structure was used to guide the </w:t>
      </w:r>
      <w:r w:rsidR="00141828" w:rsidRPr="0003652C">
        <w:rPr>
          <w:rFonts w:cs="Arial"/>
          <w:color w:val="000000" w:themeColor="text1"/>
        </w:rPr>
        <w:t xml:space="preserve">initial </w:t>
      </w:r>
      <w:r w:rsidR="00202A85" w:rsidRPr="0003652C">
        <w:rPr>
          <w:rFonts w:cs="Arial"/>
          <w:color w:val="000000" w:themeColor="text1"/>
        </w:rPr>
        <w:t xml:space="preserve">analysis. </w:t>
      </w:r>
    </w:p>
    <w:p w14:paraId="5BA08B60" w14:textId="4BB30728" w:rsidR="00141828" w:rsidRPr="0003652C" w:rsidRDefault="00BE2C10" w:rsidP="0003652C">
      <w:pPr>
        <w:spacing w:line="360" w:lineRule="auto"/>
        <w:jc w:val="both"/>
        <w:rPr>
          <w:rFonts w:cs="Arial"/>
          <w:color w:val="000000" w:themeColor="text1"/>
        </w:rPr>
      </w:pPr>
      <w:r w:rsidRPr="0003652C">
        <w:rPr>
          <w:rFonts w:cs="Arial"/>
          <w:color w:val="000000" w:themeColor="text1"/>
        </w:rPr>
        <w:t>Once the deductive process had tested the relevance of the framework, inductive analysis established more codes and themes specific to law course design. This mixture of deductive and inductive analysis is not unusual (Daniel &amp; Harland, 2019). The inductive analysis looked at each interview, using the methodology of reflexive thematic analysis and Braun and Clarke</w:t>
      </w:r>
      <w:r w:rsidR="00BF1D25">
        <w:rPr>
          <w:rFonts w:cs="Arial"/>
          <w:color w:val="000000" w:themeColor="text1"/>
        </w:rPr>
        <w:t>’</w:t>
      </w:r>
      <w:r w:rsidRPr="0003652C">
        <w:rPr>
          <w:rFonts w:cs="Arial"/>
          <w:color w:val="000000" w:themeColor="text1"/>
        </w:rPr>
        <w:t xml:space="preserve">s six themes (Braun &amp; Clarke, 2021). The coding was reviewed and reworked (Saldana, 2021) to identify how the course designers see these wider categorisations as working in each course.  </w:t>
      </w:r>
      <w:r w:rsidR="00BB71CC" w:rsidRPr="0003652C">
        <w:rPr>
          <w:rFonts w:cs="Arial"/>
          <w:color w:val="000000" w:themeColor="text1"/>
        </w:rPr>
        <w:t>The analysis placed these themes within Bernstein’s recontextualising fields, considering the themes that represented influences</w:t>
      </w:r>
      <w:r w:rsidR="00544A29" w:rsidRPr="0003652C">
        <w:rPr>
          <w:rFonts w:cs="Arial"/>
          <w:color w:val="000000" w:themeColor="text1"/>
        </w:rPr>
        <w:t xml:space="preserve">, from the official recontextualising field in the form of the regulatory bodies and the state, and the impact in the pedagogic recontextualising field of the university and the academic community. These themes were then aligned with the impact on the design. </w:t>
      </w:r>
      <w:r w:rsidR="00BB71CC" w:rsidRPr="0003652C">
        <w:rPr>
          <w:rFonts w:cs="Arial"/>
          <w:color w:val="000000" w:themeColor="text1"/>
        </w:rPr>
        <w:t xml:space="preserve">At a later stage the </w:t>
      </w:r>
      <w:r w:rsidR="00544A29" w:rsidRPr="0003652C">
        <w:rPr>
          <w:rFonts w:cs="Arial"/>
          <w:color w:val="000000" w:themeColor="text1"/>
        </w:rPr>
        <w:t>impact was further separated into disciplinary impact and non-disciplinary impact as the analysis highlighted that there were perceived to be different implications between these</w:t>
      </w:r>
      <w:r w:rsidR="005C1A7F" w:rsidRPr="0003652C">
        <w:rPr>
          <w:rFonts w:cs="Arial"/>
          <w:color w:val="000000" w:themeColor="text1"/>
        </w:rPr>
        <w:t>. As above</w:t>
      </w:r>
      <w:r w:rsidR="00BF1D25">
        <w:rPr>
          <w:rFonts w:cs="Arial"/>
          <w:color w:val="000000" w:themeColor="text1"/>
        </w:rPr>
        <w:t>,</w:t>
      </w:r>
      <w:r w:rsidR="005C1A7F" w:rsidRPr="0003652C">
        <w:rPr>
          <w:rFonts w:cs="Arial"/>
          <w:color w:val="000000" w:themeColor="text1"/>
        </w:rPr>
        <w:t xml:space="preserve"> an indication of the different responses that were analysed from different categories of </w:t>
      </w:r>
      <w:r w:rsidR="00E75CE9">
        <w:rPr>
          <w:rFonts w:cs="Arial"/>
          <w:color w:val="000000" w:themeColor="text1"/>
        </w:rPr>
        <w:t>university</w:t>
      </w:r>
      <w:r w:rsidR="005C1A7F" w:rsidRPr="0003652C">
        <w:rPr>
          <w:rFonts w:cs="Arial"/>
          <w:color w:val="000000" w:themeColor="text1"/>
        </w:rPr>
        <w:t xml:space="preserve"> is in Appendix </w:t>
      </w:r>
      <w:r w:rsidR="00BF1D25">
        <w:rPr>
          <w:rFonts w:cs="Arial"/>
          <w:color w:val="000000" w:themeColor="text1"/>
        </w:rPr>
        <w:t>F</w:t>
      </w:r>
      <w:r w:rsidR="00BF1D25" w:rsidRPr="0003652C">
        <w:rPr>
          <w:rFonts w:cs="Arial"/>
          <w:color w:val="000000" w:themeColor="text1"/>
        </w:rPr>
        <w:t>ive</w:t>
      </w:r>
      <w:r w:rsidR="005C1A7F" w:rsidRPr="0003652C">
        <w:rPr>
          <w:rFonts w:cs="Arial"/>
          <w:color w:val="000000" w:themeColor="text1"/>
        </w:rPr>
        <w:t>.</w:t>
      </w:r>
      <w:r w:rsidR="00544A29" w:rsidRPr="0003652C">
        <w:rPr>
          <w:rFonts w:cs="Arial"/>
          <w:color w:val="000000" w:themeColor="text1"/>
        </w:rPr>
        <w:t xml:space="preserve"> </w:t>
      </w:r>
      <w:r w:rsidRPr="0003652C">
        <w:rPr>
          <w:rFonts w:cs="Arial"/>
          <w:color w:val="000000" w:themeColor="text1"/>
        </w:rPr>
        <w:t>Th</w:t>
      </w:r>
      <w:r w:rsidR="00544A29" w:rsidRPr="0003652C">
        <w:rPr>
          <w:rFonts w:cs="Arial"/>
          <w:color w:val="000000" w:themeColor="text1"/>
        </w:rPr>
        <w:t>e overall</w:t>
      </w:r>
      <w:r w:rsidRPr="0003652C">
        <w:rPr>
          <w:rFonts w:cs="Arial"/>
          <w:color w:val="000000" w:themeColor="text1"/>
        </w:rPr>
        <w:t xml:space="preserve"> approach highlighted the difference and variation, as </w:t>
      </w:r>
      <w:r w:rsidRPr="0003652C">
        <w:rPr>
          <w:rFonts w:cs="Arial"/>
          <w:color w:val="000000" w:themeColor="text1"/>
        </w:rPr>
        <w:lastRenderedPageBreak/>
        <w:t xml:space="preserve">opposed to providing generalisations, with my research design supporting the approach I am taking in investigating my research questions. </w:t>
      </w:r>
    </w:p>
    <w:p w14:paraId="59FAA4AB" w14:textId="221EB76D" w:rsidR="006613BB" w:rsidRPr="0003652C" w:rsidRDefault="006613BB" w:rsidP="0003652C">
      <w:pPr>
        <w:pStyle w:val="Heading2"/>
        <w:spacing w:before="100" w:after="100" w:afterAutospacing="1" w:line="360" w:lineRule="auto"/>
        <w:rPr>
          <w:rFonts w:ascii="Arial" w:hAnsi="Arial" w:cs="Arial"/>
        </w:rPr>
      </w:pPr>
      <w:bookmarkStart w:id="58" w:name="_Toc223348850"/>
      <w:r w:rsidRPr="0003652C">
        <w:rPr>
          <w:rFonts w:ascii="Arial" w:hAnsi="Arial" w:cs="Arial"/>
        </w:rPr>
        <w:t>Ethical considerations and protections</w:t>
      </w:r>
      <w:bookmarkEnd w:id="58"/>
    </w:p>
    <w:p w14:paraId="220C33E1" w14:textId="2D92CDC9" w:rsidR="00BE2C10" w:rsidRPr="0003652C" w:rsidRDefault="00BE2C10" w:rsidP="0003652C">
      <w:pPr>
        <w:spacing w:line="360" w:lineRule="auto"/>
        <w:jc w:val="both"/>
        <w:rPr>
          <w:rFonts w:cs="Arial"/>
        </w:rPr>
      </w:pPr>
      <w:r w:rsidRPr="0003652C">
        <w:rPr>
          <w:rFonts w:cs="Arial"/>
        </w:rPr>
        <w:t>I am an academic who oversees course design in law at all levels and has had some involvement in supporting and approving course design across other disciplines, both within a</w:t>
      </w:r>
      <w:r w:rsidR="00E75CE9">
        <w:rPr>
          <w:rFonts w:cs="Arial"/>
        </w:rPr>
        <w:t xml:space="preserve"> university</w:t>
      </w:r>
      <w:r w:rsidRPr="0003652C">
        <w:rPr>
          <w:rFonts w:cs="Arial"/>
        </w:rPr>
        <w:t xml:space="preserve"> and as an external advisor. The domain of legal education is also small</w:t>
      </w:r>
      <w:r w:rsidR="00BF1D25">
        <w:rPr>
          <w:rFonts w:cs="Arial"/>
        </w:rPr>
        <w:t>,</w:t>
      </w:r>
      <w:r w:rsidRPr="0003652C">
        <w:rPr>
          <w:rFonts w:cs="Arial"/>
        </w:rPr>
        <w:t xml:space="preserve"> and over my fairly long career</w:t>
      </w:r>
      <w:r w:rsidR="00BF1D25">
        <w:rPr>
          <w:rFonts w:cs="Arial"/>
        </w:rPr>
        <w:t>,</w:t>
      </w:r>
      <w:r w:rsidRPr="0003652C">
        <w:rPr>
          <w:rFonts w:cs="Arial"/>
        </w:rPr>
        <w:t xml:space="preserve"> I have built up relationships across some </w:t>
      </w:r>
      <w:r w:rsidR="008A4F29">
        <w:rPr>
          <w:rFonts w:cs="Arial"/>
        </w:rPr>
        <w:t>l</w:t>
      </w:r>
      <w:r w:rsidRPr="0003652C">
        <w:rPr>
          <w:rFonts w:cs="Arial"/>
        </w:rPr>
        <w:t xml:space="preserve">aw </w:t>
      </w:r>
      <w:r w:rsidR="008A4F29">
        <w:rPr>
          <w:rFonts w:cs="Arial"/>
        </w:rPr>
        <w:t>s</w:t>
      </w:r>
      <w:r w:rsidRPr="0003652C">
        <w:rPr>
          <w:rFonts w:cs="Arial"/>
        </w:rPr>
        <w:t xml:space="preserve">chools in the UK. </w:t>
      </w:r>
      <w:r w:rsidR="00141828" w:rsidRPr="0003652C">
        <w:rPr>
          <w:rFonts w:cs="Arial"/>
        </w:rPr>
        <w:t>I am therefore</w:t>
      </w:r>
      <w:r w:rsidRPr="0003652C">
        <w:rPr>
          <w:rFonts w:cs="Arial"/>
        </w:rPr>
        <w:t xml:space="preserve"> an insider researcher in this context</w:t>
      </w:r>
      <w:r w:rsidR="00141828" w:rsidRPr="0003652C">
        <w:rPr>
          <w:rFonts w:cs="Arial"/>
        </w:rPr>
        <w:t>, and</w:t>
      </w:r>
      <w:r w:rsidRPr="0003652C">
        <w:rPr>
          <w:rFonts w:cs="Arial"/>
        </w:rPr>
        <w:t xml:space="preserve"> I </w:t>
      </w:r>
      <w:r w:rsidR="008A4F29">
        <w:rPr>
          <w:rFonts w:cs="Arial"/>
        </w:rPr>
        <w:t>am</w:t>
      </w:r>
      <w:r w:rsidRPr="0003652C">
        <w:rPr>
          <w:rFonts w:cs="Arial"/>
        </w:rPr>
        <w:t xml:space="preserve"> aware of the implications of my role and acknowledge the assumptions I may bring to the investigation and the potential impact of these on this research (Ols</w:t>
      </w:r>
      <w:r w:rsidR="00804B61" w:rsidRPr="0003652C">
        <w:rPr>
          <w:rFonts w:cs="Arial"/>
        </w:rPr>
        <w:t>o</w:t>
      </w:r>
      <w:r w:rsidRPr="0003652C">
        <w:rPr>
          <w:rFonts w:cs="Arial"/>
        </w:rPr>
        <w:t>n, 2016).</w:t>
      </w:r>
      <w:r w:rsidR="00141828" w:rsidRPr="0003652C">
        <w:rPr>
          <w:rFonts w:cs="Arial"/>
        </w:rPr>
        <w:t xml:space="preserve"> </w:t>
      </w:r>
      <w:r w:rsidRPr="0003652C">
        <w:rPr>
          <w:rFonts w:cs="Arial"/>
        </w:rPr>
        <w:t xml:space="preserve">Using a wider selection of </w:t>
      </w:r>
      <w:r w:rsidR="00E75CE9">
        <w:rPr>
          <w:rFonts w:cs="Arial"/>
        </w:rPr>
        <w:t>universitie</w:t>
      </w:r>
      <w:r w:rsidRPr="0003652C">
        <w:rPr>
          <w:rFonts w:cs="Arial"/>
        </w:rPr>
        <w:t xml:space="preserve">s, beyond those that are closer to my previous experience, and extending the sample in this way, assisted in minimising some of the impact of these assumptions.  </w:t>
      </w:r>
    </w:p>
    <w:p w14:paraId="7EDD1330" w14:textId="5F11B7BC" w:rsidR="00BE2C10" w:rsidRPr="0003652C" w:rsidRDefault="00BE2C10" w:rsidP="0003652C">
      <w:pPr>
        <w:spacing w:line="360" w:lineRule="auto"/>
        <w:jc w:val="both"/>
        <w:rPr>
          <w:rFonts w:cs="Arial"/>
        </w:rPr>
      </w:pPr>
      <w:r w:rsidRPr="0003652C">
        <w:rPr>
          <w:rFonts w:cs="Arial"/>
        </w:rPr>
        <w:t>I also acknowledge that in requiring participant reflexivity</w:t>
      </w:r>
      <w:r w:rsidR="00BF1D25">
        <w:rPr>
          <w:rFonts w:cs="Arial"/>
        </w:rPr>
        <w:t>,</w:t>
      </w:r>
      <w:r w:rsidRPr="0003652C">
        <w:rPr>
          <w:rFonts w:cs="Arial"/>
        </w:rPr>
        <w:t xml:space="preserve"> my identity is important, and I therefore </w:t>
      </w:r>
      <w:r w:rsidR="00141828" w:rsidRPr="0003652C">
        <w:rPr>
          <w:rFonts w:cs="Arial"/>
        </w:rPr>
        <w:t xml:space="preserve">needed to maintain </w:t>
      </w:r>
      <w:r w:rsidRPr="0003652C">
        <w:rPr>
          <w:rFonts w:cs="Arial"/>
        </w:rPr>
        <w:t>a distance to ensure objectivity, whilst also building trust between myself and the participant (</w:t>
      </w:r>
      <w:r w:rsidRPr="0003652C">
        <w:rPr>
          <w:rFonts w:cs="Arial"/>
          <w:color w:val="000000" w:themeColor="text1"/>
        </w:rPr>
        <w:t xml:space="preserve">Buchanan et al, 2013). </w:t>
      </w:r>
      <w:r w:rsidRPr="0003652C">
        <w:rPr>
          <w:rFonts w:cs="Arial"/>
        </w:rPr>
        <w:t xml:space="preserve"> This in turn has required some reflexivity in my approach as I may have been seen as an insider, as a fellow designer of law degrees, but also with the dual role of an outsider as someone from ‘outside’, and even from a potentially competing institution (Buys et al</w:t>
      </w:r>
      <w:r w:rsidR="00DE69AA" w:rsidRPr="0003652C">
        <w:rPr>
          <w:rFonts w:cs="Arial"/>
        </w:rPr>
        <w:t>.</w:t>
      </w:r>
      <w:r w:rsidRPr="0003652C">
        <w:rPr>
          <w:rFonts w:cs="Arial"/>
        </w:rPr>
        <w:t xml:space="preserve">, 2022). </w:t>
      </w:r>
      <w:r w:rsidRPr="0003652C">
        <w:rPr>
          <w:rFonts w:cs="Arial"/>
          <w:color w:val="000000" w:themeColor="text1"/>
        </w:rPr>
        <w:t>Some participants working in contexts like my own might also have felt reticent in sharing information that might be viewed as competitively valuable insider research (Buchanan et al, 2013).  The balance here was key to minimise the impact my positionality may have on the findings of the research (Flick, 2022</w:t>
      </w:r>
      <w:r w:rsidR="002E3EB5" w:rsidRPr="0003652C">
        <w:rPr>
          <w:rFonts w:cs="Arial"/>
          <w:color w:val="000000" w:themeColor="text1"/>
        </w:rPr>
        <w:t xml:space="preserve">, </w:t>
      </w:r>
      <w:r w:rsidR="00E50173">
        <w:rPr>
          <w:rFonts w:cs="Arial"/>
          <w:color w:val="000000" w:themeColor="text1"/>
        </w:rPr>
        <w:t>p.</w:t>
      </w:r>
      <w:r w:rsidRPr="0003652C">
        <w:rPr>
          <w:rFonts w:cs="Arial"/>
          <w:color w:val="000000" w:themeColor="text1"/>
        </w:rPr>
        <w:t>213).</w:t>
      </w:r>
    </w:p>
    <w:p w14:paraId="6F8A46D7" w14:textId="26376F4A" w:rsidR="00BE2C10" w:rsidRPr="0005689B" w:rsidRDefault="00BE2C10" w:rsidP="0003652C">
      <w:pPr>
        <w:spacing w:line="360" w:lineRule="auto"/>
        <w:jc w:val="both"/>
        <w:rPr>
          <w:rFonts w:cs="Arial"/>
        </w:rPr>
      </w:pPr>
      <w:r w:rsidRPr="0003652C">
        <w:rPr>
          <w:rFonts w:cs="Arial"/>
        </w:rPr>
        <w:t>Despite all the above</w:t>
      </w:r>
      <w:r w:rsidR="00BF1D25">
        <w:rPr>
          <w:rFonts w:cs="Arial"/>
        </w:rPr>
        <w:t>,</w:t>
      </w:r>
      <w:r w:rsidRPr="0003652C">
        <w:rPr>
          <w:rFonts w:cs="Arial"/>
        </w:rPr>
        <w:t xml:space="preserve"> there are advantages to my position and resultant familiarity with the subject under investigation. I was aware of much of the disciplinary language used by participants and the contextual discussion around legal education</w:t>
      </w:r>
      <w:r w:rsidR="00BF1D25">
        <w:rPr>
          <w:rFonts w:cs="Arial"/>
        </w:rPr>
        <w:t>,</w:t>
      </w:r>
      <w:r w:rsidRPr="0003652C">
        <w:rPr>
          <w:rFonts w:cs="Arial"/>
        </w:rPr>
        <w:t xml:space="preserve"> and so was able to ‘facilitate the flow of conversation’ (</w:t>
      </w:r>
      <w:r w:rsidR="009065AC" w:rsidRPr="0003652C">
        <w:rPr>
          <w:rFonts w:cs="Arial"/>
        </w:rPr>
        <w:t>Buys</w:t>
      </w:r>
      <w:r w:rsidRPr="0003652C">
        <w:rPr>
          <w:rFonts w:cs="Arial"/>
        </w:rPr>
        <w:t xml:space="preserve"> et </w:t>
      </w:r>
      <w:r w:rsidRPr="0003652C">
        <w:rPr>
          <w:rFonts w:cs="Arial"/>
        </w:rPr>
        <w:lastRenderedPageBreak/>
        <w:t>al</w:t>
      </w:r>
      <w:r w:rsidR="009065AC" w:rsidRPr="0003652C">
        <w:rPr>
          <w:rFonts w:cs="Arial"/>
        </w:rPr>
        <w:t>.</w:t>
      </w:r>
      <w:r w:rsidRPr="0003652C">
        <w:rPr>
          <w:rFonts w:cs="Arial"/>
        </w:rPr>
        <w:t xml:space="preserve">, 2022). I was therefore able to capitalise on this more effectively than an outsider. </w:t>
      </w:r>
    </w:p>
    <w:p w14:paraId="0F71E2DD" w14:textId="5EEAAAD3" w:rsidR="00BE2C10" w:rsidRPr="0005689B" w:rsidRDefault="00BE2C10" w:rsidP="0005689B">
      <w:pPr>
        <w:pStyle w:val="Heading3"/>
        <w:spacing w:line="360" w:lineRule="auto"/>
        <w:rPr>
          <w:rFonts w:ascii="Arial" w:hAnsi="Arial" w:cs="Arial"/>
        </w:rPr>
      </w:pPr>
      <w:bookmarkStart w:id="59" w:name="_Toc223348851"/>
      <w:r w:rsidRPr="0003652C">
        <w:rPr>
          <w:rFonts w:ascii="Arial" w:hAnsi="Arial" w:cs="Arial"/>
        </w:rPr>
        <w:t>Ethical protections</w:t>
      </w:r>
      <w:bookmarkEnd w:id="59"/>
    </w:p>
    <w:p w14:paraId="1BD135BA" w14:textId="32A3884A" w:rsidR="00BE2C10" w:rsidRPr="0003652C" w:rsidRDefault="00BE2C10" w:rsidP="0003652C">
      <w:pPr>
        <w:spacing w:line="360" w:lineRule="auto"/>
        <w:jc w:val="both"/>
        <w:rPr>
          <w:rFonts w:cs="Arial"/>
          <w:color w:val="000000" w:themeColor="text1"/>
        </w:rPr>
      </w:pPr>
      <w:r w:rsidRPr="0003652C">
        <w:rPr>
          <w:rFonts w:cs="Arial"/>
        </w:rPr>
        <w:t xml:space="preserve">Ethical protections were put in place, predominantly the anonymisation of the data. This minimised some of the impact I had on the </w:t>
      </w:r>
      <w:r w:rsidR="00BF1D25">
        <w:rPr>
          <w:rFonts w:cs="Arial"/>
        </w:rPr>
        <w:t>research's</w:t>
      </w:r>
      <w:r w:rsidRPr="0003652C">
        <w:rPr>
          <w:rFonts w:cs="Arial"/>
        </w:rPr>
        <w:t xml:space="preserve"> </w:t>
      </w:r>
      <w:r w:rsidR="00BF1D25">
        <w:rPr>
          <w:rFonts w:cs="Arial"/>
        </w:rPr>
        <w:t>findings</w:t>
      </w:r>
      <w:r w:rsidRPr="0003652C">
        <w:rPr>
          <w:rFonts w:cs="Arial"/>
        </w:rPr>
        <w:t xml:space="preserve">. </w:t>
      </w:r>
      <w:r w:rsidRPr="0003652C">
        <w:rPr>
          <w:rFonts w:cs="Arial"/>
          <w:color w:val="000000" w:themeColor="text1"/>
        </w:rPr>
        <w:t xml:space="preserve">(Flick, 2022). However, it was necessary to maintain the distinction between the data from different </w:t>
      </w:r>
      <w:r w:rsidR="00E75CE9">
        <w:rPr>
          <w:rFonts w:cs="Arial"/>
          <w:color w:val="000000" w:themeColor="text1"/>
        </w:rPr>
        <w:t>universitie</w:t>
      </w:r>
      <w:r w:rsidRPr="0003652C">
        <w:rPr>
          <w:rFonts w:cs="Arial"/>
          <w:color w:val="000000" w:themeColor="text1"/>
        </w:rPr>
        <w:t xml:space="preserve">s as it is this diversity that was being investigated.  Participants were told that the interview data would be categorised according to an anonymised institution, and that whilst the data may identify specifics about a course which might be recognisable, individuals and institutions would not be named, and any analysis would not be explicit about these. </w:t>
      </w:r>
    </w:p>
    <w:p w14:paraId="0D7AB2E0" w14:textId="37377F37" w:rsidR="00BB71CC" w:rsidRPr="0003652C" w:rsidRDefault="00BE2C10" w:rsidP="0003652C">
      <w:pPr>
        <w:spacing w:line="360" w:lineRule="auto"/>
        <w:jc w:val="both"/>
        <w:rPr>
          <w:rFonts w:cs="Arial"/>
          <w:color w:val="00B050"/>
        </w:rPr>
      </w:pPr>
      <w:r w:rsidRPr="0003652C">
        <w:rPr>
          <w:rFonts w:cs="Arial"/>
          <w:color w:val="000000" w:themeColor="text1"/>
        </w:rPr>
        <w:t xml:space="preserve">Ethics approval has been granted </w:t>
      </w:r>
      <w:r w:rsidR="00BF1D25">
        <w:rPr>
          <w:rFonts w:cs="Arial"/>
          <w:color w:val="000000" w:themeColor="text1"/>
        </w:rPr>
        <w:t>by</w:t>
      </w:r>
      <w:r w:rsidRPr="0003652C">
        <w:rPr>
          <w:rFonts w:cs="Arial"/>
          <w:color w:val="000000" w:themeColor="text1"/>
        </w:rPr>
        <w:t xml:space="preserve"> Lancaster University, and participants provided written consent </w:t>
      </w:r>
      <w:r w:rsidR="00BF1D25">
        <w:rPr>
          <w:rFonts w:cs="Arial"/>
          <w:color w:val="000000" w:themeColor="text1"/>
        </w:rPr>
        <w:t>after</w:t>
      </w:r>
      <w:r w:rsidRPr="0003652C">
        <w:rPr>
          <w:rFonts w:cs="Arial"/>
          <w:color w:val="000000" w:themeColor="text1"/>
        </w:rPr>
        <w:t xml:space="preserve"> be</w:t>
      </w:r>
      <w:r w:rsidR="00BF1D25">
        <w:rPr>
          <w:rFonts w:cs="Arial"/>
          <w:color w:val="000000" w:themeColor="text1"/>
        </w:rPr>
        <w:t>ing</w:t>
      </w:r>
      <w:r w:rsidRPr="0003652C">
        <w:rPr>
          <w:rFonts w:cs="Arial"/>
          <w:color w:val="000000" w:themeColor="text1"/>
        </w:rPr>
        <w:t xml:space="preserve"> provided with the participant information</w:t>
      </w:r>
      <w:r w:rsidR="00BB71CC" w:rsidRPr="0003652C">
        <w:rPr>
          <w:rFonts w:cs="Arial"/>
          <w:color w:val="00B050"/>
        </w:rPr>
        <w:t xml:space="preserve">. </w:t>
      </w:r>
    </w:p>
    <w:p w14:paraId="4CF0F9E6" w14:textId="1A5822D6" w:rsidR="006613BB" w:rsidRPr="0003652C" w:rsidRDefault="006613BB" w:rsidP="0003652C">
      <w:pPr>
        <w:pStyle w:val="Heading2"/>
        <w:spacing w:before="100" w:after="100" w:afterAutospacing="1" w:line="360" w:lineRule="auto"/>
        <w:rPr>
          <w:rFonts w:ascii="Arial" w:hAnsi="Arial" w:cs="Arial"/>
        </w:rPr>
      </w:pPr>
      <w:bookmarkStart w:id="60" w:name="_Toc223348852"/>
      <w:r w:rsidRPr="0003652C">
        <w:rPr>
          <w:rFonts w:ascii="Arial" w:hAnsi="Arial" w:cs="Arial"/>
        </w:rPr>
        <w:t>Concluding comments</w:t>
      </w:r>
      <w:bookmarkEnd w:id="60"/>
    </w:p>
    <w:p w14:paraId="0FA81AD0" w14:textId="74EE21B4" w:rsidR="0005689B" w:rsidRDefault="004D4CA7" w:rsidP="008A4F29">
      <w:pPr>
        <w:spacing w:line="360" w:lineRule="auto"/>
        <w:jc w:val="both"/>
        <w:rPr>
          <w:rFonts w:cs="Arial"/>
          <w:color w:val="000000" w:themeColor="text1"/>
        </w:rPr>
      </w:pPr>
      <w:r w:rsidRPr="0003652C">
        <w:rPr>
          <w:rFonts w:cs="Arial"/>
          <w:color w:val="000000" w:themeColor="text1"/>
        </w:rPr>
        <w:t xml:space="preserve">The aims of this research, and the research questions were the drivers in the design of the methodology presented here. The design allowed me to collect a diverse range of data, which in turn supported the </w:t>
      </w:r>
      <w:r w:rsidR="0014492D">
        <w:rPr>
          <w:rFonts w:cs="Arial"/>
          <w:color w:val="000000" w:themeColor="text1"/>
        </w:rPr>
        <w:t>desired scope of</w:t>
      </w:r>
      <w:r w:rsidRPr="0003652C">
        <w:rPr>
          <w:rFonts w:cs="Arial"/>
          <w:color w:val="000000" w:themeColor="text1"/>
        </w:rPr>
        <w:t xml:space="preserve"> the investigation. The response rate to requests for interviews was very good, and so the context in which that data was collected was a very positive one, with participants being very forthcoming with their perspectives. This reflected, hopefully, the trust that they had </w:t>
      </w:r>
      <w:r w:rsidR="00BF1D25">
        <w:rPr>
          <w:rFonts w:cs="Arial"/>
          <w:color w:val="000000" w:themeColor="text1"/>
        </w:rPr>
        <w:t>in</w:t>
      </w:r>
      <w:r w:rsidRPr="0003652C">
        <w:rPr>
          <w:rFonts w:cs="Arial"/>
          <w:color w:val="000000" w:themeColor="text1"/>
        </w:rPr>
        <w:t xml:space="preserve"> the methodology. The analysis of the data had its challenges and involved considerably more reworking than I initially expected</w:t>
      </w:r>
      <w:r w:rsidR="00BF1D25">
        <w:rPr>
          <w:rFonts w:cs="Arial"/>
          <w:color w:val="000000" w:themeColor="text1"/>
        </w:rPr>
        <w:t>,</w:t>
      </w:r>
      <w:r w:rsidRPr="0003652C">
        <w:rPr>
          <w:rFonts w:cs="Arial"/>
          <w:color w:val="000000" w:themeColor="text1"/>
        </w:rPr>
        <w:t xml:space="preserve"> but what then emerged from that data analysis, as follows in the next chapters</w:t>
      </w:r>
      <w:r w:rsidR="00BF1D25">
        <w:rPr>
          <w:rFonts w:cs="Arial"/>
          <w:color w:val="000000" w:themeColor="text1"/>
        </w:rPr>
        <w:t>,</w:t>
      </w:r>
      <w:r w:rsidRPr="0003652C">
        <w:rPr>
          <w:rFonts w:cs="Arial"/>
          <w:color w:val="000000" w:themeColor="text1"/>
        </w:rPr>
        <w:t xml:space="preserve"> was a very rich and informative set of findings</w:t>
      </w:r>
      <w:r w:rsidR="00CB5E41" w:rsidRPr="0003652C">
        <w:rPr>
          <w:rFonts w:cs="Arial"/>
          <w:color w:val="000000" w:themeColor="text1"/>
        </w:rPr>
        <w:t xml:space="preserve">. </w:t>
      </w:r>
    </w:p>
    <w:p w14:paraId="5C322E92" w14:textId="77777777" w:rsidR="00E50173" w:rsidRDefault="00E50173" w:rsidP="008A4F29">
      <w:pPr>
        <w:spacing w:line="360" w:lineRule="auto"/>
        <w:jc w:val="both"/>
        <w:rPr>
          <w:rFonts w:cs="Arial"/>
          <w:color w:val="000000" w:themeColor="text1"/>
        </w:rPr>
      </w:pPr>
    </w:p>
    <w:p w14:paraId="63816E58" w14:textId="77777777" w:rsidR="00E50173" w:rsidRDefault="00E50173" w:rsidP="008A4F29">
      <w:pPr>
        <w:spacing w:line="360" w:lineRule="auto"/>
        <w:jc w:val="both"/>
        <w:rPr>
          <w:rFonts w:cs="Arial"/>
          <w:color w:val="000000" w:themeColor="text1"/>
        </w:rPr>
      </w:pPr>
    </w:p>
    <w:p w14:paraId="355940EC" w14:textId="77777777" w:rsidR="00E50173" w:rsidRPr="008A4F29" w:rsidRDefault="00E50173" w:rsidP="008A4F29">
      <w:pPr>
        <w:spacing w:line="360" w:lineRule="auto"/>
        <w:jc w:val="both"/>
        <w:rPr>
          <w:rFonts w:cs="Arial"/>
          <w:color w:val="000000" w:themeColor="text1"/>
        </w:rPr>
      </w:pPr>
    </w:p>
    <w:p w14:paraId="0FC731EC" w14:textId="4DCD5F2F" w:rsidR="00A16AFC" w:rsidRPr="0003652C" w:rsidRDefault="00BE2C10" w:rsidP="0003652C">
      <w:pPr>
        <w:pStyle w:val="Heading1"/>
        <w:spacing w:before="100" w:after="100" w:afterAutospacing="1" w:line="360" w:lineRule="auto"/>
        <w:rPr>
          <w:rFonts w:ascii="Arial" w:hAnsi="Arial" w:cs="Arial"/>
        </w:rPr>
      </w:pPr>
      <w:bookmarkStart w:id="61" w:name="_Toc223348853"/>
      <w:r w:rsidRPr="0003652C">
        <w:rPr>
          <w:rFonts w:ascii="Arial" w:hAnsi="Arial" w:cs="Arial"/>
        </w:rPr>
        <w:lastRenderedPageBreak/>
        <w:t xml:space="preserve">Recontextualising legal knowledge: The </w:t>
      </w:r>
      <w:r w:rsidR="0075156B" w:rsidRPr="0003652C">
        <w:rPr>
          <w:rFonts w:ascii="Arial" w:hAnsi="Arial" w:cs="Arial"/>
        </w:rPr>
        <w:t>official recontextualising field</w:t>
      </w:r>
      <w:bookmarkEnd w:id="61"/>
    </w:p>
    <w:p w14:paraId="09C976CE" w14:textId="77777777" w:rsidR="00445015" w:rsidRPr="0003652C" w:rsidRDefault="00445015" w:rsidP="0003652C">
      <w:pPr>
        <w:spacing w:line="360" w:lineRule="auto"/>
        <w:rPr>
          <w:rFonts w:cs="Arial"/>
        </w:rPr>
      </w:pPr>
    </w:p>
    <w:p w14:paraId="4187C07E" w14:textId="1F16239B" w:rsidR="006F3BFC" w:rsidRPr="0003652C" w:rsidRDefault="00BE2C10" w:rsidP="0003652C">
      <w:pPr>
        <w:pStyle w:val="Heading2"/>
        <w:spacing w:before="100" w:after="100" w:afterAutospacing="1" w:line="360" w:lineRule="auto"/>
        <w:rPr>
          <w:rFonts w:ascii="Arial" w:hAnsi="Arial" w:cs="Arial"/>
        </w:rPr>
      </w:pPr>
      <w:bookmarkStart w:id="62" w:name="_Toc223348854"/>
      <w:r w:rsidRPr="0003652C">
        <w:rPr>
          <w:rFonts w:ascii="Arial" w:hAnsi="Arial" w:cs="Arial"/>
        </w:rPr>
        <w:t>Overview</w:t>
      </w:r>
      <w:bookmarkEnd w:id="62"/>
    </w:p>
    <w:p w14:paraId="578BFF06" w14:textId="171410BA"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The </w:t>
      </w:r>
      <w:r w:rsidR="008B1F96" w:rsidRPr="0003652C">
        <w:rPr>
          <w:rFonts w:cs="Arial"/>
          <w:color w:val="000000" w:themeColor="text1"/>
        </w:rPr>
        <w:t xml:space="preserve">following </w:t>
      </w:r>
      <w:r w:rsidRPr="0003652C">
        <w:rPr>
          <w:rFonts w:cs="Arial"/>
          <w:color w:val="000000" w:themeColor="text1"/>
        </w:rPr>
        <w:t>four chapters present a combination of findings</w:t>
      </w:r>
      <w:r w:rsidR="008A4F29">
        <w:rPr>
          <w:rFonts w:cs="Arial"/>
          <w:color w:val="000000" w:themeColor="text1"/>
        </w:rPr>
        <w:t>, discussion</w:t>
      </w:r>
      <w:r w:rsidRPr="0003652C">
        <w:rPr>
          <w:rFonts w:cs="Arial"/>
          <w:color w:val="000000" w:themeColor="text1"/>
        </w:rPr>
        <w:t xml:space="preserve"> and analysis drawing on the literature and the data extracted from the interviews with the course designers. </w:t>
      </w:r>
      <w:r w:rsidR="008B1F96" w:rsidRPr="0003652C">
        <w:rPr>
          <w:rFonts w:cs="Arial"/>
          <w:color w:val="000000" w:themeColor="text1"/>
        </w:rPr>
        <w:t>The chapters</w:t>
      </w:r>
      <w:r w:rsidRPr="0003652C">
        <w:rPr>
          <w:rFonts w:cs="Arial"/>
          <w:color w:val="000000" w:themeColor="text1"/>
        </w:rPr>
        <w:t xml:space="preserve"> present the findings as influences as recognised by course designers </w:t>
      </w:r>
      <w:r w:rsidR="008B1F96" w:rsidRPr="0003652C">
        <w:rPr>
          <w:rFonts w:cs="Arial"/>
          <w:color w:val="000000" w:themeColor="text1"/>
        </w:rPr>
        <w:t>existing in</w:t>
      </w:r>
      <w:r w:rsidRPr="0003652C">
        <w:rPr>
          <w:rFonts w:cs="Arial"/>
          <w:color w:val="000000" w:themeColor="text1"/>
        </w:rPr>
        <w:t xml:space="preserve"> the </w:t>
      </w:r>
      <w:r w:rsidR="0075156B" w:rsidRPr="0003652C">
        <w:rPr>
          <w:rFonts w:cs="Arial"/>
          <w:color w:val="000000" w:themeColor="text1"/>
        </w:rPr>
        <w:t>Official recontextualising field</w:t>
      </w:r>
      <w:r w:rsidRPr="0003652C">
        <w:rPr>
          <w:rFonts w:cs="Arial"/>
          <w:color w:val="000000" w:themeColor="text1"/>
        </w:rPr>
        <w:t xml:space="preserve"> (ORF) and the </w:t>
      </w:r>
      <w:r w:rsidR="0075156B" w:rsidRPr="0003652C">
        <w:rPr>
          <w:rFonts w:cs="Arial"/>
          <w:color w:val="000000" w:themeColor="text1"/>
        </w:rPr>
        <w:t>Pedagogic recontextualising field</w:t>
      </w:r>
      <w:r w:rsidRPr="0003652C">
        <w:rPr>
          <w:rFonts w:cs="Arial"/>
          <w:color w:val="000000" w:themeColor="text1"/>
        </w:rPr>
        <w:t xml:space="preserve"> (PRF)</w:t>
      </w:r>
      <w:r w:rsidR="002D1AEE" w:rsidRPr="0003652C">
        <w:rPr>
          <w:rFonts w:cs="Arial"/>
          <w:color w:val="000000" w:themeColor="text1"/>
        </w:rPr>
        <w:t>, these being the fields that operate within Bernstein’s stage of recontextualization of knowledge as discussed in section 3.6.2</w:t>
      </w:r>
      <w:r w:rsidRPr="0003652C">
        <w:rPr>
          <w:rFonts w:cs="Arial"/>
          <w:color w:val="000000" w:themeColor="text1"/>
        </w:rPr>
        <w:t xml:space="preserve">. </w:t>
      </w:r>
      <w:r w:rsidR="008B1F96" w:rsidRPr="0003652C">
        <w:rPr>
          <w:rFonts w:cs="Arial"/>
          <w:color w:val="000000" w:themeColor="text1"/>
        </w:rPr>
        <w:t>The analysis considers</w:t>
      </w:r>
      <w:r w:rsidRPr="0003652C">
        <w:rPr>
          <w:rFonts w:cs="Arial"/>
          <w:color w:val="000000" w:themeColor="text1"/>
        </w:rPr>
        <w:t xml:space="preserve"> </w:t>
      </w:r>
      <w:r w:rsidR="008B1F96" w:rsidRPr="0003652C">
        <w:rPr>
          <w:rFonts w:cs="Arial"/>
          <w:color w:val="000000" w:themeColor="text1"/>
        </w:rPr>
        <w:t xml:space="preserve">which agents are </w:t>
      </w:r>
      <w:r w:rsidRPr="0003652C">
        <w:rPr>
          <w:rFonts w:cs="Arial"/>
          <w:color w:val="000000" w:themeColor="text1"/>
        </w:rPr>
        <w:t xml:space="preserve">in each field and the relationships between them, </w:t>
      </w:r>
      <w:r w:rsidR="008B1F96" w:rsidRPr="0003652C">
        <w:rPr>
          <w:rFonts w:cs="Arial"/>
          <w:color w:val="000000" w:themeColor="text1"/>
        </w:rPr>
        <w:t xml:space="preserve">and this is then analysed within the context of </w:t>
      </w:r>
      <w:r w:rsidRPr="0003652C">
        <w:rPr>
          <w:rFonts w:cs="Arial"/>
          <w:color w:val="000000" w:themeColor="text1"/>
        </w:rPr>
        <w:t>the power or the control</w:t>
      </w:r>
      <w:r w:rsidR="00BF1D25">
        <w:rPr>
          <w:rFonts w:cs="Arial"/>
          <w:color w:val="000000" w:themeColor="text1"/>
        </w:rPr>
        <w:t>,</w:t>
      </w:r>
      <w:r w:rsidRPr="0003652C">
        <w:rPr>
          <w:rFonts w:cs="Arial"/>
          <w:color w:val="000000" w:themeColor="text1"/>
        </w:rPr>
        <w:t xml:space="preserve"> </w:t>
      </w:r>
      <w:r w:rsidR="00D13A5D" w:rsidRPr="0003652C">
        <w:rPr>
          <w:rFonts w:cs="Arial"/>
          <w:color w:val="000000" w:themeColor="text1"/>
        </w:rPr>
        <w:t>respectively</w:t>
      </w:r>
      <w:r w:rsidR="00BF1D25">
        <w:rPr>
          <w:rFonts w:cs="Arial"/>
          <w:color w:val="000000" w:themeColor="text1"/>
        </w:rPr>
        <w:t>,</w:t>
      </w:r>
      <w:r w:rsidR="00D13A5D" w:rsidRPr="0003652C">
        <w:rPr>
          <w:rFonts w:cs="Arial"/>
          <w:color w:val="000000" w:themeColor="text1"/>
        </w:rPr>
        <w:t xml:space="preserve"> </w:t>
      </w:r>
      <w:r w:rsidRPr="0003652C">
        <w:rPr>
          <w:rFonts w:cs="Arial"/>
          <w:color w:val="000000" w:themeColor="text1"/>
        </w:rPr>
        <w:t>in the ORF and PRF in relation to course design. These chapters will answer the research questions</w:t>
      </w:r>
      <w:r w:rsidR="00D13A5D" w:rsidRPr="0003652C">
        <w:rPr>
          <w:rFonts w:cs="Arial"/>
          <w:color w:val="000000" w:themeColor="text1"/>
        </w:rPr>
        <w:t xml:space="preserve"> as to</w:t>
      </w:r>
      <w:r w:rsidRPr="0003652C">
        <w:rPr>
          <w:rFonts w:cs="Arial"/>
          <w:color w:val="000000" w:themeColor="text1"/>
        </w:rPr>
        <w:t xml:space="preserve"> who</w:t>
      </w:r>
      <w:r w:rsidR="00D13A5D" w:rsidRPr="0003652C">
        <w:rPr>
          <w:rFonts w:cs="Arial"/>
          <w:color w:val="000000" w:themeColor="text1"/>
        </w:rPr>
        <w:t xml:space="preserve"> or what</w:t>
      </w:r>
      <w:r w:rsidRPr="0003652C">
        <w:rPr>
          <w:rFonts w:cs="Arial"/>
          <w:color w:val="000000" w:themeColor="text1"/>
        </w:rPr>
        <w:t xml:space="preserve"> influences undergraduate course design, and what the impact of that influence is. In this chapter</w:t>
      </w:r>
      <w:r w:rsidR="00BF1D25">
        <w:rPr>
          <w:rFonts w:cs="Arial"/>
          <w:color w:val="000000" w:themeColor="text1"/>
        </w:rPr>
        <w:t>,</w:t>
      </w:r>
      <w:r w:rsidRPr="0003652C">
        <w:rPr>
          <w:rFonts w:cs="Arial"/>
          <w:color w:val="000000" w:themeColor="text1"/>
        </w:rPr>
        <w:t xml:space="preserve"> the ORF will be investigated in relation to both research questions, and so who has the influence and what the impact of that influence is.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S</w:t>
      </w:r>
      <w:r w:rsidR="008B1F96" w:rsidRPr="0003652C">
        <w:rPr>
          <w:rFonts w:cs="Arial"/>
          <w:color w:val="000000" w:themeColor="text1"/>
        </w:rPr>
        <w:t>ix</w:t>
      </w:r>
      <w:r w:rsidRPr="0003652C">
        <w:rPr>
          <w:rFonts w:cs="Arial"/>
          <w:color w:val="000000" w:themeColor="text1"/>
        </w:rPr>
        <w:t xml:space="preserve"> I return to the question of who influences design within the PRF and consider the relationship of the agents in this field</w:t>
      </w:r>
      <w:r w:rsidR="00D13A5D" w:rsidRPr="0003652C">
        <w:rPr>
          <w:rFonts w:cs="Arial"/>
          <w:color w:val="000000" w:themeColor="text1"/>
        </w:rPr>
        <w:t>.</w:t>
      </w:r>
      <w:r w:rsidRPr="0003652C">
        <w:rPr>
          <w:rFonts w:cs="Arial"/>
          <w:color w:val="000000" w:themeColor="text1"/>
        </w:rPr>
        <w:t xml:space="preserve"> In </w:t>
      </w:r>
      <w:r w:rsidR="009D5113">
        <w:rPr>
          <w:rFonts w:cs="Arial"/>
          <w:color w:val="000000" w:themeColor="text1"/>
        </w:rPr>
        <w:t>C</w:t>
      </w:r>
      <w:r w:rsidRPr="0003652C">
        <w:rPr>
          <w:rFonts w:cs="Arial"/>
          <w:color w:val="000000" w:themeColor="text1"/>
        </w:rPr>
        <w:t xml:space="preserve">hapters </w:t>
      </w:r>
      <w:r w:rsidR="009D5113">
        <w:rPr>
          <w:rFonts w:cs="Arial"/>
          <w:color w:val="000000" w:themeColor="text1"/>
        </w:rPr>
        <w:t>S</w:t>
      </w:r>
      <w:r w:rsidR="008B1F96" w:rsidRPr="0003652C">
        <w:rPr>
          <w:rFonts w:cs="Arial"/>
          <w:color w:val="000000" w:themeColor="text1"/>
        </w:rPr>
        <w:t xml:space="preserve">even and </w:t>
      </w:r>
      <w:r w:rsidR="009D5113">
        <w:rPr>
          <w:rFonts w:cs="Arial"/>
          <w:color w:val="000000" w:themeColor="text1"/>
        </w:rPr>
        <w:t>E</w:t>
      </w:r>
      <w:r w:rsidR="008B1F96" w:rsidRPr="0003652C">
        <w:rPr>
          <w:rFonts w:cs="Arial"/>
          <w:color w:val="000000" w:themeColor="text1"/>
        </w:rPr>
        <w:t>ight</w:t>
      </w:r>
      <w:r w:rsidRPr="0003652C">
        <w:rPr>
          <w:rFonts w:cs="Arial"/>
          <w:color w:val="000000" w:themeColor="text1"/>
        </w:rPr>
        <w:t xml:space="preserve"> the impact of the influence of the PRF agents will be analysed. </w:t>
      </w:r>
    </w:p>
    <w:p w14:paraId="75AECC4D" w14:textId="07C598C6" w:rsidR="00BE2C10" w:rsidRPr="0003652C" w:rsidRDefault="00BE2C10" w:rsidP="0003652C">
      <w:pPr>
        <w:spacing w:line="360" w:lineRule="auto"/>
        <w:jc w:val="both"/>
        <w:rPr>
          <w:rFonts w:cs="Arial"/>
          <w:color w:val="C2D69B" w:themeColor="accent3" w:themeTint="99"/>
        </w:rPr>
      </w:pPr>
      <w:r w:rsidRPr="0003652C">
        <w:rPr>
          <w:rFonts w:cs="Arial"/>
          <w:color w:val="000000" w:themeColor="text1"/>
        </w:rPr>
        <w:t>In presenting the agents and influences in the ORF</w:t>
      </w:r>
      <w:r w:rsidR="00BF1D25">
        <w:rPr>
          <w:rFonts w:cs="Arial"/>
          <w:color w:val="000000" w:themeColor="text1"/>
        </w:rPr>
        <w:t>,</w:t>
      </w:r>
      <w:r w:rsidRPr="0003652C">
        <w:rPr>
          <w:rFonts w:cs="Arial"/>
          <w:color w:val="000000" w:themeColor="text1"/>
        </w:rPr>
        <w:t xml:space="preserve"> this chapter will consider the classification and framing of the undergraduate law curriculum. The data reflects the positioning of different institutions</w:t>
      </w:r>
      <w:r w:rsidR="00BF1D25">
        <w:rPr>
          <w:rFonts w:cs="Arial"/>
          <w:color w:val="000000" w:themeColor="text1"/>
        </w:rPr>
        <w:t>,</w:t>
      </w:r>
      <w:r w:rsidRPr="0003652C">
        <w:rPr>
          <w:rFonts w:cs="Arial"/>
          <w:color w:val="000000" w:themeColor="text1"/>
        </w:rPr>
        <w:t xml:space="preserve"> as this will</w:t>
      </w:r>
      <w:r w:rsidR="00A54F20">
        <w:rPr>
          <w:rFonts w:cs="Arial"/>
          <w:color w:val="000000" w:themeColor="text1"/>
        </w:rPr>
        <w:t>,</w:t>
      </w:r>
      <w:r w:rsidRPr="0003652C">
        <w:rPr>
          <w:rFonts w:cs="Arial"/>
          <w:color w:val="000000" w:themeColor="text1"/>
        </w:rPr>
        <w:t xml:space="preserve"> in turn</w:t>
      </w:r>
      <w:r w:rsidR="00BF1D25">
        <w:rPr>
          <w:rFonts w:cs="Arial"/>
          <w:color w:val="000000" w:themeColor="text1"/>
        </w:rPr>
        <w:t>,</w:t>
      </w:r>
      <w:r w:rsidRPr="0003652C">
        <w:rPr>
          <w:rFonts w:cs="Arial"/>
          <w:color w:val="000000" w:themeColor="text1"/>
        </w:rPr>
        <w:t xml:space="preserve"> provide insights as to different responses to these influences and therefore any variance in the way in which programmes are presented to students. Due to the necessary limited scope of this research, I consider variance from the meso-level, considering perspectives from different types of institution, as opposed to investigating different groups of students within those institutions, accepting that </w:t>
      </w:r>
      <w:r w:rsidR="00D13A5D" w:rsidRPr="0003652C">
        <w:rPr>
          <w:rFonts w:cs="Arial"/>
          <w:color w:val="000000" w:themeColor="text1"/>
        </w:rPr>
        <w:t>current</w:t>
      </w:r>
      <w:r w:rsidRPr="0003652C">
        <w:rPr>
          <w:rFonts w:cs="Arial"/>
          <w:color w:val="000000" w:themeColor="text1"/>
        </w:rPr>
        <w:t xml:space="preserve"> research already presents students in different law schools as more or less advantaged depending on the status of the school or </w:t>
      </w:r>
      <w:r w:rsidR="00E75CE9">
        <w:rPr>
          <w:rFonts w:cs="Arial"/>
          <w:color w:val="000000" w:themeColor="text1"/>
        </w:rPr>
        <w:t>university</w:t>
      </w:r>
      <w:r w:rsidRPr="0003652C">
        <w:rPr>
          <w:rFonts w:cs="Arial"/>
          <w:color w:val="000000" w:themeColor="text1"/>
        </w:rPr>
        <w:t>.  (</w:t>
      </w:r>
      <w:r w:rsidR="00B97CA4" w:rsidRPr="0003652C">
        <w:rPr>
          <w:rFonts w:cs="Arial"/>
          <w:color w:val="000000" w:themeColor="text1"/>
        </w:rPr>
        <w:t>S</w:t>
      </w:r>
      <w:r w:rsidRPr="0003652C">
        <w:rPr>
          <w:rFonts w:cs="Arial"/>
          <w:color w:val="000000" w:themeColor="text1"/>
        </w:rPr>
        <w:t xml:space="preserve">ee the earlier </w:t>
      </w:r>
      <w:r w:rsidRPr="0003652C">
        <w:rPr>
          <w:rFonts w:cs="Arial"/>
          <w:color w:val="000000" w:themeColor="text1"/>
        </w:rPr>
        <w:lastRenderedPageBreak/>
        <w:t xml:space="preserve">discussion in </w:t>
      </w:r>
      <w:r w:rsidR="009D5113">
        <w:rPr>
          <w:rFonts w:cs="Arial"/>
          <w:color w:val="000000" w:themeColor="text1"/>
        </w:rPr>
        <w:t>C</w:t>
      </w:r>
      <w:r w:rsidRPr="0003652C">
        <w:rPr>
          <w:rFonts w:cs="Arial"/>
          <w:color w:val="000000" w:themeColor="text1"/>
        </w:rPr>
        <w:t>hapter</w:t>
      </w:r>
      <w:r w:rsidR="00D13A5D" w:rsidRPr="0003652C">
        <w:rPr>
          <w:rFonts w:cs="Arial"/>
          <w:color w:val="000000" w:themeColor="text1"/>
        </w:rPr>
        <w:t xml:space="preserve"> </w:t>
      </w:r>
      <w:r w:rsidR="009D5113">
        <w:rPr>
          <w:rFonts w:cs="Arial"/>
          <w:color w:val="000000" w:themeColor="text1"/>
        </w:rPr>
        <w:t>T</w:t>
      </w:r>
      <w:r w:rsidR="00D13A5D" w:rsidRPr="0003652C">
        <w:rPr>
          <w:rFonts w:cs="Arial"/>
          <w:color w:val="000000" w:themeColor="text1"/>
        </w:rPr>
        <w:t>wo</w:t>
      </w:r>
      <w:r w:rsidR="00A54F20">
        <w:rPr>
          <w:rFonts w:cs="Arial"/>
          <w:color w:val="000000" w:themeColor="text1"/>
        </w:rPr>
        <w:t>,</w:t>
      </w:r>
      <w:r w:rsidRPr="0003652C">
        <w:rPr>
          <w:rFonts w:cs="Arial"/>
          <w:color w:val="000000" w:themeColor="text1"/>
        </w:rPr>
        <w:t xml:space="preserve"> </w:t>
      </w:r>
      <w:r w:rsidR="00D13A5D" w:rsidRPr="0003652C">
        <w:rPr>
          <w:rFonts w:cs="Arial"/>
          <w:color w:val="000000" w:themeColor="text1"/>
        </w:rPr>
        <w:t>highlighting the existence of</w:t>
      </w:r>
      <w:r w:rsidRPr="0003652C">
        <w:rPr>
          <w:rFonts w:cs="Arial"/>
          <w:color w:val="000000" w:themeColor="text1"/>
        </w:rPr>
        <w:t xml:space="preserve"> inequalities in legal education).</w:t>
      </w:r>
    </w:p>
    <w:p w14:paraId="683C3934" w14:textId="2DB55032" w:rsidR="00BE2C10" w:rsidRPr="0003652C" w:rsidRDefault="00BE2C10" w:rsidP="0003652C">
      <w:pPr>
        <w:spacing w:line="360" w:lineRule="auto"/>
        <w:jc w:val="both"/>
        <w:rPr>
          <w:rFonts w:cs="Arial"/>
          <w:color w:val="000000" w:themeColor="text1"/>
        </w:rPr>
      </w:pPr>
      <w:r w:rsidRPr="0003652C">
        <w:rPr>
          <w:rFonts w:cs="Arial"/>
          <w:color w:val="000000" w:themeColor="text1"/>
        </w:rPr>
        <w:t>The chapter briefly recalls the plac</w:t>
      </w:r>
      <w:r w:rsidR="00A54F20">
        <w:rPr>
          <w:rFonts w:cs="Arial"/>
          <w:color w:val="000000" w:themeColor="text1"/>
        </w:rPr>
        <w:t>ement</w:t>
      </w:r>
      <w:r w:rsidRPr="0003652C">
        <w:rPr>
          <w:rFonts w:cs="Arial"/>
          <w:color w:val="000000" w:themeColor="text1"/>
        </w:rPr>
        <w:t xml:space="preserve"> of the ORF within Bernstein’s framework. </w:t>
      </w:r>
      <w:r w:rsidR="00576060">
        <w:rPr>
          <w:rFonts w:cs="Arial"/>
          <w:color w:val="000000" w:themeColor="text1"/>
        </w:rPr>
        <w:t xml:space="preserve">See Figure 3.3 </w:t>
      </w:r>
      <w:r w:rsidR="00F95997">
        <w:rPr>
          <w:rFonts w:cs="Arial"/>
          <w:color w:val="000000" w:themeColor="text1"/>
        </w:rPr>
        <w:t>for a reminder of the plac</w:t>
      </w:r>
      <w:r w:rsidR="00A54F20">
        <w:rPr>
          <w:rFonts w:cs="Arial"/>
          <w:color w:val="000000" w:themeColor="text1"/>
        </w:rPr>
        <w:t>ement</w:t>
      </w:r>
      <w:r w:rsidR="00F95997">
        <w:rPr>
          <w:rFonts w:cs="Arial"/>
          <w:color w:val="000000" w:themeColor="text1"/>
        </w:rPr>
        <w:t xml:space="preserve"> of the recontextualising fields. </w:t>
      </w:r>
      <w:r w:rsidRPr="0003652C">
        <w:rPr>
          <w:rFonts w:cs="Arial"/>
          <w:color w:val="000000" w:themeColor="text1"/>
        </w:rPr>
        <w:t xml:space="preserve">Having identified the professional bodies and the state as agents within this field, the chapter is structured to consider their respective influence on both the structure of the programmes and the content. The findings reflect on the perceptions of the influence of the professional regulatory bodies and their withdrawal from the regulation of the undergraduate degree. It continues to analyse the programme structure and the removal of the demarcation of the academic and vocational roles of stages of legal education, and then to consider the programme content and the positioning of the foundations of legal knowledge within it. The chapter will then turn to the state, identified in the data as also operating within the </w:t>
      </w:r>
      <w:r w:rsidR="0075156B" w:rsidRPr="0003652C">
        <w:rPr>
          <w:rFonts w:cs="Arial"/>
          <w:color w:val="000000" w:themeColor="text1"/>
        </w:rPr>
        <w:t>official recontextualising field</w:t>
      </w:r>
      <w:r w:rsidRPr="0003652C">
        <w:rPr>
          <w:rFonts w:cs="Arial"/>
          <w:color w:val="000000" w:themeColor="text1"/>
        </w:rPr>
        <w:t xml:space="preserve">, again assessing the influence and impact here on the course design, explicit or implicit. The implications of the findings for the classification and framing of knowledge and Bernstein’s related codes will be considered. </w:t>
      </w:r>
      <w:r w:rsidR="00833640" w:rsidRPr="0003652C">
        <w:rPr>
          <w:rFonts w:cs="Arial"/>
          <w:color w:val="000000" w:themeColor="text1"/>
        </w:rPr>
        <w:t xml:space="preserve">Appendix </w:t>
      </w:r>
      <w:r w:rsidR="00752CB2">
        <w:rPr>
          <w:rFonts w:cs="Arial"/>
          <w:color w:val="000000" w:themeColor="text1"/>
        </w:rPr>
        <w:t>t</w:t>
      </w:r>
      <w:r w:rsidR="00833640" w:rsidRPr="0003652C">
        <w:rPr>
          <w:rFonts w:cs="Arial"/>
          <w:color w:val="000000" w:themeColor="text1"/>
        </w:rPr>
        <w:t xml:space="preserve">hree, Tables 1 and 2 </w:t>
      </w:r>
      <w:r w:rsidR="00A54F20">
        <w:rPr>
          <w:rFonts w:cs="Arial"/>
          <w:color w:val="000000" w:themeColor="text1"/>
        </w:rPr>
        <w:t>provide</w:t>
      </w:r>
      <w:r w:rsidR="00833640" w:rsidRPr="0003652C">
        <w:rPr>
          <w:rFonts w:cs="Arial"/>
          <w:color w:val="000000" w:themeColor="text1"/>
        </w:rPr>
        <w:t xml:space="preserve"> a representation of the codes in these themes. </w:t>
      </w:r>
      <w:r w:rsidRPr="0003652C">
        <w:rPr>
          <w:rFonts w:cs="Arial"/>
          <w:color w:val="000000" w:themeColor="text1"/>
        </w:rPr>
        <w:t xml:space="preserve">The chapter will conclude by assessing the potential impact of this field on the </w:t>
      </w:r>
      <w:r w:rsidR="0075156B" w:rsidRPr="0003652C">
        <w:rPr>
          <w:rFonts w:cs="Arial"/>
          <w:color w:val="000000" w:themeColor="text1"/>
        </w:rPr>
        <w:t>pedagogic recontextualising field</w:t>
      </w:r>
      <w:r w:rsidRPr="0003652C">
        <w:rPr>
          <w:rFonts w:cs="Arial"/>
          <w:color w:val="000000" w:themeColor="text1"/>
        </w:rPr>
        <w:t xml:space="preserve"> (PRF). </w:t>
      </w:r>
    </w:p>
    <w:p w14:paraId="667129C2" w14:textId="339D683D" w:rsidR="00BE2C10" w:rsidRPr="0003652C" w:rsidRDefault="00BE2C10" w:rsidP="0003652C">
      <w:pPr>
        <w:pStyle w:val="Heading2"/>
        <w:spacing w:before="100" w:after="100" w:afterAutospacing="1" w:line="360" w:lineRule="auto"/>
        <w:rPr>
          <w:rFonts w:ascii="Arial" w:hAnsi="Arial" w:cs="Arial"/>
        </w:rPr>
      </w:pPr>
      <w:bookmarkStart w:id="63" w:name="_Toc223348855"/>
      <w:r w:rsidRPr="0003652C">
        <w:rPr>
          <w:rFonts w:ascii="Arial" w:hAnsi="Arial" w:cs="Arial"/>
        </w:rPr>
        <w:t xml:space="preserve">The </w:t>
      </w:r>
      <w:r w:rsidR="0075156B" w:rsidRPr="0003652C">
        <w:rPr>
          <w:rFonts w:ascii="Arial" w:hAnsi="Arial" w:cs="Arial"/>
        </w:rPr>
        <w:t>official recontextualising field</w:t>
      </w:r>
      <w:bookmarkEnd w:id="63"/>
    </w:p>
    <w:p w14:paraId="572371C8" w14:textId="7544BE54" w:rsidR="00BE2C10" w:rsidRPr="0003652C" w:rsidRDefault="00BE2C10" w:rsidP="0003652C">
      <w:pPr>
        <w:spacing w:line="360" w:lineRule="auto"/>
        <w:jc w:val="both"/>
        <w:rPr>
          <w:rFonts w:cs="Arial"/>
          <w:color w:val="000000" w:themeColor="text1"/>
        </w:rPr>
      </w:pPr>
      <w:r w:rsidRPr="0003652C">
        <w:rPr>
          <w:rFonts w:cs="Arial"/>
          <w:color w:val="000000" w:themeColor="text1"/>
        </w:rPr>
        <w:t>Bernstein and others highlight the presence of agencies that have control within this field (Bernstein,2000; Singh, 2002). In essence</w:t>
      </w:r>
      <w:r w:rsidR="00A54F20">
        <w:rPr>
          <w:rFonts w:cs="Arial"/>
          <w:color w:val="000000" w:themeColor="text1"/>
        </w:rPr>
        <w:t>,</w:t>
      </w:r>
      <w:r w:rsidRPr="0003652C">
        <w:rPr>
          <w:rFonts w:cs="Arial"/>
          <w:color w:val="000000" w:themeColor="text1"/>
        </w:rPr>
        <w:t xml:space="preserve"> the ORF is a seat of power</w:t>
      </w:r>
      <w:r w:rsidR="00A54F20">
        <w:rPr>
          <w:rFonts w:cs="Arial"/>
          <w:color w:val="000000" w:themeColor="text1"/>
        </w:rPr>
        <w:t>,</w:t>
      </w:r>
      <w:r w:rsidRPr="0003652C">
        <w:rPr>
          <w:rFonts w:cs="Arial"/>
          <w:color w:val="000000" w:themeColor="text1"/>
        </w:rPr>
        <w:t xml:space="preserve"> and the agents within it may classify and frame the recontextuali</w:t>
      </w:r>
      <w:r w:rsidR="00752CB2">
        <w:rPr>
          <w:rFonts w:cs="Arial"/>
          <w:color w:val="000000" w:themeColor="text1"/>
        </w:rPr>
        <w:t>s</w:t>
      </w:r>
      <w:r w:rsidRPr="0003652C">
        <w:rPr>
          <w:rFonts w:cs="Arial"/>
          <w:color w:val="000000" w:themeColor="text1"/>
        </w:rPr>
        <w:t>ation of the distributed knowledge. It is possible that the actions and influences of several agents may be present, and which agents are in this arena can be impacted on by external factors and can change (Bernstein, 2000). In the context of secondary education, Bernstein sees the re</w:t>
      </w:r>
      <w:r w:rsidR="00A82A71" w:rsidRPr="0003652C">
        <w:rPr>
          <w:rFonts w:cs="Arial"/>
          <w:color w:val="000000" w:themeColor="text1"/>
        </w:rPr>
        <w:t>contextualising</w:t>
      </w:r>
      <w:r w:rsidRPr="0003652C">
        <w:rPr>
          <w:rFonts w:cs="Arial"/>
          <w:color w:val="000000" w:themeColor="text1"/>
        </w:rPr>
        <w:t xml:space="preserve"> field being operated by the state, whilst he states that </w:t>
      </w:r>
    </w:p>
    <w:p w14:paraId="3B204588" w14:textId="1FD26C5A" w:rsidR="00BE2C10" w:rsidRPr="0003652C" w:rsidRDefault="00BE2C10" w:rsidP="0005689B">
      <w:pPr>
        <w:spacing w:line="360" w:lineRule="auto"/>
        <w:ind w:left="720"/>
        <w:jc w:val="both"/>
        <w:rPr>
          <w:rFonts w:cs="Arial"/>
          <w:color w:val="000000" w:themeColor="text1"/>
        </w:rPr>
      </w:pPr>
      <w:r w:rsidRPr="0003652C">
        <w:rPr>
          <w:rFonts w:cs="Arial"/>
          <w:color w:val="000000" w:themeColor="text1"/>
        </w:rPr>
        <w:lastRenderedPageBreak/>
        <w:t>in the case of higher education</w:t>
      </w:r>
      <w:r w:rsidR="00A54F20">
        <w:rPr>
          <w:rFonts w:cs="Arial"/>
          <w:color w:val="000000" w:themeColor="text1"/>
        </w:rPr>
        <w:t>,</w:t>
      </w:r>
      <w:r w:rsidRPr="0003652C">
        <w:rPr>
          <w:rFonts w:cs="Arial"/>
          <w:color w:val="000000" w:themeColor="text1"/>
        </w:rPr>
        <w:t xml:space="preserve"> there is no official recontextuali</w:t>
      </w:r>
      <w:r w:rsidR="00B97CA4" w:rsidRPr="0003652C">
        <w:rPr>
          <w:rFonts w:cs="Arial"/>
          <w:color w:val="000000" w:themeColor="text1"/>
        </w:rPr>
        <w:t>s</w:t>
      </w:r>
      <w:r w:rsidRPr="0003652C">
        <w:rPr>
          <w:rFonts w:cs="Arial"/>
          <w:color w:val="000000" w:themeColor="text1"/>
        </w:rPr>
        <w:t xml:space="preserve">ing field for the construction of an official higher education discourse. However, there is strong indirect regulation on the recontextualising process. (Bernstein, 2000. </w:t>
      </w:r>
      <w:r w:rsidR="00E50173">
        <w:rPr>
          <w:rFonts w:cs="Arial"/>
          <w:color w:val="000000" w:themeColor="text1"/>
        </w:rPr>
        <w:t>p.</w:t>
      </w:r>
      <w:r w:rsidRPr="0003652C">
        <w:rPr>
          <w:rFonts w:cs="Arial"/>
          <w:color w:val="000000" w:themeColor="text1"/>
        </w:rPr>
        <w:t>60)</w:t>
      </w:r>
    </w:p>
    <w:p w14:paraId="1D323595" w14:textId="4AF11FDD" w:rsidR="00BE2C10" w:rsidRPr="0003652C" w:rsidRDefault="00BE2C10" w:rsidP="0003652C">
      <w:pPr>
        <w:spacing w:line="360" w:lineRule="auto"/>
        <w:jc w:val="both"/>
        <w:rPr>
          <w:rFonts w:cs="Arial"/>
          <w:color w:val="000000" w:themeColor="text1"/>
        </w:rPr>
      </w:pPr>
      <w:r w:rsidRPr="0003652C">
        <w:rPr>
          <w:rFonts w:cs="Arial"/>
          <w:color w:val="000000" w:themeColor="text1"/>
        </w:rPr>
        <w:t>Within the context of legal education, beyond the general framework for higher education, the professional bodies,  the Solicitors Regulatory Authority (SRA), and the Bar Standards Board (BSB) have had a prominent role in the recontextuali</w:t>
      </w:r>
      <w:r w:rsidR="00752CB2">
        <w:rPr>
          <w:rFonts w:cs="Arial"/>
          <w:color w:val="000000" w:themeColor="text1"/>
        </w:rPr>
        <w:t>s</w:t>
      </w:r>
      <w:r w:rsidRPr="0003652C">
        <w:rPr>
          <w:rFonts w:cs="Arial"/>
          <w:color w:val="000000" w:themeColor="text1"/>
        </w:rPr>
        <w:t>ation of legal education, and arguably whilst these regulations have not prescribed legal education in its entirety, and were only designed to regulate access to the profession, this influence has been more than indirect in practice (See earlier discussion</w:t>
      </w:r>
      <w:r w:rsidR="00165D64" w:rsidRPr="0003652C">
        <w:rPr>
          <w:rFonts w:cs="Arial"/>
          <w:color w:val="000000" w:themeColor="text1"/>
        </w:rPr>
        <w:t xml:space="preserve"> in section 2.4</w:t>
      </w:r>
      <w:r w:rsidRPr="0003652C">
        <w:rPr>
          <w:rFonts w:cs="Arial"/>
          <w:color w:val="000000" w:themeColor="text1"/>
        </w:rPr>
        <w:t>). The undergraduate degree could</w:t>
      </w:r>
      <w:r w:rsidR="00A54F20">
        <w:rPr>
          <w:rFonts w:cs="Arial"/>
          <w:color w:val="000000" w:themeColor="text1"/>
        </w:rPr>
        <w:t>,</w:t>
      </w:r>
      <w:r w:rsidRPr="0003652C">
        <w:rPr>
          <w:rFonts w:cs="Arial"/>
          <w:color w:val="000000" w:themeColor="text1"/>
        </w:rPr>
        <w:t xml:space="preserve"> in theory</w:t>
      </w:r>
      <w:r w:rsidR="00A54F20">
        <w:rPr>
          <w:rFonts w:cs="Arial"/>
          <w:color w:val="000000" w:themeColor="text1"/>
        </w:rPr>
        <w:t>,</w:t>
      </w:r>
      <w:r w:rsidRPr="0003652C">
        <w:rPr>
          <w:rFonts w:cs="Arial"/>
          <w:color w:val="000000" w:themeColor="text1"/>
        </w:rPr>
        <w:t xml:space="preserve"> exist as a non-qualifying law degree, but it very rarely did, largely due to the expectations of students in pursuing a career in law (Hardee, 2012; Clear &amp; Parker, 2019). The regulatory bodies will therefore be considered as agents within the field of the ORF.</w:t>
      </w:r>
    </w:p>
    <w:p w14:paraId="30A0CB2C" w14:textId="6629C716" w:rsidR="00BE2C10" w:rsidRPr="0003652C" w:rsidRDefault="00BE2C10" w:rsidP="0005689B">
      <w:pPr>
        <w:spacing w:line="360" w:lineRule="auto"/>
        <w:jc w:val="both"/>
        <w:rPr>
          <w:rFonts w:cs="Arial"/>
        </w:rPr>
      </w:pPr>
      <w:r w:rsidRPr="0003652C">
        <w:rPr>
          <w:rFonts w:cs="Arial"/>
        </w:rPr>
        <w:t>Here the investigation will look at the perceptions of legal professional regulatory bodies and then consider the state’s positioning. The relationship between the two will also be considered.</w:t>
      </w:r>
    </w:p>
    <w:p w14:paraId="0FF07C37" w14:textId="3B374B7E" w:rsidR="006F3BFC" w:rsidRPr="0003652C" w:rsidRDefault="00BE2C10" w:rsidP="0003652C">
      <w:pPr>
        <w:pStyle w:val="Heading3"/>
        <w:spacing w:after="100" w:afterAutospacing="1" w:line="360" w:lineRule="auto"/>
        <w:rPr>
          <w:rFonts w:ascii="Arial" w:hAnsi="Arial" w:cs="Arial"/>
        </w:rPr>
      </w:pPr>
      <w:bookmarkStart w:id="64" w:name="_Toc223348856"/>
      <w:r w:rsidRPr="0003652C">
        <w:rPr>
          <w:rFonts w:ascii="Arial" w:hAnsi="Arial" w:cs="Arial"/>
        </w:rPr>
        <w:t xml:space="preserve">The </w:t>
      </w:r>
      <w:r w:rsidR="002C01C2" w:rsidRPr="0003652C">
        <w:rPr>
          <w:rFonts w:ascii="Arial" w:hAnsi="Arial" w:cs="Arial"/>
        </w:rPr>
        <w:t>p</w:t>
      </w:r>
      <w:r w:rsidRPr="0003652C">
        <w:rPr>
          <w:rFonts w:ascii="Arial" w:hAnsi="Arial" w:cs="Arial"/>
        </w:rPr>
        <w:t xml:space="preserve">rofessional </w:t>
      </w:r>
      <w:r w:rsidR="002C01C2" w:rsidRPr="0003652C">
        <w:rPr>
          <w:rFonts w:ascii="Arial" w:hAnsi="Arial" w:cs="Arial"/>
        </w:rPr>
        <w:t>r</w:t>
      </w:r>
      <w:r w:rsidRPr="0003652C">
        <w:rPr>
          <w:rFonts w:ascii="Arial" w:hAnsi="Arial" w:cs="Arial"/>
        </w:rPr>
        <w:t xml:space="preserve">egulatory </w:t>
      </w:r>
      <w:r w:rsidR="002C01C2" w:rsidRPr="0003652C">
        <w:rPr>
          <w:rFonts w:ascii="Arial" w:hAnsi="Arial" w:cs="Arial"/>
        </w:rPr>
        <w:t>b</w:t>
      </w:r>
      <w:r w:rsidRPr="0003652C">
        <w:rPr>
          <w:rFonts w:ascii="Arial" w:hAnsi="Arial" w:cs="Arial"/>
        </w:rPr>
        <w:t>odies</w:t>
      </w:r>
      <w:bookmarkEnd w:id="64"/>
    </w:p>
    <w:p w14:paraId="619C5B1B" w14:textId="586FE462" w:rsidR="00BE2C10" w:rsidRPr="0003652C" w:rsidRDefault="00BE2C10" w:rsidP="0003652C">
      <w:pPr>
        <w:spacing w:line="360" w:lineRule="auto"/>
        <w:jc w:val="both"/>
        <w:rPr>
          <w:rFonts w:cs="Arial"/>
        </w:rPr>
      </w:pPr>
      <w:r w:rsidRPr="0003652C">
        <w:rPr>
          <w:rFonts w:cs="Arial"/>
        </w:rPr>
        <w:t>The role of the regulatory bodies in law has already been briefly introduced, as has the context of the changes that are taking place</w:t>
      </w:r>
      <w:r w:rsidR="00165D64" w:rsidRPr="0003652C">
        <w:rPr>
          <w:rFonts w:cs="Arial"/>
        </w:rPr>
        <w:t xml:space="preserve"> (</w:t>
      </w:r>
      <w:r w:rsidR="00B97CA4" w:rsidRPr="0003652C">
        <w:rPr>
          <w:rFonts w:cs="Arial"/>
        </w:rPr>
        <w:t>See s</w:t>
      </w:r>
      <w:r w:rsidR="00165D64" w:rsidRPr="0003652C">
        <w:rPr>
          <w:rFonts w:cs="Arial"/>
        </w:rPr>
        <w:t>ection 2.4)</w:t>
      </w:r>
      <w:r w:rsidRPr="0003652C">
        <w:rPr>
          <w:rFonts w:cs="Arial"/>
        </w:rPr>
        <w:t>. Relevant to the following findings and discussion</w:t>
      </w:r>
      <w:r w:rsidR="00A54F20">
        <w:rPr>
          <w:rFonts w:cs="Arial"/>
        </w:rPr>
        <w:t>,</w:t>
      </w:r>
      <w:r w:rsidRPr="0003652C">
        <w:rPr>
          <w:rFonts w:cs="Arial"/>
        </w:rPr>
        <w:t xml:space="preserve"> and from the perspective of the curriculum</w:t>
      </w:r>
      <w:r w:rsidR="00165D64" w:rsidRPr="0003652C">
        <w:rPr>
          <w:rFonts w:cs="Arial"/>
        </w:rPr>
        <w:t>,</w:t>
      </w:r>
      <w:r w:rsidRPr="0003652C">
        <w:rPr>
          <w:rFonts w:cs="Arial"/>
        </w:rPr>
        <w:t xml:space="preserve"> the route to the profession was heavily regulated with requirements for the academic and professional practice stages.  Whilst there was no requirement for an undergraduate law degree in this progression to the profession, </w:t>
      </w:r>
      <w:r w:rsidR="00752CB2">
        <w:rPr>
          <w:rFonts w:cs="Arial"/>
        </w:rPr>
        <w:t>the degree was</w:t>
      </w:r>
      <w:r w:rsidRPr="0003652C">
        <w:rPr>
          <w:rFonts w:cs="Arial"/>
        </w:rPr>
        <w:t xml:space="preserve"> one mechanism by which students might progress through the academic stage. Also as discussed in </w:t>
      </w:r>
      <w:r w:rsidR="009D5113">
        <w:rPr>
          <w:rFonts w:cs="Arial"/>
        </w:rPr>
        <w:t>C</w:t>
      </w:r>
      <w:r w:rsidRPr="0003652C">
        <w:rPr>
          <w:rFonts w:cs="Arial"/>
        </w:rPr>
        <w:t>hapt</w:t>
      </w:r>
      <w:r w:rsidR="00165D64" w:rsidRPr="0003652C">
        <w:rPr>
          <w:rFonts w:cs="Arial"/>
        </w:rPr>
        <w:t xml:space="preserve">er </w:t>
      </w:r>
      <w:r w:rsidR="009D5113">
        <w:rPr>
          <w:rFonts w:cs="Arial"/>
        </w:rPr>
        <w:t>T</w:t>
      </w:r>
      <w:r w:rsidR="00165D64" w:rsidRPr="0003652C">
        <w:rPr>
          <w:rFonts w:cs="Arial"/>
        </w:rPr>
        <w:t>wo</w:t>
      </w:r>
      <w:r w:rsidRPr="0003652C">
        <w:rPr>
          <w:rFonts w:cs="Arial"/>
        </w:rPr>
        <w:t xml:space="preserve"> different categories of institution tended to reflect these demarcations between academic and vocational</w:t>
      </w:r>
      <w:r w:rsidR="00165D64" w:rsidRPr="0003652C">
        <w:rPr>
          <w:rFonts w:cs="Arial"/>
        </w:rPr>
        <w:t xml:space="preserve"> education</w:t>
      </w:r>
      <w:r w:rsidRPr="0003652C">
        <w:rPr>
          <w:rFonts w:cs="Arial"/>
        </w:rPr>
        <w:t xml:space="preserve">, with the selective, research-based </w:t>
      </w:r>
      <w:r w:rsidR="00E75CE9">
        <w:rPr>
          <w:rFonts w:cs="Arial"/>
        </w:rPr>
        <w:t>universitie</w:t>
      </w:r>
      <w:r w:rsidRPr="0003652C">
        <w:rPr>
          <w:rFonts w:cs="Arial"/>
        </w:rPr>
        <w:t xml:space="preserve">s being able to focus on an academic liberal education, whilst the less selective </w:t>
      </w:r>
      <w:r w:rsidR="00E75CE9">
        <w:rPr>
          <w:rFonts w:cs="Arial"/>
        </w:rPr>
        <w:lastRenderedPageBreak/>
        <w:t>universitie</w:t>
      </w:r>
      <w:r w:rsidRPr="0003652C">
        <w:rPr>
          <w:rFonts w:cs="Arial"/>
        </w:rPr>
        <w:t>s were providing both the academic and the professional stages, thus reflecting Bernstein’s distinction between the research and market led institutions (</w:t>
      </w:r>
      <w:r w:rsidR="003A6FA1" w:rsidRPr="0003652C">
        <w:rPr>
          <w:rFonts w:cs="Arial"/>
        </w:rPr>
        <w:t xml:space="preserve">Flood, 2011; </w:t>
      </w:r>
      <w:r w:rsidRPr="0003652C">
        <w:rPr>
          <w:rFonts w:cs="Arial"/>
        </w:rPr>
        <w:t>Bernstein, 2000). This relates directly to the regionalisation of the discipline as recontextualised, with selective institutions having ‘introjected identities’, with fewer concerns about the profession, and the less selective having ‘projected identities’, and being more market and, in this case</w:t>
      </w:r>
      <w:r w:rsidR="00A54F20">
        <w:rPr>
          <w:rFonts w:cs="Arial"/>
        </w:rPr>
        <w:t>,</w:t>
      </w:r>
      <w:r w:rsidRPr="0003652C">
        <w:rPr>
          <w:rFonts w:cs="Arial"/>
        </w:rPr>
        <w:t xml:space="preserve"> professionally orientated (Bernstein, 2000. </w:t>
      </w:r>
      <w:r w:rsidR="00A54F20">
        <w:rPr>
          <w:rFonts w:cs="Arial"/>
        </w:rPr>
        <w:t>p.</w:t>
      </w:r>
      <w:r w:rsidRPr="0003652C">
        <w:rPr>
          <w:rFonts w:cs="Arial"/>
        </w:rPr>
        <w:t xml:space="preserve"> </w:t>
      </w:r>
      <w:r w:rsidR="00476C1F" w:rsidRPr="0003652C">
        <w:rPr>
          <w:rFonts w:cs="Arial"/>
        </w:rPr>
        <w:t>60 and</w:t>
      </w:r>
      <w:r w:rsidR="003A6FA1" w:rsidRPr="0003652C">
        <w:rPr>
          <w:rFonts w:cs="Arial"/>
        </w:rPr>
        <w:t xml:space="preserve"> </w:t>
      </w:r>
      <w:r w:rsidR="00A54F20">
        <w:rPr>
          <w:rFonts w:cs="Arial"/>
        </w:rPr>
        <w:t>the</w:t>
      </w:r>
      <w:r w:rsidR="003A6FA1" w:rsidRPr="0003652C">
        <w:rPr>
          <w:rFonts w:cs="Arial"/>
        </w:rPr>
        <w:t xml:space="preserve"> discussion in section 3.4</w:t>
      </w:r>
      <w:r w:rsidRPr="0003652C">
        <w:rPr>
          <w:rFonts w:cs="Arial"/>
        </w:rPr>
        <w:t>).</w:t>
      </w:r>
    </w:p>
    <w:p w14:paraId="6C7DFBDA" w14:textId="57996B60" w:rsidR="00BE2C10" w:rsidRPr="0003652C" w:rsidRDefault="00BE2C10" w:rsidP="0003652C">
      <w:pPr>
        <w:spacing w:before="120" w:line="360" w:lineRule="auto"/>
        <w:jc w:val="both"/>
        <w:rPr>
          <w:rFonts w:cs="Arial"/>
        </w:rPr>
      </w:pPr>
      <w:r w:rsidRPr="0003652C">
        <w:rPr>
          <w:rFonts w:cs="Arial"/>
        </w:rPr>
        <w:t>As discussed earlier, between 2013 and 2016</w:t>
      </w:r>
      <w:r w:rsidR="00A54F20">
        <w:rPr>
          <w:rFonts w:cs="Arial"/>
        </w:rPr>
        <w:t>,</w:t>
      </w:r>
      <w:r w:rsidRPr="0003652C">
        <w:rPr>
          <w:rFonts w:cs="Arial"/>
        </w:rPr>
        <w:t xml:space="preserve"> the SRA embarked on an extensive reform of the regulatory routes to the profession, eventually removing </w:t>
      </w:r>
      <w:r w:rsidR="00A54F20">
        <w:rPr>
          <w:rFonts w:cs="Arial"/>
        </w:rPr>
        <w:t>itself</w:t>
      </w:r>
      <w:r w:rsidRPr="0003652C">
        <w:rPr>
          <w:rFonts w:cs="Arial"/>
        </w:rPr>
        <w:t xml:space="preserve"> from the accreditation of programmes of study</w:t>
      </w:r>
      <w:r w:rsidR="00A54F20">
        <w:rPr>
          <w:rFonts w:cs="Arial"/>
        </w:rPr>
        <w:t>,</w:t>
      </w:r>
      <w:r w:rsidRPr="0003652C">
        <w:rPr>
          <w:rFonts w:cs="Arial"/>
        </w:rPr>
        <w:t xml:space="preserve"> including the academic and professional stages, whilst introducing a centralised assessment. The expectation had been that existing and new providers would then develop a range of different ways that students might prepare for this more competency-based</w:t>
      </w:r>
      <w:r w:rsidR="00A54F20">
        <w:rPr>
          <w:rFonts w:cs="Arial"/>
        </w:rPr>
        <w:t>,</w:t>
      </w:r>
      <w:r w:rsidRPr="0003652C">
        <w:rPr>
          <w:rFonts w:cs="Arial"/>
        </w:rPr>
        <w:t xml:space="preserve"> centralised assessment (SRA, 2017). The implicitly enabled respected boundaries between academic study and practice-based study were to be removed to a continued mixed reception (Law Gazette, 2013; Guth &amp; Dutton, 2018).</w:t>
      </w:r>
      <w:r w:rsidRPr="0003652C">
        <w:rPr>
          <w:rFonts w:cs="Arial"/>
          <w:color w:val="E36C0A" w:themeColor="accent6" w:themeShade="BF"/>
        </w:rPr>
        <w:t xml:space="preserve"> </w:t>
      </w:r>
    </w:p>
    <w:p w14:paraId="3437FBE1" w14:textId="289E8996" w:rsidR="00BE2C10" w:rsidRPr="0003652C" w:rsidRDefault="00BE2C10" w:rsidP="008446AA">
      <w:pPr>
        <w:spacing w:before="120" w:line="360" w:lineRule="auto"/>
        <w:jc w:val="both"/>
        <w:rPr>
          <w:rFonts w:cs="Arial"/>
        </w:rPr>
      </w:pPr>
      <w:r w:rsidRPr="0003652C">
        <w:rPr>
          <w:rFonts w:cs="Arial"/>
        </w:rPr>
        <w:t xml:space="preserve">The relationship between professional regulatory bodies and the designers of legal education, especially at </w:t>
      </w:r>
      <w:r w:rsidR="00A54F20">
        <w:rPr>
          <w:rFonts w:cs="Arial"/>
        </w:rPr>
        <w:t xml:space="preserve">the </w:t>
      </w:r>
      <w:r w:rsidRPr="0003652C">
        <w:rPr>
          <w:rFonts w:cs="Arial"/>
        </w:rPr>
        <w:t>undergraduate level, has always been a rocky one. On the one hand</w:t>
      </w:r>
      <w:r w:rsidR="00A54F20">
        <w:rPr>
          <w:rFonts w:cs="Arial"/>
        </w:rPr>
        <w:t>,</w:t>
      </w:r>
      <w:r w:rsidRPr="0003652C">
        <w:rPr>
          <w:rFonts w:cs="Arial"/>
        </w:rPr>
        <w:t xml:space="preserve"> the </w:t>
      </w:r>
      <w:r w:rsidR="003A6FA1" w:rsidRPr="0003652C">
        <w:rPr>
          <w:rFonts w:cs="Arial"/>
        </w:rPr>
        <w:t>regulatory bodies</w:t>
      </w:r>
      <w:r w:rsidRPr="0003652C">
        <w:rPr>
          <w:rFonts w:cs="Arial"/>
        </w:rPr>
        <w:t xml:space="preserve"> saw themselves as guardians of the quality of entrants into the profession and so handed down what were often seen to be less than progressive edicts on the required content of undergraduate degrees </w:t>
      </w:r>
      <w:r w:rsidR="003A6FA1" w:rsidRPr="0003652C">
        <w:rPr>
          <w:rFonts w:cs="Arial"/>
        </w:rPr>
        <w:t xml:space="preserve">seeking </w:t>
      </w:r>
      <w:r w:rsidR="00476C1F" w:rsidRPr="0003652C">
        <w:rPr>
          <w:rFonts w:cs="Arial"/>
        </w:rPr>
        <w:t>accreditation</w:t>
      </w:r>
      <w:r w:rsidRPr="0003652C">
        <w:rPr>
          <w:rFonts w:cs="Arial"/>
        </w:rPr>
        <w:t xml:space="preserve"> (Vaughan, 2025). On the other hand, the same regulations were often used by designers and their teams to defend the status quo within the degree from intrusion by other external forces, such as university wide policies or </w:t>
      </w:r>
      <w:r w:rsidRPr="0003652C">
        <w:rPr>
          <w:rFonts w:cs="Arial"/>
          <w:color w:val="000000" w:themeColor="text1"/>
        </w:rPr>
        <w:t xml:space="preserve">agendas (Mayson, 2020).  I </w:t>
      </w:r>
      <w:r w:rsidRPr="0003652C">
        <w:rPr>
          <w:rFonts w:cs="Arial"/>
        </w:rPr>
        <w:t xml:space="preserve">return to the impact that this relationship has on shifting hierarchies and power within institutions later in </w:t>
      </w:r>
      <w:r w:rsidR="009D5113">
        <w:rPr>
          <w:rFonts w:cs="Arial"/>
        </w:rPr>
        <w:t>C</w:t>
      </w:r>
      <w:r w:rsidRPr="0003652C">
        <w:rPr>
          <w:rFonts w:cs="Arial"/>
        </w:rPr>
        <w:t xml:space="preserve">hapter </w:t>
      </w:r>
      <w:r w:rsidR="009D5113">
        <w:rPr>
          <w:rFonts w:cs="Arial"/>
        </w:rPr>
        <w:t>S</w:t>
      </w:r>
      <w:r w:rsidRPr="0003652C">
        <w:rPr>
          <w:rFonts w:cs="Arial"/>
        </w:rPr>
        <w:t xml:space="preserve">even. </w:t>
      </w:r>
      <w:r w:rsidRPr="0003652C">
        <w:rPr>
          <w:rFonts w:cs="Arial"/>
          <w:color w:val="000000" w:themeColor="text1"/>
        </w:rPr>
        <w:t xml:space="preserve">Here I present some initial findings as they reflect on these changes and specifically on themes in the data as they emerged on the programme structure and content. </w:t>
      </w:r>
    </w:p>
    <w:p w14:paraId="79A68FAC" w14:textId="605B80ED" w:rsidR="00BE2C10" w:rsidRPr="0005689B" w:rsidRDefault="00BE2C10" w:rsidP="0005689B">
      <w:pPr>
        <w:pStyle w:val="Heading3"/>
        <w:spacing w:line="360" w:lineRule="auto"/>
        <w:rPr>
          <w:rFonts w:ascii="Arial" w:hAnsi="Arial" w:cs="Arial"/>
        </w:rPr>
      </w:pPr>
      <w:bookmarkStart w:id="65" w:name="_Toc223348857"/>
      <w:r w:rsidRPr="0003652C">
        <w:rPr>
          <w:rFonts w:ascii="Arial" w:hAnsi="Arial" w:cs="Arial"/>
        </w:rPr>
        <w:lastRenderedPageBreak/>
        <w:t>Reflections on change</w:t>
      </w:r>
      <w:bookmarkEnd w:id="65"/>
    </w:p>
    <w:p w14:paraId="7775F656" w14:textId="2508B6FC" w:rsidR="00BE2C10" w:rsidRPr="0003652C" w:rsidRDefault="003A6FA1" w:rsidP="0005689B">
      <w:pPr>
        <w:spacing w:before="120" w:line="360" w:lineRule="auto"/>
        <w:jc w:val="both"/>
        <w:rPr>
          <w:rFonts w:cs="Arial"/>
        </w:rPr>
      </w:pPr>
      <w:r w:rsidRPr="0003652C">
        <w:rPr>
          <w:rFonts w:cs="Arial"/>
        </w:rPr>
        <w:t xml:space="preserve">The findings present a perspective on the regulatory </w:t>
      </w:r>
      <w:r w:rsidR="00AB5206" w:rsidRPr="0003652C">
        <w:rPr>
          <w:rFonts w:cs="Arial"/>
        </w:rPr>
        <w:t>changes,</w:t>
      </w:r>
      <w:r w:rsidRPr="0003652C">
        <w:rPr>
          <w:rFonts w:cs="Arial"/>
        </w:rPr>
        <w:t xml:space="preserve"> and this is </w:t>
      </w:r>
      <w:r w:rsidR="00A54F20">
        <w:rPr>
          <w:rFonts w:cs="Arial"/>
        </w:rPr>
        <w:t xml:space="preserve">the </w:t>
      </w:r>
      <w:r w:rsidRPr="0003652C">
        <w:rPr>
          <w:rFonts w:cs="Arial"/>
        </w:rPr>
        <w:t>necessary context for the discussion that follows.</w:t>
      </w:r>
      <w:r w:rsidR="00BE2C10" w:rsidRPr="0003652C">
        <w:rPr>
          <w:rFonts w:cs="Arial"/>
        </w:rPr>
        <w:t xml:space="preserve">  In this context</w:t>
      </w:r>
      <w:r w:rsidR="00A54F20">
        <w:rPr>
          <w:rFonts w:cs="Arial"/>
        </w:rPr>
        <w:t>,</w:t>
      </w:r>
      <w:r w:rsidR="00BE2C10" w:rsidRPr="0003652C">
        <w:rPr>
          <w:rFonts w:cs="Arial"/>
        </w:rPr>
        <w:t xml:space="preserve"> several themes on the structure and content of the degree and the perceived influence of the regulatory bodies emerged. Of the eighteen participants</w:t>
      </w:r>
      <w:r w:rsidR="00A54F20">
        <w:rPr>
          <w:rFonts w:cs="Arial"/>
        </w:rPr>
        <w:t>,</w:t>
      </w:r>
      <w:r w:rsidR="00BE2C10" w:rsidRPr="0003652C">
        <w:rPr>
          <w:rFonts w:cs="Arial"/>
        </w:rPr>
        <w:t xml:space="preserve"> </w:t>
      </w:r>
      <w:r w:rsidRPr="0003652C">
        <w:rPr>
          <w:rFonts w:cs="Arial"/>
        </w:rPr>
        <w:t xml:space="preserve">only two saw the regulatory change as </w:t>
      </w:r>
      <w:r w:rsidR="00AB5206" w:rsidRPr="0003652C">
        <w:rPr>
          <w:rFonts w:cs="Arial"/>
        </w:rPr>
        <w:t xml:space="preserve">a </w:t>
      </w:r>
      <w:r w:rsidRPr="0003652C">
        <w:rPr>
          <w:rFonts w:cs="Arial"/>
        </w:rPr>
        <w:t xml:space="preserve">positive one. Others were resentful about the level of consultation, and most remained </w:t>
      </w:r>
      <w:r w:rsidR="00AB5206" w:rsidRPr="0003652C">
        <w:rPr>
          <w:rFonts w:cs="Arial"/>
        </w:rPr>
        <w:t xml:space="preserve">concerned over the impact of these changes for the students and on legal education generally. </w:t>
      </w:r>
      <w:r w:rsidR="00BE2C10" w:rsidRPr="0003652C">
        <w:rPr>
          <w:rFonts w:cs="Arial"/>
        </w:rPr>
        <w:t xml:space="preserve"> </w:t>
      </w:r>
      <w:r w:rsidR="009C3946" w:rsidRPr="0003652C">
        <w:rPr>
          <w:rFonts w:cs="Arial"/>
        </w:rPr>
        <w:t>(Appendix 5, Table 5.1)</w:t>
      </w:r>
    </w:p>
    <w:p w14:paraId="26E01B97" w14:textId="3B974A22" w:rsidR="00BE2C10" w:rsidRPr="0003652C" w:rsidRDefault="00BE2C10" w:rsidP="0003652C">
      <w:pPr>
        <w:pStyle w:val="Heading4"/>
        <w:spacing w:line="360" w:lineRule="auto"/>
        <w:rPr>
          <w:rFonts w:ascii="Arial" w:hAnsi="Arial" w:cs="Arial"/>
        </w:rPr>
      </w:pPr>
      <w:r w:rsidRPr="0003652C">
        <w:rPr>
          <w:rFonts w:ascii="Arial" w:hAnsi="Arial" w:cs="Arial"/>
        </w:rPr>
        <w:t>Programme content and the implications of regulatory accreditation</w:t>
      </w:r>
    </w:p>
    <w:p w14:paraId="007570D8" w14:textId="56E74E98" w:rsidR="00BE2C10" w:rsidRPr="0003652C" w:rsidRDefault="00BE2C10" w:rsidP="0003652C">
      <w:pPr>
        <w:spacing w:before="120" w:line="360" w:lineRule="auto"/>
        <w:jc w:val="both"/>
        <w:rPr>
          <w:rFonts w:cs="Arial"/>
        </w:rPr>
      </w:pPr>
      <w:r w:rsidRPr="0003652C">
        <w:rPr>
          <w:rFonts w:cs="Arial"/>
        </w:rPr>
        <w:t>The impact of the removal of the accreditation of undergraduate degrees</w:t>
      </w:r>
      <w:r w:rsidR="00A54F20">
        <w:rPr>
          <w:rFonts w:cs="Arial"/>
        </w:rPr>
        <w:t>,</w:t>
      </w:r>
      <w:r w:rsidRPr="0003652C">
        <w:rPr>
          <w:rFonts w:cs="Arial"/>
        </w:rPr>
        <w:t xml:space="preserve"> and therefore the removal of the demarcation between the academic and vocational stages of training was prevalent in all the responses. </w:t>
      </w:r>
      <w:r w:rsidR="00E75CE9">
        <w:rPr>
          <w:rFonts w:cs="Arial"/>
        </w:rPr>
        <w:t xml:space="preserve">Participants from different categories of law school </w:t>
      </w:r>
      <w:r w:rsidRPr="0003652C">
        <w:rPr>
          <w:rFonts w:cs="Arial"/>
        </w:rPr>
        <w:t>reflected differently on the impact of this. Three of the selective</w:t>
      </w:r>
      <w:r w:rsidR="000670CF">
        <w:rPr>
          <w:rFonts w:cs="Arial"/>
        </w:rPr>
        <w:t xml:space="preserve"> </w:t>
      </w:r>
      <w:r w:rsidR="00E75CE9">
        <w:rPr>
          <w:rFonts w:cs="Arial"/>
        </w:rPr>
        <w:t>law schools (S)</w:t>
      </w:r>
      <w:r w:rsidRPr="0003652C">
        <w:rPr>
          <w:rFonts w:cs="Arial"/>
        </w:rPr>
        <w:t xml:space="preserve"> perhaps unsurprisingly reported that whilst the changes had been a key feature of the discussions around the design of the programmes, there had been or would be little actual change to their degrees because of these. The study of law within such </w:t>
      </w:r>
      <w:r w:rsidR="00E75CE9">
        <w:rPr>
          <w:rFonts w:cs="Arial"/>
        </w:rPr>
        <w:t>school</w:t>
      </w:r>
      <w:r w:rsidRPr="0003652C">
        <w:rPr>
          <w:rFonts w:cs="Arial"/>
        </w:rPr>
        <w:t>s has, as discussed, been largely protected as an academic endeavour, separate from what is perceived to be the training of lawyers taking place in the semi-selective</w:t>
      </w:r>
      <w:r w:rsidR="000670CF">
        <w:rPr>
          <w:rFonts w:cs="Arial"/>
        </w:rPr>
        <w:t xml:space="preserve"> (SS)</w:t>
      </w:r>
      <w:r w:rsidRPr="0003652C">
        <w:rPr>
          <w:rFonts w:cs="Arial"/>
        </w:rPr>
        <w:t xml:space="preserve"> or </w:t>
      </w:r>
      <w:r w:rsidR="000670CF">
        <w:rPr>
          <w:rFonts w:cs="Arial"/>
        </w:rPr>
        <w:t xml:space="preserve">widening participation (WP) </w:t>
      </w:r>
      <w:r w:rsidR="00E75CE9">
        <w:rPr>
          <w:rFonts w:cs="Arial"/>
        </w:rPr>
        <w:t>school</w:t>
      </w:r>
      <w:r w:rsidRPr="0003652C">
        <w:rPr>
          <w:rFonts w:cs="Arial"/>
        </w:rPr>
        <w:t xml:space="preserve">s. This was seen to be largely an expectation of </w:t>
      </w:r>
      <w:r w:rsidR="00AB5206" w:rsidRPr="0003652C">
        <w:rPr>
          <w:rFonts w:cs="Arial"/>
        </w:rPr>
        <w:t>newer, post ‘92</w:t>
      </w:r>
      <w:r w:rsidRPr="0003652C">
        <w:rPr>
          <w:rFonts w:cs="Arial"/>
        </w:rPr>
        <w:t xml:space="preserve"> universities (Leighton, 1998). One selective institution mentioned that the only real impact of the changes would be that the </w:t>
      </w:r>
      <w:r w:rsidR="00AB5206" w:rsidRPr="0003652C">
        <w:rPr>
          <w:rFonts w:cs="Arial"/>
        </w:rPr>
        <w:t>‘</w:t>
      </w:r>
      <w:r w:rsidRPr="0003652C">
        <w:rPr>
          <w:rFonts w:cs="Arial"/>
        </w:rPr>
        <w:t>career support would need to evolve</w:t>
      </w:r>
      <w:r w:rsidR="00AB5206" w:rsidRPr="0003652C">
        <w:rPr>
          <w:rFonts w:cs="Arial"/>
        </w:rPr>
        <w:t>’</w:t>
      </w:r>
      <w:r w:rsidRPr="0003652C">
        <w:rPr>
          <w:rFonts w:cs="Arial"/>
        </w:rPr>
        <w:t xml:space="preserve">, reflecting this externalising of the professional aspects of the learning. There was some regret </w:t>
      </w:r>
      <w:r w:rsidR="00E75CE9">
        <w:rPr>
          <w:rFonts w:cs="Arial"/>
        </w:rPr>
        <w:t>expressed by designers in</w:t>
      </w:r>
      <w:r w:rsidRPr="0003652C">
        <w:rPr>
          <w:rFonts w:cs="Arial"/>
        </w:rPr>
        <w:t xml:space="preserve"> two selective </w:t>
      </w:r>
      <w:r w:rsidR="00E75CE9">
        <w:rPr>
          <w:rFonts w:cs="Arial"/>
        </w:rPr>
        <w:t>school</w:t>
      </w:r>
      <w:r w:rsidRPr="0003652C">
        <w:rPr>
          <w:rFonts w:cs="Arial"/>
        </w:rPr>
        <w:t xml:space="preserve">s on the part of the designers </w:t>
      </w:r>
      <w:r w:rsidR="00AB5206" w:rsidRPr="0003652C">
        <w:rPr>
          <w:rFonts w:cs="Arial"/>
        </w:rPr>
        <w:t xml:space="preserve">that the opportunity to change had not been realised in their course design. For all the </w:t>
      </w:r>
      <w:r w:rsidRPr="0003652C">
        <w:rPr>
          <w:rFonts w:cs="Arial"/>
        </w:rPr>
        <w:t xml:space="preserve">degrees had remained much the same </w:t>
      </w:r>
      <w:r w:rsidR="00AB5206" w:rsidRPr="0003652C">
        <w:rPr>
          <w:rFonts w:cs="Arial"/>
        </w:rPr>
        <w:t xml:space="preserve">and </w:t>
      </w:r>
      <w:r w:rsidRPr="0003652C">
        <w:rPr>
          <w:rFonts w:cs="Arial"/>
        </w:rPr>
        <w:t>in the traditional format</w:t>
      </w:r>
      <w:r w:rsidR="00AB5206" w:rsidRPr="0003652C">
        <w:rPr>
          <w:rFonts w:cs="Arial"/>
        </w:rPr>
        <w:t xml:space="preserve">, </w:t>
      </w:r>
    </w:p>
    <w:p w14:paraId="47D0970F" w14:textId="7B3CC6EA" w:rsidR="00BE2C10" w:rsidRPr="0003652C" w:rsidRDefault="00BE2C10" w:rsidP="0003652C">
      <w:pPr>
        <w:spacing w:before="120" w:line="360" w:lineRule="auto"/>
        <w:ind w:left="720"/>
        <w:jc w:val="both"/>
        <w:rPr>
          <w:rFonts w:cs="Arial"/>
        </w:rPr>
      </w:pPr>
      <w:r w:rsidRPr="0003652C">
        <w:rPr>
          <w:rFonts w:cs="Arial"/>
        </w:rPr>
        <w:t>There is more we can do, I think around the SQE, but the short answer is it has not impacted us</w:t>
      </w:r>
      <w:r w:rsidR="00752CB2">
        <w:rPr>
          <w:rFonts w:cs="Arial"/>
        </w:rPr>
        <w:t xml:space="preserve"> </w:t>
      </w:r>
      <w:r w:rsidR="00576659" w:rsidRPr="0003652C">
        <w:rPr>
          <w:rFonts w:cs="Arial"/>
        </w:rPr>
        <w:t>(S)</w:t>
      </w:r>
      <w:r w:rsidR="00752CB2">
        <w:rPr>
          <w:rFonts w:cs="Arial"/>
        </w:rPr>
        <w:t>.</w:t>
      </w:r>
    </w:p>
    <w:p w14:paraId="283FE438" w14:textId="77777777" w:rsidR="00BE2C10" w:rsidRPr="0003652C" w:rsidRDefault="00BE2C10" w:rsidP="0003652C">
      <w:pPr>
        <w:spacing w:before="120" w:line="360" w:lineRule="auto"/>
        <w:jc w:val="both"/>
        <w:rPr>
          <w:rFonts w:cs="Arial"/>
          <w:color w:val="000000" w:themeColor="text1"/>
        </w:rPr>
      </w:pPr>
      <w:r w:rsidRPr="0003652C">
        <w:rPr>
          <w:rFonts w:cs="Arial"/>
          <w:color w:val="000000" w:themeColor="text1"/>
        </w:rPr>
        <w:lastRenderedPageBreak/>
        <w:t xml:space="preserve">Another designer reflected on who within the institution might be concerned about this. </w:t>
      </w:r>
    </w:p>
    <w:p w14:paraId="769DB35C" w14:textId="02BF0513" w:rsidR="00BE2C10" w:rsidRPr="0005689B" w:rsidRDefault="00BE2C10" w:rsidP="0005689B">
      <w:pPr>
        <w:spacing w:before="120" w:line="360" w:lineRule="auto"/>
        <w:ind w:left="720"/>
        <w:jc w:val="both"/>
        <w:rPr>
          <w:rFonts w:cs="Arial"/>
          <w:color w:val="000000" w:themeColor="text1"/>
        </w:rPr>
      </w:pPr>
      <w:r w:rsidRPr="0003652C">
        <w:rPr>
          <w:rFonts w:cs="Arial"/>
          <w:color w:val="000000" w:themeColor="text1"/>
        </w:rPr>
        <w:t>We didn't change an awful lot in terms of orienting towards SQE, and I think the influences held where things sit in the hierarchy of a school like this. The role of assuring yourselves that you're still in line with professional bodies is held by two or three people, at the top level. It's really not something that's owned by the school</w:t>
      </w:r>
      <w:r w:rsidR="000670CF">
        <w:rPr>
          <w:rFonts w:cs="Arial"/>
          <w:color w:val="000000" w:themeColor="text1"/>
        </w:rPr>
        <w:t xml:space="preserve"> </w:t>
      </w:r>
      <w:r w:rsidR="00576659" w:rsidRPr="0003652C">
        <w:rPr>
          <w:rFonts w:cs="Arial"/>
          <w:color w:val="000000" w:themeColor="text1"/>
        </w:rPr>
        <w:t>(S)</w:t>
      </w:r>
      <w:r w:rsidR="000670CF">
        <w:rPr>
          <w:rFonts w:cs="Arial"/>
          <w:color w:val="000000" w:themeColor="text1"/>
        </w:rPr>
        <w:t>.</w:t>
      </w:r>
    </w:p>
    <w:p w14:paraId="09F63891" w14:textId="753253EF" w:rsidR="00BE2C10" w:rsidRPr="0003652C" w:rsidRDefault="00BE2C10" w:rsidP="0003652C">
      <w:pPr>
        <w:spacing w:line="360" w:lineRule="auto"/>
        <w:jc w:val="both"/>
        <w:rPr>
          <w:rFonts w:cs="Arial"/>
        </w:rPr>
      </w:pPr>
      <w:r w:rsidRPr="0003652C">
        <w:rPr>
          <w:rFonts w:cs="Arial"/>
        </w:rPr>
        <w:t xml:space="preserve">The designers from the semi-selective </w:t>
      </w:r>
      <w:r w:rsidR="00E75CE9">
        <w:rPr>
          <w:rFonts w:cs="Arial"/>
        </w:rPr>
        <w:t>school</w:t>
      </w:r>
      <w:r w:rsidRPr="0003652C">
        <w:rPr>
          <w:rFonts w:cs="Arial"/>
        </w:rPr>
        <w:t>s indicated the presence of more anxiety within course teams. One designer considered the impact of the early stages of the consultation and the uncertainty it presented for legal education,</w:t>
      </w:r>
    </w:p>
    <w:p w14:paraId="765023CB" w14:textId="2730E5A3" w:rsidR="00BE2C10" w:rsidRPr="0003652C" w:rsidRDefault="00BE2C10" w:rsidP="0005689B">
      <w:pPr>
        <w:spacing w:line="360" w:lineRule="auto"/>
        <w:ind w:left="720"/>
        <w:jc w:val="both"/>
        <w:rPr>
          <w:rFonts w:cs="Arial"/>
        </w:rPr>
      </w:pPr>
      <w:r w:rsidRPr="0003652C">
        <w:rPr>
          <w:rFonts w:cs="Arial"/>
        </w:rPr>
        <w:t xml:space="preserve">It was in a way, the beginning of that real turbulence around what is legal education for. The </w:t>
      </w:r>
      <w:r w:rsidRPr="0003652C">
        <w:rPr>
          <w:rFonts w:cs="Arial"/>
          <w:color w:val="000000" w:themeColor="text1"/>
        </w:rPr>
        <w:t xml:space="preserve">SQE (Solicitors Qualifying examination) </w:t>
      </w:r>
      <w:r w:rsidRPr="0003652C">
        <w:rPr>
          <w:rFonts w:cs="Arial"/>
        </w:rPr>
        <w:t xml:space="preserve">was coming to the fore, and nobody really quite knew what was happening, but we knew that there was lots of consultation about what legal education looks like. The </w:t>
      </w:r>
      <w:r w:rsidR="00AB5206" w:rsidRPr="0003652C">
        <w:rPr>
          <w:rFonts w:cs="Arial"/>
        </w:rPr>
        <w:t>L</w:t>
      </w:r>
      <w:r w:rsidRPr="0003652C">
        <w:rPr>
          <w:rFonts w:cs="Arial"/>
        </w:rPr>
        <w:t xml:space="preserve">egal </w:t>
      </w:r>
      <w:r w:rsidR="00AB5206" w:rsidRPr="0003652C">
        <w:rPr>
          <w:rFonts w:cs="Arial"/>
        </w:rPr>
        <w:t>E</w:t>
      </w:r>
      <w:r w:rsidRPr="0003652C">
        <w:rPr>
          <w:rFonts w:cs="Arial"/>
        </w:rPr>
        <w:t xml:space="preserve">ducation and </w:t>
      </w:r>
      <w:r w:rsidR="00AB5206" w:rsidRPr="0003652C">
        <w:rPr>
          <w:rFonts w:cs="Arial"/>
        </w:rPr>
        <w:t>T</w:t>
      </w:r>
      <w:r w:rsidRPr="0003652C">
        <w:rPr>
          <w:rFonts w:cs="Arial"/>
        </w:rPr>
        <w:t xml:space="preserve">raining </w:t>
      </w:r>
      <w:r w:rsidR="00AB5206" w:rsidRPr="0003652C">
        <w:rPr>
          <w:rFonts w:cs="Arial"/>
        </w:rPr>
        <w:t>R</w:t>
      </w:r>
      <w:r w:rsidRPr="0003652C">
        <w:rPr>
          <w:rFonts w:cs="Arial"/>
        </w:rPr>
        <w:t>eview had just reported</w:t>
      </w:r>
      <w:r w:rsidR="00A54F20">
        <w:rPr>
          <w:rFonts w:cs="Arial"/>
        </w:rPr>
        <w:t>,</w:t>
      </w:r>
      <w:r w:rsidRPr="0003652C">
        <w:rPr>
          <w:rFonts w:cs="Arial"/>
        </w:rPr>
        <w:t xml:space="preserve"> and some of the consequences of that were beginning to filter through into people's consciousness</w:t>
      </w:r>
      <w:r w:rsidR="00A54F20">
        <w:rPr>
          <w:rFonts w:cs="Arial"/>
        </w:rPr>
        <w:t>,</w:t>
      </w:r>
      <w:r w:rsidRPr="0003652C">
        <w:rPr>
          <w:rFonts w:cs="Arial"/>
        </w:rPr>
        <w:t xml:space="preserve"> really. So I think people were anxious about what the future looked like</w:t>
      </w:r>
      <w:r w:rsidR="0005689B">
        <w:rPr>
          <w:rFonts w:cs="Arial"/>
        </w:rPr>
        <w:t xml:space="preserve"> </w:t>
      </w:r>
      <w:r w:rsidR="00576659" w:rsidRPr="0003652C">
        <w:rPr>
          <w:rFonts w:cs="Arial"/>
        </w:rPr>
        <w:t>(SS)</w:t>
      </w:r>
      <w:r w:rsidR="0005689B">
        <w:rPr>
          <w:rFonts w:cs="Arial"/>
        </w:rPr>
        <w:t>.</w:t>
      </w:r>
    </w:p>
    <w:p w14:paraId="31495531" w14:textId="26CAF436" w:rsidR="00476C1F" w:rsidRPr="0003652C" w:rsidRDefault="00BE2C10" w:rsidP="0003652C">
      <w:pPr>
        <w:spacing w:line="360" w:lineRule="auto"/>
        <w:jc w:val="both"/>
        <w:rPr>
          <w:rFonts w:cs="Arial"/>
        </w:rPr>
      </w:pPr>
      <w:r w:rsidRPr="0003652C">
        <w:rPr>
          <w:rFonts w:cs="Arial"/>
        </w:rPr>
        <w:t xml:space="preserve">The designers from the widening participation </w:t>
      </w:r>
      <w:r w:rsidR="00711052">
        <w:rPr>
          <w:rFonts w:cs="Arial"/>
        </w:rPr>
        <w:t>school</w:t>
      </w:r>
      <w:r w:rsidRPr="0003652C">
        <w:rPr>
          <w:rFonts w:cs="Arial"/>
        </w:rPr>
        <w:t>s were more varied in their responses to the changes. One designer described the change as ‘taking the shackles off’ and providing an opportunity ‘to respond to the existential threat by making significant changes’</w:t>
      </w:r>
      <w:r w:rsidR="00576659" w:rsidRPr="0003652C">
        <w:rPr>
          <w:rFonts w:cs="Arial"/>
        </w:rPr>
        <w:t>(WP)</w:t>
      </w:r>
      <w:r w:rsidRPr="0003652C">
        <w:rPr>
          <w:rFonts w:cs="Arial"/>
        </w:rPr>
        <w:t xml:space="preserve">, whilst others were very explicitly ‘hedging their bets’ and waiting to see how it would develop. </w:t>
      </w:r>
    </w:p>
    <w:p w14:paraId="13CD21CB" w14:textId="2081DEB4" w:rsidR="00BE2C10" w:rsidRPr="0003652C" w:rsidRDefault="00BE2C10" w:rsidP="0003652C">
      <w:pPr>
        <w:spacing w:line="360" w:lineRule="auto"/>
        <w:jc w:val="both"/>
        <w:rPr>
          <w:rFonts w:cs="Arial"/>
        </w:rPr>
      </w:pPr>
      <w:r w:rsidRPr="0003652C">
        <w:rPr>
          <w:rFonts w:cs="Arial"/>
        </w:rPr>
        <w:t>Tensions within teams were also reflected upon,</w:t>
      </w:r>
    </w:p>
    <w:p w14:paraId="3F962BCF" w14:textId="7031F7B8" w:rsidR="00BE2C10" w:rsidRPr="0003652C" w:rsidRDefault="00BE2C10" w:rsidP="0003652C">
      <w:pPr>
        <w:spacing w:line="360" w:lineRule="auto"/>
        <w:ind w:left="720"/>
        <w:jc w:val="both"/>
        <w:rPr>
          <w:rFonts w:cs="Arial"/>
        </w:rPr>
      </w:pPr>
      <w:r w:rsidRPr="0003652C">
        <w:rPr>
          <w:rFonts w:cs="Arial"/>
        </w:rPr>
        <w:t xml:space="preserve">It was like </w:t>
      </w:r>
      <w:r w:rsidR="00A54F20">
        <w:rPr>
          <w:rFonts w:cs="Arial"/>
        </w:rPr>
        <w:t>“</w:t>
      </w:r>
      <w:r w:rsidRPr="0003652C">
        <w:rPr>
          <w:rFonts w:cs="Arial"/>
        </w:rPr>
        <w:t>we want to get ahead of this. We want to be one of the first law schools that does an SQE</w:t>
      </w:r>
      <w:r w:rsidR="00A54F20">
        <w:rPr>
          <w:rFonts w:cs="Arial"/>
        </w:rPr>
        <w:t>-</w:t>
      </w:r>
      <w:r w:rsidRPr="0003652C">
        <w:rPr>
          <w:rFonts w:cs="Arial"/>
        </w:rPr>
        <w:t>focused undergraduate</w:t>
      </w:r>
      <w:r w:rsidR="00A54F20">
        <w:rPr>
          <w:rFonts w:cs="Arial"/>
        </w:rPr>
        <w:t>”</w:t>
      </w:r>
      <w:r w:rsidRPr="0003652C">
        <w:rPr>
          <w:rFonts w:cs="Arial"/>
        </w:rPr>
        <w:t>, and I was going why, would you want to do that? Why? Why would you not want to sit back and see what happens first</w:t>
      </w:r>
      <w:r w:rsidR="0005689B">
        <w:rPr>
          <w:rFonts w:cs="Arial"/>
        </w:rPr>
        <w:t xml:space="preserve"> </w:t>
      </w:r>
      <w:r w:rsidR="00380A2B" w:rsidRPr="0003652C">
        <w:rPr>
          <w:rFonts w:cs="Arial"/>
        </w:rPr>
        <w:t>(WP)</w:t>
      </w:r>
      <w:r w:rsidR="0005689B">
        <w:rPr>
          <w:rFonts w:cs="Arial"/>
        </w:rPr>
        <w:t>.</w:t>
      </w:r>
    </w:p>
    <w:p w14:paraId="77247AF6" w14:textId="3D8FDD4F" w:rsidR="00BE2C10" w:rsidRPr="0003652C" w:rsidRDefault="00BE2C10" w:rsidP="0003652C">
      <w:pPr>
        <w:spacing w:line="360" w:lineRule="auto"/>
        <w:jc w:val="both"/>
        <w:rPr>
          <w:rFonts w:cs="Arial"/>
        </w:rPr>
      </w:pPr>
      <w:r w:rsidRPr="0003652C">
        <w:rPr>
          <w:rFonts w:cs="Arial"/>
        </w:rPr>
        <w:lastRenderedPageBreak/>
        <w:t xml:space="preserve">The uncertainty seemed to lead in many cases to a sense of insecurity, with no one </w:t>
      </w:r>
      <w:r w:rsidR="00AB5206" w:rsidRPr="0003652C">
        <w:rPr>
          <w:rFonts w:cs="Arial"/>
        </w:rPr>
        <w:t>course</w:t>
      </w:r>
      <w:r w:rsidRPr="0003652C">
        <w:rPr>
          <w:rFonts w:cs="Arial"/>
        </w:rPr>
        <w:t xml:space="preserve"> of action being seen as appropriate to meet the changes. </w:t>
      </w:r>
    </w:p>
    <w:p w14:paraId="6128B834" w14:textId="61E376A6" w:rsidR="00BE2C10" w:rsidRPr="0003652C" w:rsidRDefault="00BE2C10" w:rsidP="0005689B">
      <w:pPr>
        <w:spacing w:line="360" w:lineRule="auto"/>
        <w:ind w:left="720"/>
        <w:jc w:val="both"/>
        <w:rPr>
          <w:rFonts w:cs="Arial"/>
        </w:rPr>
      </w:pPr>
      <w:r w:rsidRPr="0003652C">
        <w:rPr>
          <w:rFonts w:cs="Arial"/>
        </w:rPr>
        <w:t>It's that blank piece of paper effect that people don't like it. People actually don't like that freedom</w:t>
      </w:r>
      <w:r w:rsidR="000670CF">
        <w:rPr>
          <w:rFonts w:cs="Arial"/>
        </w:rPr>
        <w:t xml:space="preserve"> </w:t>
      </w:r>
      <w:r w:rsidR="00380A2B" w:rsidRPr="0003652C">
        <w:rPr>
          <w:rFonts w:cs="Arial"/>
        </w:rPr>
        <w:t>(WP)</w:t>
      </w:r>
      <w:r w:rsidR="000670CF">
        <w:rPr>
          <w:rFonts w:cs="Arial"/>
        </w:rPr>
        <w:t>.</w:t>
      </w:r>
    </w:p>
    <w:p w14:paraId="722F8A24" w14:textId="5A970261" w:rsidR="00BE2C10" w:rsidRPr="0003652C" w:rsidRDefault="00BE2C10" w:rsidP="0003652C">
      <w:pPr>
        <w:spacing w:line="360" w:lineRule="auto"/>
        <w:jc w:val="both"/>
        <w:rPr>
          <w:rFonts w:cs="Arial"/>
          <w:highlight w:val="yellow"/>
        </w:rPr>
      </w:pPr>
      <w:r w:rsidRPr="0003652C">
        <w:rPr>
          <w:rFonts w:cs="Arial"/>
        </w:rPr>
        <w:t>The removal of the regulations accrediting law degrees in theory removed one professional body, the SRA</w:t>
      </w:r>
      <w:r w:rsidR="000670CF">
        <w:rPr>
          <w:rFonts w:cs="Arial"/>
        </w:rPr>
        <w:t>,</w:t>
      </w:r>
      <w:r w:rsidRPr="0003652C">
        <w:rPr>
          <w:rFonts w:cs="Arial"/>
        </w:rPr>
        <w:t xml:space="preserve"> from the </w:t>
      </w:r>
      <w:r w:rsidR="0075156B" w:rsidRPr="0003652C">
        <w:rPr>
          <w:rFonts w:cs="Arial"/>
        </w:rPr>
        <w:t>official recontextualising field</w:t>
      </w:r>
      <w:r w:rsidRPr="0003652C">
        <w:rPr>
          <w:rFonts w:cs="Arial"/>
        </w:rPr>
        <w:t xml:space="preserve"> for the undergraduate degree. This did not remove their i</w:t>
      </w:r>
      <w:r w:rsidR="00AB5206" w:rsidRPr="0003652C">
        <w:rPr>
          <w:rFonts w:cs="Arial"/>
        </w:rPr>
        <w:t>ndirect i</w:t>
      </w:r>
      <w:r w:rsidRPr="0003652C">
        <w:rPr>
          <w:rFonts w:cs="Arial"/>
        </w:rPr>
        <w:t>nfluence</w:t>
      </w:r>
      <w:r w:rsidR="00FC32BB">
        <w:rPr>
          <w:rFonts w:cs="Arial"/>
        </w:rPr>
        <w:t>,</w:t>
      </w:r>
      <w:r w:rsidRPr="0003652C">
        <w:rPr>
          <w:rFonts w:cs="Arial"/>
        </w:rPr>
        <w:t xml:space="preserve"> </w:t>
      </w:r>
      <w:r w:rsidR="00FC32BB">
        <w:rPr>
          <w:rFonts w:cs="Arial"/>
        </w:rPr>
        <w:t>however,</w:t>
      </w:r>
      <w:r w:rsidRPr="0003652C">
        <w:rPr>
          <w:rFonts w:cs="Arial"/>
        </w:rPr>
        <w:t xml:space="preserve"> as </w:t>
      </w:r>
      <w:r w:rsidR="00FC32BB">
        <w:rPr>
          <w:rFonts w:cs="Arial"/>
        </w:rPr>
        <w:t>I d</w:t>
      </w:r>
      <w:r w:rsidRPr="0003652C">
        <w:rPr>
          <w:rFonts w:cs="Arial"/>
        </w:rPr>
        <w:t xml:space="preserve">iscussed in </w:t>
      </w:r>
      <w:r w:rsidR="009D5113">
        <w:rPr>
          <w:rFonts w:cs="Arial"/>
        </w:rPr>
        <w:t>C</w:t>
      </w:r>
      <w:r w:rsidRPr="0003652C">
        <w:rPr>
          <w:rFonts w:cs="Arial"/>
        </w:rPr>
        <w:t xml:space="preserve">hapter </w:t>
      </w:r>
      <w:r w:rsidR="009D5113">
        <w:rPr>
          <w:rFonts w:cs="Arial"/>
        </w:rPr>
        <w:t>S</w:t>
      </w:r>
      <w:r w:rsidR="00AB5206" w:rsidRPr="0003652C">
        <w:rPr>
          <w:rFonts w:cs="Arial"/>
        </w:rPr>
        <w:t>even.</w:t>
      </w:r>
      <w:r w:rsidRPr="0003652C">
        <w:rPr>
          <w:rFonts w:cs="Arial"/>
        </w:rPr>
        <w:t xml:space="preserve"> The regional nature of the discipline accepts that it is an interface between academic knowledge and practice</w:t>
      </w:r>
      <w:r w:rsidR="00FC32BB">
        <w:rPr>
          <w:rFonts w:cs="Arial"/>
        </w:rPr>
        <w:t>,</w:t>
      </w:r>
      <w:r w:rsidRPr="0003652C">
        <w:rPr>
          <w:rFonts w:cs="Arial"/>
        </w:rPr>
        <w:t xml:space="preserve"> and that has been reflected in legal education in the historical separation of academic and vocational education by the professional bodies (Baker, 2013). The findings show that the uncertainty that has been created here impacted less on the selective than on the semi or widening participation schools. The fact that the latter were market</w:t>
      </w:r>
      <w:r w:rsidR="00FC32BB">
        <w:rPr>
          <w:rFonts w:cs="Arial"/>
        </w:rPr>
        <w:t>-</w:t>
      </w:r>
      <w:r w:rsidRPr="0003652C">
        <w:rPr>
          <w:rFonts w:cs="Arial"/>
        </w:rPr>
        <w:t xml:space="preserve">facing left them more vulnerable to potential pressures to consider whether the traditional academic degree should incorporate the professional study. The </w:t>
      </w:r>
      <w:r w:rsidR="00711052">
        <w:rPr>
          <w:rFonts w:cs="Arial"/>
        </w:rPr>
        <w:t xml:space="preserve">participants from </w:t>
      </w:r>
      <w:r w:rsidRPr="0003652C">
        <w:rPr>
          <w:rFonts w:cs="Arial"/>
        </w:rPr>
        <w:t xml:space="preserve">selective </w:t>
      </w:r>
      <w:r w:rsidR="00711052">
        <w:rPr>
          <w:rFonts w:cs="Arial"/>
        </w:rPr>
        <w:t>school</w:t>
      </w:r>
      <w:r w:rsidRPr="0003652C">
        <w:rPr>
          <w:rFonts w:cs="Arial"/>
        </w:rPr>
        <w:t xml:space="preserve">s appeared to be able at least in part to externalise the debate about the inclusion of vocational or applied study, although the increase in </w:t>
      </w:r>
      <w:r w:rsidR="00D3395A">
        <w:rPr>
          <w:rFonts w:cs="Arial"/>
        </w:rPr>
        <w:t xml:space="preserve">experiential learning and </w:t>
      </w:r>
      <w:r w:rsidRPr="0003652C">
        <w:rPr>
          <w:rFonts w:cs="Arial"/>
        </w:rPr>
        <w:t>clinical education</w:t>
      </w:r>
      <w:r w:rsidR="00D3395A">
        <w:rPr>
          <w:rFonts w:cs="Arial"/>
        </w:rPr>
        <w:t xml:space="preserve"> later in </w:t>
      </w:r>
      <w:r w:rsidR="009D5113">
        <w:rPr>
          <w:rFonts w:cs="Arial"/>
        </w:rPr>
        <w:t>C</w:t>
      </w:r>
      <w:r w:rsidR="00D3395A">
        <w:rPr>
          <w:rFonts w:cs="Arial"/>
        </w:rPr>
        <w:t xml:space="preserve">hapter </w:t>
      </w:r>
      <w:r w:rsidR="009D5113">
        <w:rPr>
          <w:rFonts w:cs="Arial"/>
        </w:rPr>
        <w:t>S</w:t>
      </w:r>
      <w:r w:rsidR="00D3395A">
        <w:rPr>
          <w:rFonts w:cs="Arial"/>
        </w:rPr>
        <w:t>even presents an indirect influence that</w:t>
      </w:r>
      <w:r w:rsidRPr="0003652C">
        <w:rPr>
          <w:rFonts w:cs="Arial"/>
        </w:rPr>
        <w:t xml:space="preserve"> may further blur this distinction</w:t>
      </w:r>
      <w:r w:rsidR="00D3395A">
        <w:rPr>
          <w:rFonts w:cs="Arial"/>
        </w:rPr>
        <w:t>.</w:t>
      </w:r>
      <w:r w:rsidR="00D21F20" w:rsidRPr="0003652C">
        <w:rPr>
          <w:rFonts w:cs="Arial"/>
        </w:rPr>
        <w:t xml:space="preserve"> </w:t>
      </w:r>
    </w:p>
    <w:p w14:paraId="24D36C75" w14:textId="6E432CA9" w:rsidR="00BE2C10" w:rsidRPr="0003652C" w:rsidRDefault="00BE2C10" w:rsidP="0003652C">
      <w:pPr>
        <w:spacing w:line="360" w:lineRule="auto"/>
        <w:jc w:val="both"/>
        <w:rPr>
          <w:rFonts w:cs="Arial"/>
        </w:rPr>
      </w:pPr>
      <w:r w:rsidRPr="0003652C">
        <w:rPr>
          <w:rFonts w:cs="Arial"/>
        </w:rPr>
        <w:t>With a Bernstein lens</w:t>
      </w:r>
      <w:r w:rsidR="00FC32BB">
        <w:rPr>
          <w:rFonts w:cs="Arial"/>
        </w:rPr>
        <w:t>,</w:t>
      </w:r>
      <w:r w:rsidRPr="0003652C">
        <w:rPr>
          <w:rFonts w:cs="Arial"/>
        </w:rPr>
        <w:t xml:space="preserve"> there are few surprises here. I return to the difference between categories of institution later in the chapter, but it is worth noting at this point briefly that there is a difference in the introjected perspective of the selective </w:t>
      </w:r>
      <w:r w:rsidR="00711052">
        <w:rPr>
          <w:rFonts w:cs="Arial"/>
        </w:rPr>
        <w:t>school</w:t>
      </w:r>
      <w:r w:rsidRPr="0003652C">
        <w:rPr>
          <w:rFonts w:cs="Arial"/>
        </w:rPr>
        <w:t xml:space="preserve">s, and the projected perspective of the others. </w:t>
      </w:r>
      <w:r w:rsidR="00D21F20" w:rsidRPr="0003652C">
        <w:rPr>
          <w:rFonts w:cs="Arial"/>
        </w:rPr>
        <w:t>The change is significant too</w:t>
      </w:r>
      <w:r w:rsidR="00FC32BB">
        <w:rPr>
          <w:rFonts w:cs="Arial"/>
        </w:rPr>
        <w:t>,</w:t>
      </w:r>
      <w:r w:rsidR="00D21F20" w:rsidRPr="0003652C">
        <w:rPr>
          <w:rFonts w:cs="Arial"/>
        </w:rPr>
        <w:t xml:space="preserve"> as the</w:t>
      </w:r>
      <w:r w:rsidRPr="0003652C">
        <w:rPr>
          <w:rFonts w:cs="Arial"/>
        </w:rPr>
        <w:t xml:space="preserve"> removal of a regulatory power from the field has the potential to weaken the classification of the discipline. The boundaries are arguably more fluid as the agents in the ORF change, and the discipline, and what can be recontextualised, blurs between the academic and the vocational.  A weak classification from the ORF can allow for more autonomy in the PRF, a point that is discussed later. </w:t>
      </w:r>
    </w:p>
    <w:p w14:paraId="7F235F9E" w14:textId="77777777" w:rsidR="00BE2C10" w:rsidRPr="0003652C" w:rsidRDefault="00BE2C10" w:rsidP="0003652C">
      <w:pPr>
        <w:spacing w:line="360" w:lineRule="auto"/>
        <w:rPr>
          <w:rFonts w:cs="Arial"/>
        </w:rPr>
      </w:pPr>
    </w:p>
    <w:p w14:paraId="4DC79843" w14:textId="45D48521" w:rsidR="00BE2C10" w:rsidRPr="0003652C" w:rsidRDefault="00BE2C10" w:rsidP="0003652C">
      <w:pPr>
        <w:pStyle w:val="Heading4"/>
        <w:spacing w:line="360" w:lineRule="auto"/>
        <w:rPr>
          <w:rFonts w:ascii="Arial" w:hAnsi="Arial" w:cs="Arial"/>
        </w:rPr>
      </w:pPr>
      <w:r w:rsidRPr="0003652C">
        <w:rPr>
          <w:rFonts w:ascii="Arial" w:hAnsi="Arial" w:cs="Arial"/>
        </w:rPr>
        <w:lastRenderedPageBreak/>
        <w:t>Programme content and the requirement for the foundations of legal knowledge</w:t>
      </w:r>
    </w:p>
    <w:p w14:paraId="204A25D7" w14:textId="24202EFD" w:rsidR="00BE2C10" w:rsidRPr="0003652C" w:rsidRDefault="00BE2C10" w:rsidP="0003652C">
      <w:pPr>
        <w:spacing w:before="120" w:line="360" w:lineRule="auto"/>
        <w:jc w:val="both"/>
        <w:rPr>
          <w:rFonts w:cs="Arial"/>
        </w:rPr>
      </w:pPr>
      <w:r w:rsidRPr="0003652C">
        <w:rPr>
          <w:rFonts w:cs="Arial"/>
        </w:rPr>
        <w:t xml:space="preserve">Reflections on the impact of the regulatory changes gave rise to the more specific theme in the data, in relation to the existence of the foundations of legal knowledge within the degree. These findings </w:t>
      </w:r>
      <w:r w:rsidR="00CD22BF" w:rsidRPr="0003652C">
        <w:rPr>
          <w:rFonts w:cs="Arial"/>
        </w:rPr>
        <w:t>have an impact when looking at the classification</w:t>
      </w:r>
      <w:r w:rsidRPr="0003652C">
        <w:rPr>
          <w:rFonts w:cs="Arial"/>
        </w:rPr>
        <w:t xml:space="preserve"> of the subject areas within the degree. As discussed previously</w:t>
      </w:r>
      <w:r w:rsidR="00FC32BB">
        <w:rPr>
          <w:rFonts w:cs="Arial"/>
        </w:rPr>
        <w:t>,</w:t>
      </w:r>
      <w:r w:rsidRPr="0003652C">
        <w:rPr>
          <w:rFonts w:cs="Arial"/>
        </w:rPr>
        <w:t xml:space="preserve"> law degrees have</w:t>
      </w:r>
      <w:r w:rsidR="00FC32BB">
        <w:rPr>
          <w:rFonts w:cs="Arial"/>
        </w:rPr>
        <w:t>,</w:t>
      </w:r>
      <w:r w:rsidRPr="0003652C">
        <w:rPr>
          <w:rFonts w:cs="Arial"/>
        </w:rPr>
        <w:t xml:space="preserve"> since the Ormrod Committee’ recommendations (Ormrod, 1971)</w:t>
      </w:r>
      <w:r w:rsidR="00FC32BB">
        <w:rPr>
          <w:rFonts w:cs="Arial"/>
        </w:rPr>
        <w:t>,</w:t>
      </w:r>
      <w:r w:rsidRPr="0003652C">
        <w:rPr>
          <w:rFonts w:cs="Arial"/>
        </w:rPr>
        <w:t xml:space="preserve"> traditionally </w:t>
      </w:r>
      <w:r w:rsidR="00FC32BB">
        <w:rPr>
          <w:rFonts w:cs="Arial"/>
        </w:rPr>
        <w:t xml:space="preserve">been </w:t>
      </w:r>
      <w:r w:rsidRPr="0003652C">
        <w:rPr>
          <w:rFonts w:cs="Arial"/>
        </w:rPr>
        <w:t xml:space="preserve">presented as a set of core modules reflecting the foundations of legal knowledge (FLKs), and options representing a series of specialised areas of law. </w:t>
      </w:r>
      <w:r w:rsidR="00BA2CF7" w:rsidRPr="0003652C">
        <w:rPr>
          <w:rFonts w:cs="Arial"/>
        </w:rPr>
        <w:t>These</w:t>
      </w:r>
      <w:r w:rsidRPr="0003652C">
        <w:rPr>
          <w:rFonts w:cs="Arial"/>
        </w:rPr>
        <w:t xml:space="preserve"> degrees </w:t>
      </w:r>
      <w:r w:rsidR="00CD22BF" w:rsidRPr="0003652C">
        <w:rPr>
          <w:rFonts w:cs="Arial"/>
        </w:rPr>
        <w:t>have largely presented</w:t>
      </w:r>
      <w:r w:rsidRPr="0003652C">
        <w:rPr>
          <w:rFonts w:cs="Arial"/>
        </w:rPr>
        <w:t xml:space="preserve"> the elements of the prescribed core singularly, as self-contained units. This has implications in course design </w:t>
      </w:r>
      <w:r w:rsidR="00CD22BF" w:rsidRPr="0003652C">
        <w:rPr>
          <w:rFonts w:cs="Arial"/>
        </w:rPr>
        <w:t>and as</w:t>
      </w:r>
      <w:r w:rsidRPr="0003652C">
        <w:rPr>
          <w:rFonts w:cs="Arial"/>
        </w:rPr>
        <w:t xml:space="preserve"> to how</w:t>
      </w:r>
      <w:r w:rsidR="00CD22BF" w:rsidRPr="0003652C">
        <w:rPr>
          <w:rFonts w:cs="Arial"/>
        </w:rPr>
        <w:t xml:space="preserve"> the</w:t>
      </w:r>
      <w:r w:rsidRPr="0003652C">
        <w:rPr>
          <w:rFonts w:cs="Arial"/>
        </w:rPr>
        <w:t xml:space="preserve"> legal academics </w:t>
      </w:r>
      <w:r w:rsidR="00CD22BF" w:rsidRPr="0003652C">
        <w:rPr>
          <w:rFonts w:cs="Arial"/>
        </w:rPr>
        <w:t xml:space="preserve">who teach these units </w:t>
      </w:r>
      <w:r w:rsidRPr="0003652C">
        <w:rPr>
          <w:rFonts w:cs="Arial"/>
        </w:rPr>
        <w:t>see themselves (Cownie, 2000). It also has important implications for a form of compartmentalised learning for the student</w:t>
      </w:r>
      <w:r w:rsidR="000670CF">
        <w:rPr>
          <w:rFonts w:cs="Arial"/>
        </w:rPr>
        <w:t>,</w:t>
      </w:r>
      <w:r w:rsidRPr="0003652C">
        <w:rPr>
          <w:rFonts w:cs="Arial"/>
        </w:rPr>
        <w:t xml:space="preserve"> much of which I discuss within the analysis of the </w:t>
      </w:r>
      <w:r w:rsidR="0075156B" w:rsidRPr="0003652C">
        <w:rPr>
          <w:rFonts w:cs="Arial"/>
        </w:rPr>
        <w:t>pedagogic recontextualising field</w:t>
      </w:r>
      <w:r w:rsidR="00CD22BF" w:rsidRPr="0003652C">
        <w:rPr>
          <w:rFonts w:cs="Arial"/>
        </w:rPr>
        <w:t xml:space="preserve"> in </w:t>
      </w:r>
      <w:r w:rsidR="009D5113">
        <w:rPr>
          <w:rFonts w:cs="Arial"/>
        </w:rPr>
        <w:t>Chapter S</w:t>
      </w:r>
      <w:r w:rsidR="00CD22BF" w:rsidRPr="0003652C">
        <w:rPr>
          <w:rFonts w:cs="Arial"/>
        </w:rPr>
        <w:t>even</w:t>
      </w:r>
      <w:r w:rsidRPr="0003652C">
        <w:rPr>
          <w:rFonts w:cs="Arial"/>
        </w:rPr>
        <w:t>.</w:t>
      </w:r>
    </w:p>
    <w:p w14:paraId="59993DE2" w14:textId="01B756E9" w:rsidR="00BE2C10" w:rsidRPr="0003652C" w:rsidRDefault="00BE2C10" w:rsidP="0003652C">
      <w:pPr>
        <w:spacing w:before="120" w:line="360" w:lineRule="auto"/>
        <w:jc w:val="both"/>
        <w:rPr>
          <w:rFonts w:cs="Arial"/>
        </w:rPr>
      </w:pPr>
      <w:r w:rsidRPr="0003652C">
        <w:rPr>
          <w:rFonts w:cs="Arial"/>
        </w:rPr>
        <w:t xml:space="preserve">The status of the FLKs in the law degree has been central to law degree design.  In more innovative law </w:t>
      </w:r>
      <w:r w:rsidR="00CD22BF" w:rsidRPr="0003652C">
        <w:rPr>
          <w:rFonts w:cs="Arial"/>
        </w:rPr>
        <w:t>degrees,</w:t>
      </w:r>
      <w:r w:rsidRPr="0003652C">
        <w:rPr>
          <w:rFonts w:cs="Arial"/>
        </w:rPr>
        <w:t xml:space="preserve"> </w:t>
      </w:r>
      <w:r w:rsidR="00CD22BF" w:rsidRPr="0003652C">
        <w:rPr>
          <w:rFonts w:cs="Arial"/>
        </w:rPr>
        <w:t>a limited amount of</w:t>
      </w:r>
      <w:r w:rsidRPr="0003652C">
        <w:rPr>
          <w:rFonts w:cs="Arial"/>
        </w:rPr>
        <w:t xml:space="preserve"> reframing of the seven subject areas</w:t>
      </w:r>
      <w:r w:rsidR="00CD22BF" w:rsidRPr="0003652C">
        <w:rPr>
          <w:rFonts w:cs="Arial"/>
        </w:rPr>
        <w:t xml:space="preserve"> is occasionally present</w:t>
      </w:r>
      <w:r w:rsidRPr="0003652C">
        <w:rPr>
          <w:rFonts w:cs="Arial"/>
        </w:rPr>
        <w:t xml:space="preserve">, bringing some together or renaming others, but these areas have still had to be recognisable by professional training providers or employers to ensure the status of </w:t>
      </w:r>
      <w:r w:rsidR="00FC32BB">
        <w:rPr>
          <w:rFonts w:cs="Arial"/>
        </w:rPr>
        <w:t xml:space="preserve">a </w:t>
      </w:r>
      <w:r w:rsidRPr="0003652C">
        <w:rPr>
          <w:rFonts w:cs="Arial"/>
        </w:rPr>
        <w:t>qualifying law degree and so there were always limitations to their adaptability. This continues to be the case for now with the Bar Standards Board (BSB, 2025). What is considered here is what was perceived to be the likely or actual impact of the removal of the requirement for the foundation subjects to appear in degrees.  Were they likely to continue to exist</w:t>
      </w:r>
      <w:r w:rsidR="00FC32BB">
        <w:rPr>
          <w:rFonts w:cs="Arial"/>
        </w:rPr>
        <w:t>,</w:t>
      </w:r>
      <w:r w:rsidRPr="0003652C">
        <w:rPr>
          <w:rFonts w:cs="Arial"/>
        </w:rPr>
        <w:t xml:space="preserve"> or did the new ‘freedom’ mean that degrees were likely to change?  This was the first real opportunity</w:t>
      </w:r>
      <w:r w:rsidR="000670CF">
        <w:rPr>
          <w:rFonts w:cs="Arial"/>
        </w:rPr>
        <w:t>,</w:t>
      </w:r>
      <w:r w:rsidRPr="0003652C">
        <w:rPr>
          <w:rFonts w:cs="Arial"/>
        </w:rPr>
        <w:t xml:space="preserve"> </w:t>
      </w:r>
      <w:r w:rsidR="000670CF">
        <w:rPr>
          <w:rFonts w:cs="Arial"/>
        </w:rPr>
        <w:t>giving</w:t>
      </w:r>
      <w:r w:rsidRPr="0003652C">
        <w:rPr>
          <w:rFonts w:cs="Arial"/>
        </w:rPr>
        <w:t xml:space="preserve"> </w:t>
      </w:r>
      <w:r w:rsidR="00711052">
        <w:rPr>
          <w:rFonts w:cs="Arial"/>
        </w:rPr>
        <w:t>law school</w:t>
      </w:r>
      <w:r w:rsidRPr="0003652C">
        <w:rPr>
          <w:rFonts w:cs="Arial"/>
        </w:rPr>
        <w:t>s the licence to consider the status of these foundation subjects in UK law degrees. If there was likely to be a great deal of change</w:t>
      </w:r>
      <w:r w:rsidR="00FC32BB">
        <w:rPr>
          <w:rFonts w:cs="Arial"/>
        </w:rPr>
        <w:t>,</w:t>
      </w:r>
      <w:r w:rsidRPr="0003652C">
        <w:rPr>
          <w:rFonts w:cs="Arial"/>
        </w:rPr>
        <w:t xml:space="preserve"> then that assists in analysing the power of the professional bodies within the ORF and on the PRF, both previously and going forward. </w:t>
      </w:r>
    </w:p>
    <w:p w14:paraId="6B3CB1BC" w14:textId="6C1F8D77" w:rsidR="00BE2C10" w:rsidRPr="0003652C" w:rsidRDefault="00BE2C10" w:rsidP="0003652C">
      <w:pPr>
        <w:spacing w:before="120" w:line="360" w:lineRule="auto"/>
        <w:jc w:val="both"/>
        <w:rPr>
          <w:rFonts w:cs="Arial"/>
        </w:rPr>
      </w:pPr>
      <w:r w:rsidRPr="0003652C">
        <w:rPr>
          <w:rFonts w:cs="Arial"/>
        </w:rPr>
        <w:lastRenderedPageBreak/>
        <w:t xml:space="preserve">Whilst the instigation for some of the review processes under investigation in this research was the relaxation of the rules governing the qualifying law degree, the findings show that the changes to the Solicitors Regulatory Authority’s regulations were perceived to have little direct impact on the classification of the content of the degrees.  The withdrawal of the regulation was not regarded as necessitating a sudden abandonment of what might be seen to be the traditional structure of the LLB, with the standard foundational subjects remaining. Whilst some </w:t>
      </w:r>
      <w:r w:rsidR="00711052">
        <w:rPr>
          <w:rFonts w:cs="Arial"/>
        </w:rPr>
        <w:t>school</w:t>
      </w:r>
      <w:r w:rsidRPr="0003652C">
        <w:rPr>
          <w:rFonts w:cs="Arial"/>
        </w:rPr>
        <w:t>s have considered removing the core status of some of these subjects, this has not happened</w:t>
      </w:r>
      <w:r w:rsidR="00C47615" w:rsidRPr="0003652C">
        <w:rPr>
          <w:rFonts w:cs="Arial"/>
        </w:rPr>
        <w:t xml:space="preserve">. This supports two documentary assessments of this (Raisah, 2022; </w:t>
      </w:r>
      <w:r w:rsidRPr="0003652C">
        <w:rPr>
          <w:rFonts w:cs="Arial"/>
        </w:rPr>
        <w:t>Giles &amp; Ang, 2025). The positioning of modules covering European law has shifted in some cases</w:t>
      </w:r>
      <w:r w:rsidR="000670CF">
        <w:rPr>
          <w:rFonts w:cs="Arial"/>
        </w:rPr>
        <w:t>,</w:t>
      </w:r>
      <w:r w:rsidRPr="0003652C">
        <w:rPr>
          <w:rFonts w:cs="Arial"/>
        </w:rPr>
        <w:t xml:space="preserve"> being subsumed within other modules or made optional rather than core</w:t>
      </w:r>
      <w:r w:rsidR="000670CF">
        <w:rPr>
          <w:rFonts w:cs="Arial"/>
        </w:rPr>
        <w:t>,</w:t>
      </w:r>
      <w:r w:rsidRPr="0003652C">
        <w:rPr>
          <w:rFonts w:cs="Arial"/>
        </w:rPr>
        <w:t xml:space="preserve"> but reflections on this pointed to this being </w:t>
      </w:r>
      <w:r w:rsidR="00C47615" w:rsidRPr="0003652C">
        <w:rPr>
          <w:rFonts w:cs="Arial"/>
        </w:rPr>
        <w:t xml:space="preserve">a result </w:t>
      </w:r>
      <w:r w:rsidR="00063441" w:rsidRPr="0003652C">
        <w:rPr>
          <w:rFonts w:cs="Arial"/>
        </w:rPr>
        <w:t>of the</w:t>
      </w:r>
      <w:r w:rsidRPr="0003652C">
        <w:rPr>
          <w:rFonts w:cs="Arial"/>
        </w:rPr>
        <w:t xml:space="preserve"> UK</w:t>
      </w:r>
      <w:r w:rsidR="00FC32BB">
        <w:rPr>
          <w:rFonts w:cs="Arial"/>
        </w:rPr>
        <w:t>’</w:t>
      </w:r>
      <w:r w:rsidRPr="0003652C">
        <w:rPr>
          <w:rFonts w:cs="Arial"/>
        </w:rPr>
        <w:t xml:space="preserve">s relationship with the European Union as opposed to what has been seen to be core disciplinary knowledge.  In only ten institutions </w:t>
      </w:r>
      <w:r w:rsidR="00464720" w:rsidRPr="0003652C">
        <w:rPr>
          <w:rFonts w:cs="Arial"/>
        </w:rPr>
        <w:t>in England and Wales were</w:t>
      </w:r>
      <w:r w:rsidRPr="0003652C">
        <w:rPr>
          <w:rFonts w:cs="Arial"/>
        </w:rPr>
        <w:t xml:space="preserve"> the FLKs optional (Rasiah, 2022).</w:t>
      </w:r>
    </w:p>
    <w:p w14:paraId="230B569D" w14:textId="5D1B6A74" w:rsidR="00BE2C10" w:rsidRPr="0003652C" w:rsidRDefault="00BE2C10" w:rsidP="0003652C">
      <w:pPr>
        <w:spacing w:line="360" w:lineRule="auto"/>
        <w:jc w:val="both"/>
        <w:rPr>
          <w:rFonts w:cs="Arial"/>
          <w:color w:val="000000" w:themeColor="text1"/>
        </w:rPr>
      </w:pPr>
      <w:r w:rsidRPr="0003652C">
        <w:rPr>
          <w:rFonts w:cs="Arial"/>
          <w:color w:val="000000" w:themeColor="text1"/>
        </w:rPr>
        <w:t>The findings here reflect this</w:t>
      </w:r>
      <w:r w:rsidR="00FC32BB">
        <w:rPr>
          <w:rFonts w:cs="Arial"/>
          <w:color w:val="000000" w:themeColor="text1"/>
        </w:rPr>
        <w:t>,</w:t>
      </w:r>
      <w:r w:rsidRPr="0003652C">
        <w:rPr>
          <w:rFonts w:cs="Arial"/>
          <w:color w:val="000000" w:themeColor="text1"/>
        </w:rPr>
        <w:t xml:space="preserve"> with all </w:t>
      </w:r>
      <w:r w:rsidR="00711052">
        <w:rPr>
          <w:rFonts w:cs="Arial"/>
          <w:color w:val="000000" w:themeColor="text1"/>
        </w:rPr>
        <w:t>designer</w:t>
      </w:r>
      <w:r w:rsidRPr="0003652C">
        <w:rPr>
          <w:rFonts w:cs="Arial"/>
          <w:color w:val="000000" w:themeColor="text1"/>
        </w:rPr>
        <w:t xml:space="preserve">s </w:t>
      </w:r>
      <w:r w:rsidR="00711052">
        <w:rPr>
          <w:rFonts w:cs="Arial"/>
          <w:color w:val="000000" w:themeColor="text1"/>
        </w:rPr>
        <w:t>expressing</w:t>
      </w:r>
      <w:r w:rsidRPr="0003652C">
        <w:rPr>
          <w:rFonts w:cs="Arial"/>
          <w:color w:val="000000" w:themeColor="text1"/>
        </w:rPr>
        <w:t xml:space="preserve"> an expectation that students would do all or most of the core FLKs</w:t>
      </w:r>
      <w:r w:rsidR="009C3946" w:rsidRPr="0003652C">
        <w:rPr>
          <w:rFonts w:cs="Arial"/>
          <w:color w:val="000000" w:themeColor="text1"/>
        </w:rPr>
        <w:t xml:space="preserve"> </w:t>
      </w:r>
      <w:r w:rsidR="009C3946" w:rsidRPr="0003652C">
        <w:rPr>
          <w:rFonts w:cs="Arial"/>
        </w:rPr>
        <w:t>(Appendix 5, Table 5.2)</w:t>
      </w:r>
      <w:r w:rsidRPr="0003652C">
        <w:rPr>
          <w:rFonts w:cs="Arial"/>
          <w:color w:val="000000" w:themeColor="text1"/>
        </w:rPr>
        <w:t xml:space="preserve">. The reasons for this varied, however. </w:t>
      </w:r>
    </w:p>
    <w:p w14:paraId="696030AD" w14:textId="30B711E1"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The disciplinary need for these subjects has been debated since the 1970s, with some </w:t>
      </w:r>
      <w:r w:rsidR="00C47615" w:rsidRPr="0003652C">
        <w:rPr>
          <w:rFonts w:cs="Arial"/>
          <w:color w:val="000000" w:themeColor="text1"/>
        </w:rPr>
        <w:t xml:space="preserve">perceiving that </w:t>
      </w:r>
      <w:r w:rsidRPr="0003652C">
        <w:rPr>
          <w:rFonts w:cs="Arial"/>
          <w:color w:val="000000" w:themeColor="text1"/>
        </w:rPr>
        <w:t xml:space="preserve">the prescription of these in the curriculum, and in particular any addition to these by the regulatory bodies, </w:t>
      </w:r>
      <w:r w:rsidR="00C47615" w:rsidRPr="0003652C">
        <w:rPr>
          <w:rFonts w:cs="Arial"/>
          <w:color w:val="000000" w:themeColor="text1"/>
        </w:rPr>
        <w:t>was</w:t>
      </w:r>
      <w:r w:rsidRPr="0003652C">
        <w:rPr>
          <w:rFonts w:cs="Arial"/>
          <w:color w:val="000000" w:themeColor="text1"/>
        </w:rPr>
        <w:t xml:space="preserve"> an imposition that limited the autonomy of the academics (Boon &amp; Webb, 2008)</w:t>
      </w:r>
      <w:r w:rsidR="00C47615" w:rsidRPr="0003652C">
        <w:rPr>
          <w:rFonts w:cs="Arial"/>
          <w:color w:val="000000" w:themeColor="text1"/>
        </w:rPr>
        <w:t>. Others</w:t>
      </w:r>
      <w:r w:rsidR="00FC32BB">
        <w:rPr>
          <w:rFonts w:cs="Arial"/>
          <w:color w:val="000000" w:themeColor="text1"/>
        </w:rPr>
        <w:t>,</w:t>
      </w:r>
      <w:r w:rsidR="00C47615" w:rsidRPr="0003652C">
        <w:rPr>
          <w:rFonts w:cs="Arial"/>
          <w:color w:val="000000" w:themeColor="text1"/>
        </w:rPr>
        <w:t xml:space="preserve"> however</w:t>
      </w:r>
      <w:r w:rsidR="00FC32BB">
        <w:rPr>
          <w:rFonts w:cs="Arial"/>
          <w:color w:val="000000" w:themeColor="text1"/>
        </w:rPr>
        <w:t>,</w:t>
      </w:r>
      <w:r w:rsidR="00C47615" w:rsidRPr="0003652C">
        <w:rPr>
          <w:rFonts w:cs="Arial"/>
          <w:color w:val="000000" w:themeColor="text1"/>
        </w:rPr>
        <w:t xml:space="preserve"> felt that </w:t>
      </w:r>
      <w:r w:rsidRPr="0003652C">
        <w:rPr>
          <w:rFonts w:cs="Arial"/>
          <w:color w:val="000000" w:themeColor="text1"/>
        </w:rPr>
        <w:t>they were important for the profession (Hand &amp; Sparrow, 2015). The findings here present the core foundations as important,</w:t>
      </w:r>
    </w:p>
    <w:p w14:paraId="2A384334" w14:textId="7FCFCC83" w:rsidR="00BE2C10" w:rsidRPr="0003652C" w:rsidRDefault="00BE2C10" w:rsidP="0003652C">
      <w:pPr>
        <w:spacing w:line="360" w:lineRule="auto"/>
        <w:ind w:left="720"/>
        <w:jc w:val="both"/>
        <w:rPr>
          <w:rFonts w:cs="Arial"/>
          <w:color w:val="000000" w:themeColor="text1"/>
        </w:rPr>
      </w:pPr>
      <w:r w:rsidRPr="0003652C">
        <w:rPr>
          <w:rFonts w:cs="Arial"/>
          <w:color w:val="000000" w:themeColor="text1"/>
        </w:rPr>
        <w:t xml:space="preserve">There is a sort of </w:t>
      </w:r>
      <w:r w:rsidR="00FC32BB" w:rsidRPr="0003652C">
        <w:rPr>
          <w:rFonts w:cs="Arial"/>
          <w:color w:val="000000" w:themeColor="text1"/>
        </w:rPr>
        <w:t>baked</w:t>
      </w:r>
      <w:r w:rsidR="00FC32BB">
        <w:rPr>
          <w:rFonts w:cs="Arial"/>
          <w:color w:val="000000" w:themeColor="text1"/>
        </w:rPr>
        <w:t>-</w:t>
      </w:r>
      <w:r w:rsidRPr="0003652C">
        <w:rPr>
          <w:rFonts w:cs="Arial"/>
          <w:color w:val="000000" w:themeColor="text1"/>
        </w:rPr>
        <w:t xml:space="preserve">in expectation of students that they will do the core legal subjects. They still are perceived as being core, although there might be debates at the margins of whether EU </w:t>
      </w:r>
      <w:r w:rsidR="00FC32BB">
        <w:rPr>
          <w:rFonts w:cs="Arial"/>
          <w:color w:val="000000" w:themeColor="text1"/>
        </w:rPr>
        <w:t xml:space="preserve">law </w:t>
      </w:r>
      <w:r w:rsidRPr="0003652C">
        <w:rPr>
          <w:rFonts w:cs="Arial"/>
          <w:color w:val="000000" w:themeColor="text1"/>
        </w:rPr>
        <w:t>should be there and so on and so forth. There is still a perception that there is a core there</w:t>
      </w:r>
      <w:r w:rsidR="00464720" w:rsidRPr="0003652C">
        <w:rPr>
          <w:rFonts w:cs="Arial"/>
          <w:color w:val="000000" w:themeColor="text1"/>
        </w:rPr>
        <w:t xml:space="preserve"> (S).</w:t>
      </w:r>
      <w:r w:rsidRPr="0003652C">
        <w:rPr>
          <w:rFonts w:cs="Arial"/>
          <w:color w:val="000000" w:themeColor="text1"/>
        </w:rPr>
        <w:t xml:space="preserve"> </w:t>
      </w:r>
    </w:p>
    <w:p w14:paraId="299680CE" w14:textId="2E4505BA" w:rsidR="00BE2C10" w:rsidRPr="0003652C" w:rsidRDefault="00BE2C10" w:rsidP="0003652C">
      <w:pPr>
        <w:spacing w:line="360" w:lineRule="auto"/>
        <w:jc w:val="both"/>
        <w:rPr>
          <w:rFonts w:cs="Arial"/>
          <w:color w:val="000000" w:themeColor="text1"/>
        </w:rPr>
      </w:pPr>
      <w:r w:rsidRPr="0003652C">
        <w:rPr>
          <w:rFonts w:cs="Arial"/>
          <w:color w:val="000000" w:themeColor="text1"/>
        </w:rPr>
        <w:t xml:space="preserve">Only one participant had suggested that the core might become optional, although this had not been </w:t>
      </w:r>
      <w:r w:rsidR="00BA2CF7" w:rsidRPr="0003652C">
        <w:rPr>
          <w:rFonts w:cs="Arial"/>
          <w:color w:val="000000" w:themeColor="text1"/>
        </w:rPr>
        <w:t>implemented</w:t>
      </w:r>
      <w:r w:rsidRPr="0003652C">
        <w:rPr>
          <w:rFonts w:cs="Arial"/>
          <w:color w:val="000000" w:themeColor="text1"/>
        </w:rPr>
        <w:t xml:space="preserve"> due to concerns about student choice.</w:t>
      </w:r>
    </w:p>
    <w:p w14:paraId="37264302" w14:textId="7B5DD0D6" w:rsidR="00BE2C10" w:rsidRPr="0003652C" w:rsidRDefault="00BE2C10" w:rsidP="0003652C">
      <w:pPr>
        <w:spacing w:line="360" w:lineRule="auto"/>
        <w:jc w:val="both"/>
        <w:rPr>
          <w:rFonts w:cs="Arial"/>
        </w:rPr>
      </w:pPr>
      <w:r w:rsidRPr="0003652C">
        <w:rPr>
          <w:rFonts w:cs="Arial"/>
        </w:rPr>
        <w:lastRenderedPageBreak/>
        <w:t xml:space="preserve">The uncertainty that the changes created continued with reflections on the requirements of </w:t>
      </w:r>
      <w:r w:rsidR="00FC32BB">
        <w:rPr>
          <w:rFonts w:cs="Arial"/>
        </w:rPr>
        <w:t xml:space="preserve">the </w:t>
      </w:r>
      <w:r w:rsidRPr="0003652C">
        <w:rPr>
          <w:rFonts w:cs="Arial"/>
        </w:rPr>
        <w:t>Bar Standards Board. The future here was less clear</w:t>
      </w:r>
      <w:r w:rsidR="00FC32BB">
        <w:rPr>
          <w:rFonts w:cs="Arial"/>
        </w:rPr>
        <w:t>,</w:t>
      </w:r>
      <w:r w:rsidRPr="0003652C">
        <w:rPr>
          <w:rFonts w:cs="Arial"/>
        </w:rPr>
        <w:t xml:space="preserve"> as there has been an ongoing consultation</w:t>
      </w:r>
      <w:r w:rsidR="00FC32BB">
        <w:rPr>
          <w:rFonts w:cs="Arial"/>
        </w:rPr>
        <w:t>,</w:t>
      </w:r>
      <w:r w:rsidRPr="0003652C">
        <w:rPr>
          <w:rFonts w:cs="Arial"/>
        </w:rPr>
        <w:t xml:space="preserve"> and so there was a sense of wait and see. The BSB has trailed behind the Solicitors Regulatory Authority in pursuing change</w:t>
      </w:r>
      <w:r w:rsidR="000670CF">
        <w:rPr>
          <w:rFonts w:cs="Arial"/>
        </w:rPr>
        <w:t>,</w:t>
      </w:r>
      <w:r w:rsidRPr="0003652C">
        <w:rPr>
          <w:rFonts w:cs="Arial"/>
        </w:rPr>
        <w:t xml:space="preserve"> and currently the Bar Standards Board still requires a degree to teach the foundational subjects</w:t>
      </w:r>
      <w:r w:rsidR="000670CF">
        <w:rPr>
          <w:rFonts w:cs="Arial"/>
        </w:rPr>
        <w:t>,</w:t>
      </w:r>
      <w:r w:rsidRPr="0003652C">
        <w:rPr>
          <w:rFonts w:cs="Arial"/>
        </w:rPr>
        <w:t xml:space="preserve"> but there are no format, length, or content requirements, which were present before. There were a few mentions of the Bar requirements</w:t>
      </w:r>
      <w:r w:rsidR="00FC32BB">
        <w:rPr>
          <w:rFonts w:cs="Arial"/>
        </w:rPr>
        <w:t>,</w:t>
      </w:r>
      <w:r w:rsidRPr="0003652C">
        <w:rPr>
          <w:rFonts w:cs="Arial"/>
        </w:rPr>
        <w:t xml:space="preserve"> with two of </w:t>
      </w:r>
      <w:r w:rsidR="00FC32BB">
        <w:rPr>
          <w:rFonts w:cs="Arial"/>
        </w:rPr>
        <w:t xml:space="preserve">the </w:t>
      </w:r>
      <w:r w:rsidR="00711052">
        <w:rPr>
          <w:rFonts w:cs="Arial"/>
        </w:rPr>
        <w:t xml:space="preserve">participants from </w:t>
      </w:r>
      <w:r w:rsidRPr="0003652C">
        <w:rPr>
          <w:rFonts w:cs="Arial"/>
        </w:rPr>
        <w:t xml:space="preserve">the selective </w:t>
      </w:r>
      <w:r w:rsidR="00711052">
        <w:rPr>
          <w:rFonts w:cs="Arial"/>
        </w:rPr>
        <w:t>school</w:t>
      </w:r>
      <w:r w:rsidRPr="0003652C">
        <w:rPr>
          <w:rFonts w:cs="Arial"/>
        </w:rPr>
        <w:t xml:space="preserve">s referring to the ongoing consultation and another referring to it as ‘a stumbling block’ due to the lack of clarity. One </w:t>
      </w:r>
      <w:r w:rsidR="00711052">
        <w:rPr>
          <w:rFonts w:cs="Arial"/>
        </w:rPr>
        <w:t xml:space="preserve">participant from a </w:t>
      </w:r>
      <w:r w:rsidRPr="0003652C">
        <w:rPr>
          <w:rFonts w:cs="Arial"/>
        </w:rPr>
        <w:t xml:space="preserve">semi-selective </w:t>
      </w:r>
      <w:r w:rsidR="00711052">
        <w:rPr>
          <w:rFonts w:cs="Arial"/>
        </w:rPr>
        <w:t>school</w:t>
      </w:r>
      <w:r w:rsidRPr="0003652C">
        <w:rPr>
          <w:rFonts w:cs="Arial"/>
        </w:rPr>
        <w:t xml:space="preserve"> mentioned the need for them to align with the Bar for their students from Northern Ireland who required that recognition. This is interesting in itself as relatively few students progress</w:t>
      </w:r>
      <w:r w:rsidR="00BB1611" w:rsidRPr="0003652C">
        <w:rPr>
          <w:rFonts w:cs="Arial"/>
        </w:rPr>
        <w:t>, due to choice or otherwise</w:t>
      </w:r>
      <w:r w:rsidR="00E94B96" w:rsidRPr="0003652C">
        <w:rPr>
          <w:rFonts w:cs="Arial"/>
        </w:rPr>
        <w:t>,</w:t>
      </w:r>
      <w:r w:rsidRPr="0003652C">
        <w:rPr>
          <w:rFonts w:cs="Arial"/>
        </w:rPr>
        <w:t xml:space="preserve"> to the Bar (BSB, 2024a). This </w:t>
      </w:r>
      <w:r w:rsidR="00FC32BB">
        <w:rPr>
          <w:rFonts w:cs="Arial"/>
        </w:rPr>
        <w:t>regulator, therefore, having any influence over the curriculum, might be seen as</w:t>
      </w:r>
      <w:r w:rsidRPr="0003652C">
        <w:rPr>
          <w:rFonts w:cs="Arial"/>
        </w:rPr>
        <w:t xml:space="preserve"> excessive (Vaughan, 2025). </w:t>
      </w:r>
    </w:p>
    <w:p w14:paraId="51E57B51" w14:textId="794BDE4C" w:rsidR="00BE2C10" w:rsidRPr="0003652C" w:rsidRDefault="00BE2C10" w:rsidP="0003652C">
      <w:pPr>
        <w:spacing w:line="360" w:lineRule="auto"/>
        <w:jc w:val="both"/>
        <w:rPr>
          <w:rFonts w:cs="Arial"/>
        </w:rPr>
      </w:pPr>
      <w:r w:rsidRPr="0003652C">
        <w:rPr>
          <w:rFonts w:cs="Arial"/>
        </w:rPr>
        <w:t xml:space="preserve">An interesting theme that arose almost entirely as a concern from the selective </w:t>
      </w:r>
      <w:r w:rsidR="00711052">
        <w:rPr>
          <w:rFonts w:cs="Arial"/>
        </w:rPr>
        <w:t>school</w:t>
      </w:r>
      <w:r w:rsidRPr="0003652C">
        <w:rPr>
          <w:rFonts w:cs="Arial"/>
        </w:rPr>
        <w:t xml:space="preserve">s was the interrelationship between the national regulators in the UK and those in other jurisdictions. The void that appeared from the withdrawal of the SRA had been increasing in visibility during </w:t>
      </w:r>
      <w:r w:rsidR="00E50173">
        <w:rPr>
          <w:rFonts w:cs="Arial"/>
        </w:rPr>
        <w:t>COVID</w:t>
      </w:r>
      <w:r w:rsidRPr="0003652C">
        <w:rPr>
          <w:rFonts w:cs="Arial"/>
        </w:rPr>
        <w:t xml:space="preserve"> and had begun to be filled with the regulatory requirements of professional bodies in other jurisdictions such as Canada and Malaysia. </w:t>
      </w:r>
      <w:r w:rsidR="00E94B96" w:rsidRPr="0003652C">
        <w:rPr>
          <w:rFonts w:cs="Arial"/>
        </w:rPr>
        <w:t>Until recently</w:t>
      </w:r>
      <w:r w:rsidR="00FC32BB">
        <w:rPr>
          <w:rFonts w:cs="Arial"/>
        </w:rPr>
        <w:t>,</w:t>
      </w:r>
      <w:r w:rsidRPr="0003652C">
        <w:rPr>
          <w:rFonts w:cs="Arial"/>
        </w:rPr>
        <w:t xml:space="preserve"> regulatory professional bodies</w:t>
      </w:r>
      <w:r w:rsidR="00E94B96" w:rsidRPr="0003652C">
        <w:rPr>
          <w:rFonts w:cs="Arial"/>
        </w:rPr>
        <w:t xml:space="preserve"> from many other jurisdictions, particularly those from the commonwealth,</w:t>
      </w:r>
      <w:r w:rsidRPr="0003652C">
        <w:rPr>
          <w:rFonts w:cs="Arial"/>
        </w:rPr>
        <w:t xml:space="preserve"> have been happy to defer to the regulatory framework that </w:t>
      </w:r>
      <w:r w:rsidR="00E94B96" w:rsidRPr="0003652C">
        <w:rPr>
          <w:rFonts w:cs="Arial"/>
        </w:rPr>
        <w:t xml:space="preserve">the English and </w:t>
      </w:r>
      <w:r w:rsidR="00380A2B" w:rsidRPr="0003652C">
        <w:rPr>
          <w:rFonts w:cs="Arial"/>
        </w:rPr>
        <w:t>W</w:t>
      </w:r>
      <w:r w:rsidR="00E94B96" w:rsidRPr="0003652C">
        <w:rPr>
          <w:rFonts w:cs="Arial"/>
        </w:rPr>
        <w:t>elsh</w:t>
      </w:r>
      <w:r w:rsidRPr="0003652C">
        <w:rPr>
          <w:rFonts w:cs="Arial"/>
        </w:rPr>
        <w:t xml:space="preserve"> professional bodies imposed for the purposes of accrediting the academic education for students coming from those jurisdictions to study in the UK, but as these frameworks were being withdrawn</w:t>
      </w:r>
      <w:r w:rsidR="00FC32BB">
        <w:rPr>
          <w:rFonts w:cs="Arial"/>
        </w:rPr>
        <w:t>,</w:t>
      </w:r>
      <w:r w:rsidRPr="0003652C">
        <w:rPr>
          <w:rFonts w:cs="Arial"/>
        </w:rPr>
        <w:t xml:space="preserve"> it was seen to be a concern. More than one institution stated that they needed to maintain the foundational subjects</w:t>
      </w:r>
      <w:r w:rsidR="00FC32BB">
        <w:rPr>
          <w:rFonts w:cs="Arial"/>
        </w:rPr>
        <w:t>,</w:t>
      </w:r>
      <w:r w:rsidRPr="0003652C">
        <w:rPr>
          <w:rFonts w:cs="Arial"/>
        </w:rPr>
        <w:t xml:space="preserve"> as that </w:t>
      </w:r>
      <w:r w:rsidR="000670CF">
        <w:rPr>
          <w:rFonts w:cs="Arial"/>
        </w:rPr>
        <w:t>was</w:t>
      </w:r>
      <w:r w:rsidRPr="0003652C">
        <w:rPr>
          <w:rFonts w:cs="Arial"/>
        </w:rPr>
        <w:t xml:space="preserve"> what other jurisdictions would recognise as qualifying.  </w:t>
      </w:r>
    </w:p>
    <w:p w14:paraId="28A6C801" w14:textId="52EE9AAC" w:rsidR="00BE2C10" w:rsidRPr="0003652C" w:rsidRDefault="00BE2C10" w:rsidP="0005689B">
      <w:pPr>
        <w:spacing w:line="360" w:lineRule="auto"/>
        <w:ind w:left="720"/>
        <w:jc w:val="both"/>
        <w:rPr>
          <w:rFonts w:cs="Arial"/>
        </w:rPr>
      </w:pPr>
      <w:r w:rsidRPr="0003652C">
        <w:rPr>
          <w:rFonts w:cs="Arial"/>
        </w:rPr>
        <w:t>I also think there was a marked change in the level of scrutiny we were getting from international bodies. I think that was because they fell out of love with the SRA</w:t>
      </w:r>
      <w:r w:rsidR="00FC32BB">
        <w:rPr>
          <w:rFonts w:cs="Arial"/>
        </w:rPr>
        <w:t>,</w:t>
      </w:r>
      <w:r w:rsidRPr="0003652C">
        <w:rPr>
          <w:rFonts w:cs="Arial"/>
        </w:rPr>
        <w:t xml:space="preserve"> and in particular</w:t>
      </w:r>
      <w:r w:rsidR="00FC32BB">
        <w:rPr>
          <w:rFonts w:cs="Arial"/>
        </w:rPr>
        <w:t>,</w:t>
      </w:r>
      <w:r w:rsidRPr="0003652C">
        <w:rPr>
          <w:rFonts w:cs="Arial"/>
        </w:rPr>
        <w:t xml:space="preserve"> they said</w:t>
      </w:r>
      <w:r w:rsidR="00FC32BB">
        <w:rPr>
          <w:rFonts w:cs="Arial"/>
        </w:rPr>
        <w:t>,</w:t>
      </w:r>
      <w:r w:rsidRPr="0003652C">
        <w:rPr>
          <w:rFonts w:cs="Arial"/>
        </w:rPr>
        <w:t xml:space="preserve"> if you're not going to pay attention to this, we have </w:t>
      </w:r>
      <w:r w:rsidR="00464720" w:rsidRPr="0003652C">
        <w:rPr>
          <w:rFonts w:cs="Arial"/>
        </w:rPr>
        <w:t>to (</w:t>
      </w:r>
      <w:r w:rsidR="00380A2B" w:rsidRPr="0003652C">
        <w:rPr>
          <w:rFonts w:cs="Arial"/>
        </w:rPr>
        <w:t>S)</w:t>
      </w:r>
      <w:r w:rsidR="00464720" w:rsidRPr="0003652C">
        <w:rPr>
          <w:rFonts w:cs="Arial"/>
        </w:rPr>
        <w:t>.</w:t>
      </w:r>
    </w:p>
    <w:p w14:paraId="7B212F4B" w14:textId="02F27C57" w:rsidR="00BE2C10" w:rsidRPr="0003652C" w:rsidRDefault="00BE2C10" w:rsidP="0005689B">
      <w:pPr>
        <w:spacing w:line="360" w:lineRule="auto"/>
        <w:jc w:val="both"/>
        <w:rPr>
          <w:rFonts w:cs="Arial"/>
        </w:rPr>
      </w:pPr>
      <w:r w:rsidRPr="0003652C">
        <w:rPr>
          <w:rFonts w:cs="Arial"/>
        </w:rPr>
        <w:lastRenderedPageBreak/>
        <w:t xml:space="preserve">Whilst the internationalisation of higher legal education in general is growing with students exchanging or relocating from one jurisdiction to another (Law Society, 2022; Webb, 2025) this only arose as a theme in the selective </w:t>
      </w:r>
      <w:r w:rsidR="00711052">
        <w:rPr>
          <w:rFonts w:cs="Arial"/>
        </w:rPr>
        <w:t>school</w:t>
      </w:r>
      <w:r w:rsidRPr="0003652C">
        <w:rPr>
          <w:rFonts w:cs="Arial"/>
        </w:rPr>
        <w:t xml:space="preserve">s, possibly reflected the more prominent position of these </w:t>
      </w:r>
      <w:r w:rsidR="00711052">
        <w:rPr>
          <w:rFonts w:cs="Arial"/>
        </w:rPr>
        <w:t>universitie</w:t>
      </w:r>
      <w:r w:rsidRPr="0003652C">
        <w:rPr>
          <w:rFonts w:cs="Arial"/>
        </w:rPr>
        <w:t xml:space="preserve">s in the market for international students and so the heightened sensitivity </w:t>
      </w:r>
      <w:r w:rsidR="00711052">
        <w:rPr>
          <w:rFonts w:cs="Arial"/>
        </w:rPr>
        <w:t>there</w:t>
      </w:r>
      <w:r w:rsidRPr="0003652C">
        <w:rPr>
          <w:rFonts w:cs="Arial"/>
        </w:rPr>
        <w:t xml:space="preserve"> to the demands of that market and the foreign regulators. This might be particularly so </w:t>
      </w:r>
      <w:r w:rsidR="00E94B96" w:rsidRPr="0003652C">
        <w:rPr>
          <w:rFonts w:cs="Arial"/>
        </w:rPr>
        <w:t>considering</w:t>
      </w:r>
      <w:r w:rsidRPr="0003652C">
        <w:rPr>
          <w:rFonts w:cs="Arial"/>
        </w:rPr>
        <w:t xml:space="preserve"> the attempts of recent governments to reconcile their ‘objectives to international </w:t>
      </w:r>
      <w:r w:rsidRPr="0003652C">
        <w:rPr>
          <w:rFonts w:cs="Arial"/>
          <w:color w:val="000000" w:themeColor="text1"/>
        </w:rPr>
        <w:t xml:space="preserve">students with broader UK immigration policy’ (House of Commons, 2024). </w:t>
      </w:r>
      <w:r w:rsidRPr="0003652C">
        <w:rPr>
          <w:rFonts w:cs="Arial"/>
        </w:rPr>
        <w:t xml:space="preserve">It does provide an additional reason as to why there wasn’t a wholesale abandonment of the foundational subjects. </w:t>
      </w:r>
    </w:p>
    <w:p w14:paraId="17189B37" w14:textId="772BF27B" w:rsidR="00BE2C10" w:rsidRPr="0003652C" w:rsidRDefault="00BE2C10" w:rsidP="0003652C">
      <w:pPr>
        <w:pStyle w:val="Heading4"/>
        <w:spacing w:line="360" w:lineRule="auto"/>
        <w:rPr>
          <w:rFonts w:ascii="Arial" w:hAnsi="Arial" w:cs="Arial"/>
        </w:rPr>
      </w:pPr>
      <w:r w:rsidRPr="0003652C">
        <w:rPr>
          <w:rFonts w:ascii="Arial" w:hAnsi="Arial" w:cs="Arial"/>
        </w:rPr>
        <w:t>Concluding comments on the influence and impact of regulatory bodies</w:t>
      </w:r>
    </w:p>
    <w:p w14:paraId="22E3751A" w14:textId="2B98CBC8" w:rsidR="00BE2C10" w:rsidRPr="0003652C" w:rsidRDefault="00BE2C10" w:rsidP="0003652C">
      <w:pPr>
        <w:spacing w:line="360" w:lineRule="auto"/>
        <w:jc w:val="both"/>
        <w:rPr>
          <w:rFonts w:cs="Arial"/>
        </w:rPr>
      </w:pPr>
      <w:r w:rsidRPr="0003652C">
        <w:rPr>
          <w:rFonts w:cs="Arial"/>
        </w:rPr>
        <w:t xml:space="preserve">The regulatory changes here arguably provide an opportunity for change. I return to this when I consider the findings relating to the PRF. There is a </w:t>
      </w:r>
      <w:r w:rsidR="00E94B96" w:rsidRPr="0003652C">
        <w:rPr>
          <w:rFonts w:cs="Arial"/>
        </w:rPr>
        <w:t xml:space="preserve">voluntary </w:t>
      </w:r>
      <w:r w:rsidRPr="0003652C">
        <w:rPr>
          <w:rFonts w:cs="Arial"/>
        </w:rPr>
        <w:t>weakening of regulatory bodies’ power over the curriculum</w:t>
      </w:r>
      <w:r w:rsidR="00E94B96" w:rsidRPr="0003652C">
        <w:rPr>
          <w:rFonts w:cs="Arial"/>
        </w:rPr>
        <w:t>, which</w:t>
      </w:r>
      <w:r w:rsidR="00FC32BB">
        <w:rPr>
          <w:rFonts w:cs="Arial"/>
        </w:rPr>
        <w:t>,</w:t>
      </w:r>
      <w:r w:rsidR="00E94B96" w:rsidRPr="0003652C">
        <w:rPr>
          <w:rFonts w:cs="Arial"/>
        </w:rPr>
        <w:t xml:space="preserve"> within the pedagogic device</w:t>
      </w:r>
      <w:r w:rsidR="00FC32BB">
        <w:rPr>
          <w:rFonts w:cs="Arial"/>
        </w:rPr>
        <w:t>,</w:t>
      </w:r>
      <w:r w:rsidRPr="0003652C">
        <w:rPr>
          <w:rFonts w:cs="Arial"/>
        </w:rPr>
        <w:t xml:space="preserve"> </w:t>
      </w:r>
      <w:r w:rsidR="00E94B96" w:rsidRPr="0003652C">
        <w:rPr>
          <w:rFonts w:cs="Arial"/>
        </w:rPr>
        <w:t>has the potential to allow for</w:t>
      </w:r>
      <w:r w:rsidRPr="0003652C">
        <w:rPr>
          <w:rFonts w:cs="Arial"/>
        </w:rPr>
        <w:t xml:space="preserve"> autonomy and freedom in the PRF. The findings however</w:t>
      </w:r>
      <w:r w:rsidR="00FC32BB">
        <w:rPr>
          <w:rFonts w:cs="Arial"/>
        </w:rPr>
        <w:t>,</w:t>
      </w:r>
      <w:r w:rsidRPr="0003652C">
        <w:rPr>
          <w:rFonts w:cs="Arial"/>
        </w:rPr>
        <w:t xml:space="preserve"> show </w:t>
      </w:r>
      <w:r w:rsidR="00B92293" w:rsidRPr="0003652C">
        <w:rPr>
          <w:rFonts w:cs="Arial"/>
        </w:rPr>
        <w:t>that</w:t>
      </w:r>
      <w:r w:rsidRPr="0003652C">
        <w:rPr>
          <w:rFonts w:cs="Arial"/>
        </w:rPr>
        <w:t xml:space="preserve"> the legal foundations of knowledge </w:t>
      </w:r>
      <w:r w:rsidR="00B92293" w:rsidRPr="0003652C">
        <w:rPr>
          <w:rFonts w:cs="Arial"/>
        </w:rPr>
        <w:t>are likely to continue</w:t>
      </w:r>
      <w:r w:rsidRPr="0003652C">
        <w:rPr>
          <w:rFonts w:cs="Arial"/>
        </w:rPr>
        <w:t xml:space="preserve"> to be presented and framed as previously, as segmented, or separate units and as what Bernstein would regard as representing a ‘collection code’ within a degree (Bernstein, 2000, Pg 10), with the subjects within these units having a strong classification or boundary between them. </w:t>
      </w:r>
    </w:p>
    <w:p w14:paraId="28518EA9" w14:textId="1CEA18E0" w:rsidR="00BE2C10" w:rsidRPr="0003652C" w:rsidRDefault="00BE2C10" w:rsidP="0005689B">
      <w:pPr>
        <w:spacing w:line="360" w:lineRule="auto"/>
        <w:jc w:val="both"/>
        <w:rPr>
          <w:rFonts w:cs="Arial"/>
        </w:rPr>
      </w:pPr>
      <w:r w:rsidRPr="0003652C">
        <w:rPr>
          <w:rFonts w:cs="Arial"/>
        </w:rPr>
        <w:t xml:space="preserve">The </w:t>
      </w:r>
      <w:r w:rsidR="00B92293" w:rsidRPr="0003652C">
        <w:rPr>
          <w:rFonts w:cs="Arial"/>
        </w:rPr>
        <w:t xml:space="preserve">stepping back of this agent of power in the </w:t>
      </w:r>
      <w:r w:rsidRPr="0003652C">
        <w:rPr>
          <w:rFonts w:cs="Arial"/>
        </w:rPr>
        <w:t xml:space="preserve">ORF did not therefore result directly in change. </w:t>
      </w:r>
      <w:r w:rsidR="004A63BF">
        <w:rPr>
          <w:rFonts w:cs="Arial"/>
        </w:rPr>
        <w:t>Whilst there was a difference in the perspective of the designers, the</w:t>
      </w:r>
      <w:r w:rsidRPr="0003652C">
        <w:rPr>
          <w:rFonts w:cs="Arial"/>
        </w:rPr>
        <w:t xml:space="preserve"> </w:t>
      </w:r>
      <w:r w:rsidR="004A63BF">
        <w:rPr>
          <w:rFonts w:cs="Arial"/>
        </w:rPr>
        <w:t>direct impact on the FLKs here was not evidenced across</w:t>
      </w:r>
      <w:r w:rsidRPr="0003652C">
        <w:rPr>
          <w:rFonts w:cs="Arial"/>
        </w:rPr>
        <w:t xml:space="preserve"> the selective, semi-selective and widening participation</w:t>
      </w:r>
      <w:r w:rsidR="00711052">
        <w:rPr>
          <w:rFonts w:cs="Arial"/>
        </w:rPr>
        <w:t xml:space="preserve"> schools</w:t>
      </w:r>
      <w:r w:rsidRPr="0003652C">
        <w:rPr>
          <w:rFonts w:cs="Arial"/>
        </w:rPr>
        <w:t xml:space="preserve">.  The </w:t>
      </w:r>
      <w:r w:rsidR="00BB1611" w:rsidRPr="0003652C">
        <w:rPr>
          <w:rFonts w:cs="Arial"/>
        </w:rPr>
        <w:t>causal</w:t>
      </w:r>
      <w:r w:rsidRPr="0003652C">
        <w:rPr>
          <w:rFonts w:cs="Arial"/>
        </w:rPr>
        <w:t xml:space="preserve"> link</w:t>
      </w:r>
      <w:r w:rsidR="00FC32BB">
        <w:rPr>
          <w:rFonts w:cs="Arial"/>
        </w:rPr>
        <w:t>,</w:t>
      </w:r>
      <w:r w:rsidRPr="0003652C">
        <w:rPr>
          <w:rFonts w:cs="Arial"/>
        </w:rPr>
        <w:t xml:space="preserve"> however, and so the reason for the lack of change, did not appear to be the regulatory bodies. There were different reasons for the lack of action, with uncertainty being key at the less selective </w:t>
      </w:r>
      <w:r w:rsidR="00711052">
        <w:rPr>
          <w:rFonts w:cs="Arial"/>
        </w:rPr>
        <w:t>school</w:t>
      </w:r>
      <w:r w:rsidRPr="0003652C">
        <w:rPr>
          <w:rFonts w:cs="Arial"/>
        </w:rPr>
        <w:t xml:space="preserve">s, whilst interestingly the market, albeit the specific international one being important for the selective </w:t>
      </w:r>
      <w:r w:rsidR="00711052">
        <w:rPr>
          <w:rFonts w:cs="Arial"/>
        </w:rPr>
        <w:t>school</w:t>
      </w:r>
      <w:r w:rsidRPr="0003652C">
        <w:rPr>
          <w:rFonts w:cs="Arial"/>
        </w:rPr>
        <w:t>s.  All agreed that the foundational subjects were disciplinarily important</w:t>
      </w:r>
      <w:r w:rsidR="00B92293" w:rsidRPr="0003652C">
        <w:rPr>
          <w:rFonts w:cs="Arial"/>
        </w:rPr>
        <w:t xml:space="preserve">, which is not surprising given their origins and existence prior to the regulatory bodies (as </w:t>
      </w:r>
      <w:r w:rsidR="00B92293" w:rsidRPr="0003652C">
        <w:rPr>
          <w:rFonts w:cs="Arial"/>
        </w:rPr>
        <w:lastRenderedPageBreak/>
        <w:t>discussed in section 2.4)</w:t>
      </w:r>
      <w:r w:rsidRPr="0003652C">
        <w:rPr>
          <w:rFonts w:cs="Arial"/>
        </w:rPr>
        <w:t xml:space="preserve">. How these subjects were framed is investigated further when I present the findings relating to the </w:t>
      </w:r>
      <w:r w:rsidR="0075156B" w:rsidRPr="0003652C">
        <w:rPr>
          <w:rFonts w:cs="Arial"/>
        </w:rPr>
        <w:t>pedagogic recontextualising field</w:t>
      </w:r>
      <w:r w:rsidRPr="0003652C">
        <w:rPr>
          <w:rFonts w:cs="Arial"/>
        </w:rPr>
        <w:t>, and how the agents in that field have reacted to the potential void left by the professional bodies</w:t>
      </w:r>
      <w:r w:rsidR="00B92293" w:rsidRPr="0003652C">
        <w:rPr>
          <w:rFonts w:cs="Arial"/>
        </w:rPr>
        <w:t>, and the autonomy that they might have.</w:t>
      </w:r>
    </w:p>
    <w:p w14:paraId="65CB21A3" w14:textId="5B70A576" w:rsidR="00BE2C10" w:rsidRPr="0003652C" w:rsidRDefault="00BE2C10" w:rsidP="0003652C">
      <w:pPr>
        <w:pStyle w:val="Heading3"/>
        <w:spacing w:after="100" w:afterAutospacing="1" w:line="360" w:lineRule="auto"/>
        <w:rPr>
          <w:rFonts w:ascii="Arial" w:hAnsi="Arial" w:cs="Arial"/>
        </w:rPr>
      </w:pPr>
      <w:bookmarkStart w:id="66" w:name="_Toc223348858"/>
      <w:r w:rsidRPr="0003652C">
        <w:rPr>
          <w:rFonts w:ascii="Arial" w:hAnsi="Arial" w:cs="Arial"/>
        </w:rPr>
        <w:t>The state</w:t>
      </w:r>
      <w:bookmarkEnd w:id="66"/>
    </w:p>
    <w:p w14:paraId="5E5E51A3" w14:textId="73076D95" w:rsidR="003824E3" w:rsidRPr="0003652C" w:rsidRDefault="00BE2C10" w:rsidP="0005689B">
      <w:pPr>
        <w:spacing w:line="360" w:lineRule="auto"/>
        <w:jc w:val="both"/>
        <w:rPr>
          <w:rFonts w:cs="Arial"/>
        </w:rPr>
      </w:pPr>
      <w:r w:rsidRPr="0003652C">
        <w:rPr>
          <w:rFonts w:cs="Arial"/>
        </w:rPr>
        <w:t>Bernstein sees the ORF as being occupied by the state in relation to secondary school education</w:t>
      </w:r>
      <w:r w:rsidR="00B92293" w:rsidRPr="0003652C">
        <w:rPr>
          <w:rFonts w:cs="Arial"/>
        </w:rPr>
        <w:t xml:space="preserve">, and its </w:t>
      </w:r>
      <w:r w:rsidRPr="0003652C">
        <w:rPr>
          <w:rFonts w:cs="Arial"/>
        </w:rPr>
        <w:t>centralised role increasingly dictat</w:t>
      </w:r>
      <w:r w:rsidR="00B92293" w:rsidRPr="0003652C">
        <w:rPr>
          <w:rFonts w:cs="Arial"/>
        </w:rPr>
        <w:t>ing</w:t>
      </w:r>
      <w:r w:rsidRPr="0003652C">
        <w:rPr>
          <w:rFonts w:cs="Arial"/>
        </w:rPr>
        <w:t xml:space="preserve"> the curriculum</w:t>
      </w:r>
      <w:r w:rsidR="004A63BF">
        <w:rPr>
          <w:rFonts w:cs="Arial"/>
        </w:rPr>
        <w:t>, but does not see the ORF as having a role in higher education</w:t>
      </w:r>
      <w:r w:rsidRPr="0003652C">
        <w:rPr>
          <w:rFonts w:cs="Arial"/>
        </w:rPr>
        <w:t xml:space="preserve"> (Bernstein, 2000). Mc</w:t>
      </w:r>
      <w:r w:rsidR="00424F6F">
        <w:rPr>
          <w:rFonts w:cs="Arial"/>
        </w:rPr>
        <w:t>L</w:t>
      </w:r>
      <w:r w:rsidRPr="0003652C">
        <w:rPr>
          <w:rFonts w:cs="Arial"/>
        </w:rPr>
        <w:t xml:space="preserve">ean et al. consider the role of the state as an agent in the ORF in higher education by considering policy documents advocating choice and metricised quality measures such as </w:t>
      </w:r>
      <w:r w:rsidR="00B92293" w:rsidRPr="0003652C">
        <w:rPr>
          <w:rFonts w:cs="Arial"/>
        </w:rPr>
        <w:t>the</w:t>
      </w:r>
      <w:r w:rsidRPr="0003652C">
        <w:rPr>
          <w:rFonts w:cs="Arial"/>
        </w:rPr>
        <w:t xml:space="preserve"> Teaching Excellence Framework</w:t>
      </w:r>
      <w:r w:rsidR="005A5F98">
        <w:rPr>
          <w:rFonts w:cs="Arial"/>
        </w:rPr>
        <w:t xml:space="preserve"> (TEF)</w:t>
      </w:r>
      <w:r w:rsidRPr="0003652C">
        <w:rPr>
          <w:rFonts w:cs="Arial"/>
        </w:rPr>
        <w:t xml:space="preserve">, pointing out that these sources all failed to define </w:t>
      </w:r>
      <w:r w:rsidR="00B92293" w:rsidRPr="0003652C">
        <w:rPr>
          <w:rFonts w:cs="Arial"/>
        </w:rPr>
        <w:t>‘</w:t>
      </w:r>
      <w:r w:rsidRPr="0003652C">
        <w:rPr>
          <w:rFonts w:cs="Arial"/>
        </w:rPr>
        <w:t>quality</w:t>
      </w:r>
      <w:r w:rsidR="00B92293" w:rsidRPr="0003652C">
        <w:rPr>
          <w:rFonts w:cs="Arial"/>
        </w:rPr>
        <w:t>’</w:t>
      </w:r>
      <w:r w:rsidRPr="0003652C">
        <w:rPr>
          <w:rFonts w:cs="Arial"/>
        </w:rPr>
        <w:t xml:space="preserve"> teaching, whilst promoting student identities as consumers or customers</w:t>
      </w:r>
      <w:r w:rsidR="00B92293" w:rsidRPr="0003652C">
        <w:rPr>
          <w:rFonts w:cs="Arial"/>
        </w:rPr>
        <w:t xml:space="preserve"> (Mc</w:t>
      </w:r>
      <w:r w:rsidR="00FC32BB">
        <w:rPr>
          <w:rFonts w:cs="Arial"/>
        </w:rPr>
        <w:t>L</w:t>
      </w:r>
      <w:r w:rsidR="00B92293" w:rsidRPr="0003652C">
        <w:rPr>
          <w:rFonts w:cs="Arial"/>
        </w:rPr>
        <w:t>ean et al., 201</w:t>
      </w:r>
      <w:r w:rsidR="00A2597D" w:rsidRPr="0003652C">
        <w:rPr>
          <w:rFonts w:cs="Arial"/>
        </w:rPr>
        <w:t>8</w:t>
      </w:r>
      <w:r w:rsidR="00B92293" w:rsidRPr="0003652C">
        <w:rPr>
          <w:rFonts w:cs="Arial"/>
        </w:rPr>
        <w:t>)</w:t>
      </w:r>
      <w:r w:rsidRPr="0003652C">
        <w:rPr>
          <w:rFonts w:cs="Arial"/>
        </w:rPr>
        <w:t>. Arguably</w:t>
      </w:r>
      <w:r w:rsidR="00FC32BB">
        <w:rPr>
          <w:rFonts w:cs="Arial"/>
        </w:rPr>
        <w:t>,</w:t>
      </w:r>
      <w:r w:rsidRPr="0003652C">
        <w:rPr>
          <w:rFonts w:cs="Arial"/>
        </w:rPr>
        <w:t xml:space="preserve"> these metrics weigh heavily on student satisfaction rather than </w:t>
      </w:r>
      <w:r w:rsidR="00FC32BB">
        <w:rPr>
          <w:rFonts w:cs="Arial"/>
        </w:rPr>
        <w:t xml:space="preserve">on </w:t>
      </w:r>
      <w:r w:rsidRPr="0003652C">
        <w:rPr>
          <w:rFonts w:cs="Arial"/>
        </w:rPr>
        <w:t xml:space="preserve">quality, and the outcomes-based education they encourage distorts the idea of knowledge (McArthur, 2011).  </w:t>
      </w:r>
      <w:r w:rsidR="00FC32BB">
        <w:rPr>
          <w:rFonts w:cs="Arial"/>
        </w:rPr>
        <w:t>Here, the state presents a powerful discourse, with the opportunity to impact institutional behaviour (McLean</w:t>
      </w:r>
      <w:r w:rsidRPr="0003652C">
        <w:rPr>
          <w:rFonts w:cs="Arial"/>
        </w:rPr>
        <w:t xml:space="preserve"> et al., 201</w:t>
      </w:r>
      <w:r w:rsidR="00A2597D" w:rsidRPr="0003652C">
        <w:rPr>
          <w:rFonts w:cs="Arial"/>
        </w:rPr>
        <w:t>8</w:t>
      </w:r>
      <w:r w:rsidR="00B92293" w:rsidRPr="0003652C">
        <w:rPr>
          <w:rFonts w:cs="Arial"/>
        </w:rPr>
        <w:t>)</w:t>
      </w:r>
      <w:r w:rsidRPr="0003652C">
        <w:rPr>
          <w:rFonts w:cs="Arial"/>
        </w:rPr>
        <w:t xml:space="preserve">. There is no doubt that state actions in removing caps on the number of students (Rowsell, 2024) or in imposing more stringent requirements on education visas (UKCISA, 2025) impact higher education institutions </w:t>
      </w:r>
      <w:r w:rsidR="000B5B3C">
        <w:rPr>
          <w:rFonts w:cs="Arial"/>
        </w:rPr>
        <w:t>by</w:t>
      </w:r>
      <w:r w:rsidRPr="0003652C">
        <w:rPr>
          <w:rFonts w:cs="Arial"/>
        </w:rPr>
        <w:t xml:space="preserve"> shifting the market focus to a more transactional one. </w:t>
      </w:r>
      <w:r w:rsidR="005B4D23">
        <w:rPr>
          <w:rFonts w:cs="Arial"/>
        </w:rPr>
        <w:t xml:space="preserve">This influence has been </w:t>
      </w:r>
      <w:r w:rsidR="000B5B3C">
        <w:rPr>
          <w:rFonts w:cs="Arial"/>
        </w:rPr>
        <w:t>recognised and</w:t>
      </w:r>
      <w:r w:rsidR="005B4D23">
        <w:rPr>
          <w:rFonts w:cs="Arial"/>
        </w:rPr>
        <w:t xml:space="preserve"> much has been written about </w:t>
      </w:r>
      <w:r w:rsidR="00900765">
        <w:rPr>
          <w:rFonts w:cs="Arial"/>
        </w:rPr>
        <w:t>these shifts</w:t>
      </w:r>
      <w:r w:rsidR="005B4D23">
        <w:rPr>
          <w:rFonts w:cs="Arial"/>
        </w:rPr>
        <w:t xml:space="preserve"> in legal education (Bradney et al., 2020</w:t>
      </w:r>
      <w:r w:rsidR="00900765">
        <w:rPr>
          <w:rFonts w:cs="Arial"/>
        </w:rPr>
        <w:t>; Morrisson &amp; Guth, 2021</w:t>
      </w:r>
      <w:r w:rsidR="005B4D23">
        <w:rPr>
          <w:rFonts w:cs="Arial"/>
        </w:rPr>
        <w:t xml:space="preserve">). </w:t>
      </w:r>
      <w:r w:rsidRPr="0003652C">
        <w:rPr>
          <w:rFonts w:cs="Arial"/>
        </w:rPr>
        <w:t>Th</w:t>
      </w:r>
      <w:r w:rsidR="00F622ED" w:rsidRPr="0003652C">
        <w:rPr>
          <w:rFonts w:cs="Arial"/>
        </w:rPr>
        <w:t>e</w:t>
      </w:r>
      <w:r w:rsidRPr="0003652C">
        <w:rPr>
          <w:rFonts w:cs="Arial"/>
        </w:rPr>
        <w:t xml:space="preserve"> theme arising from the data relating to the role of the state was often </w:t>
      </w:r>
      <w:r w:rsidR="000B5B3C" w:rsidRPr="0003652C">
        <w:rPr>
          <w:rFonts w:cs="Arial"/>
        </w:rPr>
        <w:t>metrics</w:t>
      </w:r>
      <w:r w:rsidR="000B5B3C">
        <w:rPr>
          <w:rFonts w:cs="Arial"/>
        </w:rPr>
        <w:t>-</w:t>
      </w:r>
      <w:r w:rsidRPr="0003652C">
        <w:rPr>
          <w:rFonts w:cs="Arial"/>
        </w:rPr>
        <w:t>driven</w:t>
      </w:r>
      <w:r w:rsidR="00F622ED" w:rsidRPr="0003652C">
        <w:rPr>
          <w:rStyle w:val="FootnoteReference"/>
          <w:rFonts w:cs="Arial"/>
        </w:rPr>
        <w:footnoteReference w:id="2"/>
      </w:r>
      <w:r w:rsidRPr="0003652C">
        <w:rPr>
          <w:rFonts w:cs="Arial"/>
        </w:rPr>
        <w:t xml:space="preserve">. </w:t>
      </w:r>
    </w:p>
    <w:p w14:paraId="0DDFEF58" w14:textId="26811056" w:rsidR="00BE2C10" w:rsidRPr="0003652C" w:rsidRDefault="00BE2C10" w:rsidP="0003652C">
      <w:pPr>
        <w:pStyle w:val="Heading4"/>
        <w:spacing w:line="360" w:lineRule="auto"/>
        <w:rPr>
          <w:rFonts w:ascii="Arial" w:hAnsi="Arial" w:cs="Arial"/>
        </w:rPr>
      </w:pPr>
      <w:r w:rsidRPr="0003652C">
        <w:rPr>
          <w:rFonts w:ascii="Arial" w:hAnsi="Arial" w:cs="Arial"/>
        </w:rPr>
        <w:lastRenderedPageBreak/>
        <w:t>The Office for Students</w:t>
      </w:r>
    </w:p>
    <w:p w14:paraId="55532A58" w14:textId="20277B9A" w:rsidR="00F622ED" w:rsidRPr="0003652C" w:rsidRDefault="00BE2C10" w:rsidP="0003652C">
      <w:pPr>
        <w:spacing w:line="360" w:lineRule="auto"/>
        <w:jc w:val="both"/>
        <w:rPr>
          <w:rFonts w:cs="Arial"/>
        </w:rPr>
      </w:pPr>
      <w:r w:rsidRPr="0003652C">
        <w:rPr>
          <w:rFonts w:cs="Arial"/>
        </w:rPr>
        <w:t xml:space="preserve">In the increasing transactional context today, the Office for Students (OfS) and </w:t>
      </w:r>
      <w:r w:rsidR="00BB1611" w:rsidRPr="0003652C">
        <w:rPr>
          <w:rFonts w:cs="Arial"/>
        </w:rPr>
        <w:t>the wider</w:t>
      </w:r>
      <w:r w:rsidR="000B5B3C">
        <w:rPr>
          <w:rFonts w:cs="Arial"/>
        </w:rPr>
        <w:t>,</w:t>
      </w:r>
      <w:r w:rsidRPr="0003652C">
        <w:rPr>
          <w:rFonts w:cs="Arial"/>
        </w:rPr>
        <w:t xml:space="preserve"> largely metrics</w:t>
      </w:r>
      <w:r w:rsidR="000B5B3C">
        <w:rPr>
          <w:rFonts w:cs="Arial"/>
        </w:rPr>
        <w:t>-</w:t>
      </w:r>
      <w:r w:rsidRPr="0003652C">
        <w:rPr>
          <w:rFonts w:cs="Arial"/>
        </w:rPr>
        <w:t>driven agenda ha</w:t>
      </w:r>
      <w:r w:rsidR="000B5B3C">
        <w:rPr>
          <w:rFonts w:cs="Arial"/>
        </w:rPr>
        <w:t>ve</w:t>
      </w:r>
      <w:r w:rsidRPr="0003652C">
        <w:rPr>
          <w:rFonts w:cs="Arial"/>
        </w:rPr>
        <w:t xml:space="preserve"> a direct correlation with any university’s position in the market</w:t>
      </w:r>
      <w:r w:rsidR="000B5B3C">
        <w:rPr>
          <w:rFonts w:cs="Arial"/>
        </w:rPr>
        <w:t>.</w:t>
      </w:r>
      <w:r w:rsidRPr="0003652C">
        <w:rPr>
          <w:rFonts w:cs="Arial"/>
        </w:rPr>
        <w:t xml:space="preserve"> </w:t>
      </w:r>
      <w:r w:rsidR="000B5B3C">
        <w:rPr>
          <w:rFonts w:cs="Arial"/>
        </w:rPr>
        <w:t>T</w:t>
      </w:r>
      <w:r w:rsidR="000B5B3C" w:rsidRPr="0003652C">
        <w:rPr>
          <w:rFonts w:cs="Arial"/>
        </w:rPr>
        <w:t xml:space="preserve">heir </w:t>
      </w:r>
      <w:r w:rsidRPr="0003652C">
        <w:rPr>
          <w:rFonts w:cs="Arial"/>
        </w:rPr>
        <w:t>perceived status within higher education (Mc</w:t>
      </w:r>
      <w:r w:rsidR="00424F6F">
        <w:rPr>
          <w:rFonts w:cs="Arial"/>
        </w:rPr>
        <w:t>L</w:t>
      </w:r>
      <w:r w:rsidRPr="0003652C">
        <w:rPr>
          <w:rFonts w:cs="Arial"/>
        </w:rPr>
        <w:t>ean et al, 201</w:t>
      </w:r>
      <w:r w:rsidR="00A2597D" w:rsidRPr="0003652C">
        <w:rPr>
          <w:rFonts w:cs="Arial"/>
        </w:rPr>
        <w:t>8</w:t>
      </w:r>
      <w:r w:rsidRPr="0003652C">
        <w:rPr>
          <w:rFonts w:cs="Arial"/>
        </w:rPr>
        <w:t>) So much of what is discussed here</w:t>
      </w:r>
      <w:r w:rsidR="000B5B3C">
        <w:rPr>
          <w:rFonts w:cs="Arial"/>
        </w:rPr>
        <w:t>,</w:t>
      </w:r>
      <w:r w:rsidRPr="0003652C">
        <w:rPr>
          <w:rFonts w:cs="Arial"/>
        </w:rPr>
        <w:t xml:space="preserve"> expressly or otherwise</w:t>
      </w:r>
      <w:r w:rsidR="000B5B3C">
        <w:rPr>
          <w:rFonts w:cs="Arial"/>
        </w:rPr>
        <w:t>,</w:t>
      </w:r>
      <w:r w:rsidRPr="0003652C">
        <w:rPr>
          <w:rFonts w:cs="Arial"/>
        </w:rPr>
        <w:t xml:space="preserve"> points to the implications of a neoliberal metrification of higher education</w:t>
      </w:r>
      <w:r w:rsidR="000B5B3C">
        <w:rPr>
          <w:rFonts w:cs="Arial"/>
        </w:rPr>
        <w:t>.</w:t>
      </w:r>
      <w:r w:rsidRPr="0003652C">
        <w:rPr>
          <w:rFonts w:cs="Arial"/>
        </w:rPr>
        <w:t xml:space="preserve"> </w:t>
      </w:r>
      <w:r w:rsidR="000B5B3C">
        <w:rPr>
          <w:rFonts w:cs="Arial"/>
        </w:rPr>
        <w:t>S</w:t>
      </w:r>
      <w:r w:rsidR="000B5B3C" w:rsidRPr="0003652C">
        <w:rPr>
          <w:rFonts w:cs="Arial"/>
        </w:rPr>
        <w:t xml:space="preserve">ome </w:t>
      </w:r>
      <w:r w:rsidRPr="0003652C">
        <w:rPr>
          <w:rFonts w:cs="Arial"/>
        </w:rPr>
        <w:t>of the observations are not unexpected. A great deal has been written about the impact of these developments in higher education, and specifically in legal education (Thornton, 2020</w:t>
      </w:r>
      <w:r w:rsidR="001D3092" w:rsidRPr="0003652C">
        <w:rPr>
          <w:rFonts w:cs="Arial"/>
        </w:rPr>
        <w:t>; 2022</w:t>
      </w:r>
      <w:r w:rsidRPr="0003652C">
        <w:rPr>
          <w:rFonts w:cs="Arial"/>
        </w:rPr>
        <w:t>). Whether the metrification of higher education is seen as democratising and diversifying education, or more usually as imposing an unhelpful consumer-based expectation within academia</w:t>
      </w:r>
      <w:r w:rsidR="00F622ED" w:rsidRPr="0003652C">
        <w:rPr>
          <w:rFonts w:cs="Arial"/>
        </w:rPr>
        <w:t>,</w:t>
      </w:r>
      <w:r w:rsidRPr="0003652C">
        <w:rPr>
          <w:rFonts w:cs="Arial"/>
        </w:rPr>
        <w:t xml:space="preserve"> it is prevalent in any assessment of the positioning of a law degree today. What is presented below perhaps represents the increasing </w:t>
      </w:r>
      <w:r w:rsidR="00225E93" w:rsidRPr="0003652C">
        <w:rPr>
          <w:rFonts w:cs="Arial"/>
        </w:rPr>
        <w:t>visibility</w:t>
      </w:r>
      <w:r w:rsidRPr="0003652C">
        <w:rPr>
          <w:rFonts w:cs="Arial"/>
        </w:rPr>
        <w:t xml:space="preserve"> of some of the metrics and the wider OfS presentation of the state’s agenda in law course design</w:t>
      </w:r>
      <w:r w:rsidR="009C3946" w:rsidRPr="0003652C">
        <w:rPr>
          <w:rFonts w:cs="Arial"/>
        </w:rPr>
        <w:t xml:space="preserve"> (see Appendix 5, Table 5.3)</w:t>
      </w:r>
      <w:r w:rsidRPr="0003652C">
        <w:rPr>
          <w:rFonts w:cs="Arial"/>
        </w:rPr>
        <w:t xml:space="preserve">. This visibility may be </w:t>
      </w:r>
      <w:r w:rsidR="000B5B3C">
        <w:rPr>
          <w:rFonts w:cs="Arial"/>
        </w:rPr>
        <w:t>partly</w:t>
      </w:r>
      <w:r w:rsidRPr="0003652C">
        <w:rPr>
          <w:rFonts w:cs="Arial"/>
        </w:rPr>
        <w:t xml:space="preserve"> due to the void left by professional regulatory bodies. The market and the metrics have been here for some</w:t>
      </w:r>
      <w:r w:rsidR="00BB1611" w:rsidRPr="0003652C">
        <w:rPr>
          <w:rFonts w:cs="Arial"/>
        </w:rPr>
        <w:t xml:space="preserve"> time</w:t>
      </w:r>
      <w:r w:rsidR="000B5B3C">
        <w:rPr>
          <w:rFonts w:cs="Arial"/>
        </w:rPr>
        <w:t>,</w:t>
      </w:r>
      <w:r w:rsidRPr="0003652C">
        <w:rPr>
          <w:rFonts w:cs="Arial"/>
        </w:rPr>
        <w:t xml:space="preserve"> </w:t>
      </w:r>
      <w:r w:rsidR="00F622ED" w:rsidRPr="0003652C">
        <w:rPr>
          <w:rFonts w:cs="Arial"/>
        </w:rPr>
        <w:t>and what follows suggests that they may</w:t>
      </w:r>
      <w:r w:rsidRPr="0003652C">
        <w:rPr>
          <w:rFonts w:cs="Arial"/>
        </w:rPr>
        <w:t xml:space="preserve"> occupy a different hierarchical positioning after the demise of the qualifying law degree. </w:t>
      </w:r>
    </w:p>
    <w:p w14:paraId="5214494D" w14:textId="24825D44" w:rsidR="00BE2C10" w:rsidRPr="0003652C" w:rsidRDefault="004A63BF" w:rsidP="0003652C">
      <w:pPr>
        <w:spacing w:line="360" w:lineRule="auto"/>
        <w:jc w:val="both"/>
        <w:rPr>
          <w:rFonts w:cs="Arial"/>
        </w:rPr>
      </w:pPr>
      <w:r>
        <w:rPr>
          <w:rFonts w:cs="Arial"/>
        </w:rPr>
        <w:t xml:space="preserve">The impact of </w:t>
      </w:r>
      <w:r w:rsidR="005A5F98">
        <w:rPr>
          <w:rFonts w:cs="Arial"/>
        </w:rPr>
        <w:t>TEF</w:t>
      </w:r>
      <w:r w:rsidR="00BE2C10" w:rsidRPr="0003652C">
        <w:rPr>
          <w:rFonts w:cs="Arial"/>
        </w:rPr>
        <w:t xml:space="preserve"> </w:t>
      </w:r>
      <w:r w:rsidR="005A5F98">
        <w:rPr>
          <w:rFonts w:cs="Arial"/>
        </w:rPr>
        <w:t>outcom</w:t>
      </w:r>
      <w:r>
        <w:rPr>
          <w:rFonts w:cs="Arial"/>
        </w:rPr>
        <w:t>es</w:t>
      </w:r>
      <w:r w:rsidR="000B5B3C">
        <w:rPr>
          <w:rFonts w:cs="Arial"/>
        </w:rPr>
        <w:t>,</w:t>
      </w:r>
      <w:r w:rsidR="005A5F98">
        <w:rPr>
          <w:rFonts w:cs="Arial"/>
        </w:rPr>
        <w:t xml:space="preserve"> </w:t>
      </w:r>
      <w:r w:rsidR="00225E93" w:rsidRPr="0003652C">
        <w:rPr>
          <w:rFonts w:cs="Arial"/>
        </w:rPr>
        <w:t>whilst prominent,</w:t>
      </w:r>
      <w:r w:rsidR="00BE2C10" w:rsidRPr="0003652C">
        <w:rPr>
          <w:rFonts w:cs="Arial"/>
        </w:rPr>
        <w:t xml:space="preserve"> w</w:t>
      </w:r>
      <w:r w:rsidR="000B5B3C">
        <w:rPr>
          <w:rFonts w:cs="Arial"/>
        </w:rPr>
        <w:t>as</w:t>
      </w:r>
      <w:r w:rsidR="00BE2C10" w:rsidRPr="0003652C">
        <w:rPr>
          <w:rFonts w:cs="Arial"/>
        </w:rPr>
        <w:t xml:space="preserve"> not always evident as </w:t>
      </w:r>
      <w:r w:rsidR="00225E93" w:rsidRPr="0003652C">
        <w:rPr>
          <w:rFonts w:cs="Arial"/>
        </w:rPr>
        <w:t>a</w:t>
      </w:r>
      <w:r>
        <w:rPr>
          <w:rFonts w:cs="Arial"/>
        </w:rPr>
        <w:t xml:space="preserve"> direct</w:t>
      </w:r>
      <w:r w:rsidR="00225E93" w:rsidRPr="0003652C">
        <w:rPr>
          <w:rFonts w:cs="Arial"/>
        </w:rPr>
        <w:t xml:space="preserve"> </w:t>
      </w:r>
      <w:r w:rsidR="00BE2C10" w:rsidRPr="0003652C">
        <w:rPr>
          <w:rFonts w:cs="Arial"/>
        </w:rPr>
        <w:t xml:space="preserve">influence in the responses from the course designers. The </w:t>
      </w:r>
      <w:r w:rsidR="00995211">
        <w:rPr>
          <w:rFonts w:cs="Arial"/>
        </w:rPr>
        <w:t xml:space="preserve">designers in </w:t>
      </w:r>
      <w:r w:rsidR="00BE2C10" w:rsidRPr="0003652C">
        <w:rPr>
          <w:rFonts w:cs="Arial"/>
        </w:rPr>
        <w:t xml:space="preserve">selective </w:t>
      </w:r>
      <w:r w:rsidR="00995211">
        <w:rPr>
          <w:rFonts w:cs="Arial"/>
        </w:rPr>
        <w:t>school</w:t>
      </w:r>
      <w:r w:rsidR="00BE2C10" w:rsidRPr="0003652C">
        <w:rPr>
          <w:rFonts w:cs="Arial"/>
        </w:rPr>
        <w:t>s were</w:t>
      </w:r>
      <w:r w:rsidR="000B5B3C">
        <w:rPr>
          <w:rFonts w:cs="Arial"/>
        </w:rPr>
        <w:t>,</w:t>
      </w:r>
      <w:r w:rsidR="00BE2C10" w:rsidRPr="0003652C">
        <w:rPr>
          <w:rFonts w:cs="Arial"/>
        </w:rPr>
        <w:t xml:space="preserve"> with one exception</w:t>
      </w:r>
      <w:r w:rsidR="000B5B3C">
        <w:rPr>
          <w:rFonts w:cs="Arial"/>
        </w:rPr>
        <w:t>,</w:t>
      </w:r>
      <w:r w:rsidR="00BE2C10" w:rsidRPr="0003652C">
        <w:rPr>
          <w:rFonts w:cs="Arial"/>
        </w:rPr>
        <w:t xml:space="preserve"> relatively unconcerned about them. This perhaps reflects the fact that these </w:t>
      </w:r>
      <w:r w:rsidR="00995211">
        <w:rPr>
          <w:rFonts w:cs="Arial"/>
        </w:rPr>
        <w:t>school</w:t>
      </w:r>
      <w:r w:rsidR="00BE2C10" w:rsidRPr="0003652C">
        <w:rPr>
          <w:rFonts w:cs="Arial"/>
        </w:rPr>
        <w:t>s generally did well in these assessments, in part due to the method employed</w:t>
      </w:r>
      <w:r w:rsidR="00380A2B" w:rsidRPr="0003652C">
        <w:rPr>
          <w:rFonts w:cs="Arial"/>
        </w:rPr>
        <w:t>, but at all levels if the metrics were good</w:t>
      </w:r>
      <w:r w:rsidR="000B5B3C">
        <w:rPr>
          <w:rFonts w:cs="Arial"/>
        </w:rPr>
        <w:t>,</w:t>
      </w:r>
      <w:r w:rsidR="00380A2B" w:rsidRPr="0003652C">
        <w:rPr>
          <w:rFonts w:cs="Arial"/>
        </w:rPr>
        <w:t xml:space="preserve"> there was a corresponding feeling of more autonomy in the process of design</w:t>
      </w:r>
      <w:r w:rsidR="000B5B3C">
        <w:rPr>
          <w:rFonts w:cs="Arial"/>
        </w:rPr>
        <w:t>.</w:t>
      </w:r>
    </w:p>
    <w:p w14:paraId="77A5A18A" w14:textId="51F26CEC" w:rsidR="00BE2C10" w:rsidRPr="0003652C" w:rsidRDefault="00BE2C10" w:rsidP="0003652C">
      <w:pPr>
        <w:spacing w:line="360" w:lineRule="auto"/>
        <w:ind w:left="720"/>
        <w:jc w:val="both"/>
        <w:rPr>
          <w:rFonts w:cs="Arial"/>
        </w:rPr>
      </w:pPr>
      <w:r w:rsidRPr="0003652C">
        <w:rPr>
          <w:rFonts w:cs="Arial"/>
        </w:rPr>
        <w:t>We might have had a harder time if we weren’t who we were, or if our metrics weren’t as good.</w:t>
      </w:r>
      <w:r w:rsidR="00380A2B" w:rsidRPr="0003652C">
        <w:rPr>
          <w:rFonts w:cs="Arial"/>
        </w:rPr>
        <w:t xml:space="preserve"> (S)</w:t>
      </w:r>
    </w:p>
    <w:p w14:paraId="28331229" w14:textId="5C497B84" w:rsidR="00BE2C10" w:rsidRPr="0003652C" w:rsidRDefault="00BE2C10" w:rsidP="0003652C">
      <w:pPr>
        <w:spacing w:line="360" w:lineRule="auto"/>
        <w:ind w:left="720"/>
        <w:jc w:val="both"/>
        <w:rPr>
          <w:rFonts w:cs="Arial"/>
        </w:rPr>
      </w:pPr>
      <w:r w:rsidRPr="0003652C">
        <w:rPr>
          <w:rFonts w:cs="Arial"/>
        </w:rPr>
        <w:t>I wasn’t trying to hit the metrics, but I just happened to be hitting the metrics and was therefore pretty much left alone</w:t>
      </w:r>
      <w:r w:rsidR="00380A2B" w:rsidRPr="0003652C">
        <w:rPr>
          <w:rFonts w:cs="Arial"/>
        </w:rPr>
        <w:t>. (S)</w:t>
      </w:r>
    </w:p>
    <w:p w14:paraId="4A4C7F71" w14:textId="54E8AE7A" w:rsidR="00BE2C10" w:rsidRPr="0003652C" w:rsidRDefault="00BE2C10" w:rsidP="0003652C">
      <w:pPr>
        <w:spacing w:line="360" w:lineRule="auto"/>
        <w:jc w:val="both"/>
        <w:rPr>
          <w:rFonts w:cs="Arial"/>
        </w:rPr>
      </w:pPr>
      <w:r w:rsidRPr="0003652C">
        <w:rPr>
          <w:rFonts w:cs="Arial"/>
        </w:rPr>
        <w:lastRenderedPageBreak/>
        <w:t>And where they were not good</w:t>
      </w:r>
      <w:r w:rsidR="000B5B3C">
        <w:rPr>
          <w:rFonts w:cs="Arial"/>
        </w:rPr>
        <w:t>,</w:t>
      </w:r>
      <w:r w:rsidRPr="0003652C">
        <w:rPr>
          <w:rFonts w:cs="Arial"/>
        </w:rPr>
        <w:t xml:space="preserve"> action was seen as a way of regaining status within the university,</w:t>
      </w:r>
    </w:p>
    <w:p w14:paraId="73C1F601" w14:textId="1E3FC70C" w:rsidR="00BE2C10" w:rsidRPr="0003652C" w:rsidRDefault="00BE2C10" w:rsidP="0003652C">
      <w:pPr>
        <w:spacing w:line="360" w:lineRule="auto"/>
        <w:ind w:left="720"/>
        <w:jc w:val="both"/>
        <w:rPr>
          <w:rFonts w:cs="Arial"/>
          <w:color w:val="000000" w:themeColor="text1"/>
        </w:rPr>
      </w:pPr>
      <w:r w:rsidRPr="0003652C">
        <w:rPr>
          <w:rFonts w:cs="Arial"/>
          <w:color w:val="000000" w:themeColor="text1"/>
        </w:rPr>
        <w:t>Everyone knew things had to change for the school to be in a good place and to have power in the university… we had to turn it around in relation to the league tables.</w:t>
      </w:r>
      <w:r w:rsidR="00380A2B" w:rsidRPr="0003652C">
        <w:rPr>
          <w:rFonts w:cs="Arial"/>
          <w:color w:val="000000" w:themeColor="text1"/>
        </w:rPr>
        <w:t xml:space="preserve"> (S)</w:t>
      </w:r>
    </w:p>
    <w:p w14:paraId="73076A0A" w14:textId="4F47790A" w:rsidR="00BE2C10" w:rsidRPr="0003652C" w:rsidRDefault="00BE2C10" w:rsidP="0003652C">
      <w:pPr>
        <w:spacing w:line="360" w:lineRule="auto"/>
        <w:jc w:val="both"/>
        <w:rPr>
          <w:rFonts w:cs="Arial"/>
        </w:rPr>
      </w:pPr>
      <w:r w:rsidRPr="0003652C">
        <w:rPr>
          <w:rFonts w:cs="Arial"/>
        </w:rPr>
        <w:t xml:space="preserve">There was more reflection on the impact of the metrics by the </w:t>
      </w:r>
      <w:r w:rsidR="00995211">
        <w:rPr>
          <w:rFonts w:cs="Arial"/>
        </w:rPr>
        <w:t xml:space="preserve">participants in </w:t>
      </w:r>
      <w:r w:rsidRPr="0003652C">
        <w:rPr>
          <w:rFonts w:cs="Arial"/>
        </w:rPr>
        <w:t xml:space="preserve">less selective </w:t>
      </w:r>
      <w:r w:rsidR="00995211">
        <w:rPr>
          <w:rFonts w:cs="Arial"/>
        </w:rPr>
        <w:t>school</w:t>
      </w:r>
      <w:r w:rsidRPr="0003652C">
        <w:rPr>
          <w:rFonts w:cs="Arial"/>
        </w:rPr>
        <w:t>s, with a realisation that this gave rise to an ‘increasing reference to the Office for Students metrics’ by students</w:t>
      </w:r>
      <w:r w:rsidR="000B5B3C">
        <w:rPr>
          <w:rFonts w:cs="Arial"/>
        </w:rPr>
        <w:t>,</w:t>
      </w:r>
      <w:r w:rsidRPr="0003652C">
        <w:rPr>
          <w:rFonts w:cs="Arial"/>
        </w:rPr>
        <w:t xml:space="preserve"> and as a result</w:t>
      </w:r>
      <w:r w:rsidR="000B5B3C">
        <w:rPr>
          <w:rFonts w:cs="Arial"/>
        </w:rPr>
        <w:t>,</w:t>
      </w:r>
      <w:r w:rsidRPr="0003652C">
        <w:rPr>
          <w:rFonts w:cs="Arial"/>
        </w:rPr>
        <w:t xml:space="preserve"> internal priorities </w:t>
      </w:r>
      <w:r w:rsidR="000B5B3C">
        <w:rPr>
          <w:rFonts w:cs="Arial"/>
        </w:rPr>
        <w:t>are increasingly</w:t>
      </w:r>
      <w:r w:rsidRPr="0003652C">
        <w:rPr>
          <w:rFonts w:cs="Arial"/>
        </w:rPr>
        <w:t xml:space="preserve"> being set as TEF standards. The actual impact of these metrics was less </w:t>
      </w:r>
      <w:r w:rsidR="00225E93" w:rsidRPr="0003652C">
        <w:rPr>
          <w:rFonts w:cs="Arial"/>
        </w:rPr>
        <w:t>on the course</w:t>
      </w:r>
      <w:r w:rsidRPr="0003652C">
        <w:rPr>
          <w:rFonts w:cs="Arial"/>
        </w:rPr>
        <w:t xml:space="preserve"> design</w:t>
      </w:r>
      <w:r w:rsidR="000B5B3C">
        <w:rPr>
          <w:rFonts w:cs="Arial"/>
        </w:rPr>
        <w:t>,</w:t>
      </w:r>
      <w:r w:rsidRPr="0003652C">
        <w:rPr>
          <w:rFonts w:cs="Arial"/>
        </w:rPr>
        <w:t xml:space="preserve"> however</w:t>
      </w:r>
      <w:r w:rsidR="00225E93" w:rsidRPr="0003652C">
        <w:rPr>
          <w:rFonts w:cs="Arial"/>
        </w:rPr>
        <w:t>,</w:t>
      </w:r>
      <w:r w:rsidRPr="0003652C">
        <w:rPr>
          <w:rFonts w:cs="Arial"/>
        </w:rPr>
        <w:t xml:space="preserve"> than </w:t>
      </w:r>
      <w:r w:rsidR="00225E93" w:rsidRPr="0003652C">
        <w:rPr>
          <w:rFonts w:cs="Arial"/>
        </w:rPr>
        <w:t>on the</w:t>
      </w:r>
      <w:r w:rsidRPr="0003652C">
        <w:rPr>
          <w:rFonts w:cs="Arial"/>
        </w:rPr>
        <w:t xml:space="preserve"> support and scaffolding </w:t>
      </w:r>
      <w:r w:rsidR="00225E93" w:rsidRPr="0003652C">
        <w:rPr>
          <w:rFonts w:cs="Arial"/>
        </w:rPr>
        <w:t xml:space="preserve">needed </w:t>
      </w:r>
      <w:r w:rsidRPr="0003652C">
        <w:rPr>
          <w:rFonts w:cs="Arial"/>
        </w:rPr>
        <w:t xml:space="preserve">around </w:t>
      </w:r>
      <w:r w:rsidR="00225E93" w:rsidRPr="0003652C">
        <w:rPr>
          <w:rFonts w:cs="Arial"/>
        </w:rPr>
        <w:t xml:space="preserve">that </w:t>
      </w:r>
      <w:r w:rsidRPr="0003652C">
        <w:rPr>
          <w:rFonts w:cs="Arial"/>
        </w:rPr>
        <w:t xml:space="preserve">design. A few </w:t>
      </w:r>
      <w:r w:rsidR="00225E93" w:rsidRPr="0003652C">
        <w:rPr>
          <w:rFonts w:cs="Arial"/>
        </w:rPr>
        <w:t xml:space="preserve">participants </w:t>
      </w:r>
      <w:r w:rsidRPr="0003652C">
        <w:rPr>
          <w:rFonts w:cs="Arial"/>
        </w:rPr>
        <w:t>mentioned examples of the content – or what was taught – being impacted by the metrics. In one example</w:t>
      </w:r>
      <w:r w:rsidR="000B5B3C">
        <w:rPr>
          <w:rFonts w:cs="Arial"/>
        </w:rPr>
        <w:t>,</w:t>
      </w:r>
      <w:r w:rsidRPr="0003652C">
        <w:rPr>
          <w:rFonts w:cs="Arial"/>
        </w:rPr>
        <w:t xml:space="preserve"> a module had been dropped from a c</w:t>
      </w:r>
      <w:r w:rsidR="002A269E">
        <w:rPr>
          <w:rFonts w:cs="Arial"/>
        </w:rPr>
        <w:t>ourse</w:t>
      </w:r>
      <w:r w:rsidRPr="0003652C">
        <w:rPr>
          <w:rFonts w:cs="Arial"/>
        </w:rPr>
        <w:t xml:space="preserve"> due to poor pass rates, and in another</w:t>
      </w:r>
      <w:r w:rsidR="000B5B3C">
        <w:rPr>
          <w:rFonts w:cs="Arial"/>
        </w:rPr>
        <w:t xml:space="preserve">, </w:t>
      </w:r>
      <w:r w:rsidRPr="0003652C">
        <w:rPr>
          <w:rFonts w:cs="Arial"/>
        </w:rPr>
        <w:t xml:space="preserve">the design of a module had taken particular care to support students through the assessment due to progression statistics. </w:t>
      </w:r>
    </w:p>
    <w:p w14:paraId="6D2863BF" w14:textId="73C4D742" w:rsidR="00BE2C10" w:rsidRPr="0003652C" w:rsidRDefault="00BE2C10" w:rsidP="0005689B">
      <w:pPr>
        <w:spacing w:line="360" w:lineRule="auto"/>
        <w:jc w:val="both"/>
        <w:rPr>
          <w:rFonts w:cs="Arial"/>
        </w:rPr>
      </w:pPr>
      <w:r w:rsidRPr="0003652C">
        <w:rPr>
          <w:rFonts w:cs="Arial"/>
        </w:rPr>
        <w:t>In all institutional categories</w:t>
      </w:r>
      <w:r w:rsidR="000B5B3C">
        <w:rPr>
          <w:rFonts w:cs="Arial"/>
        </w:rPr>
        <w:t>,</w:t>
      </w:r>
      <w:r w:rsidRPr="0003652C">
        <w:rPr>
          <w:rFonts w:cs="Arial"/>
        </w:rPr>
        <w:t xml:space="preserve"> there was an awareness that where the institution sat in league tables was important, even when ‘there are flaws’ in the system. There was more of a focus on using the metrics to assess how to make students’ li</w:t>
      </w:r>
      <w:r w:rsidR="000B5B3C">
        <w:rPr>
          <w:rFonts w:cs="Arial"/>
        </w:rPr>
        <w:t>ves</w:t>
      </w:r>
      <w:r w:rsidRPr="0003652C">
        <w:rPr>
          <w:rFonts w:cs="Arial"/>
        </w:rPr>
        <w:t xml:space="preserve"> easier and to assist them. I return to this when looking at how the </w:t>
      </w:r>
      <w:r w:rsidR="0075156B" w:rsidRPr="0003652C">
        <w:rPr>
          <w:rFonts w:cs="Arial"/>
        </w:rPr>
        <w:t>pedagogic recontextualising field</w:t>
      </w:r>
      <w:r w:rsidRPr="0003652C">
        <w:rPr>
          <w:rFonts w:cs="Arial"/>
        </w:rPr>
        <w:t xml:space="preserve"> impacts course design. </w:t>
      </w:r>
      <w:r w:rsidR="000B5B3C">
        <w:rPr>
          <w:rFonts w:cs="Arial"/>
        </w:rPr>
        <w:t>Overall</w:t>
      </w:r>
      <w:r w:rsidR="005768AA">
        <w:rPr>
          <w:rFonts w:cs="Arial"/>
        </w:rPr>
        <w:t>,</w:t>
      </w:r>
      <w:r w:rsidR="000B5B3C">
        <w:rPr>
          <w:rFonts w:cs="Arial"/>
        </w:rPr>
        <w:t xml:space="preserve"> there was </w:t>
      </w:r>
      <w:r w:rsidRPr="0003652C">
        <w:rPr>
          <w:rFonts w:cs="Arial"/>
        </w:rPr>
        <w:t>little direct impact</w:t>
      </w:r>
      <w:r w:rsidR="005768AA">
        <w:rPr>
          <w:rFonts w:cs="Arial"/>
        </w:rPr>
        <w:t>,</w:t>
      </w:r>
      <w:r w:rsidRPr="0003652C">
        <w:rPr>
          <w:rFonts w:cs="Arial"/>
        </w:rPr>
        <w:t xml:space="preserve"> specifically on course design</w:t>
      </w:r>
      <w:r w:rsidR="005768AA">
        <w:rPr>
          <w:rFonts w:cs="Arial"/>
        </w:rPr>
        <w:t>,</w:t>
      </w:r>
      <w:r w:rsidRPr="0003652C">
        <w:rPr>
          <w:rFonts w:cs="Arial"/>
        </w:rPr>
        <w:t xml:space="preserve"> from the metrics.</w:t>
      </w:r>
    </w:p>
    <w:p w14:paraId="6BD97128" w14:textId="5BFF36AD" w:rsidR="00BE2C10" w:rsidRPr="0003652C" w:rsidRDefault="00BE2C10" w:rsidP="0003652C">
      <w:pPr>
        <w:pStyle w:val="Heading2"/>
        <w:spacing w:before="100" w:after="100" w:afterAutospacing="1" w:line="360" w:lineRule="auto"/>
        <w:rPr>
          <w:rFonts w:ascii="Arial" w:hAnsi="Arial" w:cs="Arial"/>
        </w:rPr>
      </w:pPr>
      <w:bookmarkStart w:id="67" w:name="_Toc223348859"/>
      <w:r w:rsidRPr="0003652C">
        <w:rPr>
          <w:rFonts w:ascii="Arial" w:hAnsi="Arial" w:cs="Arial"/>
        </w:rPr>
        <w:t>Conclusion</w:t>
      </w:r>
      <w:bookmarkEnd w:id="67"/>
    </w:p>
    <w:p w14:paraId="32DADBA3" w14:textId="6182F7C2" w:rsidR="00BE2C10" w:rsidRPr="0003652C" w:rsidRDefault="00BE2C10" w:rsidP="0003652C">
      <w:pPr>
        <w:spacing w:line="360" w:lineRule="auto"/>
        <w:jc w:val="both"/>
        <w:rPr>
          <w:rFonts w:cs="Arial"/>
        </w:rPr>
      </w:pPr>
      <w:r w:rsidRPr="0003652C">
        <w:rPr>
          <w:rFonts w:cs="Arial"/>
        </w:rPr>
        <w:t>The findings and discussion here present a re</w:t>
      </w:r>
      <w:r w:rsidR="00A82A71" w:rsidRPr="0003652C">
        <w:rPr>
          <w:rFonts w:cs="Arial"/>
        </w:rPr>
        <w:t>contextualising</w:t>
      </w:r>
      <w:r w:rsidRPr="0003652C">
        <w:rPr>
          <w:rFonts w:cs="Arial"/>
        </w:rPr>
        <w:t xml:space="preserve"> field in flux. The main agent operating in this field </w:t>
      </w:r>
      <w:r w:rsidR="005768AA">
        <w:rPr>
          <w:rFonts w:cs="Arial"/>
        </w:rPr>
        <w:t xml:space="preserve">has </w:t>
      </w:r>
      <w:r w:rsidRPr="0003652C">
        <w:rPr>
          <w:rFonts w:cs="Arial"/>
        </w:rPr>
        <w:t>historically maintained the boundaries of academic and vocational education in the prescribed structure of programmes, enabling the undergraduate law degree to largely remain academic in approach</w:t>
      </w:r>
      <w:r w:rsidR="00F00429" w:rsidRPr="0003652C">
        <w:rPr>
          <w:rFonts w:cs="Arial"/>
        </w:rPr>
        <w:t xml:space="preserve">. </w:t>
      </w:r>
      <w:r w:rsidRPr="0003652C">
        <w:rPr>
          <w:rFonts w:cs="Arial"/>
        </w:rPr>
        <w:t xml:space="preserve">The classifications here were strong, not only in relation to the demarcation of academic study from vocational training, but also within the degree in the presentation of the foundations of legal knowledge, with the latter presenting a collection code of segmented units of study. </w:t>
      </w:r>
    </w:p>
    <w:p w14:paraId="384B4D7A" w14:textId="2D849B77" w:rsidR="00BE2C10" w:rsidRPr="0003652C" w:rsidRDefault="00BE2C10" w:rsidP="0003652C">
      <w:pPr>
        <w:spacing w:line="360" w:lineRule="auto"/>
        <w:jc w:val="both"/>
        <w:rPr>
          <w:rFonts w:cs="Arial"/>
          <w:color w:val="000000" w:themeColor="text1"/>
        </w:rPr>
      </w:pPr>
      <w:r w:rsidRPr="0003652C">
        <w:rPr>
          <w:rFonts w:cs="Arial"/>
        </w:rPr>
        <w:lastRenderedPageBreak/>
        <w:t xml:space="preserve">The regulatory change to the routes to the profession </w:t>
      </w:r>
      <w:r w:rsidR="00863BBD" w:rsidRPr="0003652C">
        <w:rPr>
          <w:rFonts w:cs="Arial"/>
        </w:rPr>
        <w:t>ha</w:t>
      </w:r>
      <w:r w:rsidR="00863BBD">
        <w:rPr>
          <w:rFonts w:cs="Arial"/>
        </w:rPr>
        <w:t>s</w:t>
      </w:r>
      <w:r w:rsidR="00863BBD" w:rsidRPr="0003652C">
        <w:rPr>
          <w:rFonts w:cs="Arial"/>
        </w:rPr>
        <w:t xml:space="preserve"> </w:t>
      </w:r>
      <w:r w:rsidRPr="0003652C">
        <w:rPr>
          <w:rFonts w:cs="Arial"/>
        </w:rPr>
        <w:t>impacted this</w:t>
      </w:r>
      <w:r w:rsidR="00863BBD">
        <w:rPr>
          <w:rFonts w:cs="Arial"/>
        </w:rPr>
        <w:t>,</w:t>
      </w:r>
      <w:r w:rsidRPr="0003652C">
        <w:rPr>
          <w:rFonts w:cs="Arial"/>
        </w:rPr>
        <w:t xml:space="preserve"> as the regulatory bodies have largely withdrawn from that arena. They have relinquished their power within the </w:t>
      </w:r>
      <w:r w:rsidR="0075156B" w:rsidRPr="0003652C">
        <w:rPr>
          <w:rFonts w:cs="Arial"/>
        </w:rPr>
        <w:t>official recontextualising field</w:t>
      </w:r>
      <w:r w:rsidRPr="0003652C">
        <w:rPr>
          <w:rFonts w:cs="Arial"/>
        </w:rPr>
        <w:t xml:space="preserve">. Perceptions of this change in the initial findings point to this having a different reception in differently placed </w:t>
      </w:r>
      <w:r w:rsidR="00995211">
        <w:rPr>
          <w:rFonts w:cs="Arial"/>
        </w:rPr>
        <w:t>school</w:t>
      </w:r>
      <w:r w:rsidRPr="0003652C">
        <w:rPr>
          <w:rFonts w:cs="Arial"/>
        </w:rPr>
        <w:t>s in relation to the boundaries between academic and vocational study, reflecting Bernstein’s distinction between institutional hierarchies, in that the selective institutions feel they can ignore the potential infiltration of vocational elements of study into the degree, a</w:t>
      </w:r>
      <w:r w:rsidRPr="0003652C">
        <w:rPr>
          <w:rFonts w:cs="Arial"/>
          <w:color w:val="000000" w:themeColor="text1"/>
        </w:rPr>
        <w:t>s Bernstein argues that</w:t>
      </w:r>
    </w:p>
    <w:p w14:paraId="4ECEEEF3" w14:textId="496BA4DA" w:rsidR="00BE2C10" w:rsidRPr="0003652C" w:rsidRDefault="00BE2C10" w:rsidP="0005689B">
      <w:pPr>
        <w:spacing w:line="360" w:lineRule="auto"/>
        <w:ind w:left="720"/>
        <w:jc w:val="both"/>
        <w:rPr>
          <w:rFonts w:cs="Arial"/>
          <w:color w:val="000000" w:themeColor="text1"/>
        </w:rPr>
      </w:pPr>
      <w:r w:rsidRPr="0003652C">
        <w:rPr>
          <w:rFonts w:cs="Arial"/>
          <w:color w:val="000000" w:themeColor="text1"/>
        </w:rPr>
        <w:t>Those at the top, or near the top, of this hierarchy may maintain their position more by attracting and holding key academic sta</w:t>
      </w:r>
      <w:r w:rsidR="00B54569" w:rsidRPr="0003652C">
        <w:rPr>
          <w:rFonts w:cs="Arial"/>
          <w:color w:val="000000" w:themeColor="text1"/>
        </w:rPr>
        <w:t>rs</w:t>
      </w:r>
      <w:r w:rsidRPr="0003652C">
        <w:rPr>
          <w:rFonts w:cs="Arial"/>
          <w:color w:val="000000" w:themeColor="text1"/>
        </w:rPr>
        <w:t xml:space="preserve"> than by changing their pedagogic discourse according to the exigencies of the market (Bernstein, 2000</w:t>
      </w:r>
      <w:r w:rsidR="00863BBD">
        <w:rPr>
          <w:rFonts w:cs="Arial"/>
          <w:color w:val="000000" w:themeColor="text1"/>
        </w:rPr>
        <w:t>,</w:t>
      </w:r>
      <w:r w:rsidR="00863BBD" w:rsidRPr="0003652C">
        <w:rPr>
          <w:rFonts w:cs="Arial"/>
          <w:color w:val="000000" w:themeColor="text1"/>
        </w:rPr>
        <w:t xml:space="preserve"> </w:t>
      </w:r>
      <w:r w:rsidR="00E50173">
        <w:rPr>
          <w:rFonts w:cs="Arial"/>
          <w:color w:val="000000" w:themeColor="text1"/>
        </w:rPr>
        <w:t>p.</w:t>
      </w:r>
      <w:r w:rsidRPr="0003652C">
        <w:rPr>
          <w:rFonts w:cs="Arial"/>
          <w:color w:val="000000" w:themeColor="text1"/>
        </w:rPr>
        <w:t>60)</w:t>
      </w:r>
    </w:p>
    <w:p w14:paraId="06548A85" w14:textId="3EBE471A" w:rsidR="00BE2C10" w:rsidRPr="0003652C" w:rsidRDefault="00BE2C10" w:rsidP="0003652C">
      <w:pPr>
        <w:spacing w:line="360" w:lineRule="auto"/>
        <w:jc w:val="both"/>
        <w:rPr>
          <w:rFonts w:cs="Arial"/>
        </w:rPr>
      </w:pPr>
      <w:r w:rsidRPr="0003652C">
        <w:rPr>
          <w:rFonts w:cs="Arial"/>
        </w:rPr>
        <w:t xml:space="preserve">However, </w:t>
      </w:r>
      <w:r w:rsidR="00863BBD">
        <w:rPr>
          <w:rFonts w:cs="Arial"/>
        </w:rPr>
        <w:t>across all</w:t>
      </w:r>
      <w:r w:rsidRPr="0003652C">
        <w:rPr>
          <w:rFonts w:cs="Arial"/>
        </w:rPr>
        <w:t xml:space="preserve"> categories of institution, as far as the presentation of the subjects within the degree, there seems to be little appetite for change currently</w:t>
      </w:r>
      <w:r w:rsidR="00863BBD">
        <w:rPr>
          <w:rFonts w:cs="Arial"/>
        </w:rPr>
        <w:t>,</w:t>
      </w:r>
      <w:r w:rsidRPr="0003652C">
        <w:rPr>
          <w:rFonts w:cs="Arial"/>
        </w:rPr>
        <w:t xml:space="preserve"> and so degree structures are retaining their segmented presentation of the core foundations. Possible reasons</w:t>
      </w:r>
      <w:r w:rsidR="00863BBD">
        <w:rPr>
          <w:rFonts w:cs="Arial"/>
        </w:rPr>
        <w:t>,</w:t>
      </w:r>
      <w:r w:rsidRPr="0003652C">
        <w:rPr>
          <w:rFonts w:cs="Arial"/>
        </w:rPr>
        <w:t xml:space="preserve"> however</w:t>
      </w:r>
      <w:r w:rsidR="00863BBD">
        <w:rPr>
          <w:rFonts w:cs="Arial"/>
        </w:rPr>
        <w:t xml:space="preserve">, </w:t>
      </w:r>
      <w:r w:rsidRPr="0003652C">
        <w:rPr>
          <w:rFonts w:cs="Arial"/>
        </w:rPr>
        <w:t xml:space="preserve">differ according to institutional category, with the market having some </w:t>
      </w:r>
      <w:r w:rsidR="00BB1611" w:rsidRPr="0003652C">
        <w:rPr>
          <w:rFonts w:cs="Arial"/>
        </w:rPr>
        <w:t>influence</w:t>
      </w:r>
      <w:r w:rsidRPr="0003652C">
        <w:rPr>
          <w:rFonts w:cs="Arial"/>
        </w:rPr>
        <w:t xml:space="preserve"> </w:t>
      </w:r>
      <w:r w:rsidR="00863BBD">
        <w:rPr>
          <w:rFonts w:cs="Arial"/>
        </w:rPr>
        <w:t>on</w:t>
      </w:r>
      <w:r w:rsidRPr="0003652C">
        <w:rPr>
          <w:rFonts w:cs="Arial"/>
        </w:rPr>
        <w:t xml:space="preserve"> the selective </w:t>
      </w:r>
      <w:r w:rsidR="00995211">
        <w:rPr>
          <w:rFonts w:cs="Arial"/>
        </w:rPr>
        <w:t>school</w:t>
      </w:r>
      <w:r w:rsidRPr="0003652C">
        <w:rPr>
          <w:rFonts w:cs="Arial"/>
        </w:rPr>
        <w:t xml:space="preserve">s </w:t>
      </w:r>
      <w:r w:rsidR="00863BBD">
        <w:rPr>
          <w:rFonts w:cs="Arial"/>
        </w:rPr>
        <w:t>that</w:t>
      </w:r>
      <w:r w:rsidR="00863BBD" w:rsidRPr="0003652C">
        <w:rPr>
          <w:rFonts w:cs="Arial"/>
        </w:rPr>
        <w:t xml:space="preserve"> </w:t>
      </w:r>
      <w:r w:rsidRPr="0003652C">
        <w:rPr>
          <w:rFonts w:cs="Arial"/>
        </w:rPr>
        <w:t xml:space="preserve">recruited internationally. This is interesting as it places the selective </w:t>
      </w:r>
      <w:r w:rsidR="00995211">
        <w:rPr>
          <w:rFonts w:cs="Arial"/>
        </w:rPr>
        <w:t>school</w:t>
      </w:r>
      <w:r w:rsidRPr="0003652C">
        <w:rPr>
          <w:rFonts w:cs="Arial"/>
        </w:rPr>
        <w:t>s in a more vulnerable position in relation to the market than they had</w:t>
      </w:r>
      <w:r w:rsidR="00BB1611" w:rsidRPr="0003652C">
        <w:rPr>
          <w:rFonts w:cs="Arial"/>
        </w:rPr>
        <w:t xml:space="preserve"> previously</w:t>
      </w:r>
      <w:r w:rsidRPr="0003652C">
        <w:rPr>
          <w:rFonts w:cs="Arial"/>
        </w:rPr>
        <w:t xml:space="preserve"> been. Whilst this forced externality </w:t>
      </w:r>
      <w:r w:rsidR="00BB1611" w:rsidRPr="0003652C">
        <w:rPr>
          <w:rFonts w:cs="Arial"/>
        </w:rPr>
        <w:t>may have</w:t>
      </w:r>
      <w:r w:rsidRPr="0003652C">
        <w:rPr>
          <w:rFonts w:cs="Arial"/>
        </w:rPr>
        <w:t xml:space="preserve"> come about initially</w:t>
      </w:r>
      <w:r w:rsidR="00863BBD">
        <w:rPr>
          <w:rFonts w:cs="Arial"/>
        </w:rPr>
        <w:t xml:space="preserve"> due</w:t>
      </w:r>
      <w:r w:rsidRPr="0003652C">
        <w:rPr>
          <w:rFonts w:cs="Arial"/>
        </w:rPr>
        <w:t xml:space="preserve"> to the increasing push to attract international students and the advantage</w:t>
      </w:r>
      <w:r w:rsidR="00D1606E" w:rsidRPr="0003652C">
        <w:rPr>
          <w:rFonts w:cs="Arial"/>
        </w:rPr>
        <w:t>s</w:t>
      </w:r>
      <w:r w:rsidRPr="0003652C">
        <w:rPr>
          <w:rFonts w:cs="Arial"/>
        </w:rPr>
        <w:t xml:space="preserve"> </w:t>
      </w:r>
      <w:r w:rsidR="00D1606E" w:rsidRPr="0003652C">
        <w:rPr>
          <w:rFonts w:cs="Arial"/>
        </w:rPr>
        <w:t xml:space="preserve">there in </w:t>
      </w:r>
      <w:r w:rsidRPr="0003652C">
        <w:rPr>
          <w:rFonts w:cs="Arial"/>
        </w:rPr>
        <w:t xml:space="preserve">avoiding the fees cap, these </w:t>
      </w:r>
      <w:r w:rsidR="00995211">
        <w:rPr>
          <w:rFonts w:cs="Arial"/>
        </w:rPr>
        <w:t>school</w:t>
      </w:r>
      <w:r w:rsidRPr="0003652C">
        <w:rPr>
          <w:rFonts w:cs="Arial"/>
        </w:rPr>
        <w:t>s are then more exposed to the power exerted by regulators abroad, as a result of the retreat of the domestic regulator (Wallace, 2022).  There are implications here</w:t>
      </w:r>
      <w:r w:rsidR="00863BBD">
        <w:rPr>
          <w:rFonts w:cs="Arial"/>
        </w:rPr>
        <w:t>,</w:t>
      </w:r>
      <w:r w:rsidRPr="0003652C">
        <w:rPr>
          <w:rFonts w:cs="Arial"/>
        </w:rPr>
        <w:t xml:space="preserve"> therefore</w:t>
      </w:r>
      <w:r w:rsidR="00863BBD">
        <w:rPr>
          <w:rFonts w:cs="Arial"/>
        </w:rPr>
        <w:t>,</w:t>
      </w:r>
      <w:r w:rsidRPr="0003652C">
        <w:rPr>
          <w:rFonts w:cs="Arial"/>
        </w:rPr>
        <w:t xml:space="preserve"> for all categories of law school for the </w:t>
      </w:r>
      <w:r w:rsidR="00863BBD" w:rsidRPr="0003652C">
        <w:rPr>
          <w:rFonts w:cs="Arial"/>
        </w:rPr>
        <w:t>outward</w:t>
      </w:r>
      <w:r w:rsidR="00863BBD">
        <w:rPr>
          <w:rFonts w:cs="Arial"/>
        </w:rPr>
        <w:t>-</w:t>
      </w:r>
      <w:r w:rsidRPr="0003652C">
        <w:rPr>
          <w:rFonts w:cs="Arial"/>
        </w:rPr>
        <w:t xml:space="preserve">looking perspective of the degree as well as how it is presented internally. </w:t>
      </w:r>
    </w:p>
    <w:p w14:paraId="263993E7" w14:textId="24BA7335" w:rsidR="00BE2C10" w:rsidRPr="0003652C" w:rsidRDefault="00BE2C10" w:rsidP="0003652C">
      <w:pPr>
        <w:spacing w:line="360" w:lineRule="auto"/>
        <w:jc w:val="both"/>
        <w:rPr>
          <w:rFonts w:cs="Arial"/>
        </w:rPr>
      </w:pPr>
      <w:r w:rsidRPr="0003652C">
        <w:rPr>
          <w:rFonts w:cs="Arial"/>
        </w:rPr>
        <w:t>The state</w:t>
      </w:r>
      <w:r w:rsidR="00D1606E" w:rsidRPr="0003652C">
        <w:rPr>
          <w:rFonts w:cs="Arial"/>
        </w:rPr>
        <w:t>,</w:t>
      </w:r>
      <w:r w:rsidRPr="0003652C">
        <w:rPr>
          <w:rFonts w:cs="Arial"/>
        </w:rPr>
        <w:t xml:space="preserve"> </w:t>
      </w:r>
      <w:r w:rsidR="00D1606E" w:rsidRPr="0003652C">
        <w:rPr>
          <w:rFonts w:cs="Arial"/>
        </w:rPr>
        <w:t xml:space="preserve">as an agent in this field, </w:t>
      </w:r>
      <w:r w:rsidRPr="0003652C">
        <w:rPr>
          <w:rFonts w:cs="Arial"/>
        </w:rPr>
        <w:t xml:space="preserve">was represented in the findings by the Office of Students and </w:t>
      </w:r>
      <w:r w:rsidR="00D1606E" w:rsidRPr="0003652C">
        <w:rPr>
          <w:rFonts w:cs="Arial"/>
        </w:rPr>
        <w:t xml:space="preserve">mainly referred to in relation to </w:t>
      </w:r>
      <w:r w:rsidRPr="0003652C">
        <w:rPr>
          <w:rFonts w:cs="Arial"/>
        </w:rPr>
        <w:t>the competence-based metrics</w:t>
      </w:r>
      <w:r w:rsidR="00D1606E" w:rsidRPr="0003652C">
        <w:rPr>
          <w:rFonts w:cs="Arial"/>
        </w:rPr>
        <w:t xml:space="preserve"> in </w:t>
      </w:r>
      <w:r w:rsidRPr="0003652C">
        <w:rPr>
          <w:rFonts w:cs="Arial"/>
        </w:rPr>
        <w:t xml:space="preserve">the </w:t>
      </w:r>
      <w:r w:rsidR="005A5F98">
        <w:rPr>
          <w:rFonts w:cs="Arial"/>
        </w:rPr>
        <w:t>TEF</w:t>
      </w:r>
      <w:r w:rsidRPr="0003652C">
        <w:rPr>
          <w:rFonts w:cs="Arial"/>
        </w:rPr>
        <w:t>.  As we saw</w:t>
      </w:r>
      <w:r w:rsidR="00863BBD">
        <w:rPr>
          <w:rFonts w:cs="Arial"/>
        </w:rPr>
        <w:t>,</w:t>
      </w:r>
      <w:r w:rsidRPr="0003652C">
        <w:rPr>
          <w:rFonts w:cs="Arial"/>
        </w:rPr>
        <w:t xml:space="preserve"> there was little direct influence here on course design. </w:t>
      </w:r>
    </w:p>
    <w:p w14:paraId="429D05B0" w14:textId="1FE28C07" w:rsidR="00BE2C10" w:rsidRPr="0003652C" w:rsidRDefault="00BE2C10" w:rsidP="0003652C">
      <w:pPr>
        <w:spacing w:line="360" w:lineRule="auto"/>
        <w:jc w:val="both"/>
        <w:rPr>
          <w:rFonts w:cs="Arial"/>
        </w:rPr>
      </w:pPr>
      <w:r w:rsidRPr="0003652C">
        <w:rPr>
          <w:rFonts w:cs="Arial"/>
        </w:rPr>
        <w:lastRenderedPageBreak/>
        <w:t xml:space="preserve">It is important to note that whilst there is little in the way of explicit regulatory impact here from either the regulatory bodies or the state, and </w:t>
      </w:r>
      <w:r w:rsidR="00D1606E" w:rsidRPr="0003652C">
        <w:rPr>
          <w:rFonts w:cs="Arial"/>
        </w:rPr>
        <w:t>that</w:t>
      </w:r>
      <w:r w:rsidRPr="0003652C">
        <w:rPr>
          <w:rFonts w:cs="Arial"/>
        </w:rPr>
        <w:t xml:space="preserve"> is very much in accordance with Bernstein’s proposition that ‘</w:t>
      </w:r>
      <w:r w:rsidRPr="0003652C">
        <w:rPr>
          <w:rFonts w:cs="Arial"/>
          <w:color w:val="000000" w:themeColor="text1"/>
        </w:rPr>
        <w:t xml:space="preserve">there is no official recontextualizing field for the construction of an official higher education discourse’ (Berstein, 2000. </w:t>
      </w:r>
      <w:r w:rsidR="00E50173">
        <w:rPr>
          <w:rFonts w:cs="Arial"/>
          <w:color w:val="000000" w:themeColor="text1"/>
        </w:rPr>
        <w:t>p.</w:t>
      </w:r>
      <w:r w:rsidRPr="0003652C">
        <w:rPr>
          <w:rFonts w:cs="Arial"/>
          <w:color w:val="000000" w:themeColor="text1"/>
        </w:rPr>
        <w:t>60), the implicit and indirect influences may have an impact. I return to these when considering what influenced the agents who had control in the PRF in course design.</w:t>
      </w:r>
      <w:r w:rsidR="00BB1611" w:rsidRPr="0003652C">
        <w:rPr>
          <w:rFonts w:cs="Arial"/>
        </w:rPr>
        <w:t xml:space="preserve"> </w:t>
      </w:r>
      <w:r w:rsidRPr="0003652C">
        <w:rPr>
          <w:rFonts w:cs="Arial"/>
          <w:color w:val="000000" w:themeColor="text1"/>
        </w:rPr>
        <w:t>It is to the PRF that I now turn, and that forms the focus of this investigation, where the response to the deregulation has arguably led to uncertainty.</w:t>
      </w:r>
    </w:p>
    <w:p w14:paraId="1CEFF7F9" w14:textId="77777777" w:rsidR="00BE2C10" w:rsidRPr="0003652C" w:rsidRDefault="00BE2C10" w:rsidP="0003652C">
      <w:pPr>
        <w:spacing w:line="360" w:lineRule="auto"/>
        <w:jc w:val="both"/>
        <w:rPr>
          <w:rFonts w:cs="Arial"/>
          <w:sz w:val="22"/>
          <w:szCs w:val="22"/>
        </w:rPr>
      </w:pPr>
    </w:p>
    <w:p w14:paraId="3D08C66D" w14:textId="77777777" w:rsidR="00BE2C10" w:rsidRPr="0003652C" w:rsidRDefault="00BE2C10" w:rsidP="0003652C">
      <w:pPr>
        <w:spacing w:line="360" w:lineRule="auto"/>
        <w:rPr>
          <w:rFonts w:cs="Arial"/>
        </w:rPr>
      </w:pPr>
    </w:p>
    <w:p w14:paraId="222A5231" w14:textId="6EA6DBB1" w:rsidR="00A16385" w:rsidRPr="0003652C" w:rsidRDefault="00A16385" w:rsidP="0003652C">
      <w:pPr>
        <w:pStyle w:val="Heading4"/>
        <w:numPr>
          <w:ilvl w:val="0"/>
          <w:numId w:val="0"/>
        </w:numPr>
        <w:spacing w:line="360" w:lineRule="auto"/>
        <w:rPr>
          <w:rFonts w:ascii="Arial" w:hAnsi="Arial" w:cs="Arial"/>
        </w:rPr>
      </w:pPr>
    </w:p>
    <w:p w14:paraId="23ED2864" w14:textId="77777777" w:rsidR="00BB1611" w:rsidRPr="0003652C" w:rsidRDefault="00BB1611" w:rsidP="0003652C">
      <w:pPr>
        <w:spacing w:line="360" w:lineRule="auto"/>
        <w:rPr>
          <w:rFonts w:cs="Arial"/>
        </w:rPr>
      </w:pPr>
    </w:p>
    <w:p w14:paraId="4CC4D20D" w14:textId="76D196D1" w:rsidR="00BB1611" w:rsidRPr="0003652C" w:rsidRDefault="00BB1611" w:rsidP="00D83239">
      <w:pPr>
        <w:spacing w:before="0" w:beforeAutospacing="0" w:after="0" w:line="360" w:lineRule="auto"/>
        <w:rPr>
          <w:rFonts w:cs="Arial"/>
        </w:rPr>
      </w:pPr>
      <w:r w:rsidRPr="0003652C">
        <w:rPr>
          <w:rFonts w:cs="Arial"/>
        </w:rPr>
        <w:br w:type="page"/>
      </w:r>
    </w:p>
    <w:p w14:paraId="4C9FF4AC" w14:textId="51229EDE" w:rsidR="00A16AFC" w:rsidRPr="0003652C" w:rsidRDefault="00BE2C10" w:rsidP="0003652C">
      <w:pPr>
        <w:pStyle w:val="Heading1"/>
        <w:spacing w:before="100" w:after="100" w:afterAutospacing="1" w:line="360" w:lineRule="auto"/>
        <w:rPr>
          <w:rFonts w:ascii="Arial" w:hAnsi="Arial" w:cs="Arial"/>
          <w:lang w:val="fr-FR"/>
        </w:rPr>
      </w:pPr>
      <w:r w:rsidRPr="0003652C">
        <w:rPr>
          <w:rFonts w:ascii="Arial" w:hAnsi="Arial" w:cs="Arial"/>
          <w:lang w:val="fr-FR"/>
        </w:rPr>
        <w:lastRenderedPageBreak/>
        <w:t> </w:t>
      </w:r>
      <w:bookmarkStart w:id="68" w:name="_Toc223348860"/>
      <w:r w:rsidR="0075156B" w:rsidRPr="0003652C">
        <w:rPr>
          <w:rFonts w:ascii="Arial" w:hAnsi="Arial" w:cs="Arial"/>
          <w:lang w:val="fr-FR"/>
        </w:rPr>
        <w:t>The pedagogic recontextualising field: T</w:t>
      </w:r>
      <w:r w:rsidR="002C01C2" w:rsidRPr="0003652C">
        <w:rPr>
          <w:rFonts w:ascii="Arial" w:hAnsi="Arial" w:cs="Arial"/>
          <w:lang w:val="fr-FR"/>
        </w:rPr>
        <w:t>he</w:t>
      </w:r>
      <w:r w:rsidR="00D1606E" w:rsidRPr="0003652C">
        <w:rPr>
          <w:rFonts w:ascii="Arial" w:hAnsi="Arial" w:cs="Arial"/>
          <w:lang w:val="fr-FR"/>
        </w:rPr>
        <w:t xml:space="preserve"> agents</w:t>
      </w:r>
      <w:bookmarkEnd w:id="68"/>
    </w:p>
    <w:p w14:paraId="0243C079" w14:textId="17D61674" w:rsidR="00F33D40" w:rsidRPr="006370E7" w:rsidRDefault="00F33D40" w:rsidP="006370E7">
      <w:pPr>
        <w:spacing w:line="360" w:lineRule="auto"/>
        <w:jc w:val="both"/>
        <w:rPr>
          <w:rFonts w:cs="Arial"/>
          <w:color w:val="000000" w:themeColor="text1"/>
        </w:rPr>
      </w:pPr>
      <w:r w:rsidRPr="0003652C">
        <w:rPr>
          <w:rFonts w:cs="Arial"/>
          <w:color w:val="000000" w:themeColor="text1"/>
        </w:rPr>
        <w:t xml:space="preserve">Before moving on to the focus of this chapter and the continued investigation into the research question </w:t>
      </w:r>
      <w:r w:rsidR="008569D2" w:rsidRPr="0003652C">
        <w:rPr>
          <w:rFonts w:cs="Arial"/>
          <w:color w:val="000000" w:themeColor="text1"/>
        </w:rPr>
        <w:t xml:space="preserve">as to </w:t>
      </w:r>
      <w:r w:rsidRPr="0003652C">
        <w:rPr>
          <w:rFonts w:cs="Arial"/>
          <w:color w:val="000000" w:themeColor="text1"/>
        </w:rPr>
        <w:t xml:space="preserve">who influences the course design, it is necessary to say something about the relationship between the </w:t>
      </w:r>
      <w:r w:rsidR="0075156B" w:rsidRPr="0003652C">
        <w:rPr>
          <w:rFonts w:cs="Arial"/>
          <w:color w:val="000000" w:themeColor="text1"/>
        </w:rPr>
        <w:t>official recontextualising field (ORF)</w:t>
      </w:r>
      <w:r w:rsidRPr="0003652C">
        <w:rPr>
          <w:rFonts w:cs="Arial"/>
          <w:color w:val="000000" w:themeColor="text1"/>
        </w:rPr>
        <w:t xml:space="preserve"> and the </w:t>
      </w:r>
      <w:r w:rsidR="0075156B" w:rsidRPr="0003652C">
        <w:rPr>
          <w:rFonts w:cs="Arial"/>
          <w:color w:val="000000" w:themeColor="text1"/>
        </w:rPr>
        <w:t>pedagogic recontextualising field (PRF)</w:t>
      </w:r>
      <w:r w:rsidRPr="0003652C">
        <w:rPr>
          <w:rFonts w:cs="Arial"/>
          <w:color w:val="000000" w:themeColor="text1"/>
        </w:rPr>
        <w:t xml:space="preserve">. </w:t>
      </w:r>
    </w:p>
    <w:p w14:paraId="2F7A4047" w14:textId="0BE0FB43" w:rsidR="00A16AFC" w:rsidRPr="0003652C" w:rsidRDefault="00F33D40" w:rsidP="0003652C">
      <w:pPr>
        <w:pStyle w:val="Heading2"/>
        <w:spacing w:before="100" w:after="100" w:afterAutospacing="1" w:line="360" w:lineRule="auto"/>
        <w:rPr>
          <w:rFonts w:ascii="Arial" w:hAnsi="Arial" w:cs="Arial"/>
          <w:lang w:val="fr-FR"/>
        </w:rPr>
      </w:pPr>
      <w:bookmarkStart w:id="69" w:name="_Toc223348861"/>
      <w:r w:rsidRPr="0003652C">
        <w:rPr>
          <w:rFonts w:ascii="Arial" w:hAnsi="Arial" w:cs="Arial"/>
          <w:lang w:val="fr-FR"/>
        </w:rPr>
        <w:t>The impact of the ORF on the PRF</w:t>
      </w:r>
      <w:bookmarkEnd w:id="69"/>
    </w:p>
    <w:p w14:paraId="4666A9D6" w14:textId="7C51622B" w:rsidR="00F33D40" w:rsidRPr="0003652C" w:rsidRDefault="008569D2" w:rsidP="0003652C">
      <w:pPr>
        <w:spacing w:line="360" w:lineRule="auto"/>
        <w:jc w:val="both"/>
        <w:rPr>
          <w:rFonts w:cs="Arial"/>
        </w:rPr>
      </w:pPr>
      <w:r w:rsidRPr="0003652C">
        <w:rPr>
          <w:rFonts w:cs="Arial"/>
        </w:rPr>
        <w:t>For this investigation</w:t>
      </w:r>
      <w:r w:rsidR="00863BBD">
        <w:rPr>
          <w:rFonts w:cs="Arial"/>
        </w:rPr>
        <w:t>,</w:t>
      </w:r>
      <w:r w:rsidR="00F33D40" w:rsidRPr="0003652C">
        <w:rPr>
          <w:rFonts w:cs="Arial"/>
        </w:rPr>
        <w:t xml:space="preserve"> </w:t>
      </w:r>
      <w:r w:rsidRPr="0003652C">
        <w:rPr>
          <w:rFonts w:cs="Arial"/>
        </w:rPr>
        <w:t>the focus of the PRF</w:t>
      </w:r>
      <w:r w:rsidR="00F33D40" w:rsidRPr="0003652C">
        <w:rPr>
          <w:rFonts w:cs="Arial"/>
        </w:rPr>
        <w:t xml:space="preserve"> is on how the curriculum is received at the point of design or redesign, and the level of control or autonomy </w:t>
      </w:r>
      <w:r w:rsidR="0075156B" w:rsidRPr="0003652C">
        <w:rPr>
          <w:rFonts w:cs="Arial"/>
        </w:rPr>
        <w:t>that those involved in that design have</w:t>
      </w:r>
      <w:r w:rsidR="00F33D40" w:rsidRPr="0003652C">
        <w:rPr>
          <w:rFonts w:cs="Arial"/>
        </w:rPr>
        <w:t xml:space="preserve">. If the ORF is </w:t>
      </w:r>
      <w:r w:rsidR="0075156B" w:rsidRPr="0003652C">
        <w:rPr>
          <w:rFonts w:cs="Arial"/>
        </w:rPr>
        <w:t xml:space="preserve">in part </w:t>
      </w:r>
      <w:r w:rsidR="00F33D40" w:rsidRPr="0003652C">
        <w:rPr>
          <w:rFonts w:cs="Arial"/>
        </w:rPr>
        <w:t>weak</w:t>
      </w:r>
      <w:r w:rsidR="0075156B" w:rsidRPr="0003652C">
        <w:rPr>
          <w:rFonts w:cs="Arial"/>
        </w:rPr>
        <w:t>ening</w:t>
      </w:r>
      <w:r w:rsidR="00F33D40" w:rsidRPr="0003652C">
        <w:rPr>
          <w:rFonts w:cs="Arial"/>
        </w:rPr>
        <w:t xml:space="preserve">, as </w:t>
      </w:r>
      <w:r w:rsidR="0075156B" w:rsidRPr="0003652C">
        <w:rPr>
          <w:rFonts w:cs="Arial"/>
        </w:rPr>
        <w:t>is apparent here</w:t>
      </w:r>
      <w:r w:rsidR="00F33D40" w:rsidRPr="0003652C">
        <w:rPr>
          <w:rFonts w:cs="Arial"/>
        </w:rPr>
        <w:t xml:space="preserve">, then the PRF should have more autonomy. Bernstein, discussing the impact of reform in the 1970s on secondary schools </w:t>
      </w:r>
      <w:r w:rsidR="00863BBD">
        <w:rPr>
          <w:rFonts w:cs="Arial"/>
        </w:rPr>
        <w:t>,</w:t>
      </w:r>
      <w:r w:rsidR="00F33D40" w:rsidRPr="0003652C">
        <w:rPr>
          <w:rFonts w:cs="Arial"/>
        </w:rPr>
        <w:t>argued that the removal of a regulator had a significant impact</w:t>
      </w:r>
      <w:r w:rsidR="00BB1611" w:rsidRPr="0003652C">
        <w:rPr>
          <w:rFonts w:cs="Arial"/>
        </w:rPr>
        <w:t>,</w:t>
      </w:r>
    </w:p>
    <w:p w14:paraId="4DA7D672" w14:textId="5930132A" w:rsidR="00F33D40" w:rsidRPr="0003652C" w:rsidRDefault="00CA5E56" w:rsidP="006370E7">
      <w:pPr>
        <w:spacing w:line="360" w:lineRule="auto"/>
        <w:ind w:left="720"/>
        <w:jc w:val="both"/>
        <w:rPr>
          <w:rFonts w:cs="Arial"/>
        </w:rPr>
      </w:pPr>
      <w:r w:rsidRPr="0003652C">
        <w:rPr>
          <w:rFonts w:cs="Arial"/>
        </w:rPr>
        <w:t>Thus,</w:t>
      </w:r>
      <w:r w:rsidR="00F33D40" w:rsidRPr="0003652C">
        <w:rPr>
          <w:rFonts w:cs="Arial"/>
        </w:rPr>
        <w:t xml:space="preserve"> both at primary and secondary levels a pedagogic space existed for appropriation by the activities of the PRF</w:t>
      </w:r>
      <w:r w:rsidR="008569D2" w:rsidRPr="0003652C">
        <w:rPr>
          <w:rFonts w:cs="Arial"/>
        </w:rPr>
        <w:t xml:space="preserve"> </w:t>
      </w:r>
      <w:r w:rsidR="00F33D40" w:rsidRPr="0003652C">
        <w:rPr>
          <w:rFonts w:cs="Arial"/>
        </w:rPr>
        <w:t xml:space="preserve">(Bernstein, 2000. </w:t>
      </w:r>
      <w:r w:rsidR="00E50173">
        <w:rPr>
          <w:rFonts w:cs="Arial"/>
        </w:rPr>
        <w:t>p.</w:t>
      </w:r>
      <w:r w:rsidR="00F33D40" w:rsidRPr="0003652C">
        <w:rPr>
          <w:rFonts w:cs="Arial"/>
        </w:rPr>
        <w:t>57)</w:t>
      </w:r>
      <w:r w:rsidR="008569D2" w:rsidRPr="0003652C">
        <w:rPr>
          <w:rFonts w:cs="Arial"/>
        </w:rPr>
        <w:t>.</w:t>
      </w:r>
    </w:p>
    <w:p w14:paraId="753D855D" w14:textId="245C22BA" w:rsidR="00F33D40" w:rsidRPr="0003652C" w:rsidRDefault="00397C07" w:rsidP="0003652C">
      <w:pPr>
        <w:spacing w:line="360" w:lineRule="auto"/>
        <w:jc w:val="both"/>
        <w:rPr>
          <w:rFonts w:cs="Arial"/>
        </w:rPr>
      </w:pPr>
      <w:r w:rsidRPr="0003652C">
        <w:rPr>
          <w:rFonts w:cs="Arial"/>
        </w:rPr>
        <w:t>Something similar is happening here with the</w:t>
      </w:r>
      <w:r w:rsidR="00F33D40" w:rsidRPr="0003652C">
        <w:rPr>
          <w:rFonts w:cs="Arial"/>
        </w:rPr>
        <w:t xml:space="preserve"> removal of the regulation of routes to the law profession and the impact that has had and is having on the design of law degrees. The </w:t>
      </w:r>
      <w:r w:rsidR="0075156B" w:rsidRPr="0003652C">
        <w:rPr>
          <w:rFonts w:cs="Arial"/>
        </w:rPr>
        <w:t>pedagogic recontextualising field</w:t>
      </w:r>
      <w:r w:rsidR="00F33D40" w:rsidRPr="0003652C">
        <w:rPr>
          <w:rFonts w:cs="Arial"/>
        </w:rPr>
        <w:t xml:space="preserve"> here can frame and define what control there is over the selection, pacing, criteria and sequencing of the knowledge (Ashwin, 2009). However, when the PRF inherits autonomy from a weak ORF, but the PRF is also weak, th</w:t>
      </w:r>
      <w:r w:rsidR="00863BBD">
        <w:rPr>
          <w:rFonts w:cs="Arial"/>
        </w:rPr>
        <w:t>is</w:t>
      </w:r>
      <w:r w:rsidR="00F33D40" w:rsidRPr="0003652C">
        <w:rPr>
          <w:rFonts w:cs="Arial"/>
        </w:rPr>
        <w:t xml:space="preserve"> presents </w:t>
      </w:r>
      <w:r w:rsidRPr="0003652C">
        <w:rPr>
          <w:rFonts w:cs="Arial"/>
        </w:rPr>
        <w:t xml:space="preserve">the potential for confusion and a lack of direction. </w:t>
      </w:r>
    </w:p>
    <w:p w14:paraId="26DCFCB2" w14:textId="00D5ABEF" w:rsidR="00F33D40" w:rsidRPr="0003652C" w:rsidRDefault="00F33D40" w:rsidP="0003652C">
      <w:pPr>
        <w:spacing w:line="360" w:lineRule="auto"/>
        <w:jc w:val="both"/>
        <w:rPr>
          <w:rFonts w:cs="Arial"/>
          <w:color w:val="000000" w:themeColor="text1"/>
        </w:rPr>
      </w:pPr>
      <w:r w:rsidRPr="0003652C">
        <w:rPr>
          <w:rFonts w:cs="Arial"/>
          <w:color w:val="000000" w:themeColor="text1"/>
        </w:rPr>
        <w:t>In considering the agents within this field</w:t>
      </w:r>
      <w:r w:rsidR="00863BBD">
        <w:rPr>
          <w:rFonts w:cs="Arial"/>
          <w:color w:val="000000" w:themeColor="text1"/>
        </w:rPr>
        <w:t>,</w:t>
      </w:r>
      <w:r w:rsidRPr="0003652C">
        <w:rPr>
          <w:rFonts w:cs="Arial"/>
          <w:color w:val="000000" w:themeColor="text1"/>
        </w:rPr>
        <w:t xml:space="preserve"> </w:t>
      </w:r>
      <w:r w:rsidR="00CA5E56">
        <w:rPr>
          <w:rFonts w:cs="Arial"/>
          <w:color w:val="000000" w:themeColor="text1"/>
        </w:rPr>
        <w:t>it is</w:t>
      </w:r>
      <w:r w:rsidRPr="0003652C">
        <w:rPr>
          <w:rFonts w:cs="Arial"/>
          <w:color w:val="000000" w:themeColor="text1"/>
        </w:rPr>
        <w:t xml:space="preserve"> worth remembering that in higher education</w:t>
      </w:r>
      <w:r w:rsidR="00863BBD">
        <w:rPr>
          <w:rFonts w:cs="Arial"/>
          <w:color w:val="000000" w:themeColor="text1"/>
        </w:rPr>
        <w:t>,</w:t>
      </w:r>
      <w:r w:rsidRPr="0003652C">
        <w:rPr>
          <w:rFonts w:cs="Arial"/>
          <w:color w:val="000000" w:themeColor="text1"/>
        </w:rPr>
        <w:t xml:space="preserve"> you may see more autonomy in the PRF than you would in secondary schools (Shay &amp; Steyn, 20</w:t>
      </w:r>
      <w:r w:rsidR="00ED292E" w:rsidRPr="0003652C">
        <w:rPr>
          <w:rFonts w:cs="Arial"/>
          <w:color w:val="000000" w:themeColor="text1"/>
        </w:rPr>
        <w:t>16</w:t>
      </w:r>
      <w:r w:rsidRPr="0003652C">
        <w:rPr>
          <w:rFonts w:cs="Arial"/>
          <w:color w:val="000000" w:themeColor="text1"/>
        </w:rPr>
        <w:t>; Mc</w:t>
      </w:r>
      <w:r w:rsidR="00424F6F">
        <w:rPr>
          <w:rFonts w:cs="Arial"/>
          <w:color w:val="000000" w:themeColor="text1"/>
        </w:rPr>
        <w:t>L</w:t>
      </w:r>
      <w:r w:rsidRPr="0003652C">
        <w:rPr>
          <w:rFonts w:cs="Arial"/>
          <w:color w:val="000000" w:themeColor="text1"/>
        </w:rPr>
        <w:t>ean et al., 2018). Bernstein</w:t>
      </w:r>
      <w:r w:rsidR="00397C07" w:rsidRPr="0003652C">
        <w:rPr>
          <w:rFonts w:cs="Arial"/>
          <w:color w:val="000000" w:themeColor="text1"/>
        </w:rPr>
        <w:t>,</w:t>
      </w:r>
      <w:r w:rsidRPr="0003652C">
        <w:rPr>
          <w:rFonts w:cs="Arial"/>
          <w:color w:val="000000" w:themeColor="text1"/>
        </w:rPr>
        <w:t xml:space="preserve"> as discussed earlier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F</w:t>
      </w:r>
      <w:r w:rsidR="00397C07" w:rsidRPr="0003652C">
        <w:rPr>
          <w:rFonts w:cs="Arial"/>
          <w:color w:val="000000" w:themeColor="text1"/>
        </w:rPr>
        <w:t>ive,</w:t>
      </w:r>
      <w:r w:rsidRPr="0003652C">
        <w:rPr>
          <w:rFonts w:cs="Arial"/>
          <w:color w:val="000000" w:themeColor="text1"/>
        </w:rPr>
        <w:t xml:space="preserve"> regards higher education as not having a direct impact</w:t>
      </w:r>
      <w:r w:rsidR="00863BBD">
        <w:rPr>
          <w:rFonts w:cs="Arial"/>
          <w:color w:val="000000" w:themeColor="text1"/>
        </w:rPr>
        <w:t xml:space="preserve"> on</w:t>
      </w:r>
      <w:r w:rsidRPr="0003652C">
        <w:rPr>
          <w:rFonts w:cs="Arial"/>
          <w:color w:val="000000" w:themeColor="text1"/>
        </w:rPr>
        <w:t xml:space="preserve"> ORF but recognises that</w:t>
      </w:r>
      <w:r w:rsidR="00863BBD">
        <w:rPr>
          <w:rFonts w:cs="Arial"/>
          <w:color w:val="000000" w:themeColor="text1"/>
        </w:rPr>
        <w:t>,</w:t>
      </w:r>
      <w:r w:rsidRPr="0003652C">
        <w:rPr>
          <w:rFonts w:cs="Arial"/>
          <w:color w:val="000000" w:themeColor="text1"/>
        </w:rPr>
        <w:t xml:space="preserve"> whilst that might imply autonomy for the PRF, there may </w:t>
      </w:r>
      <w:r w:rsidR="00397C07" w:rsidRPr="0003652C">
        <w:rPr>
          <w:rFonts w:cs="Arial"/>
          <w:color w:val="000000" w:themeColor="text1"/>
        </w:rPr>
        <w:t xml:space="preserve">still </w:t>
      </w:r>
      <w:r w:rsidRPr="0003652C">
        <w:rPr>
          <w:rFonts w:cs="Arial"/>
          <w:color w:val="000000" w:themeColor="text1"/>
        </w:rPr>
        <w:t>be a strong indirect impact.  It is likely in higher education that the classification as well as the framing will be impacted by the PRF.  In higher education</w:t>
      </w:r>
      <w:r w:rsidR="00863BBD">
        <w:rPr>
          <w:rFonts w:cs="Arial"/>
          <w:color w:val="000000" w:themeColor="text1"/>
        </w:rPr>
        <w:t>,</w:t>
      </w:r>
      <w:r w:rsidRPr="0003652C">
        <w:rPr>
          <w:rFonts w:cs="Arial"/>
          <w:color w:val="000000" w:themeColor="text1"/>
        </w:rPr>
        <w:t xml:space="preserve"> the agents in the PRF might not only be responsible for how a subject </w:t>
      </w:r>
      <w:r w:rsidRPr="0003652C">
        <w:rPr>
          <w:rFonts w:cs="Arial"/>
          <w:color w:val="000000" w:themeColor="text1"/>
        </w:rPr>
        <w:lastRenderedPageBreak/>
        <w:t xml:space="preserve">is taught, but also </w:t>
      </w:r>
      <w:r w:rsidR="00863BBD">
        <w:rPr>
          <w:rFonts w:cs="Arial"/>
          <w:color w:val="000000" w:themeColor="text1"/>
        </w:rPr>
        <w:t>for</w:t>
      </w:r>
      <w:r w:rsidRPr="0003652C">
        <w:rPr>
          <w:rFonts w:cs="Arial"/>
          <w:color w:val="000000" w:themeColor="text1"/>
        </w:rPr>
        <w:t xml:space="preserve"> deciding what is recontextualised from disciplinary (or other) knowledge. A unit, module or subject may</w:t>
      </w:r>
      <w:r w:rsidR="00863BBD">
        <w:rPr>
          <w:rFonts w:cs="Arial"/>
          <w:color w:val="000000" w:themeColor="text1"/>
        </w:rPr>
        <w:t>,</w:t>
      </w:r>
      <w:r w:rsidRPr="0003652C">
        <w:rPr>
          <w:rFonts w:cs="Arial"/>
          <w:color w:val="000000" w:themeColor="text1"/>
        </w:rPr>
        <w:t xml:space="preserve"> for example</w:t>
      </w:r>
      <w:r w:rsidR="00863BBD">
        <w:rPr>
          <w:rFonts w:cs="Arial"/>
          <w:color w:val="000000" w:themeColor="text1"/>
        </w:rPr>
        <w:t>,</w:t>
      </w:r>
      <w:r w:rsidRPr="0003652C">
        <w:rPr>
          <w:rFonts w:cs="Arial"/>
          <w:color w:val="000000" w:themeColor="text1"/>
        </w:rPr>
        <w:t xml:space="preserve"> be defined by a textbook, but that textbook is more likely to have been written by an academic, and possibly even one involved in the design of a </w:t>
      </w:r>
      <w:r w:rsidR="00F63B36">
        <w:rPr>
          <w:rFonts w:cs="Arial"/>
          <w:color w:val="000000" w:themeColor="text1"/>
        </w:rPr>
        <w:t xml:space="preserve">course </w:t>
      </w:r>
      <w:r w:rsidRPr="0003652C">
        <w:rPr>
          <w:rFonts w:cs="Arial"/>
          <w:color w:val="000000" w:themeColor="text1"/>
        </w:rPr>
        <w:t>(Mc</w:t>
      </w:r>
      <w:r w:rsidR="00424F6F">
        <w:rPr>
          <w:rFonts w:cs="Arial"/>
          <w:color w:val="000000" w:themeColor="text1"/>
        </w:rPr>
        <w:t>L</w:t>
      </w:r>
      <w:r w:rsidRPr="0003652C">
        <w:rPr>
          <w:rFonts w:cs="Arial"/>
          <w:color w:val="000000" w:themeColor="text1"/>
        </w:rPr>
        <w:t>ean et al.</w:t>
      </w:r>
      <w:r w:rsidR="00AB4DE6" w:rsidRPr="0003652C">
        <w:rPr>
          <w:rFonts w:cs="Arial"/>
          <w:color w:val="000000" w:themeColor="text1"/>
        </w:rPr>
        <w:t>,</w:t>
      </w:r>
      <w:r w:rsidRPr="0003652C">
        <w:rPr>
          <w:rFonts w:cs="Arial"/>
          <w:color w:val="000000" w:themeColor="text1"/>
        </w:rPr>
        <w:t xml:space="preserve"> 2018). </w:t>
      </w:r>
    </w:p>
    <w:p w14:paraId="7E5910CE" w14:textId="20319EA8" w:rsidR="00F33D40" w:rsidRPr="0003652C" w:rsidRDefault="00F33D40" w:rsidP="0003652C">
      <w:pPr>
        <w:spacing w:line="360" w:lineRule="auto"/>
        <w:jc w:val="both"/>
        <w:rPr>
          <w:rFonts w:cs="Arial"/>
          <w:color w:val="000000" w:themeColor="text1"/>
        </w:rPr>
      </w:pPr>
      <w:r w:rsidRPr="0003652C">
        <w:rPr>
          <w:rFonts w:cs="Arial"/>
          <w:color w:val="000000" w:themeColor="text1"/>
        </w:rPr>
        <w:t xml:space="preserve">Whilst this and </w:t>
      </w:r>
      <w:r w:rsidR="00863BBD">
        <w:rPr>
          <w:rFonts w:cs="Arial"/>
          <w:color w:val="000000" w:themeColor="text1"/>
        </w:rPr>
        <w:t xml:space="preserve">the </w:t>
      </w:r>
      <w:r w:rsidRPr="0003652C">
        <w:rPr>
          <w:rFonts w:cs="Arial"/>
          <w:color w:val="000000" w:themeColor="text1"/>
        </w:rPr>
        <w:t>following chapters concentrate on the University and academic community as the main agents</w:t>
      </w:r>
      <w:r w:rsidR="00397C07" w:rsidRPr="0003652C">
        <w:rPr>
          <w:rFonts w:cs="Arial"/>
          <w:color w:val="000000" w:themeColor="text1"/>
        </w:rPr>
        <w:t xml:space="preserve">, </w:t>
      </w:r>
      <w:r w:rsidRPr="0003652C">
        <w:rPr>
          <w:rFonts w:cs="Arial"/>
          <w:color w:val="000000" w:themeColor="text1"/>
        </w:rPr>
        <w:t xml:space="preserve">there is a blurring here, as the control that these agents have is still heavily influenced by the state and the regulatory bodies, even though they are not necessarily exerting direct power. The professional bodies may not dictate change in the course design, but they may leave some designers feeling they have little choice </w:t>
      </w:r>
      <w:r w:rsidR="00397C07" w:rsidRPr="0003652C">
        <w:rPr>
          <w:rFonts w:cs="Arial"/>
          <w:color w:val="000000" w:themeColor="text1"/>
        </w:rPr>
        <w:t>but to follow that</w:t>
      </w:r>
      <w:r w:rsidRPr="0003652C">
        <w:rPr>
          <w:rFonts w:cs="Arial"/>
          <w:color w:val="000000" w:themeColor="text1"/>
        </w:rPr>
        <w:t xml:space="preserve"> agenda</w:t>
      </w:r>
      <w:r w:rsidR="009A630C" w:rsidRPr="0003652C">
        <w:rPr>
          <w:rFonts w:cs="Arial"/>
          <w:color w:val="000000" w:themeColor="text1"/>
        </w:rPr>
        <w:t>.</w:t>
      </w:r>
    </w:p>
    <w:p w14:paraId="71CF87AD" w14:textId="2AA05AAA" w:rsidR="006370E7" w:rsidRPr="006370E7" w:rsidRDefault="00F33D40" w:rsidP="006370E7">
      <w:pPr>
        <w:spacing w:line="360" w:lineRule="auto"/>
        <w:ind w:left="720"/>
        <w:jc w:val="both"/>
        <w:rPr>
          <w:rFonts w:cs="Arial"/>
          <w:color w:val="000000" w:themeColor="text1"/>
        </w:rPr>
      </w:pPr>
      <w:r w:rsidRPr="0003652C">
        <w:rPr>
          <w:rFonts w:cs="Arial"/>
          <w:color w:val="000000" w:themeColor="text1"/>
        </w:rPr>
        <w:t>The SRA thus suggests that the reforms represent an opportunity to free the undergraduate law programme from the shackles of the qualifying law degree without having any regard to the Bar Standards Board still requiring a qualifying law degree</w:t>
      </w:r>
      <w:r w:rsidR="00863BBD">
        <w:rPr>
          <w:rFonts w:cs="Arial"/>
          <w:color w:val="000000" w:themeColor="text1"/>
        </w:rPr>
        <w:t>,</w:t>
      </w:r>
      <w:r w:rsidRPr="0003652C">
        <w:rPr>
          <w:rFonts w:cs="Arial"/>
          <w:color w:val="000000" w:themeColor="text1"/>
        </w:rPr>
        <w:t xml:space="preserve"> or the fact that if universities are to train students for the solicitors</w:t>
      </w:r>
      <w:r w:rsidR="00863BBD">
        <w:rPr>
          <w:rFonts w:cs="Arial"/>
          <w:color w:val="000000" w:themeColor="text1"/>
        </w:rPr>
        <w:t>’</w:t>
      </w:r>
      <w:r w:rsidRPr="0003652C">
        <w:rPr>
          <w:rFonts w:cs="Arial"/>
          <w:color w:val="000000" w:themeColor="text1"/>
        </w:rPr>
        <w:t xml:space="preserve"> qualifying exam</w:t>
      </w:r>
      <w:r w:rsidR="00863BBD">
        <w:rPr>
          <w:rFonts w:cs="Arial"/>
          <w:color w:val="000000" w:themeColor="text1"/>
        </w:rPr>
        <w:t>,</w:t>
      </w:r>
      <w:r w:rsidRPr="0003652C">
        <w:rPr>
          <w:rFonts w:cs="Arial"/>
          <w:color w:val="000000" w:themeColor="text1"/>
        </w:rPr>
        <w:t xml:space="preserve"> the shackles are rather tightened, not removed. (Mason &amp; Guth, 2018. </w:t>
      </w:r>
      <w:r w:rsidR="00CD6E72">
        <w:rPr>
          <w:rFonts w:cs="Arial"/>
          <w:color w:val="000000" w:themeColor="text1"/>
        </w:rPr>
        <w:t>p.</w:t>
      </w:r>
      <w:r w:rsidRPr="0003652C">
        <w:rPr>
          <w:rFonts w:cs="Arial"/>
          <w:color w:val="000000" w:themeColor="text1"/>
        </w:rPr>
        <w:t>380)</w:t>
      </w:r>
    </w:p>
    <w:p w14:paraId="43B77181" w14:textId="77777777" w:rsidR="00F33D40" w:rsidRPr="0003652C" w:rsidRDefault="00F33D40" w:rsidP="0003652C">
      <w:pPr>
        <w:pStyle w:val="Heading2"/>
        <w:spacing w:before="100" w:after="100" w:afterAutospacing="1" w:line="360" w:lineRule="auto"/>
        <w:rPr>
          <w:rFonts w:ascii="Arial" w:hAnsi="Arial" w:cs="Arial"/>
        </w:rPr>
      </w:pPr>
      <w:bookmarkStart w:id="70" w:name="_Toc223348862"/>
      <w:r w:rsidRPr="0003652C">
        <w:rPr>
          <w:rFonts w:ascii="Arial" w:hAnsi="Arial" w:cs="Arial"/>
        </w:rPr>
        <w:t>Agents in the PRF</w:t>
      </w:r>
      <w:bookmarkEnd w:id="70"/>
    </w:p>
    <w:p w14:paraId="42EB2BBE" w14:textId="64C3039C" w:rsidR="00B54569" w:rsidRPr="00D83239" w:rsidRDefault="00B54569" w:rsidP="0003652C">
      <w:pPr>
        <w:spacing w:line="360" w:lineRule="auto"/>
        <w:jc w:val="both"/>
        <w:rPr>
          <w:rFonts w:cs="Arial"/>
        </w:rPr>
      </w:pPr>
      <w:r w:rsidRPr="0003652C">
        <w:rPr>
          <w:rFonts w:cs="Arial"/>
          <w:color w:val="000000" w:themeColor="text1"/>
        </w:rPr>
        <w:t>Evidently</w:t>
      </w:r>
      <w:r w:rsidR="00863BBD">
        <w:rPr>
          <w:rFonts w:cs="Arial"/>
          <w:color w:val="000000" w:themeColor="text1"/>
        </w:rPr>
        <w:t>,</w:t>
      </w:r>
      <w:r w:rsidRPr="0003652C">
        <w:rPr>
          <w:rFonts w:cs="Arial"/>
          <w:color w:val="000000" w:themeColor="text1"/>
        </w:rPr>
        <w:t xml:space="preserve"> much more than the discipline might have influence in these re</w:t>
      </w:r>
      <w:r w:rsidR="00A82A71" w:rsidRPr="0003652C">
        <w:rPr>
          <w:rFonts w:cs="Arial"/>
          <w:color w:val="000000" w:themeColor="text1"/>
        </w:rPr>
        <w:t>contextualising</w:t>
      </w:r>
      <w:r w:rsidRPr="0003652C">
        <w:rPr>
          <w:rFonts w:cs="Arial"/>
          <w:color w:val="000000" w:themeColor="text1"/>
        </w:rPr>
        <w:t xml:space="preserve"> fields. </w:t>
      </w:r>
      <w:r w:rsidRPr="0003652C">
        <w:rPr>
          <w:rFonts w:cs="Arial"/>
        </w:rPr>
        <w:t>Internally</w:t>
      </w:r>
      <w:r w:rsidR="00863BBD">
        <w:rPr>
          <w:rFonts w:cs="Arial"/>
        </w:rPr>
        <w:t>,</w:t>
      </w:r>
      <w:r w:rsidRPr="0003652C">
        <w:rPr>
          <w:rFonts w:cs="Arial"/>
        </w:rPr>
        <w:t xml:space="preserve"> the PRF is a site of struggle between the dynamics of relationships between academics, institutions, the discipline and professional bodies, and therefore</w:t>
      </w:r>
      <w:r w:rsidR="00863BBD">
        <w:rPr>
          <w:rFonts w:cs="Arial"/>
        </w:rPr>
        <w:t>,</w:t>
      </w:r>
      <w:r w:rsidRPr="0003652C">
        <w:rPr>
          <w:rFonts w:cs="Arial"/>
        </w:rPr>
        <w:t xml:space="preserve"> as a site of constant change</w:t>
      </w:r>
      <w:r w:rsidR="00863BBD">
        <w:rPr>
          <w:rFonts w:cs="Arial"/>
        </w:rPr>
        <w:t>,</w:t>
      </w:r>
      <w:r w:rsidRPr="0003652C">
        <w:rPr>
          <w:rFonts w:cs="Arial"/>
        </w:rPr>
        <w:t xml:space="preserve"> it requires empirical investigation (Ashwin, 2009). Here</w:t>
      </w:r>
      <w:r w:rsidR="00863BBD">
        <w:rPr>
          <w:rFonts w:cs="Arial"/>
        </w:rPr>
        <w:t>,</w:t>
      </w:r>
      <w:r w:rsidRPr="0003652C">
        <w:rPr>
          <w:rFonts w:cs="Arial"/>
        </w:rPr>
        <w:t xml:space="preserve"> the contexts will dictate the process, and as these contexts differ, different outcomes in different institutions will be evident (Bernstein, 2000). </w:t>
      </w:r>
      <w:r w:rsidRPr="0003652C">
        <w:rPr>
          <w:rFonts w:cs="Arial"/>
          <w:color w:val="000000" w:themeColor="text1"/>
        </w:rPr>
        <w:t>Having considered the potential for indirect impact from the agents in the ORF, and the ‘exigencies of the market’, Bernstein notes</w:t>
      </w:r>
    </w:p>
    <w:p w14:paraId="591CA454" w14:textId="286E63AF" w:rsidR="00B54569" w:rsidRPr="0003652C" w:rsidRDefault="00CA5E56" w:rsidP="006370E7">
      <w:pPr>
        <w:spacing w:line="360" w:lineRule="auto"/>
        <w:ind w:left="720"/>
        <w:jc w:val="both"/>
        <w:rPr>
          <w:rFonts w:cs="Arial"/>
          <w:color w:val="000000" w:themeColor="text1"/>
        </w:rPr>
      </w:pPr>
      <w:r w:rsidRPr="0003652C">
        <w:rPr>
          <w:rFonts w:cs="Arial"/>
          <w:color w:val="000000" w:themeColor="text1"/>
        </w:rPr>
        <w:t>Thus,</w:t>
      </w:r>
      <w:r w:rsidR="00B54569" w:rsidRPr="0003652C">
        <w:rPr>
          <w:rFonts w:cs="Arial"/>
          <w:color w:val="000000" w:themeColor="text1"/>
        </w:rPr>
        <w:t xml:space="preserve"> in higher education</w:t>
      </w:r>
      <w:r w:rsidR="00863BBD">
        <w:rPr>
          <w:rFonts w:cs="Arial"/>
          <w:color w:val="000000" w:themeColor="text1"/>
        </w:rPr>
        <w:t>,</w:t>
      </w:r>
      <w:r w:rsidR="00B54569" w:rsidRPr="0003652C">
        <w:rPr>
          <w:rFonts w:cs="Arial"/>
          <w:color w:val="000000" w:themeColor="text1"/>
        </w:rPr>
        <w:t xml:space="preserve"> not only is there a stratification of recontextualizing contexts and of regionalisation but also a stratification of identities</w:t>
      </w:r>
      <w:r w:rsidR="00556FCB">
        <w:rPr>
          <w:rFonts w:cs="Arial"/>
          <w:color w:val="000000" w:themeColor="text1"/>
        </w:rPr>
        <w:t>,</w:t>
      </w:r>
      <w:r w:rsidR="00B54569" w:rsidRPr="0003652C">
        <w:rPr>
          <w:rFonts w:cs="Arial"/>
          <w:color w:val="000000" w:themeColor="text1"/>
        </w:rPr>
        <w:t xml:space="preserve"> not only of institutions</w:t>
      </w:r>
      <w:r w:rsidR="00556FCB">
        <w:rPr>
          <w:rFonts w:cs="Arial"/>
          <w:color w:val="000000" w:themeColor="text1"/>
        </w:rPr>
        <w:t>,</w:t>
      </w:r>
      <w:r w:rsidR="00B54569" w:rsidRPr="0003652C">
        <w:rPr>
          <w:rFonts w:cs="Arial"/>
          <w:color w:val="000000" w:themeColor="text1"/>
        </w:rPr>
        <w:t xml:space="preserve"> but also of staff and students. (Bernstein, 2000. </w:t>
      </w:r>
      <w:r w:rsidR="00CD6E72">
        <w:rPr>
          <w:rFonts w:cs="Arial"/>
          <w:color w:val="000000" w:themeColor="text1"/>
        </w:rPr>
        <w:t>p.</w:t>
      </w:r>
      <w:r w:rsidR="00B54569" w:rsidRPr="0003652C">
        <w:rPr>
          <w:rFonts w:cs="Arial"/>
          <w:color w:val="000000" w:themeColor="text1"/>
        </w:rPr>
        <w:t>60)</w:t>
      </w:r>
    </w:p>
    <w:p w14:paraId="332CC15C" w14:textId="0AF1946A" w:rsidR="00B54569" w:rsidRPr="006370E7" w:rsidRDefault="00B54569" w:rsidP="0003652C">
      <w:pPr>
        <w:spacing w:line="360" w:lineRule="auto"/>
        <w:jc w:val="both"/>
        <w:rPr>
          <w:rFonts w:cs="Arial"/>
          <w:color w:val="000000" w:themeColor="text1"/>
        </w:rPr>
      </w:pPr>
      <w:r w:rsidRPr="0003652C">
        <w:rPr>
          <w:rFonts w:cs="Arial"/>
          <w:color w:val="000000" w:themeColor="text1"/>
        </w:rPr>
        <w:lastRenderedPageBreak/>
        <w:t>The PRF is therefore potentially a very messy field. With different influences</w:t>
      </w:r>
      <w:r w:rsidR="00556FCB">
        <w:rPr>
          <w:rFonts w:cs="Arial"/>
          <w:color w:val="000000" w:themeColor="text1"/>
        </w:rPr>
        <w:t>,</w:t>
      </w:r>
      <w:r w:rsidRPr="0003652C">
        <w:rPr>
          <w:rFonts w:cs="Arial"/>
          <w:color w:val="000000" w:themeColor="text1"/>
        </w:rPr>
        <w:t xml:space="preserve"> there will be different outcomes in </w:t>
      </w:r>
      <w:r w:rsidR="00556FCB">
        <w:rPr>
          <w:rFonts w:cs="Arial"/>
          <w:color w:val="000000" w:themeColor="text1"/>
        </w:rPr>
        <w:t>other</w:t>
      </w:r>
      <w:r w:rsidRPr="0003652C">
        <w:rPr>
          <w:rFonts w:cs="Arial"/>
          <w:color w:val="000000" w:themeColor="text1"/>
        </w:rPr>
        <w:t xml:space="preserve"> contexts. Whilst the PRF might point to the agency that the designers have (Annala, 2022), I will also</w:t>
      </w:r>
      <w:r w:rsidR="00556FCB">
        <w:rPr>
          <w:rFonts w:cs="Arial"/>
          <w:color w:val="000000" w:themeColor="text1"/>
        </w:rPr>
        <w:t xml:space="preserve"> consider</w:t>
      </w:r>
      <w:r w:rsidRPr="0003652C">
        <w:rPr>
          <w:rFonts w:cs="Arial"/>
          <w:color w:val="000000" w:themeColor="text1"/>
        </w:rPr>
        <w:t xml:space="preserve"> what the designers perceive to be the source of that autonomy (or lack of)</w:t>
      </w:r>
      <w:r w:rsidR="00CA5E56">
        <w:rPr>
          <w:rFonts w:cs="Arial"/>
          <w:color w:val="000000" w:themeColor="text1"/>
        </w:rPr>
        <w:t>. In</w:t>
      </w:r>
      <w:r w:rsidRPr="0003652C">
        <w:rPr>
          <w:rFonts w:cs="Arial"/>
          <w:color w:val="000000" w:themeColor="text1"/>
        </w:rPr>
        <w:t xml:space="preserve"> </w:t>
      </w:r>
      <w:r w:rsidR="009D5113">
        <w:rPr>
          <w:rFonts w:cs="Arial"/>
          <w:color w:val="000000" w:themeColor="text1"/>
        </w:rPr>
        <w:t>C</w:t>
      </w:r>
      <w:r w:rsidRPr="0003652C">
        <w:rPr>
          <w:rFonts w:cs="Arial"/>
          <w:color w:val="000000" w:themeColor="text1"/>
        </w:rPr>
        <w:t>hapters</w:t>
      </w:r>
      <w:r w:rsidR="00397C07" w:rsidRPr="0003652C">
        <w:rPr>
          <w:rFonts w:cs="Arial"/>
          <w:color w:val="000000" w:themeColor="text1"/>
        </w:rPr>
        <w:t xml:space="preserve"> </w:t>
      </w:r>
      <w:r w:rsidR="009D5113">
        <w:rPr>
          <w:rFonts w:cs="Arial"/>
          <w:color w:val="000000" w:themeColor="text1"/>
        </w:rPr>
        <w:t>S</w:t>
      </w:r>
      <w:r w:rsidR="00397C07" w:rsidRPr="0003652C">
        <w:rPr>
          <w:rFonts w:cs="Arial"/>
          <w:color w:val="000000" w:themeColor="text1"/>
        </w:rPr>
        <w:t xml:space="preserve">even and </w:t>
      </w:r>
      <w:r w:rsidR="009D5113">
        <w:rPr>
          <w:rFonts w:cs="Arial"/>
          <w:color w:val="000000" w:themeColor="text1"/>
        </w:rPr>
        <w:t>E</w:t>
      </w:r>
      <w:r w:rsidR="00397C07" w:rsidRPr="0003652C">
        <w:rPr>
          <w:rFonts w:cs="Arial"/>
          <w:color w:val="000000" w:themeColor="text1"/>
        </w:rPr>
        <w:t>ight</w:t>
      </w:r>
      <w:r w:rsidR="00556FCB">
        <w:rPr>
          <w:rFonts w:cs="Arial"/>
          <w:color w:val="000000" w:themeColor="text1"/>
        </w:rPr>
        <w:t>,</w:t>
      </w:r>
      <w:r w:rsidR="00397C07" w:rsidRPr="0003652C">
        <w:rPr>
          <w:rFonts w:cs="Arial"/>
          <w:color w:val="000000" w:themeColor="text1"/>
        </w:rPr>
        <w:t xml:space="preserve"> I will consider</w:t>
      </w:r>
      <w:r w:rsidRPr="0003652C">
        <w:rPr>
          <w:rFonts w:cs="Arial"/>
          <w:color w:val="000000" w:themeColor="text1"/>
        </w:rPr>
        <w:t xml:space="preserve"> where the designers see the control over the curricula having an impact</w:t>
      </w:r>
      <w:r w:rsidR="00397C07" w:rsidRPr="0003652C">
        <w:rPr>
          <w:rFonts w:cs="Arial"/>
          <w:color w:val="000000" w:themeColor="text1"/>
        </w:rPr>
        <w:t xml:space="preserve"> as t</w:t>
      </w:r>
      <w:r w:rsidRPr="0003652C">
        <w:rPr>
          <w:rFonts w:cs="Arial"/>
          <w:color w:val="000000" w:themeColor="text1"/>
        </w:rPr>
        <w:t>ranslated into the design of the degrees.</w:t>
      </w:r>
    </w:p>
    <w:p w14:paraId="1ED044F0" w14:textId="0F7337EE" w:rsidR="00B54569" w:rsidRPr="0003652C" w:rsidRDefault="00B54569" w:rsidP="0003652C">
      <w:pPr>
        <w:spacing w:line="360" w:lineRule="auto"/>
        <w:jc w:val="both"/>
        <w:rPr>
          <w:rFonts w:cs="Arial"/>
          <w:color w:val="000000" w:themeColor="text1"/>
        </w:rPr>
      </w:pPr>
      <w:r w:rsidRPr="0003652C">
        <w:rPr>
          <w:rFonts w:cs="Arial"/>
          <w:color w:val="000000" w:themeColor="text1"/>
        </w:rPr>
        <w:t>We have established that the agents in the ORF are changing and that the power that is exerted on the PRF is weaker now that the professional bodies have relinquished their regulatory role. The next question</w:t>
      </w:r>
      <w:r w:rsidR="00556FCB">
        <w:rPr>
          <w:rFonts w:cs="Arial"/>
          <w:color w:val="000000" w:themeColor="text1"/>
        </w:rPr>
        <w:t>,</w:t>
      </w:r>
      <w:r w:rsidRPr="0003652C">
        <w:rPr>
          <w:rFonts w:cs="Arial"/>
          <w:color w:val="000000" w:themeColor="text1"/>
        </w:rPr>
        <w:t xml:space="preserve"> therefore</w:t>
      </w:r>
      <w:r w:rsidR="00556FCB">
        <w:rPr>
          <w:rFonts w:cs="Arial"/>
          <w:color w:val="000000" w:themeColor="text1"/>
        </w:rPr>
        <w:t>,</w:t>
      </w:r>
      <w:r w:rsidRPr="0003652C">
        <w:rPr>
          <w:rFonts w:cs="Arial"/>
          <w:color w:val="000000" w:themeColor="text1"/>
        </w:rPr>
        <w:t xml:space="preserve"> is whether the classification and framing of undergraduate legal education is strongly controlled by agents in the PRF, and in what way</w:t>
      </w:r>
      <w:r w:rsidR="00556FCB">
        <w:rPr>
          <w:rFonts w:cs="Arial"/>
          <w:color w:val="000000" w:themeColor="text1"/>
        </w:rPr>
        <w:t>. So</w:t>
      </w:r>
      <w:r w:rsidRPr="0003652C">
        <w:rPr>
          <w:rFonts w:cs="Arial"/>
          <w:color w:val="000000" w:themeColor="text1"/>
        </w:rPr>
        <w:t xml:space="preserve"> here we will consider the agents that are in this field, their relationship to each other and the autonomy they may or may not have in the design of th</w:t>
      </w:r>
      <w:r w:rsidR="00F63B36">
        <w:rPr>
          <w:rFonts w:cs="Arial"/>
          <w:color w:val="000000" w:themeColor="text1"/>
        </w:rPr>
        <w:t>e course</w:t>
      </w:r>
      <w:r w:rsidRPr="0003652C">
        <w:rPr>
          <w:rFonts w:cs="Arial"/>
          <w:color w:val="000000" w:themeColor="text1"/>
        </w:rPr>
        <w:t xml:space="preserve">.  </w:t>
      </w:r>
    </w:p>
    <w:p w14:paraId="1BD61268" w14:textId="25BF9F39" w:rsidR="00B54569" w:rsidRPr="0003652C" w:rsidRDefault="00B54569" w:rsidP="0003652C">
      <w:pPr>
        <w:spacing w:line="360" w:lineRule="auto"/>
        <w:jc w:val="both"/>
        <w:rPr>
          <w:rFonts w:cs="Arial"/>
          <w:color w:val="000000" w:themeColor="text1"/>
        </w:rPr>
      </w:pPr>
      <w:r w:rsidRPr="0003652C">
        <w:rPr>
          <w:rFonts w:cs="Arial"/>
          <w:color w:val="000000" w:themeColor="text1"/>
        </w:rPr>
        <w:t>Annala et al. consider the micro, mesa and macro sites of agency that might be apparent in the context of course design and sees these as agency being impacted upon from a range of positions from the institutional, community</w:t>
      </w:r>
      <w:r w:rsidR="00397C07" w:rsidRPr="0003652C">
        <w:rPr>
          <w:rFonts w:cs="Arial"/>
          <w:color w:val="000000" w:themeColor="text1"/>
        </w:rPr>
        <w:t xml:space="preserve"> and</w:t>
      </w:r>
      <w:r w:rsidRPr="0003652C">
        <w:rPr>
          <w:rFonts w:cs="Arial"/>
          <w:color w:val="000000" w:themeColor="text1"/>
        </w:rPr>
        <w:t xml:space="preserve"> individual structures, with power relations and intentions moving between the managerial and cultural structures that enable or impede agency (Annala et al., 2023</w:t>
      </w:r>
      <w:r w:rsidR="00B73E9F" w:rsidRPr="0003652C">
        <w:rPr>
          <w:rFonts w:cs="Arial"/>
          <w:color w:val="000000" w:themeColor="text1"/>
        </w:rPr>
        <w:t xml:space="preserve"> discussed previously in section 4.4).</w:t>
      </w:r>
      <w:r w:rsidR="00202A85" w:rsidRPr="0003652C">
        <w:rPr>
          <w:rFonts w:cs="Arial"/>
          <w:color w:val="000000" w:themeColor="text1"/>
        </w:rPr>
        <w:t xml:space="preserve"> </w:t>
      </w:r>
      <w:r w:rsidRPr="0003652C">
        <w:rPr>
          <w:rFonts w:cs="Arial"/>
          <w:color w:val="000000" w:themeColor="text1"/>
        </w:rPr>
        <w:t>Others have considered the interplay between these influences</w:t>
      </w:r>
      <w:r w:rsidR="00556FCB">
        <w:rPr>
          <w:rFonts w:cs="Arial"/>
          <w:color w:val="000000" w:themeColor="text1"/>
        </w:rPr>
        <w:t xml:space="preserve">, </w:t>
      </w:r>
      <w:r w:rsidR="00B73E9F" w:rsidRPr="0003652C">
        <w:rPr>
          <w:rFonts w:cs="Arial"/>
          <w:color w:val="000000" w:themeColor="text1"/>
        </w:rPr>
        <w:t xml:space="preserve">represented by </w:t>
      </w:r>
      <w:r w:rsidRPr="0003652C">
        <w:rPr>
          <w:rFonts w:cs="Arial"/>
          <w:color w:val="000000" w:themeColor="text1"/>
        </w:rPr>
        <w:t xml:space="preserve">a form of Ouija board, </w:t>
      </w:r>
      <w:r w:rsidR="00B73E9F" w:rsidRPr="0003652C">
        <w:rPr>
          <w:rFonts w:cs="Arial"/>
          <w:color w:val="000000" w:themeColor="text1"/>
        </w:rPr>
        <w:t>strategi</w:t>
      </w:r>
      <w:r w:rsidR="00CA5E56">
        <w:rPr>
          <w:rFonts w:cs="Arial"/>
          <w:color w:val="000000" w:themeColor="text1"/>
        </w:rPr>
        <w:t>s</w:t>
      </w:r>
      <w:r w:rsidR="00B73E9F" w:rsidRPr="0003652C">
        <w:rPr>
          <w:rFonts w:cs="Arial"/>
          <w:color w:val="000000" w:themeColor="text1"/>
        </w:rPr>
        <w:t>ing course design as a result of forces that are</w:t>
      </w:r>
      <w:r w:rsidRPr="0003652C">
        <w:rPr>
          <w:rFonts w:cs="Arial"/>
          <w:color w:val="000000" w:themeColor="text1"/>
        </w:rPr>
        <w:t xml:space="preserve"> </w:t>
      </w:r>
      <w:r w:rsidR="00B73E9F" w:rsidRPr="0003652C">
        <w:rPr>
          <w:rFonts w:cs="Arial"/>
          <w:color w:val="000000" w:themeColor="text1"/>
        </w:rPr>
        <w:t>constantly shifting</w:t>
      </w:r>
      <w:r w:rsidRPr="0003652C">
        <w:rPr>
          <w:rFonts w:cs="Arial"/>
          <w:color w:val="000000" w:themeColor="text1"/>
        </w:rPr>
        <w:t>, the elements of which different departments or individuals will give greater value to</w:t>
      </w:r>
      <w:r w:rsidR="00B73E9F" w:rsidRPr="0003652C">
        <w:rPr>
          <w:rFonts w:cs="Arial"/>
          <w:color w:val="000000" w:themeColor="text1"/>
        </w:rPr>
        <w:t xml:space="preserve"> </w:t>
      </w:r>
      <w:r w:rsidRPr="0003652C">
        <w:rPr>
          <w:rFonts w:cs="Arial"/>
          <w:color w:val="000000" w:themeColor="text1"/>
        </w:rPr>
        <w:t xml:space="preserve">(Jenkins, 2009). In this site of struggle, it is important to identify not only the agents in the PRF, but also the relationship between them, </w:t>
      </w:r>
      <w:r w:rsidR="00B73E9F" w:rsidRPr="0003652C">
        <w:rPr>
          <w:rFonts w:cs="Arial"/>
          <w:color w:val="000000" w:themeColor="text1"/>
        </w:rPr>
        <w:t>recognising the</w:t>
      </w:r>
      <w:r w:rsidRPr="0003652C">
        <w:rPr>
          <w:rFonts w:cs="Arial"/>
          <w:color w:val="000000" w:themeColor="text1"/>
        </w:rPr>
        <w:t xml:space="preserve"> fact that they are fluid and </w:t>
      </w:r>
      <w:r w:rsidR="00B73E9F" w:rsidRPr="0003652C">
        <w:rPr>
          <w:rFonts w:cs="Arial"/>
          <w:color w:val="000000" w:themeColor="text1"/>
        </w:rPr>
        <w:t>with degrees of control shift, which in turn may impact the sustainability of a design.</w:t>
      </w:r>
    </w:p>
    <w:p w14:paraId="000974AF" w14:textId="4F8BD557" w:rsidR="00B54569" w:rsidRPr="0003652C" w:rsidRDefault="00B54569" w:rsidP="0003652C">
      <w:pPr>
        <w:spacing w:line="360" w:lineRule="auto"/>
        <w:jc w:val="both"/>
        <w:rPr>
          <w:rFonts w:cs="Arial"/>
          <w:color w:val="000000" w:themeColor="text1"/>
        </w:rPr>
      </w:pPr>
      <w:r w:rsidRPr="0003652C">
        <w:rPr>
          <w:rFonts w:cs="Arial"/>
          <w:color w:val="000000" w:themeColor="text1"/>
        </w:rPr>
        <w:t xml:space="preserve">Bernstein also asks who the actors or agents are in this field, and </w:t>
      </w:r>
      <w:r w:rsidR="00556FCB">
        <w:rPr>
          <w:rFonts w:cs="Arial"/>
          <w:color w:val="000000" w:themeColor="text1"/>
        </w:rPr>
        <w:t>then, more specifically, what impact they may have on recontextualisation, specifically in the form of instructional discourse or specialised knowledge and its framing in sequencing, pacing, and criteria,</w:t>
      </w:r>
      <w:r w:rsidRPr="0003652C">
        <w:rPr>
          <w:rFonts w:cs="Arial"/>
          <w:color w:val="000000" w:themeColor="text1"/>
        </w:rPr>
        <w:t xml:space="preserve"> and the regulative discourse which impacts on </w:t>
      </w:r>
      <w:r w:rsidRPr="0003652C">
        <w:rPr>
          <w:rFonts w:cs="Arial"/>
          <w:color w:val="000000" w:themeColor="text1"/>
        </w:rPr>
        <w:lastRenderedPageBreak/>
        <w:t>moral knowledge. The regulative discourse is dominant, and the two create the pedagogic discourse</w:t>
      </w:r>
      <w:r w:rsidR="00556FCB">
        <w:rPr>
          <w:rFonts w:cs="Arial"/>
          <w:color w:val="000000" w:themeColor="text1"/>
        </w:rPr>
        <w:t>,</w:t>
      </w:r>
      <w:r w:rsidRPr="0003652C">
        <w:rPr>
          <w:rFonts w:cs="Arial"/>
          <w:color w:val="000000" w:themeColor="text1"/>
        </w:rPr>
        <w:t xml:space="preserve"> which </w:t>
      </w:r>
    </w:p>
    <w:p w14:paraId="4B3D8ABE" w14:textId="65BE8C8B" w:rsidR="00B54569" w:rsidRPr="0003652C" w:rsidRDefault="00B54569" w:rsidP="006370E7">
      <w:pPr>
        <w:spacing w:line="360" w:lineRule="auto"/>
        <w:ind w:left="720"/>
        <w:jc w:val="both"/>
        <w:rPr>
          <w:rFonts w:cs="Arial"/>
          <w:color w:val="000000" w:themeColor="text1"/>
        </w:rPr>
      </w:pPr>
      <w:r w:rsidRPr="0003652C">
        <w:rPr>
          <w:rFonts w:cs="Arial"/>
          <w:color w:val="000000" w:themeColor="text1"/>
        </w:rPr>
        <w:t xml:space="preserve">embed rules which create skills of one kind or another and rules regulating their relationship to each other, and the rules which create social order. (Bernstein, 2000, </w:t>
      </w:r>
      <w:r w:rsidR="00556FCB">
        <w:rPr>
          <w:rFonts w:cs="Arial"/>
          <w:color w:val="000000" w:themeColor="text1"/>
        </w:rPr>
        <w:t>p</w:t>
      </w:r>
      <w:r w:rsidRPr="0003652C">
        <w:rPr>
          <w:rFonts w:cs="Arial"/>
          <w:color w:val="000000" w:themeColor="text1"/>
        </w:rPr>
        <w:t>. 32)</w:t>
      </w:r>
    </w:p>
    <w:p w14:paraId="5F3BCF49" w14:textId="5A229D24" w:rsidR="006F3BFC" w:rsidRPr="006370E7" w:rsidRDefault="00B54569" w:rsidP="006370E7">
      <w:pPr>
        <w:spacing w:line="360" w:lineRule="auto"/>
        <w:jc w:val="both"/>
        <w:rPr>
          <w:rFonts w:cs="Arial"/>
          <w:color w:val="000000" w:themeColor="text1"/>
        </w:rPr>
      </w:pPr>
      <w:r w:rsidRPr="0003652C">
        <w:rPr>
          <w:rFonts w:cs="Arial"/>
          <w:color w:val="000000" w:themeColor="text1"/>
        </w:rPr>
        <w:t>The participants’ responses identified two agents in the PRF (</w:t>
      </w:r>
      <w:r w:rsidR="00217136" w:rsidRPr="0003652C">
        <w:rPr>
          <w:rFonts w:cs="Arial"/>
          <w:color w:val="000000" w:themeColor="text1"/>
        </w:rPr>
        <w:t xml:space="preserve">See Appendix </w:t>
      </w:r>
      <w:r w:rsidR="00CA5E56">
        <w:rPr>
          <w:rFonts w:cs="Arial"/>
          <w:color w:val="000000" w:themeColor="text1"/>
        </w:rPr>
        <w:t>t</w:t>
      </w:r>
      <w:r w:rsidR="00217136" w:rsidRPr="0003652C">
        <w:rPr>
          <w:rFonts w:cs="Arial"/>
          <w:color w:val="000000" w:themeColor="text1"/>
        </w:rPr>
        <w:t>hree, Tables 3 and 4</w:t>
      </w:r>
      <w:r w:rsidR="00556FCB">
        <w:rPr>
          <w:rFonts w:cs="Arial"/>
          <w:color w:val="000000" w:themeColor="text1"/>
        </w:rPr>
        <w:t>,</w:t>
      </w:r>
      <w:r w:rsidR="00217136" w:rsidRPr="0003652C">
        <w:rPr>
          <w:rFonts w:cs="Arial"/>
          <w:color w:val="000000" w:themeColor="text1"/>
        </w:rPr>
        <w:t xml:space="preserve"> as to how the codes related to these agents</w:t>
      </w:r>
      <w:r w:rsidRPr="0003652C">
        <w:rPr>
          <w:rFonts w:cs="Arial"/>
          <w:color w:val="000000" w:themeColor="text1"/>
        </w:rPr>
        <w:t xml:space="preserve">). The themes that arose from the data were </w:t>
      </w:r>
      <w:r w:rsidR="00217136" w:rsidRPr="0003652C">
        <w:rPr>
          <w:rFonts w:cs="Arial"/>
          <w:color w:val="000000" w:themeColor="text1"/>
        </w:rPr>
        <w:t xml:space="preserve">the </w:t>
      </w:r>
      <w:r w:rsidRPr="0003652C">
        <w:rPr>
          <w:rFonts w:cs="Arial"/>
          <w:color w:val="000000" w:themeColor="text1"/>
        </w:rPr>
        <w:t>influences and the impact on the design that emanated either from the institution or from the academic community within the Law School or department. Annala et al. also consider individual structures</w:t>
      </w:r>
      <w:r w:rsidR="00556FCB">
        <w:rPr>
          <w:rFonts w:cs="Arial"/>
          <w:color w:val="000000" w:themeColor="text1"/>
        </w:rPr>
        <w:t>,</w:t>
      </w:r>
      <w:r w:rsidRPr="0003652C">
        <w:rPr>
          <w:rFonts w:cs="Arial"/>
          <w:color w:val="000000" w:themeColor="text1"/>
        </w:rPr>
        <w:t xml:space="preserve"> </w:t>
      </w:r>
      <w:r w:rsidR="00B73E9F" w:rsidRPr="0003652C">
        <w:rPr>
          <w:rFonts w:cs="Arial"/>
          <w:color w:val="000000" w:themeColor="text1"/>
        </w:rPr>
        <w:t>which I include in the</w:t>
      </w:r>
      <w:r w:rsidRPr="0003652C">
        <w:rPr>
          <w:rFonts w:cs="Arial"/>
          <w:color w:val="000000" w:themeColor="text1"/>
        </w:rPr>
        <w:t xml:space="preserve"> discussion of the latter academic community below (Annala et al., 2023) </w:t>
      </w:r>
    </w:p>
    <w:p w14:paraId="148C1FD4" w14:textId="05D7CCBA" w:rsidR="006F3BFC" w:rsidRPr="0003652C" w:rsidRDefault="00F33D40" w:rsidP="0003652C">
      <w:pPr>
        <w:pStyle w:val="Heading3"/>
        <w:spacing w:after="100" w:afterAutospacing="1" w:line="360" w:lineRule="auto"/>
        <w:rPr>
          <w:rFonts w:ascii="Arial" w:hAnsi="Arial" w:cs="Arial"/>
        </w:rPr>
      </w:pPr>
      <w:bookmarkStart w:id="71" w:name="_Toc223348863"/>
      <w:r w:rsidRPr="0003652C">
        <w:rPr>
          <w:rFonts w:ascii="Arial" w:hAnsi="Arial" w:cs="Arial"/>
        </w:rPr>
        <w:t>The university</w:t>
      </w:r>
      <w:bookmarkEnd w:id="71"/>
    </w:p>
    <w:p w14:paraId="5ECDC606" w14:textId="2A8BAE65" w:rsidR="00F33D40" w:rsidRPr="0003652C" w:rsidRDefault="00F33D40" w:rsidP="0003652C">
      <w:pPr>
        <w:spacing w:line="360" w:lineRule="auto"/>
        <w:jc w:val="both"/>
        <w:rPr>
          <w:rFonts w:cs="Arial"/>
          <w:color w:val="E36C0A" w:themeColor="accent6" w:themeShade="BF"/>
        </w:rPr>
      </w:pPr>
      <w:r w:rsidRPr="0003652C">
        <w:rPr>
          <w:rFonts w:cs="Arial"/>
        </w:rPr>
        <w:t>Various university agendas were noted in the participants</w:t>
      </w:r>
      <w:r w:rsidR="00556FCB">
        <w:rPr>
          <w:rFonts w:cs="Arial"/>
        </w:rPr>
        <w:t>’</w:t>
      </w:r>
      <w:r w:rsidRPr="0003652C">
        <w:rPr>
          <w:rFonts w:cs="Arial"/>
        </w:rPr>
        <w:t xml:space="preserve"> observations, including those relating </w:t>
      </w:r>
      <w:r w:rsidR="00A73582">
        <w:rPr>
          <w:rFonts w:cs="Arial"/>
        </w:rPr>
        <w:t xml:space="preserve">to </w:t>
      </w:r>
      <w:r w:rsidRPr="0003652C">
        <w:rPr>
          <w:rFonts w:cs="Arial"/>
        </w:rPr>
        <w:t>equality, diversity and inclusion, technology</w:t>
      </w:r>
      <w:r w:rsidR="00556FCB">
        <w:rPr>
          <w:rFonts w:cs="Arial"/>
        </w:rPr>
        <w:t>-</w:t>
      </w:r>
      <w:r w:rsidRPr="0003652C">
        <w:rPr>
          <w:rFonts w:cs="Arial"/>
        </w:rPr>
        <w:t>enhanced learning and sustainability. Th</w:t>
      </w:r>
      <w:r w:rsidR="00B73E9F" w:rsidRPr="0003652C">
        <w:rPr>
          <w:rFonts w:cs="Arial"/>
        </w:rPr>
        <w:t>e agendas</w:t>
      </w:r>
      <w:r w:rsidRPr="0003652C">
        <w:rPr>
          <w:rFonts w:cs="Arial"/>
        </w:rPr>
        <w:t xml:space="preserve"> that had an impact on the design of courses are discussed in </w:t>
      </w:r>
      <w:r w:rsidR="00A73582">
        <w:rPr>
          <w:rFonts w:cs="Arial"/>
        </w:rPr>
        <w:t>C</w:t>
      </w:r>
      <w:r w:rsidR="00A73582" w:rsidRPr="0003652C">
        <w:rPr>
          <w:rFonts w:cs="Arial"/>
        </w:rPr>
        <w:t xml:space="preserve">hapter </w:t>
      </w:r>
      <w:r w:rsidR="00A73582">
        <w:rPr>
          <w:rFonts w:cs="Arial"/>
        </w:rPr>
        <w:t>E</w:t>
      </w:r>
      <w:r w:rsidR="00A73582" w:rsidRPr="0003652C">
        <w:rPr>
          <w:rFonts w:cs="Arial"/>
        </w:rPr>
        <w:t>ight</w:t>
      </w:r>
      <w:r w:rsidR="00556FCB">
        <w:rPr>
          <w:rFonts w:cs="Arial"/>
        </w:rPr>
        <w:t>.</w:t>
      </w:r>
      <w:r w:rsidRPr="0003652C">
        <w:rPr>
          <w:rFonts w:cs="Arial"/>
        </w:rPr>
        <w:t xml:space="preserve"> </w:t>
      </w:r>
      <w:r w:rsidR="00556FCB">
        <w:rPr>
          <w:rFonts w:cs="Arial"/>
        </w:rPr>
        <w:t>Still,</w:t>
      </w:r>
      <w:r w:rsidRPr="0003652C">
        <w:rPr>
          <w:rFonts w:cs="Arial"/>
        </w:rPr>
        <w:t xml:space="preserve"> the prevalence of the mention of the University</w:t>
      </w:r>
      <w:r w:rsidR="00CA5E56">
        <w:rPr>
          <w:rFonts w:cs="Arial"/>
        </w:rPr>
        <w:t xml:space="preserve">, </w:t>
      </w:r>
      <w:r w:rsidRPr="0003652C">
        <w:rPr>
          <w:rFonts w:cs="Arial"/>
        </w:rPr>
        <w:t>often othered as something other than the community to which the designers or other academics belonged</w:t>
      </w:r>
      <w:r w:rsidR="00CA5E56">
        <w:rPr>
          <w:rFonts w:cs="Arial"/>
        </w:rPr>
        <w:t>,</w:t>
      </w:r>
      <w:r w:rsidRPr="0003652C">
        <w:rPr>
          <w:rFonts w:cs="Arial"/>
        </w:rPr>
        <w:t xml:space="preserve"> clearly placed t</w:t>
      </w:r>
      <w:r w:rsidR="00B73E9F" w:rsidRPr="0003652C">
        <w:rPr>
          <w:rFonts w:cs="Arial"/>
        </w:rPr>
        <w:t>he institution</w:t>
      </w:r>
      <w:r w:rsidRPr="0003652C">
        <w:rPr>
          <w:rFonts w:cs="Arial"/>
        </w:rPr>
        <w:t xml:space="preserve">, whether in initiating strategy or </w:t>
      </w:r>
      <w:r w:rsidR="00410D95" w:rsidRPr="0003652C">
        <w:rPr>
          <w:rFonts w:cs="Arial"/>
        </w:rPr>
        <w:t xml:space="preserve">in </w:t>
      </w:r>
      <w:r w:rsidRPr="0003652C">
        <w:rPr>
          <w:rFonts w:cs="Arial"/>
        </w:rPr>
        <w:t>responding to external calls for change, as an agent in a prioritising, directive or enabling role</w:t>
      </w:r>
      <w:r w:rsidR="009C3946" w:rsidRPr="0003652C">
        <w:rPr>
          <w:rFonts w:cs="Arial"/>
        </w:rPr>
        <w:t xml:space="preserve"> (See Appendix 6, Table 6.1)</w:t>
      </w:r>
      <w:r w:rsidRPr="0003652C">
        <w:rPr>
          <w:rFonts w:cs="Arial"/>
        </w:rPr>
        <w:t>.  Related to these agendas and prominent in the reflections was the financial control that the University was perceived to have. Most obviously</w:t>
      </w:r>
      <w:r w:rsidR="00556FCB">
        <w:rPr>
          <w:rFonts w:cs="Arial"/>
        </w:rPr>
        <w:t>,</w:t>
      </w:r>
      <w:r w:rsidRPr="0003652C">
        <w:rPr>
          <w:rFonts w:cs="Arial"/>
        </w:rPr>
        <w:t xml:space="preserve"> this was seen in the context of the metrics and the market.  Whilst these influences originate externally, the allocation and availability of resources w</w:t>
      </w:r>
      <w:r w:rsidR="00556FCB">
        <w:rPr>
          <w:rFonts w:cs="Arial"/>
        </w:rPr>
        <w:t>ere</w:t>
      </w:r>
      <w:r w:rsidRPr="0003652C">
        <w:rPr>
          <w:rFonts w:cs="Arial"/>
        </w:rPr>
        <w:t xml:space="preserve"> seen to be </w:t>
      </w:r>
      <w:r w:rsidR="00556FCB">
        <w:rPr>
          <w:rFonts w:cs="Arial"/>
        </w:rPr>
        <w:t>main</w:t>
      </w:r>
      <w:r w:rsidRPr="0003652C">
        <w:rPr>
          <w:rFonts w:cs="Arial"/>
        </w:rPr>
        <w:t>ly within the University’s domain.  Various external events</w:t>
      </w:r>
      <w:r w:rsidR="00A73582">
        <w:rPr>
          <w:rFonts w:cs="Arial"/>
        </w:rPr>
        <w:t>,</w:t>
      </w:r>
      <w:r w:rsidRPr="0003652C">
        <w:rPr>
          <w:rFonts w:cs="Arial"/>
        </w:rPr>
        <w:t xml:space="preserve"> such as the lifting of the cap on student numbers and</w:t>
      </w:r>
      <w:r w:rsidR="00A73582">
        <w:rPr>
          <w:rFonts w:cs="Arial"/>
        </w:rPr>
        <w:t>,</w:t>
      </w:r>
      <w:r w:rsidRPr="0003652C">
        <w:rPr>
          <w:rFonts w:cs="Arial"/>
        </w:rPr>
        <w:t xml:space="preserve"> more recently the changing visa requirements for international students, as well as wider efficiency moves that may have developed </w:t>
      </w:r>
      <w:r w:rsidR="00410D95" w:rsidRPr="0003652C">
        <w:rPr>
          <w:rFonts w:cs="Arial"/>
        </w:rPr>
        <w:t>after the covid pandemic</w:t>
      </w:r>
      <w:r w:rsidRPr="0003652C">
        <w:rPr>
          <w:rFonts w:cs="Arial"/>
        </w:rPr>
        <w:t>, were recognised as having an impact on universities</w:t>
      </w:r>
      <w:r w:rsidR="00556FCB">
        <w:rPr>
          <w:rFonts w:cs="Arial"/>
        </w:rPr>
        <w:t>.</w:t>
      </w:r>
      <w:r w:rsidR="00556FCB" w:rsidRPr="0003652C">
        <w:rPr>
          <w:rFonts w:cs="Arial"/>
        </w:rPr>
        <w:t xml:space="preserve"> </w:t>
      </w:r>
      <w:r w:rsidR="00556FCB">
        <w:rPr>
          <w:rFonts w:cs="Arial"/>
        </w:rPr>
        <w:t>Still,</w:t>
      </w:r>
      <w:r w:rsidRPr="0003652C">
        <w:rPr>
          <w:rFonts w:cs="Arial"/>
        </w:rPr>
        <w:t xml:space="preserve"> the findings here showed that how these were implemented </w:t>
      </w:r>
      <w:r w:rsidRPr="0003652C">
        <w:rPr>
          <w:rFonts w:cs="Arial"/>
        </w:rPr>
        <w:lastRenderedPageBreak/>
        <w:t xml:space="preserve">were perceived to be within the domain of the institution as a gatekeeper and interpreter, having a </w:t>
      </w:r>
      <w:r w:rsidR="00556FCB" w:rsidRPr="0003652C">
        <w:rPr>
          <w:rFonts w:cs="Arial"/>
        </w:rPr>
        <w:t>top</w:t>
      </w:r>
      <w:r w:rsidR="00556FCB">
        <w:rPr>
          <w:rFonts w:cs="Arial"/>
        </w:rPr>
        <w:t>-</w:t>
      </w:r>
      <w:r w:rsidRPr="0003652C">
        <w:rPr>
          <w:rFonts w:cs="Arial"/>
        </w:rPr>
        <w:t>down impact on the school or department. I return to this later in the chapter</w:t>
      </w:r>
      <w:r w:rsidRPr="0003652C">
        <w:rPr>
          <w:rFonts w:cs="Arial"/>
          <w:color w:val="E36C0A" w:themeColor="accent6" w:themeShade="BF"/>
        </w:rPr>
        <w:t>.</w:t>
      </w:r>
    </w:p>
    <w:p w14:paraId="0E4AC77E" w14:textId="2FEBC129" w:rsidR="00F33D40" w:rsidRPr="006370E7" w:rsidRDefault="00F33D40" w:rsidP="0003652C">
      <w:pPr>
        <w:spacing w:line="360" w:lineRule="auto"/>
        <w:jc w:val="both"/>
        <w:rPr>
          <w:rFonts w:cs="Arial"/>
        </w:rPr>
      </w:pPr>
      <w:r w:rsidRPr="0003652C">
        <w:rPr>
          <w:rFonts w:cs="Arial"/>
          <w:color w:val="000000" w:themeColor="text1"/>
        </w:rPr>
        <w:t>Interest</w:t>
      </w:r>
      <w:r w:rsidRPr="0003652C">
        <w:rPr>
          <w:rFonts w:cs="Arial"/>
        </w:rPr>
        <w:t xml:space="preserve">ingly whilst the previous discussion in </w:t>
      </w:r>
      <w:r w:rsidR="009D5113">
        <w:rPr>
          <w:rFonts w:cs="Arial"/>
        </w:rPr>
        <w:t>C</w:t>
      </w:r>
      <w:r w:rsidRPr="0003652C">
        <w:rPr>
          <w:rFonts w:cs="Arial"/>
        </w:rPr>
        <w:t xml:space="preserve">hapter </w:t>
      </w:r>
      <w:r w:rsidR="009D5113">
        <w:rPr>
          <w:rFonts w:cs="Arial"/>
        </w:rPr>
        <w:t>F</w:t>
      </w:r>
      <w:r w:rsidR="00410D95" w:rsidRPr="0003652C">
        <w:rPr>
          <w:rFonts w:cs="Arial"/>
        </w:rPr>
        <w:t>ive</w:t>
      </w:r>
      <w:r w:rsidRPr="0003652C">
        <w:rPr>
          <w:rFonts w:cs="Arial"/>
        </w:rPr>
        <w:t xml:space="preserve"> about the metrics and the market shows little movement in the classification and content of the law degree, the way in which the university operates as a gatekeeper and interpreter of those same metrics and market, particularly when aligned with decision making about resourcing, left open further discussion here about the University’s impact potentially on the content and the structure of the degree.  One </w:t>
      </w:r>
      <w:r w:rsidR="00410D95" w:rsidRPr="0003652C">
        <w:rPr>
          <w:rFonts w:cs="Arial"/>
        </w:rPr>
        <w:t xml:space="preserve">participant </w:t>
      </w:r>
      <w:r w:rsidRPr="0003652C">
        <w:rPr>
          <w:rFonts w:cs="Arial"/>
        </w:rPr>
        <w:t>reflected on the imp</w:t>
      </w:r>
      <w:r w:rsidR="00556FCB">
        <w:rPr>
          <w:rFonts w:cs="Arial"/>
        </w:rPr>
        <w:t>lications</w:t>
      </w:r>
      <w:r w:rsidRPr="0003652C">
        <w:rPr>
          <w:rFonts w:cs="Arial"/>
        </w:rPr>
        <w:t xml:space="preserve"> </w:t>
      </w:r>
      <w:r w:rsidR="00556FCB">
        <w:rPr>
          <w:rFonts w:cs="Arial"/>
        </w:rPr>
        <w:t>for</w:t>
      </w:r>
      <w:r w:rsidRPr="0003652C">
        <w:rPr>
          <w:rFonts w:cs="Arial"/>
        </w:rPr>
        <w:t xml:space="preserve"> discussions, </w:t>
      </w:r>
    </w:p>
    <w:p w14:paraId="0C3D89B4" w14:textId="7819E0B2" w:rsidR="00F33D40" w:rsidRPr="0003652C" w:rsidRDefault="00F33D40" w:rsidP="006370E7">
      <w:pPr>
        <w:spacing w:line="360" w:lineRule="auto"/>
        <w:ind w:left="720"/>
        <w:jc w:val="both"/>
        <w:rPr>
          <w:rFonts w:cs="Arial"/>
          <w:color w:val="000000" w:themeColor="text1"/>
        </w:rPr>
      </w:pPr>
      <w:r w:rsidRPr="0003652C">
        <w:rPr>
          <w:rFonts w:cs="Arial"/>
          <w:color w:val="000000" w:themeColor="text1"/>
        </w:rPr>
        <w:t>My experience of it is that there are always two conversations happening at once, more or less explicitly. I think it depends on the group you’ve got as to how explicit those conversations are. Of the two conversations in my mind, one is about what we</w:t>
      </w:r>
      <w:r w:rsidR="00556FCB">
        <w:rPr>
          <w:rFonts w:cs="Arial"/>
          <w:color w:val="000000" w:themeColor="text1"/>
        </w:rPr>
        <w:t xml:space="preserve"> should</w:t>
      </w:r>
      <w:r w:rsidRPr="0003652C">
        <w:rPr>
          <w:rFonts w:cs="Arial"/>
          <w:color w:val="000000" w:themeColor="text1"/>
        </w:rPr>
        <w:t xml:space="preserve"> be doing pedagogically</w:t>
      </w:r>
      <w:r w:rsidR="00556FCB">
        <w:rPr>
          <w:rFonts w:cs="Arial"/>
          <w:color w:val="000000" w:themeColor="text1"/>
        </w:rPr>
        <w:t>.</w:t>
      </w:r>
      <w:r w:rsidR="00556FCB" w:rsidRPr="0003652C">
        <w:rPr>
          <w:rFonts w:cs="Arial"/>
          <w:color w:val="000000" w:themeColor="text1"/>
        </w:rPr>
        <w:t xml:space="preserve"> </w:t>
      </w:r>
      <w:r w:rsidRPr="0003652C">
        <w:rPr>
          <w:rFonts w:cs="Arial"/>
          <w:color w:val="000000" w:themeColor="text1"/>
        </w:rPr>
        <w:t xml:space="preserve">What is the right thing? And the other conversation is what works and what can we get by? And sometimes that conversation is very </w:t>
      </w:r>
      <w:r w:rsidR="00556FCB" w:rsidRPr="0003652C">
        <w:rPr>
          <w:rFonts w:cs="Arial"/>
          <w:color w:val="000000" w:themeColor="text1"/>
        </w:rPr>
        <w:t>resource</w:t>
      </w:r>
      <w:r w:rsidR="00556FCB">
        <w:rPr>
          <w:rFonts w:cs="Arial"/>
          <w:color w:val="000000" w:themeColor="text1"/>
        </w:rPr>
        <w:t>-</w:t>
      </w:r>
      <w:r w:rsidRPr="0003652C">
        <w:rPr>
          <w:rFonts w:cs="Arial"/>
          <w:color w:val="000000" w:themeColor="text1"/>
        </w:rPr>
        <w:t>led. There is someone in the room who has a budget in their mind to buy staff time and they</w:t>
      </w:r>
      <w:r w:rsidR="00410D95" w:rsidRPr="0003652C">
        <w:rPr>
          <w:rFonts w:cs="Arial"/>
          <w:color w:val="000000" w:themeColor="text1"/>
        </w:rPr>
        <w:t xml:space="preserve"> will</w:t>
      </w:r>
      <w:r w:rsidRPr="0003652C">
        <w:rPr>
          <w:rFonts w:cs="Arial"/>
          <w:color w:val="000000" w:themeColor="text1"/>
        </w:rPr>
        <w:t xml:space="preserve"> question should we be doing ten hours on this? </w:t>
      </w:r>
      <w:r w:rsidR="00217136" w:rsidRPr="0003652C">
        <w:rPr>
          <w:rFonts w:cs="Arial"/>
          <w:color w:val="000000" w:themeColor="text1"/>
        </w:rPr>
        <w:t>(S)</w:t>
      </w:r>
    </w:p>
    <w:p w14:paraId="2FD863C8" w14:textId="46553D91" w:rsidR="00F33D40" w:rsidRPr="0003652C" w:rsidRDefault="00F33D40" w:rsidP="0003652C">
      <w:pPr>
        <w:spacing w:line="360" w:lineRule="auto"/>
        <w:jc w:val="both"/>
        <w:rPr>
          <w:rFonts w:cs="Arial"/>
          <w:color w:val="000000" w:themeColor="text1"/>
        </w:rPr>
      </w:pPr>
      <w:r w:rsidRPr="0003652C">
        <w:rPr>
          <w:rFonts w:cs="Arial"/>
          <w:color w:val="000000" w:themeColor="text1"/>
        </w:rPr>
        <w:t xml:space="preserve">Resources will clearly be a consideration for those working on the design of courses (Rasiah, 2022). The participants in this research were acutely aware of the impact this </w:t>
      </w:r>
      <w:r w:rsidR="00A73582">
        <w:rPr>
          <w:rFonts w:cs="Arial"/>
          <w:color w:val="000000" w:themeColor="text1"/>
        </w:rPr>
        <w:t xml:space="preserve">had </w:t>
      </w:r>
      <w:r w:rsidRPr="0003652C">
        <w:rPr>
          <w:rFonts w:cs="Arial"/>
          <w:color w:val="000000" w:themeColor="text1"/>
        </w:rPr>
        <w:t xml:space="preserve">on the wider context of higher education, whether in relation to the competition between institutions and </w:t>
      </w:r>
      <w:r w:rsidR="00410D95" w:rsidRPr="0003652C">
        <w:rPr>
          <w:rFonts w:cs="Arial"/>
          <w:color w:val="000000" w:themeColor="text1"/>
        </w:rPr>
        <w:t>changing</w:t>
      </w:r>
      <w:r w:rsidRPr="0003652C">
        <w:rPr>
          <w:rFonts w:cs="Arial"/>
          <w:color w:val="000000" w:themeColor="text1"/>
        </w:rPr>
        <w:t xml:space="preserve"> markets, or an awareness of the fragility of </w:t>
      </w:r>
      <w:r w:rsidR="00410D95" w:rsidRPr="0003652C">
        <w:rPr>
          <w:rFonts w:cs="Arial"/>
          <w:color w:val="000000" w:themeColor="text1"/>
        </w:rPr>
        <w:t>the higher education employment market</w:t>
      </w:r>
      <w:r w:rsidRPr="0003652C">
        <w:rPr>
          <w:rFonts w:cs="Arial"/>
          <w:color w:val="000000" w:themeColor="text1"/>
        </w:rPr>
        <w:t xml:space="preserve">. Several themes arose </w:t>
      </w:r>
      <w:r w:rsidR="00A73582">
        <w:rPr>
          <w:rFonts w:cs="Arial"/>
          <w:color w:val="000000" w:themeColor="text1"/>
        </w:rPr>
        <w:t>regarding</w:t>
      </w:r>
      <w:r w:rsidRPr="0003652C">
        <w:rPr>
          <w:rFonts w:cs="Arial"/>
          <w:color w:val="000000" w:themeColor="text1"/>
        </w:rPr>
        <w:t xml:space="preserve"> these</w:t>
      </w:r>
      <w:r w:rsidR="00A73582">
        <w:rPr>
          <w:rFonts w:cs="Arial"/>
          <w:color w:val="000000" w:themeColor="text1"/>
        </w:rPr>
        <w:t>,</w:t>
      </w:r>
      <w:r w:rsidRPr="0003652C">
        <w:rPr>
          <w:rFonts w:cs="Arial"/>
          <w:color w:val="000000" w:themeColor="text1"/>
        </w:rPr>
        <w:t xml:space="preserve"> both in relation to the classification and the framing of the undergraduate law degrees</w:t>
      </w:r>
      <w:r w:rsidR="00A73582">
        <w:rPr>
          <w:rFonts w:cs="Arial"/>
          <w:color w:val="000000" w:themeColor="text1"/>
        </w:rPr>
        <w:t>,</w:t>
      </w:r>
      <w:r w:rsidRPr="0003652C">
        <w:rPr>
          <w:rFonts w:cs="Arial"/>
          <w:color w:val="000000" w:themeColor="text1"/>
        </w:rPr>
        <w:t xml:space="preserve"> as we will see in </w:t>
      </w:r>
      <w:r w:rsidR="009D5113">
        <w:rPr>
          <w:rFonts w:cs="Arial"/>
          <w:color w:val="000000" w:themeColor="text1"/>
        </w:rPr>
        <w:t>C</w:t>
      </w:r>
      <w:r w:rsidRPr="0003652C">
        <w:rPr>
          <w:rFonts w:cs="Arial"/>
          <w:color w:val="000000" w:themeColor="text1"/>
        </w:rPr>
        <w:t xml:space="preserve">hapters </w:t>
      </w:r>
      <w:r w:rsidR="009D5113">
        <w:rPr>
          <w:rFonts w:cs="Arial"/>
          <w:color w:val="000000" w:themeColor="text1"/>
        </w:rPr>
        <w:t>S</w:t>
      </w:r>
      <w:r w:rsidR="00410D95" w:rsidRPr="0003652C">
        <w:rPr>
          <w:rFonts w:cs="Arial"/>
          <w:color w:val="000000" w:themeColor="text1"/>
        </w:rPr>
        <w:t xml:space="preserve">even and </w:t>
      </w:r>
      <w:r w:rsidR="009D5113">
        <w:rPr>
          <w:rFonts w:cs="Arial"/>
          <w:color w:val="000000" w:themeColor="text1"/>
        </w:rPr>
        <w:t>E</w:t>
      </w:r>
      <w:r w:rsidR="00410D95" w:rsidRPr="0003652C">
        <w:rPr>
          <w:rFonts w:cs="Arial"/>
          <w:color w:val="000000" w:themeColor="text1"/>
        </w:rPr>
        <w:t>ight.</w:t>
      </w:r>
    </w:p>
    <w:p w14:paraId="344BFED1" w14:textId="0F0AE966" w:rsidR="00F33D40" w:rsidRPr="0003652C" w:rsidRDefault="00F33D40" w:rsidP="0003652C">
      <w:pPr>
        <w:spacing w:line="360" w:lineRule="auto"/>
        <w:jc w:val="both"/>
        <w:rPr>
          <w:rFonts w:cs="Arial"/>
          <w:color w:val="000000" w:themeColor="text1"/>
        </w:rPr>
      </w:pPr>
      <w:r w:rsidRPr="0003652C">
        <w:rPr>
          <w:rFonts w:cs="Arial"/>
          <w:color w:val="000000" w:themeColor="text1"/>
        </w:rPr>
        <w:t>University concerns with the market and implementation of resource</w:t>
      </w:r>
      <w:r w:rsidR="00A73582">
        <w:rPr>
          <w:rFonts w:cs="Arial"/>
          <w:color w:val="000000" w:themeColor="text1"/>
        </w:rPr>
        <w:t>-</w:t>
      </w:r>
      <w:r w:rsidRPr="0003652C">
        <w:rPr>
          <w:rFonts w:cs="Arial"/>
          <w:color w:val="000000" w:themeColor="text1"/>
        </w:rPr>
        <w:t>driven restructures or restrictions on courses</w:t>
      </w:r>
      <w:r w:rsidR="00A73582">
        <w:rPr>
          <w:rFonts w:cs="Arial"/>
          <w:color w:val="000000" w:themeColor="text1"/>
        </w:rPr>
        <w:t>,</w:t>
      </w:r>
      <w:r w:rsidRPr="0003652C">
        <w:rPr>
          <w:rFonts w:cs="Arial"/>
          <w:color w:val="000000" w:themeColor="text1"/>
        </w:rPr>
        <w:t xml:space="preserve"> is obviously not new (Ols</w:t>
      </w:r>
      <w:r w:rsidR="00804B61" w:rsidRPr="0003652C">
        <w:rPr>
          <w:rFonts w:cs="Arial"/>
          <w:color w:val="000000" w:themeColor="text1"/>
        </w:rPr>
        <w:t>o</w:t>
      </w:r>
      <w:r w:rsidRPr="0003652C">
        <w:rPr>
          <w:rFonts w:cs="Arial"/>
          <w:color w:val="000000" w:themeColor="text1"/>
        </w:rPr>
        <w:t>n, 2016; Nixon, 2017) Whilst law degrees are often seen as ‘cash cows’ due to their low cost, large cohort delivery model, they are not immune from this (Thornton, 202</w:t>
      </w:r>
      <w:r w:rsidR="001D3092" w:rsidRPr="0003652C">
        <w:rPr>
          <w:rFonts w:cs="Arial"/>
          <w:color w:val="000000" w:themeColor="text1"/>
        </w:rPr>
        <w:t>2</w:t>
      </w:r>
      <w:r w:rsidRPr="0003652C">
        <w:rPr>
          <w:rFonts w:cs="Arial"/>
          <w:color w:val="000000" w:themeColor="text1"/>
        </w:rPr>
        <w:t xml:space="preserve">). </w:t>
      </w:r>
      <w:r w:rsidR="00A73582">
        <w:rPr>
          <w:rFonts w:cs="Arial"/>
          <w:color w:val="000000" w:themeColor="text1"/>
        </w:rPr>
        <w:t xml:space="preserve">The impact of satisfaction and employability metrics on design is equally evident here </w:t>
      </w:r>
      <w:r w:rsidR="00A73582">
        <w:rPr>
          <w:rFonts w:cs="Arial"/>
          <w:color w:val="000000" w:themeColor="text1"/>
        </w:rPr>
        <w:lastRenderedPageBreak/>
        <w:t>as elsewhere, and, in some senses, is heightened by the misalignment between students’ expectations of employment as graduates</w:t>
      </w:r>
      <w:r w:rsidRPr="0003652C">
        <w:rPr>
          <w:rFonts w:cs="Arial"/>
          <w:color w:val="000000" w:themeColor="text1"/>
        </w:rPr>
        <w:t xml:space="preserve"> and the reality (</w:t>
      </w:r>
      <w:r w:rsidR="00410D95" w:rsidRPr="0003652C">
        <w:rPr>
          <w:rFonts w:cs="Arial"/>
          <w:color w:val="000000" w:themeColor="text1"/>
        </w:rPr>
        <w:t>As discussed in section 2.4; Rasiah</w:t>
      </w:r>
      <w:r w:rsidRPr="0003652C">
        <w:rPr>
          <w:rFonts w:cs="Arial"/>
          <w:color w:val="000000" w:themeColor="text1"/>
        </w:rPr>
        <w:t xml:space="preserve">, 2022). </w:t>
      </w:r>
    </w:p>
    <w:p w14:paraId="080C53D7" w14:textId="1F997F3E" w:rsidR="00F33D40" w:rsidRPr="006370E7" w:rsidRDefault="00F33D40" w:rsidP="006370E7">
      <w:pPr>
        <w:spacing w:line="360" w:lineRule="auto"/>
        <w:jc w:val="both"/>
        <w:rPr>
          <w:rFonts w:cs="Arial"/>
          <w:color w:val="000000" w:themeColor="text1"/>
        </w:rPr>
      </w:pPr>
      <w:r w:rsidRPr="0003652C">
        <w:rPr>
          <w:rFonts w:cs="Arial"/>
          <w:color w:val="000000" w:themeColor="text1"/>
        </w:rPr>
        <w:t xml:space="preserve">Bernstein considers the market effect on higher education and elaborates on this to show how </w:t>
      </w:r>
      <w:r w:rsidR="00A73582" w:rsidRPr="0003652C">
        <w:rPr>
          <w:rFonts w:cs="Arial"/>
          <w:color w:val="000000" w:themeColor="text1"/>
        </w:rPr>
        <w:t>th</w:t>
      </w:r>
      <w:r w:rsidR="00A73582">
        <w:rPr>
          <w:rFonts w:cs="Arial"/>
          <w:color w:val="000000" w:themeColor="text1"/>
        </w:rPr>
        <w:t>e</w:t>
      </w:r>
      <w:r w:rsidR="00A73582" w:rsidRPr="0003652C">
        <w:rPr>
          <w:rFonts w:cs="Arial"/>
          <w:color w:val="000000" w:themeColor="text1"/>
        </w:rPr>
        <w:t xml:space="preserve"> </w:t>
      </w:r>
      <w:r w:rsidRPr="0003652C">
        <w:rPr>
          <w:rFonts w:cs="Arial"/>
          <w:color w:val="000000" w:themeColor="text1"/>
        </w:rPr>
        <w:t>market creates the chasm between the elite and non-elite universities. In so doing</w:t>
      </w:r>
      <w:r w:rsidR="00A73582">
        <w:rPr>
          <w:rFonts w:cs="Arial"/>
          <w:color w:val="000000" w:themeColor="text1"/>
        </w:rPr>
        <w:t>,</w:t>
      </w:r>
      <w:r w:rsidRPr="0003652C">
        <w:rPr>
          <w:rFonts w:cs="Arial"/>
          <w:color w:val="000000" w:themeColor="text1"/>
        </w:rPr>
        <w:t xml:space="preserve"> it provides the university with an identity that might also explain how processes operate within that institution. A</w:t>
      </w:r>
      <w:r w:rsidR="00CA5E56">
        <w:rPr>
          <w:rFonts w:cs="Arial"/>
          <w:color w:val="000000" w:themeColor="text1"/>
        </w:rPr>
        <w:t>s discussed earlie</w:t>
      </w:r>
      <w:r w:rsidR="00A73582">
        <w:rPr>
          <w:rFonts w:cs="Arial"/>
          <w:color w:val="000000" w:themeColor="text1"/>
        </w:rPr>
        <w:t>r,</w:t>
      </w:r>
      <w:r w:rsidR="00CA5E56">
        <w:rPr>
          <w:rFonts w:cs="Arial"/>
          <w:color w:val="000000" w:themeColor="text1"/>
        </w:rPr>
        <w:t xml:space="preserve"> a</w:t>
      </w:r>
      <w:r w:rsidRPr="0003652C">
        <w:rPr>
          <w:rFonts w:cs="Arial"/>
          <w:color w:val="000000" w:themeColor="text1"/>
        </w:rPr>
        <w:t>n elite university will have more resources and so ‘less need to change their discourse or its organisation to maintain their power and position’. The non-elite universities are subject to ‘the contingencies of local markets’ and the changes that they may undergo. This can impact both the institution and the identities of the academic community within it (Bernstein, 2000</w:t>
      </w:r>
      <w:r w:rsidR="00A73582">
        <w:rPr>
          <w:rFonts w:cs="Arial"/>
          <w:color w:val="000000" w:themeColor="text1"/>
        </w:rPr>
        <w:t>.</w:t>
      </w:r>
      <w:r w:rsidR="00A73582" w:rsidRPr="0003652C">
        <w:rPr>
          <w:rFonts w:cs="Arial"/>
          <w:color w:val="000000" w:themeColor="text1"/>
        </w:rPr>
        <w:t xml:space="preserve"> </w:t>
      </w:r>
      <w:r w:rsidR="00A73582">
        <w:rPr>
          <w:rFonts w:cs="Arial"/>
          <w:color w:val="000000" w:themeColor="text1"/>
        </w:rPr>
        <w:t>p.</w:t>
      </w:r>
      <w:r w:rsidRPr="0003652C">
        <w:rPr>
          <w:rFonts w:cs="Arial"/>
          <w:color w:val="000000" w:themeColor="text1"/>
        </w:rPr>
        <w:t xml:space="preserve"> 70). The selective, semi-selective and </w:t>
      </w:r>
      <w:r w:rsidR="00A73582" w:rsidRPr="0003652C">
        <w:rPr>
          <w:rFonts w:cs="Arial"/>
          <w:color w:val="000000" w:themeColor="text1"/>
        </w:rPr>
        <w:t>wide</w:t>
      </w:r>
      <w:r w:rsidR="00A73582">
        <w:rPr>
          <w:rFonts w:cs="Arial"/>
          <w:color w:val="000000" w:themeColor="text1"/>
        </w:rPr>
        <w:t>r</w:t>
      </w:r>
      <w:r w:rsidR="00A73582" w:rsidRPr="0003652C">
        <w:rPr>
          <w:rFonts w:cs="Arial"/>
          <w:color w:val="000000" w:themeColor="text1"/>
        </w:rPr>
        <w:t xml:space="preserve"> </w:t>
      </w:r>
      <w:r w:rsidRPr="0003652C">
        <w:rPr>
          <w:rFonts w:cs="Arial"/>
          <w:color w:val="000000" w:themeColor="text1"/>
        </w:rPr>
        <w:t>participation categories of institution</w:t>
      </w:r>
      <w:r w:rsidR="00A73582">
        <w:rPr>
          <w:rFonts w:cs="Arial"/>
          <w:color w:val="000000" w:themeColor="text1"/>
        </w:rPr>
        <w:t>s</w:t>
      </w:r>
      <w:r w:rsidRPr="0003652C">
        <w:rPr>
          <w:rFonts w:cs="Arial"/>
          <w:color w:val="000000" w:themeColor="text1"/>
        </w:rPr>
        <w:t xml:space="preserve"> used in this investigation will interrogate the impact of this, and therefore the impact of the University’s response to the external market.</w:t>
      </w:r>
    </w:p>
    <w:p w14:paraId="60B28D1F" w14:textId="13B7B265" w:rsidR="00F33D40" w:rsidRPr="0003652C" w:rsidRDefault="00F33D40" w:rsidP="0003652C">
      <w:pPr>
        <w:pStyle w:val="Heading3"/>
        <w:spacing w:after="100" w:afterAutospacing="1" w:line="360" w:lineRule="auto"/>
        <w:rPr>
          <w:rFonts w:ascii="Arial" w:hAnsi="Arial" w:cs="Arial"/>
        </w:rPr>
      </w:pPr>
      <w:bookmarkStart w:id="72" w:name="_Toc223348864"/>
      <w:r w:rsidRPr="0003652C">
        <w:rPr>
          <w:rFonts w:ascii="Arial" w:hAnsi="Arial" w:cs="Arial"/>
        </w:rPr>
        <w:t>The academic community</w:t>
      </w:r>
      <w:r w:rsidR="00A73582">
        <w:rPr>
          <w:rFonts w:ascii="Arial" w:hAnsi="Arial" w:cs="Arial"/>
        </w:rPr>
        <w:t>’s</w:t>
      </w:r>
      <w:r w:rsidRPr="0003652C">
        <w:rPr>
          <w:rFonts w:ascii="Arial" w:hAnsi="Arial" w:cs="Arial"/>
        </w:rPr>
        <w:t xml:space="preserve"> split identit</w:t>
      </w:r>
      <w:r w:rsidR="00A73582">
        <w:rPr>
          <w:rFonts w:ascii="Arial" w:hAnsi="Arial" w:cs="Arial"/>
        </w:rPr>
        <w:t>y</w:t>
      </w:r>
      <w:bookmarkEnd w:id="72"/>
    </w:p>
    <w:p w14:paraId="71AC242B" w14:textId="003F24C7" w:rsidR="00F33D40" w:rsidRPr="0003652C" w:rsidRDefault="00F33D40" w:rsidP="0003652C">
      <w:pPr>
        <w:spacing w:line="360" w:lineRule="auto"/>
        <w:jc w:val="both"/>
        <w:rPr>
          <w:rFonts w:cs="Arial"/>
          <w:color w:val="000000" w:themeColor="text1"/>
        </w:rPr>
      </w:pPr>
      <w:r w:rsidRPr="0003652C">
        <w:rPr>
          <w:rFonts w:cs="Arial"/>
          <w:color w:val="000000" w:themeColor="text1"/>
        </w:rPr>
        <w:t>The academic community represents a very vocal agent in this arena. It is</w:t>
      </w:r>
      <w:r w:rsidR="00A73582">
        <w:rPr>
          <w:rFonts w:cs="Arial"/>
          <w:color w:val="000000" w:themeColor="text1"/>
        </w:rPr>
        <w:t>,</w:t>
      </w:r>
      <w:r w:rsidRPr="0003652C">
        <w:rPr>
          <w:rFonts w:cs="Arial"/>
          <w:color w:val="000000" w:themeColor="text1"/>
        </w:rPr>
        <w:t xml:space="preserve"> however</w:t>
      </w:r>
      <w:r w:rsidR="00A73582">
        <w:rPr>
          <w:rFonts w:cs="Arial"/>
          <w:color w:val="000000" w:themeColor="text1"/>
        </w:rPr>
        <w:t>,</w:t>
      </w:r>
      <w:r w:rsidRPr="0003652C">
        <w:rPr>
          <w:rFonts w:cs="Arial"/>
          <w:color w:val="000000" w:themeColor="text1"/>
        </w:rPr>
        <w:t xml:space="preserve"> not necessarily one voice. I return here to Hall and Rasiah’s question presented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T</w:t>
      </w:r>
      <w:r w:rsidR="000E4A21" w:rsidRPr="0003652C">
        <w:rPr>
          <w:rFonts w:cs="Arial"/>
          <w:color w:val="000000" w:themeColor="text1"/>
        </w:rPr>
        <w:t>hree, as</w:t>
      </w:r>
      <w:r w:rsidRPr="0003652C">
        <w:rPr>
          <w:rFonts w:cs="Arial"/>
          <w:color w:val="000000" w:themeColor="text1"/>
        </w:rPr>
        <w:t xml:space="preserve"> to whether</w:t>
      </w:r>
    </w:p>
    <w:p w14:paraId="0374875F" w14:textId="11728BD6" w:rsidR="00F33D40" w:rsidRPr="0003652C" w:rsidRDefault="00F33D40" w:rsidP="0003652C">
      <w:pPr>
        <w:spacing w:line="360" w:lineRule="auto"/>
        <w:ind w:left="720"/>
        <w:jc w:val="both"/>
        <w:rPr>
          <w:rFonts w:cs="Arial"/>
          <w:color w:val="000000" w:themeColor="text1"/>
        </w:rPr>
      </w:pPr>
      <w:r w:rsidRPr="0003652C">
        <w:rPr>
          <w:rFonts w:cs="Arial"/>
          <w:color w:val="000000" w:themeColor="text1"/>
        </w:rPr>
        <w:t>‘We’ equals the homogenous tribe, or an opportunistic band of fellow-travellers. (Hall &amp; Rasiah, 2022,</w:t>
      </w:r>
      <w:r w:rsidR="009D5113">
        <w:rPr>
          <w:rFonts w:cs="Arial"/>
          <w:color w:val="000000" w:themeColor="text1"/>
        </w:rPr>
        <w:t xml:space="preserve"> p.</w:t>
      </w:r>
      <w:r w:rsidRPr="0003652C">
        <w:rPr>
          <w:rFonts w:cs="Arial"/>
          <w:color w:val="000000" w:themeColor="text1"/>
        </w:rPr>
        <w:t xml:space="preserve">11). </w:t>
      </w:r>
    </w:p>
    <w:p w14:paraId="69A198F6" w14:textId="1827D842" w:rsidR="00F33D40" w:rsidRPr="0003652C" w:rsidRDefault="00F33D40" w:rsidP="0003652C">
      <w:pPr>
        <w:spacing w:line="360" w:lineRule="auto"/>
        <w:jc w:val="both"/>
        <w:rPr>
          <w:rFonts w:cs="Arial"/>
          <w:color w:val="000000" w:themeColor="text1"/>
        </w:rPr>
      </w:pPr>
      <w:r w:rsidRPr="0003652C">
        <w:rPr>
          <w:rFonts w:cs="Arial"/>
          <w:color w:val="000000" w:themeColor="text1"/>
        </w:rPr>
        <w:t>The identity, or more accurately the identities of this academic community</w:t>
      </w:r>
      <w:r w:rsidR="00A73582">
        <w:rPr>
          <w:rFonts w:cs="Arial"/>
          <w:color w:val="000000" w:themeColor="text1"/>
        </w:rPr>
        <w:t>,</w:t>
      </w:r>
      <w:r w:rsidRPr="0003652C">
        <w:rPr>
          <w:rFonts w:cs="Arial"/>
          <w:color w:val="000000" w:themeColor="text1"/>
        </w:rPr>
        <w:t xml:space="preserve"> is a well-researched area (Cownie, 2004), as are specific identities within it (Strevens &amp; Field, 2020; Collier, </w:t>
      </w:r>
      <w:r w:rsidR="001D3092" w:rsidRPr="0003652C">
        <w:rPr>
          <w:rFonts w:cs="Arial"/>
          <w:color w:val="000000" w:themeColor="text1"/>
        </w:rPr>
        <w:t xml:space="preserve">2005; </w:t>
      </w:r>
      <w:r w:rsidRPr="0003652C">
        <w:rPr>
          <w:rFonts w:cs="Arial"/>
          <w:color w:val="000000" w:themeColor="text1"/>
        </w:rPr>
        <w:t xml:space="preserve">2020), and some of the findings here draw upon those, and make visible some of the tensions that might impact on design. There is also a cyclical influence </w:t>
      </w:r>
      <w:r w:rsidR="00A73582">
        <w:rPr>
          <w:rFonts w:cs="Arial"/>
          <w:color w:val="000000" w:themeColor="text1"/>
        </w:rPr>
        <w:t>at work</w:t>
      </w:r>
      <w:r w:rsidRPr="0003652C">
        <w:rPr>
          <w:rFonts w:cs="Arial"/>
          <w:color w:val="000000" w:themeColor="text1"/>
        </w:rPr>
        <w:t xml:space="preserve"> here</w:t>
      </w:r>
      <w:r w:rsidR="00A73582">
        <w:rPr>
          <w:rFonts w:cs="Arial"/>
          <w:color w:val="000000" w:themeColor="text1"/>
        </w:rPr>
        <w:t>,</w:t>
      </w:r>
      <w:r w:rsidRPr="0003652C">
        <w:rPr>
          <w:rFonts w:cs="Arial"/>
          <w:color w:val="000000" w:themeColor="text1"/>
        </w:rPr>
        <w:t xml:space="preserve"> with the academy influencing the identities, whilst those identities might in turn influence the academy. I return to the impact these identities might have in the </w:t>
      </w:r>
      <w:r w:rsidR="00A73582">
        <w:rPr>
          <w:rFonts w:cs="Arial"/>
          <w:color w:val="000000" w:themeColor="text1"/>
        </w:rPr>
        <w:t>following</w:t>
      </w:r>
      <w:r w:rsidRPr="0003652C">
        <w:rPr>
          <w:rFonts w:cs="Arial"/>
          <w:color w:val="000000" w:themeColor="text1"/>
        </w:rPr>
        <w:t xml:space="preserve"> two chapters. Here</w:t>
      </w:r>
      <w:r w:rsidR="00A73582">
        <w:rPr>
          <w:rFonts w:cs="Arial"/>
          <w:color w:val="000000" w:themeColor="text1"/>
        </w:rPr>
        <w:t>,</w:t>
      </w:r>
      <w:r w:rsidRPr="0003652C">
        <w:rPr>
          <w:rFonts w:cs="Arial"/>
          <w:color w:val="000000" w:themeColor="text1"/>
        </w:rPr>
        <w:t xml:space="preserve"> I consider what the findings present in terms of the identities that are seen to be at play.  </w:t>
      </w:r>
    </w:p>
    <w:p w14:paraId="04F038B4" w14:textId="144F84EB" w:rsidR="00F33D40" w:rsidRPr="0003652C" w:rsidRDefault="00F33D40" w:rsidP="0003652C">
      <w:pPr>
        <w:spacing w:line="360" w:lineRule="auto"/>
        <w:jc w:val="both"/>
        <w:rPr>
          <w:rFonts w:cs="Arial"/>
        </w:rPr>
      </w:pPr>
      <w:r w:rsidRPr="0003652C">
        <w:rPr>
          <w:rFonts w:cs="Arial"/>
        </w:rPr>
        <w:lastRenderedPageBreak/>
        <w:t xml:space="preserve">It is noteworthy here that the participants often reflected on their own identity, as well as that of the team they were working with. A limitation in this is obviously that the self-identifying and the labels used may not be consistent in meaning (Leighton et al., 1995; Cownie, 2004). </w:t>
      </w:r>
    </w:p>
    <w:p w14:paraId="068265EE" w14:textId="38BE3944" w:rsidR="00F33D40" w:rsidRPr="0003652C" w:rsidRDefault="00F33D40" w:rsidP="0003652C">
      <w:pPr>
        <w:spacing w:line="360" w:lineRule="auto"/>
        <w:jc w:val="both"/>
        <w:rPr>
          <w:rFonts w:cs="Arial"/>
        </w:rPr>
      </w:pPr>
      <w:r w:rsidRPr="0003652C">
        <w:rPr>
          <w:rFonts w:cs="Arial"/>
        </w:rPr>
        <w:t>Here</w:t>
      </w:r>
      <w:r w:rsidR="00A73582">
        <w:rPr>
          <w:rFonts w:cs="Arial"/>
        </w:rPr>
        <w:t>,</w:t>
      </w:r>
      <w:r w:rsidRPr="0003652C">
        <w:rPr>
          <w:rFonts w:cs="Arial"/>
        </w:rPr>
        <w:t xml:space="preserve"> I discuss the </w:t>
      </w:r>
      <w:r w:rsidR="00F00429" w:rsidRPr="0003652C">
        <w:rPr>
          <w:rFonts w:cs="Arial"/>
        </w:rPr>
        <w:t>identities</w:t>
      </w:r>
      <w:r w:rsidRPr="0003652C">
        <w:rPr>
          <w:rFonts w:cs="Arial"/>
        </w:rPr>
        <w:t xml:space="preserve"> that were perceived to be the most prominent in the reflections, often ones that became visible in the process of redesign. The</w:t>
      </w:r>
      <w:r w:rsidR="00F00429" w:rsidRPr="0003652C">
        <w:rPr>
          <w:rFonts w:cs="Arial"/>
        </w:rPr>
        <w:t>se</w:t>
      </w:r>
      <w:r w:rsidRPr="0003652C">
        <w:rPr>
          <w:rFonts w:cs="Arial"/>
        </w:rPr>
        <w:t xml:space="preserve"> identities </w:t>
      </w:r>
      <w:r w:rsidR="00F00429" w:rsidRPr="0003652C">
        <w:rPr>
          <w:rFonts w:cs="Arial"/>
        </w:rPr>
        <w:t>were visible</w:t>
      </w:r>
      <w:r w:rsidRPr="0003652C">
        <w:rPr>
          <w:rFonts w:cs="Arial"/>
        </w:rPr>
        <w:t xml:space="preserve"> either </w:t>
      </w:r>
      <w:r w:rsidR="003026EF">
        <w:rPr>
          <w:rFonts w:cs="Arial"/>
        </w:rPr>
        <w:t>in</w:t>
      </w:r>
      <w:r w:rsidRPr="0003652C">
        <w:rPr>
          <w:rFonts w:cs="Arial"/>
        </w:rPr>
        <w:t xml:space="preserve"> </w:t>
      </w:r>
      <w:r w:rsidR="00A73582">
        <w:rPr>
          <w:rFonts w:cs="Arial"/>
        </w:rPr>
        <w:t>participants’ self-reflections</w:t>
      </w:r>
      <w:r w:rsidRPr="0003652C">
        <w:rPr>
          <w:rFonts w:cs="Arial"/>
        </w:rPr>
        <w:t xml:space="preserve"> or </w:t>
      </w:r>
      <w:r w:rsidR="003026EF">
        <w:rPr>
          <w:rFonts w:cs="Arial"/>
        </w:rPr>
        <w:t xml:space="preserve">in </w:t>
      </w:r>
      <w:r w:rsidRPr="0003652C">
        <w:rPr>
          <w:rFonts w:cs="Arial"/>
        </w:rPr>
        <w:t>reflections on their teams</w:t>
      </w:r>
      <w:r w:rsidR="00F00429" w:rsidRPr="0003652C">
        <w:rPr>
          <w:rFonts w:cs="Arial"/>
        </w:rPr>
        <w:t xml:space="preserve">.  </w:t>
      </w:r>
      <w:r w:rsidRPr="0003652C">
        <w:rPr>
          <w:rFonts w:cs="Arial"/>
          <w:color w:val="000000" w:themeColor="text1"/>
        </w:rPr>
        <w:t xml:space="preserve">There </w:t>
      </w:r>
      <w:r w:rsidRPr="0003652C">
        <w:rPr>
          <w:rFonts w:cs="Arial"/>
        </w:rPr>
        <w:t xml:space="preserve">are always going to be factions within teams, and some of these reflected what were seen to be defining identities. Some, such as </w:t>
      </w:r>
      <w:r w:rsidR="000E4A21" w:rsidRPr="0003652C">
        <w:rPr>
          <w:rFonts w:cs="Arial"/>
        </w:rPr>
        <w:t>‘</w:t>
      </w:r>
      <w:r w:rsidRPr="0003652C">
        <w:rPr>
          <w:rFonts w:cs="Arial"/>
        </w:rPr>
        <w:t>research</w:t>
      </w:r>
      <w:r w:rsidR="000E4A21" w:rsidRPr="0003652C">
        <w:rPr>
          <w:rFonts w:cs="Arial"/>
        </w:rPr>
        <w:t>-</w:t>
      </w:r>
      <w:r w:rsidRPr="0003652C">
        <w:rPr>
          <w:rFonts w:cs="Arial"/>
        </w:rPr>
        <w:t>active</w:t>
      </w:r>
      <w:r w:rsidR="000E4A21" w:rsidRPr="0003652C">
        <w:rPr>
          <w:rFonts w:cs="Arial"/>
        </w:rPr>
        <w:t>’</w:t>
      </w:r>
      <w:r w:rsidRPr="0003652C">
        <w:rPr>
          <w:rFonts w:cs="Arial"/>
        </w:rPr>
        <w:t xml:space="preserve"> or </w:t>
      </w:r>
      <w:r w:rsidR="000E4A21" w:rsidRPr="0003652C">
        <w:rPr>
          <w:rFonts w:cs="Arial"/>
        </w:rPr>
        <w:t>‘</w:t>
      </w:r>
      <w:r w:rsidRPr="0003652C">
        <w:rPr>
          <w:rFonts w:cs="Arial"/>
        </w:rPr>
        <w:t>teaching</w:t>
      </w:r>
      <w:r w:rsidR="000E4A21" w:rsidRPr="0003652C">
        <w:rPr>
          <w:rFonts w:cs="Arial"/>
        </w:rPr>
        <w:t>-</w:t>
      </w:r>
      <w:r w:rsidRPr="0003652C">
        <w:rPr>
          <w:rFonts w:cs="Arial"/>
        </w:rPr>
        <w:t>focused</w:t>
      </w:r>
      <w:r w:rsidR="000E4A21" w:rsidRPr="0003652C">
        <w:rPr>
          <w:rFonts w:cs="Arial"/>
        </w:rPr>
        <w:t>’</w:t>
      </w:r>
      <w:r w:rsidRPr="0003652C">
        <w:rPr>
          <w:rFonts w:cs="Arial"/>
        </w:rPr>
        <w:t>, are common across higher education generally. Others</w:t>
      </w:r>
      <w:r w:rsidR="003026EF">
        <w:rPr>
          <w:rFonts w:cs="Arial"/>
        </w:rPr>
        <w:t>,</w:t>
      </w:r>
      <w:r w:rsidRPr="0003652C">
        <w:rPr>
          <w:rFonts w:cs="Arial"/>
        </w:rPr>
        <w:t xml:space="preserve"> such as the divide between practitioner </w:t>
      </w:r>
      <w:r w:rsidR="003026EF">
        <w:rPr>
          <w:rFonts w:cs="Arial"/>
        </w:rPr>
        <w:t>and</w:t>
      </w:r>
      <w:r w:rsidRPr="0003652C">
        <w:rPr>
          <w:rFonts w:cs="Arial"/>
        </w:rPr>
        <w:t xml:space="preserve"> academic</w:t>
      </w:r>
      <w:r w:rsidR="003026EF">
        <w:rPr>
          <w:rFonts w:cs="Arial"/>
        </w:rPr>
        <w:t>,</w:t>
      </w:r>
      <w:r w:rsidRPr="0003652C">
        <w:rPr>
          <w:rFonts w:cs="Arial"/>
        </w:rPr>
        <w:t xml:space="preserve"> are more common in what are often regarded as applied disciplines. Identities might be reflected in contractual status (Dickinson et al., 2022) or influenced by shifting emphasis on external agendas</w:t>
      </w:r>
      <w:r w:rsidR="003026EF">
        <w:rPr>
          <w:rFonts w:cs="Arial"/>
        </w:rPr>
        <w:t>,</w:t>
      </w:r>
      <w:r w:rsidRPr="0003652C">
        <w:rPr>
          <w:rFonts w:cs="Arial"/>
        </w:rPr>
        <w:t xml:space="preserve"> such as excellence frameworks. Many participants felt that the way in which factions within teams might be labelled could be complicated,</w:t>
      </w:r>
    </w:p>
    <w:p w14:paraId="66C4D05F" w14:textId="7BD1E837" w:rsidR="00F33D40" w:rsidRPr="0003652C" w:rsidRDefault="00F33D40" w:rsidP="0003652C">
      <w:pPr>
        <w:spacing w:line="360" w:lineRule="auto"/>
        <w:ind w:left="720"/>
        <w:jc w:val="both"/>
        <w:rPr>
          <w:rFonts w:cs="Arial"/>
          <w:color w:val="000000" w:themeColor="text1"/>
        </w:rPr>
      </w:pPr>
      <w:r w:rsidRPr="0003652C">
        <w:rPr>
          <w:rFonts w:cs="Arial"/>
          <w:color w:val="000000" w:themeColor="text1"/>
        </w:rPr>
        <w:t>There are different ways of slicing them th</w:t>
      </w:r>
      <w:r w:rsidR="003026EF">
        <w:rPr>
          <w:rFonts w:cs="Arial"/>
          <w:color w:val="000000" w:themeColor="text1"/>
        </w:rPr>
        <w:t>r</w:t>
      </w:r>
      <w:r w:rsidRPr="0003652C">
        <w:rPr>
          <w:rFonts w:cs="Arial"/>
          <w:color w:val="000000" w:themeColor="text1"/>
        </w:rPr>
        <w:t xml:space="preserve">ough – clinicians, scholarship contracts, education research contracts. </w:t>
      </w:r>
      <w:r w:rsidR="00217136" w:rsidRPr="0003652C">
        <w:rPr>
          <w:rFonts w:cs="Arial"/>
          <w:color w:val="000000" w:themeColor="text1"/>
        </w:rPr>
        <w:t>(S)</w:t>
      </w:r>
    </w:p>
    <w:p w14:paraId="2CCD1D00" w14:textId="67FD4A44" w:rsidR="00F33D40" w:rsidRPr="0003652C" w:rsidRDefault="00F33D40" w:rsidP="0003652C">
      <w:pPr>
        <w:spacing w:line="360" w:lineRule="auto"/>
        <w:jc w:val="both"/>
        <w:rPr>
          <w:rFonts w:cs="Arial"/>
        </w:rPr>
      </w:pPr>
      <w:r w:rsidRPr="0003652C">
        <w:rPr>
          <w:rFonts w:cs="Arial"/>
        </w:rPr>
        <w:t>This is reflected in the literature as professional identities in legal education become more diverse and fractured. To attempt to reflect the extent of the divisions and overlaps here is beyond the scope of this paper (Cownie, 2025).</w:t>
      </w:r>
    </w:p>
    <w:p w14:paraId="53DE49F6" w14:textId="72A29B95" w:rsidR="00F33D40" w:rsidRPr="0003652C" w:rsidRDefault="00F33D40" w:rsidP="0003652C">
      <w:pPr>
        <w:spacing w:line="360" w:lineRule="auto"/>
        <w:jc w:val="both"/>
        <w:rPr>
          <w:rFonts w:cs="Arial"/>
        </w:rPr>
      </w:pPr>
      <w:r w:rsidRPr="0003652C">
        <w:rPr>
          <w:rFonts w:cs="Arial"/>
        </w:rPr>
        <w:t>All participants felt that their own identity and that of the team within which they worked were visible in the process of design. The designers often saw themselves as ‘educationalists’, even if they also identified as researcher</w:t>
      </w:r>
      <w:r w:rsidR="003026EF">
        <w:rPr>
          <w:rFonts w:cs="Arial"/>
        </w:rPr>
        <w:t>s</w:t>
      </w:r>
      <w:r w:rsidRPr="0003652C">
        <w:rPr>
          <w:rFonts w:cs="Arial"/>
        </w:rPr>
        <w:t>, practitioner</w:t>
      </w:r>
      <w:r w:rsidR="003026EF">
        <w:rPr>
          <w:rFonts w:cs="Arial"/>
        </w:rPr>
        <w:t>s</w:t>
      </w:r>
      <w:r w:rsidRPr="0003652C">
        <w:rPr>
          <w:rFonts w:cs="Arial"/>
        </w:rPr>
        <w:t xml:space="preserve"> or academic</w:t>
      </w:r>
      <w:r w:rsidR="003026EF">
        <w:rPr>
          <w:rFonts w:cs="Arial"/>
        </w:rPr>
        <w:t>s</w:t>
      </w:r>
      <w:r w:rsidRPr="0003652C">
        <w:rPr>
          <w:rFonts w:cs="Arial"/>
        </w:rPr>
        <w:t>.  This was perhaps unsurprising, as their role in course design might be a result of, or a reason for</w:t>
      </w:r>
      <w:r w:rsidR="003026EF">
        <w:rPr>
          <w:rFonts w:cs="Arial"/>
        </w:rPr>
        <w:t>,</w:t>
      </w:r>
      <w:r w:rsidRPr="0003652C">
        <w:rPr>
          <w:rFonts w:cs="Arial"/>
        </w:rPr>
        <w:t xml:space="preserve"> this perception. </w:t>
      </w:r>
    </w:p>
    <w:p w14:paraId="346E512F" w14:textId="6B27895C" w:rsidR="00F33D40" w:rsidRPr="0003652C" w:rsidRDefault="00F33D40" w:rsidP="0003652C">
      <w:pPr>
        <w:pStyle w:val="Heading4"/>
        <w:spacing w:line="360" w:lineRule="auto"/>
        <w:rPr>
          <w:rFonts w:ascii="Arial" w:hAnsi="Arial" w:cs="Arial"/>
        </w:rPr>
      </w:pPr>
      <w:r w:rsidRPr="0003652C">
        <w:rPr>
          <w:rFonts w:ascii="Arial" w:hAnsi="Arial" w:cs="Arial"/>
        </w:rPr>
        <w:t>Research or teaching focus</w:t>
      </w:r>
    </w:p>
    <w:p w14:paraId="0003E9E7" w14:textId="58633AEE" w:rsidR="00F33D40" w:rsidRPr="0003652C" w:rsidRDefault="00F33D40" w:rsidP="0003652C">
      <w:pPr>
        <w:spacing w:line="360" w:lineRule="auto"/>
        <w:jc w:val="both"/>
        <w:rPr>
          <w:rFonts w:cs="Arial"/>
        </w:rPr>
      </w:pPr>
      <w:r w:rsidRPr="0003652C">
        <w:rPr>
          <w:rFonts w:cs="Arial"/>
        </w:rPr>
        <w:t>A few participants reflected on the tension between research and teaching,</w:t>
      </w:r>
    </w:p>
    <w:p w14:paraId="3D6C5DBF" w14:textId="1EF05C4A" w:rsidR="00F33D40" w:rsidRPr="0003652C" w:rsidRDefault="00F33D40" w:rsidP="006370E7">
      <w:pPr>
        <w:spacing w:line="360" w:lineRule="auto"/>
        <w:ind w:left="720"/>
        <w:jc w:val="both"/>
        <w:rPr>
          <w:rFonts w:cs="Arial"/>
        </w:rPr>
      </w:pPr>
      <w:r w:rsidRPr="0003652C">
        <w:rPr>
          <w:rFonts w:cs="Arial"/>
        </w:rPr>
        <w:lastRenderedPageBreak/>
        <w:t>There</w:t>
      </w:r>
      <w:r w:rsidR="003026EF">
        <w:rPr>
          <w:rFonts w:cs="Arial"/>
        </w:rPr>
        <w:t>’</w:t>
      </w:r>
      <w:r w:rsidRPr="0003652C">
        <w:rPr>
          <w:rFonts w:cs="Arial"/>
        </w:rPr>
        <w:t>s a lot greater tension now between teaching and research. Difficulty comes from precious researchers who think they have a monopoly on what should be taught. There is a tension between research</w:t>
      </w:r>
      <w:r w:rsidR="000E4A21" w:rsidRPr="0003652C">
        <w:rPr>
          <w:rFonts w:cs="Arial"/>
        </w:rPr>
        <w:t>-l</w:t>
      </w:r>
      <w:r w:rsidRPr="0003652C">
        <w:rPr>
          <w:rFonts w:cs="Arial"/>
        </w:rPr>
        <w:t>ed teaching and functional teaching (what the students need) at minimum standards.</w:t>
      </w:r>
      <w:r w:rsidR="003026EF">
        <w:rPr>
          <w:rFonts w:cs="Arial"/>
        </w:rPr>
        <w:t xml:space="preserve"> </w:t>
      </w:r>
      <w:r w:rsidR="00217136" w:rsidRPr="0003652C">
        <w:rPr>
          <w:rFonts w:cs="Arial"/>
        </w:rPr>
        <w:t>(S)</w:t>
      </w:r>
      <w:r w:rsidRPr="0003652C">
        <w:rPr>
          <w:rFonts w:cs="Arial"/>
        </w:rPr>
        <w:t xml:space="preserve"> </w:t>
      </w:r>
    </w:p>
    <w:p w14:paraId="01553AA0" w14:textId="639CBB75" w:rsidR="00F33D40" w:rsidRPr="0003652C" w:rsidRDefault="00F33D40" w:rsidP="0003652C">
      <w:pPr>
        <w:spacing w:line="360" w:lineRule="auto"/>
        <w:jc w:val="both"/>
        <w:rPr>
          <w:rFonts w:cs="Arial"/>
        </w:rPr>
      </w:pPr>
      <w:r w:rsidRPr="0003652C">
        <w:rPr>
          <w:rFonts w:cs="Arial"/>
        </w:rPr>
        <w:t xml:space="preserve">Whilst these reflections were not specific to the category of institution, we will see an interesting development of this in terms of impact in </w:t>
      </w:r>
      <w:r w:rsidR="009D5113">
        <w:rPr>
          <w:rFonts w:cs="Arial"/>
        </w:rPr>
        <w:t>C</w:t>
      </w:r>
      <w:r w:rsidRPr="0003652C">
        <w:rPr>
          <w:rFonts w:cs="Arial"/>
        </w:rPr>
        <w:t xml:space="preserve">hapter </w:t>
      </w:r>
      <w:r w:rsidR="009D5113">
        <w:rPr>
          <w:rFonts w:cs="Arial"/>
        </w:rPr>
        <w:t>S</w:t>
      </w:r>
      <w:r w:rsidR="000E4A21" w:rsidRPr="0003652C">
        <w:rPr>
          <w:rFonts w:cs="Arial"/>
        </w:rPr>
        <w:t>even.</w:t>
      </w:r>
    </w:p>
    <w:p w14:paraId="5EAE8198" w14:textId="5F72B348" w:rsidR="00F33D40" w:rsidRPr="0003652C" w:rsidRDefault="00F33D40" w:rsidP="0003652C">
      <w:pPr>
        <w:pStyle w:val="Heading4"/>
        <w:spacing w:line="360" w:lineRule="auto"/>
        <w:rPr>
          <w:rFonts w:ascii="Arial" w:hAnsi="Arial" w:cs="Arial"/>
        </w:rPr>
      </w:pPr>
      <w:r w:rsidRPr="0003652C">
        <w:rPr>
          <w:rFonts w:ascii="Arial" w:hAnsi="Arial" w:cs="Arial"/>
        </w:rPr>
        <w:t>Practitioner or academic focus</w:t>
      </w:r>
    </w:p>
    <w:p w14:paraId="687BB6BE" w14:textId="77105D9A" w:rsidR="00F33D40" w:rsidRPr="0003652C" w:rsidRDefault="00F33D40" w:rsidP="006370E7">
      <w:pPr>
        <w:spacing w:line="360" w:lineRule="auto"/>
        <w:jc w:val="both"/>
        <w:rPr>
          <w:rFonts w:cs="Arial"/>
        </w:rPr>
      </w:pPr>
      <w:r w:rsidRPr="0003652C">
        <w:rPr>
          <w:rFonts w:cs="Arial"/>
        </w:rPr>
        <w:t xml:space="preserve">Unsurprisingly, this theme was more prevalent. Building on the discussion in </w:t>
      </w:r>
      <w:r w:rsidR="009D5113">
        <w:rPr>
          <w:rFonts w:cs="Arial"/>
        </w:rPr>
        <w:t>C</w:t>
      </w:r>
      <w:r w:rsidRPr="0003652C">
        <w:rPr>
          <w:rFonts w:cs="Arial"/>
        </w:rPr>
        <w:t xml:space="preserve">hapter </w:t>
      </w:r>
      <w:r w:rsidR="009D5113">
        <w:rPr>
          <w:rFonts w:cs="Arial"/>
        </w:rPr>
        <w:t>T</w:t>
      </w:r>
      <w:r w:rsidR="000E4A21" w:rsidRPr="0003652C">
        <w:rPr>
          <w:rFonts w:cs="Arial"/>
        </w:rPr>
        <w:t>hree</w:t>
      </w:r>
      <w:r w:rsidRPr="0003652C">
        <w:rPr>
          <w:rFonts w:cs="Arial"/>
        </w:rPr>
        <w:t xml:space="preserve"> and the historically contested nature of the discipline between the liberal arts </w:t>
      </w:r>
      <w:r w:rsidR="003026EF">
        <w:rPr>
          <w:rFonts w:cs="Arial"/>
        </w:rPr>
        <w:t>and</w:t>
      </w:r>
      <w:r w:rsidRPr="0003652C">
        <w:rPr>
          <w:rFonts w:cs="Arial"/>
        </w:rPr>
        <w:t xml:space="preserve"> applied and professional origins of law, the findings here present the academic (</w:t>
      </w:r>
      <w:r w:rsidR="003026EF">
        <w:rPr>
          <w:rFonts w:cs="Arial"/>
          <w:color w:val="000000" w:themeColor="text1"/>
        </w:rPr>
        <w:t>whether</w:t>
      </w:r>
      <w:r w:rsidRPr="0003652C">
        <w:rPr>
          <w:rFonts w:cs="Arial"/>
          <w:color w:val="000000" w:themeColor="text1"/>
        </w:rPr>
        <w:t xml:space="preserve"> educationalist or researcher) and the practitioner </w:t>
      </w:r>
      <w:r w:rsidR="003026EF">
        <w:rPr>
          <w:rFonts w:cs="Arial"/>
          <w:color w:val="000000" w:themeColor="text1"/>
        </w:rPr>
        <w:t xml:space="preserve">as </w:t>
      </w:r>
      <w:r w:rsidRPr="0003652C">
        <w:rPr>
          <w:rFonts w:cs="Arial"/>
          <w:color w:val="000000" w:themeColor="text1"/>
        </w:rPr>
        <w:t>often in opposition.  As reflected in the literature</w:t>
      </w:r>
      <w:r w:rsidR="003026EF">
        <w:rPr>
          <w:rFonts w:cs="Arial"/>
          <w:color w:val="000000" w:themeColor="text1"/>
        </w:rPr>
        <w:t>,</w:t>
      </w:r>
      <w:r w:rsidRPr="0003652C">
        <w:rPr>
          <w:rFonts w:cs="Arial"/>
          <w:color w:val="000000" w:themeColor="text1"/>
        </w:rPr>
        <w:t xml:space="preserve"> this was </w:t>
      </w:r>
      <w:r w:rsidR="003026EF">
        <w:rPr>
          <w:rFonts w:cs="Arial"/>
          <w:color w:val="000000" w:themeColor="text1"/>
        </w:rPr>
        <w:t>usually seen</w:t>
      </w:r>
      <w:r w:rsidRPr="0003652C">
        <w:rPr>
          <w:rFonts w:cs="Arial"/>
          <w:color w:val="000000" w:themeColor="text1"/>
        </w:rPr>
        <w:t xml:space="preserve"> in terms of the career origins of the team </w:t>
      </w:r>
      <w:r w:rsidRPr="0003652C">
        <w:rPr>
          <w:rFonts w:cs="Arial"/>
        </w:rPr>
        <w:t>(Cownie, 2000; Holvast &amp;</w:t>
      </w:r>
      <w:r w:rsidR="000E4A21" w:rsidRPr="0003652C">
        <w:rPr>
          <w:rFonts w:cs="Arial"/>
        </w:rPr>
        <w:t xml:space="preserve"> </w:t>
      </w:r>
      <w:r w:rsidRPr="0003652C">
        <w:rPr>
          <w:rFonts w:cs="Arial"/>
        </w:rPr>
        <w:t>Kortleven, 2025)</w:t>
      </w:r>
    </w:p>
    <w:p w14:paraId="48D046ED" w14:textId="4792FEC1" w:rsidR="00F33D40" w:rsidRPr="0003652C" w:rsidRDefault="00F33D40" w:rsidP="006370E7">
      <w:pPr>
        <w:spacing w:line="360" w:lineRule="auto"/>
        <w:ind w:left="720"/>
        <w:jc w:val="both"/>
        <w:rPr>
          <w:rFonts w:cs="Arial"/>
        </w:rPr>
      </w:pPr>
      <w:r w:rsidRPr="0003652C">
        <w:rPr>
          <w:rFonts w:cs="Arial"/>
        </w:rPr>
        <w:t xml:space="preserve">I think it’s just a feature generally of law schools where you’ve got a mixture of people who’ve come in from practice and academia is a second career </w:t>
      </w:r>
      <w:r w:rsidR="003026EF" w:rsidRPr="0003652C">
        <w:rPr>
          <w:rFonts w:cs="Arial"/>
        </w:rPr>
        <w:t>vers</w:t>
      </w:r>
      <w:r w:rsidR="003026EF">
        <w:rPr>
          <w:rFonts w:cs="Arial"/>
        </w:rPr>
        <w:t>u</w:t>
      </w:r>
      <w:r w:rsidR="003026EF" w:rsidRPr="0003652C">
        <w:rPr>
          <w:rFonts w:cs="Arial"/>
        </w:rPr>
        <w:t xml:space="preserve">s </w:t>
      </w:r>
      <w:r w:rsidRPr="0003652C">
        <w:rPr>
          <w:rFonts w:cs="Arial"/>
        </w:rPr>
        <w:t xml:space="preserve">those who’ve come through academia in the first place.  There is always a tension between those who are conducting research alongside their teaching and those who come from a more professional background. </w:t>
      </w:r>
      <w:r w:rsidR="00217136" w:rsidRPr="0003652C">
        <w:rPr>
          <w:rFonts w:cs="Arial"/>
        </w:rPr>
        <w:t>(B)</w:t>
      </w:r>
    </w:p>
    <w:p w14:paraId="1110C9E5" w14:textId="6682C1B3" w:rsidR="00F33D40" w:rsidRPr="0003652C" w:rsidRDefault="00F33D40" w:rsidP="0003652C">
      <w:pPr>
        <w:spacing w:line="360" w:lineRule="auto"/>
        <w:jc w:val="both"/>
        <w:rPr>
          <w:rFonts w:cs="Arial"/>
        </w:rPr>
      </w:pPr>
      <w:r w:rsidRPr="0003652C">
        <w:rPr>
          <w:rFonts w:cs="Arial"/>
        </w:rPr>
        <w:t xml:space="preserve">In one selective </w:t>
      </w:r>
      <w:r w:rsidR="00995211">
        <w:rPr>
          <w:rFonts w:cs="Arial"/>
        </w:rPr>
        <w:t>school</w:t>
      </w:r>
      <w:r w:rsidR="003026EF">
        <w:rPr>
          <w:rFonts w:cs="Arial"/>
        </w:rPr>
        <w:t>,</w:t>
      </w:r>
      <w:r w:rsidRPr="0003652C">
        <w:rPr>
          <w:rFonts w:cs="Arial"/>
        </w:rPr>
        <w:t xml:space="preserve"> it was noted</w:t>
      </w:r>
      <w:r w:rsidR="00995211">
        <w:rPr>
          <w:rFonts w:cs="Arial"/>
        </w:rPr>
        <w:t xml:space="preserve"> by the designer</w:t>
      </w:r>
      <w:r w:rsidRPr="0003652C">
        <w:rPr>
          <w:rFonts w:cs="Arial"/>
        </w:rPr>
        <w:t xml:space="preserve"> that there were not a lot of practitioner staff, but in the other five </w:t>
      </w:r>
      <w:r w:rsidR="00995211">
        <w:rPr>
          <w:rFonts w:cs="Arial"/>
        </w:rPr>
        <w:t>school</w:t>
      </w:r>
      <w:r w:rsidRPr="0003652C">
        <w:rPr>
          <w:rFonts w:cs="Arial"/>
        </w:rPr>
        <w:t>s</w:t>
      </w:r>
      <w:r w:rsidR="003026EF">
        <w:rPr>
          <w:rFonts w:cs="Arial"/>
        </w:rPr>
        <w:t>,</w:t>
      </w:r>
      <w:r w:rsidRPr="0003652C">
        <w:rPr>
          <w:rFonts w:cs="Arial"/>
        </w:rPr>
        <w:t xml:space="preserve"> there was reference to ‘a broad church’ that included those that came from the ‘practice route’ or those with links to the profession.</w:t>
      </w:r>
    </w:p>
    <w:p w14:paraId="383D4D18" w14:textId="414DD5DB" w:rsidR="00F33D40" w:rsidRPr="0003652C" w:rsidRDefault="00F33D40" w:rsidP="0003652C">
      <w:pPr>
        <w:spacing w:line="360" w:lineRule="auto"/>
        <w:jc w:val="both"/>
        <w:rPr>
          <w:rFonts w:cs="Arial"/>
        </w:rPr>
      </w:pPr>
      <w:r w:rsidRPr="0003652C">
        <w:rPr>
          <w:rFonts w:cs="Arial"/>
        </w:rPr>
        <w:t>In some reflections</w:t>
      </w:r>
      <w:r w:rsidR="003026EF">
        <w:rPr>
          <w:rFonts w:cs="Arial"/>
        </w:rPr>
        <w:t>,</w:t>
      </w:r>
      <w:r w:rsidRPr="0003652C">
        <w:rPr>
          <w:rFonts w:cs="Arial"/>
        </w:rPr>
        <w:t xml:space="preserve"> the practitioner in the classroom was regarded as a strength of the course, ‘bringing their experience to the classroom’, whilst in another</w:t>
      </w:r>
      <w:r w:rsidR="003026EF">
        <w:rPr>
          <w:rFonts w:cs="Arial"/>
        </w:rPr>
        <w:t>,</w:t>
      </w:r>
      <w:r w:rsidRPr="0003652C">
        <w:rPr>
          <w:rFonts w:cs="Arial"/>
        </w:rPr>
        <w:t xml:space="preserve"> the same was regarded as posing issues with split loyalties for those </w:t>
      </w:r>
      <w:r w:rsidR="003026EF" w:rsidRPr="0003652C">
        <w:rPr>
          <w:rFonts w:cs="Arial"/>
        </w:rPr>
        <w:t>practi</w:t>
      </w:r>
      <w:r w:rsidR="003026EF">
        <w:rPr>
          <w:rFonts w:cs="Arial"/>
        </w:rPr>
        <w:t>s</w:t>
      </w:r>
      <w:r w:rsidR="003026EF" w:rsidRPr="0003652C">
        <w:rPr>
          <w:rFonts w:cs="Arial"/>
        </w:rPr>
        <w:t xml:space="preserve">ing </w:t>
      </w:r>
      <w:r w:rsidRPr="0003652C">
        <w:rPr>
          <w:rFonts w:cs="Arial"/>
        </w:rPr>
        <w:t xml:space="preserve">and teaching.  </w:t>
      </w:r>
    </w:p>
    <w:p w14:paraId="3D9D8326" w14:textId="3C13BD61" w:rsidR="00F33D40" w:rsidRPr="0003652C" w:rsidRDefault="00F33D40" w:rsidP="006370E7">
      <w:pPr>
        <w:spacing w:line="360" w:lineRule="auto"/>
        <w:ind w:left="720"/>
        <w:jc w:val="both"/>
        <w:rPr>
          <w:rFonts w:cs="Arial"/>
          <w:color w:val="000000" w:themeColor="text1"/>
        </w:rPr>
      </w:pPr>
      <w:r w:rsidRPr="0003652C">
        <w:rPr>
          <w:rFonts w:cs="Arial"/>
          <w:color w:val="000000" w:themeColor="text1"/>
        </w:rPr>
        <w:lastRenderedPageBreak/>
        <w:t>We have some who are very research</w:t>
      </w:r>
      <w:r w:rsidR="003026EF">
        <w:rPr>
          <w:rFonts w:cs="Arial"/>
          <w:color w:val="000000" w:themeColor="text1"/>
        </w:rPr>
        <w:t>-orien</w:t>
      </w:r>
      <w:r w:rsidRPr="0003652C">
        <w:rPr>
          <w:rFonts w:cs="Arial"/>
          <w:color w:val="000000" w:themeColor="text1"/>
        </w:rPr>
        <w:t xml:space="preserve">ted and don’t want to be teaching full stop – those </w:t>
      </w:r>
      <w:r w:rsidR="003026EF">
        <w:rPr>
          <w:rFonts w:cs="Arial"/>
          <w:color w:val="000000" w:themeColor="text1"/>
        </w:rPr>
        <w:t>who</w:t>
      </w:r>
      <w:r w:rsidRPr="0003652C">
        <w:rPr>
          <w:rFonts w:cs="Arial"/>
          <w:color w:val="000000" w:themeColor="text1"/>
        </w:rPr>
        <w:t xml:space="preserve"> struggle to translate what they are doing to a non-academic audience. We have practitioners – judges doing mooting. We also have more people coming in who are used to teaching people and come from teaching</w:t>
      </w:r>
      <w:r w:rsidR="003026EF">
        <w:rPr>
          <w:rFonts w:cs="Arial"/>
          <w:color w:val="000000" w:themeColor="text1"/>
        </w:rPr>
        <w:t>-i</w:t>
      </w:r>
      <w:r w:rsidRPr="0003652C">
        <w:rPr>
          <w:rFonts w:cs="Arial"/>
          <w:color w:val="000000" w:themeColor="text1"/>
        </w:rPr>
        <w:t>ntensive institutions or ones where there is an expectation that there is a lot of teaching</w:t>
      </w:r>
      <w:r w:rsidR="00576060">
        <w:rPr>
          <w:rFonts w:cs="Arial"/>
          <w:color w:val="000000" w:themeColor="text1"/>
        </w:rPr>
        <w:t xml:space="preserve"> </w:t>
      </w:r>
      <w:r w:rsidR="00B76F1E" w:rsidRPr="0003652C">
        <w:rPr>
          <w:rFonts w:cs="Arial"/>
          <w:color w:val="000000" w:themeColor="text1"/>
        </w:rPr>
        <w:t>(S)</w:t>
      </w:r>
      <w:r w:rsidR="00576060">
        <w:rPr>
          <w:rFonts w:cs="Arial"/>
          <w:color w:val="000000" w:themeColor="text1"/>
        </w:rPr>
        <w:t>.</w:t>
      </w:r>
    </w:p>
    <w:p w14:paraId="1774164D" w14:textId="5C5509FA" w:rsidR="00F33D40" w:rsidRPr="0003652C" w:rsidRDefault="00F33D40" w:rsidP="0003652C">
      <w:pPr>
        <w:spacing w:line="360" w:lineRule="auto"/>
        <w:jc w:val="both"/>
        <w:rPr>
          <w:rFonts w:cs="Arial"/>
        </w:rPr>
      </w:pPr>
      <w:r w:rsidRPr="0003652C">
        <w:rPr>
          <w:rFonts w:cs="Arial"/>
        </w:rPr>
        <w:t xml:space="preserve">These identity divides </w:t>
      </w:r>
      <w:r w:rsidR="000E4A21" w:rsidRPr="0003652C">
        <w:rPr>
          <w:rFonts w:cs="Arial"/>
        </w:rPr>
        <w:t>were often perceived as having</w:t>
      </w:r>
      <w:r w:rsidRPr="0003652C">
        <w:rPr>
          <w:rFonts w:cs="Arial"/>
        </w:rPr>
        <w:t xml:space="preserve"> implications for course </w:t>
      </w:r>
      <w:r w:rsidR="003026EF">
        <w:rPr>
          <w:rFonts w:cs="Arial"/>
        </w:rPr>
        <w:t>design, as sections within teams vied for prominence between vocational and practice-based learning and</w:t>
      </w:r>
      <w:r w:rsidRPr="0003652C">
        <w:rPr>
          <w:rFonts w:cs="Arial"/>
        </w:rPr>
        <w:t xml:space="preserve"> </w:t>
      </w:r>
      <w:r w:rsidR="000E4A21" w:rsidRPr="0003652C">
        <w:rPr>
          <w:rFonts w:cs="Arial"/>
        </w:rPr>
        <w:t>an academic liberal arts focus.</w:t>
      </w:r>
    </w:p>
    <w:p w14:paraId="137A66AB" w14:textId="130FEE73" w:rsidR="00F33D40" w:rsidRPr="0003652C" w:rsidRDefault="00F33D40" w:rsidP="0003652C">
      <w:pPr>
        <w:spacing w:line="360" w:lineRule="auto"/>
        <w:jc w:val="both"/>
        <w:rPr>
          <w:rFonts w:cs="Arial"/>
        </w:rPr>
      </w:pPr>
      <w:r w:rsidRPr="0003652C">
        <w:rPr>
          <w:rFonts w:cs="Arial"/>
        </w:rPr>
        <w:t xml:space="preserve">In different </w:t>
      </w:r>
      <w:r w:rsidR="00995211">
        <w:rPr>
          <w:rFonts w:cs="Arial"/>
        </w:rPr>
        <w:t>school</w:t>
      </w:r>
      <w:r w:rsidRPr="0003652C">
        <w:rPr>
          <w:rFonts w:cs="Arial"/>
        </w:rPr>
        <w:t>s</w:t>
      </w:r>
      <w:r w:rsidR="003026EF">
        <w:rPr>
          <w:rFonts w:cs="Arial"/>
        </w:rPr>
        <w:t>,</w:t>
      </w:r>
      <w:r w:rsidRPr="0003652C">
        <w:rPr>
          <w:rFonts w:cs="Arial"/>
        </w:rPr>
        <w:t xml:space="preserve"> different identities had </w:t>
      </w:r>
      <w:r w:rsidR="003026EF">
        <w:rPr>
          <w:rFonts w:cs="Arial"/>
        </w:rPr>
        <w:t>various</w:t>
      </w:r>
      <w:r w:rsidR="003026EF" w:rsidRPr="0003652C">
        <w:rPr>
          <w:rFonts w:cs="Arial"/>
        </w:rPr>
        <w:t xml:space="preserve"> </w:t>
      </w:r>
      <w:r w:rsidRPr="0003652C">
        <w:rPr>
          <w:rFonts w:cs="Arial"/>
        </w:rPr>
        <w:t xml:space="preserve">roles, with the practitioners being regarded as essential in one </w:t>
      </w:r>
      <w:r w:rsidR="00995211">
        <w:rPr>
          <w:rFonts w:cs="Arial"/>
        </w:rPr>
        <w:t>school</w:t>
      </w:r>
      <w:r w:rsidRPr="0003652C">
        <w:rPr>
          <w:rFonts w:cs="Arial"/>
        </w:rPr>
        <w:t xml:space="preserve"> </w:t>
      </w:r>
      <w:r w:rsidR="000E4A21" w:rsidRPr="0003652C">
        <w:rPr>
          <w:rFonts w:cs="Arial"/>
        </w:rPr>
        <w:t xml:space="preserve">to </w:t>
      </w:r>
      <w:r w:rsidR="00BB1611" w:rsidRPr="0003652C">
        <w:rPr>
          <w:rFonts w:cs="Arial"/>
        </w:rPr>
        <w:t>support problem</w:t>
      </w:r>
      <w:r w:rsidRPr="0003652C">
        <w:rPr>
          <w:rFonts w:cs="Arial"/>
        </w:rPr>
        <w:t>-based learning, whilst in another</w:t>
      </w:r>
      <w:r w:rsidR="003026EF">
        <w:rPr>
          <w:rFonts w:cs="Arial"/>
        </w:rPr>
        <w:t>,</w:t>
      </w:r>
      <w:r w:rsidRPr="0003652C">
        <w:rPr>
          <w:rFonts w:cs="Arial"/>
        </w:rPr>
        <w:t xml:space="preserve"> the academics were protected due to the interest from students in their research areas. This is </w:t>
      </w:r>
      <w:r w:rsidR="003026EF">
        <w:rPr>
          <w:rFonts w:cs="Arial"/>
        </w:rPr>
        <w:t xml:space="preserve">more </w:t>
      </w:r>
      <w:r w:rsidRPr="0003652C">
        <w:rPr>
          <w:rFonts w:cs="Arial"/>
        </w:rPr>
        <w:t xml:space="preserve">evident </w:t>
      </w:r>
      <w:r w:rsidR="003026EF">
        <w:rPr>
          <w:rFonts w:cs="Arial"/>
        </w:rPr>
        <w:t xml:space="preserve">in </w:t>
      </w:r>
      <w:r w:rsidRPr="0003652C">
        <w:rPr>
          <w:rFonts w:cs="Arial"/>
        </w:rPr>
        <w:t xml:space="preserve">the process in some </w:t>
      </w:r>
      <w:r w:rsidR="00995211">
        <w:rPr>
          <w:rFonts w:cs="Arial"/>
        </w:rPr>
        <w:t>school</w:t>
      </w:r>
      <w:r w:rsidRPr="0003652C">
        <w:rPr>
          <w:rFonts w:cs="Arial"/>
        </w:rPr>
        <w:t>s than as an impact on the content of the degrees</w:t>
      </w:r>
      <w:r w:rsidR="003026EF">
        <w:rPr>
          <w:rFonts w:cs="Arial"/>
        </w:rPr>
        <w:t>,</w:t>
      </w:r>
      <w:r w:rsidRPr="0003652C">
        <w:rPr>
          <w:rFonts w:cs="Arial"/>
        </w:rPr>
        <w:t xml:space="preserve"> with three </w:t>
      </w:r>
      <w:r w:rsidR="00995211">
        <w:rPr>
          <w:rFonts w:cs="Arial"/>
        </w:rPr>
        <w:t>school</w:t>
      </w:r>
      <w:r w:rsidRPr="0003652C">
        <w:rPr>
          <w:rFonts w:cs="Arial"/>
        </w:rPr>
        <w:t xml:space="preserve">s reflecting on tensions in </w:t>
      </w:r>
      <w:r w:rsidR="00A74FA5" w:rsidRPr="0003652C">
        <w:rPr>
          <w:rFonts w:cs="Arial"/>
        </w:rPr>
        <w:t xml:space="preserve">meetings </w:t>
      </w:r>
      <w:r w:rsidRPr="0003652C">
        <w:rPr>
          <w:rFonts w:cs="Arial"/>
        </w:rPr>
        <w:t xml:space="preserve">where there was a mixture of representation of colleagues with different perspectives, from </w:t>
      </w:r>
      <w:r w:rsidR="003026EF">
        <w:rPr>
          <w:rFonts w:cs="Arial"/>
        </w:rPr>
        <w:t>other</w:t>
      </w:r>
      <w:r w:rsidRPr="0003652C">
        <w:rPr>
          <w:rFonts w:cs="Arial"/>
        </w:rPr>
        <w:t xml:space="preserve"> research groups</w:t>
      </w:r>
      <w:r w:rsidR="003026EF">
        <w:rPr>
          <w:rFonts w:cs="Arial"/>
        </w:rPr>
        <w:t>.</w:t>
      </w:r>
      <w:r w:rsidR="003026EF" w:rsidRPr="0003652C">
        <w:rPr>
          <w:rFonts w:cs="Arial"/>
        </w:rPr>
        <w:t xml:space="preserve"> </w:t>
      </w:r>
    </w:p>
    <w:p w14:paraId="6D847CD3" w14:textId="616C45D5" w:rsidR="00F33D40" w:rsidRPr="006370E7" w:rsidRDefault="00D83239" w:rsidP="006370E7">
      <w:pPr>
        <w:spacing w:line="360" w:lineRule="auto"/>
        <w:ind w:left="720"/>
        <w:jc w:val="both"/>
        <w:rPr>
          <w:rFonts w:cs="Arial"/>
          <w:color w:val="000000" w:themeColor="text1"/>
        </w:rPr>
      </w:pPr>
      <w:r>
        <w:rPr>
          <w:rFonts w:cs="Arial"/>
          <w:color w:val="000000" w:themeColor="text1"/>
        </w:rPr>
        <w:t>S</w:t>
      </w:r>
      <w:r w:rsidR="00F33D40" w:rsidRPr="0003652C">
        <w:rPr>
          <w:rFonts w:cs="Arial"/>
          <w:color w:val="000000" w:themeColor="text1"/>
        </w:rPr>
        <w:t>ome want to ditch the core and make it socio-legal. You get strident views on certain matters. Others are catering towards a more corporate world, a graduate scheme or a magic circle contract</w:t>
      </w:r>
      <w:r>
        <w:rPr>
          <w:rFonts w:cs="Arial"/>
          <w:color w:val="000000" w:themeColor="text1"/>
        </w:rPr>
        <w:t xml:space="preserve"> </w:t>
      </w:r>
      <w:r w:rsidR="00B76F1E" w:rsidRPr="0003652C">
        <w:rPr>
          <w:rFonts w:cs="Arial"/>
          <w:color w:val="000000" w:themeColor="text1"/>
        </w:rPr>
        <w:t>(S)</w:t>
      </w:r>
      <w:r>
        <w:rPr>
          <w:rFonts w:cs="Arial"/>
          <w:color w:val="000000" w:themeColor="text1"/>
        </w:rPr>
        <w:t>.</w:t>
      </w:r>
    </w:p>
    <w:p w14:paraId="3133CA09" w14:textId="617878C2" w:rsidR="0050675D" w:rsidRPr="0003652C" w:rsidRDefault="00F33D40" w:rsidP="0003652C">
      <w:pPr>
        <w:spacing w:line="360" w:lineRule="auto"/>
        <w:jc w:val="both"/>
        <w:rPr>
          <w:rFonts w:cs="Arial"/>
        </w:rPr>
      </w:pPr>
      <w:r w:rsidRPr="0003652C">
        <w:rPr>
          <w:rFonts w:cs="Arial"/>
        </w:rPr>
        <w:t xml:space="preserve">In the semi-selective </w:t>
      </w:r>
      <w:r w:rsidR="00995211">
        <w:rPr>
          <w:rFonts w:cs="Arial"/>
        </w:rPr>
        <w:t>school</w:t>
      </w:r>
      <w:r w:rsidRPr="0003652C">
        <w:rPr>
          <w:rFonts w:cs="Arial"/>
        </w:rPr>
        <w:t xml:space="preserve">s, the tensions continued to exist. These </w:t>
      </w:r>
      <w:r w:rsidR="00995211">
        <w:rPr>
          <w:rFonts w:cs="Arial"/>
        </w:rPr>
        <w:t>school</w:t>
      </w:r>
      <w:r w:rsidRPr="0003652C">
        <w:rPr>
          <w:rFonts w:cs="Arial"/>
        </w:rPr>
        <w:t>s had more often delivered not only the academic but also the vocational training courses</w:t>
      </w:r>
      <w:r w:rsidR="003026EF">
        <w:rPr>
          <w:rFonts w:cs="Arial"/>
        </w:rPr>
        <w:t>,</w:t>
      </w:r>
      <w:r w:rsidRPr="0003652C">
        <w:rPr>
          <w:rFonts w:cs="Arial"/>
        </w:rPr>
        <w:t xml:space="preserve"> so the prevalence of both academics and practitioners was not a surprise. In one </w:t>
      </w:r>
      <w:r w:rsidR="00995211">
        <w:rPr>
          <w:rFonts w:cs="Arial"/>
        </w:rPr>
        <w:t>school</w:t>
      </w:r>
      <w:r w:rsidR="003026EF">
        <w:rPr>
          <w:rFonts w:cs="Arial"/>
        </w:rPr>
        <w:t>,</w:t>
      </w:r>
      <w:r w:rsidRPr="0003652C">
        <w:rPr>
          <w:rFonts w:cs="Arial"/>
        </w:rPr>
        <w:t xml:space="preserve"> the designer described ‘practitioner teachers’ as being overly protective of their practitioner status over and above their academic one.  </w:t>
      </w:r>
      <w:r w:rsidR="0050675D" w:rsidRPr="0003652C">
        <w:rPr>
          <w:rFonts w:cs="Arial"/>
        </w:rPr>
        <w:t>Designers reflected on the snobbery that existed in both camps</w:t>
      </w:r>
      <w:r w:rsidR="000F6E09">
        <w:rPr>
          <w:rFonts w:cs="Arial"/>
        </w:rPr>
        <w:t xml:space="preserve"> </w:t>
      </w:r>
      <w:r w:rsidR="0050675D" w:rsidRPr="0003652C">
        <w:rPr>
          <w:rFonts w:cs="Arial"/>
        </w:rPr>
        <w:t xml:space="preserve">and the lack of confidence and understanding that came from that, with one reflecting on a buddy system that he was paired in when he moved from </w:t>
      </w:r>
      <w:r w:rsidR="003026EF">
        <w:rPr>
          <w:rFonts w:cs="Arial"/>
        </w:rPr>
        <w:t xml:space="preserve">a </w:t>
      </w:r>
      <w:r w:rsidR="0050675D" w:rsidRPr="0003652C">
        <w:rPr>
          <w:rFonts w:cs="Arial"/>
        </w:rPr>
        <w:t xml:space="preserve">professional to </w:t>
      </w:r>
      <w:r w:rsidR="003026EF">
        <w:rPr>
          <w:rFonts w:cs="Arial"/>
        </w:rPr>
        <w:t xml:space="preserve">an </w:t>
      </w:r>
      <w:r w:rsidR="0050675D" w:rsidRPr="0003652C">
        <w:rPr>
          <w:rFonts w:cs="Arial"/>
        </w:rPr>
        <w:t>academic position</w:t>
      </w:r>
      <w:r w:rsidR="000F6E09">
        <w:rPr>
          <w:rFonts w:cs="Arial"/>
        </w:rPr>
        <w:t>.</w:t>
      </w:r>
      <w:r w:rsidR="000F6E09" w:rsidRPr="0003652C">
        <w:rPr>
          <w:rFonts w:cs="Arial"/>
        </w:rPr>
        <w:t xml:space="preserve"> </w:t>
      </w:r>
    </w:p>
    <w:p w14:paraId="2ADA93E9" w14:textId="77777777" w:rsidR="0050675D" w:rsidRPr="0003652C" w:rsidRDefault="0050675D" w:rsidP="0003652C">
      <w:pPr>
        <w:spacing w:line="360" w:lineRule="auto"/>
        <w:ind w:left="360"/>
        <w:jc w:val="both"/>
        <w:rPr>
          <w:rFonts w:cs="Arial"/>
        </w:rPr>
      </w:pPr>
    </w:p>
    <w:p w14:paraId="69BECCDC" w14:textId="65BD82D1" w:rsidR="00F33D40" w:rsidRPr="006370E7" w:rsidRDefault="0050675D" w:rsidP="006370E7">
      <w:pPr>
        <w:spacing w:line="360" w:lineRule="auto"/>
        <w:ind w:left="720"/>
        <w:jc w:val="both"/>
        <w:rPr>
          <w:rFonts w:cs="Arial"/>
          <w:color w:val="000000" w:themeColor="text1"/>
        </w:rPr>
      </w:pPr>
      <w:r w:rsidRPr="0003652C">
        <w:rPr>
          <w:rFonts w:cs="Arial"/>
          <w:color w:val="000000" w:themeColor="text1"/>
        </w:rPr>
        <w:lastRenderedPageBreak/>
        <w:t xml:space="preserve">And he had a PhD. He was a researcher…  I did feel a bit of imposter syndrome as a practitioner.  And then he said to me during that first week, </w:t>
      </w:r>
      <w:r w:rsidR="000F6E09">
        <w:rPr>
          <w:rFonts w:cs="Arial"/>
          <w:color w:val="000000" w:themeColor="text1"/>
        </w:rPr>
        <w:t>"B</w:t>
      </w:r>
      <w:r w:rsidRPr="0003652C">
        <w:rPr>
          <w:rFonts w:cs="Arial"/>
          <w:color w:val="000000" w:themeColor="text1"/>
        </w:rPr>
        <w:t>ut you know</w:t>
      </w:r>
      <w:r w:rsidR="000F6E09">
        <w:rPr>
          <w:rFonts w:cs="Arial"/>
          <w:color w:val="000000" w:themeColor="text1"/>
        </w:rPr>
        <w:t>,</w:t>
      </w:r>
      <w:r w:rsidRPr="0003652C">
        <w:rPr>
          <w:rFonts w:cs="Arial"/>
          <w:color w:val="000000" w:themeColor="text1"/>
        </w:rPr>
        <w:t xml:space="preserve"> you’ll know more about this than me because you're a proper lawyer.</w:t>
      </w:r>
      <w:r w:rsidR="000F6E09">
        <w:rPr>
          <w:rFonts w:cs="Arial"/>
          <w:color w:val="000000" w:themeColor="text1"/>
        </w:rPr>
        <w:t>”</w:t>
      </w:r>
      <w:r w:rsidRPr="0003652C">
        <w:rPr>
          <w:rFonts w:cs="Arial"/>
          <w:color w:val="000000" w:themeColor="text1"/>
        </w:rPr>
        <w:t xml:space="preserve"> I just thought it's funny, isn't it, because I'm sitting here, feeling like I'm inadequate</w:t>
      </w:r>
      <w:r w:rsidR="000F6E09">
        <w:rPr>
          <w:rFonts w:cs="Arial"/>
          <w:color w:val="000000" w:themeColor="text1"/>
        </w:rPr>
        <w:t>,</w:t>
      </w:r>
      <w:r w:rsidRPr="0003652C">
        <w:rPr>
          <w:rFonts w:cs="Arial"/>
          <w:color w:val="000000" w:themeColor="text1"/>
        </w:rPr>
        <w:t xml:space="preserve"> and he's sitting there, feeling like he's inadequate</w:t>
      </w:r>
      <w:r w:rsidR="00D83239">
        <w:rPr>
          <w:rFonts w:cs="Arial"/>
          <w:color w:val="000000" w:themeColor="text1"/>
        </w:rPr>
        <w:t xml:space="preserve"> </w:t>
      </w:r>
      <w:r w:rsidRPr="0003652C">
        <w:rPr>
          <w:rFonts w:cs="Arial"/>
          <w:color w:val="000000" w:themeColor="text1"/>
        </w:rPr>
        <w:t>(SS</w:t>
      </w:r>
      <w:r w:rsidR="006370E7">
        <w:rPr>
          <w:rFonts w:cs="Arial"/>
          <w:color w:val="000000" w:themeColor="text1"/>
        </w:rPr>
        <w:t>)</w:t>
      </w:r>
      <w:r w:rsidR="00D83239">
        <w:rPr>
          <w:rFonts w:cs="Arial"/>
          <w:color w:val="000000" w:themeColor="text1"/>
        </w:rPr>
        <w:t>.</w:t>
      </w:r>
    </w:p>
    <w:p w14:paraId="20615E86" w14:textId="434FA0F0" w:rsidR="00F33D40" w:rsidRPr="006370E7" w:rsidRDefault="00F33D40" w:rsidP="0003652C">
      <w:pPr>
        <w:spacing w:line="360" w:lineRule="auto"/>
        <w:jc w:val="both"/>
        <w:rPr>
          <w:rFonts w:cs="Arial"/>
        </w:rPr>
      </w:pPr>
      <w:r w:rsidRPr="0003652C">
        <w:rPr>
          <w:rFonts w:cs="Arial"/>
        </w:rPr>
        <w:t xml:space="preserve">In the widening participation </w:t>
      </w:r>
      <w:r w:rsidR="00995211">
        <w:rPr>
          <w:rFonts w:cs="Arial"/>
        </w:rPr>
        <w:t>school</w:t>
      </w:r>
      <w:r w:rsidRPr="0003652C">
        <w:rPr>
          <w:rFonts w:cs="Arial"/>
        </w:rPr>
        <w:t xml:space="preserve">s, the tensions between academics and practitioners were reflected on by five participants, with reference to academics who didn’t know what it meant to be a practitioner, and the impact of shifting responsibilities as practitioners </w:t>
      </w:r>
      <w:r w:rsidR="00A74FA5" w:rsidRPr="0003652C">
        <w:rPr>
          <w:rFonts w:cs="Arial"/>
        </w:rPr>
        <w:t>increasingly being repositioned to teach</w:t>
      </w:r>
      <w:r w:rsidRPr="0003652C">
        <w:rPr>
          <w:rFonts w:cs="Arial"/>
        </w:rPr>
        <w:t xml:space="preserve"> on the academic undergraduate degree. There were some attempts to break down these barriers</w:t>
      </w:r>
      <w:r w:rsidR="000F6E09">
        <w:rPr>
          <w:rFonts w:cs="Arial"/>
        </w:rPr>
        <w:t>,</w:t>
      </w:r>
      <w:r w:rsidRPr="0003652C">
        <w:rPr>
          <w:rFonts w:cs="Arial"/>
        </w:rPr>
        <w:t xml:space="preserve"> a</w:t>
      </w:r>
      <w:r w:rsidR="000F6E09">
        <w:rPr>
          <w:rFonts w:cs="Arial"/>
        </w:rPr>
        <w:t>iming</w:t>
      </w:r>
      <w:r w:rsidRPr="0003652C">
        <w:rPr>
          <w:rFonts w:cs="Arial"/>
        </w:rPr>
        <w:t xml:space="preserve"> to ‘blur the distinction’, encouraging practitioners to think of themselves as academics and </w:t>
      </w:r>
      <w:r w:rsidR="000F6E09">
        <w:rPr>
          <w:rFonts w:cs="Arial"/>
        </w:rPr>
        <w:t xml:space="preserve">to </w:t>
      </w:r>
      <w:r w:rsidRPr="0003652C">
        <w:rPr>
          <w:rFonts w:cs="Arial"/>
        </w:rPr>
        <w:t xml:space="preserve">embark on research and PhDs, or </w:t>
      </w:r>
      <w:r w:rsidR="000F6E09">
        <w:rPr>
          <w:rFonts w:cs="Arial"/>
        </w:rPr>
        <w:t>to shift</w:t>
      </w:r>
      <w:r w:rsidRPr="0003652C">
        <w:rPr>
          <w:rFonts w:cs="Arial"/>
        </w:rPr>
        <w:t xml:space="preserve"> the research focus to one that prioritised the student experience</w:t>
      </w:r>
      <w:r w:rsidR="000F6E09">
        <w:rPr>
          <w:rFonts w:cs="Arial"/>
        </w:rPr>
        <w:t>.</w:t>
      </w:r>
    </w:p>
    <w:p w14:paraId="09946513" w14:textId="298EBE56" w:rsidR="00F33D40" w:rsidRPr="0003652C" w:rsidRDefault="00F33D40" w:rsidP="0003652C">
      <w:pPr>
        <w:pStyle w:val="Heading4"/>
        <w:spacing w:line="360" w:lineRule="auto"/>
        <w:rPr>
          <w:rFonts w:ascii="Arial" w:hAnsi="Arial" w:cs="Arial"/>
        </w:rPr>
      </w:pPr>
      <w:r w:rsidRPr="0003652C">
        <w:rPr>
          <w:rFonts w:ascii="Arial" w:hAnsi="Arial" w:cs="Arial"/>
        </w:rPr>
        <w:t>Other academic identities</w:t>
      </w:r>
    </w:p>
    <w:p w14:paraId="16BD2AC7" w14:textId="3ED7EFA2" w:rsidR="00F33D40" w:rsidRPr="0003652C" w:rsidRDefault="00F33D40" w:rsidP="0003652C">
      <w:pPr>
        <w:spacing w:line="360" w:lineRule="auto"/>
        <w:jc w:val="both"/>
        <w:rPr>
          <w:rFonts w:cs="Arial"/>
        </w:rPr>
      </w:pPr>
      <w:r w:rsidRPr="0003652C">
        <w:rPr>
          <w:rFonts w:cs="Arial"/>
        </w:rPr>
        <w:t xml:space="preserve">Whilst the identities that were the most prominent in the reflections were the vocational or academic focus, there were other differences within teams that might have an impact on degree design. </w:t>
      </w:r>
    </w:p>
    <w:p w14:paraId="238EEEF9" w14:textId="2B72C1D8" w:rsidR="00F33D40" w:rsidRPr="0003652C" w:rsidRDefault="00F33D40" w:rsidP="0003652C">
      <w:pPr>
        <w:spacing w:line="360" w:lineRule="auto"/>
        <w:jc w:val="both"/>
        <w:rPr>
          <w:rFonts w:cs="Arial"/>
        </w:rPr>
      </w:pPr>
      <w:r w:rsidRPr="0003652C">
        <w:rPr>
          <w:rFonts w:cs="Arial"/>
        </w:rPr>
        <w:t xml:space="preserve">Some of these relate to changes over time </w:t>
      </w:r>
      <w:r w:rsidR="000F6E09">
        <w:rPr>
          <w:rFonts w:cs="Arial"/>
        </w:rPr>
        <w:t>in</w:t>
      </w:r>
      <w:r w:rsidRPr="0003652C">
        <w:rPr>
          <w:rFonts w:cs="Arial"/>
        </w:rPr>
        <w:t xml:space="preserve"> the academic community as a whole. An example of this, raised in two schools </w:t>
      </w:r>
      <w:r w:rsidR="00995211">
        <w:rPr>
          <w:rFonts w:cs="Arial"/>
        </w:rPr>
        <w:t>in different categories</w:t>
      </w:r>
      <w:r w:rsidRPr="0003652C">
        <w:rPr>
          <w:rFonts w:cs="Arial"/>
        </w:rPr>
        <w:t xml:space="preserve">, was the internationalisation of the team and the impact that exposure to </w:t>
      </w:r>
      <w:r w:rsidR="000F6E09">
        <w:rPr>
          <w:rFonts w:cs="Arial"/>
        </w:rPr>
        <w:t>various</w:t>
      </w:r>
      <w:r w:rsidRPr="0003652C">
        <w:rPr>
          <w:rFonts w:cs="Arial"/>
        </w:rPr>
        <w:t xml:space="preserve"> educational models might have. There was reference to how this presented different theoretical approaches, and how it</w:t>
      </w:r>
      <w:r w:rsidR="000F6E09">
        <w:rPr>
          <w:rFonts w:cs="Arial"/>
        </w:rPr>
        <w:t>,</w:t>
      </w:r>
      <w:r w:rsidRPr="0003652C">
        <w:rPr>
          <w:rFonts w:cs="Arial"/>
        </w:rPr>
        <w:t xml:space="preserve"> for example</w:t>
      </w:r>
      <w:r w:rsidR="000F6E09">
        <w:rPr>
          <w:rFonts w:cs="Arial"/>
        </w:rPr>
        <w:t>,</w:t>
      </w:r>
      <w:r w:rsidRPr="0003652C">
        <w:rPr>
          <w:rFonts w:cs="Arial"/>
        </w:rPr>
        <w:t xml:space="preserve"> questioned and created ‘a disquiet over inclusivity’, with divisions between those who saw potential to ‘stifle academic freedom by giving in to culture wars and identity </w:t>
      </w:r>
      <w:r w:rsidR="000278ED" w:rsidRPr="0003652C">
        <w:rPr>
          <w:rFonts w:cs="Arial"/>
        </w:rPr>
        <w:t>politics</w:t>
      </w:r>
      <w:r w:rsidRPr="0003652C">
        <w:rPr>
          <w:rFonts w:cs="Arial"/>
        </w:rPr>
        <w:t>.</w:t>
      </w:r>
      <w:r w:rsidR="000278ED" w:rsidRPr="0003652C">
        <w:rPr>
          <w:rFonts w:cs="Arial"/>
        </w:rPr>
        <w:t>’</w:t>
      </w:r>
      <w:r w:rsidRPr="0003652C">
        <w:rPr>
          <w:rFonts w:cs="Arial"/>
        </w:rPr>
        <w:t xml:space="preserve"> </w:t>
      </w:r>
    </w:p>
    <w:p w14:paraId="6BA59887" w14:textId="6C834BDD" w:rsidR="00F33D40" w:rsidRPr="0003652C" w:rsidRDefault="00F33D40" w:rsidP="006370E7">
      <w:pPr>
        <w:spacing w:line="360" w:lineRule="auto"/>
        <w:jc w:val="both"/>
        <w:rPr>
          <w:rFonts w:cs="Arial"/>
        </w:rPr>
      </w:pPr>
      <w:r w:rsidRPr="0003652C">
        <w:rPr>
          <w:rFonts w:cs="Arial"/>
        </w:rPr>
        <w:t>This was seen to be both positive, with a shift to the new order from younger lecturers coming in, and as negative</w:t>
      </w:r>
      <w:r w:rsidR="000F6E09">
        <w:rPr>
          <w:rFonts w:cs="Arial"/>
        </w:rPr>
        <w:t>,</w:t>
      </w:r>
      <w:r w:rsidRPr="0003652C">
        <w:rPr>
          <w:rFonts w:cs="Arial"/>
        </w:rPr>
        <w:t xml:space="preserve"> as values clashed. Elsewhere</w:t>
      </w:r>
      <w:r w:rsidR="000F6E09">
        <w:rPr>
          <w:rFonts w:cs="Arial"/>
        </w:rPr>
        <w:t>,</w:t>
      </w:r>
      <w:r w:rsidRPr="0003652C">
        <w:rPr>
          <w:rFonts w:cs="Arial"/>
        </w:rPr>
        <w:t xml:space="preserve"> these different identities presented different priorities from different groupings of academics</w:t>
      </w:r>
      <w:r w:rsidR="000F6E09">
        <w:rPr>
          <w:rFonts w:cs="Arial"/>
        </w:rPr>
        <w:t>,</w:t>
      </w:r>
      <w:r w:rsidRPr="0003652C">
        <w:rPr>
          <w:rFonts w:cs="Arial"/>
        </w:rPr>
        <w:t xml:space="preserve"> for example</w:t>
      </w:r>
      <w:r w:rsidR="000F6E09">
        <w:rPr>
          <w:rFonts w:cs="Arial"/>
        </w:rPr>
        <w:t>,</w:t>
      </w:r>
      <w:r w:rsidRPr="0003652C">
        <w:rPr>
          <w:rFonts w:cs="Arial"/>
        </w:rPr>
        <w:t xml:space="preserve"> from commercial or social justice backgrounds, and </w:t>
      </w:r>
      <w:r w:rsidRPr="0003652C">
        <w:rPr>
          <w:rFonts w:cs="Arial"/>
        </w:rPr>
        <w:lastRenderedPageBreak/>
        <w:t>there were tensions that were difficult</w:t>
      </w:r>
      <w:r w:rsidR="000F6E09">
        <w:rPr>
          <w:rFonts w:cs="Arial"/>
        </w:rPr>
        <w:t xml:space="preserve"> to resolve</w:t>
      </w:r>
      <w:r w:rsidRPr="0003652C">
        <w:rPr>
          <w:rFonts w:cs="Arial"/>
        </w:rPr>
        <w:t>. Inevitably</w:t>
      </w:r>
      <w:r w:rsidR="000F6E09">
        <w:rPr>
          <w:rFonts w:cs="Arial"/>
        </w:rPr>
        <w:t>,</w:t>
      </w:r>
      <w:r w:rsidRPr="0003652C">
        <w:rPr>
          <w:rFonts w:cs="Arial"/>
        </w:rPr>
        <w:t xml:space="preserve"> these tensions needed to be managed,</w:t>
      </w:r>
    </w:p>
    <w:p w14:paraId="1246D3B9" w14:textId="70BAA997" w:rsidR="00F33D40" w:rsidRPr="006370E7" w:rsidRDefault="00F33D40" w:rsidP="006370E7">
      <w:pPr>
        <w:spacing w:line="360" w:lineRule="auto"/>
        <w:ind w:left="720"/>
        <w:jc w:val="both"/>
        <w:rPr>
          <w:rFonts w:cs="Arial"/>
          <w:color w:val="000000" w:themeColor="text1"/>
        </w:rPr>
      </w:pPr>
      <w:r w:rsidRPr="0003652C">
        <w:rPr>
          <w:rFonts w:cs="Arial"/>
        </w:rPr>
        <w:t>With every topic</w:t>
      </w:r>
      <w:r w:rsidR="000F6E09">
        <w:rPr>
          <w:rFonts w:cs="Arial"/>
        </w:rPr>
        <w:t>,</w:t>
      </w:r>
      <w:r w:rsidRPr="0003652C">
        <w:rPr>
          <w:rFonts w:cs="Arial"/>
        </w:rPr>
        <w:t xml:space="preserve"> you will find a dyed-in-the-wool objection. You know, a moral objection to why we shouldn’t have purple toilet paper. Partly this is due to power structures. Someone always has a strong view about it. I kind of see it as </w:t>
      </w:r>
      <w:r w:rsidRPr="0003652C">
        <w:rPr>
          <w:rFonts w:cs="Arial"/>
          <w:color w:val="000000" w:themeColor="text1"/>
        </w:rPr>
        <w:t>a fact of life working in these intellectualised environments</w:t>
      </w:r>
      <w:r w:rsidR="00576060">
        <w:rPr>
          <w:rFonts w:cs="Arial"/>
          <w:color w:val="000000" w:themeColor="text1"/>
        </w:rPr>
        <w:t xml:space="preserve"> </w:t>
      </w:r>
      <w:r w:rsidR="00022108" w:rsidRPr="0003652C">
        <w:rPr>
          <w:rFonts w:cs="Arial"/>
          <w:color w:val="000000" w:themeColor="text1"/>
        </w:rPr>
        <w:t>(S)</w:t>
      </w:r>
      <w:r w:rsidR="00576060">
        <w:rPr>
          <w:rFonts w:cs="Arial"/>
          <w:color w:val="000000" w:themeColor="text1"/>
        </w:rPr>
        <w:t>.</w:t>
      </w:r>
    </w:p>
    <w:p w14:paraId="423528BD" w14:textId="73F12497" w:rsidR="00F33D40" w:rsidRPr="0003652C" w:rsidRDefault="00F33D40" w:rsidP="0003652C">
      <w:pPr>
        <w:spacing w:line="360" w:lineRule="auto"/>
        <w:jc w:val="both"/>
        <w:rPr>
          <w:rFonts w:cs="Arial"/>
          <w:color w:val="000000" w:themeColor="text1"/>
        </w:rPr>
      </w:pPr>
      <w:r w:rsidRPr="0003652C">
        <w:rPr>
          <w:rFonts w:cs="Arial"/>
        </w:rPr>
        <w:t>There was perceived in all categories</w:t>
      </w:r>
      <w:r w:rsidR="00576060">
        <w:rPr>
          <w:rFonts w:cs="Arial"/>
        </w:rPr>
        <w:t xml:space="preserve"> of </w:t>
      </w:r>
      <w:r w:rsidR="00995211">
        <w:rPr>
          <w:rFonts w:cs="Arial"/>
        </w:rPr>
        <w:t>school</w:t>
      </w:r>
      <w:r w:rsidRPr="0003652C">
        <w:rPr>
          <w:rFonts w:cs="Arial"/>
        </w:rPr>
        <w:t xml:space="preserve"> to be a need to agree </w:t>
      </w:r>
      <w:r w:rsidR="000F6E09">
        <w:rPr>
          <w:rFonts w:cs="Arial"/>
        </w:rPr>
        <w:t xml:space="preserve">on </w:t>
      </w:r>
      <w:r w:rsidRPr="0003652C">
        <w:rPr>
          <w:rFonts w:cs="Arial"/>
        </w:rPr>
        <w:t xml:space="preserve">which direction the design needed to go in, with the need for ‘a coherent </w:t>
      </w:r>
      <w:r w:rsidRPr="0003652C">
        <w:rPr>
          <w:rFonts w:cs="Arial"/>
          <w:color w:val="000000" w:themeColor="text1"/>
        </w:rPr>
        <w:t xml:space="preserve">programme.’  The identities of the team were visible, and the tensions were not presented differently in different categories of </w:t>
      </w:r>
      <w:r w:rsidR="00995211">
        <w:rPr>
          <w:rFonts w:cs="Arial"/>
          <w:color w:val="000000" w:themeColor="text1"/>
        </w:rPr>
        <w:t>school</w:t>
      </w:r>
      <w:r w:rsidRPr="0003652C">
        <w:rPr>
          <w:rFonts w:cs="Arial"/>
          <w:color w:val="000000" w:themeColor="text1"/>
        </w:rPr>
        <w:t xml:space="preserve">. We shall see that the impact of these divisions was </w:t>
      </w:r>
      <w:r w:rsidR="00035D03">
        <w:rPr>
          <w:rFonts w:cs="Arial"/>
          <w:color w:val="000000" w:themeColor="text1"/>
        </w:rPr>
        <w:t>often more visible in the process than the design</w:t>
      </w:r>
      <w:r w:rsidRPr="0003652C">
        <w:rPr>
          <w:rFonts w:cs="Arial"/>
          <w:color w:val="000000" w:themeColor="text1"/>
        </w:rPr>
        <w:t xml:space="preserve"> in the following chapters.  </w:t>
      </w:r>
    </w:p>
    <w:p w14:paraId="512ED1FF" w14:textId="099D65A8" w:rsidR="00F33D40" w:rsidRPr="0003652C" w:rsidRDefault="00F33D40" w:rsidP="0003652C">
      <w:pPr>
        <w:pStyle w:val="Heading2"/>
        <w:spacing w:line="360" w:lineRule="auto"/>
        <w:rPr>
          <w:rFonts w:ascii="Arial" w:hAnsi="Arial" w:cs="Arial"/>
        </w:rPr>
      </w:pPr>
      <w:bookmarkStart w:id="73" w:name="_Toc223348865"/>
      <w:r w:rsidRPr="0003652C">
        <w:rPr>
          <w:rFonts w:ascii="Arial" w:hAnsi="Arial" w:cs="Arial"/>
        </w:rPr>
        <w:t>The students</w:t>
      </w:r>
      <w:bookmarkEnd w:id="73"/>
    </w:p>
    <w:p w14:paraId="13068289" w14:textId="41FD17B8" w:rsidR="00F33D40" w:rsidRPr="0003652C" w:rsidRDefault="00F33D40" w:rsidP="0003652C">
      <w:pPr>
        <w:spacing w:line="360" w:lineRule="auto"/>
        <w:jc w:val="both"/>
        <w:rPr>
          <w:rFonts w:cs="Arial"/>
          <w:color w:val="000000" w:themeColor="text1"/>
        </w:rPr>
      </w:pPr>
      <w:r w:rsidRPr="0003652C">
        <w:rPr>
          <w:rFonts w:cs="Arial"/>
          <w:color w:val="000000" w:themeColor="text1"/>
        </w:rPr>
        <w:t>Students as an influence have already been referenced indirectly, in relation to student satisfaction metrics in the ORF, albeit as a contested and perhaps inaccurate way of representing students’ opinions (Bell &amp; Brooks, 2017). They are not considered agents in the PRF</w:t>
      </w:r>
      <w:r w:rsidR="000F6E09">
        <w:rPr>
          <w:rFonts w:cs="Arial"/>
          <w:color w:val="000000" w:themeColor="text1"/>
        </w:rPr>
        <w:t xml:space="preserve"> here</w:t>
      </w:r>
      <w:r w:rsidR="00A74FA5" w:rsidRPr="0003652C">
        <w:rPr>
          <w:rFonts w:cs="Arial"/>
          <w:color w:val="000000" w:themeColor="text1"/>
        </w:rPr>
        <w:t>. Whilst</w:t>
      </w:r>
      <w:r w:rsidRPr="0003652C">
        <w:rPr>
          <w:rFonts w:cs="Arial"/>
          <w:color w:val="000000" w:themeColor="text1"/>
        </w:rPr>
        <w:t xml:space="preserve"> they clearly influenced some decisions made about course design</w:t>
      </w:r>
      <w:r w:rsidR="005D091E" w:rsidRPr="0003652C">
        <w:rPr>
          <w:rFonts w:cs="Arial"/>
          <w:color w:val="000000" w:themeColor="text1"/>
        </w:rPr>
        <w:t xml:space="preserve"> (Appendix 3, Table 5)</w:t>
      </w:r>
      <w:r w:rsidRPr="0003652C">
        <w:rPr>
          <w:rFonts w:cs="Arial"/>
          <w:color w:val="000000" w:themeColor="text1"/>
        </w:rPr>
        <w:t>, they had little control over the decisions that were made. There were references to co-creation</w:t>
      </w:r>
      <w:r w:rsidR="000F6E09">
        <w:rPr>
          <w:rFonts w:cs="Arial"/>
          <w:color w:val="000000" w:themeColor="text1"/>
        </w:rPr>
        <w:t>,</w:t>
      </w:r>
      <w:r w:rsidRPr="0003652C">
        <w:rPr>
          <w:rFonts w:cs="Arial"/>
          <w:color w:val="000000" w:themeColor="text1"/>
        </w:rPr>
        <w:t xml:space="preserve"> but much </w:t>
      </w:r>
      <w:r w:rsidR="000F6E09">
        <w:rPr>
          <w:rFonts w:cs="Arial"/>
          <w:color w:val="000000" w:themeColor="text1"/>
        </w:rPr>
        <w:t xml:space="preserve">of </w:t>
      </w:r>
      <w:r w:rsidRPr="0003652C">
        <w:rPr>
          <w:rFonts w:cs="Arial"/>
          <w:color w:val="000000" w:themeColor="text1"/>
        </w:rPr>
        <w:t xml:space="preserve">what was described left control with the academic team or the university, with the students being consultants at best. The impact of </w:t>
      </w:r>
      <w:r w:rsidR="000F6E09">
        <w:rPr>
          <w:rFonts w:cs="Arial"/>
          <w:color w:val="000000" w:themeColor="text1"/>
        </w:rPr>
        <w:t>students, however, is not ignored, especially as they influenced the design,</w:t>
      </w:r>
      <w:r w:rsidR="00576060">
        <w:rPr>
          <w:rFonts w:cs="Arial"/>
          <w:color w:val="000000" w:themeColor="text1"/>
        </w:rPr>
        <w:t xml:space="preserve"> which I consider in </w:t>
      </w:r>
      <w:r w:rsidRPr="0003652C">
        <w:rPr>
          <w:rFonts w:cs="Arial"/>
          <w:color w:val="000000" w:themeColor="text1"/>
        </w:rPr>
        <w:t xml:space="preserve">the </w:t>
      </w:r>
      <w:r w:rsidR="000F6E09">
        <w:rPr>
          <w:rFonts w:cs="Arial"/>
          <w:color w:val="000000" w:themeColor="text1"/>
        </w:rPr>
        <w:t>following</w:t>
      </w:r>
      <w:r w:rsidRPr="0003652C">
        <w:rPr>
          <w:rFonts w:cs="Arial"/>
          <w:color w:val="000000" w:themeColor="text1"/>
        </w:rPr>
        <w:t xml:space="preserve"> two chapters. </w:t>
      </w:r>
    </w:p>
    <w:p w14:paraId="7BCA837A" w14:textId="4EEBEFA1" w:rsidR="00F33D40" w:rsidRPr="0003652C" w:rsidRDefault="00F33D40" w:rsidP="0003652C">
      <w:pPr>
        <w:pStyle w:val="Heading2"/>
        <w:spacing w:line="360" w:lineRule="auto"/>
        <w:rPr>
          <w:rFonts w:ascii="Arial" w:hAnsi="Arial" w:cs="Arial"/>
        </w:rPr>
      </w:pPr>
      <w:bookmarkStart w:id="74" w:name="_Toc223348866"/>
      <w:r w:rsidRPr="0003652C">
        <w:rPr>
          <w:rFonts w:ascii="Arial" w:hAnsi="Arial" w:cs="Arial"/>
        </w:rPr>
        <w:t>The relationship between the university and the academic community</w:t>
      </w:r>
      <w:bookmarkEnd w:id="74"/>
    </w:p>
    <w:p w14:paraId="668604FA" w14:textId="4F40A6B1" w:rsidR="00F33D40" w:rsidRPr="0003652C" w:rsidRDefault="00F33D40" w:rsidP="0003652C">
      <w:pPr>
        <w:spacing w:line="360" w:lineRule="auto"/>
        <w:jc w:val="both"/>
        <w:rPr>
          <w:rFonts w:cs="Arial"/>
        </w:rPr>
      </w:pPr>
      <w:r w:rsidRPr="0003652C">
        <w:rPr>
          <w:rFonts w:cs="Arial"/>
        </w:rPr>
        <w:t>The relationship between the law school or</w:t>
      </w:r>
      <w:r w:rsidR="00576060">
        <w:rPr>
          <w:rFonts w:cs="Arial"/>
        </w:rPr>
        <w:t xml:space="preserve"> law</w:t>
      </w:r>
      <w:r w:rsidRPr="0003652C">
        <w:rPr>
          <w:rFonts w:cs="Arial"/>
        </w:rPr>
        <w:t xml:space="preserve"> department </w:t>
      </w:r>
      <w:r w:rsidR="000F6E09">
        <w:rPr>
          <w:rFonts w:cs="Arial"/>
        </w:rPr>
        <w:t>and</w:t>
      </w:r>
      <w:r w:rsidRPr="0003652C">
        <w:rPr>
          <w:rFonts w:cs="Arial"/>
        </w:rPr>
        <w:t xml:space="preserve"> the University is a necessary focus in this investigation</w:t>
      </w:r>
      <w:r w:rsidR="000F6E09">
        <w:rPr>
          <w:rFonts w:cs="Arial"/>
        </w:rPr>
        <w:t>,</w:t>
      </w:r>
      <w:r w:rsidRPr="0003652C">
        <w:rPr>
          <w:rFonts w:cs="Arial"/>
        </w:rPr>
        <w:t xml:space="preserve"> as </w:t>
      </w:r>
      <w:r w:rsidR="000F6E09">
        <w:rPr>
          <w:rFonts w:cs="Arial"/>
        </w:rPr>
        <w:t>it</w:t>
      </w:r>
      <w:r w:rsidRPr="0003652C">
        <w:rPr>
          <w:rFonts w:cs="Arial"/>
        </w:rPr>
        <w:t xml:space="preserve"> point</w:t>
      </w:r>
      <w:r w:rsidR="00576060">
        <w:rPr>
          <w:rFonts w:cs="Arial"/>
        </w:rPr>
        <w:t>s</w:t>
      </w:r>
      <w:r w:rsidRPr="0003652C">
        <w:rPr>
          <w:rFonts w:cs="Arial"/>
        </w:rPr>
        <w:t xml:space="preserve"> to the resultant power structures that operate across the pedagogic device.  This is complicated</w:t>
      </w:r>
      <w:r w:rsidR="000F6E09">
        <w:rPr>
          <w:rFonts w:cs="Arial"/>
        </w:rPr>
        <w:t xml:space="preserve">, </w:t>
      </w:r>
      <w:r w:rsidRPr="0003652C">
        <w:rPr>
          <w:rFonts w:cs="Arial"/>
        </w:rPr>
        <w:t xml:space="preserve">as it is impacted upon by many factors, including the position of the designer as the </w:t>
      </w:r>
      <w:r w:rsidRPr="0003652C">
        <w:rPr>
          <w:rFonts w:cs="Arial"/>
        </w:rPr>
        <w:lastRenderedPageBreak/>
        <w:t>participant</w:t>
      </w:r>
      <w:r w:rsidR="000F6E09">
        <w:rPr>
          <w:rFonts w:cs="Arial"/>
        </w:rPr>
        <w:t>,</w:t>
      </w:r>
      <w:r w:rsidRPr="0003652C">
        <w:rPr>
          <w:rFonts w:cs="Arial"/>
        </w:rPr>
        <w:t xml:space="preserve"> providing the reflection and how they perceive </w:t>
      </w:r>
      <w:r w:rsidR="00576060">
        <w:rPr>
          <w:rFonts w:cs="Arial"/>
        </w:rPr>
        <w:t>that position</w:t>
      </w:r>
      <w:r w:rsidRPr="0003652C">
        <w:rPr>
          <w:rFonts w:cs="Arial"/>
        </w:rPr>
        <w:t xml:space="preserve">. I have already considered their role as middle managers in </w:t>
      </w:r>
      <w:r w:rsidR="009D5113">
        <w:rPr>
          <w:rFonts w:cs="Arial"/>
        </w:rPr>
        <w:t>C</w:t>
      </w:r>
      <w:r w:rsidR="00A74FA5" w:rsidRPr="0003652C">
        <w:rPr>
          <w:rFonts w:cs="Arial"/>
        </w:rPr>
        <w:t xml:space="preserve">hapter </w:t>
      </w:r>
      <w:r w:rsidR="009D5113">
        <w:rPr>
          <w:rFonts w:cs="Arial"/>
        </w:rPr>
        <w:t>F</w:t>
      </w:r>
      <w:r w:rsidR="00A74FA5" w:rsidRPr="0003652C">
        <w:rPr>
          <w:rFonts w:cs="Arial"/>
        </w:rPr>
        <w:t xml:space="preserve">our. </w:t>
      </w:r>
      <w:r w:rsidRPr="0003652C">
        <w:rPr>
          <w:rFonts w:cs="Arial"/>
        </w:rPr>
        <w:t xml:space="preserve"> These designers had various positions in their respective </w:t>
      </w:r>
      <w:r w:rsidR="00995211">
        <w:rPr>
          <w:rFonts w:cs="Arial"/>
        </w:rPr>
        <w:t>school</w:t>
      </w:r>
      <w:r w:rsidR="000F6E09">
        <w:rPr>
          <w:rFonts w:cs="Arial"/>
        </w:rPr>
        <w:t>s</w:t>
      </w:r>
      <w:r w:rsidR="00995211">
        <w:rPr>
          <w:rFonts w:cs="Arial"/>
        </w:rPr>
        <w:t xml:space="preserve"> and universitie</w:t>
      </w:r>
      <w:r w:rsidRPr="0003652C">
        <w:rPr>
          <w:rFonts w:cs="Arial"/>
        </w:rPr>
        <w:t xml:space="preserve">s. Some had previously worked or were concurrently working at </w:t>
      </w:r>
      <w:r w:rsidR="000F6E09">
        <w:rPr>
          <w:rFonts w:cs="Arial"/>
        </w:rPr>
        <w:t xml:space="preserve">the </w:t>
      </w:r>
      <w:r w:rsidRPr="0003652C">
        <w:rPr>
          <w:rFonts w:cs="Arial"/>
        </w:rPr>
        <w:t>university level. Some also worked within the university as heads of school, or with other senior management roles.  Reflecting much of the research in this area, the designers were likely to engage or be familiar with the context of their university’s agenda more than others (Saunders &amp; Sin, 2015). Occasionally</w:t>
      </w:r>
      <w:r w:rsidR="000F6E09">
        <w:rPr>
          <w:rFonts w:cs="Arial"/>
        </w:rPr>
        <w:t>,</w:t>
      </w:r>
      <w:r w:rsidRPr="0003652C">
        <w:rPr>
          <w:rFonts w:cs="Arial"/>
        </w:rPr>
        <w:t xml:space="preserve"> the designers inadvertently expressed more of an allegiance to a particular category of </w:t>
      </w:r>
      <w:r w:rsidR="00995211">
        <w:rPr>
          <w:rFonts w:cs="Arial"/>
        </w:rPr>
        <w:t>university</w:t>
      </w:r>
      <w:r w:rsidR="000F6E09">
        <w:rPr>
          <w:rFonts w:cs="Arial"/>
        </w:rPr>
        <w:t>,</w:t>
      </w:r>
      <w:r w:rsidRPr="0003652C">
        <w:rPr>
          <w:rFonts w:cs="Arial"/>
        </w:rPr>
        <w:t xml:space="preserve"> which </w:t>
      </w:r>
      <w:r w:rsidR="00576060">
        <w:rPr>
          <w:rFonts w:cs="Arial"/>
        </w:rPr>
        <w:t>might also</w:t>
      </w:r>
      <w:r w:rsidRPr="0003652C">
        <w:rPr>
          <w:rFonts w:cs="Arial"/>
        </w:rPr>
        <w:t xml:space="preserve"> place them as </w:t>
      </w:r>
      <w:r w:rsidR="006750FB">
        <w:rPr>
          <w:rFonts w:cs="Arial"/>
        </w:rPr>
        <w:t>outsiders</w:t>
      </w:r>
      <w:r w:rsidRPr="0003652C">
        <w:rPr>
          <w:rFonts w:cs="Arial"/>
        </w:rPr>
        <w:t xml:space="preserve"> within their current working environment. However, despite these different perspectives, as a team</w:t>
      </w:r>
      <w:r w:rsidR="006750FB">
        <w:rPr>
          <w:rFonts w:cs="Arial"/>
        </w:rPr>
        <w:t>,</w:t>
      </w:r>
      <w:r w:rsidRPr="0003652C">
        <w:rPr>
          <w:rFonts w:cs="Arial"/>
        </w:rPr>
        <w:t xml:space="preserve"> they viewed the University as the gatekeeper through which the impact of some of these influences, particularly the metrics and the market, manifested itself. </w:t>
      </w:r>
    </w:p>
    <w:p w14:paraId="61ADEB3A" w14:textId="3338CBCF" w:rsidR="00F33D40" w:rsidRPr="0003652C" w:rsidRDefault="00F33D40" w:rsidP="0003652C">
      <w:pPr>
        <w:spacing w:line="360" w:lineRule="auto"/>
        <w:jc w:val="both"/>
        <w:rPr>
          <w:rFonts w:cs="Arial"/>
        </w:rPr>
      </w:pPr>
      <w:r w:rsidRPr="0003652C">
        <w:rPr>
          <w:rFonts w:cs="Arial"/>
        </w:rPr>
        <w:t xml:space="preserve">Returning to the relationship between law and the university, the position of law within the </w:t>
      </w:r>
      <w:r w:rsidR="00995211">
        <w:rPr>
          <w:rFonts w:cs="Arial"/>
        </w:rPr>
        <w:t>university</w:t>
      </w:r>
      <w:r w:rsidRPr="0003652C">
        <w:rPr>
          <w:rFonts w:cs="Arial"/>
        </w:rPr>
        <w:t xml:space="preserve"> was seen to be important in practical ter</w:t>
      </w:r>
      <w:r w:rsidR="006750FB">
        <w:rPr>
          <w:rFonts w:cs="Arial"/>
        </w:rPr>
        <w:t>m</w:t>
      </w:r>
      <w:r w:rsidRPr="0003652C">
        <w:rPr>
          <w:rFonts w:cs="Arial"/>
        </w:rPr>
        <w:t xml:space="preserve">s. Participants from all categories of </w:t>
      </w:r>
      <w:r w:rsidR="00995211">
        <w:rPr>
          <w:rFonts w:cs="Arial"/>
        </w:rPr>
        <w:t>school</w:t>
      </w:r>
      <w:r w:rsidRPr="0003652C">
        <w:rPr>
          <w:rFonts w:cs="Arial"/>
        </w:rPr>
        <w:t xml:space="preserve"> reflected on the general success of law programmes and how this impacted on interdisciplinary relationships within the universities, with law often being seen to become dominant in these.  Designers were aware they needed to implement university objectives in their designs, but the autonomy that law had in how it received these</w:t>
      </w:r>
      <w:r w:rsidR="00576060">
        <w:rPr>
          <w:rFonts w:cs="Arial"/>
        </w:rPr>
        <w:t xml:space="preserve"> </w:t>
      </w:r>
      <w:r w:rsidRPr="0003652C">
        <w:rPr>
          <w:rFonts w:cs="Arial"/>
        </w:rPr>
        <w:t>was regarded as important</w:t>
      </w:r>
      <w:r w:rsidR="006750FB">
        <w:rPr>
          <w:rFonts w:cs="Arial"/>
        </w:rPr>
        <w:t>.</w:t>
      </w:r>
      <w:r w:rsidR="006750FB" w:rsidRPr="0003652C">
        <w:rPr>
          <w:rFonts w:cs="Arial"/>
        </w:rPr>
        <w:t xml:space="preserve"> </w:t>
      </w:r>
    </w:p>
    <w:p w14:paraId="1462A09A" w14:textId="5E1CC077" w:rsidR="00F33D40" w:rsidRPr="0003652C" w:rsidRDefault="00F33D40" w:rsidP="006370E7">
      <w:pPr>
        <w:spacing w:line="360" w:lineRule="auto"/>
        <w:ind w:left="720"/>
        <w:rPr>
          <w:rFonts w:cs="Arial"/>
          <w:color w:val="000000" w:themeColor="text1"/>
        </w:rPr>
      </w:pPr>
      <w:r w:rsidRPr="0003652C">
        <w:rPr>
          <w:rFonts w:cs="Arial"/>
          <w:color w:val="000000" w:themeColor="text1"/>
        </w:rPr>
        <w:t>There was new leadership and more autonomy from top down</w:t>
      </w:r>
      <w:r w:rsidR="006750FB">
        <w:rPr>
          <w:rFonts w:cs="Arial"/>
          <w:color w:val="000000" w:themeColor="text1"/>
        </w:rPr>
        <w:t>,</w:t>
      </w:r>
      <w:r w:rsidRPr="0003652C">
        <w:rPr>
          <w:rFonts w:cs="Arial"/>
          <w:color w:val="000000" w:themeColor="text1"/>
        </w:rPr>
        <w:t xml:space="preserve"> which makes program design more innovative</w:t>
      </w:r>
      <w:r w:rsidR="0064283C" w:rsidRPr="0003652C">
        <w:rPr>
          <w:rFonts w:cs="Arial"/>
          <w:color w:val="000000" w:themeColor="text1"/>
        </w:rPr>
        <w:t xml:space="preserve"> (SS).</w:t>
      </w:r>
    </w:p>
    <w:p w14:paraId="7EF9DD46" w14:textId="24EF8B9C" w:rsidR="00F33D40" w:rsidRPr="0003652C" w:rsidRDefault="00F33D40" w:rsidP="0003652C">
      <w:pPr>
        <w:spacing w:line="360" w:lineRule="auto"/>
        <w:jc w:val="both"/>
        <w:rPr>
          <w:rFonts w:cs="Arial"/>
        </w:rPr>
      </w:pPr>
      <w:r w:rsidRPr="0003652C">
        <w:rPr>
          <w:rFonts w:cs="Arial"/>
        </w:rPr>
        <w:t>In some reflections</w:t>
      </w:r>
      <w:r w:rsidR="006750FB">
        <w:rPr>
          <w:rFonts w:cs="Arial"/>
        </w:rPr>
        <w:t>,</w:t>
      </w:r>
      <w:r w:rsidRPr="0003652C">
        <w:rPr>
          <w:rFonts w:cs="Arial"/>
        </w:rPr>
        <w:t xml:space="preserve"> law was perceived as very much ahead of the game in relation to university agendas, </w:t>
      </w:r>
      <w:r w:rsidR="006750FB">
        <w:rPr>
          <w:rFonts w:cs="Arial"/>
        </w:rPr>
        <w:t>which</w:t>
      </w:r>
      <w:r w:rsidRPr="0003652C">
        <w:rPr>
          <w:rFonts w:cs="Arial"/>
        </w:rPr>
        <w:t xml:space="preserve"> in turn provided them with more autonomy in design. </w:t>
      </w:r>
    </w:p>
    <w:p w14:paraId="7B231726" w14:textId="14CB971F" w:rsidR="00F33D40" w:rsidRPr="0003652C" w:rsidRDefault="00F33D40" w:rsidP="006370E7">
      <w:pPr>
        <w:spacing w:line="360" w:lineRule="auto"/>
        <w:ind w:left="720"/>
        <w:jc w:val="both"/>
        <w:rPr>
          <w:rFonts w:cs="Arial"/>
          <w:color w:val="000000" w:themeColor="text1"/>
        </w:rPr>
      </w:pPr>
      <w:r w:rsidRPr="0003652C">
        <w:rPr>
          <w:rFonts w:cs="Arial"/>
          <w:color w:val="000000" w:themeColor="text1"/>
        </w:rPr>
        <w:t>Others have institutional pressures</w:t>
      </w:r>
      <w:r w:rsidR="006750FB">
        <w:rPr>
          <w:rFonts w:cs="Arial"/>
          <w:color w:val="000000" w:themeColor="text1"/>
        </w:rPr>
        <w:t>,</w:t>
      </w:r>
      <w:r w:rsidRPr="0003652C">
        <w:rPr>
          <w:rFonts w:cs="Arial"/>
          <w:color w:val="000000" w:themeColor="text1"/>
        </w:rPr>
        <w:t xml:space="preserve"> but law ha</w:t>
      </w:r>
      <w:r w:rsidR="006750FB">
        <w:rPr>
          <w:rFonts w:cs="Arial"/>
          <w:color w:val="000000" w:themeColor="text1"/>
        </w:rPr>
        <w:t>s</w:t>
      </w:r>
      <w:r w:rsidRPr="0003652C">
        <w:rPr>
          <w:rFonts w:cs="Arial"/>
          <w:color w:val="000000" w:themeColor="text1"/>
        </w:rPr>
        <w:t xml:space="preserve"> stayed ahead of the curve</w:t>
      </w:r>
      <w:r w:rsidR="006750FB">
        <w:rPr>
          <w:rFonts w:cs="Arial"/>
          <w:color w:val="000000" w:themeColor="text1"/>
        </w:rPr>
        <w:t>,</w:t>
      </w:r>
      <w:r w:rsidRPr="0003652C">
        <w:rPr>
          <w:rFonts w:cs="Arial"/>
          <w:color w:val="000000" w:themeColor="text1"/>
        </w:rPr>
        <w:t xml:space="preserve"> so there isn’t a big bad boss coming in and telling them what to do as long as they tick the quality boxes</w:t>
      </w:r>
      <w:r w:rsidR="0064283C" w:rsidRPr="0003652C">
        <w:rPr>
          <w:rFonts w:cs="Arial"/>
          <w:color w:val="000000" w:themeColor="text1"/>
        </w:rPr>
        <w:t xml:space="preserve"> </w:t>
      </w:r>
      <w:r w:rsidR="00022108" w:rsidRPr="0003652C">
        <w:rPr>
          <w:rFonts w:cs="Arial"/>
          <w:color w:val="000000" w:themeColor="text1"/>
        </w:rPr>
        <w:t>(S)</w:t>
      </w:r>
      <w:r w:rsidR="0064283C" w:rsidRPr="0003652C">
        <w:rPr>
          <w:rFonts w:cs="Arial"/>
          <w:color w:val="000000" w:themeColor="text1"/>
        </w:rPr>
        <w:t>.</w:t>
      </w:r>
    </w:p>
    <w:p w14:paraId="7655FCD9" w14:textId="188968A3" w:rsidR="00F33D40" w:rsidRPr="0003652C" w:rsidRDefault="00F33D40" w:rsidP="0003652C">
      <w:pPr>
        <w:spacing w:line="360" w:lineRule="auto"/>
        <w:jc w:val="both"/>
        <w:rPr>
          <w:rFonts w:cs="Arial"/>
          <w:color w:val="000000" w:themeColor="text1"/>
        </w:rPr>
      </w:pPr>
      <w:r w:rsidRPr="0003652C">
        <w:rPr>
          <w:rFonts w:cs="Arial"/>
          <w:color w:val="000000" w:themeColor="text1"/>
        </w:rPr>
        <w:t>Occasionally</w:t>
      </w:r>
      <w:r w:rsidR="006750FB">
        <w:rPr>
          <w:rFonts w:cs="Arial"/>
          <w:color w:val="000000" w:themeColor="text1"/>
        </w:rPr>
        <w:t>,</w:t>
      </w:r>
      <w:r w:rsidRPr="0003652C">
        <w:rPr>
          <w:rFonts w:cs="Arial"/>
          <w:color w:val="000000" w:themeColor="text1"/>
        </w:rPr>
        <w:t xml:space="preserve"> the tensions were specifically mentioned,</w:t>
      </w:r>
    </w:p>
    <w:p w14:paraId="237D0842" w14:textId="4B9B03E0" w:rsidR="00F33D40" w:rsidRPr="0003652C" w:rsidRDefault="00F33D40" w:rsidP="006370E7">
      <w:pPr>
        <w:spacing w:line="360" w:lineRule="auto"/>
        <w:ind w:left="720"/>
        <w:jc w:val="both"/>
        <w:rPr>
          <w:rFonts w:cs="Arial"/>
          <w:color w:val="000000" w:themeColor="text1"/>
        </w:rPr>
      </w:pPr>
      <w:r w:rsidRPr="0003652C">
        <w:rPr>
          <w:rFonts w:cs="Arial"/>
        </w:rPr>
        <w:lastRenderedPageBreak/>
        <w:t>Law is very strong in the University as it has a reputation of being ahead of the game, although there is a struggle for power… The fa</w:t>
      </w:r>
      <w:r w:rsidR="007D12E4" w:rsidRPr="0003652C">
        <w:rPr>
          <w:rFonts w:cs="Arial"/>
        </w:rPr>
        <w:t>culty</w:t>
      </w:r>
      <w:r w:rsidRPr="0003652C">
        <w:rPr>
          <w:rFonts w:cs="Arial"/>
        </w:rPr>
        <w:t xml:space="preserve"> is trying to take more </w:t>
      </w:r>
      <w:r w:rsidRPr="0003652C">
        <w:rPr>
          <w:rFonts w:cs="Arial"/>
          <w:color w:val="000000" w:themeColor="text1"/>
        </w:rPr>
        <w:t xml:space="preserve">control and impose policy change as well as the institution </w:t>
      </w:r>
      <w:r w:rsidR="00022108" w:rsidRPr="0003652C">
        <w:rPr>
          <w:rFonts w:cs="Arial"/>
          <w:color w:val="000000" w:themeColor="text1"/>
        </w:rPr>
        <w:t>(SS)</w:t>
      </w:r>
      <w:r w:rsidR="0064283C" w:rsidRPr="0003652C">
        <w:rPr>
          <w:rFonts w:cs="Arial"/>
          <w:color w:val="000000" w:themeColor="text1"/>
        </w:rPr>
        <w:t>.</w:t>
      </w:r>
    </w:p>
    <w:p w14:paraId="754B4335" w14:textId="513C0FEA" w:rsidR="00F33D40" w:rsidRPr="006370E7" w:rsidRDefault="00F33D40" w:rsidP="0003652C">
      <w:pPr>
        <w:spacing w:line="360" w:lineRule="auto"/>
        <w:jc w:val="both"/>
        <w:rPr>
          <w:rFonts w:cs="Arial"/>
        </w:rPr>
      </w:pPr>
      <w:r w:rsidRPr="0003652C">
        <w:rPr>
          <w:rFonts w:cs="Arial"/>
        </w:rPr>
        <w:t xml:space="preserve">This was often evident in more specific influences on the programme design from some central support departments. What was perceived </w:t>
      </w:r>
      <w:r w:rsidR="006750FB">
        <w:rPr>
          <w:rFonts w:cs="Arial"/>
        </w:rPr>
        <w:t>as</w:t>
      </w:r>
      <w:r w:rsidRPr="0003652C">
        <w:rPr>
          <w:rFonts w:cs="Arial"/>
        </w:rPr>
        <w:t xml:space="preserve"> needed by law as a discipline, and more generic approaches to pedagogy and assessment were seen </w:t>
      </w:r>
      <w:r w:rsidR="006750FB">
        <w:rPr>
          <w:rFonts w:cs="Arial"/>
        </w:rPr>
        <w:t>as</w:t>
      </w:r>
      <w:r w:rsidRPr="0003652C">
        <w:rPr>
          <w:rFonts w:cs="Arial"/>
        </w:rPr>
        <w:t xml:space="preserve"> misaligned.  </w:t>
      </w:r>
    </w:p>
    <w:p w14:paraId="4E85B4A1" w14:textId="06860FEB" w:rsidR="00F33D40" w:rsidRPr="0003652C" w:rsidRDefault="00F33D40" w:rsidP="0003652C">
      <w:pPr>
        <w:spacing w:line="360" w:lineRule="auto"/>
        <w:ind w:left="720"/>
        <w:jc w:val="both"/>
        <w:rPr>
          <w:rFonts w:cs="Arial"/>
        </w:rPr>
      </w:pPr>
      <w:r w:rsidRPr="0003652C">
        <w:rPr>
          <w:rFonts w:cs="Arial"/>
        </w:rPr>
        <w:t xml:space="preserve">It doesn’t work, people who don’t know the discipline saying what your programme needs. They often don’t listen to why it can’t be that way or why an assessment in art won’t translate </w:t>
      </w:r>
      <w:r w:rsidR="00022108" w:rsidRPr="0003652C">
        <w:rPr>
          <w:rFonts w:cs="Arial"/>
        </w:rPr>
        <w:t>(SS)</w:t>
      </w:r>
      <w:r w:rsidR="00D83239">
        <w:rPr>
          <w:rFonts w:cs="Arial"/>
        </w:rPr>
        <w:t>.</w:t>
      </w:r>
    </w:p>
    <w:p w14:paraId="7A6F6B10" w14:textId="470124BF" w:rsidR="00F33D40" w:rsidRPr="0003652C" w:rsidRDefault="00F33D40" w:rsidP="0003652C">
      <w:pPr>
        <w:spacing w:line="360" w:lineRule="auto"/>
        <w:jc w:val="both"/>
        <w:rPr>
          <w:rFonts w:cs="Arial"/>
        </w:rPr>
      </w:pPr>
      <w:r w:rsidRPr="0003652C">
        <w:rPr>
          <w:rFonts w:cs="Arial"/>
        </w:rPr>
        <w:t xml:space="preserve">There were no differentials here between the </w:t>
      </w:r>
      <w:r w:rsidR="00995211">
        <w:rPr>
          <w:rFonts w:cs="Arial"/>
        </w:rPr>
        <w:t xml:space="preserve">responses from designers in different </w:t>
      </w:r>
      <w:r w:rsidRPr="0003652C">
        <w:rPr>
          <w:rFonts w:cs="Arial"/>
        </w:rPr>
        <w:t xml:space="preserve">categories of </w:t>
      </w:r>
      <w:r w:rsidR="00995211">
        <w:rPr>
          <w:rFonts w:cs="Arial"/>
        </w:rPr>
        <w:t>schools</w:t>
      </w:r>
      <w:r w:rsidR="0064283C" w:rsidRPr="0003652C">
        <w:rPr>
          <w:rFonts w:cs="Arial"/>
        </w:rPr>
        <w:t xml:space="preserve"> </w:t>
      </w:r>
      <w:r w:rsidR="006750FB">
        <w:rPr>
          <w:rFonts w:cs="Arial"/>
        </w:rPr>
        <w:t>(</w:t>
      </w:r>
      <w:r w:rsidR="0064283C" w:rsidRPr="0003652C">
        <w:rPr>
          <w:rFonts w:cs="Arial"/>
        </w:rPr>
        <w:t>Appendix 5, Table 5)</w:t>
      </w:r>
      <w:r w:rsidRPr="0003652C">
        <w:rPr>
          <w:rFonts w:cs="Arial"/>
        </w:rPr>
        <w:t>. What was apparent was that</w:t>
      </w:r>
      <w:r w:rsidR="006750FB">
        <w:rPr>
          <w:rFonts w:cs="Arial"/>
        </w:rPr>
        <w:t>,</w:t>
      </w:r>
      <w:r w:rsidRPr="0003652C">
        <w:rPr>
          <w:rFonts w:cs="Arial"/>
        </w:rPr>
        <w:t xml:space="preserve"> even where some saw the selective </w:t>
      </w:r>
      <w:r w:rsidR="00995211">
        <w:rPr>
          <w:rFonts w:cs="Arial"/>
        </w:rPr>
        <w:t>school</w:t>
      </w:r>
      <w:r w:rsidRPr="0003652C">
        <w:rPr>
          <w:rFonts w:cs="Arial"/>
        </w:rPr>
        <w:t>s as operating with a more committee</w:t>
      </w:r>
      <w:r w:rsidR="006750FB">
        <w:rPr>
          <w:rFonts w:cs="Arial"/>
        </w:rPr>
        <w:t>-</w:t>
      </w:r>
      <w:r w:rsidRPr="0003652C">
        <w:rPr>
          <w:rFonts w:cs="Arial"/>
        </w:rPr>
        <w:t>base</w:t>
      </w:r>
      <w:r w:rsidR="006750FB">
        <w:rPr>
          <w:rFonts w:cs="Arial"/>
        </w:rPr>
        <w:t>d,</w:t>
      </w:r>
      <w:r w:rsidRPr="0003652C">
        <w:rPr>
          <w:rFonts w:cs="Arial"/>
        </w:rPr>
        <w:t xml:space="preserve"> horizontal structure to their decision</w:t>
      </w:r>
      <w:r w:rsidR="006750FB">
        <w:rPr>
          <w:rFonts w:cs="Arial"/>
        </w:rPr>
        <w:t>-</w:t>
      </w:r>
      <w:r w:rsidRPr="0003652C">
        <w:rPr>
          <w:rFonts w:cs="Arial"/>
        </w:rPr>
        <w:t xml:space="preserve">making, there was an increasing level of top-down management implementing agendas across all the categories of </w:t>
      </w:r>
      <w:r w:rsidR="00995211">
        <w:rPr>
          <w:rFonts w:cs="Arial"/>
        </w:rPr>
        <w:t>school</w:t>
      </w:r>
      <w:r w:rsidRPr="0003652C">
        <w:rPr>
          <w:rFonts w:cs="Arial"/>
        </w:rPr>
        <w:t>. Despite this</w:t>
      </w:r>
      <w:r w:rsidR="006750FB">
        <w:rPr>
          <w:rFonts w:cs="Arial"/>
        </w:rPr>
        <w:t>,</w:t>
      </w:r>
      <w:r w:rsidRPr="0003652C">
        <w:rPr>
          <w:rFonts w:cs="Arial"/>
        </w:rPr>
        <w:t xml:space="preserve"> the positioning of law within either a faculty</w:t>
      </w:r>
      <w:r w:rsidR="006750FB">
        <w:rPr>
          <w:rFonts w:cs="Arial"/>
        </w:rPr>
        <w:t>,</w:t>
      </w:r>
      <w:r w:rsidRPr="0003652C">
        <w:rPr>
          <w:rFonts w:cs="Arial"/>
        </w:rPr>
        <w:t xml:space="preserve"> or </w:t>
      </w:r>
      <w:r w:rsidR="006750FB">
        <w:rPr>
          <w:rFonts w:cs="Arial"/>
        </w:rPr>
        <w:t xml:space="preserve">a </w:t>
      </w:r>
      <w:r w:rsidRPr="0003652C">
        <w:rPr>
          <w:rFonts w:cs="Arial"/>
        </w:rPr>
        <w:t>college, or a university</w:t>
      </w:r>
      <w:r w:rsidR="006750FB">
        <w:rPr>
          <w:rFonts w:cs="Arial"/>
        </w:rPr>
        <w:t>,</w:t>
      </w:r>
      <w:r w:rsidRPr="0003652C">
        <w:rPr>
          <w:rFonts w:cs="Arial"/>
        </w:rPr>
        <w:t xml:space="preserve"> was perceived to be in a strong position to resist some of these. </w:t>
      </w:r>
    </w:p>
    <w:p w14:paraId="40A3CFEE" w14:textId="2E11BBEE" w:rsidR="00F33D40" w:rsidRPr="0003652C" w:rsidRDefault="00F33D40" w:rsidP="0003652C">
      <w:pPr>
        <w:pStyle w:val="Heading2"/>
        <w:spacing w:line="360" w:lineRule="auto"/>
        <w:rPr>
          <w:rFonts w:ascii="Arial" w:hAnsi="Arial" w:cs="Arial"/>
        </w:rPr>
      </w:pPr>
      <w:bookmarkStart w:id="75" w:name="_Toc223348867"/>
      <w:r w:rsidRPr="0003652C">
        <w:rPr>
          <w:rFonts w:ascii="Arial" w:hAnsi="Arial" w:cs="Arial"/>
        </w:rPr>
        <w:t>Conclusion</w:t>
      </w:r>
      <w:bookmarkEnd w:id="75"/>
    </w:p>
    <w:p w14:paraId="11007A43" w14:textId="003F5F9E" w:rsidR="00F33D40" w:rsidRPr="0003652C" w:rsidRDefault="00F33D40" w:rsidP="0003652C">
      <w:pPr>
        <w:spacing w:line="360" w:lineRule="auto"/>
        <w:jc w:val="both"/>
        <w:rPr>
          <w:rFonts w:cs="Arial"/>
        </w:rPr>
      </w:pPr>
      <w:r w:rsidRPr="0003652C">
        <w:rPr>
          <w:rFonts w:cs="Arial"/>
        </w:rPr>
        <w:t>Some initial observations can be made from the above analysis. There are two main players in this arena</w:t>
      </w:r>
      <w:r w:rsidR="006750FB">
        <w:rPr>
          <w:rFonts w:cs="Arial"/>
        </w:rPr>
        <w:t>:</w:t>
      </w:r>
      <w:r w:rsidR="006750FB" w:rsidRPr="0003652C">
        <w:rPr>
          <w:rFonts w:cs="Arial"/>
        </w:rPr>
        <w:t xml:space="preserve"> </w:t>
      </w:r>
      <w:r w:rsidRPr="0003652C">
        <w:rPr>
          <w:rFonts w:cs="Arial"/>
        </w:rPr>
        <w:t xml:space="preserve">the university and the academics. </w:t>
      </w:r>
      <w:r w:rsidR="007D12E4" w:rsidRPr="0003652C">
        <w:rPr>
          <w:rFonts w:cs="Arial"/>
        </w:rPr>
        <w:t>There might be further divisions within the former</w:t>
      </w:r>
      <w:r w:rsidR="006750FB">
        <w:rPr>
          <w:rFonts w:cs="Arial"/>
        </w:rPr>
        <w:t>,</w:t>
      </w:r>
      <w:r w:rsidR="007D12E4" w:rsidRPr="0003652C">
        <w:rPr>
          <w:rFonts w:cs="Arial"/>
        </w:rPr>
        <w:t xml:space="preserve"> but essentially</w:t>
      </w:r>
      <w:r w:rsidR="006750FB">
        <w:rPr>
          <w:rFonts w:cs="Arial"/>
        </w:rPr>
        <w:t>,</w:t>
      </w:r>
      <w:r w:rsidRPr="0003652C">
        <w:rPr>
          <w:rFonts w:cs="Arial"/>
        </w:rPr>
        <w:t xml:space="preserve"> the university </w:t>
      </w:r>
      <w:r w:rsidR="007D12E4" w:rsidRPr="0003652C">
        <w:rPr>
          <w:rFonts w:cs="Arial"/>
        </w:rPr>
        <w:t xml:space="preserve">is seen </w:t>
      </w:r>
      <w:r w:rsidRPr="0003652C">
        <w:rPr>
          <w:rFonts w:cs="Arial"/>
        </w:rPr>
        <w:t xml:space="preserve">as </w:t>
      </w:r>
      <w:r w:rsidR="007D12E4" w:rsidRPr="0003652C">
        <w:rPr>
          <w:rFonts w:cs="Arial"/>
        </w:rPr>
        <w:t xml:space="preserve">the </w:t>
      </w:r>
      <w:r w:rsidRPr="0003652C">
        <w:rPr>
          <w:rFonts w:cs="Arial"/>
        </w:rPr>
        <w:t>gatekeeper between external pressures and the academic community</w:t>
      </w:r>
      <w:r w:rsidR="007D12E4" w:rsidRPr="0003652C">
        <w:rPr>
          <w:rFonts w:cs="Arial"/>
        </w:rPr>
        <w:t xml:space="preserve">. </w:t>
      </w:r>
      <w:r w:rsidRPr="0003652C">
        <w:rPr>
          <w:rFonts w:cs="Arial"/>
        </w:rPr>
        <w:t xml:space="preserve"> </w:t>
      </w:r>
      <w:r w:rsidR="007D12E4" w:rsidRPr="0003652C">
        <w:rPr>
          <w:rFonts w:cs="Arial"/>
        </w:rPr>
        <w:t>The academic community is</w:t>
      </w:r>
      <w:r w:rsidRPr="0003652C">
        <w:rPr>
          <w:rFonts w:cs="Arial"/>
        </w:rPr>
        <w:t xml:space="preserve"> a group with its own internal </w:t>
      </w:r>
      <w:r w:rsidR="000278ED" w:rsidRPr="0003652C">
        <w:rPr>
          <w:rFonts w:cs="Arial"/>
        </w:rPr>
        <w:t>tensions</w:t>
      </w:r>
      <w:r w:rsidR="006750FB">
        <w:rPr>
          <w:rFonts w:cs="Arial"/>
        </w:rPr>
        <w:t>.</w:t>
      </w:r>
      <w:r w:rsidR="000278ED" w:rsidRPr="0003652C">
        <w:rPr>
          <w:rFonts w:cs="Arial"/>
        </w:rPr>
        <w:t xml:space="preserve"> </w:t>
      </w:r>
      <w:r w:rsidR="006750FB">
        <w:rPr>
          <w:rFonts w:cs="Arial"/>
        </w:rPr>
        <w:t>It</w:t>
      </w:r>
      <w:r w:rsidRPr="0003652C">
        <w:rPr>
          <w:rFonts w:cs="Arial"/>
        </w:rPr>
        <w:t xml:space="preserve"> may </w:t>
      </w:r>
      <w:r w:rsidR="007D12E4" w:rsidRPr="0003652C">
        <w:rPr>
          <w:rFonts w:cs="Arial"/>
        </w:rPr>
        <w:t xml:space="preserve">also represent a collection of smaller units </w:t>
      </w:r>
      <w:r w:rsidR="006750FB">
        <w:rPr>
          <w:rFonts w:cs="Arial"/>
        </w:rPr>
        <w:t>with</w:t>
      </w:r>
      <w:r w:rsidRPr="0003652C">
        <w:rPr>
          <w:rFonts w:cs="Arial"/>
        </w:rPr>
        <w:t xml:space="preserve"> different impact</w:t>
      </w:r>
      <w:r w:rsidR="006750FB">
        <w:rPr>
          <w:rFonts w:cs="Arial"/>
        </w:rPr>
        <w:t>s</w:t>
      </w:r>
      <w:r w:rsidR="007D12E4" w:rsidRPr="0003652C">
        <w:rPr>
          <w:rFonts w:cs="Arial"/>
        </w:rPr>
        <w:t>, as I</w:t>
      </w:r>
      <w:r w:rsidRPr="0003652C">
        <w:rPr>
          <w:rFonts w:cs="Arial"/>
        </w:rPr>
        <w:t xml:space="preserve"> will investigate in the following chapters.</w:t>
      </w:r>
    </w:p>
    <w:p w14:paraId="5A5F09AC" w14:textId="77777777" w:rsidR="00F33D40" w:rsidRPr="0003652C" w:rsidRDefault="00F33D40" w:rsidP="0003652C">
      <w:pPr>
        <w:spacing w:line="360" w:lineRule="auto"/>
        <w:jc w:val="both"/>
        <w:rPr>
          <w:rFonts w:cs="Arial"/>
        </w:rPr>
      </w:pPr>
    </w:p>
    <w:p w14:paraId="088659F1" w14:textId="6E5976D5" w:rsidR="00F33D40" w:rsidRPr="0003652C" w:rsidRDefault="00F33D40" w:rsidP="0003652C">
      <w:pPr>
        <w:spacing w:line="360" w:lineRule="auto"/>
        <w:jc w:val="both"/>
        <w:rPr>
          <w:rFonts w:cs="Arial"/>
        </w:rPr>
      </w:pPr>
      <w:r w:rsidRPr="0003652C">
        <w:rPr>
          <w:rFonts w:cs="Arial"/>
        </w:rPr>
        <w:lastRenderedPageBreak/>
        <w:t xml:space="preserve">The relationship between the two principal agents, the university and the academic community, is important. I have suggested in </w:t>
      </w:r>
      <w:r w:rsidR="009D5113">
        <w:rPr>
          <w:rFonts w:cs="Arial"/>
        </w:rPr>
        <w:t>C</w:t>
      </w:r>
      <w:r w:rsidRPr="0003652C">
        <w:rPr>
          <w:rFonts w:cs="Arial"/>
        </w:rPr>
        <w:t xml:space="preserve">hapter </w:t>
      </w:r>
      <w:r w:rsidR="009D5113">
        <w:rPr>
          <w:rFonts w:cs="Arial"/>
        </w:rPr>
        <w:t>F</w:t>
      </w:r>
      <w:r w:rsidR="007D12E4" w:rsidRPr="0003652C">
        <w:rPr>
          <w:rFonts w:cs="Arial"/>
        </w:rPr>
        <w:t>ive</w:t>
      </w:r>
      <w:r w:rsidRPr="0003652C">
        <w:rPr>
          <w:rFonts w:cs="Arial"/>
        </w:rPr>
        <w:t xml:space="preserve"> that the ORF is weak, at least in terms of explicit power structures.  </w:t>
      </w:r>
      <w:r w:rsidR="007D12E4" w:rsidRPr="0003652C">
        <w:rPr>
          <w:rFonts w:cs="Arial"/>
        </w:rPr>
        <w:t xml:space="preserve">Utilising the shift in competence and performance models of secondary education from the 1960s to the 1980s as an example, </w:t>
      </w:r>
      <w:r w:rsidRPr="0003652C">
        <w:rPr>
          <w:rFonts w:cs="Arial"/>
        </w:rPr>
        <w:t>Bernstein points to the potential for autonomy in the PRF when the ORF is weaker</w:t>
      </w:r>
      <w:r w:rsidR="007D12E4" w:rsidRPr="0003652C">
        <w:rPr>
          <w:rFonts w:cs="Arial"/>
        </w:rPr>
        <w:t xml:space="preserve"> </w:t>
      </w:r>
      <w:r w:rsidRPr="0003652C">
        <w:rPr>
          <w:rFonts w:cs="Arial"/>
        </w:rPr>
        <w:t>(Bernstein, 2000</w:t>
      </w:r>
      <w:r w:rsidR="006750FB">
        <w:rPr>
          <w:rFonts w:cs="Arial"/>
        </w:rPr>
        <w:t>,</w:t>
      </w:r>
      <w:r w:rsidRPr="0003652C">
        <w:rPr>
          <w:rFonts w:cs="Arial"/>
        </w:rPr>
        <w:t xml:space="preserve"> </w:t>
      </w:r>
      <w:r w:rsidR="00CD6E72">
        <w:rPr>
          <w:rFonts w:cs="Arial"/>
        </w:rPr>
        <w:t>p.</w:t>
      </w:r>
      <w:r w:rsidRPr="0003652C">
        <w:rPr>
          <w:rFonts w:cs="Arial"/>
        </w:rPr>
        <w:t>48).  The question that needs to be asked is</w:t>
      </w:r>
      <w:r w:rsidR="006750FB">
        <w:rPr>
          <w:rFonts w:cs="Arial"/>
        </w:rPr>
        <w:t>,</w:t>
      </w:r>
      <w:r w:rsidRPr="0003652C">
        <w:rPr>
          <w:rFonts w:cs="Arial"/>
        </w:rPr>
        <w:t xml:space="preserve"> does this autonomy exist here? It is evident that the autonomy that the academics, as a law faculty, department</w:t>
      </w:r>
      <w:r w:rsidR="006750FB">
        <w:rPr>
          <w:rFonts w:cs="Arial"/>
        </w:rPr>
        <w:t>,</w:t>
      </w:r>
      <w:r w:rsidRPr="0003652C">
        <w:rPr>
          <w:rFonts w:cs="Arial"/>
        </w:rPr>
        <w:t xml:space="preserve"> or school, may feel they have had is now </w:t>
      </w:r>
      <w:r w:rsidR="007D12E4" w:rsidRPr="0003652C">
        <w:rPr>
          <w:rFonts w:cs="Arial"/>
        </w:rPr>
        <w:t>being threatened by agendas</w:t>
      </w:r>
      <w:r w:rsidRPr="0003652C">
        <w:rPr>
          <w:rFonts w:cs="Arial"/>
        </w:rPr>
        <w:t xml:space="preserve"> implemented by the university. The degree to which these two players in the PRF are aligned differs in different </w:t>
      </w:r>
      <w:r w:rsidR="00995211">
        <w:rPr>
          <w:rFonts w:cs="Arial"/>
        </w:rPr>
        <w:t>universitie</w:t>
      </w:r>
      <w:r w:rsidRPr="0003652C">
        <w:rPr>
          <w:rFonts w:cs="Arial"/>
        </w:rPr>
        <w:t>s</w:t>
      </w:r>
      <w:r w:rsidR="006750FB">
        <w:rPr>
          <w:rFonts w:cs="Arial"/>
        </w:rPr>
        <w:t>.</w:t>
      </w:r>
      <w:r w:rsidR="006750FB" w:rsidRPr="0003652C">
        <w:rPr>
          <w:rFonts w:cs="Arial"/>
        </w:rPr>
        <w:t xml:space="preserve"> </w:t>
      </w:r>
      <w:r w:rsidR="006750FB">
        <w:rPr>
          <w:rFonts w:cs="Arial"/>
        </w:rPr>
        <w:t>Still,</w:t>
      </w:r>
      <w:r w:rsidRPr="0003652C">
        <w:rPr>
          <w:rFonts w:cs="Arial"/>
        </w:rPr>
        <w:t xml:space="preserve"> even </w:t>
      </w:r>
      <w:r w:rsidR="006750FB">
        <w:rPr>
          <w:rFonts w:cs="Arial"/>
        </w:rPr>
        <w:t>in</w:t>
      </w:r>
      <w:r w:rsidRPr="0003652C">
        <w:rPr>
          <w:rFonts w:cs="Arial"/>
        </w:rPr>
        <w:t xml:space="preserve"> </w:t>
      </w:r>
      <w:r w:rsidR="007D12E4" w:rsidRPr="0003652C">
        <w:rPr>
          <w:rFonts w:cs="Arial"/>
        </w:rPr>
        <w:t>what might be</w:t>
      </w:r>
      <w:r w:rsidRPr="0003652C">
        <w:rPr>
          <w:rFonts w:cs="Arial"/>
        </w:rPr>
        <w:t xml:space="preserve"> more horizontal structures of leadership in the selective </w:t>
      </w:r>
      <w:r w:rsidR="009B71D2">
        <w:rPr>
          <w:rFonts w:cs="Arial"/>
        </w:rPr>
        <w:t>school</w:t>
      </w:r>
      <w:r w:rsidRPr="0003652C">
        <w:rPr>
          <w:rFonts w:cs="Arial"/>
        </w:rPr>
        <w:t xml:space="preserve">s, there is a site of struggle as university agendas grow in visibility and influence. </w:t>
      </w:r>
    </w:p>
    <w:p w14:paraId="2535220F" w14:textId="75C8B342" w:rsidR="00F33D40" w:rsidRPr="0003652C" w:rsidRDefault="00F33D40" w:rsidP="0003652C">
      <w:pPr>
        <w:spacing w:line="360" w:lineRule="auto"/>
        <w:jc w:val="both"/>
        <w:rPr>
          <w:rFonts w:cs="Arial"/>
        </w:rPr>
      </w:pPr>
      <w:r w:rsidRPr="0003652C">
        <w:rPr>
          <w:rFonts w:cs="Arial"/>
        </w:rPr>
        <w:t xml:space="preserve">As to why this shift is taking place, there are several possibilities. The findings in </w:t>
      </w:r>
      <w:r w:rsidR="009D5113">
        <w:rPr>
          <w:rFonts w:cs="Arial"/>
        </w:rPr>
        <w:t>C</w:t>
      </w:r>
      <w:r w:rsidRPr="0003652C">
        <w:rPr>
          <w:rFonts w:cs="Arial"/>
        </w:rPr>
        <w:t xml:space="preserve">hapter </w:t>
      </w:r>
      <w:r w:rsidR="009D5113">
        <w:rPr>
          <w:rFonts w:cs="Arial"/>
        </w:rPr>
        <w:t>F</w:t>
      </w:r>
      <w:r w:rsidR="007D12E4" w:rsidRPr="0003652C">
        <w:rPr>
          <w:rFonts w:cs="Arial"/>
        </w:rPr>
        <w:t>ive</w:t>
      </w:r>
      <w:r w:rsidRPr="0003652C">
        <w:rPr>
          <w:rFonts w:cs="Arial"/>
        </w:rPr>
        <w:t xml:space="preserve"> suggest that the lack of professional body presence in the ORF is weakening the classification of the degree. The impact of that on the actions of those in the PRF will be analysed in the </w:t>
      </w:r>
      <w:r w:rsidR="006750FB">
        <w:rPr>
          <w:rFonts w:cs="Arial"/>
        </w:rPr>
        <w:t>following</w:t>
      </w:r>
      <w:r w:rsidRPr="0003652C">
        <w:rPr>
          <w:rFonts w:cs="Arial"/>
        </w:rPr>
        <w:t xml:space="preserve"> two chapters</w:t>
      </w:r>
      <w:r w:rsidR="006750FB">
        <w:rPr>
          <w:rFonts w:cs="Arial"/>
        </w:rPr>
        <w:t>.</w:t>
      </w:r>
      <w:r w:rsidR="006750FB" w:rsidRPr="0003652C">
        <w:rPr>
          <w:rFonts w:cs="Arial"/>
        </w:rPr>
        <w:t xml:space="preserve"> </w:t>
      </w:r>
      <w:r w:rsidR="006750FB">
        <w:rPr>
          <w:rFonts w:cs="Arial"/>
        </w:rPr>
        <w:t>Still,</w:t>
      </w:r>
      <w:r w:rsidRPr="0003652C">
        <w:rPr>
          <w:rFonts w:cs="Arial"/>
        </w:rPr>
        <w:t xml:space="preserve"> it suggests that where there was previously strong regulation from the professional </w:t>
      </w:r>
      <w:r w:rsidR="006750FB">
        <w:rPr>
          <w:rFonts w:cs="Arial"/>
        </w:rPr>
        <w:t>body, it is now being replaced by an</w:t>
      </w:r>
      <w:r w:rsidRPr="0003652C">
        <w:rPr>
          <w:rFonts w:cs="Arial"/>
        </w:rPr>
        <w:t xml:space="preserve"> increasingly interventionist state. </w:t>
      </w:r>
    </w:p>
    <w:p w14:paraId="7D85EBBD" w14:textId="2D4ACA56" w:rsidR="00F33D40" w:rsidRPr="0003652C" w:rsidRDefault="00F33D40" w:rsidP="0003652C">
      <w:pPr>
        <w:spacing w:line="360" w:lineRule="auto"/>
        <w:jc w:val="both"/>
        <w:rPr>
          <w:rFonts w:cs="Arial"/>
        </w:rPr>
      </w:pPr>
      <w:r w:rsidRPr="0003652C">
        <w:rPr>
          <w:rFonts w:cs="Arial"/>
        </w:rPr>
        <w:t>The relationship</w:t>
      </w:r>
      <w:r w:rsidR="00984BAE" w:rsidRPr="0003652C">
        <w:rPr>
          <w:rFonts w:cs="Arial"/>
        </w:rPr>
        <w:t xml:space="preserve"> between the university and the academic community</w:t>
      </w:r>
      <w:r w:rsidRPr="0003652C">
        <w:rPr>
          <w:rFonts w:cs="Arial"/>
        </w:rPr>
        <w:t xml:space="preserve"> is also central to this</w:t>
      </w:r>
      <w:r w:rsidR="006750FB">
        <w:rPr>
          <w:rFonts w:cs="Arial"/>
        </w:rPr>
        <w:t>,</w:t>
      </w:r>
      <w:r w:rsidRPr="0003652C">
        <w:rPr>
          <w:rFonts w:cs="Arial"/>
        </w:rPr>
        <w:t xml:space="preserve"> as in any struggle for control </w:t>
      </w:r>
      <w:r w:rsidR="00022108" w:rsidRPr="0003652C">
        <w:rPr>
          <w:rFonts w:cs="Arial"/>
        </w:rPr>
        <w:t xml:space="preserve">(Appendix 3, Table 6 for prevalence of this theme in the data). </w:t>
      </w:r>
      <w:r w:rsidRPr="0003652C">
        <w:rPr>
          <w:rFonts w:cs="Arial"/>
        </w:rPr>
        <w:t xml:space="preserve">Again, </w:t>
      </w:r>
      <w:r w:rsidR="006750FB">
        <w:rPr>
          <w:rFonts w:cs="Arial"/>
        </w:rPr>
        <w:t xml:space="preserve">as </w:t>
      </w:r>
      <w:r w:rsidRPr="0003652C">
        <w:rPr>
          <w:rFonts w:cs="Arial"/>
        </w:rPr>
        <w:t xml:space="preserve">reflected in the </w:t>
      </w:r>
      <w:r w:rsidR="00B54569" w:rsidRPr="0003652C">
        <w:rPr>
          <w:rFonts w:cs="Arial"/>
        </w:rPr>
        <w:t>literature, law</w:t>
      </w:r>
      <w:r w:rsidRPr="0003652C">
        <w:rPr>
          <w:rFonts w:cs="Arial"/>
        </w:rPr>
        <w:t xml:space="preserve"> academics often see themselves as having a strong identity as a group of academics, despite internal fractures (Cownie, 2004). Here</w:t>
      </w:r>
      <w:r w:rsidR="004A5F24">
        <w:rPr>
          <w:rFonts w:cs="Arial"/>
        </w:rPr>
        <w:t>,</w:t>
      </w:r>
      <w:r w:rsidRPr="0003652C">
        <w:rPr>
          <w:rFonts w:cs="Arial"/>
        </w:rPr>
        <w:t xml:space="preserve"> they also regard themselves as having </w:t>
      </w:r>
      <w:r w:rsidR="004A5F24">
        <w:rPr>
          <w:rFonts w:cs="Arial"/>
        </w:rPr>
        <w:t>some</w:t>
      </w:r>
      <w:r w:rsidRPr="0003652C">
        <w:rPr>
          <w:rFonts w:cs="Arial"/>
        </w:rPr>
        <w:t xml:space="preserve"> autonomy from the university.  </w:t>
      </w:r>
      <w:r w:rsidR="009B71D2">
        <w:rPr>
          <w:rFonts w:cs="Arial"/>
        </w:rPr>
        <w:t>Universitie</w:t>
      </w:r>
      <w:r w:rsidRPr="0003652C">
        <w:rPr>
          <w:rFonts w:cs="Arial"/>
        </w:rPr>
        <w:t>s</w:t>
      </w:r>
      <w:r w:rsidR="004A5F24">
        <w:rPr>
          <w:rFonts w:cs="Arial"/>
        </w:rPr>
        <w:t>,</w:t>
      </w:r>
      <w:r w:rsidRPr="0003652C">
        <w:rPr>
          <w:rFonts w:cs="Arial"/>
        </w:rPr>
        <w:t xml:space="preserve"> on the other hand</w:t>
      </w:r>
      <w:r w:rsidR="004A5F24">
        <w:rPr>
          <w:rFonts w:cs="Arial"/>
        </w:rPr>
        <w:t>,</w:t>
      </w:r>
      <w:r w:rsidRPr="0003652C">
        <w:rPr>
          <w:rFonts w:cs="Arial"/>
        </w:rPr>
        <w:t xml:space="preserve"> are increasingly visible in intervening, often mimicking the state agenda and legitimising their actions with reference to the ORF (Mc</w:t>
      </w:r>
      <w:r w:rsidR="00424F6F">
        <w:rPr>
          <w:rFonts w:cs="Arial"/>
        </w:rPr>
        <w:t>L</w:t>
      </w:r>
      <w:r w:rsidRPr="0003652C">
        <w:rPr>
          <w:rFonts w:cs="Arial"/>
        </w:rPr>
        <w:t xml:space="preserve">ean et al., 2018). There is growing awareness of the presence of faculty or </w:t>
      </w:r>
      <w:r w:rsidR="004A5F24">
        <w:rPr>
          <w:rFonts w:cs="Arial"/>
        </w:rPr>
        <w:t xml:space="preserve">the </w:t>
      </w:r>
      <w:r w:rsidRPr="0003652C">
        <w:rPr>
          <w:rFonts w:cs="Arial"/>
        </w:rPr>
        <w:t xml:space="preserve">wider </w:t>
      </w:r>
      <w:r w:rsidR="009B71D2">
        <w:rPr>
          <w:rFonts w:cs="Arial"/>
        </w:rPr>
        <w:t>university</w:t>
      </w:r>
      <w:r w:rsidRPr="0003652C">
        <w:rPr>
          <w:rFonts w:cs="Arial"/>
        </w:rPr>
        <w:t xml:space="preserve"> in the PRF. </w:t>
      </w:r>
    </w:p>
    <w:p w14:paraId="15B1A32E" w14:textId="2680E63A" w:rsidR="00F33D40" w:rsidRPr="0003652C" w:rsidRDefault="00F33D40" w:rsidP="0003652C">
      <w:pPr>
        <w:spacing w:line="360" w:lineRule="auto"/>
        <w:jc w:val="both"/>
        <w:rPr>
          <w:rFonts w:cs="Arial"/>
        </w:rPr>
      </w:pPr>
      <w:r w:rsidRPr="0003652C">
        <w:rPr>
          <w:rFonts w:cs="Arial"/>
        </w:rPr>
        <w:lastRenderedPageBreak/>
        <w:t xml:space="preserve">To assess the </w:t>
      </w:r>
      <w:r w:rsidR="004A5F24">
        <w:rPr>
          <w:rFonts w:cs="Arial"/>
        </w:rPr>
        <w:t>academic's autonomy and the university's control in the form of their interventions in the PRF, it is now necessary to consider how these perceptions have a practical</w:t>
      </w:r>
      <w:r w:rsidRPr="0003652C">
        <w:rPr>
          <w:rFonts w:cs="Arial"/>
        </w:rPr>
        <w:t xml:space="preserve"> impact. </w:t>
      </w:r>
    </w:p>
    <w:p w14:paraId="2977B8F5" w14:textId="77777777" w:rsidR="003760A0" w:rsidRPr="0003652C" w:rsidRDefault="003760A0" w:rsidP="0003652C">
      <w:pPr>
        <w:spacing w:after="100" w:afterAutospacing="1" w:line="360" w:lineRule="auto"/>
        <w:rPr>
          <w:rFonts w:cs="Arial"/>
          <w:lang w:val="en-US"/>
        </w:rPr>
      </w:pPr>
    </w:p>
    <w:p w14:paraId="70FF5E5A" w14:textId="77777777" w:rsidR="001E3BCF" w:rsidRPr="00EF0E6B" w:rsidRDefault="001E3BCF" w:rsidP="007A419E">
      <w:pPr>
        <w:spacing w:after="100" w:afterAutospacing="1" w:line="360" w:lineRule="auto"/>
        <w:rPr>
          <w:rFonts w:cs="Arial"/>
          <w:lang w:val="en-US"/>
        </w:rPr>
        <w:sectPr w:rsidR="001E3BCF" w:rsidRPr="00EF0E6B" w:rsidSect="007A419E">
          <w:pgSz w:w="11880" w:h="16800"/>
          <w:pgMar w:top="1418" w:right="1418" w:bottom="1418" w:left="1985" w:header="720" w:footer="720" w:gutter="0"/>
          <w:cols w:space="720"/>
        </w:sectPr>
      </w:pPr>
    </w:p>
    <w:p w14:paraId="5621FEED" w14:textId="350499A6" w:rsidR="00F33D40" w:rsidRPr="006370E7" w:rsidRDefault="00F33D40" w:rsidP="0003652C">
      <w:pPr>
        <w:pStyle w:val="Heading1"/>
        <w:spacing w:before="100" w:after="100" w:afterAutospacing="1" w:line="360" w:lineRule="auto"/>
        <w:rPr>
          <w:rFonts w:ascii="Arial" w:hAnsi="Arial" w:cs="Arial"/>
          <w:lang w:val="fr-FR"/>
        </w:rPr>
      </w:pPr>
      <w:bookmarkStart w:id="76" w:name="_Toc208723508"/>
      <w:bookmarkStart w:id="77" w:name="_Toc4491305"/>
      <w:bookmarkStart w:id="78" w:name="_Toc4492110"/>
      <w:r w:rsidRPr="00EF0E6B">
        <w:rPr>
          <w:rFonts w:ascii="Arial" w:hAnsi="Arial" w:cs="Arial"/>
          <w:lang w:val="fr-FR"/>
        </w:rPr>
        <w:lastRenderedPageBreak/>
        <w:t> </w:t>
      </w:r>
      <w:bookmarkStart w:id="79" w:name="_Toc223348868"/>
      <w:r w:rsidRPr="00EF0E6B">
        <w:rPr>
          <w:rFonts w:ascii="Arial" w:hAnsi="Arial" w:cs="Arial"/>
          <w:lang w:val="fr-FR"/>
        </w:rPr>
        <w:t xml:space="preserve">The </w:t>
      </w:r>
      <w:r w:rsidR="0075156B">
        <w:rPr>
          <w:rFonts w:ascii="Arial" w:hAnsi="Arial" w:cs="Arial"/>
          <w:lang w:val="fr-FR"/>
        </w:rPr>
        <w:t>pedagogic recontextualising field</w:t>
      </w:r>
      <w:r w:rsidRPr="00EF0E6B">
        <w:rPr>
          <w:rFonts w:ascii="Arial" w:hAnsi="Arial" w:cs="Arial"/>
          <w:lang w:val="fr-FR"/>
        </w:rPr>
        <w:t xml:space="preserve"> and the disciplinary impact</w:t>
      </w:r>
      <w:bookmarkEnd w:id="79"/>
    </w:p>
    <w:p w14:paraId="63F8092B" w14:textId="65608446" w:rsidR="00F33D40" w:rsidRPr="00EF0E6B" w:rsidRDefault="006B3732" w:rsidP="0003652C">
      <w:pPr>
        <w:spacing w:line="360" w:lineRule="auto"/>
        <w:jc w:val="both"/>
        <w:rPr>
          <w:rFonts w:cs="Arial"/>
          <w:color w:val="000000" w:themeColor="text1"/>
        </w:rPr>
      </w:pPr>
      <w:r>
        <w:rPr>
          <w:rFonts w:cs="Arial"/>
        </w:rPr>
        <w:t>My</w:t>
      </w:r>
      <w:r w:rsidR="00F33D40" w:rsidRPr="00EF0E6B">
        <w:rPr>
          <w:rFonts w:cs="Arial"/>
        </w:rPr>
        <w:t xml:space="preserve"> investigation has considered the categorisation of disciplinary legal knowledge as regional</w:t>
      </w:r>
      <w:r>
        <w:rPr>
          <w:rFonts w:cs="Arial"/>
        </w:rPr>
        <w:t xml:space="preserve"> (as discussed in </w:t>
      </w:r>
      <w:r w:rsidR="009D5113">
        <w:rPr>
          <w:rFonts w:cs="Arial"/>
        </w:rPr>
        <w:t>C</w:t>
      </w:r>
      <w:r>
        <w:rPr>
          <w:rFonts w:cs="Arial"/>
        </w:rPr>
        <w:t xml:space="preserve">hapter </w:t>
      </w:r>
      <w:r w:rsidR="009D5113">
        <w:rPr>
          <w:rFonts w:cs="Arial"/>
        </w:rPr>
        <w:t>T</w:t>
      </w:r>
      <w:r>
        <w:rPr>
          <w:rFonts w:cs="Arial"/>
        </w:rPr>
        <w:t>hree)</w:t>
      </w:r>
      <w:r w:rsidR="00F33D40" w:rsidRPr="00EF0E6B">
        <w:rPr>
          <w:rFonts w:cs="Arial"/>
        </w:rPr>
        <w:t>. It has also considered the impact of the professional bodies</w:t>
      </w:r>
      <w:r w:rsidR="004A5F24">
        <w:rPr>
          <w:rFonts w:cs="Arial"/>
        </w:rPr>
        <w:t>' retraction</w:t>
      </w:r>
      <w:r w:rsidR="00F33D40" w:rsidRPr="00EF0E6B">
        <w:rPr>
          <w:rFonts w:cs="Arial"/>
        </w:rPr>
        <w:t xml:space="preserve"> from their previous position in the ORF and the potential impact </w:t>
      </w:r>
      <w:r w:rsidR="004A5F24">
        <w:rPr>
          <w:rFonts w:cs="Arial"/>
        </w:rPr>
        <w:t xml:space="preserve">this </w:t>
      </w:r>
      <w:r w:rsidR="00F33D40" w:rsidRPr="00EF0E6B">
        <w:rPr>
          <w:rFonts w:cs="Arial"/>
        </w:rPr>
        <w:t xml:space="preserve">may have </w:t>
      </w:r>
      <w:r w:rsidR="004A5F24">
        <w:rPr>
          <w:rFonts w:cs="Arial"/>
        </w:rPr>
        <w:t>on</w:t>
      </w:r>
      <w:r w:rsidR="00F33D40" w:rsidRPr="00EF0E6B">
        <w:rPr>
          <w:rFonts w:cs="Arial"/>
        </w:rPr>
        <w:t xml:space="preserve"> the boundaries between academic and professional legal education. </w:t>
      </w:r>
      <w:r>
        <w:rPr>
          <w:rFonts w:cs="Arial"/>
        </w:rPr>
        <w:t xml:space="preserve">Having established who the agents are in </w:t>
      </w:r>
      <w:r w:rsidR="009D5113">
        <w:rPr>
          <w:rFonts w:cs="Arial"/>
        </w:rPr>
        <w:t>C</w:t>
      </w:r>
      <w:r>
        <w:rPr>
          <w:rFonts w:cs="Arial"/>
        </w:rPr>
        <w:t xml:space="preserve">hapter </w:t>
      </w:r>
      <w:r w:rsidR="009D5113">
        <w:rPr>
          <w:rFonts w:cs="Arial"/>
        </w:rPr>
        <w:t>S</w:t>
      </w:r>
      <w:r>
        <w:rPr>
          <w:rFonts w:cs="Arial"/>
        </w:rPr>
        <w:t>ix</w:t>
      </w:r>
      <w:r w:rsidR="00F33D40" w:rsidRPr="00EF0E6B">
        <w:rPr>
          <w:rFonts w:cs="Arial"/>
          <w:color w:val="000000" w:themeColor="text1"/>
        </w:rPr>
        <w:t xml:space="preserve">, the control that these agents have over the design of the undergraduate programmes must now be assessed, looking at </w:t>
      </w:r>
      <w:r w:rsidR="00F33D40" w:rsidRPr="00EF0E6B">
        <w:rPr>
          <w:rFonts w:cs="Arial"/>
          <w:i/>
          <w:iCs/>
          <w:color w:val="000000" w:themeColor="text1"/>
        </w:rPr>
        <w:t xml:space="preserve">what </w:t>
      </w:r>
      <w:r w:rsidR="00F33D40" w:rsidRPr="00EF0E6B">
        <w:rPr>
          <w:rFonts w:cs="Arial"/>
          <w:color w:val="000000" w:themeColor="text1"/>
        </w:rPr>
        <w:t xml:space="preserve">impact they have and </w:t>
      </w:r>
      <w:r w:rsidR="00F33D40" w:rsidRPr="00EF0E6B">
        <w:rPr>
          <w:rFonts w:cs="Arial"/>
          <w:i/>
          <w:iCs/>
          <w:color w:val="000000" w:themeColor="text1"/>
        </w:rPr>
        <w:t>how</w:t>
      </w:r>
      <w:r w:rsidR="00F33D40" w:rsidRPr="00EF0E6B">
        <w:rPr>
          <w:rFonts w:cs="Arial"/>
          <w:color w:val="000000" w:themeColor="text1"/>
        </w:rPr>
        <w:t xml:space="preserve"> that is </w:t>
      </w:r>
      <w:r>
        <w:rPr>
          <w:rFonts w:cs="Arial"/>
          <w:color w:val="000000" w:themeColor="text1"/>
        </w:rPr>
        <w:t>visible</w:t>
      </w:r>
      <w:r w:rsidR="00F33D40" w:rsidRPr="00EF0E6B">
        <w:rPr>
          <w:rFonts w:cs="Arial"/>
          <w:color w:val="000000" w:themeColor="text1"/>
        </w:rPr>
        <w:t xml:space="preserve"> in programmes. This</w:t>
      </w:r>
      <w:r w:rsidR="004A5F24">
        <w:rPr>
          <w:rFonts w:cs="Arial"/>
          <w:color w:val="000000" w:themeColor="text1"/>
        </w:rPr>
        <w:t>,</w:t>
      </w:r>
      <w:r w:rsidR="00F33D40" w:rsidRPr="00EF0E6B">
        <w:rPr>
          <w:rFonts w:cs="Arial"/>
          <w:color w:val="000000" w:themeColor="text1"/>
        </w:rPr>
        <w:t xml:space="preserve"> in turn</w:t>
      </w:r>
      <w:r w:rsidR="004A5F24">
        <w:rPr>
          <w:rFonts w:cs="Arial"/>
          <w:color w:val="000000" w:themeColor="text1"/>
        </w:rPr>
        <w:t>,</w:t>
      </w:r>
      <w:r w:rsidR="00F33D40" w:rsidRPr="00EF0E6B">
        <w:rPr>
          <w:rFonts w:cs="Arial"/>
          <w:color w:val="000000" w:themeColor="text1"/>
        </w:rPr>
        <w:t xml:space="preserve"> allows the investigation to return to consider the impact of the ORF on the autonomy that the community or university exercise</w:t>
      </w:r>
      <w:r w:rsidR="004A5F24">
        <w:rPr>
          <w:rFonts w:cs="Arial"/>
          <w:color w:val="000000" w:themeColor="text1"/>
        </w:rPr>
        <w:t>s</w:t>
      </w:r>
      <w:r w:rsidR="00F33D40" w:rsidRPr="00EF0E6B">
        <w:rPr>
          <w:rFonts w:cs="Arial"/>
          <w:color w:val="000000" w:themeColor="text1"/>
        </w:rPr>
        <w:t xml:space="preserve"> in the PRF. </w:t>
      </w:r>
    </w:p>
    <w:p w14:paraId="25D4206F" w14:textId="7CC6EF0A" w:rsidR="00F33D40" w:rsidRPr="006370E7" w:rsidRDefault="00F33D40" w:rsidP="006370E7">
      <w:pPr>
        <w:spacing w:line="360" w:lineRule="auto"/>
        <w:jc w:val="both"/>
        <w:rPr>
          <w:rFonts w:cs="Arial"/>
        </w:rPr>
      </w:pPr>
      <w:r w:rsidRPr="00EE4AED">
        <w:rPr>
          <w:rFonts w:cs="Arial"/>
          <w:color w:val="000000" w:themeColor="text1"/>
        </w:rPr>
        <w:t xml:space="preserve">The PRF </w:t>
      </w:r>
      <w:r w:rsidR="006B3732" w:rsidRPr="00EE4AED">
        <w:rPr>
          <w:rFonts w:cs="Arial"/>
          <w:color w:val="000000" w:themeColor="text1"/>
        </w:rPr>
        <w:t xml:space="preserve">is an area of struggle. </w:t>
      </w:r>
      <w:r w:rsidRPr="00EE4AED">
        <w:rPr>
          <w:rFonts w:cs="Arial"/>
          <w:color w:val="000000" w:themeColor="text1"/>
        </w:rPr>
        <w:t xml:space="preserve">From the investigation so </w:t>
      </w:r>
      <w:r w:rsidR="006B3732" w:rsidRPr="00EE4AED">
        <w:rPr>
          <w:rFonts w:cs="Arial"/>
          <w:color w:val="000000" w:themeColor="text1"/>
        </w:rPr>
        <w:t>far,</w:t>
      </w:r>
      <w:r w:rsidRPr="00EE4AED">
        <w:rPr>
          <w:rFonts w:cs="Arial"/>
          <w:color w:val="000000" w:themeColor="text1"/>
        </w:rPr>
        <w:t xml:space="preserve"> there does not appear to be a clear hierarchical positioning</w:t>
      </w:r>
      <w:r w:rsidR="006B3732" w:rsidRPr="00EE4AED">
        <w:rPr>
          <w:rFonts w:cs="Arial"/>
          <w:color w:val="000000" w:themeColor="text1"/>
        </w:rPr>
        <w:t xml:space="preserve"> of the agents</w:t>
      </w:r>
      <w:r w:rsidRPr="00EE4AED">
        <w:rPr>
          <w:rFonts w:cs="Arial"/>
          <w:color w:val="000000" w:themeColor="text1"/>
        </w:rPr>
        <w:t xml:space="preserve"> w</w:t>
      </w:r>
      <w:r w:rsidRPr="00EF0E6B">
        <w:rPr>
          <w:rFonts w:cs="Arial"/>
          <w:color w:val="000000" w:themeColor="text1"/>
        </w:rPr>
        <w:t xml:space="preserve">ithin the PRF. </w:t>
      </w:r>
      <w:r w:rsidR="006B3732">
        <w:rPr>
          <w:rFonts w:cs="Arial"/>
          <w:color w:val="000000" w:themeColor="text1"/>
        </w:rPr>
        <w:t xml:space="preserve">This and </w:t>
      </w:r>
      <w:r w:rsidR="004A5F24">
        <w:rPr>
          <w:rFonts w:cs="Arial"/>
          <w:color w:val="000000" w:themeColor="text1"/>
        </w:rPr>
        <w:t xml:space="preserve">Chapter </w:t>
      </w:r>
      <w:r w:rsidR="009D5113">
        <w:rPr>
          <w:rFonts w:cs="Arial"/>
          <w:color w:val="000000" w:themeColor="text1"/>
        </w:rPr>
        <w:t>E</w:t>
      </w:r>
      <w:r w:rsidR="006B3732">
        <w:rPr>
          <w:rFonts w:cs="Arial"/>
          <w:color w:val="000000" w:themeColor="text1"/>
        </w:rPr>
        <w:t xml:space="preserve">ight </w:t>
      </w:r>
      <w:r w:rsidRPr="00EF0E6B">
        <w:rPr>
          <w:rFonts w:cs="Arial"/>
          <w:color w:val="000000" w:themeColor="text1"/>
        </w:rPr>
        <w:t xml:space="preserve">will investigate the impact of these agents on the classification and framing within the curriculum </w:t>
      </w:r>
      <w:r w:rsidR="006B3732" w:rsidRPr="00EF0E6B">
        <w:rPr>
          <w:rFonts w:cs="Arial"/>
          <w:color w:val="000000" w:themeColor="text1"/>
        </w:rPr>
        <w:t>to</w:t>
      </w:r>
      <w:r w:rsidRPr="00EF0E6B">
        <w:rPr>
          <w:rFonts w:cs="Arial"/>
          <w:color w:val="000000" w:themeColor="text1"/>
        </w:rPr>
        <w:t xml:space="preserve"> establish where the control is and what it means for the c</w:t>
      </w:r>
      <w:r w:rsidR="00F63B36">
        <w:rPr>
          <w:rFonts w:cs="Arial"/>
          <w:color w:val="000000" w:themeColor="text1"/>
        </w:rPr>
        <w:t>ourse design</w:t>
      </w:r>
      <w:r w:rsidRPr="00EF0E6B">
        <w:rPr>
          <w:rFonts w:cs="Arial"/>
          <w:color w:val="000000" w:themeColor="text1"/>
        </w:rPr>
        <w:t xml:space="preserve">, and </w:t>
      </w:r>
      <w:r w:rsidR="006B3732">
        <w:rPr>
          <w:rFonts w:cs="Arial"/>
          <w:color w:val="000000" w:themeColor="text1"/>
        </w:rPr>
        <w:t>ultimately</w:t>
      </w:r>
      <w:r w:rsidR="004A5F24">
        <w:rPr>
          <w:rFonts w:cs="Arial"/>
          <w:color w:val="000000" w:themeColor="text1"/>
        </w:rPr>
        <w:t>,</w:t>
      </w:r>
      <w:r w:rsidR="006B3732">
        <w:rPr>
          <w:rFonts w:cs="Arial"/>
          <w:color w:val="000000" w:themeColor="text1"/>
        </w:rPr>
        <w:t xml:space="preserve"> the potential impact on</w:t>
      </w:r>
      <w:r w:rsidRPr="00EF0E6B">
        <w:rPr>
          <w:rFonts w:cs="Arial"/>
          <w:color w:val="000000" w:themeColor="text1"/>
        </w:rPr>
        <w:t xml:space="preserve"> students’ access to understanding. </w:t>
      </w:r>
    </w:p>
    <w:p w14:paraId="7EC6C955" w14:textId="60684B8E" w:rsidR="00F33D40" w:rsidRPr="00EF0E6B" w:rsidRDefault="00F33D40" w:rsidP="0003652C">
      <w:pPr>
        <w:spacing w:line="360" w:lineRule="auto"/>
        <w:jc w:val="both"/>
        <w:rPr>
          <w:rFonts w:cs="Arial"/>
          <w:color w:val="FF0000"/>
        </w:rPr>
      </w:pPr>
      <w:r w:rsidRPr="00EF0E6B">
        <w:rPr>
          <w:rFonts w:cs="Arial"/>
          <w:color w:val="000000" w:themeColor="text1"/>
        </w:rPr>
        <w:t>The themes that arose from the data fall into four overlapping categories. These are the impact</w:t>
      </w:r>
      <w:r w:rsidR="004A5F24">
        <w:rPr>
          <w:rFonts w:cs="Arial"/>
          <w:color w:val="000000" w:themeColor="text1"/>
        </w:rPr>
        <w:t>s</w:t>
      </w:r>
      <w:r w:rsidRPr="00EF0E6B">
        <w:rPr>
          <w:rFonts w:cs="Arial"/>
          <w:color w:val="000000" w:themeColor="text1"/>
        </w:rPr>
        <w:t xml:space="preserve"> seen as emanating from the influence of the academic community and the university, and the disciplinary and non-disciplinary impact</w:t>
      </w:r>
      <w:r w:rsidR="004A5F24">
        <w:rPr>
          <w:rFonts w:cs="Arial"/>
          <w:color w:val="000000" w:themeColor="text1"/>
        </w:rPr>
        <w:t>s</w:t>
      </w:r>
      <w:r w:rsidRPr="00EF0E6B">
        <w:rPr>
          <w:rFonts w:cs="Arial"/>
          <w:color w:val="000000" w:themeColor="text1"/>
        </w:rPr>
        <w:t xml:space="preserve"> on the c</w:t>
      </w:r>
      <w:r w:rsidR="00F63B36">
        <w:rPr>
          <w:rFonts w:cs="Arial"/>
          <w:color w:val="000000" w:themeColor="text1"/>
        </w:rPr>
        <w:t>ourse</w:t>
      </w:r>
      <w:r w:rsidRPr="00EF0E6B">
        <w:rPr>
          <w:rFonts w:cs="Arial"/>
          <w:color w:val="000000" w:themeColor="text1"/>
        </w:rPr>
        <w:t>. For the m</w:t>
      </w:r>
      <w:r w:rsidR="007121BB">
        <w:rPr>
          <w:rFonts w:cs="Arial"/>
          <w:color w:val="000000" w:themeColor="text1"/>
        </w:rPr>
        <w:t>ost</w:t>
      </w:r>
      <w:r w:rsidRPr="00EF0E6B">
        <w:rPr>
          <w:rFonts w:cs="Arial"/>
          <w:color w:val="000000" w:themeColor="text1"/>
        </w:rPr>
        <w:t xml:space="preserve"> part, and as you would expect, the academics are more likely to have an impact on the disciplinary direction of the degree, whilst the university </w:t>
      </w:r>
      <w:r w:rsidR="004A5F24">
        <w:rPr>
          <w:rFonts w:cs="Arial"/>
          <w:color w:val="000000" w:themeColor="text1"/>
        </w:rPr>
        <w:t>is</w:t>
      </w:r>
      <w:r w:rsidRPr="00EF0E6B">
        <w:rPr>
          <w:rFonts w:cs="Arial"/>
          <w:color w:val="000000" w:themeColor="text1"/>
        </w:rPr>
        <w:t xml:space="preserve"> more likely to be influential around generic elements of the students’ </w:t>
      </w:r>
      <w:r w:rsidR="00F63B36">
        <w:rPr>
          <w:rFonts w:cs="Arial"/>
          <w:color w:val="000000" w:themeColor="text1"/>
        </w:rPr>
        <w:t>programme</w:t>
      </w:r>
      <w:r w:rsidRPr="00EF0E6B">
        <w:rPr>
          <w:rFonts w:cs="Arial"/>
          <w:color w:val="000000" w:themeColor="text1"/>
        </w:rPr>
        <w:t>.  There were</w:t>
      </w:r>
      <w:r w:rsidR="004A5F24">
        <w:rPr>
          <w:rFonts w:cs="Arial"/>
          <w:color w:val="000000" w:themeColor="text1"/>
        </w:rPr>
        <w:t>,</w:t>
      </w:r>
      <w:r w:rsidR="007121BB">
        <w:rPr>
          <w:rFonts w:cs="Arial"/>
          <w:color w:val="000000" w:themeColor="text1"/>
        </w:rPr>
        <w:t xml:space="preserve"> </w:t>
      </w:r>
      <w:r w:rsidRPr="00EF0E6B">
        <w:rPr>
          <w:rFonts w:cs="Arial"/>
          <w:color w:val="000000" w:themeColor="text1"/>
        </w:rPr>
        <w:t>howeve</w:t>
      </w:r>
      <w:r w:rsidR="007121BB">
        <w:rPr>
          <w:rFonts w:cs="Arial"/>
          <w:color w:val="000000" w:themeColor="text1"/>
        </w:rPr>
        <w:t>r</w:t>
      </w:r>
      <w:r w:rsidR="004A5F24">
        <w:rPr>
          <w:rFonts w:cs="Arial"/>
          <w:color w:val="000000" w:themeColor="text1"/>
        </w:rPr>
        <w:t>,</w:t>
      </w:r>
      <w:r w:rsidR="007121BB">
        <w:rPr>
          <w:rFonts w:cs="Arial"/>
          <w:color w:val="000000" w:themeColor="text1"/>
        </w:rPr>
        <w:t xml:space="preserve"> </w:t>
      </w:r>
      <w:r w:rsidRPr="00EF0E6B">
        <w:rPr>
          <w:rFonts w:cs="Arial"/>
          <w:color w:val="000000" w:themeColor="text1"/>
        </w:rPr>
        <w:t xml:space="preserve">overlapping considerations here, albeit driven by distinct agendas. </w:t>
      </w:r>
    </w:p>
    <w:p w14:paraId="2B26AE4D" w14:textId="2C4DA0E3" w:rsidR="00F33D40" w:rsidRPr="00EF0E6B" w:rsidRDefault="00F33D40" w:rsidP="0003652C">
      <w:pPr>
        <w:spacing w:line="360" w:lineRule="auto"/>
        <w:jc w:val="both"/>
        <w:rPr>
          <w:rFonts w:cs="Arial"/>
        </w:rPr>
      </w:pPr>
      <w:r w:rsidRPr="00EF0E6B">
        <w:rPr>
          <w:rFonts w:cs="Arial"/>
        </w:rPr>
        <w:t xml:space="preserve">The </w:t>
      </w:r>
      <w:r w:rsidRPr="0064283C">
        <w:rPr>
          <w:rFonts w:cs="Arial"/>
        </w:rPr>
        <w:t xml:space="preserve">distinction </w:t>
      </w:r>
      <w:r w:rsidR="0064283C">
        <w:rPr>
          <w:rFonts w:cs="Arial"/>
        </w:rPr>
        <w:t xml:space="preserve">drawn here </w:t>
      </w:r>
      <w:r w:rsidRPr="0064283C">
        <w:rPr>
          <w:rFonts w:cs="Arial"/>
        </w:rPr>
        <w:t>between disciplinary and non-disciplinary knowledge and</w:t>
      </w:r>
      <w:r w:rsidRPr="00EF0E6B">
        <w:rPr>
          <w:rFonts w:cs="Arial"/>
        </w:rPr>
        <w:t xml:space="preserve"> its inclusion in the curriculum is important.  The regional nature of the discipline and the potential for the discipline to integrate the ‘mundane’ through horizontal structures of knowledge is considered by Bernstein to have the </w:t>
      </w:r>
      <w:r w:rsidRPr="00EF0E6B">
        <w:rPr>
          <w:rFonts w:cs="Arial"/>
        </w:rPr>
        <w:lastRenderedPageBreak/>
        <w:t>potential to impede access to powerful knowledge</w:t>
      </w:r>
      <w:r w:rsidR="006B3732">
        <w:rPr>
          <w:rFonts w:cs="Arial"/>
        </w:rPr>
        <w:t xml:space="preserve">, with the </w:t>
      </w:r>
      <w:r w:rsidRPr="00EF0E6B">
        <w:rPr>
          <w:rFonts w:cs="Arial"/>
        </w:rPr>
        <w:t>singular disciplines provid</w:t>
      </w:r>
      <w:r w:rsidR="006B3732">
        <w:rPr>
          <w:rFonts w:cs="Arial"/>
        </w:rPr>
        <w:t>ing</w:t>
      </w:r>
      <w:r w:rsidRPr="00EF0E6B">
        <w:rPr>
          <w:rFonts w:cs="Arial"/>
        </w:rPr>
        <w:t xml:space="preserve"> access to powerful knowledge through vertical structures</w:t>
      </w:r>
      <w:r w:rsidR="006B3732">
        <w:rPr>
          <w:rFonts w:cs="Arial"/>
        </w:rPr>
        <w:t xml:space="preserve"> and </w:t>
      </w:r>
      <w:r w:rsidRPr="00EF0E6B">
        <w:rPr>
          <w:rFonts w:cs="Arial"/>
        </w:rPr>
        <w:t xml:space="preserve">regionalisation </w:t>
      </w:r>
      <w:r w:rsidR="00163C10">
        <w:rPr>
          <w:rFonts w:cs="Arial"/>
        </w:rPr>
        <w:t xml:space="preserve">being </w:t>
      </w:r>
      <w:r w:rsidR="00163C10" w:rsidRPr="00EF0E6B">
        <w:rPr>
          <w:rFonts w:cs="Arial"/>
        </w:rPr>
        <w:t>‘</w:t>
      </w:r>
      <w:r w:rsidRPr="00EF0E6B">
        <w:rPr>
          <w:rFonts w:cs="Arial"/>
        </w:rPr>
        <w:t xml:space="preserve">a crucial recontextualising procedure’ </w:t>
      </w:r>
    </w:p>
    <w:p w14:paraId="05F99386" w14:textId="5027DFA2" w:rsidR="00F33D40" w:rsidRPr="00EF0E6B" w:rsidRDefault="00F33D40" w:rsidP="0003652C">
      <w:pPr>
        <w:spacing w:line="360" w:lineRule="auto"/>
        <w:ind w:left="720"/>
        <w:jc w:val="both"/>
        <w:rPr>
          <w:rFonts w:cs="Arial"/>
        </w:rPr>
      </w:pPr>
      <w:r w:rsidRPr="00EF0E6B">
        <w:rPr>
          <w:rFonts w:cs="Arial"/>
        </w:rPr>
        <w:t>Institutions are likely to develop projected identities… those near the top are perhaps able to maintain their traditional introjected identities</w:t>
      </w:r>
      <w:r w:rsidR="004A5F24">
        <w:rPr>
          <w:rFonts w:cs="Arial"/>
        </w:rPr>
        <w:t>.</w:t>
      </w:r>
      <w:r w:rsidRPr="00EF0E6B">
        <w:rPr>
          <w:rFonts w:cs="Arial"/>
        </w:rPr>
        <w:t xml:space="preserve"> </w:t>
      </w:r>
    </w:p>
    <w:p w14:paraId="529D1D19" w14:textId="77777777" w:rsidR="00F33D40" w:rsidRPr="00EF0E6B" w:rsidRDefault="00F33D40" w:rsidP="0003652C">
      <w:pPr>
        <w:spacing w:line="360" w:lineRule="auto"/>
        <w:jc w:val="both"/>
        <w:rPr>
          <w:rFonts w:cs="Arial"/>
        </w:rPr>
      </w:pPr>
      <w:r w:rsidRPr="00EF0E6B">
        <w:rPr>
          <w:rFonts w:cs="Arial"/>
        </w:rPr>
        <w:t xml:space="preserve">And as a result, </w:t>
      </w:r>
    </w:p>
    <w:p w14:paraId="7072225E" w14:textId="1C277A94" w:rsidR="00F33D40" w:rsidRPr="00EF0E6B" w:rsidRDefault="00F33D40" w:rsidP="0003652C">
      <w:pPr>
        <w:spacing w:line="360" w:lineRule="auto"/>
        <w:ind w:left="720"/>
        <w:jc w:val="both"/>
        <w:rPr>
          <w:rFonts w:cs="Arial"/>
        </w:rPr>
      </w:pPr>
      <w:r w:rsidRPr="00EF0E6B">
        <w:rPr>
          <w:rFonts w:cs="Arial"/>
        </w:rPr>
        <w:t xml:space="preserve">The recontextualization process in higher education is therefore likely to generate a considerable diversity of pedagogic discourse. (Bernstein, 2000, </w:t>
      </w:r>
      <w:r w:rsidR="00CD6E72">
        <w:rPr>
          <w:rFonts w:cs="Arial"/>
        </w:rPr>
        <w:t>p.</w:t>
      </w:r>
      <w:r w:rsidRPr="00EF0E6B">
        <w:rPr>
          <w:rFonts w:cs="Arial"/>
        </w:rPr>
        <w:t>60)</w:t>
      </w:r>
    </w:p>
    <w:p w14:paraId="6336E683" w14:textId="6CF8E382" w:rsidR="00F33D40" w:rsidRPr="00EF0E6B" w:rsidRDefault="00F33D40" w:rsidP="0003652C">
      <w:pPr>
        <w:spacing w:line="360" w:lineRule="auto"/>
        <w:jc w:val="both"/>
        <w:rPr>
          <w:rFonts w:cs="Arial"/>
        </w:rPr>
      </w:pPr>
      <w:r w:rsidRPr="00EF0E6B">
        <w:rPr>
          <w:rFonts w:cs="Arial"/>
        </w:rPr>
        <w:t>It is therefore necessary to consider the impact on disciplinary knowledge</w:t>
      </w:r>
      <w:r w:rsidR="006B3732">
        <w:rPr>
          <w:rFonts w:cs="Arial"/>
        </w:rPr>
        <w:t xml:space="preserve"> whilst also considering the </w:t>
      </w:r>
      <w:r w:rsidR="004A5F24">
        <w:rPr>
          <w:rFonts w:cs="Arial"/>
        </w:rPr>
        <w:t>effects</w:t>
      </w:r>
      <w:r w:rsidRPr="00EF0E6B">
        <w:rPr>
          <w:rFonts w:cs="Arial"/>
        </w:rPr>
        <w:t xml:space="preserve"> on different </w:t>
      </w:r>
      <w:r w:rsidR="009B71D2">
        <w:rPr>
          <w:rFonts w:cs="Arial"/>
        </w:rPr>
        <w:t>school</w:t>
      </w:r>
      <w:r w:rsidRPr="00EF0E6B">
        <w:rPr>
          <w:rFonts w:cs="Arial"/>
        </w:rPr>
        <w:t xml:space="preserve">s. </w:t>
      </w:r>
    </w:p>
    <w:p w14:paraId="63AD7C94" w14:textId="2FC2376E" w:rsidR="00F33D40" w:rsidRPr="00EF0E6B" w:rsidRDefault="00F33D40" w:rsidP="0003652C">
      <w:pPr>
        <w:spacing w:line="360" w:lineRule="auto"/>
        <w:jc w:val="both"/>
        <w:rPr>
          <w:rFonts w:cs="Arial"/>
        </w:rPr>
      </w:pPr>
      <w:r w:rsidRPr="00EF0E6B">
        <w:rPr>
          <w:rFonts w:cs="Arial"/>
        </w:rPr>
        <w:t xml:space="preserve">The historical development of law as a discipline has been discussed </w:t>
      </w:r>
      <w:r w:rsidR="00E03FDE">
        <w:rPr>
          <w:rFonts w:cs="Arial"/>
        </w:rPr>
        <w:t xml:space="preserve">in </w:t>
      </w:r>
      <w:r w:rsidR="009D5113">
        <w:rPr>
          <w:rFonts w:cs="Arial"/>
        </w:rPr>
        <w:t>C</w:t>
      </w:r>
      <w:r w:rsidR="00E03FDE">
        <w:rPr>
          <w:rFonts w:cs="Arial"/>
        </w:rPr>
        <w:t xml:space="preserve">hapters </w:t>
      </w:r>
      <w:r w:rsidR="009D5113">
        <w:rPr>
          <w:rFonts w:cs="Arial"/>
        </w:rPr>
        <w:t>T</w:t>
      </w:r>
      <w:r w:rsidR="00E03FDE">
        <w:rPr>
          <w:rFonts w:cs="Arial"/>
        </w:rPr>
        <w:t xml:space="preserve">wo and </w:t>
      </w:r>
      <w:r w:rsidR="009D5113">
        <w:rPr>
          <w:rFonts w:cs="Arial"/>
        </w:rPr>
        <w:t>T</w:t>
      </w:r>
      <w:r w:rsidR="00E03FDE">
        <w:rPr>
          <w:rFonts w:cs="Arial"/>
        </w:rPr>
        <w:t xml:space="preserve">hree. </w:t>
      </w:r>
      <w:r w:rsidRPr="00EF0E6B">
        <w:rPr>
          <w:rFonts w:cs="Arial"/>
        </w:rPr>
        <w:t xml:space="preserve"> It is </w:t>
      </w:r>
      <w:r w:rsidR="004A5F24">
        <w:rPr>
          <w:rFonts w:cs="Arial"/>
        </w:rPr>
        <w:t>complicated largely by the divide in educational roles between universities and the profession, a distinction that has, until recently, been reflected</w:t>
      </w:r>
      <w:r w:rsidRPr="00EF0E6B">
        <w:rPr>
          <w:rFonts w:cs="Arial"/>
        </w:rPr>
        <w:t xml:space="preserve"> in the programmes of study for students wanting to enter the profession. In what is presented as a contested </w:t>
      </w:r>
      <w:r w:rsidRPr="00AB4DE6">
        <w:rPr>
          <w:rFonts w:cs="Arial"/>
        </w:rPr>
        <w:t>space</w:t>
      </w:r>
      <w:r w:rsidR="004A5F24">
        <w:rPr>
          <w:rFonts w:cs="Arial"/>
        </w:rPr>
        <w:t>,</w:t>
      </w:r>
      <w:r w:rsidRPr="00AB4DE6">
        <w:rPr>
          <w:rFonts w:cs="Arial"/>
        </w:rPr>
        <w:t xml:space="preserve"> Mc</w:t>
      </w:r>
      <w:r w:rsidR="00424F6F">
        <w:rPr>
          <w:rFonts w:cs="Arial"/>
        </w:rPr>
        <w:t>L</w:t>
      </w:r>
      <w:r w:rsidRPr="00AB4DE6">
        <w:rPr>
          <w:rFonts w:cs="Arial"/>
        </w:rPr>
        <w:t>ean et al.</w:t>
      </w:r>
      <w:r w:rsidRPr="00EF0E6B">
        <w:rPr>
          <w:rFonts w:cs="Arial"/>
        </w:rPr>
        <w:t xml:space="preserve"> consider the benchmark statement for university teaching for sociology as an appropriate source of reference,</w:t>
      </w:r>
      <w:r w:rsidR="00E03FDE">
        <w:rPr>
          <w:rFonts w:cs="Arial"/>
        </w:rPr>
        <w:t xml:space="preserve"> arguing that it ‘</w:t>
      </w:r>
      <w:r w:rsidRPr="00EF0E6B">
        <w:rPr>
          <w:rFonts w:cs="Arial"/>
        </w:rPr>
        <w:t>represents a rapprochement because a team of sociologists agreed on it</w:t>
      </w:r>
      <w:r w:rsidR="00E03FDE">
        <w:rPr>
          <w:rFonts w:cs="Arial"/>
        </w:rPr>
        <w:t>’</w:t>
      </w:r>
      <w:r w:rsidRPr="00EF0E6B">
        <w:rPr>
          <w:rFonts w:cs="Arial"/>
        </w:rPr>
        <w:t xml:space="preserve"> (Mc</w:t>
      </w:r>
      <w:r w:rsidR="00424F6F">
        <w:rPr>
          <w:rFonts w:cs="Arial"/>
        </w:rPr>
        <w:t>L</w:t>
      </w:r>
      <w:r w:rsidRPr="00EF0E6B">
        <w:rPr>
          <w:rFonts w:cs="Arial"/>
        </w:rPr>
        <w:t>ean et al., 201</w:t>
      </w:r>
      <w:r w:rsidR="00AB4DE6">
        <w:rPr>
          <w:rFonts w:cs="Arial"/>
        </w:rPr>
        <w:t>8</w:t>
      </w:r>
      <w:r w:rsidRPr="00EF0E6B">
        <w:rPr>
          <w:rFonts w:cs="Arial"/>
        </w:rPr>
        <w:t xml:space="preserve">, </w:t>
      </w:r>
      <w:r w:rsidR="00CD6E72">
        <w:rPr>
          <w:rFonts w:cs="Arial"/>
        </w:rPr>
        <w:t>p.</w:t>
      </w:r>
      <w:r w:rsidRPr="00EF0E6B">
        <w:rPr>
          <w:rFonts w:cs="Arial"/>
        </w:rPr>
        <w:t>81).</w:t>
      </w:r>
      <w:r w:rsidR="00E03FDE">
        <w:rPr>
          <w:rFonts w:cs="Arial"/>
        </w:rPr>
        <w:t xml:space="preserve"> In the same way</w:t>
      </w:r>
      <w:r w:rsidR="004A5F24">
        <w:rPr>
          <w:rFonts w:cs="Arial"/>
        </w:rPr>
        <w:t>,</w:t>
      </w:r>
      <w:r w:rsidR="00E03FDE">
        <w:rPr>
          <w:rFonts w:cs="Arial"/>
        </w:rPr>
        <w:t xml:space="preserve"> reference to the </w:t>
      </w:r>
      <w:r w:rsidRPr="00EF0E6B">
        <w:rPr>
          <w:rFonts w:cs="Arial"/>
        </w:rPr>
        <w:t xml:space="preserve">Law benchmark </w:t>
      </w:r>
      <w:r w:rsidR="00E03FDE">
        <w:rPr>
          <w:rFonts w:cs="Arial"/>
        </w:rPr>
        <w:t>might be useful. The QAA Law Benchmark</w:t>
      </w:r>
      <w:r w:rsidRPr="00EF0E6B">
        <w:rPr>
          <w:rFonts w:cs="Arial"/>
        </w:rPr>
        <w:t xml:space="preserve"> states in its opening line, ‘Studying law at undergraduate level is an academic matter’.  It goes on to state,</w:t>
      </w:r>
    </w:p>
    <w:p w14:paraId="068D08C4" w14:textId="3B0254B7" w:rsidR="00F33D40" w:rsidRPr="00EF0E6B" w:rsidRDefault="00F33D40" w:rsidP="006370E7">
      <w:pPr>
        <w:spacing w:line="360" w:lineRule="auto"/>
        <w:ind w:left="720"/>
        <w:jc w:val="both"/>
        <w:rPr>
          <w:rFonts w:cs="Arial"/>
        </w:rPr>
      </w:pPr>
      <w:r w:rsidRPr="00EF0E6B">
        <w:rPr>
          <w:rFonts w:cs="Arial"/>
        </w:rPr>
        <w:t>The study of law includes an appreciation of the complexity of legal rules and concepts, ethical rules and principles, a respect for context and evidence, and an awareness of the importance of principles of justice and the rule of law. As a discipline, law also draws on a range of methods and concepts from the humanities and social sciences, and a variety of approaches, contexts, and disciplinary associations are potentially involved in legal study and practice (QAA, 2023</w:t>
      </w:r>
      <w:r w:rsidR="004A5F24">
        <w:rPr>
          <w:rFonts w:cs="Arial"/>
        </w:rPr>
        <w:t>,</w:t>
      </w:r>
      <w:r w:rsidR="004A5F24" w:rsidRPr="00EF0E6B">
        <w:rPr>
          <w:rFonts w:cs="Arial"/>
        </w:rPr>
        <w:t xml:space="preserve"> </w:t>
      </w:r>
      <w:r w:rsidR="004A5F24">
        <w:rPr>
          <w:rFonts w:cs="Arial"/>
        </w:rPr>
        <w:t>p.</w:t>
      </w:r>
      <w:r w:rsidRPr="00EF0E6B">
        <w:rPr>
          <w:rFonts w:cs="Arial"/>
        </w:rPr>
        <w:t xml:space="preserve"> 9)</w:t>
      </w:r>
    </w:p>
    <w:p w14:paraId="76A175A5" w14:textId="6378B63D" w:rsidR="00F33D40" w:rsidRPr="00EF0E6B" w:rsidRDefault="00F33D40" w:rsidP="0003652C">
      <w:pPr>
        <w:spacing w:line="360" w:lineRule="auto"/>
        <w:jc w:val="both"/>
        <w:rPr>
          <w:rFonts w:cs="Arial"/>
        </w:rPr>
      </w:pPr>
      <w:r w:rsidRPr="00EF0E6B">
        <w:rPr>
          <w:rFonts w:cs="Arial"/>
        </w:rPr>
        <w:lastRenderedPageBreak/>
        <w:t>The benchmark statement specifically highlights equality, diversity and inclusion, accessibility, sustainability</w:t>
      </w:r>
      <w:r w:rsidR="00E03FDE">
        <w:rPr>
          <w:rFonts w:cs="Arial"/>
        </w:rPr>
        <w:t>,</w:t>
      </w:r>
      <w:r w:rsidRPr="00EF0E6B">
        <w:rPr>
          <w:rFonts w:cs="Arial"/>
        </w:rPr>
        <w:t xml:space="preserve"> entrepreneurship and enterprise as behaviours that providers should consider when providing students with ‘proficiency in legal understanding’ and skills (</w:t>
      </w:r>
      <w:r w:rsidR="00CD6E72">
        <w:rPr>
          <w:rFonts w:cs="Arial"/>
        </w:rPr>
        <w:t>QAA, 2003. p.</w:t>
      </w:r>
      <w:r w:rsidRPr="00EF0E6B">
        <w:rPr>
          <w:rFonts w:cs="Arial"/>
        </w:rPr>
        <w:t xml:space="preserve">3). </w:t>
      </w:r>
    </w:p>
    <w:p w14:paraId="2B2B2378" w14:textId="5E8CE98F" w:rsidR="00F33D40" w:rsidRPr="00EF0E6B" w:rsidRDefault="00E03FDE" w:rsidP="0003652C">
      <w:pPr>
        <w:spacing w:line="360" w:lineRule="auto"/>
        <w:jc w:val="both"/>
        <w:rPr>
          <w:rFonts w:cs="Arial"/>
        </w:rPr>
      </w:pPr>
      <w:r>
        <w:rPr>
          <w:rFonts w:cs="Arial"/>
        </w:rPr>
        <w:t>The benchmark</w:t>
      </w:r>
      <w:r w:rsidR="00F33D40" w:rsidRPr="00EF0E6B">
        <w:rPr>
          <w:rFonts w:cs="Arial"/>
        </w:rPr>
        <w:t xml:space="preserve"> has changed quite substantially in terms of language in its latest iteration. It arrived with a batch of other subject benchmarks to a fanfare of press attention, accusing the QAA of dictating a woke agenda, when in fact it represents a non-mandatory advisory statement created by academic scholars in the area. </w:t>
      </w:r>
    </w:p>
    <w:p w14:paraId="30FC750E" w14:textId="28F4201F" w:rsidR="00F33D40" w:rsidRPr="00EF0E6B" w:rsidRDefault="00F33D40" w:rsidP="0003652C">
      <w:pPr>
        <w:spacing w:line="360" w:lineRule="auto"/>
        <w:ind w:left="720"/>
        <w:jc w:val="both"/>
        <w:rPr>
          <w:rFonts w:cs="Arial"/>
        </w:rPr>
      </w:pPr>
      <w:r w:rsidRPr="00EF0E6B">
        <w:rPr>
          <w:rFonts w:cs="Arial"/>
        </w:rPr>
        <w:t xml:space="preserve">The </w:t>
      </w:r>
      <w:r w:rsidR="00E03FDE">
        <w:rPr>
          <w:rFonts w:cs="Arial"/>
        </w:rPr>
        <w:t>subject benchmark</w:t>
      </w:r>
      <w:r w:rsidR="004A5F24">
        <w:rPr>
          <w:rFonts w:cs="Arial"/>
        </w:rPr>
        <w:t>,</w:t>
      </w:r>
      <w:r w:rsidRPr="00EF0E6B">
        <w:rPr>
          <w:rFonts w:cs="Arial"/>
        </w:rPr>
        <w:t xml:space="preserve"> therefore</w:t>
      </w:r>
      <w:r w:rsidR="004A5F24">
        <w:rPr>
          <w:rFonts w:cs="Arial"/>
        </w:rPr>
        <w:t>,</w:t>
      </w:r>
      <w:r w:rsidRPr="00EF0E6B">
        <w:rPr>
          <w:rFonts w:cs="Arial"/>
        </w:rPr>
        <w:t xml:space="preserve"> remains one of the few areas that we as a scholarly community largely control. We abandon it at our peril. (Ashford, 2024. </w:t>
      </w:r>
      <w:r w:rsidR="00CD6E72">
        <w:rPr>
          <w:rFonts w:cs="Arial"/>
        </w:rPr>
        <w:t>p.</w:t>
      </w:r>
      <w:r w:rsidRPr="00EF0E6B">
        <w:rPr>
          <w:rFonts w:cs="Arial"/>
        </w:rPr>
        <w:t>424)</w:t>
      </w:r>
    </w:p>
    <w:p w14:paraId="60237858" w14:textId="4C9EDED6" w:rsidR="00F33D40" w:rsidRPr="00EF0E6B" w:rsidRDefault="00F33D40" w:rsidP="0003652C">
      <w:pPr>
        <w:spacing w:line="360" w:lineRule="auto"/>
        <w:jc w:val="both"/>
        <w:rPr>
          <w:rFonts w:cs="Arial"/>
        </w:rPr>
      </w:pPr>
      <w:r w:rsidRPr="00EF0E6B">
        <w:rPr>
          <w:rFonts w:cs="Arial"/>
        </w:rPr>
        <w:t>Having said that</w:t>
      </w:r>
      <w:r w:rsidR="004A5F24">
        <w:rPr>
          <w:rFonts w:cs="Arial"/>
        </w:rPr>
        <w:t>,</w:t>
      </w:r>
      <w:r w:rsidRPr="00EF0E6B">
        <w:rPr>
          <w:rFonts w:cs="Arial"/>
        </w:rPr>
        <w:t xml:space="preserve"> these benchmark statements are not always received with </w:t>
      </w:r>
      <w:r w:rsidRPr="00EE4AED">
        <w:rPr>
          <w:rFonts w:cs="Arial"/>
        </w:rPr>
        <w:t>universal approval from within or outside of the academy (Wonkhe, 2022), and the reflections in this investigation in relation to this and previous subject benchmarks do not present the influence of the benchmark statement as transformative. This was reflected on by one designer who had considered the recent benchmark,</w:t>
      </w:r>
    </w:p>
    <w:p w14:paraId="4BCCB524" w14:textId="3B2B16C7" w:rsidR="00F33D40" w:rsidRPr="00EF0E6B" w:rsidRDefault="00F33D40" w:rsidP="0003652C">
      <w:pPr>
        <w:spacing w:line="360" w:lineRule="auto"/>
        <w:ind w:left="720"/>
        <w:jc w:val="both"/>
        <w:rPr>
          <w:rFonts w:cs="Arial"/>
        </w:rPr>
      </w:pPr>
      <w:r w:rsidRPr="00EF0E6B">
        <w:rPr>
          <w:rFonts w:cs="Arial"/>
        </w:rPr>
        <w:t xml:space="preserve">In fact, my reading of them is that they’re quite woolly, and you can probably argue that most things that we would do would meet them. </w:t>
      </w:r>
      <w:r w:rsidR="00AE7446">
        <w:rPr>
          <w:rFonts w:cs="Arial"/>
        </w:rPr>
        <w:t>(SS)</w:t>
      </w:r>
    </w:p>
    <w:p w14:paraId="074DF282" w14:textId="1A5A4093" w:rsidR="00F33D40" w:rsidRPr="00EF0E6B" w:rsidRDefault="00F33D40" w:rsidP="0003652C">
      <w:pPr>
        <w:spacing w:line="360" w:lineRule="auto"/>
        <w:jc w:val="both"/>
        <w:rPr>
          <w:rFonts w:cs="Arial"/>
        </w:rPr>
      </w:pPr>
      <w:r w:rsidRPr="00EF0E6B">
        <w:rPr>
          <w:rFonts w:cs="Arial"/>
        </w:rPr>
        <w:t>Whilst another felt it may just have an impact on the language used in the documentation for review, and coupled with other regulatory documents</w:t>
      </w:r>
      <w:r w:rsidR="004A5F24">
        <w:rPr>
          <w:rFonts w:cs="Arial"/>
        </w:rPr>
        <w:t>,</w:t>
      </w:r>
      <w:r w:rsidRPr="00EF0E6B">
        <w:rPr>
          <w:rFonts w:cs="Arial"/>
        </w:rPr>
        <w:t xml:space="preserve"> the general attitude was reflected in this statement,</w:t>
      </w:r>
    </w:p>
    <w:p w14:paraId="545D2331" w14:textId="3059C8DA" w:rsidR="00F33D40" w:rsidRPr="00EF0E6B" w:rsidRDefault="00F33D40" w:rsidP="0003652C">
      <w:pPr>
        <w:spacing w:line="360" w:lineRule="auto"/>
        <w:ind w:left="720"/>
        <w:jc w:val="both"/>
        <w:rPr>
          <w:rFonts w:cs="Arial"/>
        </w:rPr>
      </w:pPr>
      <w:r w:rsidRPr="00EF0E6B">
        <w:rPr>
          <w:rFonts w:cs="Arial"/>
        </w:rPr>
        <w:t xml:space="preserve">It’s really interesting how there are so many guidance documents that are seen to be important by the regulators that no one pays any attention to, or certainly no one at </w:t>
      </w:r>
      <w:r w:rsidR="009A6D5C">
        <w:rPr>
          <w:rFonts w:cs="Arial"/>
        </w:rPr>
        <w:t xml:space="preserve">the </w:t>
      </w:r>
      <w:r w:rsidRPr="00EF0E6B">
        <w:rPr>
          <w:rFonts w:cs="Arial"/>
        </w:rPr>
        <w:t>school level is paying attention to</w:t>
      </w:r>
      <w:r w:rsidR="00AE7446">
        <w:rPr>
          <w:rFonts w:cs="Arial"/>
        </w:rPr>
        <w:t xml:space="preserve"> (S)</w:t>
      </w:r>
    </w:p>
    <w:p w14:paraId="0EF7BEE6" w14:textId="4B4B48DC" w:rsidR="00F33D40" w:rsidRPr="00EF0E6B" w:rsidRDefault="00F33D40" w:rsidP="006370E7">
      <w:pPr>
        <w:spacing w:line="360" w:lineRule="auto"/>
        <w:jc w:val="both"/>
        <w:rPr>
          <w:rFonts w:cs="Arial"/>
        </w:rPr>
      </w:pPr>
      <w:r w:rsidRPr="00EF0E6B">
        <w:rPr>
          <w:rFonts w:cs="Arial"/>
        </w:rPr>
        <w:lastRenderedPageBreak/>
        <w:t>Th</w:t>
      </w:r>
      <w:r w:rsidR="00164A9E">
        <w:rPr>
          <w:rFonts w:cs="Arial"/>
        </w:rPr>
        <w:t>e</w:t>
      </w:r>
      <w:r w:rsidRPr="00EF0E6B">
        <w:rPr>
          <w:rFonts w:cs="Arial"/>
        </w:rPr>
        <w:t xml:space="preserve"> statement</w:t>
      </w:r>
      <w:r w:rsidR="009A6D5C">
        <w:rPr>
          <w:rFonts w:cs="Arial"/>
        </w:rPr>
        <w:t>,</w:t>
      </w:r>
      <w:r w:rsidRPr="00EF0E6B">
        <w:rPr>
          <w:rFonts w:cs="Arial"/>
        </w:rPr>
        <w:t xml:space="preserve"> therefore</w:t>
      </w:r>
      <w:r w:rsidR="009A6D5C">
        <w:rPr>
          <w:rFonts w:cs="Arial"/>
        </w:rPr>
        <w:t>,</w:t>
      </w:r>
      <w:r w:rsidRPr="00EF0E6B">
        <w:rPr>
          <w:rFonts w:cs="Arial"/>
        </w:rPr>
        <w:t xml:space="preserve"> will not be seen as an influence here but might be useful as a reference point </w:t>
      </w:r>
      <w:r w:rsidR="009A6D5C">
        <w:rPr>
          <w:rFonts w:cs="Arial"/>
        </w:rPr>
        <w:t>for</w:t>
      </w:r>
      <w:r w:rsidRPr="00EF0E6B">
        <w:rPr>
          <w:rFonts w:cs="Arial"/>
        </w:rPr>
        <w:t xml:space="preserve"> what a degree might include and the disciplinary identities it might create. </w:t>
      </w:r>
    </w:p>
    <w:p w14:paraId="1BA64E99" w14:textId="223702C1" w:rsidR="00F33D40" w:rsidRPr="006370E7" w:rsidRDefault="00F33D40" w:rsidP="006370E7">
      <w:pPr>
        <w:spacing w:line="360" w:lineRule="auto"/>
        <w:jc w:val="both"/>
        <w:rPr>
          <w:rFonts w:cs="Arial"/>
          <w:color w:val="000000" w:themeColor="text1"/>
        </w:rPr>
      </w:pPr>
      <w:r w:rsidRPr="00EF0E6B">
        <w:rPr>
          <w:rFonts w:cs="Arial"/>
          <w:color w:val="000000" w:themeColor="text1"/>
        </w:rPr>
        <w:t xml:space="preserve">This chapter will first present </w:t>
      </w:r>
      <w:r w:rsidR="009A6D5C">
        <w:rPr>
          <w:rFonts w:cs="Arial"/>
          <w:color w:val="000000" w:themeColor="text1"/>
        </w:rPr>
        <w:t>themes arising from the data that illustrate the impact of the discipline's projected nature,</w:t>
      </w:r>
      <w:r w:rsidRPr="00EF0E6B">
        <w:rPr>
          <w:rFonts w:cs="Arial"/>
          <w:color w:val="000000" w:themeColor="text1"/>
        </w:rPr>
        <w:t xml:space="preserve"> looking externally to other disciplines and the profession. I then turn to the internal structures of degrees and what</w:t>
      </w:r>
      <w:r w:rsidR="009A6D5C">
        <w:rPr>
          <w:rFonts w:cs="Arial"/>
          <w:color w:val="000000" w:themeColor="text1"/>
        </w:rPr>
        <w:t>,</w:t>
      </w:r>
      <w:r w:rsidRPr="00EF0E6B">
        <w:rPr>
          <w:rFonts w:cs="Arial"/>
          <w:color w:val="000000" w:themeColor="text1"/>
        </w:rPr>
        <w:t xml:space="preserve"> if any</w:t>
      </w:r>
      <w:r w:rsidR="009A6D5C">
        <w:rPr>
          <w:rFonts w:cs="Arial"/>
          <w:color w:val="000000" w:themeColor="text1"/>
        </w:rPr>
        <w:t>,</w:t>
      </w:r>
      <w:r w:rsidRPr="00EF0E6B">
        <w:rPr>
          <w:rFonts w:cs="Arial"/>
          <w:color w:val="000000" w:themeColor="text1"/>
        </w:rPr>
        <w:t xml:space="preserve"> impact the agents in the PRF have on that. </w:t>
      </w:r>
    </w:p>
    <w:p w14:paraId="4E70788C" w14:textId="2887A107" w:rsidR="006F3BFC" w:rsidRPr="00EF0E6B" w:rsidRDefault="00F33D40" w:rsidP="0003652C">
      <w:pPr>
        <w:pStyle w:val="Heading2"/>
        <w:spacing w:before="100" w:after="100" w:afterAutospacing="1" w:line="360" w:lineRule="auto"/>
        <w:rPr>
          <w:rFonts w:ascii="Arial" w:hAnsi="Arial" w:cs="Arial"/>
          <w:lang w:val="fr-FR"/>
        </w:rPr>
      </w:pPr>
      <w:bookmarkStart w:id="80" w:name="_Toc223348869"/>
      <w:r w:rsidRPr="00EF0E6B">
        <w:rPr>
          <w:rFonts w:ascii="Arial" w:hAnsi="Arial" w:cs="Arial"/>
          <w:lang w:val="fr-FR"/>
        </w:rPr>
        <w:t>Inter</w:t>
      </w:r>
      <w:r w:rsidR="00347F9A">
        <w:rPr>
          <w:rFonts w:ascii="Arial" w:hAnsi="Arial" w:cs="Arial"/>
          <w:lang w:val="fr-FR"/>
        </w:rPr>
        <w:t>-</w:t>
      </w:r>
      <w:r w:rsidRPr="00EF0E6B">
        <w:rPr>
          <w:rFonts w:ascii="Arial" w:hAnsi="Arial" w:cs="Arial"/>
          <w:lang w:val="fr-FR"/>
        </w:rPr>
        <w:t>disciplinary approaches</w:t>
      </w:r>
      <w:bookmarkEnd w:id="80"/>
    </w:p>
    <w:p w14:paraId="22CFAA41" w14:textId="558BC14F" w:rsidR="00F33D40" w:rsidRPr="00EF0E6B" w:rsidRDefault="00F33D40" w:rsidP="0003652C">
      <w:pPr>
        <w:spacing w:line="360" w:lineRule="auto"/>
        <w:jc w:val="both"/>
        <w:rPr>
          <w:rFonts w:cs="Arial"/>
        </w:rPr>
      </w:pPr>
      <w:r w:rsidRPr="00EF0E6B">
        <w:rPr>
          <w:rFonts w:cs="Arial"/>
        </w:rPr>
        <w:t xml:space="preserve">Many of the designers reflected on relationships within the university with other disciplines within the context of course design. Interdisciplinarity has posed challenges for course designers for many years. Initiatives to create </w:t>
      </w:r>
      <w:r w:rsidR="009A6D5C">
        <w:rPr>
          <w:rFonts w:cs="Arial"/>
        </w:rPr>
        <w:t>interdisciplinary</w:t>
      </w:r>
      <w:r w:rsidRPr="00EF0E6B">
        <w:rPr>
          <w:rFonts w:cs="Arial"/>
        </w:rPr>
        <w:t xml:space="preserve"> </w:t>
      </w:r>
      <w:r w:rsidR="009A6D5C">
        <w:rPr>
          <w:rFonts w:cs="Arial"/>
        </w:rPr>
        <w:t>programmes</w:t>
      </w:r>
      <w:r w:rsidRPr="00EF0E6B">
        <w:rPr>
          <w:rFonts w:cs="Arial"/>
        </w:rPr>
        <w:t xml:space="preserve"> often result in the slotting together of two subjects, taught differently </w:t>
      </w:r>
      <w:r w:rsidR="00E03FDE">
        <w:rPr>
          <w:rFonts w:cs="Arial"/>
        </w:rPr>
        <w:t>from</w:t>
      </w:r>
      <w:r w:rsidRPr="00EF0E6B">
        <w:rPr>
          <w:rFonts w:cs="Arial"/>
        </w:rPr>
        <w:t xml:space="preserve"> their host courses and lack</w:t>
      </w:r>
      <w:r w:rsidR="00E03FDE">
        <w:rPr>
          <w:rFonts w:cs="Arial"/>
        </w:rPr>
        <w:t>ing</w:t>
      </w:r>
      <w:r w:rsidRPr="00EF0E6B">
        <w:rPr>
          <w:rFonts w:cs="Arial"/>
        </w:rPr>
        <w:t xml:space="preserve"> a holistic approach for students on the </w:t>
      </w:r>
      <w:r w:rsidRPr="00EF0E6B">
        <w:rPr>
          <w:rFonts w:cs="Arial"/>
          <w:color w:val="000000" w:themeColor="text1"/>
        </w:rPr>
        <w:t>programmes (Barrett, 2012).</w:t>
      </w:r>
    </w:p>
    <w:p w14:paraId="42D687AA" w14:textId="02CF4CF5" w:rsidR="00F33D40" w:rsidRPr="00EF0E6B" w:rsidRDefault="00E03FDE" w:rsidP="0003652C">
      <w:pPr>
        <w:spacing w:line="360" w:lineRule="auto"/>
        <w:jc w:val="both"/>
        <w:rPr>
          <w:rFonts w:cs="Arial"/>
        </w:rPr>
      </w:pPr>
      <w:r>
        <w:rPr>
          <w:rFonts w:cs="Arial"/>
        </w:rPr>
        <w:t xml:space="preserve">Drawing on Bernstein’s tools for analysis here, Legal education’s regionality might explain </w:t>
      </w:r>
      <w:r w:rsidR="00347F9A">
        <w:rPr>
          <w:rFonts w:cs="Arial"/>
        </w:rPr>
        <w:t>the potential for the discipline to interact with other disciplines</w:t>
      </w:r>
      <w:r w:rsidR="009A6D5C">
        <w:rPr>
          <w:rFonts w:cs="Arial"/>
        </w:rPr>
        <w:t>. Still,</w:t>
      </w:r>
      <w:r>
        <w:rPr>
          <w:rFonts w:cs="Arial"/>
        </w:rPr>
        <w:t xml:space="preserve"> </w:t>
      </w:r>
      <w:r w:rsidR="00347F9A">
        <w:rPr>
          <w:rFonts w:cs="Arial"/>
        </w:rPr>
        <w:t>it is necessary to consider</w:t>
      </w:r>
      <w:r w:rsidR="00F33D40" w:rsidRPr="00EF0E6B">
        <w:rPr>
          <w:rFonts w:cs="Arial"/>
        </w:rPr>
        <w:t xml:space="preserve"> Bernstein</w:t>
      </w:r>
      <w:r w:rsidR="00347F9A">
        <w:rPr>
          <w:rFonts w:cs="Arial"/>
        </w:rPr>
        <w:t>’s</w:t>
      </w:r>
      <w:r w:rsidR="00F33D40" w:rsidRPr="00EF0E6B">
        <w:rPr>
          <w:rFonts w:cs="Arial"/>
        </w:rPr>
        <w:t xml:space="preserve"> </w:t>
      </w:r>
      <w:r w:rsidR="00347F9A">
        <w:rPr>
          <w:rFonts w:cs="Arial"/>
        </w:rPr>
        <w:t>horizontal and vertical knowledge structures to see how these might integrate (Section 3.3).</w:t>
      </w:r>
      <w:r w:rsidR="00F33D40" w:rsidRPr="00EF0E6B">
        <w:rPr>
          <w:rFonts w:cs="Arial"/>
        </w:rPr>
        <w:t xml:space="preserve"> The subjects’ relationship might be horizontal</w:t>
      </w:r>
      <w:r w:rsidR="009A6D5C">
        <w:rPr>
          <w:rFonts w:cs="Arial"/>
        </w:rPr>
        <w:t>.</w:t>
      </w:r>
      <w:r w:rsidR="00F33D40" w:rsidRPr="00EF0E6B">
        <w:rPr>
          <w:rFonts w:cs="Arial"/>
        </w:rPr>
        <w:t xml:space="preserve"> </w:t>
      </w:r>
      <w:r w:rsidR="009A6D5C">
        <w:rPr>
          <w:rFonts w:cs="Arial"/>
        </w:rPr>
        <w:t>S</w:t>
      </w:r>
      <w:r w:rsidR="00F33D40" w:rsidRPr="00EF0E6B">
        <w:rPr>
          <w:rFonts w:cs="Arial"/>
        </w:rPr>
        <w:t>o encouraging integration across subjects, with ‘potential discursive gaps’ allowing for higher level enquiry (Bernstein, 2000</w:t>
      </w:r>
      <w:r w:rsidR="009A6D5C">
        <w:rPr>
          <w:rFonts w:cs="Arial"/>
        </w:rPr>
        <w:t>,</w:t>
      </w:r>
      <w:r w:rsidR="009A6D5C" w:rsidRPr="00EF0E6B">
        <w:rPr>
          <w:rFonts w:cs="Arial"/>
        </w:rPr>
        <w:t xml:space="preserve"> </w:t>
      </w:r>
      <w:r w:rsidR="009A6D5C">
        <w:rPr>
          <w:rFonts w:cs="Arial"/>
        </w:rPr>
        <w:t>p.</w:t>
      </w:r>
      <w:r w:rsidR="00F33D40" w:rsidRPr="00EF0E6B">
        <w:rPr>
          <w:rFonts w:cs="Arial"/>
        </w:rPr>
        <w:t xml:space="preserve"> 30), or it might represent a ‘collection code’ where the subjects are segmented</w:t>
      </w:r>
      <w:r w:rsidR="009A6D5C">
        <w:rPr>
          <w:rFonts w:cs="Arial"/>
        </w:rPr>
        <w:t>.</w:t>
      </w:r>
      <w:r w:rsidR="00F33D40" w:rsidRPr="00EF0E6B">
        <w:rPr>
          <w:rFonts w:cs="Arial"/>
        </w:rPr>
        <w:t xml:space="preserve"> </w:t>
      </w:r>
      <w:r w:rsidR="009A6D5C">
        <w:rPr>
          <w:rFonts w:cs="Arial"/>
        </w:rPr>
        <w:t>T</w:t>
      </w:r>
      <w:r w:rsidR="00F33D40" w:rsidRPr="00EF0E6B">
        <w:rPr>
          <w:rFonts w:cs="Arial"/>
        </w:rPr>
        <w:t>hat gap does not appear (Bernstein, 2000</w:t>
      </w:r>
      <w:r w:rsidR="009A6D5C">
        <w:rPr>
          <w:rFonts w:cs="Arial"/>
        </w:rPr>
        <w:t>,</w:t>
      </w:r>
      <w:r w:rsidR="009A6D5C" w:rsidRPr="00EF0E6B">
        <w:rPr>
          <w:rFonts w:cs="Arial"/>
        </w:rPr>
        <w:t xml:space="preserve"> </w:t>
      </w:r>
      <w:r w:rsidR="009A6D5C">
        <w:rPr>
          <w:rFonts w:cs="Arial"/>
        </w:rPr>
        <w:t>p.</w:t>
      </w:r>
      <w:r w:rsidR="00F33D40" w:rsidRPr="00EF0E6B">
        <w:rPr>
          <w:rFonts w:cs="Arial"/>
        </w:rPr>
        <w:t xml:space="preserve"> 10). It is where the former exists that Bernstein </w:t>
      </w:r>
      <w:r w:rsidR="009A6D5C">
        <w:rPr>
          <w:rFonts w:cs="Arial"/>
        </w:rPr>
        <w:t>consider</w:t>
      </w:r>
      <w:r w:rsidR="00F33D40" w:rsidRPr="00EF0E6B">
        <w:rPr>
          <w:rFonts w:cs="Arial"/>
        </w:rPr>
        <w:t xml:space="preserve">s the potential for </w:t>
      </w:r>
      <w:r w:rsidR="009A6D5C" w:rsidRPr="00EF0E6B">
        <w:rPr>
          <w:rFonts w:cs="Arial"/>
        </w:rPr>
        <w:t>higher</w:t>
      </w:r>
      <w:r w:rsidR="009A6D5C">
        <w:rPr>
          <w:rFonts w:cs="Arial"/>
        </w:rPr>
        <w:t>-</w:t>
      </w:r>
      <w:r w:rsidR="00F33D40" w:rsidRPr="00EF0E6B">
        <w:rPr>
          <w:rFonts w:cs="Arial"/>
        </w:rPr>
        <w:t xml:space="preserve">level learning. This </w:t>
      </w:r>
      <w:r w:rsidR="009A6D5C">
        <w:rPr>
          <w:rFonts w:cs="Arial"/>
        </w:rPr>
        <w:t>could therefore provide an appropriate way to interrogate interdisciplinary</w:t>
      </w:r>
      <w:r w:rsidR="00F33D40" w:rsidRPr="00EF0E6B">
        <w:rPr>
          <w:rFonts w:cs="Arial"/>
        </w:rPr>
        <w:t xml:space="preserve"> initiatives. </w:t>
      </w:r>
    </w:p>
    <w:p w14:paraId="3E9C5852" w14:textId="56D5CCC3" w:rsidR="00F33D40" w:rsidRPr="00EF0E6B" w:rsidRDefault="00F33D40" w:rsidP="0003652C">
      <w:pPr>
        <w:spacing w:line="360" w:lineRule="auto"/>
        <w:jc w:val="both"/>
        <w:rPr>
          <w:rFonts w:cs="Arial"/>
        </w:rPr>
      </w:pPr>
      <w:r w:rsidRPr="00EF0E6B">
        <w:rPr>
          <w:rFonts w:cs="Arial"/>
        </w:rPr>
        <w:t xml:space="preserve">In the </w:t>
      </w:r>
      <w:r w:rsidR="009A6D5C">
        <w:rPr>
          <w:rFonts w:cs="Arial"/>
        </w:rPr>
        <w:t>findings, interdisciplinary initiatives were often seen as imposed as a result of a top-down recruitment-led agenda, an institutional restructuring,</w:t>
      </w:r>
      <w:r w:rsidRPr="00EF0E6B">
        <w:rPr>
          <w:rFonts w:cs="Arial"/>
        </w:rPr>
        <w:t xml:space="preserve"> or both. As with regulatory change, the advent of institutional structural change can often illustrate the struggle for control between the agents in the PRF.   University structural changes are not unusual, </w:t>
      </w:r>
      <w:r w:rsidR="009A6D5C">
        <w:rPr>
          <w:rFonts w:cs="Arial"/>
        </w:rPr>
        <w:t>usually</w:t>
      </w:r>
      <w:r w:rsidRPr="00EF0E6B">
        <w:rPr>
          <w:rFonts w:cs="Arial"/>
        </w:rPr>
        <w:t xml:space="preserve"> taking place on the back of wider resource or efficiency concerns (Woodgates, 2023).  The impact these might </w:t>
      </w:r>
      <w:r w:rsidRPr="00EF0E6B">
        <w:rPr>
          <w:rFonts w:cs="Arial"/>
        </w:rPr>
        <w:lastRenderedPageBreak/>
        <w:t>have on a degree might not be immediately obvious. On the positive side</w:t>
      </w:r>
      <w:r w:rsidR="009A6D5C">
        <w:rPr>
          <w:rFonts w:cs="Arial"/>
        </w:rPr>
        <w:t>,</w:t>
      </w:r>
      <w:r w:rsidRPr="00EF0E6B">
        <w:rPr>
          <w:rFonts w:cs="Arial"/>
        </w:rPr>
        <w:t xml:space="preserve"> university restructures can provide the opportunity for </w:t>
      </w:r>
      <w:r w:rsidR="00347F9A">
        <w:rPr>
          <w:rFonts w:cs="Arial"/>
        </w:rPr>
        <w:t xml:space="preserve">new </w:t>
      </w:r>
      <w:r w:rsidRPr="00EF0E6B">
        <w:rPr>
          <w:rFonts w:cs="Arial"/>
        </w:rPr>
        <w:t>strateg</w:t>
      </w:r>
      <w:r w:rsidR="00347F9A">
        <w:rPr>
          <w:rFonts w:cs="Arial"/>
        </w:rPr>
        <w:t>ising</w:t>
      </w:r>
      <w:r w:rsidRPr="00EF0E6B">
        <w:rPr>
          <w:rFonts w:cs="Arial"/>
        </w:rPr>
        <w:t xml:space="preserve"> and therefore programme realignment in redesign.  It might also provide positive ‘synergies’ as disciplines are moved into different administrative or structural contexts</w:t>
      </w:r>
      <w:r w:rsidR="00347F9A">
        <w:rPr>
          <w:rFonts w:cs="Arial"/>
        </w:rPr>
        <w:t>.</w:t>
      </w:r>
    </w:p>
    <w:p w14:paraId="6D9BF0DD" w14:textId="1E65A3B2" w:rsidR="00F33D40" w:rsidRPr="00EF0E6B" w:rsidRDefault="00F33D40" w:rsidP="0003652C">
      <w:pPr>
        <w:spacing w:line="360" w:lineRule="auto"/>
        <w:jc w:val="both"/>
        <w:rPr>
          <w:rFonts w:cs="Arial"/>
        </w:rPr>
      </w:pPr>
      <w:r w:rsidRPr="00EF0E6B">
        <w:rPr>
          <w:rFonts w:cs="Arial"/>
        </w:rPr>
        <w:t>These restructures can also be challenging</w:t>
      </w:r>
      <w:r w:rsidR="009A6D5C">
        <w:rPr>
          <w:rFonts w:cs="Arial"/>
        </w:rPr>
        <w:t>,</w:t>
      </w:r>
      <w:r w:rsidRPr="00EF0E6B">
        <w:rPr>
          <w:rFonts w:cs="Arial"/>
        </w:rPr>
        <w:t xml:space="preserve"> and adjusting to those new synergies </w:t>
      </w:r>
      <w:r w:rsidR="00347F9A">
        <w:rPr>
          <w:rFonts w:cs="Arial"/>
        </w:rPr>
        <w:t>may impact a</w:t>
      </w:r>
      <w:r w:rsidRPr="00EF0E6B">
        <w:rPr>
          <w:rFonts w:cs="Arial"/>
        </w:rPr>
        <w:t xml:space="preserve"> discipline</w:t>
      </w:r>
      <w:r w:rsidR="00347F9A">
        <w:rPr>
          <w:rFonts w:cs="Arial"/>
        </w:rPr>
        <w:t>’</w:t>
      </w:r>
      <w:r w:rsidRPr="00EF0E6B">
        <w:rPr>
          <w:rFonts w:cs="Arial"/>
        </w:rPr>
        <w:t xml:space="preserve">s core </w:t>
      </w:r>
      <w:r w:rsidRPr="00EF0E6B">
        <w:rPr>
          <w:rFonts w:cs="Arial"/>
          <w:color w:val="000000" w:themeColor="text1"/>
        </w:rPr>
        <w:t xml:space="preserve">identity (Barrett, 2012). </w:t>
      </w:r>
      <w:r w:rsidRPr="00EF0E6B">
        <w:rPr>
          <w:rFonts w:cs="Arial"/>
        </w:rPr>
        <w:t>Here</w:t>
      </w:r>
      <w:r w:rsidR="009A6D5C">
        <w:rPr>
          <w:rFonts w:cs="Arial"/>
        </w:rPr>
        <w:t>,</w:t>
      </w:r>
      <w:r w:rsidRPr="00EF0E6B">
        <w:rPr>
          <w:rFonts w:cs="Arial"/>
        </w:rPr>
        <w:t xml:space="preserve"> the data highlighted several instances where a restructure had taken place and was seen to have been a potential factor in the redesign of a degree. These ranged from large restructures that placed teams within different faculties or schools</w:t>
      </w:r>
      <w:r w:rsidRPr="00EF0E6B">
        <w:rPr>
          <w:rFonts w:cs="Arial"/>
          <w:color w:val="000000" w:themeColor="text1"/>
        </w:rPr>
        <w:t xml:space="preserve"> to </w:t>
      </w:r>
      <w:r w:rsidR="009A6D5C" w:rsidRPr="00EF0E6B">
        <w:rPr>
          <w:rFonts w:cs="Arial"/>
          <w:color w:val="000000" w:themeColor="text1"/>
        </w:rPr>
        <w:t>smaller</w:t>
      </w:r>
      <w:r w:rsidR="009A6D5C">
        <w:rPr>
          <w:rFonts w:cs="Arial"/>
          <w:color w:val="000000" w:themeColor="text1"/>
        </w:rPr>
        <w:t>-</w:t>
      </w:r>
      <w:r w:rsidRPr="00EF0E6B">
        <w:rPr>
          <w:rFonts w:cs="Arial"/>
          <w:color w:val="000000" w:themeColor="text1"/>
        </w:rPr>
        <w:t xml:space="preserve">scale changes that promoted the sharing of modules across programmes. </w:t>
      </w:r>
    </w:p>
    <w:p w14:paraId="6F9A1D28" w14:textId="4166B92F" w:rsidR="00F33D40" w:rsidRPr="0064283C" w:rsidRDefault="00F33D40" w:rsidP="0003652C">
      <w:pPr>
        <w:spacing w:line="360" w:lineRule="auto"/>
        <w:jc w:val="both"/>
        <w:rPr>
          <w:rFonts w:cs="Arial"/>
        </w:rPr>
      </w:pPr>
      <w:r w:rsidRPr="00EF0E6B">
        <w:rPr>
          <w:rFonts w:cs="Arial"/>
        </w:rPr>
        <w:t xml:space="preserve">Allegiances </w:t>
      </w:r>
      <w:r w:rsidR="009A6D5C">
        <w:rPr>
          <w:rFonts w:cs="Arial"/>
        </w:rPr>
        <w:t>across different disciplines through restructuring were seen as potentially both positive and negative in relation to shared modules or content, to varying</w:t>
      </w:r>
      <w:r w:rsidR="009A6D5C" w:rsidRPr="00EF0E6B">
        <w:rPr>
          <w:rFonts w:cs="Arial"/>
        </w:rPr>
        <w:t xml:space="preserve"> </w:t>
      </w:r>
      <w:r w:rsidRPr="00EF0E6B">
        <w:rPr>
          <w:rFonts w:cs="Arial"/>
        </w:rPr>
        <w:t xml:space="preserve">degrees. The movement of a school or department, and the position of the degree, was seen to have the potential for future ramifications for current colleagues </w:t>
      </w:r>
      <w:r w:rsidR="009A6D5C">
        <w:rPr>
          <w:rFonts w:cs="Arial"/>
        </w:rPr>
        <w:t xml:space="preserve">who </w:t>
      </w:r>
      <w:r w:rsidRPr="00EF0E6B">
        <w:rPr>
          <w:rFonts w:cs="Arial"/>
        </w:rPr>
        <w:t>taught across disciplinary boundaries, staff links in relation to research</w:t>
      </w:r>
      <w:r w:rsidR="00F95997">
        <w:rPr>
          <w:rFonts w:cs="Arial"/>
        </w:rPr>
        <w:t>-</w:t>
      </w:r>
      <w:r w:rsidRPr="00EF0E6B">
        <w:rPr>
          <w:rFonts w:cs="Arial"/>
        </w:rPr>
        <w:t xml:space="preserve">led teaching, and the recruitment of new colleagues. The wider positioning of the law school or department within another school was often reflected upon in light of the comparative recruitment successes of law, and law being seen to support or outgrow </w:t>
      </w:r>
      <w:r w:rsidR="009C3946">
        <w:rPr>
          <w:rFonts w:cs="Arial"/>
        </w:rPr>
        <w:t>i</w:t>
      </w:r>
      <w:r w:rsidR="000278ED" w:rsidRPr="00EF0E6B">
        <w:rPr>
          <w:rFonts w:cs="Arial"/>
        </w:rPr>
        <w:t>nterdisciplinary</w:t>
      </w:r>
      <w:r w:rsidRPr="00EF0E6B">
        <w:rPr>
          <w:rFonts w:cs="Arial"/>
        </w:rPr>
        <w:t xml:space="preserve"> relationships</w:t>
      </w:r>
      <w:r w:rsidR="009A6D5C">
        <w:rPr>
          <w:rFonts w:cs="Arial"/>
        </w:rPr>
        <w:t>.</w:t>
      </w:r>
    </w:p>
    <w:p w14:paraId="496A144B" w14:textId="4F8F5E6D" w:rsidR="00F33D40" w:rsidRPr="00EF0E6B" w:rsidRDefault="00F33D40" w:rsidP="0003652C">
      <w:pPr>
        <w:spacing w:line="360" w:lineRule="auto"/>
        <w:ind w:left="720"/>
        <w:jc w:val="both"/>
        <w:rPr>
          <w:rFonts w:cs="Arial"/>
          <w:color w:val="000000" w:themeColor="text1"/>
        </w:rPr>
      </w:pPr>
      <w:r w:rsidRPr="00EF0E6B">
        <w:rPr>
          <w:rFonts w:cs="Arial"/>
          <w:color w:val="000000" w:themeColor="text1"/>
        </w:rPr>
        <w:t>So interdisciplinary is a peace offering when another discipline was moving from popular to least popular</w:t>
      </w:r>
      <w:r w:rsidR="00AE7446">
        <w:rPr>
          <w:rFonts w:cs="Arial"/>
          <w:color w:val="000000" w:themeColor="text1"/>
        </w:rPr>
        <w:t xml:space="preserve"> (WP).</w:t>
      </w:r>
    </w:p>
    <w:p w14:paraId="05995A1D" w14:textId="14469105" w:rsidR="00F33D40" w:rsidRPr="00EF0E6B" w:rsidRDefault="00F33D40" w:rsidP="0003652C">
      <w:pPr>
        <w:spacing w:line="360" w:lineRule="auto"/>
        <w:jc w:val="both"/>
        <w:rPr>
          <w:rFonts w:cs="Arial"/>
          <w:color w:val="000000" w:themeColor="text1"/>
        </w:rPr>
      </w:pPr>
      <w:r w:rsidRPr="00EF0E6B">
        <w:rPr>
          <w:rFonts w:cs="Arial"/>
        </w:rPr>
        <w:t xml:space="preserve">This rarely impacted the content of law degrees except in relation to the availability of external modules </w:t>
      </w:r>
      <w:r w:rsidR="001C478B">
        <w:rPr>
          <w:rFonts w:cs="Arial"/>
        </w:rPr>
        <w:t>for</w:t>
      </w:r>
      <w:r w:rsidRPr="00EF0E6B">
        <w:rPr>
          <w:rFonts w:cs="Arial"/>
        </w:rPr>
        <w:t xml:space="preserve"> law students.</w:t>
      </w:r>
      <w:r w:rsidRPr="00EF0E6B">
        <w:rPr>
          <w:rFonts w:cs="Arial"/>
          <w:color w:val="000000" w:themeColor="text1"/>
        </w:rPr>
        <w:t xml:space="preserve"> </w:t>
      </w:r>
      <w:r w:rsidR="00347F9A">
        <w:rPr>
          <w:rFonts w:cs="Arial"/>
          <w:color w:val="000000" w:themeColor="text1"/>
        </w:rPr>
        <w:t xml:space="preserve">Accepting that there are potential questions over what </w:t>
      </w:r>
      <w:r w:rsidR="0064283C">
        <w:rPr>
          <w:rFonts w:cs="Arial"/>
          <w:color w:val="000000" w:themeColor="text1"/>
        </w:rPr>
        <w:t>i</w:t>
      </w:r>
      <w:r w:rsidR="000278ED">
        <w:rPr>
          <w:rFonts w:cs="Arial"/>
          <w:color w:val="000000" w:themeColor="text1"/>
        </w:rPr>
        <w:t>nter-disciplinary</w:t>
      </w:r>
      <w:r w:rsidR="00347F9A">
        <w:rPr>
          <w:rFonts w:cs="Arial"/>
          <w:color w:val="000000" w:themeColor="text1"/>
        </w:rPr>
        <w:t xml:space="preserve"> might mean </w:t>
      </w:r>
      <w:r w:rsidR="00347F9A" w:rsidRPr="00EF0E6B">
        <w:rPr>
          <w:rFonts w:cs="Arial"/>
          <w:color w:val="000000" w:themeColor="text1"/>
        </w:rPr>
        <w:t xml:space="preserve">(The Conversation, </w:t>
      </w:r>
      <w:r w:rsidR="00347F9A" w:rsidRPr="00EE4AED">
        <w:rPr>
          <w:rFonts w:cs="Arial"/>
          <w:color w:val="000000" w:themeColor="text1"/>
        </w:rPr>
        <w:t xml:space="preserve">2022), this presents law as having the </w:t>
      </w:r>
      <w:r w:rsidR="00163C10" w:rsidRPr="00EE4AED">
        <w:rPr>
          <w:rFonts w:cs="Arial"/>
          <w:color w:val="000000" w:themeColor="text1"/>
        </w:rPr>
        <w:t>psychic defences to resist external influences</w:t>
      </w:r>
      <w:r w:rsidR="000278ED" w:rsidRPr="00EE4AED">
        <w:rPr>
          <w:rFonts w:cs="Arial"/>
          <w:color w:val="000000" w:themeColor="text1"/>
        </w:rPr>
        <w:t xml:space="preserve">. </w:t>
      </w:r>
      <w:r w:rsidR="00AE7446" w:rsidRPr="00EE4AED">
        <w:rPr>
          <w:rFonts w:cs="Arial"/>
          <w:color w:val="000000" w:themeColor="text1"/>
        </w:rPr>
        <w:t>However,</w:t>
      </w:r>
      <w:r w:rsidR="000278ED" w:rsidRPr="00EE4AED">
        <w:rPr>
          <w:rFonts w:cs="Arial"/>
          <w:color w:val="000000" w:themeColor="text1"/>
        </w:rPr>
        <w:t xml:space="preserve"> in the process of resisting external influences</w:t>
      </w:r>
      <w:r w:rsidR="001C478B">
        <w:rPr>
          <w:rFonts w:cs="Arial"/>
          <w:color w:val="000000" w:themeColor="text1"/>
        </w:rPr>
        <w:t>,</w:t>
      </w:r>
      <w:r w:rsidR="000278ED" w:rsidRPr="00EE4AED">
        <w:rPr>
          <w:rFonts w:cs="Arial"/>
          <w:color w:val="000000" w:themeColor="text1"/>
        </w:rPr>
        <w:t xml:space="preserve"> there may be a </w:t>
      </w:r>
      <w:r w:rsidR="00163C10" w:rsidRPr="00EE4AED">
        <w:rPr>
          <w:rFonts w:cs="Arial"/>
          <w:color w:val="000000" w:themeColor="text1"/>
        </w:rPr>
        <w:t xml:space="preserve">closing down </w:t>
      </w:r>
      <w:r w:rsidR="000278ED" w:rsidRPr="00EE4AED">
        <w:rPr>
          <w:rFonts w:cs="Arial"/>
          <w:color w:val="000000" w:themeColor="text1"/>
        </w:rPr>
        <w:t xml:space="preserve">of </w:t>
      </w:r>
      <w:r w:rsidR="00163C10" w:rsidRPr="00EE4AED">
        <w:rPr>
          <w:rFonts w:cs="Arial"/>
          <w:color w:val="000000" w:themeColor="text1"/>
        </w:rPr>
        <w:t>opportunities</w:t>
      </w:r>
      <w:r w:rsidR="00347F9A" w:rsidRPr="00EE4AED">
        <w:rPr>
          <w:rFonts w:cs="Arial"/>
          <w:color w:val="000000" w:themeColor="text1"/>
        </w:rPr>
        <w:t xml:space="preserve"> to </w:t>
      </w:r>
      <w:r w:rsidRPr="00EE4AED">
        <w:rPr>
          <w:rFonts w:cs="Arial"/>
          <w:color w:val="000000" w:themeColor="text1"/>
        </w:rPr>
        <w:t>open t</w:t>
      </w:r>
      <w:r w:rsidR="00163C10" w:rsidRPr="00EE4AED">
        <w:rPr>
          <w:rFonts w:cs="Arial"/>
          <w:color w:val="000000" w:themeColor="text1"/>
        </w:rPr>
        <w:t>he</w:t>
      </w:r>
      <w:r w:rsidRPr="00EE4AED">
        <w:rPr>
          <w:rFonts w:cs="Arial"/>
          <w:color w:val="000000" w:themeColor="text1"/>
        </w:rPr>
        <w:t xml:space="preserve"> ‘discursive gap’ </w:t>
      </w:r>
      <w:r w:rsidR="00163C10" w:rsidRPr="00EE4AED">
        <w:rPr>
          <w:rFonts w:cs="Arial"/>
          <w:color w:val="000000" w:themeColor="text1"/>
        </w:rPr>
        <w:t xml:space="preserve">between disciplines </w:t>
      </w:r>
      <w:r w:rsidRPr="00EE4AED">
        <w:rPr>
          <w:rFonts w:cs="Arial"/>
          <w:color w:val="000000" w:themeColor="text1"/>
        </w:rPr>
        <w:t xml:space="preserve">and </w:t>
      </w:r>
      <w:r w:rsidR="001C478B">
        <w:rPr>
          <w:rFonts w:cs="Arial"/>
          <w:color w:val="000000" w:themeColor="text1"/>
        </w:rPr>
        <w:t xml:space="preserve">to </w:t>
      </w:r>
      <w:r w:rsidR="001C478B" w:rsidRPr="00EE4AED">
        <w:rPr>
          <w:rFonts w:cs="Arial"/>
          <w:color w:val="000000" w:themeColor="text1"/>
        </w:rPr>
        <w:t>giv</w:t>
      </w:r>
      <w:r w:rsidR="001C478B">
        <w:rPr>
          <w:rFonts w:cs="Arial"/>
          <w:color w:val="000000" w:themeColor="text1"/>
        </w:rPr>
        <w:t>e</w:t>
      </w:r>
      <w:r w:rsidR="001C478B" w:rsidRPr="00EE4AED">
        <w:rPr>
          <w:rFonts w:cs="Arial"/>
          <w:color w:val="000000" w:themeColor="text1"/>
        </w:rPr>
        <w:t xml:space="preserve"> </w:t>
      </w:r>
      <w:r w:rsidRPr="00EE4AED">
        <w:rPr>
          <w:rFonts w:cs="Arial"/>
          <w:color w:val="000000" w:themeColor="text1"/>
        </w:rPr>
        <w:t xml:space="preserve">the students </w:t>
      </w:r>
      <w:r w:rsidR="00163C10" w:rsidRPr="00EE4AED">
        <w:rPr>
          <w:rFonts w:cs="Arial"/>
          <w:color w:val="000000" w:themeColor="text1"/>
        </w:rPr>
        <w:t xml:space="preserve">access </w:t>
      </w:r>
      <w:r w:rsidRPr="00EE4AED">
        <w:rPr>
          <w:rFonts w:cs="Arial"/>
          <w:color w:val="000000" w:themeColor="text1"/>
        </w:rPr>
        <w:t>to higher learning. The law students’ experience</w:t>
      </w:r>
      <w:r w:rsidRPr="00EF0E6B">
        <w:rPr>
          <w:rFonts w:cs="Arial"/>
          <w:color w:val="000000" w:themeColor="text1"/>
        </w:rPr>
        <w:t xml:space="preserve"> in </w:t>
      </w:r>
      <w:r w:rsidR="0064283C">
        <w:rPr>
          <w:rFonts w:cs="Arial"/>
          <w:color w:val="000000" w:themeColor="text1"/>
        </w:rPr>
        <w:t>i</w:t>
      </w:r>
      <w:r w:rsidR="000278ED" w:rsidRPr="00EF0E6B">
        <w:rPr>
          <w:rFonts w:cs="Arial"/>
          <w:color w:val="000000" w:themeColor="text1"/>
        </w:rPr>
        <w:t>nter</w:t>
      </w:r>
      <w:r w:rsidR="000278ED">
        <w:rPr>
          <w:rFonts w:cs="Arial"/>
          <w:color w:val="000000" w:themeColor="text1"/>
        </w:rPr>
        <w:t>-</w:t>
      </w:r>
      <w:r w:rsidR="000278ED" w:rsidRPr="00EF0E6B">
        <w:rPr>
          <w:rFonts w:cs="Arial"/>
          <w:color w:val="000000" w:themeColor="text1"/>
        </w:rPr>
        <w:t>disciplinary</w:t>
      </w:r>
      <w:r w:rsidRPr="00EF0E6B">
        <w:rPr>
          <w:rFonts w:cs="Arial"/>
          <w:color w:val="000000" w:themeColor="text1"/>
        </w:rPr>
        <w:t xml:space="preserve"> contexts was often seen as a reason to avoid such </w:t>
      </w:r>
      <w:r w:rsidRPr="00EF0E6B">
        <w:rPr>
          <w:rFonts w:cs="Arial"/>
          <w:color w:val="000000" w:themeColor="text1"/>
        </w:rPr>
        <w:lastRenderedPageBreak/>
        <w:t xml:space="preserve">relationships. The identity of a student as a law student was felt to suffer when the learning happened in a different context. </w:t>
      </w:r>
    </w:p>
    <w:p w14:paraId="6722CE58" w14:textId="33930775" w:rsidR="00F33D40" w:rsidRPr="00EF0E6B" w:rsidRDefault="00F33D40" w:rsidP="0003652C">
      <w:pPr>
        <w:spacing w:line="360" w:lineRule="auto"/>
        <w:ind w:left="720"/>
        <w:jc w:val="both"/>
        <w:rPr>
          <w:rFonts w:cs="Arial"/>
        </w:rPr>
      </w:pPr>
      <w:r w:rsidRPr="00EF0E6B">
        <w:rPr>
          <w:rFonts w:cs="Arial"/>
        </w:rPr>
        <w:t>It's just that way of teaching. I think they do it in different ways, but also</w:t>
      </w:r>
      <w:r w:rsidR="001C478B">
        <w:rPr>
          <w:rFonts w:cs="Arial"/>
        </w:rPr>
        <w:t>,</w:t>
      </w:r>
      <w:r w:rsidRPr="00EF0E6B">
        <w:rPr>
          <w:rFonts w:cs="Arial"/>
        </w:rPr>
        <w:t xml:space="preserve"> our students were just thrown into the mix</w:t>
      </w:r>
      <w:r w:rsidR="001C478B">
        <w:rPr>
          <w:rFonts w:cs="Arial"/>
        </w:rPr>
        <w:t>,</w:t>
      </w:r>
      <w:r w:rsidRPr="00EF0E6B">
        <w:rPr>
          <w:rFonts w:cs="Arial"/>
        </w:rPr>
        <w:t xml:space="preserve"> and there was no sense of community. The assessment was different, the teaching was different. So we’ve actually employed (subject) lecturers</w:t>
      </w:r>
      <w:r w:rsidR="001C478B">
        <w:rPr>
          <w:rFonts w:cs="Arial"/>
        </w:rPr>
        <w:t>,</w:t>
      </w:r>
      <w:r w:rsidRPr="00EF0E6B">
        <w:rPr>
          <w:rFonts w:cs="Arial"/>
        </w:rPr>
        <w:t xml:space="preserve"> and they are teaching as we would teach law</w:t>
      </w:r>
      <w:r w:rsidR="00AE7446">
        <w:rPr>
          <w:rFonts w:cs="Arial"/>
        </w:rPr>
        <w:t xml:space="preserve"> (WP).</w:t>
      </w:r>
    </w:p>
    <w:p w14:paraId="5DC32783" w14:textId="5567087E" w:rsidR="00F33D40" w:rsidRPr="006370E7" w:rsidRDefault="00F33D40" w:rsidP="006370E7">
      <w:pPr>
        <w:spacing w:line="360" w:lineRule="auto"/>
        <w:jc w:val="both"/>
        <w:rPr>
          <w:rFonts w:cs="Arial"/>
        </w:rPr>
      </w:pPr>
      <w:r w:rsidRPr="00EE4AED">
        <w:rPr>
          <w:rFonts w:cs="Arial"/>
          <w:color w:val="000000" w:themeColor="text1"/>
        </w:rPr>
        <w:t xml:space="preserve">The changing allegiances within </w:t>
      </w:r>
      <w:r w:rsidRPr="00EE4AED">
        <w:rPr>
          <w:rFonts w:cs="Arial"/>
        </w:rPr>
        <w:t>interdisciplinary schools w</w:t>
      </w:r>
      <w:r w:rsidR="001C478B">
        <w:rPr>
          <w:rFonts w:cs="Arial"/>
        </w:rPr>
        <w:t>ere</w:t>
      </w:r>
      <w:r w:rsidRPr="00EE4AED">
        <w:rPr>
          <w:rFonts w:cs="Arial"/>
        </w:rPr>
        <w:t xml:space="preserve"> seen </w:t>
      </w:r>
      <w:r w:rsidR="001C478B">
        <w:rPr>
          <w:rFonts w:cs="Arial"/>
        </w:rPr>
        <w:t>as</w:t>
      </w:r>
      <w:r w:rsidRPr="00EE4AED">
        <w:rPr>
          <w:rFonts w:cs="Arial"/>
        </w:rPr>
        <w:t xml:space="preserve"> potentially impact</w:t>
      </w:r>
      <w:r w:rsidR="001C478B">
        <w:rPr>
          <w:rFonts w:cs="Arial"/>
        </w:rPr>
        <w:t>ing</w:t>
      </w:r>
      <w:r w:rsidRPr="00EE4AED">
        <w:rPr>
          <w:rFonts w:cs="Arial"/>
        </w:rPr>
        <w:t xml:space="preserve"> the disciplinary identity, and </w:t>
      </w:r>
      <w:r w:rsidR="00163C10" w:rsidRPr="00EE4AED">
        <w:rPr>
          <w:rFonts w:cs="Arial"/>
        </w:rPr>
        <w:t>at the behest</w:t>
      </w:r>
      <w:r w:rsidRPr="00EE4AED">
        <w:rPr>
          <w:rFonts w:cs="Arial"/>
        </w:rPr>
        <w:t xml:space="preserve"> of the university. It rarely actually impacted the degree, however</w:t>
      </w:r>
      <w:r w:rsidR="009C67F9">
        <w:rPr>
          <w:rFonts w:cs="Arial"/>
        </w:rPr>
        <w:t xml:space="preserve"> (Appendix 5, Table 7.1)</w:t>
      </w:r>
      <w:r w:rsidRPr="00EE4AED">
        <w:rPr>
          <w:rFonts w:cs="Arial"/>
        </w:rPr>
        <w:t>.  This</w:t>
      </w:r>
      <w:r w:rsidRPr="00EF0E6B">
        <w:rPr>
          <w:rFonts w:cs="Arial"/>
        </w:rPr>
        <w:t xml:space="preserve"> is noteworthy</w:t>
      </w:r>
      <w:r w:rsidR="001C478B">
        <w:rPr>
          <w:rFonts w:cs="Arial"/>
        </w:rPr>
        <w:t>,</w:t>
      </w:r>
      <w:r w:rsidRPr="00EF0E6B">
        <w:rPr>
          <w:rFonts w:cs="Arial"/>
        </w:rPr>
        <w:t xml:space="preserve"> as whilst the content of the degree, and so the design, was not seen to suffer</w:t>
      </w:r>
      <w:r w:rsidR="00163C10">
        <w:rPr>
          <w:rFonts w:cs="Arial"/>
        </w:rPr>
        <w:t xml:space="preserve">, </w:t>
      </w:r>
      <w:r w:rsidRPr="00EF0E6B">
        <w:rPr>
          <w:rFonts w:cs="Arial"/>
        </w:rPr>
        <w:t xml:space="preserve">the perceived dangers of the impact on the regulatory discourse or social order, and on </w:t>
      </w:r>
      <w:r w:rsidR="001D3092" w:rsidRPr="00EF0E6B">
        <w:rPr>
          <w:rFonts w:cs="Arial"/>
        </w:rPr>
        <w:t>students’</w:t>
      </w:r>
      <w:r w:rsidR="001D3092">
        <w:rPr>
          <w:rFonts w:cs="Arial"/>
        </w:rPr>
        <w:t xml:space="preserve"> </w:t>
      </w:r>
      <w:r w:rsidRPr="00EF0E6B">
        <w:rPr>
          <w:rFonts w:cs="Arial"/>
        </w:rPr>
        <w:t>identit</w:t>
      </w:r>
      <w:r w:rsidR="0064283C">
        <w:rPr>
          <w:rFonts w:cs="Arial"/>
        </w:rPr>
        <w:t>ies</w:t>
      </w:r>
      <w:r w:rsidR="00D83239">
        <w:rPr>
          <w:rFonts w:cs="Arial"/>
        </w:rPr>
        <w:t>,</w:t>
      </w:r>
      <w:r w:rsidRPr="00EF0E6B">
        <w:rPr>
          <w:rFonts w:cs="Arial"/>
        </w:rPr>
        <w:t xml:space="preserve"> </w:t>
      </w:r>
      <w:r w:rsidR="00163C10">
        <w:rPr>
          <w:rFonts w:cs="Arial"/>
        </w:rPr>
        <w:t>were seen as a threat</w:t>
      </w:r>
      <w:r w:rsidRPr="00EF0E6B">
        <w:rPr>
          <w:rFonts w:cs="Arial"/>
        </w:rPr>
        <w:t xml:space="preserve"> (Bernstein, 2000</w:t>
      </w:r>
      <w:r w:rsidR="001C478B">
        <w:rPr>
          <w:rFonts w:cs="Arial"/>
        </w:rPr>
        <w:t>. p.</w:t>
      </w:r>
      <w:r w:rsidRPr="00EF0E6B">
        <w:rPr>
          <w:rFonts w:cs="Arial"/>
        </w:rPr>
        <w:t xml:space="preserve"> 13). </w:t>
      </w:r>
    </w:p>
    <w:p w14:paraId="4BCD6355" w14:textId="020578D9" w:rsidR="006F3BFC" w:rsidRPr="00EF0E6B" w:rsidRDefault="00F33D40" w:rsidP="0003652C">
      <w:pPr>
        <w:pStyle w:val="Heading2"/>
        <w:spacing w:before="100" w:after="100" w:afterAutospacing="1" w:line="360" w:lineRule="auto"/>
        <w:rPr>
          <w:rFonts w:ascii="Arial" w:hAnsi="Arial" w:cs="Arial"/>
        </w:rPr>
      </w:pPr>
      <w:bookmarkStart w:id="81" w:name="_Toc223348870"/>
      <w:r w:rsidRPr="00EF0E6B">
        <w:rPr>
          <w:rFonts w:ascii="Arial" w:hAnsi="Arial" w:cs="Arial"/>
        </w:rPr>
        <w:t>A liberal arts or vocational degree</w:t>
      </w:r>
      <w:bookmarkEnd w:id="81"/>
    </w:p>
    <w:p w14:paraId="33141EB7" w14:textId="421BEAE3" w:rsidR="00F33D40" w:rsidRPr="00EF0E6B" w:rsidRDefault="001C478B" w:rsidP="0003652C">
      <w:pPr>
        <w:spacing w:line="360" w:lineRule="auto"/>
        <w:jc w:val="both"/>
        <w:rPr>
          <w:rFonts w:cs="Arial"/>
          <w:color w:val="000000" w:themeColor="text1"/>
        </w:rPr>
      </w:pPr>
      <w:r>
        <w:rPr>
          <w:rFonts w:cs="Arial"/>
          <w:color w:val="000000" w:themeColor="text1"/>
        </w:rPr>
        <w:t>Given</w:t>
      </w:r>
      <w:r w:rsidR="00F33D40" w:rsidRPr="00EF0E6B">
        <w:rPr>
          <w:rFonts w:cs="Arial"/>
          <w:color w:val="000000" w:themeColor="text1"/>
        </w:rPr>
        <w:t xml:space="preserve"> the projected nature of law as a discipline, it is not surprising </w:t>
      </w:r>
      <w:r>
        <w:rPr>
          <w:rFonts w:cs="Arial"/>
          <w:color w:val="000000" w:themeColor="text1"/>
        </w:rPr>
        <w:t xml:space="preserve">that </w:t>
      </w:r>
      <w:r w:rsidR="000F5D64">
        <w:rPr>
          <w:rFonts w:cs="Arial"/>
          <w:color w:val="000000" w:themeColor="text1"/>
        </w:rPr>
        <w:t>this focus</w:t>
      </w:r>
      <w:r w:rsidR="00F33D40" w:rsidRPr="00EF0E6B">
        <w:rPr>
          <w:rFonts w:cs="Arial"/>
          <w:color w:val="000000" w:themeColor="text1"/>
        </w:rPr>
        <w:t xml:space="preserve"> was prominent in discussion</w:t>
      </w:r>
      <w:r>
        <w:rPr>
          <w:rFonts w:cs="Arial"/>
          <w:color w:val="000000" w:themeColor="text1"/>
        </w:rPr>
        <w:t>s</w:t>
      </w:r>
      <w:r w:rsidR="00F33D40" w:rsidRPr="00EF0E6B">
        <w:rPr>
          <w:rFonts w:cs="Arial"/>
          <w:color w:val="000000" w:themeColor="text1"/>
        </w:rPr>
        <w:t xml:space="preserve"> about the discipline and the community</w:t>
      </w:r>
      <w:r>
        <w:rPr>
          <w:rFonts w:cs="Arial"/>
          <w:color w:val="000000" w:themeColor="text1"/>
        </w:rPr>
        <w:t>'s identities</w:t>
      </w:r>
      <w:r w:rsidR="00F33D40" w:rsidRPr="00EF0E6B">
        <w:rPr>
          <w:rFonts w:cs="Arial"/>
          <w:color w:val="000000" w:themeColor="text1"/>
        </w:rPr>
        <w:t>. As seen earlier</w:t>
      </w:r>
      <w:r>
        <w:rPr>
          <w:rFonts w:cs="Arial"/>
          <w:color w:val="000000" w:themeColor="text1"/>
        </w:rPr>
        <w:t>,</w:t>
      </w:r>
      <w:r w:rsidR="00F33D40" w:rsidRPr="00EF0E6B">
        <w:rPr>
          <w:rFonts w:cs="Arial"/>
          <w:color w:val="000000" w:themeColor="text1"/>
        </w:rPr>
        <w:t xml:space="preserve"> </w:t>
      </w:r>
      <w:r w:rsidR="000F5D64">
        <w:rPr>
          <w:rFonts w:cs="Arial"/>
          <w:color w:val="000000" w:themeColor="text1"/>
        </w:rPr>
        <w:t>the</w:t>
      </w:r>
      <w:r w:rsidR="00F33D40" w:rsidRPr="00EF0E6B">
        <w:rPr>
          <w:rFonts w:cs="Arial"/>
          <w:color w:val="000000" w:themeColor="text1"/>
        </w:rPr>
        <w:t xml:space="preserve"> division </w:t>
      </w:r>
      <w:r>
        <w:rPr>
          <w:rFonts w:cs="Arial"/>
          <w:color w:val="000000" w:themeColor="text1"/>
        </w:rPr>
        <w:t xml:space="preserve">between </w:t>
      </w:r>
      <w:r w:rsidR="00F33D40" w:rsidRPr="00EF0E6B">
        <w:rPr>
          <w:rFonts w:cs="Arial"/>
          <w:color w:val="000000" w:themeColor="text1"/>
        </w:rPr>
        <w:t>liberal arts and vocationally led curricul</w:t>
      </w:r>
      <w:r>
        <w:rPr>
          <w:rFonts w:cs="Arial"/>
          <w:color w:val="000000" w:themeColor="text1"/>
        </w:rPr>
        <w:t>a</w:t>
      </w:r>
      <w:r w:rsidR="000F5D64">
        <w:rPr>
          <w:rFonts w:cs="Arial"/>
          <w:color w:val="000000" w:themeColor="text1"/>
        </w:rPr>
        <w:t xml:space="preserve"> </w:t>
      </w:r>
      <w:r w:rsidR="00F33D40" w:rsidRPr="00EF0E6B">
        <w:rPr>
          <w:rFonts w:cs="Arial"/>
          <w:color w:val="000000" w:themeColor="text1"/>
        </w:rPr>
        <w:t xml:space="preserve">has often led to conversations about the purpose of legal education </w:t>
      </w:r>
      <w:r w:rsidR="00F33D40" w:rsidRPr="000F5D64">
        <w:rPr>
          <w:rFonts w:cs="Arial"/>
          <w:color w:val="000000" w:themeColor="text1"/>
        </w:rPr>
        <w:t>(</w:t>
      </w:r>
      <w:r>
        <w:rPr>
          <w:rFonts w:cs="Arial"/>
          <w:color w:val="000000" w:themeColor="text1"/>
        </w:rPr>
        <w:t>S</w:t>
      </w:r>
      <w:r w:rsidR="000F5D64" w:rsidRPr="000F5D64">
        <w:rPr>
          <w:rFonts w:cs="Arial"/>
          <w:color w:val="000000" w:themeColor="text1"/>
        </w:rPr>
        <w:t>ection 2.4.1</w:t>
      </w:r>
      <w:r w:rsidR="00F33D40" w:rsidRPr="000F5D64">
        <w:rPr>
          <w:rFonts w:cs="Arial"/>
          <w:color w:val="000000" w:themeColor="text1"/>
        </w:rPr>
        <w:t>).</w:t>
      </w:r>
      <w:r w:rsidR="00F33D40" w:rsidRPr="00EF0E6B">
        <w:rPr>
          <w:rFonts w:cs="Arial"/>
          <w:color w:val="000000" w:themeColor="text1"/>
        </w:rPr>
        <w:t xml:space="preserve"> It is arguably the case that an academic and vocational agenda might be </w:t>
      </w:r>
      <w:r w:rsidRPr="00EF0E6B">
        <w:rPr>
          <w:rFonts w:cs="Arial"/>
          <w:color w:val="000000" w:themeColor="text1"/>
        </w:rPr>
        <w:t>compl</w:t>
      </w:r>
      <w:r>
        <w:rPr>
          <w:rFonts w:cs="Arial"/>
          <w:color w:val="000000" w:themeColor="text1"/>
        </w:rPr>
        <w:t>e</w:t>
      </w:r>
      <w:r w:rsidRPr="00EF0E6B">
        <w:rPr>
          <w:rFonts w:cs="Arial"/>
          <w:color w:val="000000" w:themeColor="text1"/>
        </w:rPr>
        <w:t xml:space="preserve">mentary </w:t>
      </w:r>
      <w:r w:rsidR="00F33D40" w:rsidRPr="00EF0E6B">
        <w:rPr>
          <w:rFonts w:cs="Arial"/>
          <w:color w:val="000000" w:themeColor="text1"/>
        </w:rPr>
        <w:t xml:space="preserve">(McArthur, 2011), </w:t>
      </w:r>
      <w:r w:rsidR="000F5D64">
        <w:rPr>
          <w:rFonts w:cs="Arial"/>
          <w:color w:val="000000" w:themeColor="text1"/>
        </w:rPr>
        <w:t>but the impact of these often very different foc</w:t>
      </w:r>
      <w:r w:rsidR="00F95997">
        <w:rPr>
          <w:rFonts w:cs="Arial"/>
          <w:color w:val="000000" w:themeColor="text1"/>
        </w:rPr>
        <w:t>i</w:t>
      </w:r>
      <w:r w:rsidR="000F5D64">
        <w:rPr>
          <w:rFonts w:cs="Arial"/>
          <w:color w:val="000000" w:themeColor="text1"/>
        </w:rPr>
        <w:t xml:space="preserve"> </w:t>
      </w:r>
      <w:r>
        <w:rPr>
          <w:rFonts w:cs="Arial"/>
          <w:color w:val="000000" w:themeColor="text1"/>
        </w:rPr>
        <w:t xml:space="preserve">needs </w:t>
      </w:r>
      <w:r w:rsidR="000F5D64">
        <w:rPr>
          <w:rFonts w:cs="Arial"/>
          <w:color w:val="000000" w:themeColor="text1"/>
        </w:rPr>
        <w:t xml:space="preserve">to be interrogated. </w:t>
      </w:r>
      <w:r w:rsidR="00F33D40" w:rsidRPr="00EF0E6B">
        <w:rPr>
          <w:rFonts w:cs="Arial"/>
          <w:color w:val="000000" w:themeColor="text1"/>
        </w:rPr>
        <w:t xml:space="preserve"> </w:t>
      </w:r>
    </w:p>
    <w:p w14:paraId="56D38539" w14:textId="00DFE444" w:rsidR="00F33D40" w:rsidRPr="00EF0E6B" w:rsidRDefault="000F5D64" w:rsidP="0003652C">
      <w:pPr>
        <w:pStyle w:val="Heading3"/>
        <w:spacing w:line="360" w:lineRule="auto"/>
        <w:rPr>
          <w:rFonts w:ascii="Arial" w:hAnsi="Arial" w:cs="Arial"/>
        </w:rPr>
      </w:pPr>
      <w:bookmarkStart w:id="82" w:name="_Toc223348871"/>
      <w:r>
        <w:rPr>
          <w:rFonts w:ascii="Arial" w:hAnsi="Arial" w:cs="Arial"/>
        </w:rPr>
        <w:t>A liberal arts law degree</w:t>
      </w:r>
      <w:bookmarkEnd w:id="82"/>
    </w:p>
    <w:p w14:paraId="0611D675" w14:textId="5F706E8C" w:rsidR="00F33D40" w:rsidRPr="00EF0E6B" w:rsidRDefault="00F33D40" w:rsidP="0003652C">
      <w:pPr>
        <w:spacing w:line="360" w:lineRule="auto"/>
        <w:jc w:val="both"/>
        <w:rPr>
          <w:rFonts w:cs="Arial"/>
          <w:color w:val="000000" w:themeColor="text1"/>
        </w:rPr>
      </w:pPr>
      <w:r w:rsidRPr="00EF0E6B">
        <w:rPr>
          <w:rFonts w:cs="Arial"/>
          <w:color w:val="000000" w:themeColor="text1"/>
        </w:rPr>
        <w:t>The need</w:t>
      </w:r>
      <w:r w:rsidR="00F95997">
        <w:rPr>
          <w:rFonts w:cs="Arial"/>
          <w:color w:val="000000" w:themeColor="text1"/>
        </w:rPr>
        <w:t xml:space="preserve"> for</w:t>
      </w:r>
      <w:r w:rsidRPr="00EF0E6B">
        <w:rPr>
          <w:rFonts w:cs="Arial"/>
          <w:color w:val="000000" w:themeColor="text1"/>
        </w:rPr>
        <w:t xml:space="preserve"> </w:t>
      </w:r>
      <w:r w:rsidR="000F5D64">
        <w:rPr>
          <w:rFonts w:cs="Arial"/>
          <w:color w:val="000000" w:themeColor="text1"/>
        </w:rPr>
        <w:t xml:space="preserve">programmes to ensure a </w:t>
      </w:r>
      <w:r w:rsidRPr="00EF0E6B">
        <w:rPr>
          <w:rFonts w:cs="Arial"/>
          <w:color w:val="000000" w:themeColor="text1"/>
        </w:rPr>
        <w:t xml:space="preserve">liberal arts focus was often expressed </w:t>
      </w:r>
      <w:r w:rsidR="000F5D64">
        <w:rPr>
          <w:rFonts w:cs="Arial"/>
          <w:color w:val="000000" w:themeColor="text1"/>
        </w:rPr>
        <w:t xml:space="preserve">as an ideological </w:t>
      </w:r>
      <w:r w:rsidR="001F2187">
        <w:rPr>
          <w:rFonts w:cs="Arial"/>
          <w:color w:val="000000" w:themeColor="text1"/>
        </w:rPr>
        <w:t>normative conviction</w:t>
      </w:r>
      <w:r w:rsidRPr="00EF0E6B">
        <w:rPr>
          <w:rFonts w:cs="Arial"/>
          <w:color w:val="000000" w:themeColor="text1"/>
        </w:rPr>
        <w:t>,</w:t>
      </w:r>
    </w:p>
    <w:p w14:paraId="755CE9F1" w14:textId="5FD79D29" w:rsidR="00F33D40" w:rsidRPr="00EF0E6B" w:rsidRDefault="00F33D40" w:rsidP="0003652C">
      <w:pPr>
        <w:spacing w:line="360" w:lineRule="auto"/>
        <w:ind w:left="720"/>
        <w:jc w:val="both"/>
        <w:rPr>
          <w:rFonts w:cs="Arial"/>
          <w:color w:val="000000" w:themeColor="text1"/>
        </w:rPr>
      </w:pPr>
      <w:r w:rsidRPr="00EF0E6B">
        <w:rPr>
          <w:rFonts w:cs="Arial"/>
          <w:color w:val="000000" w:themeColor="text1"/>
        </w:rPr>
        <w:t>We want to keep law as a strong liberal arts degree, with a liberal arts focus. That would be the underpinning philosophy that we want to have for a degree th</w:t>
      </w:r>
      <w:r w:rsidR="000F5D64">
        <w:rPr>
          <w:rFonts w:cs="Arial"/>
          <w:color w:val="000000" w:themeColor="text1"/>
        </w:rPr>
        <w:t>at</w:t>
      </w:r>
      <w:r w:rsidRPr="00EF0E6B">
        <w:rPr>
          <w:rFonts w:cs="Arial"/>
          <w:color w:val="000000" w:themeColor="text1"/>
        </w:rPr>
        <w:t xml:space="preserve"> situates the law in context</w:t>
      </w:r>
      <w:r w:rsidR="00AE7446">
        <w:rPr>
          <w:rFonts w:cs="Arial"/>
          <w:color w:val="000000" w:themeColor="text1"/>
        </w:rPr>
        <w:t xml:space="preserve"> (S). </w:t>
      </w:r>
    </w:p>
    <w:p w14:paraId="430402E9" w14:textId="76D09D12" w:rsidR="0012184D" w:rsidRPr="00EF0E6B" w:rsidRDefault="00F33D40" w:rsidP="0003652C">
      <w:pPr>
        <w:spacing w:line="360" w:lineRule="auto"/>
        <w:jc w:val="both"/>
        <w:rPr>
          <w:rFonts w:cs="Arial"/>
        </w:rPr>
      </w:pPr>
      <w:r w:rsidRPr="00274D54">
        <w:rPr>
          <w:rFonts w:cs="Arial"/>
          <w:color w:val="000000" w:themeColor="text1"/>
        </w:rPr>
        <w:lastRenderedPageBreak/>
        <w:t xml:space="preserve">How this played out in the design of the degree, </w:t>
      </w:r>
      <w:r w:rsidR="001F2187" w:rsidRPr="00274D54">
        <w:rPr>
          <w:rFonts w:cs="Arial"/>
          <w:color w:val="000000" w:themeColor="text1"/>
        </w:rPr>
        <w:t>other than as a resistan</w:t>
      </w:r>
      <w:r w:rsidR="001C478B">
        <w:rPr>
          <w:rFonts w:cs="Arial"/>
          <w:color w:val="000000" w:themeColor="text1"/>
        </w:rPr>
        <w:t>ce</w:t>
      </w:r>
      <w:r w:rsidR="001F2187" w:rsidRPr="00274D54">
        <w:rPr>
          <w:rFonts w:cs="Arial"/>
          <w:color w:val="000000" w:themeColor="text1"/>
        </w:rPr>
        <w:t xml:space="preserve"> to the vocational focus, </w:t>
      </w:r>
      <w:r w:rsidRPr="00274D54">
        <w:rPr>
          <w:rFonts w:cs="Arial"/>
          <w:color w:val="000000" w:themeColor="text1"/>
        </w:rPr>
        <w:t>was less clear</w:t>
      </w:r>
      <w:r w:rsidR="009C67F9">
        <w:rPr>
          <w:rFonts w:cs="Arial"/>
          <w:color w:val="000000" w:themeColor="text1"/>
        </w:rPr>
        <w:t xml:space="preserve"> (Appendix five, Table 7.2)</w:t>
      </w:r>
      <w:r w:rsidRPr="00274D54">
        <w:rPr>
          <w:rFonts w:cs="Arial"/>
          <w:color w:val="000000" w:themeColor="text1"/>
        </w:rPr>
        <w:t xml:space="preserve">.  </w:t>
      </w:r>
      <w:r w:rsidR="001C478B">
        <w:rPr>
          <w:rFonts w:cs="Arial"/>
        </w:rPr>
        <w:t>Among participants from selective schools, there was little mention of traditional</w:t>
      </w:r>
      <w:r w:rsidR="0012184D" w:rsidRPr="00274D54">
        <w:rPr>
          <w:rFonts w:cs="Arial"/>
        </w:rPr>
        <w:t xml:space="preserve"> paradigms within the discipline</w:t>
      </w:r>
      <w:r w:rsidR="0012184D" w:rsidRPr="00EF0E6B">
        <w:rPr>
          <w:rFonts w:cs="Arial"/>
        </w:rPr>
        <w:t xml:space="preserve">. Two </w:t>
      </w:r>
      <w:r w:rsidR="009B71D2">
        <w:rPr>
          <w:rFonts w:cs="Arial"/>
        </w:rPr>
        <w:t>designer</w:t>
      </w:r>
      <w:r w:rsidR="0012184D" w:rsidRPr="00EF0E6B">
        <w:rPr>
          <w:rFonts w:cs="Arial"/>
        </w:rPr>
        <w:t xml:space="preserve">s mentioned social justice as </w:t>
      </w:r>
      <w:r w:rsidR="001C478B">
        <w:rPr>
          <w:rFonts w:cs="Arial"/>
        </w:rPr>
        <w:t>a guiding principle, another mentioned socio-legal approaches, and one mentioned the influence of a critical legal history of the department,</w:t>
      </w:r>
      <w:r w:rsidR="0012184D" w:rsidRPr="00EF0E6B">
        <w:rPr>
          <w:rFonts w:cs="Arial"/>
        </w:rPr>
        <w:t xml:space="preserve"> but there was little corresponding acknowledgement of how this played out or was evidenced in the degree itself.</w:t>
      </w:r>
      <w:r w:rsidR="0012184D" w:rsidRPr="00EF0E6B">
        <w:rPr>
          <w:rFonts w:cs="Arial"/>
          <w:color w:val="E36C0A" w:themeColor="accent6" w:themeShade="BF"/>
        </w:rPr>
        <w:t xml:space="preserve"> </w:t>
      </w:r>
      <w:r w:rsidR="0012184D" w:rsidRPr="00EF0E6B">
        <w:rPr>
          <w:rFonts w:cs="Arial"/>
        </w:rPr>
        <w:t>Often</w:t>
      </w:r>
      <w:r w:rsidR="001C478B">
        <w:rPr>
          <w:rFonts w:cs="Arial"/>
        </w:rPr>
        <w:t>,</w:t>
      </w:r>
      <w:r w:rsidR="0012184D" w:rsidRPr="00EF0E6B">
        <w:rPr>
          <w:rFonts w:cs="Arial"/>
        </w:rPr>
        <w:t xml:space="preserve"> reference</w:t>
      </w:r>
      <w:r w:rsidR="001C478B">
        <w:rPr>
          <w:rFonts w:cs="Arial"/>
        </w:rPr>
        <w:t>s</w:t>
      </w:r>
      <w:r w:rsidR="0012184D" w:rsidRPr="00EF0E6B">
        <w:rPr>
          <w:rFonts w:cs="Arial"/>
        </w:rPr>
        <w:t xml:space="preserve"> to these paradigms were in the context of the identity of the academics or the research that emanated from within the school or department. </w:t>
      </w:r>
    </w:p>
    <w:p w14:paraId="23E94FF4" w14:textId="71F6E4DA" w:rsidR="0012184D" w:rsidRPr="00EF0E6B" w:rsidRDefault="0012184D" w:rsidP="0003652C">
      <w:pPr>
        <w:spacing w:line="360" w:lineRule="auto"/>
        <w:jc w:val="both"/>
        <w:rPr>
          <w:rFonts w:cs="Arial"/>
        </w:rPr>
      </w:pPr>
      <w:r w:rsidRPr="00274D54">
        <w:rPr>
          <w:rFonts w:cs="Arial"/>
        </w:rPr>
        <w:t xml:space="preserve">The </w:t>
      </w:r>
      <w:r w:rsidR="009B71D2">
        <w:rPr>
          <w:rFonts w:cs="Arial"/>
        </w:rPr>
        <w:t xml:space="preserve">designers from the </w:t>
      </w:r>
      <w:r w:rsidRPr="00274D54">
        <w:rPr>
          <w:rFonts w:cs="Arial"/>
        </w:rPr>
        <w:t xml:space="preserve">semi-selective </w:t>
      </w:r>
      <w:r w:rsidR="009B71D2">
        <w:rPr>
          <w:rFonts w:cs="Arial"/>
        </w:rPr>
        <w:t>school</w:t>
      </w:r>
      <w:r w:rsidR="009B71D2" w:rsidRPr="00274D54">
        <w:rPr>
          <w:rFonts w:cs="Arial"/>
        </w:rPr>
        <w:t xml:space="preserve">s </w:t>
      </w:r>
      <w:r w:rsidRPr="00274D54">
        <w:rPr>
          <w:rFonts w:cs="Arial"/>
        </w:rPr>
        <w:t>were a little</w:t>
      </w:r>
      <w:r w:rsidRPr="00EF0E6B">
        <w:rPr>
          <w:rFonts w:cs="Arial"/>
        </w:rPr>
        <w:t xml:space="preserve"> more diverse in their reflections on such values and identity. References to a socio-legal or social justice value underpinning the department or school were again evident</w:t>
      </w:r>
      <w:r w:rsidR="001C478B">
        <w:rPr>
          <w:rFonts w:cs="Arial"/>
        </w:rPr>
        <w:t>,</w:t>
      </w:r>
      <w:r w:rsidRPr="00EF0E6B">
        <w:rPr>
          <w:rFonts w:cs="Arial"/>
        </w:rPr>
        <w:t xml:space="preserve"> but not specifically in relation to the </w:t>
      </w:r>
      <w:r w:rsidR="001C478B">
        <w:rPr>
          <w:rFonts w:cs="Arial"/>
        </w:rPr>
        <w:t>degree's</w:t>
      </w:r>
      <w:r w:rsidRPr="00EF0E6B">
        <w:rPr>
          <w:rFonts w:cs="Arial"/>
        </w:rPr>
        <w:t xml:space="preserve"> </w:t>
      </w:r>
      <w:r w:rsidR="001C478B">
        <w:rPr>
          <w:rFonts w:cs="Arial"/>
        </w:rPr>
        <w:t>content</w:t>
      </w:r>
      <w:r w:rsidRPr="00EF0E6B">
        <w:rPr>
          <w:rFonts w:cs="Arial"/>
        </w:rPr>
        <w:t>, as was the reference to a liberal arts degree. Not surprisingly</w:t>
      </w:r>
      <w:r w:rsidR="001C478B">
        <w:rPr>
          <w:rFonts w:cs="Arial"/>
        </w:rPr>
        <w:t>,</w:t>
      </w:r>
      <w:r w:rsidRPr="00EF0E6B">
        <w:rPr>
          <w:rFonts w:cs="Arial"/>
        </w:rPr>
        <w:t xml:space="preserve"> more reference here was made to applied legal education</w:t>
      </w:r>
      <w:r w:rsidR="001C478B">
        <w:rPr>
          <w:rFonts w:cs="Arial"/>
        </w:rPr>
        <w:t>,</w:t>
      </w:r>
      <w:r w:rsidRPr="00EF0E6B">
        <w:rPr>
          <w:rFonts w:cs="Arial"/>
        </w:rPr>
        <w:t xml:space="preserve"> as will be </w:t>
      </w:r>
      <w:r w:rsidRPr="0012184D">
        <w:rPr>
          <w:rFonts w:cs="Arial"/>
        </w:rPr>
        <w:t>discussed in the following section.</w:t>
      </w:r>
      <w:r w:rsidRPr="00EF0E6B">
        <w:rPr>
          <w:rFonts w:cs="Arial"/>
        </w:rPr>
        <w:t xml:space="preserve">  One designer reflected on how their own values had changed from a resolutely liberal arts agenda for the degree to one that recognised the need for applied learning</w:t>
      </w:r>
      <w:r w:rsidR="001C478B">
        <w:rPr>
          <w:rFonts w:cs="Arial"/>
        </w:rPr>
        <w:t>.</w:t>
      </w:r>
    </w:p>
    <w:p w14:paraId="3270BEF4" w14:textId="27B68671" w:rsidR="0012184D" w:rsidRPr="00EF0E6B" w:rsidRDefault="0012184D" w:rsidP="006370E7">
      <w:pPr>
        <w:spacing w:line="360" w:lineRule="auto"/>
        <w:ind w:left="720"/>
        <w:jc w:val="both"/>
        <w:rPr>
          <w:rFonts w:cs="Arial"/>
        </w:rPr>
      </w:pPr>
      <w:r w:rsidRPr="00EF0E6B">
        <w:rPr>
          <w:rFonts w:cs="Arial"/>
        </w:rPr>
        <w:t>I had been quite anti</w:t>
      </w:r>
      <w:r w:rsidR="001C478B">
        <w:rPr>
          <w:rFonts w:cs="Arial"/>
        </w:rPr>
        <w:t>-professional,</w:t>
      </w:r>
      <w:r w:rsidRPr="00EF0E6B">
        <w:rPr>
          <w:rFonts w:cs="Arial"/>
        </w:rPr>
        <w:t xml:space="preserve"> and that is fairly clear, but I think</w:t>
      </w:r>
      <w:r w:rsidR="001C478B">
        <w:rPr>
          <w:rFonts w:cs="Arial"/>
        </w:rPr>
        <w:t>,</w:t>
      </w:r>
      <w:r w:rsidRPr="00EF0E6B">
        <w:rPr>
          <w:rFonts w:cs="Arial"/>
        </w:rPr>
        <w:t xml:space="preserve"> over time</w:t>
      </w:r>
      <w:r w:rsidR="001C478B">
        <w:rPr>
          <w:rFonts w:cs="Arial"/>
        </w:rPr>
        <w:t>,</w:t>
      </w:r>
      <w:r w:rsidRPr="00EF0E6B">
        <w:rPr>
          <w:rFonts w:cs="Arial"/>
        </w:rPr>
        <w:t xml:space="preserve"> what has been a really strong influence on me is the students… I need to play the game for the advantage of my students in a way</w:t>
      </w:r>
      <w:r>
        <w:rPr>
          <w:rFonts w:cs="Arial"/>
        </w:rPr>
        <w:t>,</w:t>
      </w:r>
      <w:r w:rsidRPr="00EF0E6B">
        <w:rPr>
          <w:rFonts w:cs="Arial"/>
        </w:rPr>
        <w:t xml:space="preserve"> and that’s a place I was definitely not at</w:t>
      </w:r>
      <w:r w:rsidR="00AE7446">
        <w:rPr>
          <w:rFonts w:cs="Arial"/>
        </w:rPr>
        <w:t xml:space="preserve"> (WP).</w:t>
      </w:r>
    </w:p>
    <w:p w14:paraId="5ACB9D58" w14:textId="5DE7CA48" w:rsidR="00F33D40" w:rsidRPr="006370E7" w:rsidRDefault="0012184D" w:rsidP="0003652C">
      <w:pPr>
        <w:spacing w:line="360" w:lineRule="auto"/>
        <w:jc w:val="both"/>
        <w:rPr>
          <w:rFonts w:cs="Arial"/>
        </w:rPr>
      </w:pPr>
      <w:r w:rsidRPr="00EF0E6B">
        <w:rPr>
          <w:rFonts w:cs="Arial"/>
        </w:rPr>
        <w:t xml:space="preserve">Others referenced social justice, but less as a disciplinary driver in the content, and more as a mission, in the context of ‘access to education, access to the profession, access to justice’ through clinical work, and ‘as a community law school, working with colleges and </w:t>
      </w:r>
      <w:r w:rsidR="000278ED" w:rsidRPr="00EF0E6B">
        <w:rPr>
          <w:rFonts w:cs="Arial"/>
        </w:rPr>
        <w:t>schools</w:t>
      </w:r>
      <w:r w:rsidR="000278ED">
        <w:rPr>
          <w:rFonts w:cs="Arial"/>
        </w:rPr>
        <w:t>’</w:t>
      </w:r>
      <w:r w:rsidR="00AE7446">
        <w:rPr>
          <w:rFonts w:cs="Arial"/>
        </w:rPr>
        <w:t xml:space="preserve"> (WP).</w:t>
      </w:r>
      <w:r>
        <w:rPr>
          <w:rFonts w:cs="Arial"/>
        </w:rPr>
        <w:t xml:space="preserve"> Another participant acknowledged </w:t>
      </w:r>
      <w:r w:rsidR="000278ED">
        <w:rPr>
          <w:rFonts w:cs="Arial"/>
        </w:rPr>
        <w:t>that they</w:t>
      </w:r>
      <w:r>
        <w:rPr>
          <w:rFonts w:cs="Arial"/>
        </w:rPr>
        <w:t xml:space="preserve"> had </w:t>
      </w:r>
      <w:r w:rsidRPr="00EF0E6B">
        <w:rPr>
          <w:rFonts w:cs="Arial"/>
        </w:rPr>
        <w:t>‘never worked anywhere which doesn’t have a social justice mission</w:t>
      </w:r>
      <w:r w:rsidR="00AE7446">
        <w:rPr>
          <w:rFonts w:cs="Arial"/>
        </w:rPr>
        <w:t>’ (WP).</w:t>
      </w:r>
    </w:p>
    <w:p w14:paraId="50602A1C" w14:textId="40603702" w:rsidR="00F33D40" w:rsidRPr="00EF0E6B" w:rsidRDefault="0012184D" w:rsidP="0003652C">
      <w:pPr>
        <w:spacing w:line="360" w:lineRule="auto"/>
        <w:jc w:val="both"/>
        <w:rPr>
          <w:rFonts w:cs="Arial"/>
          <w:color w:val="000000" w:themeColor="text1"/>
        </w:rPr>
      </w:pPr>
      <w:r>
        <w:rPr>
          <w:rFonts w:cs="Arial"/>
          <w:color w:val="000000" w:themeColor="text1"/>
        </w:rPr>
        <w:t xml:space="preserve">A </w:t>
      </w:r>
      <w:r w:rsidRPr="00EF0E6B">
        <w:rPr>
          <w:rFonts w:cs="Arial"/>
          <w:color w:val="000000" w:themeColor="text1"/>
        </w:rPr>
        <w:t>socio</w:t>
      </w:r>
      <w:r w:rsidR="00F33D40" w:rsidRPr="00EF0E6B">
        <w:rPr>
          <w:rFonts w:cs="Arial"/>
          <w:color w:val="000000" w:themeColor="text1"/>
        </w:rPr>
        <w:t xml:space="preserve">-legal perspective </w:t>
      </w:r>
      <w:r w:rsidR="007121BB">
        <w:rPr>
          <w:rFonts w:cs="Arial"/>
          <w:color w:val="000000" w:themeColor="text1"/>
        </w:rPr>
        <w:t>on</w:t>
      </w:r>
      <w:r w:rsidR="00F33D40" w:rsidRPr="00EF0E6B">
        <w:rPr>
          <w:rFonts w:cs="Arial"/>
          <w:color w:val="000000" w:themeColor="text1"/>
        </w:rPr>
        <w:t xml:space="preserve"> teaching and design was</w:t>
      </w:r>
      <w:r>
        <w:rPr>
          <w:rFonts w:cs="Arial"/>
          <w:color w:val="000000" w:themeColor="text1"/>
        </w:rPr>
        <w:t xml:space="preserve"> also</w:t>
      </w:r>
      <w:r w:rsidR="001F2187">
        <w:rPr>
          <w:rFonts w:cs="Arial"/>
          <w:color w:val="000000" w:themeColor="text1"/>
        </w:rPr>
        <w:t xml:space="preserve"> </w:t>
      </w:r>
      <w:r w:rsidR="00F33D40" w:rsidRPr="00EF0E6B">
        <w:rPr>
          <w:rFonts w:cs="Arial"/>
          <w:color w:val="000000" w:themeColor="text1"/>
        </w:rPr>
        <w:t>prominent in the findings</w:t>
      </w:r>
      <w:r>
        <w:rPr>
          <w:rFonts w:cs="Arial"/>
          <w:color w:val="000000" w:themeColor="text1"/>
        </w:rPr>
        <w:t xml:space="preserve"> </w:t>
      </w:r>
      <w:r w:rsidR="007121BB">
        <w:rPr>
          <w:rFonts w:cs="Arial"/>
          <w:color w:val="000000" w:themeColor="text1"/>
        </w:rPr>
        <w:t>of</w:t>
      </w:r>
      <w:r>
        <w:rPr>
          <w:rFonts w:cs="Arial"/>
          <w:color w:val="000000" w:themeColor="text1"/>
        </w:rPr>
        <w:t xml:space="preserve"> this </w:t>
      </w:r>
      <w:r w:rsidR="005132D4">
        <w:rPr>
          <w:rFonts w:cs="Arial"/>
          <w:color w:val="000000" w:themeColor="text1"/>
        </w:rPr>
        <w:t>investigation,</w:t>
      </w:r>
      <w:r w:rsidR="00F33D40" w:rsidRPr="00EF0E6B">
        <w:rPr>
          <w:rFonts w:cs="Arial"/>
          <w:color w:val="000000" w:themeColor="text1"/>
        </w:rPr>
        <w:t xml:space="preserve"> </w:t>
      </w:r>
      <w:r w:rsidR="001F2187">
        <w:rPr>
          <w:rFonts w:cs="Arial"/>
          <w:color w:val="000000" w:themeColor="text1"/>
        </w:rPr>
        <w:t>and this largely appeared to be as a result of designers</w:t>
      </w:r>
      <w:r w:rsidR="007121BB">
        <w:rPr>
          <w:rFonts w:cs="Arial"/>
          <w:color w:val="000000" w:themeColor="text1"/>
        </w:rPr>
        <w:t>’</w:t>
      </w:r>
      <w:r w:rsidR="001F2187">
        <w:rPr>
          <w:rFonts w:cs="Arial"/>
          <w:color w:val="000000" w:themeColor="text1"/>
        </w:rPr>
        <w:t xml:space="preserve"> and teams</w:t>
      </w:r>
      <w:r w:rsidR="007121BB">
        <w:rPr>
          <w:rFonts w:cs="Arial"/>
          <w:color w:val="000000" w:themeColor="text1"/>
        </w:rPr>
        <w:t>’</w:t>
      </w:r>
      <w:r w:rsidR="00F33D40" w:rsidRPr="00EF0E6B">
        <w:rPr>
          <w:rFonts w:cs="Arial"/>
          <w:color w:val="000000" w:themeColor="text1"/>
        </w:rPr>
        <w:t xml:space="preserve"> own academic career projections. </w:t>
      </w:r>
      <w:r w:rsidR="005132D4" w:rsidRPr="00EF0E6B">
        <w:rPr>
          <w:rFonts w:cs="Arial"/>
        </w:rPr>
        <w:t xml:space="preserve">Access to powerful </w:t>
      </w:r>
      <w:r w:rsidR="005132D4" w:rsidRPr="00EF0E6B">
        <w:rPr>
          <w:rFonts w:cs="Arial"/>
        </w:rPr>
        <w:lastRenderedPageBreak/>
        <w:t>knowledge is intrinsically linked to the knower (</w:t>
      </w:r>
      <w:r w:rsidR="005132D4">
        <w:rPr>
          <w:rFonts w:cs="Arial"/>
        </w:rPr>
        <w:t xml:space="preserve">Bernstein, 2000 and </w:t>
      </w:r>
      <w:r w:rsidR="007121BB">
        <w:rPr>
          <w:rFonts w:cs="Arial"/>
        </w:rPr>
        <w:t>C</w:t>
      </w:r>
      <w:r w:rsidR="005132D4">
        <w:rPr>
          <w:rFonts w:cs="Arial"/>
        </w:rPr>
        <w:t xml:space="preserve">hapter </w:t>
      </w:r>
      <w:r w:rsidR="007121BB">
        <w:rPr>
          <w:rFonts w:cs="Arial"/>
        </w:rPr>
        <w:t>T</w:t>
      </w:r>
      <w:r w:rsidR="005132D4" w:rsidRPr="0012184D">
        <w:rPr>
          <w:rFonts w:cs="Arial"/>
        </w:rPr>
        <w:t>hree)</w:t>
      </w:r>
      <w:r w:rsidR="007121BB">
        <w:rPr>
          <w:rFonts w:cs="Arial"/>
        </w:rPr>
        <w:t>,</w:t>
      </w:r>
      <w:r w:rsidR="005132D4">
        <w:rPr>
          <w:rFonts w:cs="Arial"/>
        </w:rPr>
        <w:t xml:space="preserve"> and so it is understandable that identities may have an impact here. As to what is socio-legal</w:t>
      </w:r>
      <w:r w:rsidR="005132D4">
        <w:rPr>
          <w:rFonts w:cs="Arial"/>
          <w:color w:val="000000" w:themeColor="text1"/>
        </w:rPr>
        <w:t>, there has always been</w:t>
      </w:r>
      <w:r w:rsidR="00F33D40" w:rsidRPr="00EF0E6B">
        <w:rPr>
          <w:rFonts w:cs="Arial"/>
          <w:color w:val="000000" w:themeColor="text1"/>
        </w:rPr>
        <w:t xml:space="preserve"> discussion </w:t>
      </w:r>
      <w:r w:rsidR="000278ED">
        <w:rPr>
          <w:rFonts w:cs="Arial"/>
          <w:color w:val="000000" w:themeColor="text1"/>
        </w:rPr>
        <w:t>about</w:t>
      </w:r>
      <w:r w:rsidR="00F33D40" w:rsidRPr="00EF0E6B">
        <w:rPr>
          <w:rFonts w:cs="Arial"/>
          <w:color w:val="000000" w:themeColor="text1"/>
        </w:rPr>
        <w:t xml:space="preserve"> the ‘socio’ in socio-legal and the level at which this can be integrated – whether </w:t>
      </w:r>
      <w:r w:rsidR="005132D4">
        <w:rPr>
          <w:rFonts w:cs="Arial"/>
          <w:color w:val="000000" w:themeColor="text1"/>
        </w:rPr>
        <w:t xml:space="preserve">it be </w:t>
      </w:r>
      <w:r w:rsidR="001F2187">
        <w:rPr>
          <w:rFonts w:cs="Arial"/>
          <w:color w:val="000000" w:themeColor="text1"/>
        </w:rPr>
        <w:t xml:space="preserve">in </w:t>
      </w:r>
      <w:r w:rsidR="00F33D40" w:rsidRPr="00EF0E6B">
        <w:rPr>
          <w:rFonts w:cs="Arial"/>
          <w:color w:val="000000" w:themeColor="text1"/>
        </w:rPr>
        <w:t xml:space="preserve">contextual studies, or </w:t>
      </w:r>
      <w:r w:rsidR="001F2187">
        <w:rPr>
          <w:rFonts w:cs="Arial"/>
          <w:color w:val="000000" w:themeColor="text1"/>
        </w:rPr>
        <w:t xml:space="preserve">whether </w:t>
      </w:r>
      <w:r w:rsidR="005132D4">
        <w:rPr>
          <w:rFonts w:cs="Arial"/>
          <w:color w:val="000000" w:themeColor="text1"/>
        </w:rPr>
        <w:t xml:space="preserve">it is </w:t>
      </w:r>
      <w:r w:rsidR="00F33D40" w:rsidRPr="00EF0E6B">
        <w:rPr>
          <w:rFonts w:cs="Arial"/>
          <w:color w:val="000000" w:themeColor="text1"/>
        </w:rPr>
        <w:t xml:space="preserve">limited to empirical methodologies (Boon, 2012; Silbey, 2013). </w:t>
      </w:r>
    </w:p>
    <w:p w14:paraId="6A21C865" w14:textId="462B2AA2" w:rsidR="00F33D40" w:rsidRPr="00EF0E6B" w:rsidRDefault="00F33D40" w:rsidP="0003652C">
      <w:pPr>
        <w:spacing w:line="360" w:lineRule="auto"/>
        <w:ind w:left="720"/>
        <w:jc w:val="both"/>
        <w:rPr>
          <w:rFonts w:cs="Arial"/>
        </w:rPr>
      </w:pPr>
      <w:r w:rsidRPr="00EF0E6B">
        <w:rPr>
          <w:rFonts w:cs="Arial"/>
        </w:rPr>
        <w:t xml:space="preserve">Since there are apparently no disciplinary limits to this ever-expanding empire, there are inevitably overlaps with other approaches claiming to cast distinctive or new light on our understanding of law. This can make it difficult to identify what constitutes socio-legal studies. (Boon, 2012. </w:t>
      </w:r>
      <w:r w:rsidR="00CD6E72">
        <w:rPr>
          <w:rFonts w:cs="Arial"/>
        </w:rPr>
        <w:t>p.</w:t>
      </w:r>
      <w:r w:rsidRPr="00EF0E6B">
        <w:rPr>
          <w:rFonts w:cs="Arial"/>
        </w:rPr>
        <w:t xml:space="preserve"> 617)</w:t>
      </w:r>
    </w:p>
    <w:p w14:paraId="200AAA8C" w14:textId="44F1017E" w:rsidR="00F33D40" w:rsidRPr="0012184D" w:rsidRDefault="005132D4" w:rsidP="0003652C">
      <w:pPr>
        <w:spacing w:line="360" w:lineRule="auto"/>
        <w:jc w:val="both"/>
        <w:rPr>
          <w:rFonts w:cs="Arial"/>
          <w:color w:val="000000" w:themeColor="text1"/>
        </w:rPr>
      </w:pPr>
      <w:r>
        <w:rPr>
          <w:rFonts w:cs="Arial"/>
          <w:color w:val="000000" w:themeColor="text1"/>
        </w:rPr>
        <w:t>How</w:t>
      </w:r>
      <w:r w:rsidR="00F33D40" w:rsidRPr="00EF0E6B">
        <w:rPr>
          <w:rFonts w:cs="Arial"/>
          <w:color w:val="000000" w:themeColor="text1"/>
        </w:rPr>
        <w:t xml:space="preserve"> socio-legal studies appear in the law curriculum </w:t>
      </w:r>
      <w:r>
        <w:rPr>
          <w:rFonts w:cs="Arial"/>
          <w:color w:val="000000" w:themeColor="text1"/>
        </w:rPr>
        <w:t>and</w:t>
      </w:r>
      <w:r w:rsidR="0012184D">
        <w:rPr>
          <w:rFonts w:cs="Arial"/>
          <w:color w:val="000000" w:themeColor="text1"/>
        </w:rPr>
        <w:t xml:space="preserve"> what this means in practice</w:t>
      </w:r>
      <w:r>
        <w:rPr>
          <w:rFonts w:cs="Arial"/>
          <w:color w:val="000000" w:themeColor="text1"/>
        </w:rPr>
        <w:t xml:space="preserve"> for legal education has also been discussed </w:t>
      </w:r>
      <w:r w:rsidRPr="00EF0E6B">
        <w:rPr>
          <w:rFonts w:cs="Arial"/>
          <w:color w:val="000000" w:themeColor="text1"/>
        </w:rPr>
        <w:t>(</w:t>
      </w:r>
      <w:r>
        <w:rPr>
          <w:rFonts w:cs="Arial"/>
          <w:color w:val="000000" w:themeColor="text1"/>
        </w:rPr>
        <w:t xml:space="preserve">Collier, 2004; </w:t>
      </w:r>
      <w:r w:rsidRPr="00EF0E6B">
        <w:rPr>
          <w:rFonts w:cs="Arial"/>
          <w:color w:val="000000" w:themeColor="text1"/>
        </w:rPr>
        <w:t>Hunter, 2012; Feenan, 2013)</w:t>
      </w:r>
      <w:r>
        <w:rPr>
          <w:rFonts w:cs="Arial"/>
          <w:color w:val="000000" w:themeColor="text1"/>
        </w:rPr>
        <w:t>.</w:t>
      </w:r>
      <w:r w:rsidR="0012184D">
        <w:rPr>
          <w:rFonts w:cs="Arial"/>
          <w:color w:val="000000" w:themeColor="text1"/>
        </w:rPr>
        <w:t xml:space="preserve"> It </w:t>
      </w:r>
      <w:r>
        <w:rPr>
          <w:rFonts w:cs="Arial"/>
          <w:color w:val="000000" w:themeColor="text1"/>
        </w:rPr>
        <w:t xml:space="preserve">was unclear how it impacted </w:t>
      </w:r>
      <w:r w:rsidR="007121BB">
        <w:rPr>
          <w:rFonts w:cs="Arial"/>
          <w:color w:val="000000" w:themeColor="text1"/>
        </w:rPr>
        <w:t>the</w:t>
      </w:r>
      <w:r>
        <w:rPr>
          <w:rFonts w:cs="Arial"/>
          <w:color w:val="000000" w:themeColor="text1"/>
        </w:rPr>
        <w:t xml:space="preserve"> desig</w:t>
      </w:r>
      <w:r w:rsidR="007121BB">
        <w:rPr>
          <w:rFonts w:cs="Arial"/>
          <w:color w:val="000000" w:themeColor="text1"/>
        </w:rPr>
        <w:t>n</w:t>
      </w:r>
      <w:r>
        <w:rPr>
          <w:rFonts w:cs="Arial"/>
          <w:color w:val="000000" w:themeColor="text1"/>
        </w:rPr>
        <w:t xml:space="preserve"> in this investigation. </w:t>
      </w:r>
      <w:r w:rsidR="0012184D">
        <w:rPr>
          <w:rFonts w:cs="Arial"/>
          <w:color w:val="000000" w:themeColor="text1"/>
        </w:rPr>
        <w:t xml:space="preserve"> </w:t>
      </w:r>
    </w:p>
    <w:p w14:paraId="143798EE" w14:textId="4DA3A1C8" w:rsidR="00F33D40" w:rsidRPr="00EE4AED" w:rsidRDefault="00F33D40" w:rsidP="0003652C">
      <w:pPr>
        <w:spacing w:line="360" w:lineRule="auto"/>
        <w:jc w:val="both"/>
        <w:rPr>
          <w:rFonts w:cs="Arial"/>
        </w:rPr>
      </w:pPr>
      <w:r w:rsidRPr="00EF0E6B">
        <w:rPr>
          <w:rFonts w:cs="Arial"/>
        </w:rPr>
        <w:t xml:space="preserve">It has long been acknowledged that there are challenges in adopting what might be seen as externally sourced paradigms in the law degree due to the prescription in the requirements of the professional bodies in relation to the foundations of legal </w:t>
      </w:r>
      <w:r w:rsidRPr="00EE4AED">
        <w:rPr>
          <w:rFonts w:cs="Arial"/>
        </w:rPr>
        <w:t>knowledge and their prominence in the degree (Nuffield Inquiry, 2006; Hunter, 2012). In this investigation, the fact that these discussions were taking place at the point of design didn’t appear to have a dramatic impact on the degrees themselves, and what might be seen to be an opportunity for more creativity with the removal of the professional body regulation</w:t>
      </w:r>
      <w:r w:rsidRPr="00EF0E6B">
        <w:rPr>
          <w:rFonts w:cs="Arial"/>
        </w:rPr>
        <w:t xml:space="preserve"> did not change that</w:t>
      </w:r>
      <w:r w:rsidRPr="00AB4DE6">
        <w:rPr>
          <w:rFonts w:cs="Arial"/>
          <w:color w:val="000000" w:themeColor="text1"/>
        </w:rPr>
        <w:t>.  Mc</w:t>
      </w:r>
      <w:r w:rsidR="00424F6F">
        <w:rPr>
          <w:rFonts w:cs="Arial"/>
          <w:color w:val="000000" w:themeColor="text1"/>
        </w:rPr>
        <w:t>L</w:t>
      </w:r>
      <w:r w:rsidRPr="00AB4DE6">
        <w:rPr>
          <w:rFonts w:cs="Arial"/>
          <w:color w:val="000000" w:themeColor="text1"/>
        </w:rPr>
        <w:t>ean et al. reflect</w:t>
      </w:r>
      <w:r w:rsidRPr="00EF0E6B">
        <w:rPr>
          <w:rFonts w:cs="Arial"/>
          <w:color w:val="000000" w:themeColor="text1"/>
        </w:rPr>
        <w:t xml:space="preserve"> on the recontex</w:t>
      </w:r>
      <w:r w:rsidR="00F95997">
        <w:rPr>
          <w:rFonts w:cs="Arial"/>
          <w:color w:val="000000" w:themeColor="text1"/>
        </w:rPr>
        <w:t>t</w:t>
      </w:r>
      <w:r w:rsidRPr="00EF0E6B">
        <w:rPr>
          <w:rFonts w:cs="Arial"/>
          <w:color w:val="000000" w:themeColor="text1"/>
        </w:rPr>
        <w:t>ualisation of sociological knowledge in the curriculum and comment on the fact that</w:t>
      </w:r>
      <w:r w:rsidR="007121BB">
        <w:rPr>
          <w:rFonts w:cs="Arial"/>
          <w:color w:val="000000" w:themeColor="text1"/>
        </w:rPr>
        <w:t>,</w:t>
      </w:r>
      <w:r w:rsidRPr="00EF0E6B">
        <w:rPr>
          <w:rFonts w:cs="Arial"/>
          <w:color w:val="000000" w:themeColor="text1"/>
        </w:rPr>
        <w:t xml:space="preserve"> whilst some might see that </w:t>
      </w:r>
      <w:r w:rsidRPr="00EE4AED">
        <w:rPr>
          <w:rFonts w:cs="Arial"/>
          <w:color w:val="000000" w:themeColor="text1"/>
        </w:rPr>
        <w:t>process as a contested space</w:t>
      </w:r>
      <w:r w:rsidR="007121BB">
        <w:rPr>
          <w:rFonts w:cs="Arial"/>
          <w:color w:val="000000" w:themeColor="text1"/>
        </w:rPr>
        <w:t>,</w:t>
      </w:r>
      <w:r w:rsidRPr="00EE4AED">
        <w:rPr>
          <w:rFonts w:cs="Arial"/>
          <w:color w:val="000000" w:themeColor="text1"/>
        </w:rPr>
        <w:t xml:space="preserve"> ‘The students are not exposed to the constant sense of crisis’ (Mc</w:t>
      </w:r>
      <w:r w:rsidR="00424F6F">
        <w:rPr>
          <w:rFonts w:cs="Arial"/>
          <w:color w:val="000000" w:themeColor="text1"/>
        </w:rPr>
        <w:t>L</w:t>
      </w:r>
      <w:r w:rsidRPr="00EE4AED">
        <w:rPr>
          <w:rFonts w:cs="Arial"/>
          <w:color w:val="000000" w:themeColor="text1"/>
        </w:rPr>
        <w:t>ean et al., 201</w:t>
      </w:r>
      <w:r w:rsidR="00AB4DE6" w:rsidRPr="00EE4AED">
        <w:rPr>
          <w:rFonts w:cs="Arial"/>
          <w:color w:val="000000" w:themeColor="text1"/>
        </w:rPr>
        <w:t>8</w:t>
      </w:r>
      <w:r w:rsidR="007121BB">
        <w:rPr>
          <w:rFonts w:cs="Arial"/>
          <w:color w:val="000000" w:themeColor="text1"/>
        </w:rPr>
        <w:t>,</w:t>
      </w:r>
      <w:r w:rsidR="007121BB" w:rsidRPr="00EE4AED">
        <w:rPr>
          <w:rFonts w:cs="Arial"/>
          <w:color w:val="000000" w:themeColor="text1"/>
        </w:rPr>
        <w:t xml:space="preserve"> </w:t>
      </w:r>
      <w:r w:rsidR="00CD6E72">
        <w:rPr>
          <w:rFonts w:cs="Arial"/>
          <w:color w:val="000000" w:themeColor="text1"/>
        </w:rPr>
        <w:t>p.</w:t>
      </w:r>
      <w:r w:rsidRPr="00EE4AED">
        <w:rPr>
          <w:rFonts w:cs="Arial"/>
          <w:color w:val="000000" w:themeColor="text1"/>
        </w:rPr>
        <w:t>8</w:t>
      </w:r>
      <w:r w:rsidR="00AB4DE6" w:rsidRPr="00EE4AED">
        <w:rPr>
          <w:rFonts w:cs="Arial"/>
          <w:color w:val="000000" w:themeColor="text1"/>
        </w:rPr>
        <w:t>0</w:t>
      </w:r>
      <w:r w:rsidRPr="00EE4AED">
        <w:rPr>
          <w:rFonts w:cs="Arial"/>
          <w:color w:val="000000" w:themeColor="text1"/>
        </w:rPr>
        <w:t xml:space="preserve">). It is clear here that the contested space in law as a discipline exists, but the </w:t>
      </w:r>
      <w:r w:rsidR="00F63B36">
        <w:rPr>
          <w:rFonts w:cs="Arial"/>
          <w:color w:val="000000" w:themeColor="text1"/>
        </w:rPr>
        <w:t>programme design</w:t>
      </w:r>
      <w:r w:rsidRPr="00EE4AED">
        <w:rPr>
          <w:rFonts w:cs="Arial"/>
          <w:color w:val="000000" w:themeColor="text1"/>
        </w:rPr>
        <w:t xml:space="preserve"> is not necessarily reflecting those influences. I return to this later when looking</w:t>
      </w:r>
      <w:r w:rsidRPr="00EF0E6B">
        <w:rPr>
          <w:rFonts w:cs="Arial"/>
          <w:color w:val="000000" w:themeColor="text1"/>
        </w:rPr>
        <w:t xml:space="preserve"> at the framing of the content </w:t>
      </w:r>
      <w:r w:rsidRPr="00EE4AED">
        <w:rPr>
          <w:rFonts w:cs="Arial"/>
          <w:color w:val="000000" w:themeColor="text1"/>
        </w:rPr>
        <w:t xml:space="preserve">and how designers are presenting programmes in response to this.   </w:t>
      </w:r>
    </w:p>
    <w:p w14:paraId="33F2A24D" w14:textId="06353B94" w:rsidR="00F33D40" w:rsidRPr="00EF0E6B" w:rsidRDefault="00762AD6" w:rsidP="0003652C">
      <w:pPr>
        <w:spacing w:line="360" w:lineRule="auto"/>
        <w:jc w:val="both"/>
        <w:rPr>
          <w:rFonts w:cs="Arial"/>
        </w:rPr>
      </w:pPr>
      <w:r w:rsidRPr="00EE4AED">
        <w:rPr>
          <w:rFonts w:cs="Arial"/>
        </w:rPr>
        <w:lastRenderedPageBreak/>
        <w:t xml:space="preserve">Whilst this investigation does not look at what happens in the classroom, there </w:t>
      </w:r>
      <w:r w:rsidR="005132D4" w:rsidRPr="00EE4AED">
        <w:rPr>
          <w:rFonts w:cs="Arial"/>
        </w:rPr>
        <w:t xml:space="preserve">appears to be a disconnect between what the individuals or team </w:t>
      </w:r>
      <w:r w:rsidRPr="00EE4AED">
        <w:rPr>
          <w:rFonts w:cs="Arial"/>
        </w:rPr>
        <w:t>regard as important in their professional identity</w:t>
      </w:r>
      <w:r w:rsidR="005132D4" w:rsidRPr="00EE4AED">
        <w:rPr>
          <w:rFonts w:cs="Arial"/>
        </w:rPr>
        <w:t xml:space="preserve"> and the course desig</w:t>
      </w:r>
      <w:r w:rsidRPr="00EE4AED">
        <w:rPr>
          <w:rFonts w:cs="Arial"/>
        </w:rPr>
        <w:t xml:space="preserve">n. </w:t>
      </w:r>
      <w:r w:rsidR="005132D4" w:rsidRPr="00EE4AED">
        <w:rPr>
          <w:rFonts w:cs="Arial"/>
        </w:rPr>
        <w:t xml:space="preserve"> </w:t>
      </w:r>
      <w:r w:rsidR="00F33D40" w:rsidRPr="00EE4AED">
        <w:rPr>
          <w:rFonts w:cs="Arial"/>
        </w:rPr>
        <w:t>Bernstein suggests</w:t>
      </w:r>
      <w:r w:rsidR="00F33D40" w:rsidRPr="00D46465">
        <w:rPr>
          <w:rFonts w:cs="Arial"/>
        </w:rPr>
        <w:t xml:space="preserve"> that </w:t>
      </w:r>
      <w:r w:rsidRPr="00D46465">
        <w:rPr>
          <w:rFonts w:cs="Arial"/>
        </w:rPr>
        <w:t xml:space="preserve">in </w:t>
      </w:r>
      <w:r w:rsidR="005132D4" w:rsidRPr="00D46465">
        <w:rPr>
          <w:rFonts w:cs="Arial"/>
        </w:rPr>
        <w:t>the more elite institutions</w:t>
      </w:r>
      <w:r w:rsidR="007121BB">
        <w:rPr>
          <w:rFonts w:cs="Arial"/>
        </w:rPr>
        <w:t>,</w:t>
      </w:r>
      <w:r w:rsidR="005132D4" w:rsidRPr="00D46465">
        <w:rPr>
          <w:rFonts w:cs="Arial"/>
        </w:rPr>
        <w:t xml:space="preserve"> </w:t>
      </w:r>
      <w:r w:rsidR="00F33D40" w:rsidRPr="00D46465">
        <w:rPr>
          <w:rFonts w:cs="Arial"/>
        </w:rPr>
        <w:t>the research capabilities of the knowers</w:t>
      </w:r>
      <w:r w:rsidR="00F33D40" w:rsidRPr="00EF0E6B">
        <w:rPr>
          <w:rFonts w:cs="Arial"/>
        </w:rPr>
        <w:t xml:space="preserve"> allow for a higher level of access to powerful knowledge</w:t>
      </w:r>
      <w:r w:rsidR="007121BB">
        <w:rPr>
          <w:rFonts w:cs="Arial"/>
        </w:rPr>
        <w:t>,</w:t>
      </w:r>
      <w:r w:rsidR="00F33D40" w:rsidRPr="00EF0E6B">
        <w:rPr>
          <w:rFonts w:cs="Arial"/>
        </w:rPr>
        <w:t xml:space="preserve"> due in part to the proximity of the learning to the knowledge (Bernstein, </w:t>
      </w:r>
      <w:r w:rsidR="00F33D40" w:rsidRPr="00A2597D">
        <w:rPr>
          <w:rFonts w:cs="Arial"/>
        </w:rPr>
        <w:t>2000). Mc</w:t>
      </w:r>
      <w:r w:rsidR="00424F6F">
        <w:rPr>
          <w:rFonts w:cs="Arial"/>
        </w:rPr>
        <w:t>L</w:t>
      </w:r>
      <w:r w:rsidR="00F33D40" w:rsidRPr="00A2597D">
        <w:rPr>
          <w:rFonts w:cs="Arial"/>
        </w:rPr>
        <w:t>ean et al</w:t>
      </w:r>
      <w:r w:rsidR="00F33D40" w:rsidRPr="00EF0E6B">
        <w:rPr>
          <w:rFonts w:cs="Arial"/>
        </w:rPr>
        <w:t xml:space="preserve">. suggest that </w:t>
      </w:r>
      <w:r w:rsidR="00F33D40" w:rsidRPr="00EE4AED">
        <w:rPr>
          <w:rFonts w:cs="Arial"/>
        </w:rPr>
        <w:t>access to powerful knowledge may be made possible as students are taught by experts (Mc</w:t>
      </w:r>
      <w:r w:rsidR="00424F6F">
        <w:rPr>
          <w:rFonts w:cs="Arial"/>
        </w:rPr>
        <w:t>L</w:t>
      </w:r>
      <w:r w:rsidR="00F33D40" w:rsidRPr="00EE4AED">
        <w:rPr>
          <w:rFonts w:cs="Arial"/>
        </w:rPr>
        <w:t>ean et al., 201</w:t>
      </w:r>
      <w:r w:rsidR="00A2597D" w:rsidRPr="00EE4AED">
        <w:rPr>
          <w:rFonts w:cs="Arial"/>
        </w:rPr>
        <w:t>8</w:t>
      </w:r>
      <w:r w:rsidR="00F33D40" w:rsidRPr="00EE4AED">
        <w:rPr>
          <w:rFonts w:cs="Arial"/>
        </w:rPr>
        <w:t xml:space="preserve">). </w:t>
      </w:r>
      <w:r w:rsidR="007121BB">
        <w:rPr>
          <w:rFonts w:cs="Arial"/>
        </w:rPr>
        <w:t>Here, the data suggests that this is, however, not an important element in the recontextualising of knowledge or in the</w:t>
      </w:r>
      <w:r w:rsidRPr="00EE4AED">
        <w:rPr>
          <w:rFonts w:cs="Arial"/>
        </w:rPr>
        <w:t xml:space="preserve"> course design</w:t>
      </w:r>
      <w:r w:rsidR="00F33D40" w:rsidRPr="00EE4AED">
        <w:rPr>
          <w:rFonts w:cs="Arial"/>
        </w:rPr>
        <w:t>.</w:t>
      </w:r>
      <w:r w:rsidR="00F33D40" w:rsidRPr="00EF0E6B">
        <w:rPr>
          <w:rFonts w:cs="Arial"/>
        </w:rPr>
        <w:t xml:space="preserve"> </w:t>
      </w:r>
      <w:r>
        <w:rPr>
          <w:rFonts w:cs="Arial"/>
        </w:rPr>
        <w:t>W</w:t>
      </w:r>
      <w:r w:rsidR="00F33D40" w:rsidRPr="00EF0E6B">
        <w:rPr>
          <w:rFonts w:cs="Arial"/>
        </w:rPr>
        <w:t xml:space="preserve">hilst alignment </w:t>
      </w:r>
      <w:r w:rsidR="007121BB">
        <w:rPr>
          <w:rFonts w:cs="Arial"/>
        </w:rPr>
        <w:t>with</w:t>
      </w:r>
      <w:r w:rsidR="00F33D40" w:rsidRPr="00EF0E6B">
        <w:rPr>
          <w:rFonts w:cs="Arial"/>
        </w:rPr>
        <w:t xml:space="preserve"> internal disciplinary paradigms might be important at the distribution stage, or knowledge-as-research, it is not evident at the programme</w:t>
      </w:r>
      <w:r w:rsidR="007121BB">
        <w:rPr>
          <w:rFonts w:cs="Arial"/>
        </w:rPr>
        <w:t>-</w:t>
      </w:r>
      <w:r w:rsidR="00F33D40" w:rsidRPr="00EF0E6B">
        <w:rPr>
          <w:rFonts w:cs="Arial"/>
        </w:rPr>
        <w:t>level recontextualization of knowledge, or knowledge-as-curriculum (Ashwin, 2009).  I return to this later i</w:t>
      </w:r>
      <w:r>
        <w:rPr>
          <w:rFonts w:cs="Arial"/>
        </w:rPr>
        <w:t xml:space="preserve">n this </w:t>
      </w:r>
      <w:r w:rsidR="00647B0C">
        <w:rPr>
          <w:rFonts w:cs="Arial"/>
        </w:rPr>
        <w:t xml:space="preserve">chapter </w:t>
      </w:r>
      <w:r w:rsidR="00F33D40" w:rsidRPr="00EF0E6B">
        <w:rPr>
          <w:rFonts w:cs="Arial"/>
        </w:rPr>
        <w:t xml:space="preserve">when considering the optionality in programmes.  </w:t>
      </w:r>
    </w:p>
    <w:p w14:paraId="592F6584" w14:textId="312778DD" w:rsidR="00F33D40" w:rsidRPr="00EF0E6B" w:rsidRDefault="000F5D64" w:rsidP="0003652C">
      <w:pPr>
        <w:pStyle w:val="Heading3"/>
        <w:spacing w:line="360" w:lineRule="auto"/>
        <w:rPr>
          <w:rFonts w:ascii="Arial" w:hAnsi="Arial" w:cs="Arial"/>
        </w:rPr>
      </w:pPr>
      <w:bookmarkStart w:id="83" w:name="_Toc223348872"/>
      <w:r>
        <w:rPr>
          <w:rFonts w:ascii="Arial" w:hAnsi="Arial" w:cs="Arial"/>
        </w:rPr>
        <w:t>A vocational</w:t>
      </w:r>
      <w:r w:rsidR="00F33D40" w:rsidRPr="00EF0E6B">
        <w:rPr>
          <w:rFonts w:ascii="Arial" w:hAnsi="Arial" w:cs="Arial"/>
        </w:rPr>
        <w:t xml:space="preserve"> degree</w:t>
      </w:r>
      <w:bookmarkEnd w:id="83"/>
    </w:p>
    <w:p w14:paraId="22B9DAE1" w14:textId="2E738F6E" w:rsidR="00F33D40" w:rsidRPr="00EF0E6B" w:rsidRDefault="00F33D40" w:rsidP="0003652C">
      <w:pPr>
        <w:spacing w:line="360" w:lineRule="auto"/>
        <w:jc w:val="both"/>
        <w:rPr>
          <w:rFonts w:cs="Arial"/>
        </w:rPr>
      </w:pPr>
      <w:r w:rsidRPr="00EF0E6B">
        <w:rPr>
          <w:rFonts w:cs="Arial"/>
        </w:rPr>
        <w:t xml:space="preserve">I </w:t>
      </w:r>
      <w:r w:rsidR="007121BB">
        <w:rPr>
          <w:rFonts w:cs="Arial"/>
        </w:rPr>
        <w:t>now turn</w:t>
      </w:r>
      <w:r w:rsidRPr="00EF0E6B">
        <w:rPr>
          <w:rFonts w:cs="Arial"/>
        </w:rPr>
        <w:t xml:space="preserve"> to the impact of the other external perspective that was prominent in the data</w:t>
      </w:r>
      <w:r w:rsidR="00762AD6">
        <w:rPr>
          <w:rFonts w:cs="Arial"/>
        </w:rPr>
        <w:t>,</w:t>
      </w:r>
      <w:r w:rsidRPr="00EF0E6B">
        <w:rPr>
          <w:rFonts w:cs="Arial"/>
        </w:rPr>
        <w:t xml:space="preserve"> </w:t>
      </w:r>
      <w:r w:rsidR="00762AD6">
        <w:rPr>
          <w:rFonts w:cs="Arial"/>
        </w:rPr>
        <w:t xml:space="preserve">that </w:t>
      </w:r>
      <w:r w:rsidRPr="00EF0E6B">
        <w:rPr>
          <w:rFonts w:cs="Arial"/>
        </w:rPr>
        <w:t xml:space="preserve">being the vocational agenda.  Having seen the struggle between the liberal arts and vocational divisions in legal education in the regional nature of law as a discipline, and in the identities of the academic community that operates within this </w:t>
      </w:r>
      <w:r w:rsidR="0075156B">
        <w:rPr>
          <w:rFonts w:cs="Arial"/>
        </w:rPr>
        <w:t>pedagogic recontextualising field</w:t>
      </w:r>
      <w:r w:rsidRPr="00EF0E6B">
        <w:rPr>
          <w:rFonts w:cs="Arial"/>
        </w:rPr>
        <w:t>, it is necessary to consider whether th</w:t>
      </w:r>
      <w:r w:rsidR="00762AD6">
        <w:rPr>
          <w:rFonts w:cs="Arial"/>
        </w:rPr>
        <w:t xml:space="preserve">is vocational focus </w:t>
      </w:r>
      <w:r w:rsidRPr="00EF0E6B">
        <w:rPr>
          <w:rFonts w:cs="Arial"/>
        </w:rPr>
        <w:t>had an impact here on the design of undergraduate law courses.   More recently</w:t>
      </w:r>
      <w:r w:rsidR="007121BB">
        <w:rPr>
          <w:rFonts w:cs="Arial"/>
        </w:rPr>
        <w:t>,</w:t>
      </w:r>
      <w:r w:rsidRPr="00EF0E6B">
        <w:rPr>
          <w:rFonts w:cs="Arial"/>
        </w:rPr>
        <w:t xml:space="preserve"> there has been more opportunity, due to the changes in the regulation, for boundaries to shift between the academic and vocational, or even for these two agendas to integrate within a programme structu</w:t>
      </w:r>
      <w:r w:rsidRPr="00762AD6">
        <w:rPr>
          <w:rFonts w:cs="Arial"/>
        </w:rPr>
        <w:t>re (</w:t>
      </w:r>
      <w:r w:rsidR="00762AD6" w:rsidRPr="00762AD6">
        <w:rPr>
          <w:rFonts w:cs="Arial"/>
        </w:rPr>
        <w:t>S</w:t>
      </w:r>
      <w:r w:rsidR="007121BB">
        <w:rPr>
          <w:rFonts w:cs="Arial"/>
        </w:rPr>
        <w:t>ection</w:t>
      </w:r>
      <w:r w:rsidR="00CD6E72">
        <w:rPr>
          <w:rFonts w:cs="Arial"/>
        </w:rPr>
        <w:t xml:space="preserve"> </w:t>
      </w:r>
      <w:r w:rsidR="00762AD6" w:rsidRPr="00762AD6">
        <w:rPr>
          <w:rFonts w:cs="Arial"/>
        </w:rPr>
        <w:t>2.4</w:t>
      </w:r>
      <w:r w:rsidRPr="00762AD6">
        <w:rPr>
          <w:rFonts w:cs="Arial"/>
        </w:rPr>
        <w:t>).  The</w:t>
      </w:r>
      <w:r w:rsidRPr="00EF0E6B">
        <w:rPr>
          <w:rFonts w:cs="Arial"/>
        </w:rPr>
        <w:t xml:space="preserve"> findings here present </w:t>
      </w:r>
      <w:r w:rsidR="007121BB">
        <w:rPr>
          <w:rFonts w:cs="Arial"/>
        </w:rPr>
        <w:t>external-</w:t>
      </w:r>
      <w:r w:rsidRPr="00EF0E6B">
        <w:rPr>
          <w:rFonts w:cs="Arial"/>
        </w:rPr>
        <w:t>looking considerations as a prominent theme in the design</w:t>
      </w:r>
      <w:r w:rsidR="009C67F9">
        <w:rPr>
          <w:rFonts w:cs="Arial"/>
        </w:rPr>
        <w:t xml:space="preserve"> (Appendix five, Table 7.3).</w:t>
      </w:r>
      <w:r w:rsidRPr="00EF0E6B">
        <w:rPr>
          <w:rFonts w:cs="Arial"/>
        </w:rPr>
        <w:t xml:space="preserve"> </w:t>
      </w:r>
    </w:p>
    <w:p w14:paraId="4F0EB26B" w14:textId="77777777" w:rsidR="00F33D40" w:rsidRPr="00EF0E6B" w:rsidRDefault="00F33D40" w:rsidP="0003652C">
      <w:pPr>
        <w:spacing w:line="360" w:lineRule="auto"/>
        <w:jc w:val="both"/>
        <w:rPr>
          <w:rFonts w:cs="Arial"/>
        </w:rPr>
      </w:pPr>
    </w:p>
    <w:p w14:paraId="793FA71D" w14:textId="47F98694" w:rsidR="00F33D40" w:rsidRPr="00EF0E6B" w:rsidRDefault="00F33D40" w:rsidP="0003652C">
      <w:pPr>
        <w:spacing w:line="360" w:lineRule="auto"/>
        <w:jc w:val="both"/>
        <w:rPr>
          <w:rFonts w:cs="Arial"/>
        </w:rPr>
      </w:pPr>
      <w:r w:rsidRPr="00EF0E6B">
        <w:rPr>
          <w:rFonts w:cs="Arial"/>
        </w:rPr>
        <w:t>Here</w:t>
      </w:r>
      <w:r w:rsidR="007121BB">
        <w:rPr>
          <w:rFonts w:cs="Arial"/>
        </w:rPr>
        <w:t>,</w:t>
      </w:r>
      <w:r w:rsidRPr="00EF0E6B">
        <w:rPr>
          <w:rFonts w:cs="Arial"/>
        </w:rPr>
        <w:t xml:space="preserve"> I only consider what is embedded in the curriculum </w:t>
      </w:r>
      <w:r w:rsidR="007121BB">
        <w:rPr>
          <w:rFonts w:cs="Arial"/>
        </w:rPr>
        <w:t>rather than</w:t>
      </w:r>
      <w:r w:rsidRPr="00EF0E6B">
        <w:rPr>
          <w:rFonts w:cs="Arial"/>
        </w:rPr>
        <w:t xml:space="preserve"> what might complement the degree in terms of extra-</w:t>
      </w:r>
      <w:r w:rsidR="000278ED" w:rsidRPr="00EF0E6B">
        <w:rPr>
          <w:rFonts w:cs="Arial"/>
        </w:rPr>
        <w:t>curricular</w:t>
      </w:r>
      <w:r w:rsidRPr="00EF0E6B">
        <w:rPr>
          <w:rFonts w:cs="Arial"/>
        </w:rPr>
        <w:t xml:space="preserve"> opportunities, or bolt-on provision (Rasiah, 2022). The focus </w:t>
      </w:r>
      <w:r w:rsidR="00762AD6">
        <w:rPr>
          <w:rFonts w:cs="Arial"/>
        </w:rPr>
        <w:t xml:space="preserve">here </w:t>
      </w:r>
      <w:r w:rsidRPr="00EF0E6B">
        <w:rPr>
          <w:rFonts w:cs="Arial"/>
        </w:rPr>
        <w:t xml:space="preserve">is </w:t>
      </w:r>
      <w:r w:rsidR="00762AD6">
        <w:rPr>
          <w:rFonts w:cs="Arial"/>
        </w:rPr>
        <w:t xml:space="preserve">on </w:t>
      </w:r>
      <w:r w:rsidRPr="00EF0E6B">
        <w:rPr>
          <w:rFonts w:cs="Arial"/>
        </w:rPr>
        <w:t xml:space="preserve">the degree </w:t>
      </w:r>
      <w:r w:rsidR="00243DFD">
        <w:rPr>
          <w:rFonts w:cs="Arial"/>
        </w:rPr>
        <w:t>to which</w:t>
      </w:r>
      <w:r w:rsidRPr="00EF0E6B">
        <w:rPr>
          <w:rFonts w:cs="Arial"/>
        </w:rPr>
        <w:t xml:space="preserve"> the student </w:t>
      </w:r>
      <w:r w:rsidRPr="00EF0E6B">
        <w:rPr>
          <w:rFonts w:cs="Arial"/>
        </w:rPr>
        <w:lastRenderedPageBreak/>
        <w:t>will experience, not the opportunities surrounding it that they m</w:t>
      </w:r>
      <w:r w:rsidR="00762AD6">
        <w:rPr>
          <w:rFonts w:cs="Arial"/>
        </w:rPr>
        <w:t xml:space="preserve">ay or may not be able to take advantage of, accepting that what is supported for all students is an appropriate benchmark when looking at access to learning </w:t>
      </w:r>
      <w:r w:rsidRPr="00EF0E6B">
        <w:rPr>
          <w:rFonts w:cs="Arial"/>
        </w:rPr>
        <w:t>(Fielding, 2011).</w:t>
      </w:r>
    </w:p>
    <w:p w14:paraId="4B518862" w14:textId="1E87AED2" w:rsidR="00CE1672" w:rsidRPr="00EF0E6B" w:rsidRDefault="00F33D40" w:rsidP="0003652C">
      <w:pPr>
        <w:spacing w:line="360" w:lineRule="auto"/>
        <w:jc w:val="both"/>
        <w:rPr>
          <w:rFonts w:cs="Arial"/>
        </w:rPr>
      </w:pPr>
      <w:r w:rsidRPr="00EF0E6B">
        <w:rPr>
          <w:rFonts w:cs="Arial"/>
        </w:rPr>
        <w:t xml:space="preserve">In all categories of </w:t>
      </w:r>
      <w:r w:rsidR="009B71D2">
        <w:rPr>
          <w:rFonts w:cs="Arial"/>
        </w:rPr>
        <w:t>school</w:t>
      </w:r>
      <w:r w:rsidRPr="00EF0E6B">
        <w:rPr>
          <w:rFonts w:cs="Arial"/>
        </w:rPr>
        <w:t xml:space="preserve"> discussions about the more general direction in which the degree should go, vocational or otherwise</w:t>
      </w:r>
      <w:r w:rsidR="00243DFD">
        <w:rPr>
          <w:rFonts w:cs="Arial"/>
        </w:rPr>
        <w:t>,</w:t>
      </w:r>
      <w:r w:rsidRPr="00EF0E6B">
        <w:rPr>
          <w:rFonts w:cs="Arial"/>
        </w:rPr>
        <w:t xml:space="preserve"> were evident, even if in some </w:t>
      </w:r>
      <w:r w:rsidR="009B71D2">
        <w:rPr>
          <w:rFonts w:cs="Arial"/>
        </w:rPr>
        <w:t>school</w:t>
      </w:r>
      <w:r w:rsidRPr="00EF0E6B">
        <w:rPr>
          <w:rFonts w:cs="Arial"/>
        </w:rPr>
        <w:t>s they were dismissed. Two themes emerged here</w:t>
      </w:r>
      <w:r w:rsidR="00243DFD">
        <w:rPr>
          <w:rFonts w:cs="Arial"/>
        </w:rPr>
        <w:t>:</w:t>
      </w:r>
      <w:r w:rsidR="00243DFD" w:rsidRPr="00EF0E6B">
        <w:rPr>
          <w:rFonts w:cs="Arial"/>
        </w:rPr>
        <w:t xml:space="preserve"> </w:t>
      </w:r>
      <w:r w:rsidRPr="00EF0E6B">
        <w:rPr>
          <w:rFonts w:cs="Arial"/>
        </w:rPr>
        <w:t>increased provision of experiential learning</w:t>
      </w:r>
      <w:r w:rsidR="00762AD6">
        <w:rPr>
          <w:rFonts w:cs="Arial"/>
        </w:rPr>
        <w:t xml:space="preserve"> </w:t>
      </w:r>
      <w:r w:rsidRPr="00EF0E6B">
        <w:rPr>
          <w:rFonts w:cs="Arial"/>
        </w:rPr>
        <w:t>and inclusion of legal skills. Neither of these preclude</w:t>
      </w:r>
      <w:r w:rsidR="00243DFD">
        <w:rPr>
          <w:rFonts w:cs="Arial"/>
        </w:rPr>
        <w:t>s</w:t>
      </w:r>
      <w:r w:rsidRPr="00EF0E6B">
        <w:rPr>
          <w:rFonts w:cs="Arial"/>
        </w:rPr>
        <w:t xml:space="preserve"> a liberal arts </w:t>
      </w:r>
      <w:r w:rsidR="00762AD6">
        <w:rPr>
          <w:rFonts w:cs="Arial"/>
        </w:rPr>
        <w:t>focus</w:t>
      </w:r>
      <w:r w:rsidRPr="00EF0E6B">
        <w:rPr>
          <w:rFonts w:cs="Arial"/>
        </w:rPr>
        <w:t xml:space="preserve"> </w:t>
      </w:r>
      <w:r w:rsidR="00243DFD">
        <w:rPr>
          <w:rFonts w:cs="Arial"/>
        </w:rPr>
        <w:t>in</w:t>
      </w:r>
      <w:r w:rsidRPr="00EF0E6B">
        <w:rPr>
          <w:rFonts w:cs="Arial"/>
        </w:rPr>
        <w:t xml:space="preserve"> a degree, but they can provide interesting insights into the </w:t>
      </w:r>
      <w:r w:rsidR="00CE1672">
        <w:rPr>
          <w:rFonts w:cs="Arial"/>
        </w:rPr>
        <w:t>influences on the design</w:t>
      </w:r>
      <w:r w:rsidRPr="00EF0E6B">
        <w:rPr>
          <w:rFonts w:cs="Arial"/>
        </w:rPr>
        <w:t>. I will also consider here the impact of the new Solicitors Qualifying Exam</w:t>
      </w:r>
      <w:r w:rsidR="00EA7E92">
        <w:rPr>
          <w:rFonts w:cs="Arial"/>
        </w:rPr>
        <w:t xml:space="preserve"> (SQE)</w:t>
      </w:r>
      <w:r w:rsidRPr="00EF0E6B">
        <w:rPr>
          <w:rFonts w:cs="Arial"/>
        </w:rPr>
        <w:t>, again as it entails an outward</w:t>
      </w:r>
      <w:r w:rsidR="00243DFD">
        <w:rPr>
          <w:rFonts w:cs="Arial"/>
        </w:rPr>
        <w:t>-l</w:t>
      </w:r>
      <w:r w:rsidRPr="00EF0E6B">
        <w:rPr>
          <w:rFonts w:cs="Arial"/>
        </w:rPr>
        <w:t xml:space="preserve">ooking or projected </w:t>
      </w:r>
      <w:r w:rsidR="00CE1672">
        <w:rPr>
          <w:rFonts w:cs="Arial"/>
        </w:rPr>
        <w:t>vocational perspective</w:t>
      </w:r>
      <w:r w:rsidR="009C67F9">
        <w:rPr>
          <w:rFonts w:cs="Arial"/>
        </w:rPr>
        <w:t xml:space="preserve"> (See also Appendix five, Table 7.4)</w:t>
      </w:r>
      <w:r w:rsidRPr="00EF0E6B">
        <w:rPr>
          <w:rFonts w:cs="Arial"/>
        </w:rPr>
        <w:t xml:space="preserve">.  </w:t>
      </w:r>
    </w:p>
    <w:p w14:paraId="33B57E92" w14:textId="42820ABF" w:rsidR="00F33D40" w:rsidRPr="006370E7" w:rsidRDefault="00F33D40" w:rsidP="0003652C">
      <w:pPr>
        <w:pStyle w:val="Heading4"/>
        <w:spacing w:line="360" w:lineRule="auto"/>
        <w:rPr>
          <w:rFonts w:ascii="Arial" w:hAnsi="Arial" w:cs="Arial"/>
        </w:rPr>
      </w:pPr>
      <w:r w:rsidRPr="00EF0E6B">
        <w:rPr>
          <w:rFonts w:ascii="Arial" w:hAnsi="Arial" w:cs="Arial"/>
        </w:rPr>
        <w:t>Experiential learning</w:t>
      </w:r>
    </w:p>
    <w:p w14:paraId="3752D065" w14:textId="1DA960C7" w:rsidR="00F33D40" w:rsidRPr="00EF0E6B" w:rsidRDefault="00F33D40" w:rsidP="006370E7">
      <w:pPr>
        <w:spacing w:line="360" w:lineRule="auto"/>
        <w:jc w:val="both"/>
        <w:rPr>
          <w:rFonts w:cs="Arial"/>
        </w:rPr>
      </w:pPr>
      <w:r w:rsidRPr="00EF0E6B">
        <w:rPr>
          <w:rFonts w:cs="Arial"/>
        </w:rPr>
        <w:t>I have used the t</w:t>
      </w:r>
      <w:r w:rsidR="00243DFD">
        <w:rPr>
          <w:rFonts w:cs="Arial"/>
        </w:rPr>
        <w:t>erm</w:t>
      </w:r>
      <w:r w:rsidRPr="00EF0E6B">
        <w:rPr>
          <w:rFonts w:cs="Arial"/>
        </w:rPr>
        <w:t xml:space="preserve"> experiential learning here to cover a broad base of activities that the participants reflected upon. In essence, this type of learning was facilitated in the curriculum in a range of ways, from the fully integrated activities</w:t>
      </w:r>
      <w:r w:rsidR="00CE1672">
        <w:rPr>
          <w:rFonts w:cs="Arial"/>
        </w:rPr>
        <w:t xml:space="preserve"> providing a programme identity</w:t>
      </w:r>
      <w:r w:rsidRPr="00EF0E6B">
        <w:rPr>
          <w:rFonts w:cs="Arial"/>
        </w:rPr>
        <w:t xml:space="preserve">, to others that were presented in specific module activities. The activities ranged from the embedding of clinical work and modules on street law to problem-based learning in specific modules or throughout a programme. </w:t>
      </w:r>
    </w:p>
    <w:p w14:paraId="5E129D0B" w14:textId="1A8281D2" w:rsidR="00F33D40" w:rsidRPr="00EF0E6B" w:rsidRDefault="00F33D40" w:rsidP="0003652C">
      <w:pPr>
        <w:spacing w:line="360" w:lineRule="auto"/>
        <w:jc w:val="both"/>
        <w:rPr>
          <w:rFonts w:cs="Arial"/>
        </w:rPr>
      </w:pPr>
      <w:r w:rsidRPr="00EF0E6B">
        <w:rPr>
          <w:rFonts w:cs="Arial"/>
        </w:rPr>
        <w:t xml:space="preserve">As discussed in </w:t>
      </w:r>
      <w:r w:rsidR="009D5113">
        <w:rPr>
          <w:rFonts w:cs="Arial"/>
        </w:rPr>
        <w:t>C</w:t>
      </w:r>
      <w:r w:rsidRPr="00CE1672">
        <w:rPr>
          <w:rFonts w:cs="Arial"/>
        </w:rPr>
        <w:t xml:space="preserve">hapter </w:t>
      </w:r>
      <w:r w:rsidR="009D5113">
        <w:rPr>
          <w:rFonts w:cs="Arial"/>
        </w:rPr>
        <w:t>T</w:t>
      </w:r>
      <w:r w:rsidRPr="00CE1672">
        <w:rPr>
          <w:rFonts w:cs="Arial"/>
        </w:rPr>
        <w:t>hree, the vocational</w:t>
      </w:r>
      <w:r w:rsidRPr="00EF0E6B">
        <w:rPr>
          <w:rFonts w:cs="Arial"/>
        </w:rPr>
        <w:t xml:space="preserve"> content </w:t>
      </w:r>
      <w:r w:rsidR="00CE1672">
        <w:rPr>
          <w:rFonts w:cs="Arial"/>
        </w:rPr>
        <w:t>in</w:t>
      </w:r>
      <w:r w:rsidRPr="00EF0E6B">
        <w:rPr>
          <w:rFonts w:cs="Arial"/>
        </w:rPr>
        <w:t xml:space="preserve"> the degree is traditionally delivered with more prominence in the less selective </w:t>
      </w:r>
      <w:r w:rsidR="009B71D2">
        <w:rPr>
          <w:rFonts w:cs="Arial"/>
        </w:rPr>
        <w:t>school</w:t>
      </w:r>
      <w:r w:rsidRPr="00EF0E6B">
        <w:rPr>
          <w:rFonts w:cs="Arial"/>
        </w:rPr>
        <w:t>s. This aligns with Bernstein’s observations o</w:t>
      </w:r>
      <w:r w:rsidR="00CE1672">
        <w:rPr>
          <w:rFonts w:cs="Arial"/>
        </w:rPr>
        <w:t>n</w:t>
      </w:r>
      <w:r w:rsidRPr="00EF0E6B">
        <w:rPr>
          <w:rFonts w:cs="Arial"/>
        </w:rPr>
        <w:t xml:space="preserve"> non-elite institutions, regionalism and vocationalism.  The findings reflected this in part. </w:t>
      </w:r>
    </w:p>
    <w:p w14:paraId="573B2419" w14:textId="4895765B" w:rsidR="00F33D40" w:rsidRPr="00EF0E6B" w:rsidRDefault="00F33D40" w:rsidP="0003652C">
      <w:pPr>
        <w:spacing w:line="360" w:lineRule="auto"/>
        <w:jc w:val="both"/>
        <w:rPr>
          <w:rFonts w:cs="Arial"/>
        </w:rPr>
      </w:pPr>
      <w:r w:rsidRPr="00EF0E6B">
        <w:rPr>
          <w:rFonts w:cs="Arial"/>
          <w:color w:val="000000" w:themeColor="text1"/>
        </w:rPr>
        <w:t>Interestingly</w:t>
      </w:r>
      <w:r w:rsidR="00243DFD">
        <w:rPr>
          <w:rFonts w:cs="Arial"/>
          <w:color w:val="000000" w:themeColor="text1"/>
        </w:rPr>
        <w:t>,</w:t>
      </w:r>
      <w:r w:rsidRPr="00EF0E6B">
        <w:rPr>
          <w:rFonts w:cs="Arial"/>
          <w:color w:val="000000" w:themeColor="text1"/>
        </w:rPr>
        <w:t xml:space="preserve"> </w:t>
      </w:r>
      <w:r w:rsidR="009B71D2">
        <w:rPr>
          <w:rFonts w:cs="Arial"/>
          <w:color w:val="000000" w:themeColor="text1"/>
        </w:rPr>
        <w:t>in four selective schools</w:t>
      </w:r>
      <w:r w:rsidR="00243DFD">
        <w:rPr>
          <w:rFonts w:cs="Arial"/>
          <w:color w:val="000000" w:themeColor="text1"/>
        </w:rPr>
        <w:t>,</w:t>
      </w:r>
      <w:r w:rsidR="009B71D2">
        <w:rPr>
          <w:rFonts w:cs="Arial"/>
          <w:color w:val="000000" w:themeColor="text1"/>
        </w:rPr>
        <w:t xml:space="preserve"> there were</w:t>
      </w:r>
      <w:r w:rsidRPr="00EF0E6B">
        <w:rPr>
          <w:rFonts w:cs="Arial"/>
        </w:rPr>
        <w:t xml:space="preserve"> team conversations focusing on the importance of embedding vocational elements into programmes. Much of this was built around experiential or problem-based learning, aligned to professional practice, with problems set by partners in law firms, clinics with practicing lawyers, or real-world simulations embedded in the c</w:t>
      </w:r>
      <w:r w:rsidR="00F63B36">
        <w:rPr>
          <w:rFonts w:cs="Arial"/>
        </w:rPr>
        <w:t>ourse design</w:t>
      </w:r>
      <w:r w:rsidRPr="00EF0E6B">
        <w:rPr>
          <w:rFonts w:cs="Arial"/>
        </w:rPr>
        <w:t xml:space="preserve">. In one </w:t>
      </w:r>
      <w:r w:rsidR="009B71D2">
        <w:rPr>
          <w:rFonts w:cs="Arial"/>
        </w:rPr>
        <w:t>school</w:t>
      </w:r>
      <w:r w:rsidR="00243DFD">
        <w:rPr>
          <w:rFonts w:cs="Arial"/>
        </w:rPr>
        <w:t>,</w:t>
      </w:r>
      <w:r w:rsidRPr="00EF0E6B">
        <w:rPr>
          <w:rFonts w:cs="Arial"/>
        </w:rPr>
        <w:t xml:space="preserve"> problem-based learning was seen as more than a simulation and was perceived </w:t>
      </w:r>
      <w:r w:rsidR="00243DFD">
        <w:rPr>
          <w:rFonts w:cs="Arial"/>
        </w:rPr>
        <w:t>as</w:t>
      </w:r>
      <w:r w:rsidRPr="00EF0E6B">
        <w:rPr>
          <w:rFonts w:cs="Arial"/>
        </w:rPr>
        <w:t xml:space="preserve"> a fundamental value</w:t>
      </w:r>
      <w:r w:rsidR="00B27C3F">
        <w:rPr>
          <w:rFonts w:cs="Arial"/>
        </w:rPr>
        <w:t>,</w:t>
      </w:r>
      <w:r w:rsidRPr="00EF0E6B">
        <w:rPr>
          <w:rFonts w:cs="Arial"/>
        </w:rPr>
        <w:t xml:space="preserve"> in the school</w:t>
      </w:r>
      <w:r w:rsidR="00243DFD">
        <w:rPr>
          <w:rFonts w:cs="Arial"/>
        </w:rPr>
        <w:t>,</w:t>
      </w:r>
      <w:r w:rsidRPr="00EF0E6B">
        <w:rPr>
          <w:rFonts w:cs="Arial"/>
        </w:rPr>
        <w:t xml:space="preserve"> driving the design. This </w:t>
      </w:r>
      <w:r w:rsidRPr="00EF0E6B">
        <w:rPr>
          <w:rFonts w:cs="Arial"/>
        </w:rPr>
        <w:lastRenderedPageBreak/>
        <w:t>was despite the challenges it b</w:t>
      </w:r>
      <w:r w:rsidR="00243DFD">
        <w:rPr>
          <w:rFonts w:cs="Arial"/>
        </w:rPr>
        <w:t>r</w:t>
      </w:r>
      <w:r w:rsidRPr="00EF0E6B">
        <w:rPr>
          <w:rFonts w:cs="Arial"/>
        </w:rPr>
        <w:t>ought with it</w:t>
      </w:r>
      <w:r w:rsidR="00243DFD">
        <w:rPr>
          <w:rFonts w:cs="Arial"/>
        </w:rPr>
        <w:t>,</w:t>
      </w:r>
      <w:r w:rsidRPr="00EF0E6B">
        <w:rPr>
          <w:rFonts w:cs="Arial"/>
        </w:rPr>
        <w:t xml:space="preserve"> which are well documented in the literature, in providing consistency in teaching and flexibility in integration across traditionally </w:t>
      </w:r>
      <w:r w:rsidRPr="00AA03EE">
        <w:rPr>
          <w:rFonts w:cs="Arial"/>
        </w:rPr>
        <w:t>defined area</w:t>
      </w:r>
      <w:r w:rsidRPr="00AA03EE">
        <w:rPr>
          <w:rFonts w:cs="Arial"/>
          <w:color w:val="000000" w:themeColor="text1"/>
        </w:rPr>
        <w:t>s (</w:t>
      </w:r>
      <w:r w:rsidRPr="00AA03EE">
        <w:rPr>
          <w:rFonts w:cs="Arial"/>
          <w:color w:val="000000" w:themeColor="text1"/>
          <w:shd w:val="clear" w:color="auto" w:fill="FFFFFF"/>
        </w:rPr>
        <w:t>Driessen &amp; Van Der Vleuten, 2000).</w:t>
      </w:r>
      <w:r w:rsidRPr="00AA03EE">
        <w:rPr>
          <w:rFonts w:cs="Arial"/>
          <w:color w:val="000000" w:themeColor="text1"/>
        </w:rPr>
        <w:t xml:space="preserve"> </w:t>
      </w:r>
      <w:r w:rsidRPr="00AA03EE">
        <w:rPr>
          <w:rFonts w:cs="Arial"/>
        </w:rPr>
        <w:t xml:space="preserve">It was apparent that </w:t>
      </w:r>
      <w:r w:rsidR="00CE1672" w:rsidRPr="00AA03EE">
        <w:rPr>
          <w:rFonts w:cs="Arial"/>
        </w:rPr>
        <w:t>some of t</w:t>
      </w:r>
      <w:r w:rsidRPr="00AA03EE">
        <w:rPr>
          <w:rFonts w:cs="Arial"/>
        </w:rPr>
        <w:t xml:space="preserve">he selective </w:t>
      </w:r>
      <w:r w:rsidR="009B71D2">
        <w:rPr>
          <w:rFonts w:cs="Arial"/>
        </w:rPr>
        <w:t>school</w:t>
      </w:r>
      <w:r w:rsidRPr="00AA03EE">
        <w:rPr>
          <w:rFonts w:cs="Arial"/>
        </w:rPr>
        <w:t>s were engaging with the</w:t>
      </w:r>
      <w:r w:rsidRPr="00EF0E6B">
        <w:rPr>
          <w:rFonts w:cs="Arial"/>
        </w:rPr>
        <w:t xml:space="preserve"> externality of the profession, and that there was some attempt at integration here of traditionally segmented areas of study.  </w:t>
      </w:r>
    </w:p>
    <w:p w14:paraId="6BB3556B" w14:textId="59B8098A" w:rsidR="00F33D40" w:rsidRPr="00EF0E6B" w:rsidRDefault="00F33D40" w:rsidP="006370E7">
      <w:pPr>
        <w:spacing w:line="360" w:lineRule="auto"/>
        <w:jc w:val="both"/>
        <w:rPr>
          <w:rFonts w:cs="Arial"/>
        </w:rPr>
      </w:pPr>
      <w:r w:rsidRPr="00EF0E6B">
        <w:rPr>
          <w:rFonts w:cs="Arial"/>
        </w:rPr>
        <w:t>Less surprisingly</w:t>
      </w:r>
      <w:r w:rsidR="00243DFD">
        <w:rPr>
          <w:rFonts w:cs="Arial"/>
        </w:rPr>
        <w:t>,</w:t>
      </w:r>
      <w:r w:rsidRPr="00EF0E6B">
        <w:rPr>
          <w:rFonts w:cs="Arial"/>
        </w:rPr>
        <w:t xml:space="preserve"> this theme continues with the semi-selective </w:t>
      </w:r>
      <w:r w:rsidR="009B71D2">
        <w:rPr>
          <w:rFonts w:cs="Arial"/>
        </w:rPr>
        <w:t>school</w:t>
      </w:r>
      <w:r w:rsidRPr="00EF0E6B">
        <w:rPr>
          <w:rFonts w:cs="Arial"/>
        </w:rPr>
        <w:t xml:space="preserve">s, with five of the </w:t>
      </w:r>
      <w:r w:rsidR="009B71D2">
        <w:rPr>
          <w:rFonts w:cs="Arial"/>
        </w:rPr>
        <w:t>school</w:t>
      </w:r>
      <w:r w:rsidRPr="00EF0E6B">
        <w:rPr>
          <w:rFonts w:cs="Arial"/>
        </w:rPr>
        <w:t xml:space="preserve">s seeing the need to embed a diversity of </w:t>
      </w:r>
      <w:r w:rsidR="00243DFD" w:rsidRPr="00EF0E6B">
        <w:rPr>
          <w:rFonts w:cs="Arial"/>
        </w:rPr>
        <w:t>practice</w:t>
      </w:r>
      <w:r w:rsidR="00243DFD">
        <w:rPr>
          <w:rFonts w:cs="Arial"/>
        </w:rPr>
        <w:t>-</w:t>
      </w:r>
      <w:r w:rsidRPr="00EF0E6B">
        <w:rPr>
          <w:rFonts w:cs="Arial"/>
        </w:rPr>
        <w:t xml:space="preserve">based simulated experiences, </w:t>
      </w:r>
      <w:r w:rsidR="00CE1672">
        <w:rPr>
          <w:rFonts w:cs="Arial"/>
        </w:rPr>
        <w:t xml:space="preserve">present in existing </w:t>
      </w:r>
      <w:r w:rsidR="000278ED">
        <w:rPr>
          <w:rFonts w:cs="Arial"/>
        </w:rPr>
        <w:t>longer-term</w:t>
      </w:r>
      <w:r w:rsidR="00CE1672">
        <w:rPr>
          <w:rFonts w:cs="Arial"/>
        </w:rPr>
        <w:t xml:space="preserve"> initiatives, </w:t>
      </w:r>
      <w:r w:rsidRPr="00EF0E6B">
        <w:rPr>
          <w:rFonts w:cs="Arial"/>
        </w:rPr>
        <w:t xml:space="preserve">including simulated student law offices, live clinics dealing with real people, </w:t>
      </w:r>
      <w:r w:rsidR="000278ED" w:rsidRPr="00EF0E6B">
        <w:rPr>
          <w:rFonts w:cs="Arial"/>
        </w:rPr>
        <w:t>task-based</w:t>
      </w:r>
      <w:r w:rsidRPr="00EF0E6B">
        <w:rPr>
          <w:rFonts w:cs="Arial"/>
        </w:rPr>
        <w:t xml:space="preserve"> assessments linked to the simulations, street law modules, and other </w:t>
      </w:r>
      <w:r w:rsidR="00243DFD" w:rsidRPr="00EF0E6B">
        <w:rPr>
          <w:rFonts w:cs="Arial"/>
        </w:rPr>
        <w:t>credit</w:t>
      </w:r>
      <w:r w:rsidR="00243DFD">
        <w:rPr>
          <w:rFonts w:cs="Arial"/>
        </w:rPr>
        <w:t>-</w:t>
      </w:r>
      <w:r w:rsidRPr="00EF0E6B">
        <w:rPr>
          <w:rFonts w:cs="Arial"/>
        </w:rPr>
        <w:t xml:space="preserve">bearing legal work experience. </w:t>
      </w:r>
    </w:p>
    <w:p w14:paraId="59E0DF95" w14:textId="51855774" w:rsidR="00F33D40" w:rsidRPr="00EF0E6B" w:rsidRDefault="00F33D40" w:rsidP="0003652C">
      <w:pPr>
        <w:spacing w:line="360" w:lineRule="auto"/>
        <w:jc w:val="both"/>
        <w:rPr>
          <w:rFonts w:cs="Arial"/>
        </w:rPr>
      </w:pPr>
      <w:r w:rsidRPr="00EF0E6B">
        <w:rPr>
          <w:rFonts w:cs="Arial"/>
        </w:rPr>
        <w:t xml:space="preserve">In the widening participation </w:t>
      </w:r>
      <w:r w:rsidR="009B71D2">
        <w:rPr>
          <w:rFonts w:cs="Arial"/>
        </w:rPr>
        <w:t>school</w:t>
      </w:r>
      <w:r w:rsidR="00D83239" w:rsidRPr="00EF0E6B">
        <w:rPr>
          <w:rFonts w:cs="Arial"/>
        </w:rPr>
        <w:t>s,</w:t>
      </w:r>
      <w:r w:rsidRPr="00EF0E6B">
        <w:rPr>
          <w:rFonts w:cs="Arial"/>
        </w:rPr>
        <w:t xml:space="preserve"> there was a strong emphasis on embedding practical experience, with all </w:t>
      </w:r>
      <w:r w:rsidR="009B71D2">
        <w:rPr>
          <w:rFonts w:cs="Arial"/>
        </w:rPr>
        <w:t>school</w:t>
      </w:r>
      <w:r w:rsidRPr="00EF0E6B">
        <w:rPr>
          <w:rFonts w:cs="Arial"/>
        </w:rPr>
        <w:t xml:space="preserve">s referencing the need for clinics, </w:t>
      </w:r>
      <w:r w:rsidR="00243DFD">
        <w:rPr>
          <w:rFonts w:cs="Arial"/>
        </w:rPr>
        <w:t>albeit</w:t>
      </w:r>
      <w:r w:rsidRPr="00EF0E6B">
        <w:rPr>
          <w:rFonts w:cs="Arial"/>
        </w:rPr>
        <w:t xml:space="preserve"> reluctantly</w:t>
      </w:r>
      <w:r w:rsidR="00243DFD">
        <w:rPr>
          <w:rFonts w:cs="Arial"/>
        </w:rPr>
        <w:t>.</w:t>
      </w:r>
    </w:p>
    <w:p w14:paraId="28EA53F9" w14:textId="04EEA17D" w:rsidR="00F33D40" w:rsidRPr="006370E7" w:rsidRDefault="00F33D40" w:rsidP="006370E7">
      <w:pPr>
        <w:spacing w:line="360" w:lineRule="auto"/>
        <w:ind w:left="720"/>
        <w:jc w:val="both"/>
        <w:rPr>
          <w:rFonts w:cs="Arial"/>
          <w:color w:val="000000" w:themeColor="text1"/>
        </w:rPr>
      </w:pPr>
      <w:r w:rsidRPr="00EF0E6B">
        <w:rPr>
          <w:rFonts w:cs="Arial"/>
          <w:color w:val="000000" w:themeColor="text1"/>
        </w:rPr>
        <w:t>I didn’t see the point of clinics – a bit performative - but some really good work comes out of clinics, and I am more open to that</w:t>
      </w:r>
      <w:r w:rsidR="00A54CEF">
        <w:rPr>
          <w:rFonts w:cs="Arial"/>
          <w:color w:val="000000" w:themeColor="text1"/>
        </w:rPr>
        <w:t xml:space="preserve"> (WP).</w:t>
      </w:r>
    </w:p>
    <w:p w14:paraId="765795C0" w14:textId="7D2A48B5" w:rsidR="00F33D40" w:rsidRPr="00EF0E6B" w:rsidRDefault="00F33D40" w:rsidP="0003652C">
      <w:pPr>
        <w:spacing w:line="360" w:lineRule="auto"/>
        <w:jc w:val="both"/>
        <w:rPr>
          <w:rFonts w:cs="Arial"/>
        </w:rPr>
      </w:pPr>
      <w:r w:rsidRPr="00EF0E6B">
        <w:rPr>
          <w:rFonts w:cs="Arial"/>
        </w:rPr>
        <w:t xml:space="preserve">These </w:t>
      </w:r>
      <w:r w:rsidR="009B71D2">
        <w:rPr>
          <w:rFonts w:cs="Arial"/>
        </w:rPr>
        <w:t>school</w:t>
      </w:r>
      <w:r w:rsidR="009B71D2" w:rsidRPr="00EF0E6B">
        <w:rPr>
          <w:rFonts w:cs="Arial"/>
        </w:rPr>
        <w:t xml:space="preserve">s </w:t>
      </w:r>
      <w:r w:rsidR="00CE1672" w:rsidRPr="00EF0E6B">
        <w:rPr>
          <w:rFonts w:cs="Arial"/>
        </w:rPr>
        <w:t>embed</w:t>
      </w:r>
      <w:r w:rsidR="00CE1672">
        <w:rPr>
          <w:rFonts w:cs="Arial"/>
        </w:rPr>
        <w:t>ded</w:t>
      </w:r>
      <w:r w:rsidRPr="00EF0E6B">
        <w:rPr>
          <w:rFonts w:cs="Arial"/>
        </w:rPr>
        <w:t xml:space="preserve"> similar forms of practice-based learning</w:t>
      </w:r>
      <w:r w:rsidR="00243DFD">
        <w:rPr>
          <w:rFonts w:cs="Arial"/>
        </w:rPr>
        <w:t>,</w:t>
      </w:r>
      <w:r w:rsidRPr="00EF0E6B">
        <w:rPr>
          <w:rFonts w:cs="Arial"/>
        </w:rPr>
        <w:t xml:space="preserve"> including </w:t>
      </w:r>
      <w:r w:rsidR="00243DFD" w:rsidRPr="00EF0E6B">
        <w:rPr>
          <w:rFonts w:cs="Arial"/>
        </w:rPr>
        <w:t>built</w:t>
      </w:r>
      <w:r w:rsidR="00243DFD">
        <w:rPr>
          <w:rFonts w:cs="Arial"/>
        </w:rPr>
        <w:t>-</w:t>
      </w:r>
      <w:r w:rsidRPr="00EF0E6B">
        <w:rPr>
          <w:rFonts w:cs="Arial"/>
        </w:rPr>
        <w:t>in clinical experience with guarantee</w:t>
      </w:r>
      <w:r w:rsidR="00243DFD">
        <w:rPr>
          <w:rFonts w:cs="Arial"/>
        </w:rPr>
        <w:t>d</w:t>
      </w:r>
      <w:r w:rsidRPr="00EF0E6B">
        <w:rPr>
          <w:rFonts w:cs="Arial"/>
        </w:rPr>
        <w:t xml:space="preserve"> work in free advice centres, injury accident simulation, client care skills</w:t>
      </w:r>
      <w:r w:rsidR="00243DFD">
        <w:rPr>
          <w:rFonts w:cs="Arial"/>
        </w:rPr>
        <w:t>,</w:t>
      </w:r>
      <w:r w:rsidRPr="00EF0E6B">
        <w:rPr>
          <w:rFonts w:cs="Arial"/>
        </w:rPr>
        <w:t xml:space="preserve"> and legal project management. </w:t>
      </w:r>
    </w:p>
    <w:p w14:paraId="69E58175" w14:textId="72372042" w:rsidR="00F33D40" w:rsidRPr="00EF0E6B" w:rsidRDefault="00F33D40" w:rsidP="0003652C">
      <w:pPr>
        <w:spacing w:line="360" w:lineRule="auto"/>
        <w:ind w:left="720"/>
        <w:jc w:val="both"/>
        <w:rPr>
          <w:rFonts w:cs="Arial"/>
          <w:color w:val="000000" w:themeColor="text1"/>
        </w:rPr>
      </w:pPr>
      <w:r w:rsidRPr="00EF0E6B">
        <w:rPr>
          <w:rFonts w:cs="Arial"/>
          <w:color w:val="000000" w:themeColor="text1"/>
        </w:rPr>
        <w:t>The study of law has to have a practical output. It has always been an important part of the course and how we teach law</w:t>
      </w:r>
      <w:r w:rsidR="00A54CEF">
        <w:rPr>
          <w:rFonts w:cs="Arial"/>
          <w:color w:val="000000" w:themeColor="text1"/>
        </w:rPr>
        <w:t xml:space="preserve"> (WP).</w:t>
      </w:r>
    </w:p>
    <w:p w14:paraId="4E216D7E" w14:textId="640EDAD1" w:rsidR="00F33D40" w:rsidRPr="00EF0E6B" w:rsidRDefault="00F33D40" w:rsidP="0003652C">
      <w:pPr>
        <w:spacing w:line="360" w:lineRule="auto"/>
        <w:jc w:val="both"/>
        <w:rPr>
          <w:rFonts w:cs="Arial"/>
          <w:color w:val="000000" w:themeColor="text1"/>
        </w:rPr>
      </w:pPr>
      <w:r w:rsidRPr="00EF0E6B">
        <w:rPr>
          <w:rFonts w:cs="Arial"/>
          <w:color w:val="000000" w:themeColor="text1"/>
        </w:rPr>
        <w:t xml:space="preserve">The designers acknowledged that there are </w:t>
      </w:r>
    </w:p>
    <w:p w14:paraId="73724B65" w14:textId="63F80FE8" w:rsidR="00F33D40" w:rsidRPr="00EF0E6B" w:rsidRDefault="00F33D40" w:rsidP="0003652C">
      <w:pPr>
        <w:spacing w:line="360" w:lineRule="auto"/>
        <w:ind w:left="720"/>
        <w:jc w:val="both"/>
        <w:rPr>
          <w:rFonts w:cs="Arial"/>
          <w:color w:val="000000" w:themeColor="text1"/>
        </w:rPr>
      </w:pPr>
      <w:r w:rsidRPr="00EF0E6B">
        <w:rPr>
          <w:rFonts w:cs="Arial"/>
          <w:color w:val="000000" w:themeColor="text1"/>
        </w:rPr>
        <w:t>debates that underpin that – a necessary tension between academic study of law and anything that might look like a vocational study of law</w:t>
      </w:r>
      <w:r w:rsidR="00A54CEF">
        <w:rPr>
          <w:rFonts w:cs="Arial"/>
          <w:color w:val="000000" w:themeColor="text1"/>
        </w:rPr>
        <w:t xml:space="preserve"> (WP).</w:t>
      </w:r>
    </w:p>
    <w:p w14:paraId="195F04AB" w14:textId="472F22F8" w:rsidR="00F33D40" w:rsidRPr="00EF0E6B" w:rsidRDefault="00CE1672" w:rsidP="0003652C">
      <w:pPr>
        <w:spacing w:line="360" w:lineRule="auto"/>
        <w:jc w:val="both"/>
        <w:rPr>
          <w:rFonts w:cs="Arial"/>
          <w:color w:val="000000" w:themeColor="text1"/>
        </w:rPr>
      </w:pPr>
      <w:r>
        <w:rPr>
          <w:rFonts w:cs="Arial"/>
          <w:color w:val="000000" w:themeColor="text1"/>
        </w:rPr>
        <w:t>Others</w:t>
      </w:r>
      <w:r w:rsidR="00F33D40" w:rsidRPr="00EF0E6B">
        <w:rPr>
          <w:rFonts w:cs="Arial"/>
          <w:color w:val="000000" w:themeColor="text1"/>
        </w:rPr>
        <w:t xml:space="preserve"> were</w:t>
      </w:r>
      <w:r w:rsidR="00D46465">
        <w:rPr>
          <w:rFonts w:cs="Arial"/>
          <w:color w:val="000000" w:themeColor="text1"/>
        </w:rPr>
        <w:t>,</w:t>
      </w:r>
      <w:r w:rsidR="00F33D40" w:rsidRPr="00EF0E6B">
        <w:rPr>
          <w:rFonts w:cs="Arial"/>
          <w:color w:val="000000" w:themeColor="text1"/>
        </w:rPr>
        <w:t xml:space="preserve"> </w:t>
      </w:r>
      <w:r>
        <w:rPr>
          <w:rFonts w:cs="Arial"/>
          <w:color w:val="000000" w:themeColor="text1"/>
        </w:rPr>
        <w:t>as discussed earlier</w:t>
      </w:r>
      <w:r w:rsidR="00D46465">
        <w:rPr>
          <w:rFonts w:cs="Arial"/>
          <w:color w:val="000000" w:themeColor="text1"/>
        </w:rPr>
        <w:t>,</w:t>
      </w:r>
      <w:r>
        <w:rPr>
          <w:rFonts w:cs="Arial"/>
          <w:color w:val="000000" w:themeColor="text1"/>
        </w:rPr>
        <w:t xml:space="preserve"> </w:t>
      </w:r>
      <w:r w:rsidR="00F33D40" w:rsidRPr="00EF0E6B">
        <w:rPr>
          <w:rFonts w:cs="Arial"/>
          <w:color w:val="000000" w:themeColor="text1"/>
        </w:rPr>
        <w:t>more expressly aligned to the liberal arts agenda</w:t>
      </w:r>
      <w:r>
        <w:rPr>
          <w:rFonts w:cs="Arial"/>
          <w:color w:val="000000" w:themeColor="text1"/>
        </w:rPr>
        <w:t xml:space="preserve"> whilst still acknowledging </w:t>
      </w:r>
      <w:r w:rsidR="00F33D40" w:rsidRPr="00EF0E6B">
        <w:rPr>
          <w:rFonts w:cs="Arial"/>
          <w:color w:val="000000" w:themeColor="text1"/>
        </w:rPr>
        <w:t xml:space="preserve">the needs of the students and the dangers of ignoring practice-based or experiential learning, </w:t>
      </w:r>
    </w:p>
    <w:p w14:paraId="39D59462" w14:textId="51B5FC4B" w:rsidR="00F33D40" w:rsidRPr="006370E7" w:rsidRDefault="00F33D40" w:rsidP="006370E7">
      <w:pPr>
        <w:spacing w:line="360" w:lineRule="auto"/>
        <w:ind w:left="720"/>
        <w:jc w:val="both"/>
        <w:rPr>
          <w:rFonts w:cs="Arial"/>
          <w:color w:val="E36C0A" w:themeColor="accent6" w:themeShade="BF"/>
        </w:rPr>
      </w:pPr>
      <w:r w:rsidRPr="00EF0E6B">
        <w:rPr>
          <w:rFonts w:cs="Arial"/>
        </w:rPr>
        <w:lastRenderedPageBreak/>
        <w:t xml:space="preserve">This is an academic program and it's going to continue to be an academic program and actually the best thing that we can do for you (the student) is make sure that you can think so you can navigate this landscape, but we will also build in some kind of simulations of the stuff that you might expect for the </w:t>
      </w:r>
      <w:r w:rsidR="00CE1672">
        <w:rPr>
          <w:rFonts w:cs="Arial"/>
        </w:rPr>
        <w:t>solicitors qualifying exam</w:t>
      </w:r>
      <w:r w:rsidR="00A54CEF">
        <w:rPr>
          <w:rFonts w:cs="Arial"/>
        </w:rPr>
        <w:t xml:space="preserve"> (WP).</w:t>
      </w:r>
    </w:p>
    <w:p w14:paraId="0A675C63" w14:textId="22BF137E" w:rsidR="00F33D40" w:rsidRPr="00EF0E6B" w:rsidRDefault="00F33D40" w:rsidP="0003652C">
      <w:pPr>
        <w:spacing w:line="360" w:lineRule="auto"/>
        <w:jc w:val="both"/>
        <w:rPr>
          <w:rFonts w:cs="Arial"/>
          <w:color w:val="000000" w:themeColor="text1"/>
        </w:rPr>
      </w:pPr>
      <w:r w:rsidRPr="00EF0E6B">
        <w:rPr>
          <w:rFonts w:cs="Arial"/>
          <w:color w:val="000000" w:themeColor="text1"/>
        </w:rPr>
        <w:t xml:space="preserve">This was not just seen within the context of the future employability and ‘future proofing’ of the students (something I return to in </w:t>
      </w:r>
      <w:r w:rsidR="009D5113">
        <w:rPr>
          <w:rFonts w:cs="Arial"/>
          <w:color w:val="000000" w:themeColor="text1"/>
        </w:rPr>
        <w:t>C</w:t>
      </w:r>
      <w:r w:rsidRPr="00EF0E6B">
        <w:rPr>
          <w:rFonts w:cs="Arial"/>
          <w:color w:val="000000" w:themeColor="text1"/>
        </w:rPr>
        <w:t xml:space="preserve">hapter </w:t>
      </w:r>
      <w:r w:rsidR="009D5113">
        <w:rPr>
          <w:rFonts w:cs="Arial"/>
          <w:color w:val="000000" w:themeColor="text1"/>
        </w:rPr>
        <w:t>E</w:t>
      </w:r>
      <w:r w:rsidR="00CE1672">
        <w:rPr>
          <w:rFonts w:cs="Arial"/>
          <w:color w:val="000000" w:themeColor="text1"/>
        </w:rPr>
        <w:t>ight</w:t>
      </w:r>
      <w:r w:rsidRPr="00EF0E6B">
        <w:rPr>
          <w:rFonts w:cs="Arial"/>
          <w:color w:val="000000" w:themeColor="text1"/>
        </w:rPr>
        <w:t>), but also from the perspective of the discipline, in the forming of the identity of these students entering that profession,</w:t>
      </w:r>
    </w:p>
    <w:p w14:paraId="27401078" w14:textId="175BA0E4" w:rsidR="00F33D40" w:rsidRPr="00EF0E6B" w:rsidRDefault="00F33D40" w:rsidP="006370E7">
      <w:pPr>
        <w:spacing w:line="360" w:lineRule="auto"/>
        <w:ind w:left="720"/>
        <w:jc w:val="both"/>
        <w:rPr>
          <w:rFonts w:cs="Arial"/>
          <w:color w:val="000000" w:themeColor="text1"/>
        </w:rPr>
      </w:pPr>
      <w:r w:rsidRPr="00EF0E6B">
        <w:rPr>
          <w:rFonts w:cs="Arial"/>
          <w:color w:val="000000" w:themeColor="text1"/>
        </w:rPr>
        <w:t>We make assumptions about their (the students</w:t>
      </w:r>
      <w:r w:rsidR="00243DFD">
        <w:rPr>
          <w:rFonts w:cs="Arial"/>
          <w:color w:val="000000" w:themeColor="text1"/>
        </w:rPr>
        <w:t>’</w:t>
      </w:r>
      <w:r w:rsidRPr="00EF0E6B">
        <w:rPr>
          <w:rFonts w:cs="Arial"/>
          <w:color w:val="000000" w:themeColor="text1"/>
        </w:rPr>
        <w:t>) ability to do things like thinking the way that we require lawyers to think in terms of problem</w:t>
      </w:r>
      <w:r w:rsidR="00243DFD">
        <w:rPr>
          <w:rFonts w:cs="Arial"/>
          <w:color w:val="000000" w:themeColor="text1"/>
        </w:rPr>
        <w:t>-</w:t>
      </w:r>
      <w:r w:rsidRPr="00EF0E6B">
        <w:rPr>
          <w:rFonts w:cs="Arial"/>
          <w:color w:val="000000" w:themeColor="text1"/>
        </w:rPr>
        <w:t>solving</w:t>
      </w:r>
      <w:r w:rsidR="00A54CEF">
        <w:rPr>
          <w:rFonts w:cs="Arial"/>
          <w:color w:val="000000" w:themeColor="text1"/>
        </w:rPr>
        <w:t xml:space="preserve"> (WP).</w:t>
      </w:r>
    </w:p>
    <w:p w14:paraId="57E55F48" w14:textId="40BA6E0E" w:rsidR="00F33D40" w:rsidRPr="00EF0E6B" w:rsidRDefault="00F33D40" w:rsidP="0003652C">
      <w:pPr>
        <w:spacing w:line="360" w:lineRule="auto"/>
        <w:jc w:val="both"/>
        <w:rPr>
          <w:rFonts w:cs="Arial"/>
          <w:color w:val="000000" w:themeColor="text1"/>
        </w:rPr>
      </w:pPr>
      <w:r w:rsidRPr="00EF0E6B">
        <w:rPr>
          <w:rFonts w:cs="Arial"/>
          <w:color w:val="000000" w:themeColor="text1"/>
        </w:rPr>
        <w:t xml:space="preserve">The inclusion of simulated or real clinical legal education in the curriculum has been advocated since the 1930s by the American legal realists (Frank, 1933) and has been increasing in prominence in the last </w:t>
      </w:r>
      <w:r w:rsidR="00243DFD">
        <w:rPr>
          <w:rFonts w:cs="Arial"/>
          <w:color w:val="000000" w:themeColor="text1"/>
        </w:rPr>
        <w:t>60</w:t>
      </w:r>
      <w:r w:rsidRPr="00EF0E6B">
        <w:rPr>
          <w:rFonts w:cs="Arial"/>
          <w:color w:val="000000" w:themeColor="text1"/>
        </w:rPr>
        <w:t xml:space="preserve"> years (Barry et al., 2000). There are many challenges faced when placing students in real</w:t>
      </w:r>
      <w:r w:rsidR="00243DFD">
        <w:rPr>
          <w:rFonts w:cs="Arial"/>
          <w:color w:val="000000" w:themeColor="text1"/>
        </w:rPr>
        <w:t>-</w:t>
      </w:r>
      <w:r w:rsidRPr="00EF0E6B">
        <w:rPr>
          <w:rFonts w:cs="Arial"/>
          <w:color w:val="000000" w:themeColor="text1"/>
        </w:rPr>
        <w:t>life situations, as the focus shifts from ‘how to think like a lawyer’ to ‘how to act like a lawyer’ (Arthurs, 2025)</w:t>
      </w:r>
      <w:r w:rsidR="007F6408">
        <w:rPr>
          <w:rFonts w:cs="Arial"/>
          <w:color w:val="000000" w:themeColor="text1"/>
        </w:rPr>
        <w:t>.</w:t>
      </w:r>
      <w:r w:rsidRPr="00EF0E6B">
        <w:rPr>
          <w:rFonts w:cs="Arial"/>
          <w:color w:val="000000" w:themeColor="text1"/>
        </w:rPr>
        <w:t xml:space="preserve"> Here the findings show that there is some enthusiasm for the development of clinical </w:t>
      </w:r>
      <w:r w:rsidRPr="00EE4AED">
        <w:rPr>
          <w:rFonts w:cs="Arial"/>
          <w:color w:val="000000" w:themeColor="text1"/>
        </w:rPr>
        <w:t xml:space="preserve">legal education </w:t>
      </w:r>
      <w:r w:rsidR="007F6408">
        <w:rPr>
          <w:rFonts w:cs="Arial"/>
          <w:color w:val="000000" w:themeColor="text1"/>
        </w:rPr>
        <w:t>but</w:t>
      </w:r>
      <w:r w:rsidRPr="00EE4AED">
        <w:rPr>
          <w:rFonts w:cs="Arial"/>
          <w:color w:val="000000" w:themeColor="text1"/>
        </w:rPr>
        <w:t xml:space="preserve"> not only in pursuit of a vocational education</w:t>
      </w:r>
      <w:r w:rsidR="007E56A0" w:rsidRPr="00EE4AED">
        <w:rPr>
          <w:rFonts w:cs="Arial"/>
          <w:color w:val="000000" w:themeColor="text1"/>
        </w:rPr>
        <w:t xml:space="preserve"> or </w:t>
      </w:r>
      <w:r w:rsidRPr="00EE4AED">
        <w:rPr>
          <w:rFonts w:cs="Arial"/>
          <w:color w:val="000000" w:themeColor="text1"/>
        </w:rPr>
        <w:t>in response to market demands, but also as a means to provide an externally looking educational transformation, developing an understanding of how the theory meets practice, and from Bernstein’s perspective how the discipline projects itself regionally linking the sacred and the mundane.</w:t>
      </w:r>
      <w:r w:rsidRPr="00EF0E6B">
        <w:rPr>
          <w:rFonts w:cs="Arial"/>
          <w:color w:val="000000" w:themeColor="text1"/>
        </w:rPr>
        <w:t xml:space="preserve"> </w:t>
      </w:r>
    </w:p>
    <w:p w14:paraId="33C22D71" w14:textId="5F7370FB" w:rsidR="00F33D40" w:rsidRPr="00EE4AED" w:rsidRDefault="00F33D40" w:rsidP="0003652C">
      <w:pPr>
        <w:spacing w:line="360" w:lineRule="auto"/>
        <w:jc w:val="both"/>
        <w:rPr>
          <w:rFonts w:cs="Arial"/>
          <w:color w:val="000000" w:themeColor="text1"/>
        </w:rPr>
      </w:pPr>
      <w:r w:rsidRPr="00EF0E6B">
        <w:rPr>
          <w:rFonts w:cs="Arial"/>
          <w:color w:val="000000" w:themeColor="text1"/>
        </w:rPr>
        <w:t xml:space="preserve">Problem-based learning was a </w:t>
      </w:r>
      <w:r w:rsidR="00243DFD">
        <w:rPr>
          <w:rFonts w:cs="Arial"/>
          <w:color w:val="000000" w:themeColor="text1"/>
        </w:rPr>
        <w:t>particular</w:t>
      </w:r>
      <w:r w:rsidRPr="00EF0E6B">
        <w:rPr>
          <w:rFonts w:cs="Arial"/>
          <w:color w:val="000000" w:themeColor="text1"/>
        </w:rPr>
        <w:t xml:space="preserve"> type of simulated learning that had been developed in some </w:t>
      </w:r>
      <w:r w:rsidR="007E56A0">
        <w:rPr>
          <w:rFonts w:cs="Arial"/>
          <w:color w:val="000000" w:themeColor="text1"/>
        </w:rPr>
        <w:t>l</w:t>
      </w:r>
      <w:r w:rsidRPr="00EF0E6B">
        <w:rPr>
          <w:rFonts w:cs="Arial"/>
          <w:color w:val="000000" w:themeColor="text1"/>
        </w:rPr>
        <w:t xml:space="preserve">aw </w:t>
      </w:r>
      <w:r w:rsidR="007E56A0">
        <w:rPr>
          <w:rFonts w:cs="Arial"/>
          <w:color w:val="000000" w:themeColor="text1"/>
        </w:rPr>
        <w:t>s</w:t>
      </w:r>
      <w:r w:rsidRPr="00EF0E6B">
        <w:rPr>
          <w:rFonts w:cs="Arial"/>
          <w:color w:val="000000" w:themeColor="text1"/>
        </w:rPr>
        <w:t xml:space="preserve">chools to the extent that it dictated the design of the courses.  As with clinical </w:t>
      </w:r>
      <w:r w:rsidR="00243DFD">
        <w:rPr>
          <w:rFonts w:cs="Arial"/>
          <w:color w:val="000000" w:themeColor="text1"/>
        </w:rPr>
        <w:t>education, this originated in medical schools and introduces learning through authentic, scenario-based work as a student-centred small-group</w:t>
      </w:r>
      <w:r w:rsidRPr="00EF0E6B">
        <w:rPr>
          <w:rFonts w:cs="Arial"/>
          <w:color w:val="000000" w:themeColor="text1"/>
        </w:rPr>
        <w:t xml:space="preserve"> exercise (Wong, 2003). Problem</w:t>
      </w:r>
      <w:r w:rsidR="00B92A81">
        <w:rPr>
          <w:rFonts w:cs="Arial"/>
          <w:color w:val="000000" w:themeColor="text1"/>
        </w:rPr>
        <w:t>-</w:t>
      </w:r>
      <w:r w:rsidRPr="00EF0E6B">
        <w:rPr>
          <w:rFonts w:cs="Arial"/>
          <w:color w:val="000000" w:themeColor="text1"/>
        </w:rPr>
        <w:t>based learning is premised on simulated situations that do not necessarily keep to the confines of disciplinary units or sub-</w:t>
      </w:r>
      <w:r w:rsidRPr="00EE4AED">
        <w:rPr>
          <w:rFonts w:cs="Arial"/>
          <w:color w:val="000000" w:themeColor="text1"/>
        </w:rPr>
        <w:t xml:space="preserve">units and demand a different pedagogy in the class as the tutor </w:t>
      </w:r>
      <w:r w:rsidRPr="00EE4AED">
        <w:rPr>
          <w:rFonts w:cs="Arial"/>
          <w:color w:val="000000" w:themeColor="text1"/>
        </w:rPr>
        <w:lastRenderedPageBreak/>
        <w:t xml:space="preserve">becomes </w:t>
      </w:r>
      <w:r w:rsidR="00243DFD">
        <w:rPr>
          <w:rFonts w:cs="Arial"/>
          <w:color w:val="000000" w:themeColor="text1"/>
        </w:rPr>
        <w:t xml:space="preserve">a </w:t>
      </w:r>
      <w:r w:rsidRPr="00EE4AED">
        <w:rPr>
          <w:rFonts w:cs="Arial"/>
          <w:color w:val="000000" w:themeColor="text1"/>
        </w:rPr>
        <w:t xml:space="preserve">facilitator (Houghton, 2023). This might be seen to be ‘only’ a means to develop lawyering skills and therefore very professionally focused, but </w:t>
      </w:r>
      <w:r w:rsidR="007E56A0" w:rsidRPr="00EE4AED">
        <w:rPr>
          <w:rFonts w:cs="Arial"/>
          <w:color w:val="000000" w:themeColor="text1"/>
        </w:rPr>
        <w:t>it is argued</w:t>
      </w:r>
      <w:r w:rsidR="00243DFD">
        <w:rPr>
          <w:rFonts w:cs="Arial"/>
          <w:color w:val="000000" w:themeColor="text1"/>
        </w:rPr>
        <w:t xml:space="preserve"> that</w:t>
      </w:r>
      <w:r w:rsidR="007E56A0" w:rsidRPr="00EE4AED">
        <w:rPr>
          <w:rFonts w:cs="Arial"/>
          <w:color w:val="000000" w:themeColor="text1"/>
        </w:rPr>
        <w:t xml:space="preserve"> it can also provide </w:t>
      </w:r>
      <w:r w:rsidRPr="00EE4AED">
        <w:rPr>
          <w:rFonts w:cs="Arial"/>
          <w:color w:val="000000" w:themeColor="text1"/>
        </w:rPr>
        <w:t>a democratising shift in the balance of power in the classroom (Maharg, 2015). From one perspective</w:t>
      </w:r>
      <w:r w:rsidR="00243DFD">
        <w:rPr>
          <w:rFonts w:cs="Arial"/>
          <w:color w:val="000000" w:themeColor="text1"/>
        </w:rPr>
        <w:t>,</w:t>
      </w:r>
      <w:r w:rsidRPr="00EE4AED">
        <w:rPr>
          <w:rFonts w:cs="Arial"/>
          <w:color w:val="000000" w:themeColor="text1"/>
        </w:rPr>
        <w:t xml:space="preserve"> here</w:t>
      </w:r>
      <w:r w:rsidR="00243DFD">
        <w:rPr>
          <w:rFonts w:cs="Arial"/>
          <w:color w:val="000000" w:themeColor="text1"/>
        </w:rPr>
        <w:t>,</w:t>
      </w:r>
      <w:r w:rsidRPr="00EE4AED">
        <w:rPr>
          <w:rFonts w:cs="Arial"/>
          <w:color w:val="000000" w:themeColor="text1"/>
        </w:rPr>
        <w:t xml:space="preserve"> this could be a push towards vocationalising the law degree</w:t>
      </w:r>
      <w:r w:rsidR="007E56A0" w:rsidRPr="00EE4AED">
        <w:rPr>
          <w:rFonts w:cs="Arial"/>
          <w:color w:val="000000" w:themeColor="text1"/>
        </w:rPr>
        <w:t xml:space="preserve"> and </w:t>
      </w:r>
      <w:r w:rsidRPr="00EE4AED">
        <w:rPr>
          <w:rFonts w:cs="Arial"/>
          <w:color w:val="000000" w:themeColor="text1"/>
        </w:rPr>
        <w:t>a shift away from the discipline. It seems</w:t>
      </w:r>
      <w:r w:rsidR="00243DFD">
        <w:rPr>
          <w:rFonts w:cs="Arial"/>
          <w:color w:val="000000" w:themeColor="text1"/>
        </w:rPr>
        <w:t>,</w:t>
      </w:r>
      <w:r w:rsidRPr="00EE4AED">
        <w:rPr>
          <w:rFonts w:cs="Arial"/>
          <w:color w:val="000000" w:themeColor="text1"/>
        </w:rPr>
        <w:t xml:space="preserve"> however</w:t>
      </w:r>
      <w:r w:rsidR="00243DFD">
        <w:rPr>
          <w:rFonts w:cs="Arial"/>
          <w:color w:val="000000" w:themeColor="text1"/>
        </w:rPr>
        <w:t>,</w:t>
      </w:r>
      <w:r w:rsidRPr="00EE4AED">
        <w:rPr>
          <w:rFonts w:cs="Arial"/>
          <w:color w:val="000000" w:themeColor="text1"/>
        </w:rPr>
        <w:t xml:space="preserve"> that whilst the findings </w:t>
      </w:r>
      <w:r w:rsidR="007E56A0" w:rsidRPr="00EE4AED">
        <w:rPr>
          <w:rFonts w:cs="Arial"/>
          <w:color w:val="000000" w:themeColor="text1"/>
        </w:rPr>
        <w:t xml:space="preserve">often </w:t>
      </w:r>
      <w:r w:rsidRPr="00EE4AED">
        <w:rPr>
          <w:rFonts w:cs="Arial"/>
          <w:color w:val="000000" w:themeColor="text1"/>
        </w:rPr>
        <w:t xml:space="preserve">present simulated learning with some trepidation, or </w:t>
      </w:r>
      <w:r w:rsidR="007E56A0" w:rsidRPr="00EE4AED">
        <w:rPr>
          <w:rFonts w:cs="Arial"/>
          <w:color w:val="000000" w:themeColor="text1"/>
        </w:rPr>
        <w:t>purely as a means to enhance</w:t>
      </w:r>
      <w:r w:rsidRPr="00EE4AED">
        <w:rPr>
          <w:rFonts w:cs="Arial"/>
          <w:color w:val="000000" w:themeColor="text1"/>
        </w:rPr>
        <w:t xml:space="preserve"> practical and skills provision, there is something more transformative going on here in the process of learning</w:t>
      </w:r>
      <w:r w:rsidR="00AE7446">
        <w:rPr>
          <w:rFonts w:cs="Arial"/>
          <w:color w:val="000000" w:themeColor="text1"/>
        </w:rPr>
        <w:t xml:space="preserve"> (Campbell, 2015; Strevens, 2014)</w:t>
      </w:r>
      <w:r w:rsidRPr="00EE4AED">
        <w:rPr>
          <w:rFonts w:cs="Arial"/>
          <w:color w:val="000000" w:themeColor="text1"/>
        </w:rPr>
        <w:t>. This process of learning dictate</w:t>
      </w:r>
      <w:r w:rsidR="007E56A0" w:rsidRPr="00EE4AED">
        <w:rPr>
          <w:rFonts w:cs="Arial"/>
          <w:color w:val="000000" w:themeColor="text1"/>
        </w:rPr>
        <w:t>d</w:t>
      </w:r>
      <w:r w:rsidRPr="00EE4AED">
        <w:rPr>
          <w:rFonts w:cs="Arial"/>
          <w:color w:val="000000" w:themeColor="text1"/>
        </w:rPr>
        <w:t xml:space="preserve"> the design in some degrees. </w:t>
      </w:r>
    </w:p>
    <w:p w14:paraId="3B56238A" w14:textId="17FD3A75" w:rsidR="00F33D40" w:rsidRPr="00EF0E6B" w:rsidRDefault="007E56A0" w:rsidP="0003652C">
      <w:pPr>
        <w:spacing w:line="360" w:lineRule="auto"/>
        <w:jc w:val="both"/>
        <w:rPr>
          <w:rFonts w:cs="Arial"/>
          <w:color w:val="000000" w:themeColor="text1"/>
        </w:rPr>
      </w:pPr>
      <w:r w:rsidRPr="00EE4AED">
        <w:rPr>
          <w:rFonts w:cs="Arial"/>
          <w:color w:val="000000" w:themeColor="text1"/>
        </w:rPr>
        <w:t>In relation to the vocational approaches to design</w:t>
      </w:r>
      <w:r w:rsidR="00243DFD">
        <w:rPr>
          <w:rFonts w:cs="Arial"/>
          <w:color w:val="000000" w:themeColor="text1"/>
        </w:rPr>
        <w:t>,</w:t>
      </w:r>
      <w:r w:rsidRPr="00EE4AED">
        <w:rPr>
          <w:rFonts w:cs="Arial"/>
          <w:color w:val="000000" w:themeColor="text1"/>
        </w:rPr>
        <w:t xml:space="preserve"> there is some evidence of </w:t>
      </w:r>
      <w:r w:rsidR="000278ED" w:rsidRPr="00EE4AED">
        <w:rPr>
          <w:rFonts w:cs="Arial"/>
          <w:color w:val="000000" w:themeColor="text1"/>
        </w:rPr>
        <w:t>an integrated</w:t>
      </w:r>
      <w:r w:rsidR="00F33D40" w:rsidRPr="00EE4AED">
        <w:rPr>
          <w:rFonts w:cs="Arial"/>
          <w:color w:val="000000" w:themeColor="text1"/>
        </w:rPr>
        <w:t xml:space="preserve"> presentation of the learning, which</w:t>
      </w:r>
      <w:r w:rsidR="00F33D40" w:rsidRPr="00EF0E6B">
        <w:rPr>
          <w:rFonts w:cs="Arial"/>
          <w:color w:val="000000" w:themeColor="text1"/>
        </w:rPr>
        <w:t xml:space="preserve"> would otherwise be segmented in</w:t>
      </w:r>
      <w:r w:rsidR="00243DFD">
        <w:rPr>
          <w:rFonts w:cs="Arial"/>
          <w:color w:val="000000" w:themeColor="text1"/>
        </w:rPr>
        <w:t>to</w:t>
      </w:r>
      <w:r w:rsidR="00F33D40" w:rsidRPr="00EF0E6B">
        <w:rPr>
          <w:rFonts w:cs="Arial"/>
          <w:color w:val="000000" w:themeColor="text1"/>
        </w:rPr>
        <w:t xml:space="preserve"> traditional units of the study of law. I return to this at the end of the chapter.</w:t>
      </w:r>
    </w:p>
    <w:p w14:paraId="4ADEE07A" w14:textId="4F08EF37" w:rsidR="00F33D40" w:rsidRPr="00EF0E6B" w:rsidRDefault="00F33D40" w:rsidP="0003652C">
      <w:pPr>
        <w:pStyle w:val="Heading4"/>
        <w:spacing w:line="360" w:lineRule="auto"/>
        <w:rPr>
          <w:rFonts w:ascii="Arial" w:hAnsi="Arial" w:cs="Arial"/>
        </w:rPr>
      </w:pPr>
      <w:r w:rsidRPr="00EF0E6B">
        <w:rPr>
          <w:rFonts w:ascii="Arial" w:hAnsi="Arial" w:cs="Arial"/>
        </w:rPr>
        <w:t>Legal skills</w:t>
      </w:r>
    </w:p>
    <w:p w14:paraId="04B5D510" w14:textId="36334AC2" w:rsidR="00F33D40" w:rsidRPr="00EF0E6B" w:rsidRDefault="00F33D40" w:rsidP="0003652C">
      <w:pPr>
        <w:spacing w:line="360" w:lineRule="auto"/>
        <w:jc w:val="both"/>
        <w:rPr>
          <w:rFonts w:cs="Arial"/>
          <w:color w:val="000000" w:themeColor="text1"/>
        </w:rPr>
      </w:pPr>
      <w:r w:rsidRPr="00EF0E6B">
        <w:rPr>
          <w:rFonts w:cs="Arial"/>
          <w:color w:val="000000" w:themeColor="text1"/>
        </w:rPr>
        <w:t xml:space="preserve">The reflections here were </w:t>
      </w:r>
      <w:r w:rsidR="007E56A0">
        <w:rPr>
          <w:rFonts w:cs="Arial"/>
          <w:color w:val="000000" w:themeColor="text1"/>
        </w:rPr>
        <w:t>often intertwined with</w:t>
      </w:r>
      <w:r w:rsidRPr="00EF0E6B">
        <w:rPr>
          <w:rFonts w:cs="Arial"/>
          <w:color w:val="000000" w:themeColor="text1"/>
        </w:rPr>
        <w:t xml:space="preserve"> reference to experiential learning</w:t>
      </w:r>
      <w:r w:rsidR="00243DFD">
        <w:rPr>
          <w:rFonts w:cs="Arial"/>
          <w:color w:val="000000" w:themeColor="text1"/>
        </w:rPr>
        <w:t>,</w:t>
      </w:r>
      <w:r w:rsidRPr="00EF0E6B">
        <w:rPr>
          <w:rFonts w:cs="Arial"/>
          <w:color w:val="000000" w:themeColor="text1"/>
        </w:rPr>
        <w:t xml:space="preserve"> and as we will see later</w:t>
      </w:r>
      <w:r w:rsidR="00243DFD">
        <w:rPr>
          <w:rFonts w:cs="Arial"/>
          <w:color w:val="000000" w:themeColor="text1"/>
        </w:rPr>
        <w:t>,</w:t>
      </w:r>
      <w:r w:rsidRPr="00EF0E6B">
        <w:rPr>
          <w:rFonts w:cs="Arial"/>
          <w:color w:val="000000" w:themeColor="text1"/>
        </w:rPr>
        <w:t xml:space="preserve"> more generic skills and employability. Here I will take the definition used by Guth to provide a steer as to what might fall within this category, noting that what legal skills are will depend on who the skills are seen as being required for, the law student, the law graduate, or any number or all of the potential legal professional roles one might aim for. Guth takes a broad definition, </w:t>
      </w:r>
    </w:p>
    <w:p w14:paraId="4EBB76D7" w14:textId="6AC22AB1" w:rsidR="00F33D40" w:rsidRPr="00EF0E6B" w:rsidRDefault="00F33D40" w:rsidP="0003652C">
      <w:pPr>
        <w:spacing w:line="360" w:lineRule="auto"/>
        <w:ind w:left="720"/>
        <w:jc w:val="both"/>
        <w:rPr>
          <w:rFonts w:cs="Arial"/>
          <w:color w:val="000000" w:themeColor="text1"/>
        </w:rPr>
      </w:pPr>
      <w:r w:rsidRPr="00EF0E6B">
        <w:rPr>
          <w:rFonts w:cs="Arial"/>
          <w:color w:val="000000" w:themeColor="text1"/>
        </w:rPr>
        <w:t>Legal skills are those related to how to do things within the discipline of law broadly defined. (Guth, 2020</w:t>
      </w:r>
      <w:r w:rsidR="00A54CEF">
        <w:rPr>
          <w:rFonts w:cs="Arial"/>
          <w:color w:val="000000" w:themeColor="text1"/>
        </w:rPr>
        <w:t xml:space="preserve">. </w:t>
      </w:r>
      <w:r w:rsidR="000D2565">
        <w:rPr>
          <w:rFonts w:cs="Arial"/>
          <w:color w:val="000000" w:themeColor="text1"/>
        </w:rPr>
        <w:t>p</w:t>
      </w:r>
      <w:r w:rsidR="00A54CEF">
        <w:rPr>
          <w:rFonts w:cs="Arial"/>
          <w:color w:val="000000" w:themeColor="text1"/>
        </w:rPr>
        <w:t>. 162</w:t>
      </w:r>
      <w:r w:rsidRPr="00EF0E6B">
        <w:rPr>
          <w:rFonts w:cs="Arial"/>
          <w:color w:val="000000" w:themeColor="text1"/>
        </w:rPr>
        <w:t>)</w:t>
      </w:r>
    </w:p>
    <w:p w14:paraId="08CB0082" w14:textId="2D204176" w:rsidR="00F33D40" w:rsidRPr="00EF0E6B" w:rsidRDefault="00F33D40" w:rsidP="0003652C">
      <w:pPr>
        <w:spacing w:line="360" w:lineRule="auto"/>
        <w:jc w:val="both"/>
        <w:rPr>
          <w:rFonts w:cs="Arial"/>
          <w:color w:val="000000" w:themeColor="text1"/>
        </w:rPr>
      </w:pPr>
      <w:r w:rsidRPr="00EF0E6B">
        <w:rPr>
          <w:rFonts w:cs="Arial"/>
          <w:color w:val="000000" w:themeColor="text1"/>
        </w:rPr>
        <w:t>She goes on to explain the complicated nature of the positioning of legal skills</w:t>
      </w:r>
      <w:r w:rsidR="00243DFD">
        <w:rPr>
          <w:rFonts w:cs="Arial"/>
          <w:color w:val="000000" w:themeColor="text1"/>
        </w:rPr>
        <w:t>,</w:t>
      </w:r>
      <w:r w:rsidRPr="00EF0E6B">
        <w:rPr>
          <w:rFonts w:cs="Arial"/>
          <w:color w:val="000000" w:themeColor="text1"/>
        </w:rPr>
        <w:t xml:space="preserve"> saying</w:t>
      </w:r>
      <w:r w:rsidR="007E56A0">
        <w:rPr>
          <w:rFonts w:cs="Arial"/>
          <w:color w:val="000000" w:themeColor="text1"/>
        </w:rPr>
        <w:t>,</w:t>
      </w:r>
    </w:p>
    <w:p w14:paraId="02A805B9" w14:textId="2E0208A8" w:rsidR="00F33D40" w:rsidRPr="006370E7" w:rsidRDefault="00F33D40" w:rsidP="006370E7">
      <w:pPr>
        <w:spacing w:line="360" w:lineRule="auto"/>
        <w:ind w:left="720"/>
        <w:jc w:val="both"/>
        <w:rPr>
          <w:rFonts w:cs="Arial"/>
          <w:color w:val="000000" w:themeColor="text1"/>
        </w:rPr>
      </w:pPr>
      <w:r w:rsidRPr="00EF0E6B">
        <w:rPr>
          <w:rFonts w:cs="Arial"/>
          <w:color w:val="000000" w:themeColor="text1"/>
        </w:rPr>
        <w:t>The place of legal skills is caught up in arguments about how academic or vocational a programme is, how doctrinal or contextual, how socio-legal, how interdisciplinary and/or how liberal. Obviously</w:t>
      </w:r>
      <w:r w:rsidR="00243DFD">
        <w:rPr>
          <w:rFonts w:cs="Arial"/>
          <w:color w:val="000000" w:themeColor="text1"/>
        </w:rPr>
        <w:t>,</w:t>
      </w:r>
      <w:r w:rsidRPr="00EF0E6B">
        <w:rPr>
          <w:rFonts w:cs="Arial"/>
          <w:color w:val="000000" w:themeColor="text1"/>
        </w:rPr>
        <w:t xml:space="preserve"> perhaps, the skills emphasised depend on which approach or combination of approaches is </w:t>
      </w:r>
      <w:r w:rsidR="00B27C3F" w:rsidRPr="00EF0E6B">
        <w:rPr>
          <w:rFonts w:cs="Arial"/>
          <w:color w:val="000000" w:themeColor="text1"/>
        </w:rPr>
        <w:lastRenderedPageBreak/>
        <w:t>favoured</w:t>
      </w:r>
      <w:r w:rsidR="00B27C3F">
        <w:rPr>
          <w:rFonts w:cs="Arial"/>
          <w:color w:val="000000" w:themeColor="text1"/>
        </w:rPr>
        <w:t>, but</w:t>
      </w:r>
      <w:r w:rsidRPr="00EF0E6B">
        <w:rPr>
          <w:rFonts w:cs="Arial"/>
          <w:color w:val="000000" w:themeColor="text1"/>
        </w:rPr>
        <w:t xml:space="preserve"> might also determine whether one thinks skills should be taught at all</w:t>
      </w:r>
      <w:r w:rsidR="005802C8">
        <w:rPr>
          <w:rFonts w:cs="Arial"/>
          <w:color w:val="000000" w:themeColor="text1"/>
        </w:rPr>
        <w:t xml:space="preserve"> (Guth, 2020</w:t>
      </w:r>
      <w:r w:rsidR="000D2565">
        <w:rPr>
          <w:rFonts w:cs="Arial"/>
          <w:color w:val="000000" w:themeColor="text1"/>
        </w:rPr>
        <w:t>, p</w:t>
      </w:r>
      <w:r w:rsidR="005802C8">
        <w:rPr>
          <w:rFonts w:cs="Arial"/>
          <w:color w:val="000000" w:themeColor="text1"/>
        </w:rPr>
        <w:t>. 162)</w:t>
      </w:r>
    </w:p>
    <w:p w14:paraId="54AC3D8F" w14:textId="252ADC3E" w:rsidR="00F33D40" w:rsidRPr="00EF0E6B" w:rsidRDefault="00F33D40" w:rsidP="0003652C">
      <w:pPr>
        <w:spacing w:line="360" w:lineRule="auto"/>
        <w:jc w:val="both"/>
        <w:rPr>
          <w:rFonts w:cs="Arial"/>
          <w:color w:val="000000" w:themeColor="text1"/>
        </w:rPr>
      </w:pPr>
      <w:r w:rsidRPr="00EF0E6B">
        <w:rPr>
          <w:rFonts w:cs="Arial"/>
          <w:color w:val="000000" w:themeColor="text1"/>
        </w:rPr>
        <w:t xml:space="preserve">The findings in this investigation also reflect this long-standing discussion about the inclusion of legal skills in the curriculum, </w:t>
      </w:r>
    </w:p>
    <w:p w14:paraId="3647E3B6" w14:textId="1F12CDAE" w:rsidR="00F33D40" w:rsidRPr="006370E7" w:rsidRDefault="00F33D40" w:rsidP="006370E7">
      <w:pPr>
        <w:spacing w:line="360" w:lineRule="auto"/>
        <w:ind w:left="720"/>
        <w:jc w:val="both"/>
        <w:rPr>
          <w:rFonts w:cs="Arial"/>
        </w:rPr>
      </w:pPr>
      <w:r w:rsidRPr="00EF0E6B">
        <w:rPr>
          <w:rFonts w:cs="Arial"/>
        </w:rPr>
        <w:t xml:space="preserve">..that is the view that emphasis on skills in legal education is necessarily illiberal, amoral, narrow, reactionary, anti-intellectual, impractical, or unnecessary ("we do it already"). (Twining, 1988. </w:t>
      </w:r>
      <w:r w:rsidR="000D2565">
        <w:rPr>
          <w:rFonts w:cs="Arial"/>
        </w:rPr>
        <w:t>p.</w:t>
      </w:r>
      <w:r w:rsidRPr="00EF0E6B">
        <w:rPr>
          <w:rFonts w:cs="Arial"/>
        </w:rPr>
        <w:t xml:space="preserve"> 4)</w:t>
      </w:r>
    </w:p>
    <w:p w14:paraId="79E5D801" w14:textId="6511CBDC" w:rsidR="00F33D40" w:rsidRPr="00EF0E6B" w:rsidRDefault="00F33D40" w:rsidP="0003652C">
      <w:pPr>
        <w:spacing w:line="360" w:lineRule="auto"/>
        <w:jc w:val="both"/>
        <w:rPr>
          <w:rFonts w:cs="Arial"/>
          <w:color w:val="000000" w:themeColor="text1"/>
        </w:rPr>
      </w:pPr>
      <w:r w:rsidRPr="00EF0E6B">
        <w:rPr>
          <w:rFonts w:cs="Arial"/>
          <w:color w:val="000000" w:themeColor="text1"/>
        </w:rPr>
        <w:t>From a disciplinary perspective</w:t>
      </w:r>
      <w:r w:rsidR="000D2565">
        <w:rPr>
          <w:rFonts w:cs="Arial"/>
          <w:color w:val="000000" w:themeColor="text1"/>
        </w:rPr>
        <w:t>,</w:t>
      </w:r>
      <w:r w:rsidRPr="00EF0E6B">
        <w:rPr>
          <w:rFonts w:cs="Arial"/>
          <w:color w:val="000000" w:themeColor="text1"/>
        </w:rPr>
        <w:t xml:space="preserve"> it was clear in the reflections that legal skills must be included in the curriculum to enable students to access the academic texts</w:t>
      </w:r>
      <w:r w:rsidR="00B27C3F">
        <w:rPr>
          <w:rFonts w:cs="Arial"/>
          <w:color w:val="000000" w:themeColor="text1"/>
        </w:rPr>
        <w:t xml:space="preserve"> </w:t>
      </w:r>
      <w:r w:rsidRPr="00EF0E6B">
        <w:rPr>
          <w:rFonts w:cs="Arial"/>
          <w:color w:val="000000" w:themeColor="text1"/>
        </w:rPr>
        <w:t>and so enable their learning as students</w:t>
      </w:r>
      <w:r w:rsidRPr="004E52D7">
        <w:rPr>
          <w:rFonts w:cs="Arial"/>
          <w:color w:val="000000" w:themeColor="text1"/>
        </w:rPr>
        <w:t xml:space="preserve">. </w:t>
      </w:r>
      <w:r w:rsidR="007E56A0" w:rsidRPr="004E52D7">
        <w:rPr>
          <w:rFonts w:cs="Arial"/>
          <w:color w:val="000000" w:themeColor="text1"/>
        </w:rPr>
        <w:t xml:space="preserve">Legal skills </w:t>
      </w:r>
      <w:r w:rsidR="00164A9E" w:rsidRPr="004E52D7">
        <w:rPr>
          <w:rFonts w:cs="Arial"/>
          <w:color w:val="000000" w:themeColor="text1"/>
        </w:rPr>
        <w:t>are</w:t>
      </w:r>
      <w:r w:rsidR="007E56A0" w:rsidRPr="004E52D7">
        <w:rPr>
          <w:rFonts w:cs="Arial"/>
          <w:color w:val="000000" w:themeColor="text1"/>
        </w:rPr>
        <w:t xml:space="preserve"> necessary</w:t>
      </w:r>
      <w:r w:rsidR="00164A9E" w:rsidRPr="004E52D7">
        <w:rPr>
          <w:rFonts w:cs="Arial"/>
          <w:color w:val="000000" w:themeColor="text1"/>
        </w:rPr>
        <w:t xml:space="preserve">. </w:t>
      </w:r>
      <w:r w:rsidRPr="004E52D7">
        <w:rPr>
          <w:rFonts w:cs="Arial"/>
          <w:color w:val="000000" w:themeColor="text1"/>
        </w:rPr>
        <w:t>Where</w:t>
      </w:r>
      <w:r w:rsidRPr="00EF0E6B">
        <w:rPr>
          <w:rFonts w:cs="Arial"/>
          <w:color w:val="000000" w:themeColor="text1"/>
        </w:rPr>
        <w:t xml:space="preserve"> </w:t>
      </w:r>
      <w:r w:rsidRPr="00EE4AED">
        <w:rPr>
          <w:rFonts w:cs="Arial"/>
          <w:color w:val="000000" w:themeColor="text1"/>
        </w:rPr>
        <w:t>they were placed and how they were presented</w:t>
      </w:r>
      <w:r w:rsidR="000D2565">
        <w:rPr>
          <w:rFonts w:cs="Arial"/>
          <w:color w:val="000000" w:themeColor="text1"/>
        </w:rPr>
        <w:t>,</w:t>
      </w:r>
      <w:r w:rsidRPr="00EE4AED">
        <w:rPr>
          <w:rFonts w:cs="Arial"/>
          <w:color w:val="000000" w:themeColor="text1"/>
        </w:rPr>
        <w:t xml:space="preserve"> however</w:t>
      </w:r>
      <w:r w:rsidR="000D2565">
        <w:rPr>
          <w:rFonts w:cs="Arial"/>
          <w:color w:val="000000" w:themeColor="text1"/>
        </w:rPr>
        <w:t>,</w:t>
      </w:r>
      <w:r w:rsidRPr="00EE4AED">
        <w:rPr>
          <w:rFonts w:cs="Arial"/>
          <w:color w:val="000000" w:themeColor="text1"/>
        </w:rPr>
        <w:t xml:space="preserve"> w</w:t>
      </w:r>
      <w:r w:rsidR="00B27C3F">
        <w:rPr>
          <w:rFonts w:cs="Arial"/>
          <w:color w:val="000000" w:themeColor="text1"/>
        </w:rPr>
        <w:t>ere se</w:t>
      </w:r>
      <w:r w:rsidRPr="00EE4AED">
        <w:rPr>
          <w:rFonts w:cs="Arial"/>
          <w:color w:val="000000" w:themeColor="text1"/>
        </w:rPr>
        <w:t>en very differently. Th</w:t>
      </w:r>
      <w:r w:rsidR="007E56A0" w:rsidRPr="00EE4AED">
        <w:rPr>
          <w:rFonts w:cs="Arial"/>
          <w:color w:val="000000" w:themeColor="text1"/>
        </w:rPr>
        <w:t>e</w:t>
      </w:r>
      <w:r w:rsidRPr="00EE4AED">
        <w:rPr>
          <w:rFonts w:cs="Arial"/>
          <w:color w:val="000000" w:themeColor="text1"/>
        </w:rPr>
        <w:t xml:space="preserve"> framing</w:t>
      </w:r>
      <w:r w:rsidRPr="00EF0E6B">
        <w:rPr>
          <w:rFonts w:cs="Arial"/>
          <w:color w:val="000000" w:themeColor="text1"/>
        </w:rPr>
        <w:t xml:space="preserve"> of the skills </w:t>
      </w:r>
      <w:r w:rsidRPr="007E56A0">
        <w:rPr>
          <w:rFonts w:cs="Arial"/>
          <w:color w:val="000000" w:themeColor="text1"/>
        </w:rPr>
        <w:t xml:space="preserve">is something I return to </w:t>
      </w:r>
      <w:r w:rsidR="000D2565">
        <w:rPr>
          <w:rFonts w:cs="Arial"/>
          <w:color w:val="000000" w:themeColor="text1"/>
        </w:rPr>
        <w:t>later; for now, it is worth noting that whilst legal skills have always had a presence in the undergraduate degree</w:t>
      </w:r>
      <w:r w:rsidRPr="00EF0E6B">
        <w:rPr>
          <w:rFonts w:cs="Arial"/>
          <w:color w:val="000000" w:themeColor="text1"/>
        </w:rPr>
        <w:t xml:space="preserve"> and were a necessity, they also often aligned with the experiential learning discussion previously (Grimes &amp; Gibbons, 2016). </w:t>
      </w:r>
    </w:p>
    <w:p w14:paraId="2EC35C83" w14:textId="141E15C5" w:rsidR="00164A9E" w:rsidRPr="006370E7" w:rsidRDefault="00F33D40" w:rsidP="0003652C">
      <w:pPr>
        <w:spacing w:line="360" w:lineRule="auto"/>
        <w:jc w:val="both"/>
        <w:rPr>
          <w:rFonts w:cs="Arial"/>
          <w:color w:val="000000" w:themeColor="text1"/>
        </w:rPr>
      </w:pPr>
      <w:r w:rsidRPr="00EF0E6B">
        <w:rPr>
          <w:rFonts w:cs="Arial"/>
          <w:color w:val="000000" w:themeColor="text1"/>
        </w:rPr>
        <w:t>Teaching students how to think like a lawyer is often seen as central to the aims of an undergraduate degree, with the study of legal texts, decisions</w:t>
      </w:r>
      <w:r w:rsidR="000D2565">
        <w:rPr>
          <w:rFonts w:cs="Arial"/>
          <w:color w:val="000000" w:themeColor="text1"/>
        </w:rPr>
        <w:t>,</w:t>
      </w:r>
      <w:r w:rsidRPr="00EF0E6B">
        <w:rPr>
          <w:rFonts w:cs="Arial"/>
          <w:color w:val="000000" w:themeColor="text1"/>
        </w:rPr>
        <w:t xml:space="preserve"> and </w:t>
      </w:r>
      <w:r w:rsidR="000D2565">
        <w:rPr>
          <w:rFonts w:cs="Arial"/>
          <w:color w:val="000000" w:themeColor="text1"/>
        </w:rPr>
        <w:t xml:space="preserve">the </w:t>
      </w:r>
      <w:r w:rsidRPr="00EF0E6B">
        <w:rPr>
          <w:rFonts w:cs="Arial"/>
          <w:color w:val="000000" w:themeColor="text1"/>
        </w:rPr>
        <w:t>development of problem-solving skills being central to study in any law school (Bailey, 2025). The increasing engagement with experiential learning, placing students in authentic settings with simulated or real clients</w:t>
      </w:r>
      <w:r w:rsidR="000D2565">
        <w:rPr>
          <w:rFonts w:cs="Arial"/>
          <w:color w:val="000000" w:themeColor="text1"/>
        </w:rPr>
        <w:t>,</w:t>
      </w:r>
      <w:r w:rsidRPr="00EF0E6B">
        <w:rPr>
          <w:rFonts w:cs="Arial"/>
          <w:color w:val="000000" w:themeColor="text1"/>
        </w:rPr>
        <w:t xml:space="preserve"> </w:t>
      </w:r>
      <w:r w:rsidR="000D2565">
        <w:rPr>
          <w:rFonts w:cs="Arial"/>
          <w:color w:val="000000" w:themeColor="text1"/>
        </w:rPr>
        <w:t xml:space="preserve">arguably </w:t>
      </w:r>
      <w:r w:rsidRPr="00EF0E6B">
        <w:rPr>
          <w:rFonts w:cs="Arial"/>
          <w:color w:val="000000" w:themeColor="text1"/>
        </w:rPr>
        <w:t>enables them to experience being a lawyer (Arthurs, 2025).  This authenticity of learning continues when I consider the solicitor</w:t>
      </w:r>
      <w:r w:rsidR="000D2565">
        <w:rPr>
          <w:rFonts w:cs="Arial"/>
          <w:color w:val="000000" w:themeColor="text1"/>
        </w:rPr>
        <w:t>’</w:t>
      </w:r>
      <w:r w:rsidRPr="00EF0E6B">
        <w:rPr>
          <w:rFonts w:cs="Arial"/>
          <w:color w:val="000000" w:themeColor="text1"/>
        </w:rPr>
        <w:t>s qualification exam later in the chapter.</w:t>
      </w:r>
    </w:p>
    <w:p w14:paraId="13B411CA" w14:textId="636FE441" w:rsidR="00F33D40" w:rsidRPr="00EE4AED" w:rsidRDefault="00F33D40" w:rsidP="0003652C">
      <w:pPr>
        <w:spacing w:line="360" w:lineRule="auto"/>
        <w:jc w:val="both"/>
        <w:rPr>
          <w:rFonts w:cs="Arial"/>
        </w:rPr>
      </w:pPr>
      <w:r w:rsidRPr="00EE4AED">
        <w:rPr>
          <w:rFonts w:cs="Arial"/>
        </w:rPr>
        <w:t>From these externally looking considerations</w:t>
      </w:r>
      <w:r w:rsidR="000D2565">
        <w:rPr>
          <w:rFonts w:cs="Arial"/>
        </w:rPr>
        <w:t>,</w:t>
      </w:r>
      <w:r w:rsidRPr="00EE4AED">
        <w:rPr>
          <w:rFonts w:cs="Arial"/>
        </w:rPr>
        <w:t xml:space="preserve"> we can see that the law degree has</w:t>
      </w:r>
      <w:r w:rsidR="000D2565">
        <w:rPr>
          <w:rFonts w:cs="Arial"/>
        </w:rPr>
        <w:t>,</w:t>
      </w:r>
      <w:r w:rsidRPr="00EE4AED">
        <w:rPr>
          <w:rFonts w:cs="Arial"/>
        </w:rPr>
        <w:t xml:space="preserve"> in large part</w:t>
      </w:r>
      <w:r w:rsidR="000D2565">
        <w:rPr>
          <w:rFonts w:cs="Arial"/>
        </w:rPr>
        <w:t>,</w:t>
      </w:r>
      <w:r w:rsidRPr="00EE4AED">
        <w:rPr>
          <w:rFonts w:cs="Arial"/>
        </w:rPr>
        <w:t xml:space="preserve"> protected its disciplinary focus from what might be seen by some </w:t>
      </w:r>
      <w:r w:rsidR="005802C8" w:rsidRPr="00EE4AED">
        <w:rPr>
          <w:rFonts w:cs="Arial"/>
        </w:rPr>
        <w:t>as inter</w:t>
      </w:r>
      <w:r w:rsidR="000278ED" w:rsidRPr="00EE4AED">
        <w:rPr>
          <w:rFonts w:cs="Arial"/>
        </w:rPr>
        <w:t>-disciplinary</w:t>
      </w:r>
      <w:r w:rsidRPr="00EE4AED">
        <w:rPr>
          <w:rFonts w:cs="Arial"/>
        </w:rPr>
        <w:t xml:space="preserve"> infiltration, and that this may also be seen as important in retaining the qualities of being a student studying a law degree and entering into the discipline. Legal education has a strong introjected disciplinary classification</w:t>
      </w:r>
      <w:r w:rsidR="000D2565">
        <w:rPr>
          <w:rFonts w:cs="Arial"/>
        </w:rPr>
        <w:t>,</w:t>
      </w:r>
      <w:r w:rsidRPr="00EE4AED">
        <w:rPr>
          <w:rFonts w:cs="Arial"/>
        </w:rPr>
        <w:t xml:space="preserve"> therefore, impacting the regulatory discourse and student identity when interacting with other disciplines. </w:t>
      </w:r>
      <w:r w:rsidRPr="00EE4AED">
        <w:rPr>
          <w:rFonts w:cs="Arial"/>
          <w:color w:val="000000" w:themeColor="text1"/>
        </w:rPr>
        <w:t xml:space="preserve">However, the question remains what constitutes a liberal arts law degree. There </w:t>
      </w:r>
      <w:r w:rsidR="00164A9E" w:rsidRPr="00EE4AED">
        <w:rPr>
          <w:rFonts w:cs="Arial"/>
          <w:color w:val="000000" w:themeColor="text1"/>
        </w:rPr>
        <w:t>is no</w:t>
      </w:r>
      <w:r w:rsidRPr="00EE4AED">
        <w:rPr>
          <w:rFonts w:cs="Arial"/>
          <w:color w:val="000000" w:themeColor="text1"/>
        </w:rPr>
        <w:t xml:space="preserve"> evidence in the findings of the </w:t>
      </w:r>
      <w:r w:rsidRPr="00EE4AED">
        <w:rPr>
          <w:rFonts w:cs="Arial"/>
          <w:color w:val="000000" w:themeColor="text1"/>
        </w:rPr>
        <w:lastRenderedPageBreak/>
        <w:t xml:space="preserve">commitment to </w:t>
      </w:r>
      <w:r w:rsidR="00164A9E" w:rsidRPr="00EE4AED">
        <w:rPr>
          <w:rFonts w:cs="Arial"/>
          <w:color w:val="000000" w:themeColor="text1"/>
        </w:rPr>
        <w:t xml:space="preserve">a </w:t>
      </w:r>
      <w:r w:rsidRPr="00EE4AED">
        <w:rPr>
          <w:rFonts w:cs="Arial"/>
          <w:color w:val="000000" w:themeColor="text1"/>
        </w:rPr>
        <w:t xml:space="preserve">specific paradigm in the disciplinary direction of a degree, </w:t>
      </w:r>
      <w:r w:rsidR="00164A9E" w:rsidRPr="00EE4AED">
        <w:rPr>
          <w:rFonts w:cs="Arial"/>
          <w:color w:val="000000" w:themeColor="text1"/>
        </w:rPr>
        <w:t>and little evidence of the commitment to the</w:t>
      </w:r>
      <w:r w:rsidRPr="00EE4AED">
        <w:rPr>
          <w:rFonts w:cs="Arial"/>
          <w:color w:val="000000" w:themeColor="text1"/>
        </w:rPr>
        <w:t xml:space="preserve"> prominence of different paradigms in different degrees. </w:t>
      </w:r>
    </w:p>
    <w:p w14:paraId="761D3156" w14:textId="54A7FE96" w:rsidR="00F33D40" w:rsidRPr="00EF0E6B" w:rsidRDefault="00F33D40" w:rsidP="0003652C">
      <w:pPr>
        <w:spacing w:line="360" w:lineRule="auto"/>
        <w:jc w:val="both"/>
        <w:rPr>
          <w:rFonts w:cs="Arial"/>
        </w:rPr>
      </w:pPr>
      <w:r w:rsidRPr="00EE4AED">
        <w:rPr>
          <w:rFonts w:cs="Arial"/>
        </w:rPr>
        <w:t xml:space="preserve">When looking at the impact of the profession on the degree, we can see that the embedding of legal </w:t>
      </w:r>
      <w:r w:rsidR="000D2565" w:rsidRPr="00EE4AED">
        <w:rPr>
          <w:rFonts w:cs="Arial"/>
        </w:rPr>
        <w:t>practice</w:t>
      </w:r>
      <w:r w:rsidR="000D2565">
        <w:rPr>
          <w:rFonts w:cs="Arial"/>
        </w:rPr>
        <w:t>-</w:t>
      </w:r>
      <w:r w:rsidRPr="00EE4AED">
        <w:rPr>
          <w:rFonts w:cs="Arial"/>
        </w:rPr>
        <w:t xml:space="preserve">related content in the curriculum, whether it be in styles of learning such as problem-based learning, or in embedded experiential learning, </w:t>
      </w:r>
      <w:r w:rsidR="000D2565">
        <w:rPr>
          <w:rFonts w:cs="Arial"/>
        </w:rPr>
        <w:t xml:space="preserve">is </w:t>
      </w:r>
      <w:r w:rsidRPr="00EE4AED">
        <w:rPr>
          <w:rFonts w:cs="Arial"/>
        </w:rPr>
        <w:t xml:space="preserve">present in </w:t>
      </w:r>
      <w:r w:rsidRPr="004E52D7">
        <w:rPr>
          <w:rFonts w:cs="Arial"/>
        </w:rPr>
        <w:t xml:space="preserve">even the more selective </w:t>
      </w:r>
      <w:r w:rsidR="009B71D2">
        <w:rPr>
          <w:rFonts w:cs="Arial"/>
        </w:rPr>
        <w:t>school</w:t>
      </w:r>
      <w:r w:rsidR="009B71D2" w:rsidRPr="004E52D7">
        <w:rPr>
          <w:rFonts w:cs="Arial"/>
        </w:rPr>
        <w:t xml:space="preserve">s </w:t>
      </w:r>
      <w:r w:rsidRPr="004E52D7">
        <w:rPr>
          <w:rFonts w:cs="Arial"/>
        </w:rPr>
        <w:t>that are traditionally</w:t>
      </w:r>
      <w:r w:rsidRPr="00EE4AED">
        <w:rPr>
          <w:rFonts w:cs="Arial"/>
        </w:rPr>
        <w:t xml:space="preserve"> less</w:t>
      </w:r>
      <w:r w:rsidRPr="00EF0E6B">
        <w:rPr>
          <w:rFonts w:cs="Arial"/>
        </w:rPr>
        <w:t xml:space="preserve"> likely to engage in this</w:t>
      </w:r>
      <w:r w:rsidR="000D2565">
        <w:rPr>
          <w:rFonts w:cs="Arial"/>
        </w:rPr>
        <w:t>, and</w:t>
      </w:r>
      <w:r w:rsidRPr="00EF0E6B">
        <w:rPr>
          <w:rFonts w:cs="Arial"/>
        </w:rPr>
        <w:t xml:space="preserve"> are adopting this more projected perspective.  With the non-selective </w:t>
      </w:r>
      <w:r w:rsidR="009B71D2">
        <w:rPr>
          <w:rFonts w:cs="Arial"/>
        </w:rPr>
        <w:t>school</w:t>
      </w:r>
      <w:r w:rsidR="009B71D2" w:rsidRPr="00EF0E6B">
        <w:rPr>
          <w:rFonts w:cs="Arial"/>
        </w:rPr>
        <w:t>s</w:t>
      </w:r>
      <w:r w:rsidR="000D2565">
        <w:rPr>
          <w:rFonts w:cs="Arial"/>
        </w:rPr>
        <w:t>,</w:t>
      </w:r>
      <w:r w:rsidR="009B71D2" w:rsidRPr="00EF0E6B">
        <w:rPr>
          <w:rFonts w:cs="Arial"/>
        </w:rPr>
        <w:t xml:space="preserve"> </w:t>
      </w:r>
      <w:r w:rsidRPr="00EF0E6B">
        <w:rPr>
          <w:rFonts w:cs="Arial"/>
        </w:rPr>
        <w:t>this is not surprising,</w:t>
      </w:r>
    </w:p>
    <w:p w14:paraId="22B7A987" w14:textId="4BDEB0E2" w:rsidR="00F33D40" w:rsidRPr="00EF0E6B" w:rsidRDefault="00F33D40" w:rsidP="006370E7">
      <w:pPr>
        <w:spacing w:line="360" w:lineRule="auto"/>
        <w:ind w:left="720"/>
        <w:jc w:val="both"/>
        <w:rPr>
          <w:rFonts w:cs="Arial"/>
        </w:rPr>
      </w:pPr>
      <w:r w:rsidRPr="00EF0E6B">
        <w:rPr>
          <w:rFonts w:cs="Arial"/>
        </w:rPr>
        <w:t xml:space="preserve">Those institutions which are much less fortunate in their position in the stratification … will be more concerned with the marketing possibilities of their pedagogic discourse. (Bernstein, 2000, </w:t>
      </w:r>
      <w:r w:rsidR="00CD6E72">
        <w:rPr>
          <w:rFonts w:cs="Arial"/>
        </w:rPr>
        <w:t>p.</w:t>
      </w:r>
      <w:r w:rsidRPr="00EF0E6B">
        <w:rPr>
          <w:rFonts w:cs="Arial"/>
        </w:rPr>
        <w:t>60)</w:t>
      </w:r>
    </w:p>
    <w:p w14:paraId="644A197F" w14:textId="36C1FBB4" w:rsidR="00D83239" w:rsidRPr="00EF0E6B" w:rsidRDefault="00F33D40" w:rsidP="0003652C">
      <w:pPr>
        <w:spacing w:line="360" w:lineRule="auto"/>
        <w:jc w:val="both"/>
        <w:rPr>
          <w:rFonts w:cs="Arial"/>
        </w:rPr>
      </w:pPr>
      <w:r w:rsidRPr="00EE4AED">
        <w:rPr>
          <w:rFonts w:cs="Arial"/>
        </w:rPr>
        <w:t xml:space="preserve">However, these findings also suggest that from a Bernstein perspective, in this regional disciplinary context, the more selective </w:t>
      </w:r>
      <w:r w:rsidR="009B71D2">
        <w:rPr>
          <w:rFonts w:cs="Arial"/>
        </w:rPr>
        <w:t>school</w:t>
      </w:r>
      <w:r w:rsidR="009B71D2" w:rsidRPr="00EE4AED">
        <w:rPr>
          <w:rFonts w:cs="Arial"/>
        </w:rPr>
        <w:t xml:space="preserve">s </w:t>
      </w:r>
      <w:r w:rsidRPr="00EE4AED">
        <w:rPr>
          <w:rFonts w:cs="Arial"/>
        </w:rPr>
        <w:t>may be ‘able to maintain their traditional identitie</w:t>
      </w:r>
      <w:r w:rsidR="000D2565">
        <w:rPr>
          <w:rFonts w:cs="Arial"/>
        </w:rPr>
        <w:t>,</w:t>
      </w:r>
      <w:r w:rsidRPr="00EE4AED">
        <w:rPr>
          <w:rFonts w:cs="Arial"/>
        </w:rPr>
        <w:t>s but those identities are more ‘ambiguous and ambivalent</w:t>
      </w:r>
      <w:r w:rsidR="00164A9E" w:rsidRPr="00EE4AED">
        <w:rPr>
          <w:rFonts w:cs="Arial"/>
        </w:rPr>
        <w:t>’ owing</w:t>
      </w:r>
      <w:r w:rsidRPr="00EE4AED">
        <w:rPr>
          <w:rFonts w:cs="Arial"/>
        </w:rPr>
        <w:t xml:space="preserve"> to ‘their more applied orientations’ and now even they are ‘changing their pedagogic discourse according to the exigencies of the market.’ (Bernstein, 2000, </w:t>
      </w:r>
      <w:r w:rsidR="00CD6E72">
        <w:rPr>
          <w:rFonts w:cs="Arial"/>
        </w:rPr>
        <w:t>p.</w:t>
      </w:r>
      <w:r w:rsidRPr="00EE4AED">
        <w:rPr>
          <w:rFonts w:cs="Arial"/>
        </w:rPr>
        <w:t>60).</w:t>
      </w:r>
      <w:r w:rsidRPr="00EF0E6B">
        <w:rPr>
          <w:rFonts w:cs="Arial"/>
        </w:rPr>
        <w:t xml:space="preserve"> </w:t>
      </w:r>
    </w:p>
    <w:p w14:paraId="29031556" w14:textId="11ABED59" w:rsidR="00F33D40" w:rsidRPr="00EF0E6B" w:rsidRDefault="00F33D40" w:rsidP="0003652C">
      <w:pPr>
        <w:pStyle w:val="Heading2"/>
        <w:spacing w:line="360" w:lineRule="auto"/>
        <w:rPr>
          <w:rFonts w:ascii="Arial" w:hAnsi="Arial" w:cs="Arial"/>
        </w:rPr>
      </w:pPr>
      <w:bookmarkStart w:id="84" w:name="_Toc223348873"/>
      <w:r w:rsidRPr="00EF0E6B">
        <w:rPr>
          <w:rFonts w:ascii="Arial" w:hAnsi="Arial" w:cs="Arial"/>
        </w:rPr>
        <w:t>Programme content</w:t>
      </w:r>
      <w:bookmarkEnd w:id="84"/>
    </w:p>
    <w:p w14:paraId="05956415" w14:textId="5965BB29" w:rsidR="00765E64" w:rsidRPr="00EF0E6B" w:rsidRDefault="00765E64" w:rsidP="0003652C">
      <w:pPr>
        <w:spacing w:line="360" w:lineRule="auto"/>
        <w:jc w:val="both"/>
        <w:rPr>
          <w:rFonts w:cs="Arial"/>
          <w:color w:val="000000" w:themeColor="text1"/>
        </w:rPr>
      </w:pPr>
      <w:r w:rsidRPr="00EF0E6B">
        <w:rPr>
          <w:rFonts w:cs="Arial"/>
          <w:color w:val="000000" w:themeColor="text1"/>
        </w:rPr>
        <w:t xml:space="preserve">This next section considers the impact of the PRF on programme units </w:t>
      </w:r>
      <w:r w:rsidRPr="00EF0E6B">
        <w:rPr>
          <w:rFonts w:cs="Arial"/>
          <w:i/>
          <w:iCs/>
          <w:color w:val="000000" w:themeColor="text1"/>
        </w:rPr>
        <w:t>within</w:t>
      </w:r>
      <w:r w:rsidRPr="00EF0E6B">
        <w:rPr>
          <w:rFonts w:cs="Arial"/>
          <w:color w:val="000000" w:themeColor="text1"/>
        </w:rPr>
        <w:t xml:space="preserve"> the degree. The two areas of consideration are the foundations of legal knowledge</w:t>
      </w:r>
      <w:r w:rsidR="0025659A">
        <w:rPr>
          <w:rFonts w:cs="Arial"/>
          <w:color w:val="000000" w:themeColor="text1"/>
        </w:rPr>
        <w:t xml:space="preserve">, and so the core of most </w:t>
      </w:r>
      <w:r w:rsidR="000278ED">
        <w:rPr>
          <w:rFonts w:cs="Arial"/>
          <w:color w:val="000000" w:themeColor="text1"/>
        </w:rPr>
        <w:t xml:space="preserve">degrees, </w:t>
      </w:r>
      <w:r w:rsidR="000278ED" w:rsidRPr="00EF0E6B">
        <w:rPr>
          <w:rFonts w:cs="Arial"/>
          <w:color w:val="000000" w:themeColor="text1"/>
        </w:rPr>
        <w:t>and</w:t>
      </w:r>
      <w:r w:rsidRPr="00EF0E6B">
        <w:rPr>
          <w:rFonts w:cs="Arial"/>
          <w:color w:val="000000" w:themeColor="text1"/>
        </w:rPr>
        <w:t xml:space="preserve"> the existence and status of the options which historically have </w:t>
      </w:r>
      <w:r w:rsidR="0025659A">
        <w:rPr>
          <w:rFonts w:cs="Arial"/>
          <w:color w:val="000000" w:themeColor="text1"/>
        </w:rPr>
        <w:t xml:space="preserve">often </w:t>
      </w:r>
      <w:r w:rsidRPr="00EF0E6B">
        <w:rPr>
          <w:rFonts w:cs="Arial"/>
          <w:color w:val="000000" w:themeColor="text1"/>
        </w:rPr>
        <w:t xml:space="preserve">defined </w:t>
      </w:r>
      <w:r w:rsidR="0025659A">
        <w:rPr>
          <w:rFonts w:cs="Arial"/>
          <w:color w:val="000000" w:themeColor="text1"/>
        </w:rPr>
        <w:t xml:space="preserve">law </w:t>
      </w:r>
      <w:r w:rsidRPr="00EF0E6B">
        <w:rPr>
          <w:rFonts w:cs="Arial"/>
          <w:color w:val="000000" w:themeColor="text1"/>
        </w:rPr>
        <w:t>degree</w:t>
      </w:r>
      <w:r w:rsidR="0025659A">
        <w:rPr>
          <w:rFonts w:cs="Arial"/>
          <w:color w:val="000000" w:themeColor="text1"/>
        </w:rPr>
        <w:t>s</w:t>
      </w:r>
      <w:r w:rsidRPr="00EF0E6B">
        <w:rPr>
          <w:rFonts w:cs="Arial"/>
          <w:color w:val="000000" w:themeColor="text1"/>
        </w:rPr>
        <w:t xml:space="preserve">.  These are key as ‘choice and compulsion strongly influence what the discipline becomes for the student’ </w:t>
      </w:r>
      <w:r w:rsidRPr="00AB4DE6">
        <w:rPr>
          <w:rFonts w:cs="Arial"/>
          <w:color w:val="000000" w:themeColor="text1"/>
        </w:rPr>
        <w:t>(Mc</w:t>
      </w:r>
      <w:r w:rsidR="00424F6F">
        <w:rPr>
          <w:rFonts w:cs="Arial"/>
          <w:color w:val="000000" w:themeColor="text1"/>
        </w:rPr>
        <w:t>L</w:t>
      </w:r>
      <w:r w:rsidRPr="00AB4DE6">
        <w:rPr>
          <w:rFonts w:cs="Arial"/>
          <w:color w:val="000000" w:themeColor="text1"/>
        </w:rPr>
        <w:t>ean et al., 201</w:t>
      </w:r>
      <w:r w:rsidR="00AB4DE6" w:rsidRPr="00AB4DE6">
        <w:rPr>
          <w:rFonts w:cs="Arial"/>
          <w:color w:val="000000" w:themeColor="text1"/>
        </w:rPr>
        <w:t>8</w:t>
      </w:r>
      <w:r w:rsidRPr="00AB4DE6">
        <w:rPr>
          <w:rFonts w:cs="Arial"/>
          <w:color w:val="000000" w:themeColor="text1"/>
        </w:rPr>
        <w:t xml:space="preserve">. </w:t>
      </w:r>
      <w:r w:rsidR="00CD6E72">
        <w:rPr>
          <w:rFonts w:cs="Arial"/>
          <w:color w:val="000000" w:themeColor="text1"/>
        </w:rPr>
        <w:t>p.</w:t>
      </w:r>
      <w:r w:rsidR="00AB4DE6" w:rsidRPr="00AB4DE6">
        <w:rPr>
          <w:rFonts w:cs="Arial"/>
          <w:color w:val="000000" w:themeColor="text1"/>
        </w:rPr>
        <w:t>99</w:t>
      </w:r>
      <w:r w:rsidRPr="00AB4DE6">
        <w:rPr>
          <w:rFonts w:cs="Arial"/>
          <w:color w:val="000000" w:themeColor="text1"/>
        </w:rPr>
        <w:t>).</w:t>
      </w:r>
    </w:p>
    <w:p w14:paraId="056ECD49" w14:textId="001AC81E" w:rsidR="006F3BFC" w:rsidRPr="00EF0E6B" w:rsidRDefault="00765E64" w:rsidP="0003652C">
      <w:pPr>
        <w:pStyle w:val="Heading3"/>
        <w:spacing w:line="360" w:lineRule="auto"/>
        <w:rPr>
          <w:rFonts w:ascii="Arial" w:hAnsi="Arial" w:cs="Arial"/>
        </w:rPr>
      </w:pPr>
      <w:bookmarkStart w:id="85" w:name="_Toc223348874"/>
      <w:r w:rsidRPr="00EF0E6B">
        <w:rPr>
          <w:rFonts w:ascii="Arial" w:hAnsi="Arial" w:cs="Arial"/>
        </w:rPr>
        <w:t>The foundations of legal knowledge</w:t>
      </w:r>
      <w:bookmarkEnd w:id="85"/>
    </w:p>
    <w:p w14:paraId="5287D2A8" w14:textId="0F08BD08" w:rsidR="0025659A" w:rsidRPr="006370E7" w:rsidRDefault="00765E64" w:rsidP="0003652C">
      <w:pPr>
        <w:spacing w:line="360" w:lineRule="auto"/>
        <w:jc w:val="both"/>
        <w:rPr>
          <w:rFonts w:cs="Arial"/>
          <w:color w:val="000000" w:themeColor="text1"/>
        </w:rPr>
      </w:pPr>
      <w:r w:rsidRPr="00EF0E6B">
        <w:rPr>
          <w:rFonts w:cs="Arial"/>
          <w:color w:val="000000" w:themeColor="text1"/>
        </w:rPr>
        <w:t xml:space="preserve">The programme structure of law degrees has traditionally been a mixture of </w:t>
      </w:r>
      <w:r w:rsidR="0025659A">
        <w:rPr>
          <w:rFonts w:cs="Arial"/>
          <w:color w:val="000000" w:themeColor="text1"/>
        </w:rPr>
        <w:t xml:space="preserve">the </w:t>
      </w:r>
      <w:r w:rsidRPr="00EF0E6B">
        <w:rPr>
          <w:rFonts w:cs="Arial"/>
          <w:color w:val="000000" w:themeColor="text1"/>
        </w:rPr>
        <w:t xml:space="preserve">core foundations of legal </w:t>
      </w:r>
      <w:r w:rsidRPr="0025659A">
        <w:rPr>
          <w:rFonts w:cs="Arial"/>
          <w:color w:val="000000" w:themeColor="text1"/>
        </w:rPr>
        <w:t xml:space="preserve">knowledge (as discussed in </w:t>
      </w:r>
      <w:r w:rsidR="009D5113">
        <w:rPr>
          <w:rFonts w:cs="Arial"/>
          <w:color w:val="000000" w:themeColor="text1"/>
        </w:rPr>
        <w:t>C</w:t>
      </w:r>
      <w:r w:rsidRPr="0025659A">
        <w:rPr>
          <w:rFonts w:cs="Arial"/>
          <w:color w:val="000000" w:themeColor="text1"/>
        </w:rPr>
        <w:t xml:space="preserve">hapter </w:t>
      </w:r>
      <w:r w:rsidR="009D5113">
        <w:rPr>
          <w:rFonts w:cs="Arial"/>
          <w:color w:val="000000" w:themeColor="text1"/>
        </w:rPr>
        <w:t>T</w:t>
      </w:r>
      <w:r w:rsidRPr="0025659A">
        <w:rPr>
          <w:rFonts w:cs="Arial"/>
          <w:color w:val="000000" w:themeColor="text1"/>
        </w:rPr>
        <w:t>hree)</w:t>
      </w:r>
      <w:r w:rsidRPr="00EF0E6B">
        <w:rPr>
          <w:rFonts w:cs="Arial"/>
          <w:color w:val="000000" w:themeColor="text1"/>
        </w:rPr>
        <w:t xml:space="preserve"> and </w:t>
      </w:r>
      <w:r w:rsidRPr="00EF0E6B">
        <w:rPr>
          <w:rFonts w:cs="Arial"/>
          <w:color w:val="000000" w:themeColor="text1"/>
        </w:rPr>
        <w:lastRenderedPageBreak/>
        <w:t>options. The distinctiveness of degrees has been based on a different mix or presentation of these two (Vaughan, 2025; Giles &amp; Ang, 2025). As already di</w:t>
      </w:r>
      <w:r w:rsidRPr="0025659A">
        <w:rPr>
          <w:rFonts w:cs="Arial"/>
          <w:color w:val="000000" w:themeColor="text1"/>
        </w:rPr>
        <w:t xml:space="preserve">scussed in </w:t>
      </w:r>
      <w:r w:rsidR="009D5113">
        <w:rPr>
          <w:rFonts w:cs="Arial"/>
          <w:color w:val="000000" w:themeColor="text1"/>
        </w:rPr>
        <w:t>C</w:t>
      </w:r>
      <w:r w:rsidRPr="0025659A">
        <w:rPr>
          <w:rFonts w:cs="Arial"/>
          <w:color w:val="000000" w:themeColor="text1"/>
        </w:rPr>
        <w:t xml:space="preserve">hapter </w:t>
      </w:r>
      <w:r w:rsidR="009D5113">
        <w:rPr>
          <w:rFonts w:cs="Arial"/>
          <w:color w:val="000000" w:themeColor="text1"/>
        </w:rPr>
        <w:t>S</w:t>
      </w:r>
      <w:r w:rsidR="0025659A" w:rsidRPr="0025659A">
        <w:rPr>
          <w:rFonts w:cs="Arial"/>
          <w:color w:val="000000" w:themeColor="text1"/>
        </w:rPr>
        <w:t>ix</w:t>
      </w:r>
      <w:r w:rsidRPr="0025659A">
        <w:rPr>
          <w:rFonts w:cs="Arial"/>
          <w:color w:val="000000" w:themeColor="text1"/>
        </w:rPr>
        <w:t xml:space="preserve"> within</w:t>
      </w:r>
      <w:r w:rsidRPr="00EF0E6B">
        <w:rPr>
          <w:rFonts w:cs="Arial"/>
          <w:color w:val="000000" w:themeColor="text1"/>
        </w:rPr>
        <w:t xml:space="preserve"> the context of the </w:t>
      </w:r>
      <w:r w:rsidR="0075156B">
        <w:rPr>
          <w:rFonts w:cs="Arial"/>
          <w:color w:val="000000" w:themeColor="text1"/>
        </w:rPr>
        <w:t>official recontextualising field</w:t>
      </w:r>
      <w:r w:rsidR="0025659A">
        <w:rPr>
          <w:rFonts w:cs="Arial"/>
          <w:color w:val="000000" w:themeColor="text1"/>
        </w:rPr>
        <w:t>,</w:t>
      </w:r>
      <w:r w:rsidRPr="00EF0E6B">
        <w:rPr>
          <w:rFonts w:cs="Arial"/>
          <w:color w:val="000000" w:themeColor="text1"/>
        </w:rPr>
        <w:t xml:space="preserve"> the removal of the regulation requiring the foundation subjects has not had a direct impact on the design</w:t>
      </w:r>
      <w:r w:rsidRPr="00EF0E6B">
        <w:rPr>
          <w:rFonts w:cs="Arial"/>
        </w:rPr>
        <w:t xml:space="preserve">. The status of these appears to be sustainable, either due to disciplinary or market influences. </w:t>
      </w:r>
    </w:p>
    <w:p w14:paraId="12659622" w14:textId="0E3641DF" w:rsidR="0025659A" w:rsidRDefault="00765E64" w:rsidP="0003652C">
      <w:pPr>
        <w:spacing w:line="360" w:lineRule="auto"/>
        <w:jc w:val="both"/>
        <w:rPr>
          <w:rFonts w:cs="Arial"/>
          <w:color w:val="000000" w:themeColor="text1"/>
        </w:rPr>
      </w:pPr>
      <w:r w:rsidRPr="00EF0E6B">
        <w:rPr>
          <w:rFonts w:cs="Arial"/>
        </w:rPr>
        <w:t>Whilst their presence appears s</w:t>
      </w:r>
      <w:r w:rsidR="0025659A">
        <w:rPr>
          <w:rFonts w:cs="Arial"/>
        </w:rPr>
        <w:t>table</w:t>
      </w:r>
      <w:r w:rsidRPr="00EF0E6B">
        <w:rPr>
          <w:rFonts w:cs="Arial"/>
        </w:rPr>
        <w:t xml:space="preserve">, following the discussion above and the increasing visibility of applied learning in the degree, the framing of </w:t>
      </w:r>
      <w:r w:rsidRPr="004E52D7">
        <w:rPr>
          <w:rFonts w:cs="Arial"/>
        </w:rPr>
        <w:t>the foundational subjects may change.  Some</w:t>
      </w:r>
      <w:r w:rsidRPr="00EF0E6B">
        <w:rPr>
          <w:rFonts w:cs="Arial"/>
        </w:rPr>
        <w:t xml:space="preserve"> of the participants from the less selective </w:t>
      </w:r>
      <w:r w:rsidR="009B71D2">
        <w:rPr>
          <w:rFonts w:cs="Arial"/>
        </w:rPr>
        <w:t>school</w:t>
      </w:r>
      <w:r w:rsidR="009B71D2" w:rsidRPr="00EF0E6B">
        <w:rPr>
          <w:rFonts w:cs="Arial"/>
        </w:rPr>
        <w:t xml:space="preserve">s </w:t>
      </w:r>
      <w:r w:rsidRPr="00EF0E6B">
        <w:rPr>
          <w:rFonts w:cs="Arial"/>
        </w:rPr>
        <w:t xml:space="preserve">reflected on the possibility of these becoming more vocational or legal skills based.  There was also a consideration of their prominence in the programmes. </w:t>
      </w:r>
      <w:r w:rsidRPr="00EF0E6B">
        <w:rPr>
          <w:rFonts w:cs="Arial"/>
          <w:color w:val="000000" w:themeColor="text1"/>
        </w:rPr>
        <w:t>Here</w:t>
      </w:r>
      <w:r w:rsidR="000D2565">
        <w:rPr>
          <w:rFonts w:cs="Arial"/>
          <w:color w:val="000000" w:themeColor="text1"/>
        </w:rPr>
        <w:t>,</w:t>
      </w:r>
      <w:r w:rsidRPr="00EF0E6B">
        <w:rPr>
          <w:rFonts w:cs="Arial"/>
          <w:color w:val="000000" w:themeColor="text1"/>
        </w:rPr>
        <w:t xml:space="preserve"> the reaction to the regulatory freedom was varied.  Some felt that the foundations needed to take up less space in a degree to allow for more optionality, and there was even a suggestion th</w:t>
      </w:r>
      <w:r w:rsidR="000D2565">
        <w:rPr>
          <w:rFonts w:cs="Arial"/>
          <w:color w:val="000000" w:themeColor="text1"/>
        </w:rPr>
        <w:t xml:space="preserve">e </w:t>
      </w:r>
      <w:r w:rsidRPr="00EF0E6B">
        <w:rPr>
          <w:rFonts w:cs="Arial"/>
          <w:color w:val="000000" w:themeColor="text1"/>
        </w:rPr>
        <w:t xml:space="preserve">foundational core might become optional. Others felt </w:t>
      </w:r>
      <w:r w:rsidR="000D2565">
        <w:rPr>
          <w:rFonts w:cs="Arial"/>
          <w:color w:val="000000" w:themeColor="text1"/>
        </w:rPr>
        <w:t>they needed</w:t>
      </w:r>
      <w:r w:rsidRPr="00EF0E6B">
        <w:rPr>
          <w:rFonts w:cs="Arial"/>
          <w:color w:val="000000" w:themeColor="text1"/>
        </w:rPr>
        <w:t xml:space="preserve"> to maintain a substantial presence. </w:t>
      </w:r>
    </w:p>
    <w:p w14:paraId="469FC9B9" w14:textId="3E97254D" w:rsidR="0025659A" w:rsidRPr="00DC1F2A" w:rsidRDefault="0025659A" w:rsidP="0003652C">
      <w:pPr>
        <w:spacing w:line="360" w:lineRule="auto"/>
        <w:jc w:val="both"/>
      </w:pPr>
      <w:r>
        <w:rPr>
          <w:color w:val="000000" w:themeColor="text1"/>
        </w:rPr>
        <w:t>This is not surprising. The prescribed foundations of legal knowledge have</w:t>
      </w:r>
      <w:r w:rsidRPr="00FD3AE7">
        <w:rPr>
          <w:color w:val="000000" w:themeColor="text1"/>
        </w:rPr>
        <w:t xml:space="preserve"> been discussed and disputed</w:t>
      </w:r>
      <w:r w:rsidR="000D2565">
        <w:rPr>
          <w:color w:val="000000" w:themeColor="text1"/>
        </w:rPr>
        <w:t>,</w:t>
      </w:r>
      <w:r>
        <w:rPr>
          <w:color w:val="000000" w:themeColor="text1"/>
        </w:rPr>
        <w:t xml:space="preserve"> but </w:t>
      </w:r>
      <w:r w:rsidRPr="00FD3AE7">
        <w:rPr>
          <w:color w:val="000000" w:themeColor="text1"/>
        </w:rPr>
        <w:t xml:space="preserve">they have </w:t>
      </w:r>
      <w:r>
        <w:rPr>
          <w:color w:val="000000" w:themeColor="text1"/>
        </w:rPr>
        <w:t xml:space="preserve">been protected and </w:t>
      </w:r>
      <w:r w:rsidRPr="00FD3AE7">
        <w:rPr>
          <w:color w:val="000000" w:themeColor="text1"/>
        </w:rPr>
        <w:t>presented</w:t>
      </w:r>
      <w:r w:rsidR="000D2565">
        <w:rPr>
          <w:color w:val="000000" w:themeColor="text1"/>
        </w:rPr>
        <w:t xml:space="preserve"> mainly</w:t>
      </w:r>
      <w:r w:rsidRPr="00FD3AE7">
        <w:rPr>
          <w:color w:val="000000" w:themeColor="text1"/>
        </w:rPr>
        <w:t xml:space="preserve"> in standard ways, recognisable in distinct modules</w:t>
      </w:r>
      <w:r>
        <w:rPr>
          <w:color w:val="000000" w:themeColor="text1"/>
        </w:rPr>
        <w:t xml:space="preserve"> or units within </w:t>
      </w:r>
      <w:r w:rsidRPr="00AB0D3B">
        <w:rPr>
          <w:color w:val="000000" w:themeColor="text1"/>
        </w:rPr>
        <w:t>programmes (Vaughan, 2020).  They</w:t>
      </w:r>
      <w:r>
        <w:rPr>
          <w:color w:val="000000" w:themeColor="text1"/>
        </w:rPr>
        <w:t xml:space="preserve"> are powerful classifications within programmes of study, but also beyond, </w:t>
      </w:r>
      <w:r w:rsidRPr="00A9109A">
        <w:rPr>
          <w:color w:val="000000" w:themeColor="text1"/>
        </w:rPr>
        <w:t>forming part of the professional identity of academics and legal practitioners</w:t>
      </w:r>
      <w:r>
        <w:rPr>
          <w:color w:val="000000" w:themeColor="text1"/>
        </w:rPr>
        <w:t>, as they self-identify</w:t>
      </w:r>
      <w:r w:rsidR="000D2565">
        <w:rPr>
          <w:color w:val="000000" w:themeColor="text1"/>
        </w:rPr>
        <w:t>,</w:t>
      </w:r>
      <w:r>
        <w:rPr>
          <w:color w:val="000000" w:themeColor="text1"/>
        </w:rPr>
        <w:t xml:space="preserve"> for example</w:t>
      </w:r>
      <w:r w:rsidR="000D2565">
        <w:rPr>
          <w:color w:val="000000" w:themeColor="text1"/>
        </w:rPr>
        <w:t>,</w:t>
      </w:r>
      <w:r>
        <w:rPr>
          <w:color w:val="000000" w:themeColor="text1"/>
        </w:rPr>
        <w:t xml:space="preserve"> as civil or criminal lawyers, or more specifically as contract or tort lawyers (Hall &amp; Rasiah, 2022).  </w:t>
      </w:r>
      <w:r w:rsidR="00DC1F2A">
        <w:rPr>
          <w:color w:val="000000" w:themeColor="text1"/>
        </w:rPr>
        <w:t>They can be misleading,</w:t>
      </w:r>
      <w:r w:rsidR="00DC1F2A" w:rsidRPr="00DC1F2A">
        <w:rPr>
          <w:rFonts w:cs="Arial"/>
          <w:color w:val="000000" w:themeColor="text1"/>
        </w:rPr>
        <w:t xml:space="preserve"> </w:t>
      </w:r>
      <w:r w:rsidR="00DC1F2A" w:rsidRPr="00EF0E6B">
        <w:rPr>
          <w:rFonts w:cs="Arial"/>
          <w:color w:val="000000" w:themeColor="text1"/>
        </w:rPr>
        <w:t xml:space="preserve">as noted </w:t>
      </w:r>
      <w:r w:rsidR="00EA7E92">
        <w:rPr>
          <w:rFonts w:cs="Arial"/>
          <w:color w:val="000000" w:themeColor="text1"/>
        </w:rPr>
        <w:t>elsewhere</w:t>
      </w:r>
      <w:r w:rsidR="00DC1F2A" w:rsidRPr="00EF0E6B">
        <w:rPr>
          <w:rFonts w:cs="Arial"/>
          <w:color w:val="000000" w:themeColor="text1"/>
        </w:rPr>
        <w:t xml:space="preserve"> in the discussion about problem-based learning, as law in practice does not always follow these demarcations</w:t>
      </w:r>
      <w:r w:rsidR="000D2565">
        <w:t>.</w:t>
      </w:r>
      <w:r w:rsidR="00DC1F2A">
        <w:t xml:space="preserve"> </w:t>
      </w:r>
      <w:r w:rsidR="000D2565">
        <w:t>T</w:t>
      </w:r>
      <w:r w:rsidR="000D2565" w:rsidRPr="00A9109A">
        <w:rPr>
          <w:color w:val="000000" w:themeColor="text1"/>
        </w:rPr>
        <w:t xml:space="preserve">here </w:t>
      </w:r>
      <w:r w:rsidRPr="005F06D6">
        <w:rPr>
          <w:color w:val="000000" w:themeColor="text1"/>
        </w:rPr>
        <w:t xml:space="preserve">are </w:t>
      </w:r>
      <w:r>
        <w:rPr>
          <w:color w:val="000000" w:themeColor="text1"/>
        </w:rPr>
        <w:t xml:space="preserve">always </w:t>
      </w:r>
      <w:r w:rsidRPr="005F06D6">
        <w:rPr>
          <w:color w:val="000000" w:themeColor="text1"/>
        </w:rPr>
        <w:t>exceptions (Rasiah, 2022)</w:t>
      </w:r>
      <w:r>
        <w:rPr>
          <w:color w:val="000000" w:themeColor="text1"/>
        </w:rPr>
        <w:t>,</w:t>
      </w:r>
      <w:r w:rsidRPr="005F06D6">
        <w:rPr>
          <w:color w:val="000000" w:themeColor="text1"/>
        </w:rPr>
        <w:t xml:space="preserve"> </w:t>
      </w:r>
      <w:r w:rsidR="000D2565">
        <w:rPr>
          <w:color w:val="000000" w:themeColor="text1"/>
        </w:rPr>
        <w:t>in which</w:t>
      </w:r>
      <w:r w:rsidR="00DC1F2A">
        <w:rPr>
          <w:color w:val="000000" w:themeColor="text1"/>
        </w:rPr>
        <w:t xml:space="preserve"> the</w:t>
      </w:r>
      <w:r w:rsidRPr="005F06D6">
        <w:rPr>
          <w:color w:val="000000" w:themeColor="text1"/>
        </w:rPr>
        <w:t xml:space="preserve"> classification</w:t>
      </w:r>
      <w:r w:rsidRPr="00A9109A">
        <w:rPr>
          <w:color w:val="000000" w:themeColor="text1"/>
        </w:rPr>
        <w:t xml:space="preserve"> of these subject areas has been adapted or occasionally merged, but not beyond the necessary recognition required by the professional bodies or the profession</w:t>
      </w:r>
      <w:r>
        <w:rPr>
          <w:color w:val="000000" w:themeColor="text1"/>
        </w:rPr>
        <w:t xml:space="preserve"> (Vaughan, 2020)</w:t>
      </w:r>
      <w:r w:rsidRPr="00A9109A">
        <w:rPr>
          <w:color w:val="000000" w:themeColor="text1"/>
        </w:rPr>
        <w:t xml:space="preserve">. </w:t>
      </w:r>
    </w:p>
    <w:p w14:paraId="26B18905" w14:textId="236B90C3" w:rsidR="00DC1F2A" w:rsidRDefault="0025659A" w:rsidP="0003652C">
      <w:pPr>
        <w:spacing w:line="360" w:lineRule="auto"/>
        <w:jc w:val="both"/>
        <w:rPr>
          <w:color w:val="000000" w:themeColor="text1"/>
        </w:rPr>
      </w:pPr>
      <w:r w:rsidRPr="00EE4AED">
        <w:t xml:space="preserve">There are two perspectives presented here. From the perspective of the discipline, </w:t>
      </w:r>
      <w:r w:rsidR="000D2565">
        <w:t>Bernstein argues</w:t>
      </w:r>
      <w:r w:rsidRPr="00EE4AED">
        <w:t xml:space="preserve"> that the singular</w:t>
      </w:r>
      <w:r w:rsidR="00523DAB">
        <w:t>,</w:t>
      </w:r>
      <w:r w:rsidRPr="00EE4AED">
        <w:t xml:space="preserve"> internal</w:t>
      </w:r>
      <w:r w:rsidR="00523DAB">
        <w:t>-</w:t>
      </w:r>
      <w:r w:rsidRPr="00EE4AED">
        <w:t>looking</w:t>
      </w:r>
      <w:r w:rsidR="00523DAB">
        <w:t>,</w:t>
      </w:r>
      <w:r w:rsidRPr="00EE4AED">
        <w:t xml:space="preserve"> strong classification benefits the student as they access knowledge by progressing their journey vertically from the mundane to the sacred</w:t>
      </w:r>
      <w:r w:rsidR="00523DAB">
        <w:t>.</w:t>
      </w:r>
      <w:r w:rsidR="00DC1F2A" w:rsidRPr="00EE4AED">
        <w:t xml:space="preserve"> There is</w:t>
      </w:r>
      <w:r w:rsidR="00523DAB">
        <w:t xml:space="preserve">, </w:t>
      </w:r>
      <w:r w:rsidR="00DC1F2A" w:rsidRPr="00EE4AED">
        <w:t>however</w:t>
      </w:r>
      <w:r w:rsidR="00523DAB">
        <w:t>,</w:t>
      </w:r>
      <w:r w:rsidR="00DC1F2A" w:rsidRPr="00EE4AED">
        <w:t xml:space="preserve"> the </w:t>
      </w:r>
      <w:r w:rsidR="00DC1F2A" w:rsidRPr="00EE4AED">
        <w:lastRenderedPageBreak/>
        <w:t xml:space="preserve">argument that </w:t>
      </w:r>
      <w:r w:rsidRPr="00EE4AED">
        <w:t>discursive gaps can exist that allow for access to powerful knowledge in regional disciplines. From the perspective of the internal structure of the programme, the stronger collection code</w:t>
      </w:r>
      <w:r w:rsidR="00523DAB">
        <w:t>,</w:t>
      </w:r>
      <w:r w:rsidRPr="00EE4AED">
        <w:t xml:space="preserve"> with clear boundaries between subject areas</w:t>
      </w:r>
      <w:r w:rsidR="00523DAB">
        <w:t>,</w:t>
      </w:r>
      <w:r w:rsidRPr="00EE4AED">
        <w:t xml:space="preserve"> clearly defines these areas relatively to </w:t>
      </w:r>
      <w:r w:rsidR="00DC1F2A" w:rsidRPr="00EE4AED">
        <w:t>one another but</w:t>
      </w:r>
      <w:r w:rsidRPr="00EE4AED">
        <w:t xml:space="preserve"> may hinder students</w:t>
      </w:r>
      <w:r w:rsidR="00523DAB">
        <w:t>’</w:t>
      </w:r>
      <w:r w:rsidRPr="00EE4AED">
        <w:t xml:space="preserve"> access to higher levels of understanding that transcend those boundaries. </w:t>
      </w:r>
      <w:r w:rsidR="00DC1F2A" w:rsidRPr="00EE4AED">
        <w:rPr>
          <w:color w:val="000000" w:themeColor="text1"/>
        </w:rPr>
        <w:t>The discussion surrounding</w:t>
      </w:r>
      <w:r w:rsidR="00DC1F2A">
        <w:rPr>
          <w:color w:val="000000" w:themeColor="text1"/>
        </w:rPr>
        <w:t xml:space="preserve"> the lack of cohesion within law degrees reflects this argument in part</w:t>
      </w:r>
      <w:r w:rsidR="00DC1F2A" w:rsidRPr="00DC1F2A">
        <w:rPr>
          <w:color w:val="000000" w:themeColor="text1"/>
        </w:rPr>
        <w:t xml:space="preserve"> </w:t>
      </w:r>
      <w:r w:rsidR="00DC1F2A">
        <w:rPr>
          <w:color w:val="000000" w:themeColor="text1"/>
        </w:rPr>
        <w:t>(</w:t>
      </w:r>
      <w:r w:rsidR="00DC1F2A" w:rsidRPr="00FD3AE7">
        <w:rPr>
          <w:color w:val="000000" w:themeColor="text1"/>
        </w:rPr>
        <w:t xml:space="preserve">Twining, </w:t>
      </w:r>
      <w:r w:rsidR="001A4558">
        <w:rPr>
          <w:color w:val="000000" w:themeColor="text1"/>
        </w:rPr>
        <w:t>1988</w:t>
      </w:r>
      <w:r w:rsidR="00DC1F2A" w:rsidRPr="00FD3AE7">
        <w:rPr>
          <w:color w:val="000000" w:themeColor="text1"/>
        </w:rPr>
        <w:t>; Birks, 1996</w:t>
      </w:r>
      <w:r w:rsidR="00DC1F2A" w:rsidRPr="00EE58E1">
        <w:rPr>
          <w:color w:val="000000" w:themeColor="text1"/>
        </w:rPr>
        <w:t>)</w:t>
      </w:r>
      <w:r w:rsidR="00DC1F2A">
        <w:rPr>
          <w:color w:val="000000" w:themeColor="text1"/>
        </w:rPr>
        <w:t xml:space="preserve">, with </w:t>
      </w:r>
      <w:r w:rsidR="00092033">
        <w:rPr>
          <w:color w:val="000000" w:themeColor="text1"/>
        </w:rPr>
        <w:t>others suggesting this is needed beyond design</w:t>
      </w:r>
      <w:r w:rsidR="00523DAB">
        <w:rPr>
          <w:color w:val="000000" w:themeColor="text1"/>
        </w:rPr>
        <w:t xml:space="preserve">. </w:t>
      </w:r>
    </w:p>
    <w:p w14:paraId="1A203534" w14:textId="709D5530" w:rsidR="00DC1F2A" w:rsidRDefault="00DC1F2A" w:rsidP="006370E7">
      <w:pPr>
        <w:spacing w:line="360" w:lineRule="auto"/>
        <w:ind w:left="720"/>
        <w:jc w:val="both"/>
        <w:rPr>
          <w:color w:val="000000" w:themeColor="text1"/>
        </w:rPr>
      </w:pPr>
      <w:r w:rsidRPr="00AB0D3B">
        <w:rPr>
          <w:color w:val="000000" w:themeColor="text1"/>
        </w:rPr>
        <w:t>In other words, it is not adequate for law teachers to treat their module as a sealed unit but to actively seek out the connections and make them clear.</w:t>
      </w:r>
      <w:r>
        <w:rPr>
          <w:color w:val="000000" w:themeColor="text1"/>
        </w:rPr>
        <w:t xml:space="preserve"> (Hall &amp; Rasiah, 2022. </w:t>
      </w:r>
      <w:r w:rsidR="00523DAB">
        <w:rPr>
          <w:color w:val="000000" w:themeColor="text1"/>
        </w:rPr>
        <w:t>p.</w:t>
      </w:r>
      <w:r>
        <w:rPr>
          <w:color w:val="000000" w:themeColor="text1"/>
        </w:rPr>
        <w:t xml:space="preserve"> 17)</w:t>
      </w:r>
    </w:p>
    <w:p w14:paraId="7447AF9A" w14:textId="6F910952" w:rsidR="0025659A" w:rsidRPr="00DC1F2A" w:rsidRDefault="00092033" w:rsidP="0003652C">
      <w:pPr>
        <w:spacing w:line="360" w:lineRule="auto"/>
        <w:jc w:val="both"/>
      </w:pPr>
      <w:r w:rsidRPr="00EE4AED">
        <w:rPr>
          <w:color w:val="000000" w:themeColor="text1"/>
        </w:rPr>
        <w:t xml:space="preserve">Others </w:t>
      </w:r>
      <w:r w:rsidR="0025659A" w:rsidRPr="00EE4AED">
        <w:rPr>
          <w:color w:val="000000" w:themeColor="text1"/>
        </w:rPr>
        <w:t>have argued that for law to be a force for democratic social transformation, there is a need for more integrated, holistic approaches to course design enabling ‘a personal and</w:t>
      </w:r>
      <w:r w:rsidR="0025659A" w:rsidRPr="005F06D6">
        <w:rPr>
          <w:color w:val="000000" w:themeColor="text1"/>
        </w:rPr>
        <w:t xml:space="preserve"> emancipatory experience’ for the student (Reid, 2006</w:t>
      </w:r>
      <w:r w:rsidR="00523DAB">
        <w:rPr>
          <w:color w:val="000000" w:themeColor="text1"/>
        </w:rPr>
        <w:t>,</w:t>
      </w:r>
      <w:r w:rsidR="00523DAB" w:rsidRPr="005F06D6">
        <w:rPr>
          <w:color w:val="000000" w:themeColor="text1"/>
        </w:rPr>
        <w:t xml:space="preserve"> </w:t>
      </w:r>
      <w:r w:rsidR="00523DAB">
        <w:rPr>
          <w:color w:val="000000" w:themeColor="text1"/>
        </w:rPr>
        <w:t>p.</w:t>
      </w:r>
      <w:r w:rsidR="0025659A" w:rsidRPr="005F06D6">
        <w:rPr>
          <w:color w:val="000000" w:themeColor="text1"/>
        </w:rPr>
        <w:t xml:space="preserve">97). </w:t>
      </w:r>
    </w:p>
    <w:p w14:paraId="3F96F188" w14:textId="56FC71F4" w:rsidR="00765E64" w:rsidRPr="00EF0E6B" w:rsidRDefault="00765E64" w:rsidP="0003652C">
      <w:pPr>
        <w:spacing w:line="360" w:lineRule="auto"/>
        <w:jc w:val="both"/>
        <w:rPr>
          <w:rFonts w:cs="Arial"/>
          <w:color w:val="000000" w:themeColor="text1"/>
        </w:rPr>
      </w:pPr>
      <w:r w:rsidRPr="00EF0E6B">
        <w:rPr>
          <w:rFonts w:cs="Arial"/>
          <w:color w:val="000000" w:themeColor="text1"/>
        </w:rPr>
        <w:t xml:space="preserve">I return to how the subjects might be </w:t>
      </w:r>
      <w:r w:rsidR="00523DAB">
        <w:rPr>
          <w:rFonts w:cs="Arial"/>
          <w:color w:val="000000" w:themeColor="text1"/>
        </w:rPr>
        <w:t>explicitly</w:t>
      </w:r>
      <w:r w:rsidRPr="00EF0E6B">
        <w:rPr>
          <w:rFonts w:cs="Arial"/>
          <w:color w:val="000000" w:themeColor="text1"/>
        </w:rPr>
        <w:t xml:space="preserve"> </w:t>
      </w:r>
      <w:r w:rsidR="00523DAB">
        <w:rPr>
          <w:rFonts w:cs="Arial"/>
          <w:color w:val="000000" w:themeColor="text1"/>
        </w:rPr>
        <w:t>framed</w:t>
      </w:r>
      <w:r w:rsidRPr="00EF0E6B">
        <w:rPr>
          <w:rFonts w:cs="Arial"/>
          <w:color w:val="000000" w:themeColor="text1"/>
        </w:rPr>
        <w:t xml:space="preserve"> in relation to generic skills and employability agendas later in the context of the non-disciplinary impact on the curriculum</w:t>
      </w:r>
      <w:r w:rsidR="00092033">
        <w:rPr>
          <w:rFonts w:cs="Arial"/>
          <w:color w:val="000000" w:themeColor="text1"/>
        </w:rPr>
        <w:t xml:space="preserve">, and to more holistic approaches to course design in </w:t>
      </w:r>
      <w:r w:rsidR="009D5113">
        <w:rPr>
          <w:rFonts w:cs="Arial"/>
          <w:color w:val="000000" w:themeColor="text1"/>
        </w:rPr>
        <w:t>C</w:t>
      </w:r>
      <w:r w:rsidR="00092033">
        <w:rPr>
          <w:rFonts w:cs="Arial"/>
          <w:color w:val="000000" w:themeColor="text1"/>
        </w:rPr>
        <w:t xml:space="preserve">hapter </w:t>
      </w:r>
      <w:r w:rsidR="009D5113">
        <w:rPr>
          <w:rFonts w:cs="Arial"/>
          <w:color w:val="000000" w:themeColor="text1"/>
        </w:rPr>
        <w:t>E</w:t>
      </w:r>
      <w:r w:rsidR="00092033">
        <w:rPr>
          <w:rFonts w:cs="Arial"/>
          <w:color w:val="000000" w:themeColor="text1"/>
        </w:rPr>
        <w:t xml:space="preserve">ight. </w:t>
      </w:r>
    </w:p>
    <w:p w14:paraId="0D2E0C51" w14:textId="4468D8C0" w:rsidR="00765E64" w:rsidRPr="00EF0E6B" w:rsidRDefault="00765E64" w:rsidP="0003652C">
      <w:pPr>
        <w:pStyle w:val="Heading3"/>
        <w:spacing w:line="360" w:lineRule="auto"/>
        <w:rPr>
          <w:rFonts w:ascii="Arial" w:hAnsi="Arial" w:cs="Arial"/>
        </w:rPr>
      </w:pPr>
      <w:bookmarkStart w:id="86" w:name="_Toc223348875"/>
      <w:r w:rsidRPr="00EF0E6B">
        <w:rPr>
          <w:rFonts w:ascii="Arial" w:hAnsi="Arial" w:cs="Arial"/>
        </w:rPr>
        <w:t>Optionality</w:t>
      </w:r>
      <w:bookmarkEnd w:id="86"/>
    </w:p>
    <w:p w14:paraId="50B7D64F" w14:textId="2DAC87BE" w:rsidR="00765E64" w:rsidRPr="00EF0E6B" w:rsidRDefault="00765E64" w:rsidP="0003652C">
      <w:pPr>
        <w:spacing w:line="360" w:lineRule="auto"/>
        <w:jc w:val="both"/>
        <w:rPr>
          <w:rFonts w:cs="Arial"/>
        </w:rPr>
      </w:pPr>
      <w:r w:rsidRPr="00EF0E6B">
        <w:rPr>
          <w:rFonts w:cs="Arial"/>
        </w:rPr>
        <w:t xml:space="preserve">Optionality is important in an undergraduate law degree. A law degree historically prides itself on its optionality, either in the range of options, the specialisms it can offer that others do not, or </w:t>
      </w:r>
      <w:r w:rsidRPr="00092033">
        <w:rPr>
          <w:rFonts w:cs="Arial"/>
        </w:rPr>
        <w:t>the link between these specialisms and the research for which the school is renown</w:t>
      </w:r>
      <w:r w:rsidR="00523DAB">
        <w:rPr>
          <w:rFonts w:cs="Arial"/>
        </w:rPr>
        <w:t>ed</w:t>
      </w:r>
      <w:r w:rsidRPr="00092033">
        <w:rPr>
          <w:rFonts w:cs="Arial"/>
        </w:rPr>
        <w:t xml:space="preserve"> (</w:t>
      </w:r>
      <w:r w:rsidR="00092033" w:rsidRPr="00092033">
        <w:rPr>
          <w:rFonts w:cs="Arial"/>
        </w:rPr>
        <w:t>Vaughan, 2025; Giles &amp; Ang, 2025).</w:t>
      </w:r>
      <w:r w:rsidRPr="00092033">
        <w:rPr>
          <w:rFonts w:cs="Arial"/>
        </w:rPr>
        <w:t xml:space="preserve"> The</w:t>
      </w:r>
      <w:r w:rsidRPr="00EF0E6B">
        <w:rPr>
          <w:rFonts w:cs="Arial"/>
        </w:rPr>
        <w:t xml:space="preserve"> stringent requirements for the foundational subjects and the weight that they were required to have in a degree </w:t>
      </w:r>
      <w:r w:rsidR="00092033">
        <w:rPr>
          <w:rFonts w:cs="Arial"/>
        </w:rPr>
        <w:t xml:space="preserve">often left the optionality as the only space for any creativity and distinctiveness in degrees. </w:t>
      </w:r>
    </w:p>
    <w:p w14:paraId="1F1D76E6" w14:textId="1D0D9C94" w:rsidR="00765E64" w:rsidRPr="00EF0E6B" w:rsidRDefault="00092033" w:rsidP="0003652C">
      <w:pPr>
        <w:spacing w:line="360" w:lineRule="auto"/>
        <w:jc w:val="both"/>
        <w:rPr>
          <w:rFonts w:cs="Arial"/>
        </w:rPr>
      </w:pPr>
      <w:r>
        <w:rPr>
          <w:rFonts w:cs="Arial"/>
        </w:rPr>
        <w:t>More generally</w:t>
      </w:r>
      <w:r w:rsidR="00523DAB">
        <w:rPr>
          <w:rFonts w:cs="Arial"/>
        </w:rPr>
        <w:t>,</w:t>
      </w:r>
      <w:r>
        <w:rPr>
          <w:rFonts w:cs="Arial"/>
        </w:rPr>
        <w:t xml:space="preserve"> o</w:t>
      </w:r>
      <w:r w:rsidR="00765E64" w:rsidRPr="00EF0E6B">
        <w:rPr>
          <w:rFonts w:cs="Arial"/>
        </w:rPr>
        <w:t xml:space="preserve">ptionality has been problematic for </w:t>
      </w:r>
      <w:r w:rsidR="009B71D2">
        <w:rPr>
          <w:rFonts w:cs="Arial"/>
        </w:rPr>
        <w:t>school</w:t>
      </w:r>
      <w:r w:rsidR="009B71D2" w:rsidRPr="00EF0E6B">
        <w:rPr>
          <w:rFonts w:cs="Arial"/>
        </w:rPr>
        <w:t>s</w:t>
      </w:r>
      <w:r w:rsidR="00523DAB">
        <w:rPr>
          <w:rFonts w:cs="Arial"/>
        </w:rPr>
        <w:t>,</w:t>
      </w:r>
      <w:r w:rsidR="009B71D2" w:rsidRPr="00EF0E6B">
        <w:rPr>
          <w:rFonts w:cs="Arial"/>
        </w:rPr>
        <w:t xml:space="preserve"> </w:t>
      </w:r>
      <w:r w:rsidR="00765E64" w:rsidRPr="00EF0E6B">
        <w:rPr>
          <w:rFonts w:cs="Arial"/>
        </w:rPr>
        <w:t xml:space="preserve">balancing the desirable </w:t>
      </w:r>
      <w:r w:rsidR="00765E64" w:rsidRPr="00D1518F">
        <w:rPr>
          <w:rFonts w:cs="Arial"/>
        </w:rPr>
        <w:t xml:space="preserve">marketing output </w:t>
      </w:r>
      <w:r w:rsidR="00523DAB">
        <w:rPr>
          <w:rFonts w:cs="Arial"/>
        </w:rPr>
        <w:t>of</w:t>
      </w:r>
      <w:r w:rsidR="00D1518F" w:rsidRPr="00D1518F">
        <w:rPr>
          <w:rFonts w:cs="Arial"/>
        </w:rPr>
        <w:t xml:space="preserve"> choice with</w:t>
      </w:r>
      <w:r w:rsidR="00765E64" w:rsidRPr="00D1518F">
        <w:rPr>
          <w:rFonts w:cs="Arial"/>
        </w:rPr>
        <w:t xml:space="preserve"> the increasing resource implications of </w:t>
      </w:r>
      <w:r w:rsidR="00765E64" w:rsidRPr="00D1518F">
        <w:rPr>
          <w:rFonts w:cs="Arial"/>
        </w:rPr>
        <w:lastRenderedPageBreak/>
        <w:t>a diverse offering (</w:t>
      </w:r>
      <w:r w:rsidR="00D1518F" w:rsidRPr="00D1518F">
        <w:rPr>
          <w:rFonts w:cs="Arial"/>
        </w:rPr>
        <w:t xml:space="preserve">Billing, 1996). </w:t>
      </w:r>
      <w:r w:rsidR="00765E64" w:rsidRPr="00D1518F">
        <w:rPr>
          <w:rFonts w:cs="Arial"/>
        </w:rPr>
        <w:t xml:space="preserve"> </w:t>
      </w:r>
      <w:r w:rsidR="00D1518F">
        <w:rPr>
          <w:rFonts w:cs="Arial"/>
        </w:rPr>
        <w:t>This balancing was seen</w:t>
      </w:r>
      <w:r w:rsidR="00765E64" w:rsidRPr="00EF0E6B">
        <w:rPr>
          <w:rFonts w:cs="Arial"/>
        </w:rPr>
        <w:t xml:space="preserve"> to have a</w:t>
      </w:r>
      <w:r w:rsidR="00390788">
        <w:rPr>
          <w:rFonts w:cs="Arial"/>
        </w:rPr>
        <w:t>n</w:t>
      </w:r>
      <w:r w:rsidR="00765E64" w:rsidRPr="00EF0E6B">
        <w:rPr>
          <w:rFonts w:cs="Arial"/>
        </w:rPr>
        <w:t xml:space="preserve"> impact on design by the participants in this investigation. Several </w:t>
      </w:r>
      <w:r w:rsidR="00D1518F">
        <w:rPr>
          <w:rFonts w:cs="Arial"/>
        </w:rPr>
        <w:t>participants reflected on</w:t>
      </w:r>
      <w:r w:rsidR="00765E64" w:rsidRPr="00EF0E6B">
        <w:rPr>
          <w:rFonts w:cs="Arial"/>
        </w:rPr>
        <w:t xml:space="preserve"> the impact of </w:t>
      </w:r>
      <w:r w:rsidR="00EA7E92">
        <w:rPr>
          <w:rFonts w:cs="Arial"/>
        </w:rPr>
        <w:t>this as an imposition of</w:t>
      </w:r>
      <w:r w:rsidR="00765E64" w:rsidRPr="00EF0E6B">
        <w:rPr>
          <w:rFonts w:cs="Arial"/>
        </w:rPr>
        <w:t xml:space="preserve"> top-down resource concerns</w:t>
      </w:r>
      <w:r w:rsidR="00EA7E92">
        <w:rPr>
          <w:rFonts w:cs="Arial"/>
        </w:rPr>
        <w:t>,</w:t>
      </w:r>
      <w:r w:rsidR="00765E64" w:rsidRPr="00EF0E6B">
        <w:rPr>
          <w:rFonts w:cs="Arial"/>
        </w:rPr>
        <w:t xml:space="preserve"> placing pressure on the design process. There was perceived to be a ‘push to balance the books’ across all </w:t>
      </w:r>
      <w:r w:rsidR="00523DAB">
        <w:rPr>
          <w:rFonts w:cs="Arial"/>
        </w:rPr>
        <w:t>school</w:t>
      </w:r>
      <w:r w:rsidR="00765E64" w:rsidRPr="00EF0E6B">
        <w:rPr>
          <w:rFonts w:cs="Arial"/>
        </w:rPr>
        <w:t xml:space="preserve"> </w:t>
      </w:r>
      <w:r w:rsidR="00523DAB">
        <w:rPr>
          <w:rFonts w:cs="Arial"/>
        </w:rPr>
        <w:t>categories</w:t>
      </w:r>
      <w:r w:rsidR="00765E64" w:rsidRPr="00EF0E6B">
        <w:rPr>
          <w:rFonts w:cs="Arial"/>
        </w:rPr>
        <w:t xml:space="preserve">. </w:t>
      </w:r>
    </w:p>
    <w:p w14:paraId="37FF9978" w14:textId="2E3C9BC7" w:rsidR="00765E64" w:rsidRPr="00EF0E6B" w:rsidRDefault="00765E64" w:rsidP="0003652C">
      <w:pPr>
        <w:spacing w:line="360" w:lineRule="auto"/>
        <w:jc w:val="both"/>
        <w:rPr>
          <w:rFonts w:cs="Arial"/>
        </w:rPr>
      </w:pPr>
      <w:r w:rsidRPr="004E52D7">
        <w:rPr>
          <w:rFonts w:cs="Arial"/>
        </w:rPr>
        <w:t xml:space="preserve">In the widening participation </w:t>
      </w:r>
      <w:r w:rsidR="009B71D2">
        <w:rPr>
          <w:rFonts w:cs="Arial"/>
        </w:rPr>
        <w:t>school</w:t>
      </w:r>
      <w:r w:rsidR="009B71D2" w:rsidRPr="004E52D7">
        <w:rPr>
          <w:rFonts w:cs="Arial"/>
        </w:rPr>
        <w:t>s</w:t>
      </w:r>
      <w:r w:rsidR="00523DAB">
        <w:rPr>
          <w:rFonts w:cs="Arial"/>
        </w:rPr>
        <w:t>,</w:t>
      </w:r>
      <w:r w:rsidR="009B71D2" w:rsidRPr="004E52D7">
        <w:rPr>
          <w:rFonts w:cs="Arial"/>
        </w:rPr>
        <w:t xml:space="preserve"> </w:t>
      </w:r>
      <w:r w:rsidRPr="004E52D7">
        <w:rPr>
          <w:rFonts w:cs="Arial"/>
        </w:rPr>
        <w:t>where</w:t>
      </w:r>
      <w:r w:rsidRPr="00EF0E6B">
        <w:rPr>
          <w:rFonts w:cs="Arial"/>
        </w:rPr>
        <w:t xml:space="preserve"> you might expect resources to have more of an impact, there was a recognition that there was </w:t>
      </w:r>
    </w:p>
    <w:p w14:paraId="5BBB342F" w14:textId="6630FC1B" w:rsidR="00765E64" w:rsidRPr="006370E7" w:rsidRDefault="00765E64" w:rsidP="006370E7">
      <w:pPr>
        <w:spacing w:line="360" w:lineRule="auto"/>
        <w:ind w:left="720"/>
        <w:jc w:val="both"/>
        <w:rPr>
          <w:rFonts w:cs="Arial"/>
          <w:color w:val="000000" w:themeColor="text1"/>
        </w:rPr>
      </w:pPr>
      <w:r w:rsidRPr="00EF0E6B">
        <w:rPr>
          <w:rFonts w:cs="Arial"/>
          <w:color w:val="000000" w:themeColor="text1"/>
        </w:rPr>
        <w:t>A need to rationalise so that they (the options) are what you would normally expect on a degree</w:t>
      </w:r>
      <w:r w:rsidR="00523DAB">
        <w:rPr>
          <w:rFonts w:cs="Arial"/>
          <w:color w:val="000000" w:themeColor="text1"/>
        </w:rPr>
        <w:t>,</w:t>
      </w:r>
      <w:r w:rsidRPr="00EF0E6B">
        <w:rPr>
          <w:rFonts w:cs="Arial"/>
          <w:color w:val="000000" w:themeColor="text1"/>
        </w:rPr>
        <w:t xml:space="preserve"> or, where there is a clear research </w:t>
      </w:r>
      <w:r w:rsidR="00EE7AB8" w:rsidRPr="00EF0E6B">
        <w:rPr>
          <w:rFonts w:cs="Arial"/>
          <w:color w:val="000000" w:themeColor="text1"/>
        </w:rPr>
        <w:t>interest,</w:t>
      </w:r>
      <w:r w:rsidRPr="00EF0E6B">
        <w:rPr>
          <w:rFonts w:cs="Arial"/>
          <w:color w:val="000000" w:themeColor="text1"/>
        </w:rPr>
        <w:t xml:space="preserve"> so we don’t lose the </w:t>
      </w:r>
      <w:r w:rsidR="00523DAB" w:rsidRPr="00EF0E6B">
        <w:rPr>
          <w:rFonts w:cs="Arial"/>
          <w:color w:val="000000" w:themeColor="text1"/>
        </w:rPr>
        <w:t>research</w:t>
      </w:r>
      <w:r w:rsidR="00523DAB">
        <w:rPr>
          <w:rFonts w:cs="Arial"/>
          <w:color w:val="000000" w:themeColor="text1"/>
        </w:rPr>
        <w:t>-</w:t>
      </w:r>
      <w:r w:rsidRPr="00EF0E6B">
        <w:rPr>
          <w:rFonts w:cs="Arial"/>
          <w:color w:val="000000" w:themeColor="text1"/>
        </w:rPr>
        <w:t>informed teaching. There is a need to get rid of the niche that doesn’t serve research. The devil drives</w:t>
      </w:r>
      <w:r w:rsidR="00AA1A8D">
        <w:rPr>
          <w:rFonts w:cs="Arial"/>
          <w:color w:val="000000" w:themeColor="text1"/>
        </w:rPr>
        <w:t xml:space="preserve"> (WP). </w:t>
      </w:r>
    </w:p>
    <w:p w14:paraId="6F6A6A9B" w14:textId="10C279DE" w:rsidR="00765E64" w:rsidRPr="00EF0E6B" w:rsidRDefault="00765E64" w:rsidP="0003652C">
      <w:pPr>
        <w:spacing w:line="360" w:lineRule="auto"/>
        <w:jc w:val="both"/>
        <w:rPr>
          <w:rFonts w:cs="Arial"/>
        </w:rPr>
      </w:pPr>
      <w:r w:rsidRPr="00EF0E6B">
        <w:rPr>
          <w:rFonts w:cs="Arial"/>
        </w:rPr>
        <w:t>And there was also some backlash</w:t>
      </w:r>
      <w:r w:rsidR="00523DAB">
        <w:rPr>
          <w:rFonts w:cs="Arial"/>
        </w:rPr>
        <w:t>.</w:t>
      </w:r>
      <w:r w:rsidRPr="00EF0E6B">
        <w:rPr>
          <w:rFonts w:cs="Arial"/>
        </w:rPr>
        <w:t xml:space="preserve">  </w:t>
      </w:r>
    </w:p>
    <w:p w14:paraId="74F4AA87" w14:textId="00447759" w:rsidR="00765E64" w:rsidRPr="00EF0E6B" w:rsidRDefault="00765E64" w:rsidP="00D83239">
      <w:pPr>
        <w:spacing w:line="360" w:lineRule="auto"/>
        <w:ind w:left="720"/>
        <w:jc w:val="both"/>
        <w:rPr>
          <w:rFonts w:cs="Arial"/>
        </w:rPr>
      </w:pPr>
      <w:r w:rsidRPr="00EF0E6B">
        <w:rPr>
          <w:rFonts w:cs="Arial"/>
        </w:rPr>
        <w:t>Choice is hard to organise</w:t>
      </w:r>
      <w:r w:rsidR="00523DAB">
        <w:rPr>
          <w:rFonts w:cs="Arial"/>
        </w:rPr>
        <w:t>,</w:t>
      </w:r>
      <w:r w:rsidRPr="00EF0E6B">
        <w:rPr>
          <w:rFonts w:cs="Arial"/>
        </w:rPr>
        <w:t xml:space="preserve"> and so they (the senior management) said it was inefficient and </w:t>
      </w:r>
      <w:r w:rsidR="00A127F4">
        <w:rPr>
          <w:rFonts w:cs="Arial"/>
        </w:rPr>
        <w:t xml:space="preserve">that </w:t>
      </w:r>
      <w:r w:rsidRPr="00EF0E6B">
        <w:rPr>
          <w:rFonts w:cs="Arial"/>
        </w:rPr>
        <w:t>we had to get rid of options. We can give people less time for the same hours in the classroom, so we want big options. They had a very interesting idea about what education was for, looking at modules from the perspective of efficiency</w:t>
      </w:r>
      <w:r w:rsidR="00AA1A8D">
        <w:rPr>
          <w:rFonts w:cs="Arial"/>
        </w:rPr>
        <w:t xml:space="preserve"> (WP).</w:t>
      </w:r>
    </w:p>
    <w:p w14:paraId="30CE0854" w14:textId="5DA33525" w:rsidR="00765E64" w:rsidRPr="00EF0E6B" w:rsidRDefault="00765E64" w:rsidP="0003652C">
      <w:pPr>
        <w:spacing w:line="360" w:lineRule="auto"/>
        <w:jc w:val="both"/>
        <w:rPr>
          <w:rFonts w:cs="Arial"/>
        </w:rPr>
      </w:pPr>
      <w:r w:rsidRPr="00EF0E6B">
        <w:rPr>
          <w:rFonts w:cs="Arial"/>
        </w:rPr>
        <w:t xml:space="preserve">The same struggle was apparent in the semi-selective </w:t>
      </w:r>
      <w:r w:rsidR="009B71D2">
        <w:rPr>
          <w:rFonts w:cs="Arial"/>
        </w:rPr>
        <w:t>school</w:t>
      </w:r>
      <w:r w:rsidR="009B71D2" w:rsidRPr="00EF0E6B">
        <w:rPr>
          <w:rFonts w:cs="Arial"/>
        </w:rPr>
        <w:t>s</w:t>
      </w:r>
      <w:r w:rsidR="00523DAB">
        <w:rPr>
          <w:rFonts w:cs="Arial"/>
        </w:rPr>
        <w:t>.</w:t>
      </w:r>
    </w:p>
    <w:p w14:paraId="1BA23AE7" w14:textId="3FD8F224" w:rsidR="00765E64" w:rsidRPr="00EF0E6B" w:rsidRDefault="00765E64" w:rsidP="006370E7">
      <w:pPr>
        <w:spacing w:line="360" w:lineRule="auto"/>
        <w:ind w:left="720"/>
        <w:jc w:val="both"/>
        <w:rPr>
          <w:rFonts w:cs="Arial"/>
        </w:rPr>
      </w:pPr>
      <w:r w:rsidRPr="00EF0E6B">
        <w:rPr>
          <w:rFonts w:cs="Arial"/>
        </w:rPr>
        <w:t>We didn’t throw away any modules</w:t>
      </w:r>
      <w:r w:rsidR="00523DAB">
        <w:rPr>
          <w:rFonts w:cs="Arial"/>
        </w:rPr>
        <w:t>,</w:t>
      </w:r>
      <w:r w:rsidRPr="00EF0E6B">
        <w:rPr>
          <w:rFonts w:cs="Arial"/>
        </w:rPr>
        <w:t xml:space="preserve"> although that was a sticking point as they wanted us to. We did have a huge battle and only got rid of modules based on </w:t>
      </w:r>
      <w:r w:rsidR="00EE7AB8" w:rsidRPr="00EF0E6B">
        <w:rPr>
          <w:rFonts w:cs="Arial"/>
        </w:rPr>
        <w:t>numbers.</w:t>
      </w:r>
      <w:r w:rsidRPr="00EF0E6B">
        <w:rPr>
          <w:rFonts w:cs="Arial"/>
        </w:rPr>
        <w:t xml:space="preserve"> If you have people who are employed to teach options which are smaller, it means there is less availability for them to teach big modules … but we were not getting rid of modules just to fit into some sort of prescribed number that the university felt was ideal</w:t>
      </w:r>
      <w:r w:rsidR="00AA1A8D">
        <w:rPr>
          <w:rFonts w:cs="Arial"/>
        </w:rPr>
        <w:t xml:space="preserve"> (SS).</w:t>
      </w:r>
    </w:p>
    <w:p w14:paraId="39BA706F" w14:textId="257C3447" w:rsidR="00765E64" w:rsidRPr="00EF0E6B" w:rsidRDefault="00765E64" w:rsidP="0003652C">
      <w:pPr>
        <w:spacing w:line="360" w:lineRule="auto"/>
        <w:jc w:val="both"/>
        <w:rPr>
          <w:rFonts w:cs="Arial"/>
        </w:rPr>
      </w:pPr>
      <w:r w:rsidRPr="00EF0E6B">
        <w:rPr>
          <w:rFonts w:cs="Arial"/>
        </w:rPr>
        <w:t xml:space="preserve">Only in one </w:t>
      </w:r>
      <w:r w:rsidR="009B71D2">
        <w:rPr>
          <w:rFonts w:cs="Arial"/>
        </w:rPr>
        <w:t>school</w:t>
      </w:r>
      <w:r w:rsidR="009B71D2" w:rsidRPr="00EF0E6B">
        <w:rPr>
          <w:rFonts w:cs="Arial"/>
        </w:rPr>
        <w:t xml:space="preserve"> </w:t>
      </w:r>
      <w:r w:rsidRPr="00EF0E6B">
        <w:rPr>
          <w:rFonts w:cs="Arial"/>
        </w:rPr>
        <w:t>was there an increase in the number of options</w:t>
      </w:r>
      <w:r w:rsidR="00523DAB">
        <w:rPr>
          <w:rFonts w:cs="Arial"/>
        </w:rPr>
        <w:t>,</w:t>
      </w:r>
      <w:r w:rsidRPr="00EF0E6B">
        <w:rPr>
          <w:rFonts w:cs="Arial"/>
        </w:rPr>
        <w:t xml:space="preserve"> with the aim of spreading the workload of the increased number of students over a small team. This was perceived to allow ‘the students to be masters of their own destiny</w:t>
      </w:r>
      <w:r w:rsidR="00AA1A8D">
        <w:rPr>
          <w:rFonts w:cs="Arial"/>
        </w:rPr>
        <w:t xml:space="preserve">’ (SS). </w:t>
      </w:r>
      <w:r w:rsidRPr="00EF0E6B">
        <w:rPr>
          <w:rFonts w:cs="Arial"/>
        </w:rPr>
        <w:t xml:space="preserve">  That</w:t>
      </w:r>
      <w:r w:rsidR="00523DAB">
        <w:rPr>
          <w:rFonts w:cs="Arial"/>
        </w:rPr>
        <w:t>,</w:t>
      </w:r>
      <w:r w:rsidRPr="00EF0E6B">
        <w:rPr>
          <w:rFonts w:cs="Arial"/>
        </w:rPr>
        <w:t xml:space="preserve"> however</w:t>
      </w:r>
      <w:r w:rsidR="00523DAB">
        <w:rPr>
          <w:rFonts w:cs="Arial"/>
        </w:rPr>
        <w:t>,</w:t>
      </w:r>
      <w:r w:rsidRPr="00EF0E6B">
        <w:rPr>
          <w:rFonts w:cs="Arial"/>
        </w:rPr>
        <w:t xml:space="preserve"> </w:t>
      </w:r>
      <w:r w:rsidR="00523DAB">
        <w:rPr>
          <w:rFonts w:cs="Arial"/>
        </w:rPr>
        <w:t xml:space="preserve">was </w:t>
      </w:r>
      <w:r w:rsidRPr="00EF0E6B">
        <w:rPr>
          <w:rFonts w:cs="Arial"/>
        </w:rPr>
        <w:t xml:space="preserve">not the norm.  Student numbers </w:t>
      </w:r>
      <w:r w:rsidR="00523DAB">
        <w:rPr>
          <w:rFonts w:cs="Arial"/>
        </w:rPr>
        <w:t xml:space="preserve">were </w:t>
      </w:r>
      <w:r w:rsidRPr="00EF0E6B">
        <w:rPr>
          <w:rFonts w:cs="Arial"/>
        </w:rPr>
        <w:t xml:space="preserve">more often perceived </w:t>
      </w:r>
      <w:r w:rsidRPr="00EF0E6B">
        <w:rPr>
          <w:rFonts w:cs="Arial"/>
        </w:rPr>
        <w:lastRenderedPageBreak/>
        <w:t xml:space="preserve">to require a reduction in diversity </w:t>
      </w:r>
      <w:r w:rsidR="00523DAB">
        <w:rPr>
          <w:rFonts w:cs="Arial"/>
        </w:rPr>
        <w:t>of</w:t>
      </w:r>
      <w:r w:rsidRPr="00EF0E6B">
        <w:rPr>
          <w:rFonts w:cs="Arial"/>
        </w:rPr>
        <w:t xml:space="preserve"> optionality as efficiencies of scale were introduced, the ‘bespoke’ modules were dropped</w:t>
      </w:r>
      <w:r w:rsidR="00523DAB">
        <w:rPr>
          <w:rFonts w:cs="Arial"/>
        </w:rPr>
        <w:t>,</w:t>
      </w:r>
      <w:r w:rsidRPr="00EF0E6B">
        <w:rPr>
          <w:rFonts w:cs="Arial"/>
        </w:rPr>
        <w:t xml:space="preserve"> and there was instead a ‘need to concentrate on consistency.’  This had a particular impact not only on what was offered but also on the direct financial implications of those decisions.</w:t>
      </w:r>
    </w:p>
    <w:p w14:paraId="59C52126" w14:textId="3652A601" w:rsidR="00765E64" w:rsidRPr="006370E7" w:rsidRDefault="00765E64" w:rsidP="006370E7">
      <w:pPr>
        <w:spacing w:line="360" w:lineRule="auto"/>
        <w:ind w:left="720"/>
        <w:jc w:val="both"/>
        <w:rPr>
          <w:rFonts w:cs="Arial"/>
          <w:color w:val="000000" w:themeColor="text1"/>
        </w:rPr>
      </w:pPr>
      <w:r w:rsidRPr="00EF0E6B">
        <w:rPr>
          <w:rFonts w:cs="Arial"/>
          <w:color w:val="000000" w:themeColor="text1"/>
        </w:rPr>
        <w:t>I have to box clever with that. I have to budget on what we think the students will do and what’s been more popular</w:t>
      </w:r>
      <w:r w:rsidR="00AA1A8D">
        <w:rPr>
          <w:rFonts w:cs="Arial"/>
          <w:color w:val="000000" w:themeColor="text1"/>
        </w:rPr>
        <w:t xml:space="preserve"> (WP).</w:t>
      </w:r>
    </w:p>
    <w:p w14:paraId="57EF795C" w14:textId="1655AD75" w:rsidR="00765E64" w:rsidRPr="006370E7" w:rsidRDefault="00765E64" w:rsidP="0003652C">
      <w:pPr>
        <w:spacing w:line="360" w:lineRule="auto"/>
        <w:jc w:val="both"/>
        <w:rPr>
          <w:rFonts w:cs="Arial"/>
        </w:rPr>
      </w:pPr>
      <w:r w:rsidRPr="00EF0E6B">
        <w:rPr>
          <w:rFonts w:cs="Arial"/>
        </w:rPr>
        <w:t xml:space="preserve">What was perhaps more surprising was a recognition of this trend from five of the six designers at the selective </w:t>
      </w:r>
      <w:r w:rsidR="009B71D2">
        <w:rPr>
          <w:rFonts w:cs="Arial"/>
        </w:rPr>
        <w:t>school</w:t>
      </w:r>
      <w:r w:rsidR="009B71D2" w:rsidRPr="00EF0E6B">
        <w:rPr>
          <w:rFonts w:cs="Arial"/>
        </w:rPr>
        <w:t>s</w:t>
      </w:r>
      <w:r w:rsidRPr="00EF0E6B">
        <w:rPr>
          <w:rFonts w:cs="Arial"/>
        </w:rPr>
        <w:t xml:space="preserve">. Most of the </w:t>
      </w:r>
      <w:r w:rsidR="009B71D2">
        <w:rPr>
          <w:rFonts w:cs="Arial"/>
        </w:rPr>
        <w:t>designers in the school</w:t>
      </w:r>
      <w:r w:rsidR="009B71D2" w:rsidRPr="00EF0E6B">
        <w:rPr>
          <w:rFonts w:cs="Arial"/>
        </w:rPr>
        <w:t xml:space="preserve">s </w:t>
      </w:r>
      <w:r w:rsidR="009B71D2">
        <w:rPr>
          <w:rFonts w:cs="Arial"/>
        </w:rPr>
        <w:t>reflected on the need for</w:t>
      </w:r>
      <w:r w:rsidRPr="00EF0E6B">
        <w:rPr>
          <w:rFonts w:cs="Arial"/>
        </w:rPr>
        <w:t xml:space="preserve"> ‘efficiencies in module optionality’</w:t>
      </w:r>
      <w:r w:rsidR="00523DAB">
        <w:rPr>
          <w:rFonts w:cs="Arial"/>
        </w:rPr>
        <w:t>,</w:t>
      </w:r>
      <w:r w:rsidRPr="00EF0E6B">
        <w:rPr>
          <w:rFonts w:cs="Arial"/>
        </w:rPr>
        <w:t xml:space="preserve"> which</w:t>
      </w:r>
      <w:r w:rsidR="00523DAB">
        <w:rPr>
          <w:rFonts w:cs="Arial"/>
        </w:rPr>
        <w:t>,</w:t>
      </w:r>
      <w:r w:rsidRPr="00EF0E6B">
        <w:rPr>
          <w:rFonts w:cs="Arial"/>
        </w:rPr>
        <w:t xml:space="preserve"> in turn</w:t>
      </w:r>
      <w:r w:rsidR="00523DAB">
        <w:rPr>
          <w:rFonts w:cs="Arial"/>
        </w:rPr>
        <w:t>, meant</w:t>
      </w:r>
      <w:r w:rsidRPr="00EF0E6B">
        <w:rPr>
          <w:rFonts w:cs="Arial"/>
        </w:rPr>
        <w:t xml:space="preserve"> that ‘quite mainstream modules are running</w:t>
      </w:r>
      <w:r w:rsidR="00AA1A8D">
        <w:rPr>
          <w:rFonts w:cs="Arial"/>
        </w:rPr>
        <w:t>’ (S).</w:t>
      </w:r>
      <w:r w:rsidRPr="00EF0E6B">
        <w:rPr>
          <w:rFonts w:cs="Arial"/>
        </w:rPr>
        <w:t xml:space="preserve">  </w:t>
      </w:r>
      <w:r w:rsidRPr="00EF0E6B">
        <w:rPr>
          <w:rFonts w:cs="Arial"/>
          <w:color w:val="000000" w:themeColor="text1"/>
        </w:rPr>
        <w:t xml:space="preserve">There was consistency in the data for the different categories of </w:t>
      </w:r>
      <w:r w:rsidR="009B71D2">
        <w:rPr>
          <w:rFonts w:cs="Arial"/>
          <w:color w:val="000000" w:themeColor="text1"/>
        </w:rPr>
        <w:t>school</w:t>
      </w:r>
      <w:r w:rsidRPr="00EF0E6B">
        <w:rPr>
          <w:rFonts w:cs="Arial"/>
          <w:color w:val="000000" w:themeColor="text1"/>
        </w:rPr>
        <w:t xml:space="preserve">, with all seeing this as a negative impact on the degree. </w:t>
      </w:r>
    </w:p>
    <w:p w14:paraId="190F9F4F" w14:textId="0CED8C78" w:rsidR="00765E64" w:rsidRPr="00EF0E6B" w:rsidRDefault="00765E64" w:rsidP="0003652C">
      <w:pPr>
        <w:spacing w:line="360" w:lineRule="auto"/>
        <w:jc w:val="both"/>
        <w:rPr>
          <w:rFonts w:cs="Arial"/>
          <w:color w:val="000000" w:themeColor="text1"/>
        </w:rPr>
      </w:pPr>
      <w:r w:rsidRPr="00EF0E6B">
        <w:rPr>
          <w:rFonts w:cs="Arial"/>
          <w:color w:val="000000" w:themeColor="text1"/>
        </w:rPr>
        <w:t xml:space="preserve">The impact of this development often fed into conversations about the role of researchers teaching modules. Academic </w:t>
      </w:r>
      <w:r w:rsidR="009779C0" w:rsidRPr="00EF0E6B">
        <w:rPr>
          <w:rFonts w:cs="Arial"/>
          <w:color w:val="000000" w:themeColor="text1"/>
        </w:rPr>
        <w:t>staff were</w:t>
      </w:r>
      <w:r w:rsidRPr="00EF0E6B">
        <w:rPr>
          <w:rFonts w:cs="Arial"/>
          <w:color w:val="000000" w:themeColor="text1"/>
        </w:rPr>
        <w:t xml:space="preserve"> often teaching modules that aligned with their research interests at the more selective </w:t>
      </w:r>
      <w:r w:rsidR="009B71D2">
        <w:rPr>
          <w:rFonts w:cs="Arial"/>
          <w:color w:val="000000" w:themeColor="text1"/>
        </w:rPr>
        <w:t>school</w:t>
      </w:r>
      <w:r w:rsidR="009B71D2" w:rsidRPr="00EF0E6B">
        <w:rPr>
          <w:rFonts w:cs="Arial"/>
          <w:color w:val="000000" w:themeColor="text1"/>
        </w:rPr>
        <w:t>s</w:t>
      </w:r>
      <w:r w:rsidRPr="00EF0E6B">
        <w:rPr>
          <w:rFonts w:cs="Arial"/>
          <w:color w:val="000000" w:themeColor="text1"/>
        </w:rPr>
        <w:t xml:space="preserve">. They </w:t>
      </w:r>
      <w:r w:rsidR="00523DAB">
        <w:rPr>
          <w:rFonts w:cs="Arial"/>
          <w:color w:val="000000" w:themeColor="text1"/>
        </w:rPr>
        <w:t>were, however, not necessarily teaching undergraduate students, and the resource implications were evident there, as we have seen</w:t>
      </w:r>
      <w:r w:rsidRPr="00EF0E6B">
        <w:rPr>
          <w:rFonts w:cs="Arial"/>
          <w:color w:val="000000" w:themeColor="text1"/>
        </w:rPr>
        <w:t>. There was some concern that</w:t>
      </w:r>
      <w:r w:rsidR="00523DAB">
        <w:rPr>
          <w:rFonts w:cs="Arial"/>
          <w:color w:val="000000" w:themeColor="text1"/>
        </w:rPr>
        <w:t>,</w:t>
      </w:r>
      <w:r w:rsidRPr="00EF0E6B">
        <w:rPr>
          <w:rFonts w:cs="Arial"/>
          <w:color w:val="000000" w:themeColor="text1"/>
        </w:rPr>
        <w:t xml:space="preserve"> as modules were being reduced due to efficiency</w:t>
      </w:r>
      <w:r w:rsidR="00523DAB">
        <w:rPr>
          <w:rFonts w:cs="Arial"/>
          <w:color w:val="000000" w:themeColor="text1"/>
        </w:rPr>
        <w:t>,</w:t>
      </w:r>
      <w:r w:rsidRPr="00EF0E6B">
        <w:rPr>
          <w:rFonts w:cs="Arial"/>
          <w:color w:val="000000" w:themeColor="text1"/>
        </w:rPr>
        <w:t xml:space="preserve"> what was being offered to students was not what was expected</w:t>
      </w:r>
      <w:r w:rsidR="00523DAB">
        <w:rPr>
          <w:rFonts w:cs="Arial"/>
          <w:color w:val="000000" w:themeColor="text1"/>
        </w:rPr>
        <w:t>.</w:t>
      </w:r>
    </w:p>
    <w:p w14:paraId="075F47DC" w14:textId="10328DEC" w:rsidR="00765E64" w:rsidRPr="00EF0E6B" w:rsidRDefault="00765E64" w:rsidP="0003652C">
      <w:pPr>
        <w:spacing w:line="360" w:lineRule="auto"/>
        <w:ind w:left="720"/>
        <w:jc w:val="both"/>
        <w:rPr>
          <w:rFonts w:cs="Arial"/>
        </w:rPr>
      </w:pPr>
      <w:r w:rsidRPr="00EF0E6B">
        <w:rPr>
          <w:rFonts w:cs="Arial"/>
        </w:rPr>
        <w:t xml:space="preserve">We mis-sell this to the students as we suggest that if you go to the top-ranking </w:t>
      </w:r>
      <w:r w:rsidR="00EE7AB8" w:rsidRPr="00EF0E6B">
        <w:rPr>
          <w:rFonts w:cs="Arial"/>
        </w:rPr>
        <w:t>places,</w:t>
      </w:r>
      <w:r w:rsidRPr="00EF0E6B">
        <w:rPr>
          <w:rFonts w:cs="Arial"/>
        </w:rPr>
        <w:t xml:space="preserve"> you will be taught by the world</w:t>
      </w:r>
      <w:r w:rsidR="00523DAB">
        <w:rPr>
          <w:rFonts w:cs="Arial"/>
        </w:rPr>
        <w:t>-l</w:t>
      </w:r>
      <w:r w:rsidRPr="00EF0E6B">
        <w:rPr>
          <w:rFonts w:cs="Arial"/>
        </w:rPr>
        <w:t>eading experts</w:t>
      </w:r>
      <w:r w:rsidR="00AA1A8D">
        <w:rPr>
          <w:rFonts w:cs="Arial"/>
        </w:rPr>
        <w:t xml:space="preserve"> (SS).</w:t>
      </w:r>
    </w:p>
    <w:p w14:paraId="6D547233" w14:textId="7E7B3E4B" w:rsidR="00765E64" w:rsidRPr="00EF0E6B" w:rsidRDefault="00765E64" w:rsidP="0003652C">
      <w:pPr>
        <w:spacing w:line="360" w:lineRule="auto"/>
        <w:jc w:val="both"/>
        <w:rPr>
          <w:rFonts w:cs="Arial"/>
          <w:color w:val="E36C0A" w:themeColor="accent6" w:themeShade="BF"/>
        </w:rPr>
      </w:pPr>
      <w:r w:rsidRPr="00EF0E6B">
        <w:rPr>
          <w:rFonts w:cs="Arial"/>
        </w:rPr>
        <w:t>At the same time</w:t>
      </w:r>
      <w:r w:rsidR="00523DAB">
        <w:rPr>
          <w:rFonts w:cs="Arial"/>
        </w:rPr>
        <w:t>,</w:t>
      </w:r>
      <w:r w:rsidRPr="00EF0E6B">
        <w:rPr>
          <w:rFonts w:cs="Arial"/>
        </w:rPr>
        <w:t xml:space="preserve"> there was a perception that academics were allowed to run niche modules according to their research interests</w:t>
      </w:r>
      <w:r w:rsidR="00523DAB">
        <w:rPr>
          <w:rFonts w:cs="Arial"/>
        </w:rPr>
        <w:t>,</w:t>
      </w:r>
      <w:r w:rsidRPr="00EF0E6B">
        <w:rPr>
          <w:rFonts w:cs="Arial"/>
        </w:rPr>
        <w:t xml:space="preserve"> regardless of the benefit of that to the programme, with programmes </w:t>
      </w:r>
      <w:r w:rsidR="00523DAB">
        <w:rPr>
          <w:rFonts w:cs="Arial"/>
        </w:rPr>
        <w:t>having</w:t>
      </w:r>
    </w:p>
    <w:p w14:paraId="5BADFFF8" w14:textId="4FA1A599" w:rsidR="00765E64" w:rsidRPr="00EF0E6B" w:rsidRDefault="00765E64" w:rsidP="0003652C">
      <w:pPr>
        <w:spacing w:line="360" w:lineRule="auto"/>
        <w:ind w:left="720"/>
        <w:jc w:val="both"/>
        <w:rPr>
          <w:rFonts w:cs="Arial"/>
          <w:color w:val="000000" w:themeColor="text1"/>
        </w:rPr>
      </w:pPr>
      <w:r w:rsidRPr="00EF0E6B">
        <w:rPr>
          <w:rFonts w:cs="Arial"/>
          <w:color w:val="000000" w:themeColor="text1"/>
        </w:rPr>
        <w:t>modules where it is their baby, or there were three slightly different versions of the same module running. There was a general level of caution here</w:t>
      </w:r>
      <w:r w:rsidR="00AA1A8D">
        <w:rPr>
          <w:rFonts w:cs="Arial"/>
          <w:color w:val="000000" w:themeColor="text1"/>
        </w:rPr>
        <w:t xml:space="preserve"> (S).</w:t>
      </w:r>
    </w:p>
    <w:p w14:paraId="1AB96FFB" w14:textId="04BBE714" w:rsidR="00765E64" w:rsidRPr="00EF0E6B" w:rsidRDefault="00765E64" w:rsidP="0003652C">
      <w:pPr>
        <w:spacing w:line="360" w:lineRule="auto"/>
        <w:jc w:val="both"/>
        <w:rPr>
          <w:rFonts w:cs="Arial"/>
        </w:rPr>
      </w:pPr>
      <w:r w:rsidRPr="00EE4AED">
        <w:rPr>
          <w:rFonts w:cs="Arial"/>
        </w:rPr>
        <w:lastRenderedPageBreak/>
        <w:t>The implications of these findings for course design and access to powerful knowledge are two-fold and conflicting. As discussed by Mc</w:t>
      </w:r>
      <w:r w:rsidR="00424F6F">
        <w:rPr>
          <w:rFonts w:cs="Arial"/>
        </w:rPr>
        <w:t>L</w:t>
      </w:r>
      <w:r w:rsidRPr="00EE4AED">
        <w:rPr>
          <w:rFonts w:cs="Arial"/>
        </w:rPr>
        <w:t>ean et al.</w:t>
      </w:r>
      <w:r w:rsidR="00523DAB">
        <w:rPr>
          <w:rFonts w:cs="Arial"/>
        </w:rPr>
        <w:t>,</w:t>
      </w:r>
      <w:r w:rsidRPr="00EE4AED">
        <w:rPr>
          <w:rFonts w:cs="Arial"/>
        </w:rPr>
        <w:t xml:space="preserve"> optionality could point to improved access to knowledge as students might be perceived to be closer to the source of that new knowledge as researchers present their research in the classroom (Mc</w:t>
      </w:r>
      <w:r w:rsidR="00424F6F">
        <w:rPr>
          <w:rFonts w:cs="Arial"/>
        </w:rPr>
        <w:t>L</w:t>
      </w:r>
      <w:r w:rsidRPr="00EE4AED">
        <w:rPr>
          <w:rFonts w:cs="Arial"/>
        </w:rPr>
        <w:t>ean et al., 201</w:t>
      </w:r>
      <w:r w:rsidR="00AB4DE6" w:rsidRPr="00EE4AED">
        <w:rPr>
          <w:rFonts w:cs="Arial"/>
        </w:rPr>
        <w:t>8</w:t>
      </w:r>
      <w:r w:rsidRPr="00EE4AED">
        <w:rPr>
          <w:rFonts w:cs="Arial"/>
        </w:rPr>
        <w:t>). This is beyond</w:t>
      </w:r>
      <w:r w:rsidR="00523DAB">
        <w:rPr>
          <w:rFonts w:cs="Arial"/>
        </w:rPr>
        <w:t xml:space="preserve"> the scope of</w:t>
      </w:r>
      <w:r w:rsidRPr="00EE4AED">
        <w:rPr>
          <w:rFonts w:cs="Arial"/>
        </w:rPr>
        <w:t xml:space="preserve"> this </w:t>
      </w:r>
      <w:r w:rsidR="00424F6F" w:rsidRPr="00EE4AED">
        <w:rPr>
          <w:rFonts w:cs="Arial"/>
        </w:rPr>
        <w:t>investigation</w:t>
      </w:r>
      <w:r w:rsidR="00424F6F">
        <w:rPr>
          <w:rFonts w:cs="Arial"/>
        </w:rPr>
        <w:t xml:space="preserve"> but</w:t>
      </w:r>
      <w:r w:rsidRPr="00EE4AED">
        <w:rPr>
          <w:rFonts w:cs="Arial"/>
        </w:rPr>
        <w:t xml:space="preserve"> could be investigated further </w:t>
      </w:r>
      <w:r w:rsidR="001B637C">
        <w:rPr>
          <w:rFonts w:cs="Arial"/>
        </w:rPr>
        <w:t>from the perspective of</w:t>
      </w:r>
      <w:r w:rsidRPr="00EE4AED">
        <w:rPr>
          <w:rFonts w:cs="Arial"/>
        </w:rPr>
        <w:t xml:space="preserve"> law students. It is possible that the number of research academics who teach their own</w:t>
      </w:r>
      <w:r w:rsidRPr="00EF0E6B">
        <w:rPr>
          <w:rFonts w:cs="Arial"/>
        </w:rPr>
        <w:t xml:space="preserve"> subject in the classroom or who have any influence on an undergraduate degree may not be </w:t>
      </w:r>
      <w:r w:rsidR="00523DAB">
        <w:rPr>
          <w:rFonts w:cs="Arial"/>
        </w:rPr>
        <w:t>great</w:t>
      </w:r>
      <w:r w:rsidRPr="00EF0E6B">
        <w:rPr>
          <w:rFonts w:cs="Arial"/>
        </w:rPr>
        <w:t xml:space="preserve">. We might also ask </w:t>
      </w:r>
      <w:r w:rsidR="00523DAB">
        <w:rPr>
          <w:rFonts w:cs="Arial"/>
        </w:rPr>
        <w:t>whether</w:t>
      </w:r>
      <w:r w:rsidRPr="00EF0E6B">
        <w:rPr>
          <w:rFonts w:cs="Arial"/>
        </w:rPr>
        <w:t xml:space="preserve"> we have research academics who see themselves as educators</w:t>
      </w:r>
      <w:r w:rsidR="00D1518F">
        <w:rPr>
          <w:rFonts w:cs="Arial"/>
        </w:rPr>
        <w:t xml:space="preserve">, as per the different </w:t>
      </w:r>
      <w:r w:rsidR="00D1518F" w:rsidRPr="00EE4AED">
        <w:rPr>
          <w:rFonts w:cs="Arial"/>
        </w:rPr>
        <w:t xml:space="preserve">identities discussed earlier in </w:t>
      </w:r>
      <w:r w:rsidR="009D5113">
        <w:rPr>
          <w:rFonts w:cs="Arial"/>
        </w:rPr>
        <w:t>C</w:t>
      </w:r>
      <w:r w:rsidR="00D1518F" w:rsidRPr="00EE4AED">
        <w:rPr>
          <w:rFonts w:cs="Arial"/>
        </w:rPr>
        <w:t xml:space="preserve">hapter </w:t>
      </w:r>
      <w:r w:rsidR="009D5113">
        <w:rPr>
          <w:rFonts w:cs="Arial"/>
        </w:rPr>
        <w:t>S</w:t>
      </w:r>
      <w:r w:rsidR="00FB1EA8" w:rsidRPr="00EE4AED">
        <w:rPr>
          <w:rFonts w:cs="Arial"/>
        </w:rPr>
        <w:t xml:space="preserve">ix, </w:t>
      </w:r>
      <w:r w:rsidRPr="00EE4AED">
        <w:rPr>
          <w:rFonts w:cs="Arial"/>
        </w:rPr>
        <w:t xml:space="preserve">and </w:t>
      </w:r>
      <w:r w:rsidR="00FB1EA8" w:rsidRPr="00EE4AED">
        <w:rPr>
          <w:rFonts w:cs="Arial"/>
        </w:rPr>
        <w:t>we might ask whether</w:t>
      </w:r>
      <w:r w:rsidRPr="00EE4AED">
        <w:rPr>
          <w:rFonts w:cs="Arial"/>
        </w:rPr>
        <w:t xml:space="preserve"> good researchers make good teachers. Mc</w:t>
      </w:r>
      <w:r w:rsidR="00424F6F">
        <w:rPr>
          <w:rFonts w:cs="Arial"/>
        </w:rPr>
        <w:t>L</w:t>
      </w:r>
      <w:r w:rsidRPr="00EE4AED">
        <w:rPr>
          <w:rFonts w:cs="Arial"/>
        </w:rPr>
        <w:t xml:space="preserve">ean et al. </w:t>
      </w:r>
      <w:r w:rsidR="00EA7E92" w:rsidRPr="00EE4AED">
        <w:rPr>
          <w:rFonts w:cs="Arial"/>
        </w:rPr>
        <w:t>agree with Barnett</w:t>
      </w:r>
      <w:r w:rsidR="00EA7E92">
        <w:rPr>
          <w:rFonts w:cs="Arial"/>
        </w:rPr>
        <w:t xml:space="preserve"> in </w:t>
      </w:r>
      <w:r w:rsidRPr="00EE4AED">
        <w:rPr>
          <w:rFonts w:cs="Arial"/>
        </w:rPr>
        <w:t>suggest</w:t>
      </w:r>
      <w:r w:rsidR="00EA7E92">
        <w:rPr>
          <w:rFonts w:cs="Arial"/>
        </w:rPr>
        <w:t>ing</w:t>
      </w:r>
      <w:r w:rsidRPr="00EE4AED">
        <w:rPr>
          <w:rFonts w:cs="Arial"/>
        </w:rPr>
        <w:t xml:space="preserve"> that being a researcher </w:t>
      </w:r>
      <w:r w:rsidR="00EA7E92">
        <w:rPr>
          <w:rFonts w:cs="Arial"/>
        </w:rPr>
        <w:t>presents a</w:t>
      </w:r>
      <w:r w:rsidRPr="00EE4AED">
        <w:rPr>
          <w:rFonts w:cs="Arial"/>
        </w:rPr>
        <w:t xml:space="preserve"> ‘strong condition’ for good teaching (</w:t>
      </w:r>
      <w:r w:rsidR="00AB4DE6" w:rsidRPr="00EE4AED">
        <w:rPr>
          <w:rFonts w:cs="Arial"/>
        </w:rPr>
        <w:t xml:space="preserve">Barnett, </w:t>
      </w:r>
      <w:r w:rsidR="00765137" w:rsidRPr="00EE4AED">
        <w:rPr>
          <w:rFonts w:cs="Arial"/>
        </w:rPr>
        <w:t>1999</w:t>
      </w:r>
      <w:r w:rsidR="00AB4DE6" w:rsidRPr="00EE4AED">
        <w:rPr>
          <w:rFonts w:cs="Arial"/>
        </w:rPr>
        <w:t xml:space="preserve">; </w:t>
      </w:r>
      <w:r w:rsidRPr="00EE4AED">
        <w:rPr>
          <w:rFonts w:cs="Arial"/>
        </w:rPr>
        <w:t>Mc</w:t>
      </w:r>
      <w:r w:rsidR="00424F6F">
        <w:rPr>
          <w:rFonts w:cs="Arial"/>
        </w:rPr>
        <w:t>L</w:t>
      </w:r>
      <w:r w:rsidRPr="00EE4AED">
        <w:rPr>
          <w:rFonts w:cs="Arial"/>
        </w:rPr>
        <w:t>ean et al., 201</w:t>
      </w:r>
      <w:r w:rsidR="00AB4DE6" w:rsidRPr="00EE4AED">
        <w:rPr>
          <w:rFonts w:cs="Arial"/>
        </w:rPr>
        <w:t>8</w:t>
      </w:r>
      <w:r w:rsidR="00523DAB">
        <w:rPr>
          <w:rFonts w:cs="Arial"/>
        </w:rPr>
        <w:t>,</w:t>
      </w:r>
      <w:r w:rsidR="00523DAB" w:rsidRPr="00EE4AED">
        <w:rPr>
          <w:rFonts w:cs="Arial"/>
        </w:rPr>
        <w:t xml:space="preserve"> </w:t>
      </w:r>
      <w:r w:rsidRPr="00EE4AED">
        <w:rPr>
          <w:rFonts w:cs="Arial"/>
        </w:rPr>
        <w:t xml:space="preserve">Pg </w:t>
      </w:r>
      <w:r w:rsidR="00AB4DE6" w:rsidRPr="00EE4AED">
        <w:rPr>
          <w:rFonts w:cs="Arial"/>
        </w:rPr>
        <w:t>9</w:t>
      </w:r>
      <w:r w:rsidRPr="00EE4AED">
        <w:rPr>
          <w:rFonts w:cs="Arial"/>
        </w:rPr>
        <w:t xml:space="preserve">8). The findings </w:t>
      </w:r>
      <w:r w:rsidR="00B27C3F">
        <w:rPr>
          <w:rFonts w:cs="Arial"/>
        </w:rPr>
        <w:t>of this investigation are not conclusive. Still, if access to knowledge is, in some sense, tied to the proximity of the student to the researcher, then the move towards more generic, larger</w:t>
      </w:r>
      <w:r w:rsidRPr="00EE4AED">
        <w:rPr>
          <w:rFonts w:cs="Arial"/>
        </w:rPr>
        <w:t xml:space="preserve"> modules is likely to hinder this.</w:t>
      </w:r>
      <w:r w:rsidRPr="00EF0E6B">
        <w:rPr>
          <w:rFonts w:cs="Arial"/>
        </w:rPr>
        <w:t xml:space="preserve"> </w:t>
      </w:r>
    </w:p>
    <w:p w14:paraId="5709B916" w14:textId="3184CF8C" w:rsidR="00765E64" w:rsidRPr="00EF0E6B" w:rsidRDefault="00765E64" w:rsidP="0003652C">
      <w:pPr>
        <w:spacing w:line="360" w:lineRule="auto"/>
        <w:jc w:val="both"/>
        <w:rPr>
          <w:rFonts w:cs="Arial"/>
        </w:rPr>
      </w:pPr>
      <w:r w:rsidRPr="00EF0E6B">
        <w:rPr>
          <w:rFonts w:cs="Arial"/>
        </w:rPr>
        <w:t>On the other hand, the diversity of the options might also provide some insights.  Some extensive documentary research has been done over the past two years</w:t>
      </w:r>
      <w:r w:rsidR="00B27C3F">
        <w:rPr>
          <w:rFonts w:cs="Arial"/>
        </w:rPr>
        <w:t>,</w:t>
      </w:r>
      <w:r w:rsidRPr="00EF0E6B">
        <w:rPr>
          <w:rFonts w:cs="Arial"/>
        </w:rPr>
        <w:t xml:space="preserve"> looking at what this optionality looks like across law schools (Giles &amp; Ang, 2025). This looks at the statistical data about the availability of categories of optional modules and concludes, </w:t>
      </w:r>
    </w:p>
    <w:p w14:paraId="2B0E7715" w14:textId="59751709" w:rsidR="00765E64" w:rsidRPr="00EF0E6B" w:rsidRDefault="00765E64" w:rsidP="0003652C">
      <w:pPr>
        <w:spacing w:line="360" w:lineRule="auto"/>
        <w:ind w:left="720"/>
        <w:jc w:val="both"/>
        <w:rPr>
          <w:rFonts w:cs="Arial"/>
        </w:rPr>
      </w:pPr>
      <w:r w:rsidRPr="00EF0E6B">
        <w:rPr>
          <w:rFonts w:cs="Arial"/>
        </w:rPr>
        <w:t>That the legal curriculum in England and Wales in 2023- 2024 is both diverse, by historic comparison, and yet demonstrates a degree of standardisation despite an increasing number of providers</w:t>
      </w:r>
      <w:r w:rsidR="00B27C3F">
        <w:rPr>
          <w:rFonts w:cs="Arial"/>
        </w:rPr>
        <w:t>.</w:t>
      </w:r>
      <w:r w:rsidRPr="00EF0E6B">
        <w:rPr>
          <w:rFonts w:cs="Arial"/>
        </w:rPr>
        <w:t xml:space="preserve"> </w:t>
      </w:r>
    </w:p>
    <w:p w14:paraId="64FB1E4B" w14:textId="77777777" w:rsidR="00765E64" w:rsidRPr="00EF0E6B" w:rsidRDefault="00765E64" w:rsidP="0003652C">
      <w:pPr>
        <w:spacing w:line="360" w:lineRule="auto"/>
        <w:jc w:val="both"/>
        <w:rPr>
          <w:rFonts w:cs="Arial"/>
        </w:rPr>
      </w:pPr>
      <w:r w:rsidRPr="00EF0E6B">
        <w:rPr>
          <w:rFonts w:cs="Arial"/>
        </w:rPr>
        <w:t>And that</w:t>
      </w:r>
    </w:p>
    <w:p w14:paraId="10C60FE5" w14:textId="379C92F4" w:rsidR="00765E64" w:rsidRPr="00EE4AED" w:rsidRDefault="00765E64" w:rsidP="0003652C">
      <w:pPr>
        <w:spacing w:line="360" w:lineRule="auto"/>
        <w:ind w:left="720"/>
        <w:jc w:val="both"/>
        <w:rPr>
          <w:rFonts w:cs="Arial"/>
        </w:rPr>
      </w:pPr>
      <w:r w:rsidRPr="00EF0E6B">
        <w:rPr>
          <w:rFonts w:cs="Arial"/>
        </w:rPr>
        <w:t xml:space="preserve">Several factors, including the need to appeal to a broad range of potential students - including international students - and limitations on the capacity to adequately resource modules, restrict the overall number of modules </w:t>
      </w:r>
      <w:r w:rsidRPr="00EF0E6B">
        <w:rPr>
          <w:rFonts w:cs="Arial"/>
        </w:rPr>
        <w:lastRenderedPageBreak/>
        <w:t xml:space="preserve">which an institution can provide, likely contributing to the degree of similar </w:t>
      </w:r>
      <w:r w:rsidRPr="00EE4AED">
        <w:rPr>
          <w:rFonts w:cs="Arial"/>
        </w:rPr>
        <w:t>provision. (Giles &amp; Ang, 2025.</w:t>
      </w:r>
      <w:r w:rsidR="00A127F4">
        <w:rPr>
          <w:rFonts w:cs="Arial"/>
        </w:rPr>
        <w:t xml:space="preserve"> p.</w:t>
      </w:r>
      <w:r w:rsidRPr="00EE4AED">
        <w:rPr>
          <w:rFonts w:cs="Arial"/>
        </w:rPr>
        <w:t>20).</w:t>
      </w:r>
    </w:p>
    <w:p w14:paraId="195C8635" w14:textId="18CFE361" w:rsidR="00765E64" w:rsidRPr="00EF0E6B" w:rsidRDefault="00EE7AB8" w:rsidP="0003652C">
      <w:pPr>
        <w:spacing w:line="360" w:lineRule="auto"/>
        <w:jc w:val="both"/>
        <w:rPr>
          <w:rFonts w:cs="Arial"/>
        </w:rPr>
      </w:pPr>
      <w:r w:rsidRPr="00EE4AED">
        <w:rPr>
          <w:rFonts w:cs="Arial"/>
        </w:rPr>
        <w:t>Whether</w:t>
      </w:r>
      <w:r w:rsidR="00765E64" w:rsidRPr="00EE4AED">
        <w:rPr>
          <w:rFonts w:cs="Arial"/>
        </w:rPr>
        <w:t xml:space="preserve"> the elective offering ‘shapes a student</w:t>
      </w:r>
      <w:r w:rsidR="00A127F4">
        <w:rPr>
          <w:rFonts w:cs="Arial"/>
        </w:rPr>
        <w:t>’</w:t>
      </w:r>
      <w:r w:rsidR="00765E64" w:rsidRPr="00EE4AED">
        <w:rPr>
          <w:rFonts w:cs="Arial"/>
        </w:rPr>
        <w:t>s understanding of legal education’ (Giles</w:t>
      </w:r>
      <w:r w:rsidR="00DE6B7D">
        <w:rPr>
          <w:rFonts w:cs="Arial"/>
        </w:rPr>
        <w:t xml:space="preserve"> </w:t>
      </w:r>
      <w:r w:rsidR="00765E64" w:rsidRPr="00EE4AED">
        <w:rPr>
          <w:rFonts w:cs="Arial"/>
        </w:rPr>
        <w:t xml:space="preserve">&amp; Ang, 2025, </w:t>
      </w:r>
      <w:r w:rsidR="00424F6F">
        <w:rPr>
          <w:rFonts w:cs="Arial"/>
        </w:rPr>
        <w:t>p.</w:t>
      </w:r>
      <w:r w:rsidR="00765E64" w:rsidRPr="00EE4AED">
        <w:rPr>
          <w:rFonts w:cs="Arial"/>
        </w:rPr>
        <w:t>21) is an important question here. Mc</w:t>
      </w:r>
      <w:r w:rsidR="00046A61">
        <w:rPr>
          <w:rFonts w:cs="Arial"/>
        </w:rPr>
        <w:t>L</w:t>
      </w:r>
      <w:r w:rsidR="00765E64" w:rsidRPr="00EE4AED">
        <w:rPr>
          <w:rFonts w:cs="Arial"/>
        </w:rPr>
        <w:t>ean et al. question whether a diverse range of optionality within a programme allows for access to higher knowledge (Mc</w:t>
      </w:r>
      <w:r w:rsidR="00046A61">
        <w:rPr>
          <w:rFonts w:cs="Arial"/>
        </w:rPr>
        <w:t>L</w:t>
      </w:r>
      <w:r w:rsidR="00765E64" w:rsidRPr="00EE4AED">
        <w:rPr>
          <w:rFonts w:cs="Arial"/>
        </w:rPr>
        <w:t>ean et al., 201</w:t>
      </w:r>
      <w:r w:rsidR="00765137" w:rsidRPr="00EE4AED">
        <w:rPr>
          <w:rFonts w:cs="Arial"/>
        </w:rPr>
        <w:t>8</w:t>
      </w:r>
      <w:r w:rsidR="00765E64" w:rsidRPr="00EE4AED">
        <w:rPr>
          <w:rFonts w:cs="Arial"/>
        </w:rPr>
        <w:t>). Could this diversity instead dilute the message or understanding</w:t>
      </w:r>
      <w:r w:rsidR="00A127F4">
        <w:rPr>
          <w:rFonts w:cs="Arial"/>
        </w:rPr>
        <w:t>?</w:t>
      </w:r>
      <w:r w:rsidR="00A127F4" w:rsidRPr="00EE4AED">
        <w:rPr>
          <w:rFonts w:cs="Arial"/>
        </w:rPr>
        <w:t xml:space="preserve"> </w:t>
      </w:r>
      <w:r w:rsidR="00765E64" w:rsidRPr="00EE4AED">
        <w:rPr>
          <w:rFonts w:cs="Arial"/>
        </w:rPr>
        <w:t>As previously discussed in relation to the foundations of legal knowledge, this could present</w:t>
      </w:r>
      <w:r w:rsidR="00765E64" w:rsidRPr="00EF0E6B">
        <w:rPr>
          <w:rFonts w:cs="Arial"/>
        </w:rPr>
        <w:t xml:space="preserve"> segmented or collection codes of unrelated knowledge as opposed to an integrated access to higher levels of understanding. </w:t>
      </w:r>
    </w:p>
    <w:p w14:paraId="6AE561B3" w14:textId="79DF1548" w:rsidR="00765E64" w:rsidRPr="00EF0E6B" w:rsidRDefault="00765E64" w:rsidP="0003652C">
      <w:pPr>
        <w:pStyle w:val="Heading2"/>
        <w:spacing w:line="360" w:lineRule="auto"/>
        <w:rPr>
          <w:rFonts w:ascii="Arial" w:hAnsi="Arial" w:cs="Arial"/>
        </w:rPr>
      </w:pPr>
      <w:bookmarkStart w:id="87" w:name="_Toc223348876"/>
      <w:r w:rsidRPr="00EF0E6B">
        <w:rPr>
          <w:rFonts w:ascii="Arial" w:hAnsi="Arial" w:cs="Arial"/>
        </w:rPr>
        <w:t>Module content</w:t>
      </w:r>
      <w:bookmarkEnd w:id="87"/>
    </w:p>
    <w:p w14:paraId="6A7215CB" w14:textId="438946E2" w:rsidR="00765E64" w:rsidRPr="00EF0E6B" w:rsidRDefault="00765E64" w:rsidP="0003652C">
      <w:pPr>
        <w:spacing w:line="360" w:lineRule="auto"/>
        <w:jc w:val="both"/>
        <w:rPr>
          <w:rFonts w:cs="Arial"/>
          <w:color w:val="000000" w:themeColor="text1"/>
        </w:rPr>
      </w:pPr>
      <w:r w:rsidRPr="00EF0E6B">
        <w:rPr>
          <w:rFonts w:cs="Arial"/>
          <w:color w:val="000000" w:themeColor="text1"/>
        </w:rPr>
        <w:t>Related to the above, and specifically the alignment of options to research expertise, is the question of the autonomy of academics</w:t>
      </w:r>
      <w:r w:rsidR="00FB1EA8">
        <w:rPr>
          <w:rFonts w:cs="Arial"/>
          <w:color w:val="000000" w:themeColor="text1"/>
        </w:rPr>
        <w:t xml:space="preserve"> within their own modules</w:t>
      </w:r>
      <w:r w:rsidRPr="00EF0E6B">
        <w:rPr>
          <w:rFonts w:cs="Arial"/>
          <w:color w:val="000000" w:themeColor="text1"/>
        </w:rPr>
        <w:t xml:space="preserve">. Whilst considerations of autonomy in the class might point </w:t>
      </w:r>
      <w:r w:rsidR="00A127F4">
        <w:rPr>
          <w:rFonts w:cs="Arial"/>
          <w:color w:val="000000" w:themeColor="text1"/>
        </w:rPr>
        <w:t xml:space="preserve">to </w:t>
      </w:r>
      <w:r w:rsidRPr="00EF0E6B">
        <w:rPr>
          <w:rFonts w:cs="Arial"/>
          <w:color w:val="000000" w:themeColor="text1"/>
        </w:rPr>
        <w:t xml:space="preserve">the evaluation of that </w:t>
      </w:r>
      <w:r w:rsidR="00A127F4">
        <w:rPr>
          <w:rFonts w:cs="Arial"/>
          <w:color w:val="000000" w:themeColor="text1"/>
        </w:rPr>
        <w:t>learning or the student's understanding, which are outside the scope of this investigation, in higher education, it will, in many cases,</w:t>
      </w:r>
      <w:r w:rsidRPr="00EF0E6B">
        <w:rPr>
          <w:rFonts w:cs="Arial"/>
          <w:color w:val="000000" w:themeColor="text1"/>
        </w:rPr>
        <w:t xml:space="preserve"> also involve decisions about what is taught.  Within this investigation designers across all types of </w:t>
      </w:r>
      <w:r w:rsidR="009B71D2">
        <w:rPr>
          <w:rFonts w:cs="Arial"/>
          <w:color w:val="000000" w:themeColor="text1"/>
        </w:rPr>
        <w:t>school</w:t>
      </w:r>
      <w:r w:rsidR="009B71D2" w:rsidRPr="00EF0E6B">
        <w:rPr>
          <w:rFonts w:cs="Arial"/>
          <w:color w:val="000000" w:themeColor="text1"/>
        </w:rPr>
        <w:t xml:space="preserve"> </w:t>
      </w:r>
      <w:r w:rsidRPr="00EF0E6B">
        <w:rPr>
          <w:rFonts w:cs="Arial"/>
          <w:color w:val="000000" w:themeColor="text1"/>
        </w:rPr>
        <w:t xml:space="preserve">highlighted the tension that often existed between the framing exercise, and so the credit </w:t>
      </w:r>
      <w:r w:rsidR="00EA7E92">
        <w:rPr>
          <w:rFonts w:cs="Arial"/>
          <w:color w:val="000000" w:themeColor="text1"/>
        </w:rPr>
        <w:t>value</w:t>
      </w:r>
      <w:r w:rsidRPr="00EF0E6B">
        <w:rPr>
          <w:rFonts w:cs="Arial"/>
          <w:color w:val="000000" w:themeColor="text1"/>
        </w:rPr>
        <w:t xml:space="preserve"> of the module, the semester length, or the division or combination of subjects within a module, and the perception from the teaching academic, of the acceptable minimum level of ‘content’, answering the question ‘How much law should we teach’.  </w:t>
      </w:r>
      <w:r w:rsidRPr="00EF0E6B">
        <w:rPr>
          <w:rFonts w:cs="Arial"/>
        </w:rPr>
        <w:t xml:space="preserve">The attempts to shift, constrain or add to the content of a module were often seen as impacting on academics’ choice or autonomy over what to teach and the space in which they can do </w:t>
      </w:r>
      <w:r w:rsidR="00A127F4">
        <w:rPr>
          <w:rFonts w:cs="Arial"/>
        </w:rPr>
        <w:t>so.</w:t>
      </w:r>
      <w:r w:rsidRPr="00EF0E6B">
        <w:rPr>
          <w:rFonts w:cs="Arial"/>
        </w:rPr>
        <w:t xml:space="preserve">  Several designers across different categories of </w:t>
      </w:r>
      <w:r w:rsidR="009B71D2">
        <w:rPr>
          <w:rFonts w:cs="Arial"/>
        </w:rPr>
        <w:t>school</w:t>
      </w:r>
      <w:r w:rsidR="009B71D2" w:rsidRPr="00EF0E6B">
        <w:rPr>
          <w:rFonts w:cs="Arial"/>
        </w:rPr>
        <w:t xml:space="preserve"> </w:t>
      </w:r>
      <w:r w:rsidRPr="00EF0E6B">
        <w:rPr>
          <w:rFonts w:cs="Arial"/>
        </w:rPr>
        <w:t xml:space="preserve">saw this as a misplaced reliance on the content, often originating from the very detailed textbooks, or from the academic’s own research. It was often perceived as a misplaced need to cover that content for the module to be valid.  One </w:t>
      </w:r>
      <w:r w:rsidR="00FB1EA8">
        <w:rPr>
          <w:rFonts w:cs="Arial"/>
        </w:rPr>
        <w:t xml:space="preserve">designer commented, </w:t>
      </w:r>
      <w:r w:rsidRPr="00EF0E6B">
        <w:rPr>
          <w:rFonts w:cs="Arial"/>
        </w:rPr>
        <w:t xml:space="preserve"> </w:t>
      </w:r>
    </w:p>
    <w:p w14:paraId="35BB0EBF" w14:textId="04711C21" w:rsidR="00765E64" w:rsidRPr="00EF0E6B" w:rsidRDefault="00765E64" w:rsidP="0003652C">
      <w:pPr>
        <w:spacing w:line="360" w:lineRule="auto"/>
        <w:ind w:left="720"/>
        <w:jc w:val="both"/>
        <w:rPr>
          <w:rFonts w:cs="Arial"/>
          <w:color w:val="000000" w:themeColor="text1"/>
        </w:rPr>
      </w:pPr>
      <w:r w:rsidRPr="00EF0E6B">
        <w:rPr>
          <w:rFonts w:cs="Arial"/>
          <w:color w:val="000000" w:themeColor="text1"/>
        </w:rPr>
        <w:t>It is about working with them to say you are not dumbing down</w:t>
      </w:r>
      <w:r w:rsidR="00A127F4">
        <w:rPr>
          <w:rFonts w:cs="Arial"/>
          <w:color w:val="000000" w:themeColor="text1"/>
        </w:rPr>
        <w:t>,</w:t>
      </w:r>
      <w:r w:rsidRPr="00EF0E6B">
        <w:rPr>
          <w:rFonts w:cs="Arial"/>
          <w:color w:val="000000" w:themeColor="text1"/>
        </w:rPr>
        <w:t xml:space="preserve"> but you need to work on skills – they are not PhD students</w:t>
      </w:r>
      <w:r w:rsidR="00AA1A8D">
        <w:rPr>
          <w:rFonts w:cs="Arial"/>
          <w:color w:val="000000" w:themeColor="text1"/>
        </w:rPr>
        <w:t xml:space="preserve"> (S).</w:t>
      </w:r>
    </w:p>
    <w:p w14:paraId="5D280C0B" w14:textId="7CEE366B" w:rsidR="00765E64" w:rsidRPr="006370E7" w:rsidRDefault="00765E64" w:rsidP="0003652C">
      <w:pPr>
        <w:spacing w:line="360" w:lineRule="auto"/>
        <w:jc w:val="both"/>
        <w:rPr>
          <w:rFonts w:cs="Arial"/>
          <w:color w:val="000000" w:themeColor="text1"/>
        </w:rPr>
      </w:pPr>
      <w:r w:rsidRPr="00EF0E6B">
        <w:rPr>
          <w:rFonts w:cs="Arial"/>
          <w:color w:val="000000" w:themeColor="text1"/>
        </w:rPr>
        <w:lastRenderedPageBreak/>
        <w:t>The impact this had on the design was often evident</w:t>
      </w:r>
      <w:r w:rsidR="00A127F4">
        <w:rPr>
          <w:rFonts w:cs="Arial"/>
          <w:color w:val="000000" w:themeColor="text1"/>
        </w:rPr>
        <w:t>.</w:t>
      </w:r>
    </w:p>
    <w:p w14:paraId="3F33D6F1" w14:textId="143D5284" w:rsidR="00765E64" w:rsidRPr="00EF0E6B" w:rsidRDefault="00765E64" w:rsidP="006370E7">
      <w:pPr>
        <w:spacing w:line="360" w:lineRule="auto"/>
        <w:ind w:left="720"/>
        <w:jc w:val="both"/>
        <w:rPr>
          <w:rFonts w:cs="Arial"/>
          <w:color w:val="000000" w:themeColor="text1"/>
        </w:rPr>
      </w:pPr>
      <w:r w:rsidRPr="00EF0E6B">
        <w:rPr>
          <w:rFonts w:cs="Arial"/>
          <w:color w:val="000000" w:themeColor="text1"/>
        </w:rPr>
        <w:t>It</w:t>
      </w:r>
      <w:r w:rsidR="00A127F4">
        <w:rPr>
          <w:rFonts w:cs="Arial"/>
          <w:color w:val="000000" w:themeColor="text1"/>
        </w:rPr>
        <w:t>’</w:t>
      </w:r>
      <w:r w:rsidRPr="00EF0E6B">
        <w:rPr>
          <w:rFonts w:cs="Arial"/>
          <w:color w:val="000000" w:themeColor="text1"/>
        </w:rPr>
        <w:t>s challenging trying to get people to teach something in one semester – they are throwing up their hands</w:t>
      </w:r>
      <w:r w:rsidR="00A127F4">
        <w:rPr>
          <w:rFonts w:cs="Arial"/>
          <w:color w:val="000000" w:themeColor="text1"/>
        </w:rPr>
        <w:t>,</w:t>
      </w:r>
      <w:r w:rsidRPr="00EF0E6B">
        <w:rPr>
          <w:rFonts w:cs="Arial"/>
          <w:color w:val="000000" w:themeColor="text1"/>
        </w:rPr>
        <w:t xml:space="preserve"> saying, </w:t>
      </w:r>
      <w:r w:rsidR="00FB1EA8">
        <w:rPr>
          <w:rFonts w:cs="Arial"/>
          <w:color w:val="000000" w:themeColor="text1"/>
        </w:rPr>
        <w:t>‘</w:t>
      </w:r>
      <w:r w:rsidRPr="00EF0E6B">
        <w:rPr>
          <w:rFonts w:cs="Arial"/>
          <w:color w:val="000000" w:themeColor="text1"/>
        </w:rPr>
        <w:t>I only have 12 weeks</w:t>
      </w:r>
      <w:r w:rsidR="00FB1EA8">
        <w:rPr>
          <w:rFonts w:cs="Arial"/>
          <w:color w:val="000000" w:themeColor="text1"/>
        </w:rPr>
        <w:t>!</w:t>
      </w:r>
      <w:r w:rsidRPr="00EF0E6B">
        <w:rPr>
          <w:rFonts w:cs="Arial"/>
          <w:color w:val="000000" w:themeColor="text1"/>
        </w:rPr>
        <w:t xml:space="preserve"> I couldn’t possibly teach all of this in 12 weeks.</w:t>
      </w:r>
      <w:r w:rsidR="00FB1EA8">
        <w:rPr>
          <w:rFonts w:cs="Arial"/>
          <w:color w:val="000000" w:themeColor="text1"/>
        </w:rPr>
        <w:t>’</w:t>
      </w:r>
      <w:r w:rsidRPr="00EF0E6B">
        <w:rPr>
          <w:rFonts w:cs="Arial"/>
          <w:color w:val="000000" w:themeColor="text1"/>
        </w:rPr>
        <w:t xml:space="preserve"> It’s getting people to let go of content. It’s a feature of people who teach law that they get rather hung up on content – they feel they need a lot of space to be able to teach content</w:t>
      </w:r>
      <w:r w:rsidR="00AA1A8D">
        <w:rPr>
          <w:rFonts w:cs="Arial"/>
          <w:color w:val="000000" w:themeColor="text1"/>
        </w:rPr>
        <w:t xml:space="preserve"> (WP).</w:t>
      </w:r>
    </w:p>
    <w:p w14:paraId="45857E14" w14:textId="0250D12B" w:rsidR="00EE7AB8" w:rsidRDefault="00765E64" w:rsidP="0003652C">
      <w:pPr>
        <w:spacing w:line="360" w:lineRule="auto"/>
        <w:jc w:val="both"/>
        <w:rPr>
          <w:rFonts w:cs="Arial"/>
          <w:color w:val="000000" w:themeColor="text1"/>
        </w:rPr>
      </w:pPr>
      <w:r w:rsidRPr="00EF0E6B">
        <w:rPr>
          <w:rFonts w:cs="Arial"/>
          <w:color w:val="000000" w:themeColor="text1"/>
        </w:rPr>
        <w:t xml:space="preserve">This is particularly interesting as it might explain the students’ accounts of the law discipline investigated by Reid et al (2006). </w:t>
      </w:r>
      <w:r w:rsidR="00EE7AB8">
        <w:rPr>
          <w:rFonts w:cs="Arial"/>
          <w:color w:val="000000" w:themeColor="text1"/>
        </w:rPr>
        <w:t>Reid’s study is</w:t>
      </w:r>
      <w:r w:rsidRPr="00EF0E6B">
        <w:rPr>
          <w:rFonts w:cs="Arial"/>
          <w:color w:val="000000" w:themeColor="text1"/>
        </w:rPr>
        <w:t xml:space="preserve"> limited </w:t>
      </w:r>
      <w:r w:rsidR="00EE7AB8">
        <w:rPr>
          <w:rFonts w:cs="Arial"/>
          <w:color w:val="000000" w:themeColor="text1"/>
        </w:rPr>
        <w:t>for the purpose of this investigation</w:t>
      </w:r>
      <w:r w:rsidR="00A127F4">
        <w:rPr>
          <w:rFonts w:cs="Arial"/>
          <w:color w:val="000000" w:themeColor="text1"/>
        </w:rPr>
        <w:t>,</w:t>
      </w:r>
      <w:r w:rsidRPr="00EF0E6B">
        <w:rPr>
          <w:rFonts w:cs="Arial"/>
          <w:color w:val="000000" w:themeColor="text1"/>
        </w:rPr>
        <w:t xml:space="preserve"> as it specifically asks students about their discipline from the perspective of expectations of </w:t>
      </w:r>
      <w:r w:rsidR="00FB1EA8">
        <w:rPr>
          <w:rFonts w:cs="Arial"/>
          <w:color w:val="000000" w:themeColor="text1"/>
        </w:rPr>
        <w:t xml:space="preserve">professional </w:t>
      </w:r>
      <w:r w:rsidRPr="00EF0E6B">
        <w:rPr>
          <w:rFonts w:cs="Arial"/>
          <w:color w:val="000000" w:themeColor="text1"/>
        </w:rPr>
        <w:t>practice. Arguably</w:t>
      </w:r>
      <w:r w:rsidR="00A127F4">
        <w:rPr>
          <w:rFonts w:cs="Arial"/>
          <w:color w:val="000000" w:themeColor="text1"/>
        </w:rPr>
        <w:t>,</w:t>
      </w:r>
      <w:r w:rsidR="00EE7AB8">
        <w:rPr>
          <w:rFonts w:cs="Arial"/>
          <w:color w:val="000000" w:themeColor="text1"/>
        </w:rPr>
        <w:t xml:space="preserve"> therefore</w:t>
      </w:r>
      <w:r w:rsidR="00A127F4">
        <w:rPr>
          <w:rFonts w:cs="Arial"/>
          <w:color w:val="000000" w:themeColor="text1"/>
        </w:rPr>
        <w:t>,</w:t>
      </w:r>
      <w:r w:rsidRPr="00EF0E6B">
        <w:rPr>
          <w:rFonts w:cs="Arial"/>
          <w:color w:val="000000" w:themeColor="text1"/>
        </w:rPr>
        <w:t xml:space="preserve"> it is more likely to represent students </w:t>
      </w:r>
      <w:r w:rsidR="00EE7AB8">
        <w:rPr>
          <w:rFonts w:cs="Arial"/>
          <w:color w:val="000000" w:themeColor="text1"/>
        </w:rPr>
        <w:t>who see</w:t>
      </w:r>
      <w:r w:rsidRPr="00EF0E6B">
        <w:rPr>
          <w:rFonts w:cs="Arial"/>
          <w:color w:val="000000" w:themeColor="text1"/>
        </w:rPr>
        <w:t xml:space="preserve"> learning </w:t>
      </w:r>
      <w:r w:rsidR="00EE7AB8">
        <w:rPr>
          <w:rFonts w:cs="Arial"/>
          <w:color w:val="000000" w:themeColor="text1"/>
        </w:rPr>
        <w:t xml:space="preserve">as being </w:t>
      </w:r>
      <w:r w:rsidRPr="00EF0E6B">
        <w:rPr>
          <w:rFonts w:cs="Arial"/>
          <w:color w:val="000000" w:themeColor="text1"/>
        </w:rPr>
        <w:t>about content (or the law) and systems</w:t>
      </w:r>
      <w:r w:rsidR="00EE7AB8">
        <w:rPr>
          <w:rFonts w:cs="Arial"/>
          <w:color w:val="000000" w:themeColor="text1"/>
        </w:rPr>
        <w:t xml:space="preserve">, with a much slower development to seeing study </w:t>
      </w:r>
      <w:r w:rsidRPr="00EF0E6B">
        <w:rPr>
          <w:rFonts w:cs="Arial"/>
          <w:color w:val="000000" w:themeColor="text1"/>
        </w:rPr>
        <w:t xml:space="preserve">as an ‘extension of self’. It highlights the need for further research here across several different law courses, and </w:t>
      </w:r>
      <w:r w:rsidR="00EE7AB8">
        <w:rPr>
          <w:rFonts w:cs="Arial"/>
          <w:color w:val="000000" w:themeColor="text1"/>
        </w:rPr>
        <w:t xml:space="preserve">an extension to research that is </w:t>
      </w:r>
      <w:r w:rsidRPr="00EF0E6B">
        <w:rPr>
          <w:rFonts w:cs="Arial"/>
          <w:color w:val="000000" w:themeColor="text1"/>
        </w:rPr>
        <w:t xml:space="preserve">designed to include those students </w:t>
      </w:r>
      <w:r w:rsidR="00A127F4">
        <w:rPr>
          <w:rFonts w:cs="Arial"/>
          <w:color w:val="000000" w:themeColor="text1"/>
        </w:rPr>
        <w:t>who</w:t>
      </w:r>
      <w:r w:rsidRPr="00EF0E6B">
        <w:rPr>
          <w:rFonts w:cs="Arial"/>
          <w:color w:val="000000" w:themeColor="text1"/>
        </w:rPr>
        <w:t xml:space="preserve"> don’t have practice-based expectations.  </w:t>
      </w:r>
    </w:p>
    <w:p w14:paraId="09FFA9BF" w14:textId="77777777" w:rsidR="00D83239" w:rsidRPr="00EF0E6B" w:rsidRDefault="00D83239" w:rsidP="0003652C">
      <w:pPr>
        <w:spacing w:line="360" w:lineRule="auto"/>
        <w:jc w:val="both"/>
        <w:rPr>
          <w:rFonts w:cs="Arial"/>
          <w:color w:val="000000" w:themeColor="text1"/>
        </w:rPr>
      </w:pPr>
    </w:p>
    <w:p w14:paraId="41CB7C66" w14:textId="3335629D" w:rsidR="00765E64" w:rsidRPr="00D83239" w:rsidRDefault="00765E64" w:rsidP="00D83239">
      <w:pPr>
        <w:pStyle w:val="Heading4"/>
        <w:spacing w:line="360" w:lineRule="auto"/>
        <w:rPr>
          <w:rFonts w:ascii="Arial" w:hAnsi="Arial" w:cs="Arial"/>
        </w:rPr>
      </w:pPr>
      <w:r w:rsidRPr="00EF0E6B">
        <w:rPr>
          <w:rFonts w:ascii="Arial" w:hAnsi="Arial" w:cs="Arial"/>
        </w:rPr>
        <w:t xml:space="preserve">The new Solicitors Qualifying Exam </w:t>
      </w:r>
      <w:r w:rsidR="00077A32">
        <w:rPr>
          <w:rFonts w:ascii="Arial" w:hAnsi="Arial" w:cs="Arial"/>
        </w:rPr>
        <w:t>(SQE)</w:t>
      </w:r>
    </w:p>
    <w:p w14:paraId="05BE9BA8" w14:textId="1A4CCD38" w:rsidR="00765E64" w:rsidRPr="006370E7" w:rsidRDefault="00765E64" w:rsidP="0003652C">
      <w:pPr>
        <w:spacing w:line="360" w:lineRule="auto"/>
        <w:jc w:val="both"/>
        <w:rPr>
          <w:rFonts w:cs="Arial"/>
          <w:color w:val="000000" w:themeColor="text1"/>
        </w:rPr>
      </w:pPr>
      <w:r w:rsidRPr="00EF0E6B">
        <w:rPr>
          <w:rFonts w:cs="Arial"/>
          <w:color w:val="000000" w:themeColor="text1"/>
        </w:rPr>
        <w:t>The solicitors’ qualifying examination is an important focus here</w:t>
      </w:r>
      <w:r w:rsidR="00A127F4">
        <w:rPr>
          <w:rFonts w:cs="Arial"/>
          <w:color w:val="000000" w:themeColor="text1"/>
        </w:rPr>
        <w:t>, both</w:t>
      </w:r>
      <w:r w:rsidRPr="00EF0E6B">
        <w:rPr>
          <w:rFonts w:cs="Arial"/>
          <w:color w:val="000000" w:themeColor="text1"/>
        </w:rPr>
        <w:t xml:space="preserve"> in relation to the classification and framing of the knowledge. It was a prevalent theme in the findings following the earlier discussion around the authenticity of the students</w:t>
      </w:r>
      <w:r w:rsidR="00A127F4">
        <w:rPr>
          <w:rFonts w:cs="Arial"/>
          <w:color w:val="000000" w:themeColor="text1"/>
        </w:rPr>
        <w:t>’</w:t>
      </w:r>
      <w:r w:rsidRPr="00EF0E6B">
        <w:rPr>
          <w:rFonts w:cs="Arial"/>
          <w:color w:val="000000" w:themeColor="text1"/>
        </w:rPr>
        <w:t xml:space="preserve"> learning. The centralised exam was not always something that the students were going to attempt immediately </w:t>
      </w:r>
      <w:r w:rsidR="00A127F4">
        <w:rPr>
          <w:rFonts w:cs="Arial"/>
          <w:color w:val="000000" w:themeColor="text1"/>
        </w:rPr>
        <w:t>on completion of</w:t>
      </w:r>
      <w:r w:rsidRPr="00EF0E6B">
        <w:rPr>
          <w:rFonts w:cs="Arial"/>
          <w:color w:val="000000" w:themeColor="text1"/>
        </w:rPr>
        <w:t xml:space="preserve"> undergraduate study</w:t>
      </w:r>
      <w:r w:rsidR="00A127F4">
        <w:rPr>
          <w:rFonts w:cs="Arial"/>
          <w:color w:val="000000" w:themeColor="text1"/>
        </w:rPr>
        <w:t>. H</w:t>
      </w:r>
      <w:r w:rsidR="00077A32">
        <w:rPr>
          <w:rFonts w:cs="Arial"/>
          <w:color w:val="000000" w:themeColor="text1"/>
        </w:rPr>
        <w:t>owever</w:t>
      </w:r>
      <w:r w:rsidRPr="00EF0E6B">
        <w:rPr>
          <w:rFonts w:cs="Arial"/>
          <w:color w:val="000000" w:themeColor="text1"/>
        </w:rPr>
        <w:t xml:space="preserve">, there was now no formal route or format for further study </w:t>
      </w:r>
      <w:r w:rsidR="00A127F4">
        <w:rPr>
          <w:rFonts w:cs="Arial"/>
          <w:color w:val="000000" w:themeColor="text1"/>
        </w:rPr>
        <w:t>required</w:t>
      </w:r>
      <w:r w:rsidRPr="00EF0E6B">
        <w:rPr>
          <w:rFonts w:cs="Arial"/>
          <w:color w:val="000000" w:themeColor="text1"/>
        </w:rPr>
        <w:t xml:space="preserve"> to pass the </w:t>
      </w:r>
      <w:r w:rsidRPr="00077A32">
        <w:rPr>
          <w:rFonts w:cs="Arial"/>
          <w:color w:val="000000" w:themeColor="text1"/>
        </w:rPr>
        <w:t xml:space="preserve">exam (see discussion </w:t>
      </w:r>
      <w:r w:rsidR="00077A32" w:rsidRPr="00077A32">
        <w:rPr>
          <w:rFonts w:cs="Arial"/>
          <w:color w:val="000000" w:themeColor="text1"/>
        </w:rPr>
        <w:t xml:space="preserve">in </w:t>
      </w:r>
      <w:r w:rsidR="009D5113">
        <w:rPr>
          <w:rFonts w:cs="Arial"/>
          <w:color w:val="000000" w:themeColor="text1"/>
        </w:rPr>
        <w:t>C</w:t>
      </w:r>
      <w:r w:rsidR="00077A32" w:rsidRPr="00077A32">
        <w:rPr>
          <w:rFonts w:cs="Arial"/>
          <w:color w:val="000000" w:themeColor="text1"/>
        </w:rPr>
        <w:t xml:space="preserve">hapter </w:t>
      </w:r>
      <w:r w:rsidR="009D5113">
        <w:rPr>
          <w:rFonts w:cs="Arial"/>
          <w:color w:val="000000" w:themeColor="text1"/>
        </w:rPr>
        <w:t>T</w:t>
      </w:r>
      <w:r w:rsidR="00077A32" w:rsidRPr="00077A32">
        <w:rPr>
          <w:rFonts w:cs="Arial"/>
          <w:color w:val="000000" w:themeColor="text1"/>
        </w:rPr>
        <w:t>wo).</w:t>
      </w:r>
      <w:r w:rsidR="00077A32">
        <w:rPr>
          <w:rFonts w:cs="Arial"/>
          <w:color w:val="000000" w:themeColor="text1"/>
        </w:rPr>
        <w:t xml:space="preserve"> </w:t>
      </w:r>
      <w:r w:rsidRPr="00EF0E6B">
        <w:rPr>
          <w:rFonts w:cs="Arial"/>
          <w:color w:val="000000" w:themeColor="text1"/>
        </w:rPr>
        <w:t>Preparation courses are now emerging</w:t>
      </w:r>
      <w:r w:rsidR="00A127F4">
        <w:rPr>
          <w:rFonts w:cs="Arial"/>
          <w:color w:val="000000" w:themeColor="text1"/>
        </w:rPr>
        <w:t>,</w:t>
      </w:r>
      <w:r w:rsidRPr="00EF0E6B">
        <w:rPr>
          <w:rFonts w:cs="Arial"/>
          <w:color w:val="000000" w:themeColor="text1"/>
        </w:rPr>
        <w:t xml:space="preserve"> offered by </w:t>
      </w:r>
      <w:r w:rsidR="00077A32">
        <w:rPr>
          <w:rFonts w:cs="Arial"/>
          <w:color w:val="000000" w:themeColor="text1"/>
        </w:rPr>
        <w:t xml:space="preserve">both traditional and </w:t>
      </w:r>
      <w:r w:rsidRPr="00EF0E6B">
        <w:rPr>
          <w:rFonts w:cs="Arial"/>
          <w:color w:val="000000" w:themeColor="text1"/>
        </w:rPr>
        <w:t>private providers</w:t>
      </w:r>
      <w:r w:rsidR="00077A32">
        <w:rPr>
          <w:rFonts w:cs="Arial"/>
          <w:color w:val="000000" w:themeColor="text1"/>
        </w:rPr>
        <w:t xml:space="preserve"> as short courses or </w:t>
      </w:r>
      <w:r w:rsidRPr="00EF0E6B">
        <w:rPr>
          <w:rFonts w:cs="Arial"/>
          <w:color w:val="000000" w:themeColor="text1"/>
        </w:rPr>
        <w:t>postgraduate master</w:t>
      </w:r>
      <w:r w:rsidR="00A127F4">
        <w:rPr>
          <w:rFonts w:cs="Arial"/>
          <w:color w:val="000000" w:themeColor="text1"/>
        </w:rPr>
        <w:t>’</w:t>
      </w:r>
      <w:r w:rsidRPr="00EF0E6B">
        <w:rPr>
          <w:rFonts w:cs="Arial"/>
          <w:color w:val="000000" w:themeColor="text1"/>
        </w:rPr>
        <w:t>s</w:t>
      </w:r>
      <w:r w:rsidR="00A127F4">
        <w:rPr>
          <w:rFonts w:cs="Arial"/>
          <w:color w:val="000000" w:themeColor="text1"/>
        </w:rPr>
        <w:t>-</w:t>
      </w:r>
      <w:r w:rsidRPr="00EF0E6B">
        <w:rPr>
          <w:rFonts w:cs="Arial"/>
          <w:color w:val="000000" w:themeColor="text1"/>
        </w:rPr>
        <w:t xml:space="preserve">level study, but there remains a level of uncertainty as to what </w:t>
      </w:r>
      <w:r w:rsidR="00077A32">
        <w:rPr>
          <w:rFonts w:cs="Arial"/>
          <w:color w:val="000000" w:themeColor="text1"/>
        </w:rPr>
        <w:t>will successfully</w:t>
      </w:r>
      <w:r w:rsidRPr="00EF0E6B">
        <w:rPr>
          <w:rFonts w:cs="Arial"/>
          <w:color w:val="000000" w:themeColor="text1"/>
        </w:rPr>
        <w:t xml:space="preserve"> </w:t>
      </w:r>
      <w:r w:rsidR="00CA4832">
        <w:rPr>
          <w:rFonts w:cs="Arial"/>
          <w:color w:val="000000" w:themeColor="text1"/>
        </w:rPr>
        <w:t>re</w:t>
      </w:r>
      <w:r w:rsidRPr="00EF0E6B">
        <w:rPr>
          <w:rFonts w:cs="Arial"/>
          <w:color w:val="000000" w:themeColor="text1"/>
        </w:rPr>
        <w:t>place the old vocational stage of training</w:t>
      </w:r>
      <w:r w:rsidR="00077A32">
        <w:rPr>
          <w:rFonts w:cs="Arial"/>
          <w:color w:val="000000" w:themeColor="text1"/>
        </w:rPr>
        <w:t>. There is also discussion around the</w:t>
      </w:r>
      <w:r w:rsidRPr="00EF0E6B">
        <w:rPr>
          <w:rFonts w:cs="Arial"/>
          <w:color w:val="000000" w:themeColor="text1"/>
        </w:rPr>
        <w:t xml:space="preserve"> extent to which the undergraduate </w:t>
      </w:r>
      <w:r w:rsidRPr="00EF0E6B">
        <w:rPr>
          <w:rFonts w:cs="Arial"/>
          <w:color w:val="000000" w:themeColor="text1"/>
        </w:rPr>
        <w:lastRenderedPageBreak/>
        <w:t xml:space="preserve">courses might adopt elements of the professional learning that was previously situated </w:t>
      </w:r>
      <w:r w:rsidR="00077A32">
        <w:rPr>
          <w:rFonts w:cs="Arial"/>
          <w:color w:val="000000" w:themeColor="text1"/>
        </w:rPr>
        <w:t xml:space="preserve">elsewhere. </w:t>
      </w:r>
      <w:r w:rsidRPr="00EF0E6B">
        <w:rPr>
          <w:rFonts w:cs="Arial"/>
          <w:color w:val="000000" w:themeColor="text1"/>
        </w:rPr>
        <w:t xml:space="preserve"> </w:t>
      </w:r>
    </w:p>
    <w:p w14:paraId="768FC787" w14:textId="399B6083" w:rsidR="00765E64" w:rsidRPr="00EF0E6B" w:rsidRDefault="00765E64" w:rsidP="006370E7">
      <w:pPr>
        <w:spacing w:line="360" w:lineRule="auto"/>
        <w:ind w:left="720"/>
        <w:jc w:val="both"/>
        <w:rPr>
          <w:rFonts w:cs="Arial"/>
        </w:rPr>
      </w:pPr>
      <w:r w:rsidRPr="00EF0E6B">
        <w:rPr>
          <w:rFonts w:cs="Arial"/>
        </w:rPr>
        <w:t>But I suppose that's the kind of paradox, isn't it, with the S</w:t>
      </w:r>
      <w:r w:rsidR="00077A32">
        <w:rPr>
          <w:rFonts w:cs="Arial"/>
        </w:rPr>
        <w:t>olicitors Regulatory Authority’s</w:t>
      </w:r>
      <w:r w:rsidRPr="00EF0E6B">
        <w:rPr>
          <w:rFonts w:cs="Arial"/>
        </w:rPr>
        <w:t xml:space="preserve"> position. </w:t>
      </w:r>
      <w:r w:rsidR="00077A32">
        <w:rPr>
          <w:rFonts w:cs="Arial"/>
        </w:rPr>
        <w:t>Y</w:t>
      </w:r>
      <w:r w:rsidRPr="00EF0E6B">
        <w:rPr>
          <w:rFonts w:cs="Arial"/>
        </w:rPr>
        <w:t>ou know they're not telling us what to do, or they're not prescribing</w:t>
      </w:r>
      <w:r w:rsidR="00077A32">
        <w:rPr>
          <w:rFonts w:cs="Arial"/>
        </w:rPr>
        <w:t xml:space="preserve"> it</w:t>
      </w:r>
      <w:r w:rsidRPr="00EF0E6B">
        <w:rPr>
          <w:rFonts w:cs="Arial"/>
        </w:rPr>
        <w:t>, but we know that students, if they're going to get through SQE1(first stage of the solicitors qualifying exam), they do have to do this whole list of things or be prepared to answer questions in that area</w:t>
      </w:r>
      <w:r w:rsidR="00AA1A8D">
        <w:rPr>
          <w:rFonts w:cs="Arial"/>
        </w:rPr>
        <w:t xml:space="preserve"> (SS).</w:t>
      </w:r>
    </w:p>
    <w:p w14:paraId="04E66C79" w14:textId="2208CA9D" w:rsidR="00765E64" w:rsidRPr="00EF0E6B" w:rsidRDefault="00765E64" w:rsidP="0003652C">
      <w:pPr>
        <w:spacing w:line="360" w:lineRule="auto"/>
        <w:jc w:val="both"/>
        <w:rPr>
          <w:rFonts w:cs="Arial"/>
        </w:rPr>
      </w:pPr>
      <w:r w:rsidRPr="00EF0E6B">
        <w:rPr>
          <w:rFonts w:cs="Arial"/>
        </w:rPr>
        <w:t xml:space="preserve">Added to this uncertainty is a threat of a new form of performance rating or league table for those </w:t>
      </w:r>
      <w:r w:rsidR="009B71D2">
        <w:rPr>
          <w:rFonts w:cs="Arial"/>
        </w:rPr>
        <w:t>school</w:t>
      </w:r>
      <w:r w:rsidR="009B71D2" w:rsidRPr="00EF0E6B">
        <w:rPr>
          <w:rFonts w:cs="Arial"/>
        </w:rPr>
        <w:t xml:space="preserve">s </w:t>
      </w:r>
      <w:r w:rsidRPr="00EF0E6B">
        <w:rPr>
          <w:rFonts w:cs="Arial"/>
        </w:rPr>
        <w:t>that promote SQE</w:t>
      </w:r>
      <w:r w:rsidR="00A127F4">
        <w:rPr>
          <w:rFonts w:cs="Arial"/>
        </w:rPr>
        <w:t>-</w:t>
      </w:r>
      <w:r w:rsidRPr="00EF0E6B">
        <w:rPr>
          <w:rFonts w:cs="Arial"/>
        </w:rPr>
        <w:t>ready programmes, as the marketing of courses will begin to reference pass rates, and the Solicitors Regulat</w:t>
      </w:r>
      <w:r w:rsidR="00077A32">
        <w:rPr>
          <w:rFonts w:cs="Arial"/>
        </w:rPr>
        <w:t>ory</w:t>
      </w:r>
      <w:r w:rsidRPr="00EF0E6B">
        <w:rPr>
          <w:rFonts w:cs="Arial"/>
        </w:rPr>
        <w:t xml:space="preserve"> Authority ha</w:t>
      </w:r>
      <w:r w:rsidR="00A127F4">
        <w:rPr>
          <w:rFonts w:cs="Arial"/>
        </w:rPr>
        <w:t>s</w:t>
      </w:r>
      <w:r w:rsidRPr="00EF0E6B">
        <w:rPr>
          <w:rFonts w:cs="Arial"/>
        </w:rPr>
        <w:t xml:space="preserve"> proposed publishing this data. This provided more anxiety for designers as they would have to be mindful of what they called the course, or claimed the course could do, with one talking about ‘tilting the foundation of legal education that way’ but also being concerned about allowing the SQE to take over and referring to ‘the mental gymnastics over what you call it’.</w:t>
      </w:r>
    </w:p>
    <w:p w14:paraId="2136B6F9" w14:textId="7C5425DC" w:rsidR="00765E64" w:rsidRPr="00EF0E6B" w:rsidRDefault="00765E64" w:rsidP="0003652C">
      <w:pPr>
        <w:spacing w:line="360" w:lineRule="auto"/>
        <w:jc w:val="both"/>
        <w:rPr>
          <w:rFonts w:cs="Arial"/>
          <w:color w:val="000000" w:themeColor="text1"/>
        </w:rPr>
      </w:pPr>
      <w:r w:rsidRPr="00EF0E6B">
        <w:rPr>
          <w:rFonts w:cs="Arial"/>
        </w:rPr>
        <w:t xml:space="preserve">The SQE had only a small impact on the classification of content in most </w:t>
      </w:r>
      <w:r w:rsidR="009B71D2">
        <w:rPr>
          <w:rFonts w:cs="Arial"/>
        </w:rPr>
        <w:t>school</w:t>
      </w:r>
      <w:r w:rsidR="009B71D2" w:rsidRPr="00EF0E6B">
        <w:rPr>
          <w:rFonts w:cs="Arial"/>
        </w:rPr>
        <w:t xml:space="preserve">s </w:t>
      </w:r>
      <w:r w:rsidRPr="00EF0E6B">
        <w:rPr>
          <w:rFonts w:cs="Arial"/>
        </w:rPr>
        <w:t xml:space="preserve">for this reason. There were some </w:t>
      </w:r>
      <w:r w:rsidR="00A127F4">
        <w:rPr>
          <w:rFonts w:cs="Arial"/>
        </w:rPr>
        <w:t>minor</w:t>
      </w:r>
      <w:r w:rsidRPr="00EF0E6B">
        <w:rPr>
          <w:rFonts w:cs="Arial"/>
        </w:rPr>
        <w:t xml:space="preserve"> changes to modules designed to provide students with an insight into the more professionally based areas that the SQE assessed, such as the inclusion of business law within aspects of the core, and some ‘pre-preparatory’ modules in the final year of study that introduced elements of professional learning. Generally, however</w:t>
      </w:r>
      <w:r w:rsidR="00A127F4">
        <w:rPr>
          <w:rFonts w:cs="Arial"/>
        </w:rPr>
        <w:t>,</w:t>
      </w:r>
      <w:r w:rsidRPr="00EF0E6B">
        <w:rPr>
          <w:rFonts w:cs="Arial"/>
        </w:rPr>
        <w:t xml:space="preserve"> the undergraduate programmes </w:t>
      </w:r>
      <w:r w:rsidR="00C75828">
        <w:rPr>
          <w:rFonts w:cs="Arial"/>
        </w:rPr>
        <w:t>did</w:t>
      </w:r>
      <w:r w:rsidRPr="00EF0E6B">
        <w:rPr>
          <w:rFonts w:cs="Arial"/>
        </w:rPr>
        <w:t xml:space="preserve"> not </w:t>
      </w:r>
      <w:r w:rsidR="00C75828" w:rsidRPr="00EF0E6B">
        <w:rPr>
          <w:rFonts w:cs="Arial"/>
        </w:rPr>
        <w:t>propos</w:t>
      </w:r>
      <w:r w:rsidR="00C75828">
        <w:rPr>
          <w:rFonts w:cs="Arial"/>
        </w:rPr>
        <w:t>e</w:t>
      </w:r>
      <w:r w:rsidR="00C75828" w:rsidRPr="00EF0E6B">
        <w:rPr>
          <w:rFonts w:cs="Arial"/>
        </w:rPr>
        <w:t xml:space="preserve"> </w:t>
      </w:r>
      <w:r w:rsidR="00C75828">
        <w:rPr>
          <w:rFonts w:cs="Arial"/>
        </w:rPr>
        <w:t>delivering</w:t>
      </w:r>
      <w:r w:rsidRPr="00EF0E6B">
        <w:rPr>
          <w:rFonts w:cs="Arial"/>
        </w:rPr>
        <w:t xml:space="preserve"> full preparatory programmes.</w:t>
      </w:r>
    </w:p>
    <w:p w14:paraId="2C6570E2" w14:textId="6BAE7E83" w:rsidR="00765E64" w:rsidRPr="00EF0E6B" w:rsidRDefault="00765E64" w:rsidP="0003652C">
      <w:pPr>
        <w:spacing w:line="360" w:lineRule="auto"/>
        <w:jc w:val="both"/>
        <w:rPr>
          <w:rFonts w:cs="Arial"/>
        </w:rPr>
      </w:pPr>
      <w:r w:rsidRPr="00EF0E6B">
        <w:rPr>
          <w:rFonts w:cs="Arial"/>
          <w:color w:val="000000" w:themeColor="text1"/>
        </w:rPr>
        <w:t xml:space="preserve">Whilst the SQE had a small impact on the content of the degree, it was discussed in the context of a further impact and the framing of the pedagogy, </w:t>
      </w:r>
      <w:r w:rsidRPr="00EF0E6B">
        <w:rPr>
          <w:rFonts w:cs="Arial"/>
        </w:rPr>
        <w:t>or the nature of the control over the selection of communication, sequencing, pacing and criteria that takes place in the design of a degree, and so ‘Who controls what’ (Bernstein, 2000,</w:t>
      </w:r>
      <w:r w:rsidR="00CD6E72">
        <w:rPr>
          <w:rFonts w:cs="Arial"/>
        </w:rPr>
        <w:t xml:space="preserve"> p.</w:t>
      </w:r>
      <w:r w:rsidRPr="00EF0E6B">
        <w:rPr>
          <w:rFonts w:cs="Arial"/>
        </w:rPr>
        <w:t>12). The new centralised SQE was based largely on multiple</w:t>
      </w:r>
      <w:r w:rsidR="00C75828">
        <w:rPr>
          <w:rFonts w:cs="Arial"/>
        </w:rPr>
        <w:t>-</w:t>
      </w:r>
      <w:r w:rsidRPr="00EF0E6B">
        <w:rPr>
          <w:rFonts w:cs="Arial"/>
        </w:rPr>
        <w:t xml:space="preserve">choice questions. Bernstein’s evaluative </w:t>
      </w:r>
      <w:r w:rsidR="00765137">
        <w:rPr>
          <w:rFonts w:cs="Arial"/>
        </w:rPr>
        <w:t xml:space="preserve">or reproductive </w:t>
      </w:r>
      <w:r w:rsidRPr="00EF0E6B">
        <w:rPr>
          <w:rFonts w:cs="Arial"/>
        </w:rPr>
        <w:t xml:space="preserve">third stage in the pedagogic device is more generally concerned with </w:t>
      </w:r>
      <w:r w:rsidR="00CF33EE">
        <w:rPr>
          <w:rFonts w:cs="Arial"/>
        </w:rPr>
        <w:t>how</w:t>
      </w:r>
      <w:r w:rsidRPr="00EF0E6B">
        <w:rPr>
          <w:rFonts w:cs="Arial"/>
        </w:rPr>
        <w:t xml:space="preserve"> students acquire </w:t>
      </w:r>
      <w:r w:rsidRPr="00EF0E6B">
        <w:rPr>
          <w:rFonts w:cs="Arial"/>
        </w:rPr>
        <w:lastRenderedPageBreak/>
        <w:t>understanding</w:t>
      </w:r>
      <w:r w:rsidR="00CF33EE">
        <w:rPr>
          <w:rFonts w:cs="Arial"/>
        </w:rPr>
        <w:t>.</w:t>
      </w:r>
      <w:r w:rsidRPr="00EF0E6B">
        <w:rPr>
          <w:rFonts w:cs="Arial"/>
        </w:rPr>
        <w:t xml:space="preserve"> </w:t>
      </w:r>
      <w:r w:rsidR="00CF33EE">
        <w:rPr>
          <w:rFonts w:cs="Arial"/>
        </w:rPr>
        <w:t>A</w:t>
      </w:r>
      <w:r w:rsidR="00CF33EE" w:rsidRPr="00EF0E6B">
        <w:rPr>
          <w:rFonts w:cs="Arial"/>
        </w:rPr>
        <w:t xml:space="preserve">s </w:t>
      </w:r>
      <w:r w:rsidRPr="00EF0E6B">
        <w:rPr>
          <w:rFonts w:cs="Arial"/>
        </w:rPr>
        <w:t>a means of assessment</w:t>
      </w:r>
      <w:r w:rsidR="00CF33EE">
        <w:rPr>
          <w:rFonts w:cs="Arial"/>
        </w:rPr>
        <w:t>,</w:t>
      </w:r>
      <w:r w:rsidRPr="00EF0E6B">
        <w:rPr>
          <w:rFonts w:cs="Arial"/>
        </w:rPr>
        <w:t xml:space="preserve"> this might fall to be considered at that stage, but the focus here is on the undergraduate degree, whilst the SQE is an externally set exam. It is arguably having an impact on the design of the degree because of </w:t>
      </w:r>
      <w:r w:rsidR="00CF33EE">
        <w:rPr>
          <w:rFonts w:cs="Arial"/>
        </w:rPr>
        <w:t xml:space="preserve">the </w:t>
      </w:r>
      <w:r w:rsidRPr="00EF0E6B">
        <w:rPr>
          <w:rFonts w:cs="Arial"/>
        </w:rPr>
        <w:t xml:space="preserve">nature of the multiple-choice </w:t>
      </w:r>
      <w:r w:rsidR="00B80AC9">
        <w:rPr>
          <w:rFonts w:cs="Arial"/>
        </w:rPr>
        <w:t>questions (MCQs)</w:t>
      </w:r>
      <w:r w:rsidRPr="00EF0E6B">
        <w:rPr>
          <w:rFonts w:cs="Arial"/>
        </w:rPr>
        <w:t xml:space="preserve"> and the perceived need to prepare students for these as a necessary skill as well as content. It therefore is having an impact on the recontextuali</w:t>
      </w:r>
      <w:r w:rsidR="00CF33EE">
        <w:rPr>
          <w:rFonts w:cs="Arial"/>
        </w:rPr>
        <w:t>s</w:t>
      </w:r>
      <w:r w:rsidRPr="00EF0E6B">
        <w:rPr>
          <w:rFonts w:cs="Arial"/>
        </w:rPr>
        <w:t>ation of knowledge, in the form of the framing of learning at this stag</w:t>
      </w:r>
      <w:r w:rsidR="00CF33EE">
        <w:rPr>
          <w:rFonts w:cs="Arial"/>
        </w:rPr>
        <w:t>e.</w:t>
      </w:r>
    </w:p>
    <w:p w14:paraId="4AA8622C" w14:textId="2BAB4E42" w:rsidR="00765E64" w:rsidRPr="00EF0E6B" w:rsidRDefault="00765E64" w:rsidP="0003652C">
      <w:pPr>
        <w:spacing w:before="120" w:line="360" w:lineRule="auto"/>
        <w:jc w:val="both"/>
        <w:rPr>
          <w:rFonts w:cs="Arial"/>
        </w:rPr>
      </w:pPr>
      <w:r w:rsidRPr="00EF0E6B">
        <w:rPr>
          <w:rFonts w:cs="Arial"/>
        </w:rPr>
        <w:t xml:space="preserve">As with considerations as to the classification of the knowledge, and the non-disciplinary impact </w:t>
      </w:r>
      <w:r w:rsidR="00077A32">
        <w:rPr>
          <w:rFonts w:cs="Arial"/>
        </w:rPr>
        <w:t xml:space="preserve">that follows in </w:t>
      </w:r>
      <w:r w:rsidR="009D5113">
        <w:rPr>
          <w:rFonts w:cs="Arial"/>
        </w:rPr>
        <w:t>C</w:t>
      </w:r>
      <w:r w:rsidR="00077A32">
        <w:rPr>
          <w:rFonts w:cs="Arial"/>
        </w:rPr>
        <w:t xml:space="preserve">hapter </w:t>
      </w:r>
      <w:r w:rsidR="009D5113">
        <w:rPr>
          <w:rFonts w:cs="Arial"/>
        </w:rPr>
        <w:t>E</w:t>
      </w:r>
      <w:r w:rsidR="00077A32">
        <w:rPr>
          <w:rFonts w:cs="Arial"/>
        </w:rPr>
        <w:t>ight</w:t>
      </w:r>
      <w:r w:rsidRPr="00EF0E6B">
        <w:rPr>
          <w:rFonts w:cs="Arial"/>
        </w:rPr>
        <w:t>, here there is a lot of emphasis in the findings on both equipping the students with what they needed to progress through their degree, as well as on future proofing them for what happens beyond it, and the SQE was a prevalent theme within this.</w:t>
      </w:r>
    </w:p>
    <w:p w14:paraId="5F6C3C84" w14:textId="68742842" w:rsidR="00765E64" w:rsidRPr="00EF0E6B" w:rsidRDefault="00765E64" w:rsidP="0003652C">
      <w:pPr>
        <w:spacing w:before="120" w:line="360" w:lineRule="auto"/>
        <w:jc w:val="both"/>
        <w:rPr>
          <w:rFonts w:cs="Arial"/>
        </w:rPr>
      </w:pPr>
      <w:r w:rsidRPr="00EF0E6B">
        <w:rPr>
          <w:rFonts w:cs="Arial"/>
        </w:rPr>
        <w:t xml:space="preserve">Within all categories of </w:t>
      </w:r>
      <w:r w:rsidR="009B71D2">
        <w:rPr>
          <w:rFonts w:cs="Arial"/>
        </w:rPr>
        <w:t>school</w:t>
      </w:r>
      <w:r w:rsidR="00CF33EE">
        <w:rPr>
          <w:rFonts w:cs="Arial"/>
        </w:rPr>
        <w:t>,</w:t>
      </w:r>
      <w:r w:rsidR="009B71D2" w:rsidRPr="00EF0E6B">
        <w:rPr>
          <w:rFonts w:cs="Arial"/>
        </w:rPr>
        <w:t xml:space="preserve"> </w:t>
      </w:r>
      <w:r w:rsidRPr="00EF0E6B">
        <w:rPr>
          <w:rFonts w:cs="Arial"/>
        </w:rPr>
        <w:t>there was evidence that th</w:t>
      </w:r>
      <w:r w:rsidR="00077A32">
        <w:rPr>
          <w:rFonts w:cs="Arial"/>
        </w:rPr>
        <w:t>ere we</w:t>
      </w:r>
      <w:r w:rsidR="00CF33EE">
        <w:rPr>
          <w:rFonts w:cs="Arial"/>
        </w:rPr>
        <w:t>re</w:t>
      </w:r>
      <w:r w:rsidR="00077A32">
        <w:rPr>
          <w:rFonts w:cs="Arial"/>
        </w:rPr>
        <w:t xml:space="preserve"> some changes to the assessment types to align them with the multiple-choice design of the SQE. These changes</w:t>
      </w:r>
      <w:r w:rsidRPr="00EF0E6B">
        <w:rPr>
          <w:rFonts w:cs="Arial"/>
        </w:rPr>
        <w:t xml:space="preserve"> </w:t>
      </w:r>
      <w:r w:rsidR="00CF33EE">
        <w:rPr>
          <w:rFonts w:cs="Arial"/>
        </w:rPr>
        <w:t>were considered only ‘to be authentic’ to the students’ likely experience going forward, and the incorporation of multiple-choice questions was not intended to align</w:t>
      </w:r>
      <w:r w:rsidRPr="00EF0E6B">
        <w:rPr>
          <w:rFonts w:cs="Arial"/>
        </w:rPr>
        <w:t xml:space="preserve"> with the exam</w:t>
      </w:r>
      <w:r w:rsidR="00CF33EE">
        <w:rPr>
          <w:rFonts w:cs="Arial"/>
        </w:rPr>
        <w:t xml:space="preserve"> directly</w:t>
      </w:r>
      <w:r w:rsidRPr="00EF0E6B">
        <w:rPr>
          <w:rFonts w:cs="Arial"/>
        </w:rPr>
        <w:t xml:space="preserve">, but to introduce the students to the </w:t>
      </w:r>
      <w:r w:rsidR="00077A32">
        <w:rPr>
          <w:rFonts w:cs="Arial"/>
        </w:rPr>
        <w:t>type of assessment</w:t>
      </w:r>
      <w:r w:rsidRPr="00EF0E6B">
        <w:rPr>
          <w:rFonts w:cs="Arial"/>
        </w:rPr>
        <w:t xml:space="preserve">. Most of the </w:t>
      </w:r>
      <w:r w:rsidR="009B71D2">
        <w:rPr>
          <w:rFonts w:cs="Arial"/>
        </w:rPr>
        <w:t>school</w:t>
      </w:r>
      <w:r w:rsidR="009B71D2" w:rsidRPr="00EF0E6B">
        <w:rPr>
          <w:rFonts w:cs="Arial"/>
        </w:rPr>
        <w:t xml:space="preserve">s </w:t>
      </w:r>
      <w:r w:rsidRPr="00EF0E6B">
        <w:rPr>
          <w:rFonts w:cs="Arial"/>
        </w:rPr>
        <w:t xml:space="preserve">had been going through the process of design at different stages post the </w:t>
      </w:r>
      <w:r w:rsidR="00077A32">
        <w:rPr>
          <w:rFonts w:cs="Arial"/>
        </w:rPr>
        <w:t>finalisation</w:t>
      </w:r>
      <w:r w:rsidRPr="00EF0E6B">
        <w:rPr>
          <w:rFonts w:cs="Arial"/>
        </w:rPr>
        <w:t xml:space="preserve"> </w:t>
      </w:r>
      <w:r w:rsidR="00CF33EE">
        <w:rPr>
          <w:rFonts w:cs="Arial"/>
        </w:rPr>
        <w:t xml:space="preserve">of </w:t>
      </w:r>
      <w:r w:rsidRPr="00EF0E6B">
        <w:rPr>
          <w:rFonts w:cs="Arial"/>
        </w:rPr>
        <w:t>the changes</w:t>
      </w:r>
      <w:r w:rsidR="00CF33EE">
        <w:rPr>
          <w:rFonts w:cs="Arial"/>
        </w:rPr>
        <w:t>,</w:t>
      </w:r>
      <w:r w:rsidRPr="00EF0E6B">
        <w:rPr>
          <w:rFonts w:cs="Arial"/>
        </w:rPr>
        <w:t xml:space="preserve"> and </w:t>
      </w:r>
      <w:r w:rsidR="00077A32">
        <w:rPr>
          <w:rFonts w:cs="Arial"/>
        </w:rPr>
        <w:t xml:space="preserve">there </w:t>
      </w:r>
      <w:r w:rsidRPr="00EF0E6B">
        <w:rPr>
          <w:rFonts w:cs="Arial"/>
        </w:rPr>
        <w:t xml:space="preserve">this was a theme for consideration. This projected perspective on the future proofing of the students was more evident in the widening participation </w:t>
      </w:r>
      <w:r w:rsidR="009B71D2">
        <w:rPr>
          <w:rFonts w:cs="Arial"/>
        </w:rPr>
        <w:t>school</w:t>
      </w:r>
      <w:r w:rsidR="009B71D2" w:rsidRPr="00EF0E6B">
        <w:rPr>
          <w:rFonts w:cs="Arial"/>
        </w:rPr>
        <w:t xml:space="preserve">s </w:t>
      </w:r>
      <w:r w:rsidRPr="00EF0E6B">
        <w:rPr>
          <w:rFonts w:cs="Arial"/>
        </w:rPr>
        <w:t xml:space="preserve">than in other types of </w:t>
      </w:r>
      <w:r w:rsidR="009B71D2">
        <w:rPr>
          <w:rFonts w:cs="Arial"/>
        </w:rPr>
        <w:t>school</w:t>
      </w:r>
      <w:r w:rsidRPr="00EF0E6B">
        <w:rPr>
          <w:rFonts w:cs="Arial"/>
        </w:rPr>
        <w:t>, with one designer referring to what was seen as ‘a zero-sum game’ and to the devastating impact the SQE has had on students with widening participation backgrounds. This has been well documented. The impact of the exam, which has had its first few cohorts</w:t>
      </w:r>
      <w:r w:rsidR="00721DC3">
        <w:rPr>
          <w:rFonts w:cs="Arial"/>
        </w:rPr>
        <w:t>,</w:t>
      </w:r>
      <w:r w:rsidRPr="00EF0E6B">
        <w:rPr>
          <w:rFonts w:cs="Arial"/>
        </w:rPr>
        <w:t xml:space="preserve"> has been considered</w:t>
      </w:r>
      <w:r w:rsidR="00721DC3">
        <w:rPr>
          <w:rFonts w:cs="Arial"/>
        </w:rPr>
        <w:t>.</w:t>
      </w:r>
      <w:r w:rsidRPr="00EF0E6B">
        <w:rPr>
          <w:rFonts w:cs="Arial"/>
        </w:rPr>
        <w:t xml:space="preserve"> </w:t>
      </w:r>
      <w:r w:rsidR="00721DC3">
        <w:rPr>
          <w:rFonts w:cs="Arial"/>
        </w:rPr>
        <w:t>D</w:t>
      </w:r>
      <w:r w:rsidR="00721DC3" w:rsidRPr="00EF0E6B">
        <w:rPr>
          <w:rFonts w:cs="Arial"/>
        </w:rPr>
        <w:t xml:space="preserve">espite </w:t>
      </w:r>
      <w:r w:rsidRPr="00EF0E6B">
        <w:rPr>
          <w:rFonts w:cs="Arial"/>
        </w:rPr>
        <w:t>a positive review by the regulatory authority, there is some disquiet over the level of inequality in the attainment levels across different cohorts of student</w:t>
      </w:r>
      <w:r w:rsidR="00721DC3">
        <w:rPr>
          <w:rFonts w:cs="Arial"/>
        </w:rPr>
        <w:t>s</w:t>
      </w:r>
      <w:r w:rsidRPr="00EF0E6B">
        <w:rPr>
          <w:rFonts w:cs="Arial"/>
        </w:rPr>
        <w:t xml:space="preserve"> (Duffin, 2025).</w:t>
      </w:r>
    </w:p>
    <w:p w14:paraId="65E25A09" w14:textId="3716BDEC" w:rsidR="00765E64" w:rsidRPr="00EF0E6B" w:rsidRDefault="00765E64" w:rsidP="0003652C">
      <w:pPr>
        <w:spacing w:before="120" w:line="360" w:lineRule="auto"/>
        <w:jc w:val="both"/>
        <w:rPr>
          <w:rFonts w:cs="Arial"/>
        </w:rPr>
      </w:pPr>
      <w:r w:rsidRPr="00EF0E6B">
        <w:rPr>
          <w:rFonts w:cs="Arial"/>
        </w:rPr>
        <w:t>One designer stressed that they were transparent in the changes they made to the students</w:t>
      </w:r>
      <w:r w:rsidR="00721DC3">
        <w:rPr>
          <w:rFonts w:cs="Arial"/>
        </w:rPr>
        <w:t>,</w:t>
      </w:r>
      <w:r w:rsidRPr="00EF0E6B">
        <w:rPr>
          <w:rFonts w:cs="Arial"/>
        </w:rPr>
        <w:t xml:space="preserve"> in that this was not what they regarded as a good learning process, but th</w:t>
      </w:r>
      <w:r w:rsidR="00B80AC9">
        <w:rPr>
          <w:rFonts w:cs="Arial"/>
        </w:rPr>
        <w:t>at the students</w:t>
      </w:r>
      <w:r w:rsidRPr="00EF0E6B">
        <w:rPr>
          <w:rFonts w:cs="Arial"/>
        </w:rPr>
        <w:t xml:space="preserve"> needed to be ready for them</w:t>
      </w:r>
      <w:r w:rsidR="00B80AC9">
        <w:rPr>
          <w:rFonts w:cs="Arial"/>
        </w:rPr>
        <w:t>,</w:t>
      </w:r>
    </w:p>
    <w:p w14:paraId="51B032E3" w14:textId="6F971054" w:rsidR="00765E64" w:rsidRPr="00EF0E6B" w:rsidRDefault="00765E64" w:rsidP="006370E7">
      <w:pPr>
        <w:spacing w:before="120" w:line="360" w:lineRule="auto"/>
        <w:ind w:left="720"/>
        <w:jc w:val="both"/>
        <w:rPr>
          <w:rFonts w:cs="Arial"/>
        </w:rPr>
      </w:pPr>
      <w:r w:rsidRPr="00EF0E6B">
        <w:rPr>
          <w:rFonts w:cs="Arial"/>
        </w:rPr>
        <w:lastRenderedPageBreak/>
        <w:t xml:space="preserve">None of us actually thought MCQs were particularly good at testing </w:t>
      </w:r>
      <w:r w:rsidR="00721DC3">
        <w:rPr>
          <w:rFonts w:cs="Arial"/>
        </w:rPr>
        <w:t>anything,</w:t>
      </w:r>
      <w:r w:rsidRPr="00EF0E6B">
        <w:rPr>
          <w:rFonts w:cs="Arial"/>
        </w:rPr>
        <w:t xml:space="preserve"> and that’s not why they were there. We were explicit to the students – they are there to give you the experience</w:t>
      </w:r>
      <w:r w:rsidR="00AA1A8D">
        <w:rPr>
          <w:rFonts w:cs="Arial"/>
        </w:rPr>
        <w:t xml:space="preserve"> (WP).</w:t>
      </w:r>
    </w:p>
    <w:p w14:paraId="777F5C8E" w14:textId="50F03786" w:rsidR="00765E64" w:rsidRPr="00EF0E6B" w:rsidRDefault="00765E64" w:rsidP="0003652C">
      <w:pPr>
        <w:spacing w:before="120" w:line="360" w:lineRule="auto"/>
        <w:jc w:val="both"/>
        <w:rPr>
          <w:rFonts w:cs="Arial"/>
        </w:rPr>
      </w:pPr>
      <w:r w:rsidRPr="00EF0E6B">
        <w:rPr>
          <w:rFonts w:cs="Arial"/>
        </w:rPr>
        <w:t>Often</w:t>
      </w:r>
      <w:r w:rsidR="00721DC3">
        <w:rPr>
          <w:rFonts w:cs="Arial"/>
        </w:rPr>
        <w:t>,</w:t>
      </w:r>
      <w:r w:rsidRPr="00EF0E6B">
        <w:rPr>
          <w:rFonts w:cs="Arial"/>
        </w:rPr>
        <w:t xml:space="preserve"> the inclusion of MCQs was not in line with university policies</w:t>
      </w:r>
      <w:r w:rsidR="00721DC3">
        <w:rPr>
          <w:rFonts w:cs="Arial"/>
        </w:rPr>
        <w:t>,</w:t>
      </w:r>
      <w:r w:rsidRPr="00EF0E6B">
        <w:rPr>
          <w:rFonts w:cs="Arial"/>
        </w:rPr>
        <w:t xml:space="preserve"> and designers and teams had to argue for </w:t>
      </w:r>
      <w:r w:rsidR="00721DC3" w:rsidRPr="00EF0E6B">
        <w:rPr>
          <w:rFonts w:cs="Arial"/>
        </w:rPr>
        <w:t>the</w:t>
      </w:r>
      <w:r w:rsidR="00721DC3">
        <w:rPr>
          <w:rFonts w:cs="Arial"/>
        </w:rPr>
        <w:t>m</w:t>
      </w:r>
      <w:r w:rsidR="00721DC3" w:rsidRPr="00EF0E6B">
        <w:rPr>
          <w:rFonts w:cs="Arial"/>
        </w:rPr>
        <w:t xml:space="preserve"> </w:t>
      </w:r>
      <w:r w:rsidRPr="00EF0E6B">
        <w:rPr>
          <w:rFonts w:cs="Arial"/>
        </w:rPr>
        <w:t xml:space="preserve">even though they clearly were not in support of this type of assessment. These were included in the design of degrees purely to introduce students to something that they may come across in the future. </w:t>
      </w:r>
    </w:p>
    <w:p w14:paraId="6C0EACE4" w14:textId="4DF55FC0" w:rsidR="00765E64" w:rsidRPr="00EF0E6B" w:rsidRDefault="00765E64" w:rsidP="0003652C">
      <w:pPr>
        <w:spacing w:before="120" w:line="360" w:lineRule="auto"/>
        <w:jc w:val="both"/>
        <w:rPr>
          <w:rFonts w:cs="Arial"/>
          <w:color w:val="9BBB59" w:themeColor="accent3"/>
        </w:rPr>
      </w:pPr>
      <w:r w:rsidRPr="00EF0E6B">
        <w:rPr>
          <w:rFonts w:cs="Arial"/>
        </w:rPr>
        <w:t xml:space="preserve">From a wider perspective the uncertainty of the students’ onward journey from university was also prevalent in the responses from participants, and that added to the pressure to include what could be regarded as extraneous to the degree, especially when it was a </w:t>
      </w:r>
      <w:r w:rsidRPr="00EF0E6B">
        <w:rPr>
          <w:rFonts w:cs="Arial"/>
          <w:color w:val="000000" w:themeColor="text1"/>
        </w:rPr>
        <w:t xml:space="preserve">‘misconception that they all want to be lawyers’ or that ‘students may not know what they want to do when they set out’. What was </w:t>
      </w:r>
      <w:r w:rsidRPr="00EF0E6B">
        <w:rPr>
          <w:rFonts w:cs="Arial"/>
        </w:rPr>
        <w:t xml:space="preserve">consistent across the categories was that everyone was aware of the students’ anxiety about what came next, after the degree. Whilst it was referred to less in the selective </w:t>
      </w:r>
      <w:r w:rsidR="009B71D2">
        <w:rPr>
          <w:rFonts w:cs="Arial"/>
        </w:rPr>
        <w:t>school</w:t>
      </w:r>
      <w:r w:rsidR="009B71D2" w:rsidRPr="00EF0E6B">
        <w:rPr>
          <w:rFonts w:cs="Arial"/>
        </w:rPr>
        <w:t>s</w:t>
      </w:r>
      <w:r w:rsidR="00721DC3">
        <w:rPr>
          <w:rFonts w:cs="Arial"/>
        </w:rPr>
        <w:t xml:space="preserve">, </w:t>
      </w:r>
      <w:r w:rsidRPr="00EF0E6B">
        <w:rPr>
          <w:rFonts w:cs="Arial"/>
        </w:rPr>
        <w:t>it was still evident in reflections on students’ choices during the degree</w:t>
      </w:r>
      <w:r w:rsidR="00B80AC9">
        <w:rPr>
          <w:rFonts w:cs="Arial"/>
        </w:rPr>
        <w:t>,</w:t>
      </w:r>
    </w:p>
    <w:p w14:paraId="7C86AA7A" w14:textId="5F37463B" w:rsidR="00765E64" w:rsidRPr="00EF0E6B" w:rsidRDefault="00765E64" w:rsidP="006370E7">
      <w:pPr>
        <w:spacing w:line="360" w:lineRule="auto"/>
        <w:ind w:left="720"/>
        <w:jc w:val="both"/>
        <w:rPr>
          <w:rFonts w:cs="Arial"/>
        </w:rPr>
      </w:pPr>
      <w:r w:rsidRPr="00EF0E6B">
        <w:rPr>
          <w:rFonts w:cs="Arial"/>
        </w:rPr>
        <w:t>There is an underlying tension for students. They may like a subject</w:t>
      </w:r>
      <w:r w:rsidR="00721DC3">
        <w:rPr>
          <w:rFonts w:cs="Arial"/>
        </w:rPr>
        <w:t>,</w:t>
      </w:r>
      <w:r w:rsidRPr="00EF0E6B">
        <w:rPr>
          <w:rFonts w:cs="Arial"/>
        </w:rPr>
        <w:t xml:space="preserve"> but they also have an eye on what they need for practice, and to get on after their degree</w:t>
      </w:r>
      <w:r w:rsidR="00AA1A8D">
        <w:rPr>
          <w:rFonts w:cs="Arial"/>
        </w:rPr>
        <w:t xml:space="preserve"> (S).</w:t>
      </w:r>
    </w:p>
    <w:p w14:paraId="20B0B0E9" w14:textId="1879685C" w:rsidR="00765E64" w:rsidRPr="00EF0E6B" w:rsidRDefault="00765E64" w:rsidP="0003652C">
      <w:pPr>
        <w:spacing w:line="360" w:lineRule="auto"/>
        <w:jc w:val="both"/>
        <w:rPr>
          <w:rFonts w:cs="Arial"/>
        </w:rPr>
      </w:pPr>
      <w:r w:rsidRPr="00EF0E6B">
        <w:rPr>
          <w:rFonts w:cs="Arial"/>
        </w:rPr>
        <w:t>This is not surprising</w:t>
      </w:r>
      <w:r w:rsidR="00721DC3">
        <w:rPr>
          <w:rFonts w:cs="Arial"/>
        </w:rPr>
        <w:t>,</w:t>
      </w:r>
      <w:r w:rsidRPr="00EF0E6B">
        <w:rPr>
          <w:rFonts w:cs="Arial"/>
        </w:rPr>
        <w:t xml:space="preserve"> as the changes to the route into the profession offered more than one pathway, but a little uncertainty in the value of each pathway</w:t>
      </w:r>
      <w:r w:rsidR="00721DC3">
        <w:rPr>
          <w:rFonts w:cs="Arial"/>
        </w:rPr>
        <w:t xml:space="preserve"> and</w:t>
      </w:r>
      <w:r w:rsidRPr="00EF0E6B">
        <w:rPr>
          <w:rFonts w:cs="Arial"/>
        </w:rPr>
        <w:t xml:space="preserve"> the level to which the degree should provide the initial stages of that pathway or retain the academic status it had previously had</w:t>
      </w:r>
      <w:r w:rsidR="00721DC3">
        <w:rPr>
          <w:rFonts w:cs="Arial"/>
        </w:rPr>
        <w:t>,</w:t>
      </w:r>
      <w:r w:rsidRPr="00EF0E6B">
        <w:rPr>
          <w:rFonts w:cs="Arial"/>
        </w:rPr>
        <w:t xml:space="preserve"> as discussed earlier</w:t>
      </w:r>
      <w:r w:rsidR="00B80AC9">
        <w:rPr>
          <w:rFonts w:cs="Arial"/>
        </w:rPr>
        <w:t xml:space="preserve">. </w:t>
      </w:r>
      <w:r w:rsidRPr="00EF0E6B">
        <w:rPr>
          <w:rFonts w:cs="Arial"/>
        </w:rPr>
        <w:t>It was clear that</w:t>
      </w:r>
      <w:r w:rsidR="00721DC3">
        <w:rPr>
          <w:rFonts w:cs="Arial"/>
        </w:rPr>
        <w:t>,</w:t>
      </w:r>
      <w:r w:rsidRPr="00EF0E6B">
        <w:rPr>
          <w:rFonts w:cs="Arial"/>
        </w:rPr>
        <w:t xml:space="preserve"> in many </w:t>
      </w:r>
      <w:r w:rsidR="009B71D2">
        <w:rPr>
          <w:rFonts w:cs="Arial"/>
        </w:rPr>
        <w:t>school</w:t>
      </w:r>
      <w:r w:rsidR="009B71D2" w:rsidRPr="00EF0E6B">
        <w:rPr>
          <w:rFonts w:cs="Arial"/>
        </w:rPr>
        <w:t xml:space="preserve">s </w:t>
      </w:r>
      <w:r w:rsidRPr="00EF0E6B">
        <w:rPr>
          <w:rFonts w:cs="Arial"/>
        </w:rPr>
        <w:t xml:space="preserve">(and very evident for the selective </w:t>
      </w:r>
      <w:r w:rsidR="009B71D2">
        <w:rPr>
          <w:rFonts w:cs="Arial"/>
        </w:rPr>
        <w:t>school</w:t>
      </w:r>
      <w:r w:rsidR="009B71D2" w:rsidRPr="00EF0E6B">
        <w:rPr>
          <w:rFonts w:cs="Arial"/>
        </w:rPr>
        <w:t>s</w:t>
      </w:r>
      <w:r w:rsidRPr="00EF0E6B">
        <w:rPr>
          <w:rFonts w:cs="Arial"/>
        </w:rPr>
        <w:t>)</w:t>
      </w:r>
      <w:r w:rsidR="00721DC3">
        <w:rPr>
          <w:rFonts w:cs="Arial"/>
        </w:rPr>
        <w:t>,</w:t>
      </w:r>
      <w:r w:rsidRPr="00EF0E6B">
        <w:rPr>
          <w:rFonts w:cs="Arial"/>
        </w:rPr>
        <w:t xml:space="preserve"> the designers and teams did not want to embark on a</w:t>
      </w:r>
      <w:r w:rsidR="00721DC3">
        <w:rPr>
          <w:rFonts w:cs="Arial"/>
        </w:rPr>
        <w:t>n</w:t>
      </w:r>
      <w:r w:rsidRPr="00EF0E6B">
        <w:rPr>
          <w:rFonts w:cs="Arial"/>
        </w:rPr>
        <w:t xml:space="preserve"> SQE</w:t>
      </w:r>
      <w:r w:rsidR="00721DC3">
        <w:rPr>
          <w:rFonts w:cs="Arial"/>
        </w:rPr>
        <w:t>-</w:t>
      </w:r>
      <w:r w:rsidRPr="00EF0E6B">
        <w:rPr>
          <w:rFonts w:cs="Arial"/>
        </w:rPr>
        <w:t xml:space="preserve">focused degree, but it was felt that there was a need to </w:t>
      </w:r>
      <w:r w:rsidR="0058532F">
        <w:rPr>
          <w:rFonts w:cs="Arial"/>
        </w:rPr>
        <w:t>provide</w:t>
      </w:r>
      <w:r w:rsidRPr="00EF0E6B">
        <w:rPr>
          <w:rFonts w:cs="Arial"/>
        </w:rPr>
        <w:t xml:space="preserve"> at least the initial springboard for this. </w:t>
      </w:r>
    </w:p>
    <w:p w14:paraId="357F9AEF" w14:textId="000D43AE" w:rsidR="00765E64" w:rsidRPr="00EF0E6B" w:rsidRDefault="00765E64" w:rsidP="0003652C">
      <w:pPr>
        <w:spacing w:line="360" w:lineRule="auto"/>
        <w:jc w:val="both"/>
        <w:rPr>
          <w:rFonts w:cs="Arial"/>
        </w:rPr>
      </w:pPr>
      <w:r w:rsidRPr="00EE4AED">
        <w:rPr>
          <w:rFonts w:cs="Arial"/>
        </w:rPr>
        <w:t xml:space="preserve">The fact that the anxiety was more evident for the widening participation </w:t>
      </w:r>
      <w:r w:rsidR="009B71D2">
        <w:rPr>
          <w:rFonts w:cs="Arial"/>
        </w:rPr>
        <w:t>school</w:t>
      </w:r>
      <w:r w:rsidR="009B71D2" w:rsidRPr="00EE4AED">
        <w:rPr>
          <w:rFonts w:cs="Arial"/>
        </w:rPr>
        <w:t xml:space="preserve">s </w:t>
      </w:r>
      <w:r w:rsidRPr="00EE4AED">
        <w:rPr>
          <w:rFonts w:cs="Arial"/>
        </w:rPr>
        <w:t xml:space="preserve">aligns with Bernstein’s observations about the market impact on the non-elite </w:t>
      </w:r>
      <w:r w:rsidR="009B71D2">
        <w:rPr>
          <w:rFonts w:cs="Arial"/>
        </w:rPr>
        <w:t>school</w:t>
      </w:r>
      <w:r w:rsidR="009B71D2" w:rsidRPr="00EE4AED">
        <w:rPr>
          <w:rFonts w:cs="Arial"/>
        </w:rPr>
        <w:t>s</w:t>
      </w:r>
      <w:r w:rsidRPr="00EE4AED">
        <w:rPr>
          <w:rFonts w:cs="Arial"/>
        </w:rPr>
        <w:t xml:space="preserve">. They are forced into having a more projected perspective and taking </w:t>
      </w:r>
      <w:r w:rsidRPr="00EE4AED">
        <w:rPr>
          <w:rFonts w:cs="Arial"/>
        </w:rPr>
        <w:lastRenderedPageBreak/>
        <w:t>their lead from that market, but the findings show that they were also aware that there was a balance to maintain.</w:t>
      </w:r>
    </w:p>
    <w:p w14:paraId="5011C184" w14:textId="1F1A7C0C" w:rsidR="00765E64" w:rsidRPr="006370E7" w:rsidRDefault="00765E64" w:rsidP="006370E7">
      <w:pPr>
        <w:spacing w:line="360" w:lineRule="auto"/>
        <w:ind w:left="720"/>
        <w:jc w:val="both"/>
        <w:rPr>
          <w:rFonts w:cs="Arial"/>
        </w:rPr>
      </w:pPr>
      <w:r w:rsidRPr="00EF0E6B">
        <w:rPr>
          <w:rFonts w:cs="Arial"/>
        </w:rPr>
        <w:t>Students come to law school because they want to learn law</w:t>
      </w:r>
      <w:r w:rsidR="00721DC3">
        <w:rPr>
          <w:rFonts w:cs="Arial"/>
        </w:rPr>
        <w:t>,</w:t>
      </w:r>
      <w:r w:rsidRPr="00EF0E6B">
        <w:rPr>
          <w:rFonts w:cs="Arial"/>
        </w:rPr>
        <w:t xml:space="preserve"> so there is a balance. Having the knowledge and being able to do something with that knowledge was crucial</w:t>
      </w:r>
      <w:r w:rsidR="00AC7EB6">
        <w:rPr>
          <w:rFonts w:cs="Arial"/>
        </w:rPr>
        <w:t xml:space="preserve"> (WP).</w:t>
      </w:r>
    </w:p>
    <w:p w14:paraId="5439CCE1" w14:textId="1C6957CF" w:rsidR="00765E64" w:rsidRPr="00EF0E6B" w:rsidRDefault="00765E64" w:rsidP="0003652C">
      <w:pPr>
        <w:spacing w:line="360" w:lineRule="auto"/>
        <w:jc w:val="both"/>
        <w:rPr>
          <w:rFonts w:cs="Arial"/>
          <w:color w:val="000000" w:themeColor="text1"/>
        </w:rPr>
      </w:pPr>
      <w:r w:rsidRPr="00EF0E6B">
        <w:rPr>
          <w:rFonts w:cs="Arial"/>
          <w:color w:val="000000" w:themeColor="text1"/>
        </w:rPr>
        <w:t>Several SQE</w:t>
      </w:r>
      <w:r w:rsidR="00721DC3">
        <w:rPr>
          <w:rFonts w:cs="Arial"/>
          <w:color w:val="000000" w:themeColor="text1"/>
        </w:rPr>
        <w:t>-</w:t>
      </w:r>
      <w:r w:rsidRPr="00EF0E6B">
        <w:rPr>
          <w:rFonts w:cs="Arial"/>
          <w:color w:val="000000" w:themeColor="text1"/>
        </w:rPr>
        <w:t>ready undergraduate courses have begun to appear in prospectus</w:t>
      </w:r>
      <w:r w:rsidR="00721DC3">
        <w:rPr>
          <w:rFonts w:cs="Arial"/>
          <w:color w:val="000000" w:themeColor="text1"/>
        </w:rPr>
        <w:t>es,</w:t>
      </w:r>
      <w:r w:rsidR="00B80AC9">
        <w:rPr>
          <w:rFonts w:cs="Arial"/>
          <w:color w:val="000000" w:themeColor="text1"/>
        </w:rPr>
        <w:t xml:space="preserve"> but </w:t>
      </w:r>
      <w:r w:rsidRPr="00EF0E6B">
        <w:rPr>
          <w:rFonts w:cs="Arial"/>
          <w:color w:val="000000" w:themeColor="text1"/>
        </w:rPr>
        <w:t>many of these</w:t>
      </w:r>
      <w:r w:rsidR="00CA4832">
        <w:rPr>
          <w:rFonts w:cs="Arial"/>
          <w:color w:val="000000" w:themeColor="text1"/>
        </w:rPr>
        <w:t>,</w:t>
      </w:r>
      <w:r w:rsidRPr="00EF0E6B">
        <w:rPr>
          <w:rFonts w:cs="Arial"/>
          <w:color w:val="000000" w:themeColor="text1"/>
        </w:rPr>
        <w:t xml:space="preserve"> whilst </w:t>
      </w:r>
      <w:r w:rsidR="00CA4832">
        <w:rPr>
          <w:rFonts w:cs="Arial"/>
          <w:color w:val="000000" w:themeColor="text1"/>
        </w:rPr>
        <w:t>advertised</w:t>
      </w:r>
      <w:r w:rsidRPr="00EF0E6B">
        <w:rPr>
          <w:rFonts w:cs="Arial"/>
          <w:color w:val="000000" w:themeColor="text1"/>
        </w:rPr>
        <w:t xml:space="preserve"> as SQE</w:t>
      </w:r>
      <w:r w:rsidR="00B80AC9">
        <w:rPr>
          <w:rFonts w:cs="Arial"/>
          <w:color w:val="000000" w:themeColor="text1"/>
        </w:rPr>
        <w:t>-</w:t>
      </w:r>
      <w:r w:rsidRPr="00EF0E6B">
        <w:rPr>
          <w:rFonts w:cs="Arial"/>
          <w:color w:val="000000" w:themeColor="text1"/>
        </w:rPr>
        <w:t>ready</w:t>
      </w:r>
      <w:r w:rsidR="00CA4832">
        <w:rPr>
          <w:rFonts w:cs="Arial"/>
          <w:color w:val="000000" w:themeColor="text1"/>
        </w:rPr>
        <w:t>, are</w:t>
      </w:r>
      <w:r w:rsidRPr="00EF0E6B">
        <w:rPr>
          <w:rFonts w:cs="Arial"/>
          <w:color w:val="000000" w:themeColor="text1"/>
        </w:rPr>
        <w:t xml:space="preserve"> in fact pre</w:t>
      </w:r>
      <w:r w:rsidR="00B80AC9">
        <w:rPr>
          <w:rFonts w:cs="Arial"/>
          <w:color w:val="000000" w:themeColor="text1"/>
        </w:rPr>
        <w:t>-</w:t>
      </w:r>
      <w:r w:rsidRPr="00EF0E6B">
        <w:rPr>
          <w:rFonts w:cs="Arial"/>
          <w:color w:val="000000" w:themeColor="text1"/>
        </w:rPr>
        <w:t xml:space="preserve">prep or introductions to the SQE and would not be sufficient on their own to enable students to pass the exam. Other </w:t>
      </w:r>
      <w:r w:rsidR="009B71D2">
        <w:rPr>
          <w:rFonts w:cs="Arial"/>
          <w:color w:val="000000" w:themeColor="text1"/>
        </w:rPr>
        <w:t>school</w:t>
      </w:r>
      <w:r w:rsidR="009B71D2" w:rsidRPr="00EF0E6B">
        <w:rPr>
          <w:rFonts w:cs="Arial"/>
          <w:color w:val="000000" w:themeColor="text1"/>
        </w:rPr>
        <w:t xml:space="preserve">s </w:t>
      </w:r>
      <w:r w:rsidRPr="00EF0E6B">
        <w:rPr>
          <w:rFonts w:cs="Arial"/>
          <w:color w:val="000000" w:themeColor="text1"/>
        </w:rPr>
        <w:t xml:space="preserve">are developing or amending existing MLaw provision, </w:t>
      </w:r>
      <w:r w:rsidR="00B80AC9">
        <w:rPr>
          <w:rFonts w:cs="Arial"/>
          <w:color w:val="000000" w:themeColor="text1"/>
        </w:rPr>
        <w:t>offering</w:t>
      </w:r>
      <w:r w:rsidRPr="00EF0E6B">
        <w:rPr>
          <w:rFonts w:cs="Arial"/>
          <w:color w:val="000000" w:themeColor="text1"/>
        </w:rPr>
        <w:t xml:space="preserve"> a degree with integrated elements of professional practice</w:t>
      </w:r>
      <w:r w:rsidR="00721DC3">
        <w:rPr>
          <w:rFonts w:cs="Arial"/>
          <w:color w:val="000000" w:themeColor="text1"/>
        </w:rPr>
        <w:t xml:space="preserve"> </w:t>
      </w:r>
      <w:r w:rsidRPr="00EF0E6B">
        <w:rPr>
          <w:rFonts w:cs="Arial"/>
          <w:color w:val="000000" w:themeColor="text1"/>
        </w:rPr>
        <w:t>over a longer study period. These are not</w:t>
      </w:r>
      <w:r w:rsidR="0058532F">
        <w:rPr>
          <w:rFonts w:cs="Arial"/>
          <w:color w:val="000000" w:themeColor="text1"/>
        </w:rPr>
        <w:t>,</w:t>
      </w:r>
      <w:r w:rsidRPr="00EF0E6B">
        <w:rPr>
          <w:rFonts w:cs="Arial"/>
          <w:color w:val="000000" w:themeColor="text1"/>
        </w:rPr>
        <w:t xml:space="preserve"> at the moment</w:t>
      </w:r>
      <w:r w:rsidR="0058532F">
        <w:rPr>
          <w:rFonts w:cs="Arial"/>
          <w:color w:val="000000" w:themeColor="text1"/>
        </w:rPr>
        <w:t>,</w:t>
      </w:r>
      <w:r w:rsidRPr="00EF0E6B">
        <w:rPr>
          <w:rFonts w:cs="Arial"/>
          <w:color w:val="000000" w:themeColor="text1"/>
        </w:rPr>
        <w:t xml:space="preserve"> threatening the status of the largely academic law degree</w:t>
      </w:r>
      <w:r w:rsidR="0058532F">
        <w:rPr>
          <w:rFonts w:cs="Arial"/>
          <w:color w:val="000000" w:themeColor="text1"/>
        </w:rPr>
        <w:t>,</w:t>
      </w:r>
      <w:r w:rsidRPr="00EF0E6B">
        <w:rPr>
          <w:rFonts w:cs="Arial"/>
          <w:color w:val="000000" w:themeColor="text1"/>
        </w:rPr>
        <w:t xml:space="preserve"> which remains dominant</w:t>
      </w:r>
      <w:r w:rsidR="00B80AC9">
        <w:rPr>
          <w:rFonts w:cs="Arial"/>
          <w:color w:val="000000" w:themeColor="text1"/>
        </w:rPr>
        <w:t xml:space="preserve">. </w:t>
      </w:r>
      <w:r w:rsidRPr="00EF0E6B">
        <w:rPr>
          <w:rFonts w:cs="Arial"/>
        </w:rPr>
        <w:t>From a framing perspective</w:t>
      </w:r>
      <w:r w:rsidR="0058532F">
        <w:rPr>
          <w:rFonts w:cs="Arial"/>
        </w:rPr>
        <w:t>,</w:t>
      </w:r>
      <w:r w:rsidRPr="00EF0E6B">
        <w:rPr>
          <w:rFonts w:cs="Arial"/>
        </w:rPr>
        <w:t xml:space="preserve"> however</w:t>
      </w:r>
      <w:r w:rsidR="0058532F">
        <w:rPr>
          <w:rFonts w:cs="Arial"/>
        </w:rPr>
        <w:t>,</w:t>
      </w:r>
      <w:r w:rsidRPr="00EF0E6B">
        <w:rPr>
          <w:rFonts w:cs="Arial"/>
        </w:rPr>
        <w:t xml:space="preserve"> the difference between the selective and non-selective </w:t>
      </w:r>
      <w:r w:rsidR="009B71D2">
        <w:rPr>
          <w:rFonts w:cs="Arial"/>
        </w:rPr>
        <w:t>school</w:t>
      </w:r>
      <w:r w:rsidR="009B71D2" w:rsidRPr="00EF0E6B">
        <w:rPr>
          <w:rFonts w:cs="Arial"/>
        </w:rPr>
        <w:t xml:space="preserve">s </w:t>
      </w:r>
      <w:r w:rsidRPr="00EF0E6B">
        <w:rPr>
          <w:rFonts w:cs="Arial"/>
        </w:rPr>
        <w:t>is more distinct, with the adoption of SQE type assessments not being seen as necessary for the former.</w:t>
      </w:r>
    </w:p>
    <w:p w14:paraId="6531FCB4" w14:textId="44B78482" w:rsidR="00765E64" w:rsidRPr="00EF0E6B" w:rsidRDefault="00765E64" w:rsidP="0003652C">
      <w:pPr>
        <w:spacing w:line="360" w:lineRule="auto"/>
        <w:jc w:val="both"/>
        <w:rPr>
          <w:rFonts w:cs="Arial"/>
        </w:rPr>
      </w:pPr>
      <w:r w:rsidRPr="00EE4AED">
        <w:rPr>
          <w:rFonts w:cs="Arial"/>
          <w:color w:val="000000" w:themeColor="text1"/>
        </w:rPr>
        <w:t xml:space="preserve">The fluidity, or even confusion, within the degree could evidence a weak classification around degree programmes from the PRF. In addition, the impact of the SQE could also pose a weak framing within the less selective </w:t>
      </w:r>
      <w:r w:rsidR="009B71D2">
        <w:rPr>
          <w:rFonts w:cs="Arial"/>
          <w:color w:val="000000" w:themeColor="text1"/>
        </w:rPr>
        <w:t>school</w:t>
      </w:r>
      <w:r w:rsidR="009B71D2" w:rsidRPr="00EE4AED">
        <w:rPr>
          <w:rFonts w:cs="Arial"/>
          <w:color w:val="000000" w:themeColor="text1"/>
        </w:rPr>
        <w:t>s</w:t>
      </w:r>
      <w:r w:rsidRPr="00EE4AED">
        <w:rPr>
          <w:rFonts w:cs="Arial"/>
          <w:color w:val="000000" w:themeColor="text1"/>
        </w:rPr>
        <w:t xml:space="preserve">. </w:t>
      </w:r>
      <w:r w:rsidRPr="00EE4AED">
        <w:rPr>
          <w:rFonts w:cs="Arial"/>
        </w:rPr>
        <w:t>There is a further consideration as to more generic impacts on curriculum</w:t>
      </w:r>
      <w:r w:rsidR="0058532F">
        <w:rPr>
          <w:rFonts w:cs="Arial"/>
        </w:rPr>
        <w:t>,</w:t>
      </w:r>
      <w:r w:rsidRPr="00EE4AED">
        <w:rPr>
          <w:rFonts w:cs="Arial"/>
        </w:rPr>
        <w:t xml:space="preserve"> which I return to in </w:t>
      </w:r>
      <w:r w:rsidR="009D5113">
        <w:rPr>
          <w:rFonts w:cs="Arial"/>
        </w:rPr>
        <w:t>C</w:t>
      </w:r>
      <w:r w:rsidRPr="00EE4AED">
        <w:rPr>
          <w:rFonts w:cs="Arial"/>
        </w:rPr>
        <w:t xml:space="preserve">hapter </w:t>
      </w:r>
      <w:r w:rsidR="009D5113">
        <w:rPr>
          <w:rFonts w:cs="Arial"/>
        </w:rPr>
        <w:t>N</w:t>
      </w:r>
      <w:r w:rsidRPr="00EE4AED">
        <w:rPr>
          <w:rFonts w:cs="Arial"/>
        </w:rPr>
        <w:t>ine</w:t>
      </w:r>
      <w:r w:rsidR="0058532F">
        <w:rPr>
          <w:rFonts w:cs="Arial"/>
        </w:rPr>
        <w:t>,</w:t>
      </w:r>
      <w:r w:rsidRPr="00EE4AED">
        <w:rPr>
          <w:rFonts w:cs="Arial"/>
        </w:rPr>
        <w:t xml:space="preserve"> and there may be an overlap here with the discussion again on the framing of knowledge.</w:t>
      </w:r>
    </w:p>
    <w:p w14:paraId="093DF058" w14:textId="692E6EA7" w:rsidR="00765E64" w:rsidRPr="00EF0E6B" w:rsidRDefault="00765E64" w:rsidP="0003652C">
      <w:pPr>
        <w:pStyle w:val="Heading2"/>
        <w:spacing w:line="360" w:lineRule="auto"/>
        <w:rPr>
          <w:rFonts w:ascii="Arial" w:hAnsi="Arial" w:cs="Arial"/>
        </w:rPr>
      </w:pPr>
      <w:bookmarkStart w:id="88" w:name="_Toc223348877"/>
      <w:r w:rsidRPr="00EF0E6B">
        <w:rPr>
          <w:rFonts w:ascii="Arial" w:hAnsi="Arial" w:cs="Arial"/>
        </w:rPr>
        <w:t>Conclusion</w:t>
      </w:r>
      <w:bookmarkEnd w:id="88"/>
    </w:p>
    <w:p w14:paraId="29D8657E" w14:textId="33B16642" w:rsidR="00765E64" w:rsidRPr="00EF0E6B" w:rsidRDefault="00765E64" w:rsidP="0003652C">
      <w:pPr>
        <w:spacing w:line="360" w:lineRule="auto"/>
        <w:jc w:val="both"/>
        <w:rPr>
          <w:rFonts w:cs="Arial"/>
          <w:color w:val="000000" w:themeColor="text1"/>
        </w:rPr>
      </w:pPr>
      <w:r w:rsidRPr="00EF0E6B">
        <w:rPr>
          <w:rFonts w:cs="Arial"/>
          <w:color w:val="000000" w:themeColor="text1"/>
        </w:rPr>
        <w:t>At all levels</w:t>
      </w:r>
      <w:r w:rsidR="0058532F">
        <w:rPr>
          <w:rFonts w:cs="Arial"/>
          <w:color w:val="000000" w:themeColor="text1"/>
        </w:rPr>
        <w:t>,</w:t>
      </w:r>
      <w:r w:rsidRPr="00EF0E6B">
        <w:rPr>
          <w:rFonts w:cs="Arial"/>
          <w:color w:val="000000" w:themeColor="text1"/>
        </w:rPr>
        <w:t xml:space="preserve"> there were changes taking place, and not always because of the </w:t>
      </w:r>
      <w:r w:rsidRPr="00EE4AED">
        <w:rPr>
          <w:rFonts w:cs="Arial"/>
          <w:color w:val="000000" w:themeColor="text1"/>
        </w:rPr>
        <w:t>regulatory developments. The influences were resource</w:t>
      </w:r>
      <w:r w:rsidR="001B637C">
        <w:rPr>
          <w:rFonts w:cs="Arial"/>
          <w:color w:val="000000" w:themeColor="text1"/>
        </w:rPr>
        <w:t>-</w:t>
      </w:r>
      <w:r w:rsidRPr="00EE4AED">
        <w:rPr>
          <w:rFonts w:cs="Arial"/>
          <w:color w:val="000000" w:themeColor="text1"/>
        </w:rPr>
        <w:t xml:space="preserve">led from the </w:t>
      </w:r>
      <w:r w:rsidR="00AA70FC">
        <w:rPr>
          <w:rFonts w:cs="Arial"/>
          <w:color w:val="000000" w:themeColor="text1"/>
        </w:rPr>
        <w:t>university</w:t>
      </w:r>
      <w:r w:rsidR="00EE7AB8" w:rsidRPr="00EE4AED">
        <w:rPr>
          <w:rFonts w:cs="Arial"/>
          <w:color w:val="000000" w:themeColor="text1"/>
        </w:rPr>
        <w:t xml:space="preserve"> or</w:t>
      </w:r>
      <w:r w:rsidR="00B80AC9" w:rsidRPr="00EE4AED">
        <w:rPr>
          <w:rFonts w:cs="Arial"/>
          <w:color w:val="000000" w:themeColor="text1"/>
        </w:rPr>
        <w:t xml:space="preserve"> from the academic community</w:t>
      </w:r>
      <w:r w:rsidRPr="00EE4AED">
        <w:rPr>
          <w:rFonts w:cs="Arial"/>
          <w:color w:val="000000" w:themeColor="text1"/>
        </w:rPr>
        <w:t xml:space="preserve"> and were often creating tension</w:t>
      </w:r>
      <w:r w:rsidR="0058532F">
        <w:rPr>
          <w:rFonts w:cs="Arial"/>
          <w:color w:val="000000" w:themeColor="text1"/>
        </w:rPr>
        <w:t>.</w:t>
      </w:r>
      <w:r w:rsidRPr="00EE4AED">
        <w:rPr>
          <w:rFonts w:cs="Arial"/>
          <w:color w:val="000000" w:themeColor="text1"/>
        </w:rPr>
        <w:t xml:space="preserve"> The impact on the degrees w</w:t>
      </w:r>
      <w:r w:rsidR="0058532F">
        <w:rPr>
          <w:rFonts w:cs="Arial"/>
          <w:color w:val="000000" w:themeColor="text1"/>
        </w:rPr>
        <w:t>as</w:t>
      </w:r>
      <w:r w:rsidRPr="00EE4AED">
        <w:rPr>
          <w:rFonts w:cs="Arial"/>
          <w:color w:val="000000" w:themeColor="text1"/>
        </w:rPr>
        <w:t xml:space="preserve"> seen in all categories of </w:t>
      </w:r>
      <w:r w:rsidR="00AA70FC">
        <w:rPr>
          <w:rFonts w:cs="Arial"/>
          <w:color w:val="000000" w:themeColor="text1"/>
        </w:rPr>
        <w:t>school</w:t>
      </w:r>
      <w:r w:rsidR="00AA70FC" w:rsidRPr="00EE4AED">
        <w:rPr>
          <w:rFonts w:cs="Arial"/>
          <w:color w:val="000000" w:themeColor="text1"/>
        </w:rPr>
        <w:t xml:space="preserve"> </w:t>
      </w:r>
      <w:r w:rsidRPr="00EE4AED">
        <w:rPr>
          <w:rFonts w:cs="Arial"/>
          <w:color w:val="000000" w:themeColor="text1"/>
        </w:rPr>
        <w:t xml:space="preserve">to a lesser or greater degree, with there being less difference than might be expected between the selective and the less selective </w:t>
      </w:r>
      <w:r w:rsidR="00AA70FC">
        <w:rPr>
          <w:rFonts w:cs="Arial"/>
          <w:color w:val="000000" w:themeColor="text1"/>
        </w:rPr>
        <w:t>school</w:t>
      </w:r>
      <w:r w:rsidR="00AA70FC" w:rsidRPr="00EE4AED">
        <w:rPr>
          <w:rFonts w:cs="Arial"/>
          <w:color w:val="000000" w:themeColor="text1"/>
        </w:rPr>
        <w:t xml:space="preserve">s </w:t>
      </w:r>
      <w:r w:rsidR="00EE7AB8" w:rsidRPr="00EE4AED">
        <w:rPr>
          <w:rFonts w:cs="Arial"/>
          <w:color w:val="000000" w:themeColor="text1"/>
        </w:rPr>
        <w:t>when considering external influences,</w:t>
      </w:r>
      <w:r w:rsidRPr="00EE4AED">
        <w:rPr>
          <w:rFonts w:cs="Arial"/>
          <w:color w:val="000000" w:themeColor="text1"/>
        </w:rPr>
        <w:t xml:space="preserve"> and no discernible difference at the programme or module level, except perhaps in relation to the reaction to the external examination. This suggests that the </w:t>
      </w:r>
      <w:r w:rsidRPr="00EE4AED">
        <w:rPr>
          <w:rFonts w:cs="Arial"/>
          <w:color w:val="000000" w:themeColor="text1"/>
        </w:rPr>
        <w:lastRenderedPageBreak/>
        <w:t>discipline</w:t>
      </w:r>
      <w:r w:rsidR="0058532F">
        <w:rPr>
          <w:rFonts w:cs="Arial"/>
          <w:color w:val="000000" w:themeColor="text1"/>
        </w:rPr>
        <w:t>,</w:t>
      </w:r>
      <w:r w:rsidRPr="00EE4AED">
        <w:rPr>
          <w:rFonts w:cs="Arial"/>
          <w:color w:val="000000" w:themeColor="text1"/>
        </w:rPr>
        <w:t xml:space="preserve"> when recontextualised</w:t>
      </w:r>
      <w:r w:rsidR="0058532F">
        <w:rPr>
          <w:rFonts w:cs="Arial"/>
          <w:color w:val="000000" w:themeColor="text1"/>
        </w:rPr>
        <w:t>,</w:t>
      </w:r>
      <w:r w:rsidRPr="00EE4AED">
        <w:rPr>
          <w:rFonts w:cs="Arial"/>
          <w:color w:val="000000" w:themeColor="text1"/>
        </w:rPr>
        <w:t xml:space="preserve"> is maintaining a strong classification against moves to integrate it with other disciplines in the form of interdisciplinary programmes. </w:t>
      </w:r>
      <w:r w:rsidR="00EE7AB8" w:rsidRPr="00EE4AED">
        <w:rPr>
          <w:rFonts w:cs="Arial"/>
          <w:color w:val="000000" w:themeColor="text1"/>
        </w:rPr>
        <w:t>T</w:t>
      </w:r>
      <w:r w:rsidRPr="00EE4AED">
        <w:rPr>
          <w:rFonts w:cs="Arial"/>
          <w:color w:val="000000" w:themeColor="text1"/>
        </w:rPr>
        <w:t>he access to powerful knowledge, unchanged but not enabled</w:t>
      </w:r>
      <w:r w:rsidR="00EE7AB8" w:rsidRPr="00EE4AED">
        <w:rPr>
          <w:rFonts w:cs="Arial"/>
          <w:color w:val="000000" w:themeColor="text1"/>
        </w:rPr>
        <w:t>,</w:t>
      </w:r>
      <w:r w:rsidRPr="00EE4AED">
        <w:rPr>
          <w:rFonts w:cs="Arial"/>
          <w:color w:val="000000" w:themeColor="text1"/>
        </w:rPr>
        <w:t xml:space="preserve"> in the segmented presentation of the curriculum is arguably hindered further by resource implications in relation</w:t>
      </w:r>
      <w:r w:rsidRPr="00EF0E6B">
        <w:rPr>
          <w:rFonts w:cs="Arial"/>
          <w:color w:val="000000" w:themeColor="text1"/>
        </w:rPr>
        <w:t xml:space="preserve"> to optionality and by the</w:t>
      </w:r>
      <w:r w:rsidR="0058532F">
        <w:rPr>
          <w:rFonts w:cs="Arial"/>
          <w:color w:val="000000" w:themeColor="text1"/>
        </w:rPr>
        <w:t xml:space="preserve"> academics’</w:t>
      </w:r>
      <w:r w:rsidRPr="00EF0E6B">
        <w:rPr>
          <w:rFonts w:cs="Arial"/>
          <w:color w:val="000000" w:themeColor="text1"/>
        </w:rPr>
        <w:t xml:space="preserve"> misplaced need for content. This might be increasingly problematic in undergraduate law degrees. </w:t>
      </w:r>
    </w:p>
    <w:p w14:paraId="6DBA6A23" w14:textId="77777777" w:rsidR="00765E64" w:rsidRPr="00EF0E6B" w:rsidRDefault="00765E64" w:rsidP="0003652C">
      <w:pPr>
        <w:spacing w:line="360" w:lineRule="auto"/>
        <w:rPr>
          <w:rFonts w:cs="Arial"/>
        </w:rPr>
      </w:pPr>
    </w:p>
    <w:p w14:paraId="6C73A132" w14:textId="77777777" w:rsidR="00765E64" w:rsidRPr="00EF0E6B" w:rsidRDefault="00765E64" w:rsidP="0003652C">
      <w:pPr>
        <w:spacing w:line="360" w:lineRule="auto"/>
        <w:rPr>
          <w:rFonts w:cs="Arial"/>
        </w:rPr>
      </w:pPr>
    </w:p>
    <w:p w14:paraId="53F14429" w14:textId="77777777" w:rsidR="00F83DDA" w:rsidRDefault="00F83DDA" w:rsidP="009779C0"/>
    <w:p w14:paraId="170DAFF0" w14:textId="77777777" w:rsidR="006370E7" w:rsidRDefault="006370E7" w:rsidP="009779C0"/>
    <w:p w14:paraId="3E82C75D" w14:textId="77777777" w:rsidR="00CD6E72" w:rsidRDefault="00CD6E72" w:rsidP="009779C0"/>
    <w:p w14:paraId="08C4EA80" w14:textId="77777777" w:rsidR="00CD6E72" w:rsidRDefault="00CD6E72" w:rsidP="009779C0"/>
    <w:p w14:paraId="08267B0B" w14:textId="77777777" w:rsidR="00CD6E72" w:rsidRDefault="00CD6E72" w:rsidP="009779C0"/>
    <w:p w14:paraId="4CE7E2DD" w14:textId="77777777" w:rsidR="00CD6E72" w:rsidRDefault="00CD6E72" w:rsidP="009779C0"/>
    <w:p w14:paraId="00C6D88F" w14:textId="77777777" w:rsidR="00CD6E72" w:rsidRDefault="00CD6E72" w:rsidP="009779C0"/>
    <w:p w14:paraId="17854D58" w14:textId="77777777" w:rsidR="00CD6E72" w:rsidRDefault="00CD6E72" w:rsidP="009779C0"/>
    <w:p w14:paraId="09016BAF" w14:textId="77777777" w:rsidR="00CD6E72" w:rsidRDefault="00CD6E72" w:rsidP="009779C0"/>
    <w:p w14:paraId="6A1F49C5" w14:textId="77777777" w:rsidR="00CA4832" w:rsidRPr="009779C0" w:rsidRDefault="00CA4832" w:rsidP="009779C0"/>
    <w:p w14:paraId="06EC19DC" w14:textId="4B2179BE" w:rsidR="006F3BFC" w:rsidRPr="00EF0E6B" w:rsidRDefault="00765E64" w:rsidP="006F3BFC">
      <w:pPr>
        <w:pStyle w:val="Heading1"/>
        <w:spacing w:before="100" w:after="100" w:afterAutospacing="1" w:line="360" w:lineRule="auto"/>
        <w:rPr>
          <w:rFonts w:ascii="Arial" w:hAnsi="Arial" w:cs="Arial"/>
          <w:lang w:val="fr-FR"/>
        </w:rPr>
      </w:pPr>
      <w:r w:rsidRPr="00EF0E6B">
        <w:rPr>
          <w:rFonts w:ascii="Arial" w:hAnsi="Arial" w:cs="Arial"/>
          <w:lang w:val="fr-FR"/>
        </w:rPr>
        <w:t> </w:t>
      </w:r>
      <w:bookmarkStart w:id="89" w:name="_Toc223348878"/>
      <w:r w:rsidRPr="00EF0E6B">
        <w:rPr>
          <w:rFonts w:ascii="Arial" w:hAnsi="Arial" w:cs="Arial"/>
          <w:lang w:val="fr-FR"/>
        </w:rPr>
        <w:t>The PRF and non and cross</w:t>
      </w:r>
      <w:r w:rsidR="00E85EC1">
        <w:rPr>
          <w:rFonts w:ascii="Arial" w:hAnsi="Arial" w:cs="Arial"/>
          <w:lang w:val="fr-FR"/>
        </w:rPr>
        <w:t>-</w:t>
      </w:r>
      <w:r w:rsidRPr="00EF0E6B">
        <w:rPr>
          <w:rFonts w:ascii="Arial" w:hAnsi="Arial" w:cs="Arial"/>
          <w:lang w:val="fr-FR"/>
        </w:rPr>
        <w:t>disciplinary impact</w:t>
      </w:r>
      <w:bookmarkEnd w:id="89"/>
    </w:p>
    <w:p w14:paraId="3464CD8A" w14:textId="1447DB24" w:rsidR="00F83DDA" w:rsidRPr="0003652C" w:rsidRDefault="00765E64" w:rsidP="0003652C">
      <w:pPr>
        <w:spacing w:line="360" w:lineRule="auto"/>
        <w:jc w:val="both"/>
        <w:rPr>
          <w:rFonts w:cs="Arial"/>
          <w:color w:val="000000" w:themeColor="text1"/>
        </w:rPr>
      </w:pPr>
      <w:r w:rsidRPr="0003652C">
        <w:rPr>
          <w:rFonts w:cs="Arial"/>
          <w:color w:val="000000" w:themeColor="text1"/>
        </w:rPr>
        <w:lastRenderedPageBreak/>
        <w:t xml:space="preserve">This chapter considers the non-disciplinary impact of the PRF on the design of the degree.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T</w:t>
      </w:r>
      <w:r w:rsidRPr="0003652C">
        <w:rPr>
          <w:rFonts w:cs="Arial"/>
          <w:color w:val="000000" w:themeColor="text1"/>
        </w:rPr>
        <w:t>hree</w:t>
      </w:r>
      <w:r w:rsidR="0058532F">
        <w:rPr>
          <w:rFonts w:cs="Arial"/>
          <w:color w:val="000000" w:themeColor="text1"/>
        </w:rPr>
        <w:t>,</w:t>
      </w:r>
      <w:r w:rsidRPr="0003652C">
        <w:rPr>
          <w:rFonts w:cs="Arial"/>
          <w:color w:val="000000" w:themeColor="text1"/>
        </w:rPr>
        <w:t xml:space="preserve"> the discipline</w:t>
      </w:r>
      <w:r w:rsidR="0058532F">
        <w:rPr>
          <w:rFonts w:cs="Arial"/>
          <w:color w:val="000000" w:themeColor="text1"/>
        </w:rPr>
        <w:t>’</w:t>
      </w:r>
      <w:r w:rsidRPr="0003652C">
        <w:rPr>
          <w:rFonts w:cs="Arial"/>
          <w:color w:val="000000" w:themeColor="text1"/>
        </w:rPr>
        <w:t>s regional nature was in</w:t>
      </w:r>
      <w:r w:rsidR="00F83DDA" w:rsidRPr="0003652C">
        <w:rPr>
          <w:rFonts w:cs="Arial"/>
          <w:color w:val="000000" w:themeColor="text1"/>
        </w:rPr>
        <w:t>terrogated</w:t>
      </w:r>
      <w:r w:rsidR="0058532F">
        <w:rPr>
          <w:rFonts w:cs="Arial"/>
          <w:color w:val="000000" w:themeColor="text1"/>
        </w:rPr>
        <w:t>.</w:t>
      </w:r>
      <w:r w:rsidRPr="0003652C">
        <w:rPr>
          <w:rFonts w:cs="Arial"/>
          <w:color w:val="000000" w:themeColor="text1"/>
        </w:rPr>
        <w:t xml:space="preserve"> </w:t>
      </w:r>
      <w:r w:rsidR="0058532F">
        <w:rPr>
          <w:rFonts w:cs="Arial"/>
          <w:color w:val="000000" w:themeColor="text1"/>
        </w:rPr>
        <w:t>I</w:t>
      </w:r>
      <w:r w:rsidR="0058532F" w:rsidRPr="0003652C">
        <w:rPr>
          <w:rFonts w:cs="Arial"/>
          <w:color w:val="000000" w:themeColor="text1"/>
        </w:rPr>
        <w:t xml:space="preserve">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S</w:t>
      </w:r>
      <w:r w:rsidR="00F83DDA" w:rsidRPr="0003652C">
        <w:rPr>
          <w:rFonts w:cs="Arial"/>
          <w:color w:val="000000" w:themeColor="text1"/>
        </w:rPr>
        <w:t>ix</w:t>
      </w:r>
      <w:r w:rsidR="0058532F">
        <w:rPr>
          <w:rFonts w:cs="Arial"/>
          <w:color w:val="000000" w:themeColor="text1"/>
        </w:rPr>
        <w:t>,</w:t>
      </w:r>
      <w:r w:rsidRPr="0003652C">
        <w:rPr>
          <w:rFonts w:cs="Arial"/>
          <w:color w:val="000000" w:themeColor="text1"/>
        </w:rPr>
        <w:t xml:space="preserve"> the external</w:t>
      </w:r>
      <w:r w:rsidR="0058532F">
        <w:rPr>
          <w:rFonts w:cs="Arial"/>
          <w:color w:val="000000" w:themeColor="text1"/>
        </w:rPr>
        <w:t>-</w:t>
      </w:r>
      <w:r w:rsidRPr="0003652C">
        <w:rPr>
          <w:rFonts w:cs="Arial"/>
          <w:color w:val="000000" w:themeColor="text1"/>
        </w:rPr>
        <w:t xml:space="preserve">looking aspects of that and the link between the discipline and the profession were considered in terms of impact. As discussed, Bernstein presented these horizontal knowledge structures as providing the potential for a discursive gap between mundane and sacred knowledge, but also as having the potential to impede access to powerful knowledge as they become competency-based assessments of ‘trainability’. He regarded the inclusion of the ‘generic’ as worthy of a separate performance mode from that of singular and regional, and considered ‘the construction and insertion of generic modes as the pedagogic basis of ‘work and ‘life’ experiences’ as ‘short-termism’ (Bernstein, 2000. </w:t>
      </w:r>
      <w:r w:rsidR="0058532F">
        <w:rPr>
          <w:rFonts w:cs="Arial"/>
          <w:color w:val="000000" w:themeColor="text1"/>
        </w:rPr>
        <w:t>p.</w:t>
      </w:r>
      <w:r w:rsidRPr="0003652C">
        <w:rPr>
          <w:rFonts w:cs="Arial"/>
          <w:color w:val="000000" w:themeColor="text1"/>
        </w:rPr>
        <w:t>59). Bernstein sees these generic modes as having ‘a set of general skills underlying a range of specific performances.’  These generic modes are constantly reinventing the learning rather than deepening understanding and are designed as ‘instrumentalities of the market’ (Bernstein, 2000,</w:t>
      </w:r>
      <w:r w:rsidR="00CD6E72">
        <w:rPr>
          <w:rFonts w:cs="Arial"/>
          <w:color w:val="000000" w:themeColor="text1"/>
        </w:rPr>
        <w:t xml:space="preserve"> p.</w:t>
      </w:r>
      <w:r w:rsidRPr="0003652C">
        <w:rPr>
          <w:rFonts w:cs="Arial"/>
          <w:color w:val="000000" w:themeColor="text1"/>
        </w:rPr>
        <w:t>55).</w:t>
      </w:r>
      <w:r w:rsidR="00F83DDA" w:rsidRPr="0003652C">
        <w:rPr>
          <w:rFonts w:cs="Arial"/>
          <w:color w:val="000000" w:themeColor="text1"/>
        </w:rPr>
        <w:t xml:space="preserve"> </w:t>
      </w:r>
      <w:r w:rsidRPr="0003652C">
        <w:rPr>
          <w:rFonts w:cs="Arial"/>
          <w:color w:val="000000" w:themeColor="text1"/>
        </w:rPr>
        <w:t>In this chapter</w:t>
      </w:r>
      <w:r w:rsidR="0058532F">
        <w:rPr>
          <w:rFonts w:cs="Arial"/>
          <w:color w:val="000000" w:themeColor="text1"/>
        </w:rPr>
        <w:t>,</w:t>
      </w:r>
      <w:r w:rsidRPr="0003652C">
        <w:rPr>
          <w:rFonts w:cs="Arial"/>
          <w:color w:val="000000" w:themeColor="text1"/>
        </w:rPr>
        <w:t xml:space="preserve"> I consider what might fall within the category of </w:t>
      </w:r>
      <w:r w:rsidR="00F83DDA" w:rsidRPr="0003652C">
        <w:rPr>
          <w:rFonts w:cs="Arial"/>
          <w:color w:val="000000" w:themeColor="text1"/>
        </w:rPr>
        <w:t xml:space="preserve">the </w:t>
      </w:r>
      <w:r w:rsidRPr="0003652C">
        <w:rPr>
          <w:rFonts w:cs="Arial"/>
          <w:color w:val="000000" w:themeColor="text1"/>
        </w:rPr>
        <w:t xml:space="preserve">generic and </w:t>
      </w:r>
      <w:r w:rsidR="00F83DDA" w:rsidRPr="0003652C">
        <w:rPr>
          <w:rFonts w:cs="Arial"/>
          <w:color w:val="000000" w:themeColor="text1"/>
        </w:rPr>
        <w:t>non-</w:t>
      </w:r>
      <w:r w:rsidRPr="0003652C">
        <w:rPr>
          <w:rFonts w:cs="Arial"/>
          <w:color w:val="000000" w:themeColor="text1"/>
        </w:rPr>
        <w:t xml:space="preserve">discipline specific. </w:t>
      </w:r>
    </w:p>
    <w:p w14:paraId="3E80F84D" w14:textId="14559719" w:rsidR="00765E64" w:rsidRPr="0003652C" w:rsidRDefault="00F83DDA" w:rsidP="0003652C">
      <w:pPr>
        <w:spacing w:line="360" w:lineRule="auto"/>
        <w:jc w:val="both"/>
        <w:rPr>
          <w:rFonts w:cs="Arial"/>
          <w:color w:val="000000" w:themeColor="text1"/>
        </w:rPr>
      </w:pPr>
      <w:r w:rsidRPr="0003652C">
        <w:rPr>
          <w:rFonts w:cs="Arial"/>
          <w:color w:val="000000" w:themeColor="text1"/>
        </w:rPr>
        <w:t xml:space="preserve">What </w:t>
      </w:r>
      <w:r w:rsidR="00E85EC1" w:rsidRPr="0003652C">
        <w:rPr>
          <w:rFonts w:cs="Arial"/>
          <w:color w:val="000000" w:themeColor="text1"/>
        </w:rPr>
        <w:t>is</w:t>
      </w:r>
      <w:r w:rsidRPr="0003652C">
        <w:rPr>
          <w:rFonts w:cs="Arial"/>
          <w:color w:val="000000" w:themeColor="text1"/>
        </w:rPr>
        <w:t xml:space="preserve"> evident f</w:t>
      </w:r>
      <w:r w:rsidR="0058532F">
        <w:rPr>
          <w:rFonts w:cs="Arial"/>
          <w:color w:val="000000" w:themeColor="text1"/>
        </w:rPr>
        <w:t>ro</w:t>
      </w:r>
      <w:r w:rsidRPr="0003652C">
        <w:rPr>
          <w:rFonts w:cs="Arial"/>
          <w:color w:val="000000" w:themeColor="text1"/>
        </w:rPr>
        <w:t xml:space="preserve">m the findings </w:t>
      </w:r>
      <w:r w:rsidR="00E85EC1" w:rsidRPr="0003652C">
        <w:rPr>
          <w:rFonts w:cs="Arial"/>
          <w:color w:val="000000" w:themeColor="text1"/>
        </w:rPr>
        <w:t>is</w:t>
      </w:r>
      <w:r w:rsidRPr="0003652C">
        <w:rPr>
          <w:rFonts w:cs="Arial"/>
          <w:color w:val="000000" w:themeColor="text1"/>
        </w:rPr>
        <w:t xml:space="preserve"> that various </w:t>
      </w:r>
      <w:r w:rsidR="00765E64" w:rsidRPr="0003652C">
        <w:rPr>
          <w:rFonts w:cs="Arial"/>
          <w:color w:val="000000" w:themeColor="text1"/>
        </w:rPr>
        <w:t xml:space="preserve">university agendas </w:t>
      </w:r>
      <w:r w:rsidR="00E85EC1" w:rsidRPr="0003652C">
        <w:rPr>
          <w:rFonts w:cs="Arial"/>
          <w:color w:val="000000" w:themeColor="text1"/>
        </w:rPr>
        <w:t>are</w:t>
      </w:r>
      <w:r w:rsidR="00765E64" w:rsidRPr="0003652C">
        <w:rPr>
          <w:rFonts w:cs="Arial"/>
          <w:color w:val="000000" w:themeColor="text1"/>
        </w:rPr>
        <w:t xml:space="preserve"> considered in</w:t>
      </w:r>
      <w:r w:rsidRPr="0003652C">
        <w:rPr>
          <w:rFonts w:cs="Arial"/>
          <w:color w:val="000000" w:themeColor="text1"/>
        </w:rPr>
        <w:t xml:space="preserve"> the process of</w:t>
      </w:r>
      <w:r w:rsidR="00765E64" w:rsidRPr="0003652C">
        <w:rPr>
          <w:rFonts w:cs="Arial"/>
          <w:color w:val="000000" w:themeColor="text1"/>
        </w:rPr>
        <w:t xml:space="preserve"> course design</w:t>
      </w:r>
      <w:r w:rsidR="0058532F">
        <w:rPr>
          <w:rFonts w:cs="Arial"/>
          <w:color w:val="000000" w:themeColor="text1"/>
        </w:rPr>
        <w:t>.</w:t>
      </w:r>
      <w:r w:rsidRPr="0003652C">
        <w:rPr>
          <w:rFonts w:cs="Arial"/>
          <w:color w:val="000000" w:themeColor="text1"/>
        </w:rPr>
        <w:t xml:space="preserve"> An example of one that was mentioned on several occasions was the</w:t>
      </w:r>
      <w:r w:rsidR="00765E64" w:rsidRPr="0003652C">
        <w:rPr>
          <w:rFonts w:cs="Arial"/>
          <w:color w:val="000000" w:themeColor="text1"/>
        </w:rPr>
        <w:t xml:space="preserve"> </w:t>
      </w:r>
      <w:r w:rsidR="0058532F">
        <w:rPr>
          <w:rFonts w:cs="Arial"/>
          <w:color w:val="000000" w:themeColor="text1"/>
        </w:rPr>
        <w:t>S</w:t>
      </w:r>
      <w:r w:rsidR="00765E64" w:rsidRPr="0003652C">
        <w:rPr>
          <w:rFonts w:cs="Arial"/>
          <w:color w:val="000000" w:themeColor="text1"/>
        </w:rPr>
        <w:t>ustainab</w:t>
      </w:r>
      <w:r w:rsidR="0058532F">
        <w:rPr>
          <w:rFonts w:cs="Arial"/>
          <w:color w:val="000000" w:themeColor="text1"/>
        </w:rPr>
        <w:t>le</w:t>
      </w:r>
      <w:r w:rsidR="00765E64" w:rsidRPr="0003652C">
        <w:rPr>
          <w:rFonts w:cs="Arial"/>
          <w:color w:val="000000" w:themeColor="text1"/>
        </w:rPr>
        <w:t xml:space="preserve"> </w:t>
      </w:r>
      <w:r w:rsidR="0058532F">
        <w:rPr>
          <w:rFonts w:cs="Arial"/>
          <w:color w:val="000000" w:themeColor="text1"/>
        </w:rPr>
        <w:t>D</w:t>
      </w:r>
      <w:r w:rsidR="00765E64" w:rsidRPr="0003652C">
        <w:rPr>
          <w:rFonts w:cs="Arial"/>
          <w:color w:val="000000" w:themeColor="text1"/>
        </w:rPr>
        <w:t xml:space="preserve">evelopment </w:t>
      </w:r>
      <w:r w:rsidR="0058532F">
        <w:rPr>
          <w:rFonts w:cs="Arial"/>
          <w:color w:val="000000" w:themeColor="text1"/>
        </w:rPr>
        <w:t>A</w:t>
      </w:r>
      <w:r w:rsidR="00765E64" w:rsidRPr="0003652C">
        <w:rPr>
          <w:rFonts w:cs="Arial"/>
          <w:color w:val="000000" w:themeColor="text1"/>
        </w:rPr>
        <w:t xml:space="preserve">genda (UN, 2015). </w:t>
      </w:r>
      <w:r w:rsidRPr="0003652C">
        <w:rPr>
          <w:rFonts w:cs="Arial"/>
          <w:color w:val="000000" w:themeColor="text1"/>
        </w:rPr>
        <w:t>Often</w:t>
      </w:r>
      <w:r w:rsidR="0058532F">
        <w:rPr>
          <w:rFonts w:cs="Arial"/>
          <w:color w:val="000000" w:themeColor="text1"/>
        </w:rPr>
        <w:t>,</w:t>
      </w:r>
      <w:r w:rsidRPr="0003652C">
        <w:rPr>
          <w:rFonts w:cs="Arial"/>
          <w:color w:val="000000" w:themeColor="text1"/>
        </w:rPr>
        <w:t xml:space="preserve"> </w:t>
      </w:r>
      <w:r w:rsidR="0058532F">
        <w:rPr>
          <w:rFonts w:cs="Arial"/>
          <w:color w:val="000000" w:themeColor="text1"/>
        </w:rPr>
        <w:t>however,</w:t>
      </w:r>
      <w:r w:rsidRPr="0003652C">
        <w:rPr>
          <w:rFonts w:cs="Arial"/>
          <w:color w:val="000000" w:themeColor="text1"/>
        </w:rPr>
        <w:t xml:space="preserve"> these agendas represented </w:t>
      </w:r>
      <w:r w:rsidR="00765E64" w:rsidRPr="0003652C">
        <w:rPr>
          <w:rFonts w:cs="Arial"/>
          <w:color w:val="000000" w:themeColor="text1"/>
        </w:rPr>
        <w:t>mapping or signposting exercise</w:t>
      </w:r>
      <w:r w:rsidRPr="0003652C">
        <w:rPr>
          <w:rFonts w:cs="Arial"/>
          <w:color w:val="000000" w:themeColor="text1"/>
        </w:rPr>
        <w:t>s</w:t>
      </w:r>
      <w:r w:rsidR="00765E64" w:rsidRPr="0003652C">
        <w:rPr>
          <w:rFonts w:cs="Arial"/>
          <w:color w:val="000000" w:themeColor="text1"/>
        </w:rPr>
        <w:t xml:space="preserve">, </w:t>
      </w:r>
      <w:r w:rsidRPr="0003652C">
        <w:rPr>
          <w:rFonts w:cs="Arial"/>
          <w:color w:val="000000" w:themeColor="text1"/>
        </w:rPr>
        <w:t>reflecting what was thought to be</w:t>
      </w:r>
      <w:r w:rsidR="00765E64" w:rsidRPr="0003652C">
        <w:rPr>
          <w:rFonts w:cs="Arial"/>
          <w:color w:val="000000" w:themeColor="text1"/>
        </w:rPr>
        <w:t xml:space="preserve"> already embedded or forming part of the marketing messaging to potential students</w:t>
      </w:r>
      <w:r w:rsidR="0058532F">
        <w:rPr>
          <w:rFonts w:cs="Arial"/>
          <w:color w:val="000000" w:themeColor="text1"/>
        </w:rPr>
        <w:t>.</w:t>
      </w:r>
    </w:p>
    <w:p w14:paraId="60999453" w14:textId="32924C6F" w:rsidR="00765E64" w:rsidRPr="0003652C" w:rsidRDefault="00765E64" w:rsidP="008446AA">
      <w:pPr>
        <w:spacing w:line="360" w:lineRule="auto"/>
        <w:ind w:left="720"/>
        <w:jc w:val="both"/>
        <w:rPr>
          <w:rFonts w:cs="Arial"/>
          <w:color w:val="000000" w:themeColor="text1"/>
        </w:rPr>
      </w:pPr>
      <w:r w:rsidRPr="0003652C">
        <w:rPr>
          <w:rFonts w:cs="Arial"/>
          <w:color w:val="000000" w:themeColor="text1"/>
        </w:rPr>
        <w:t>I think the students and parents we are marketing to have also changed massively. I think there's an element to which we're adapting to what they want to hear. And even if our substance hasn't always changed that much</w:t>
      </w:r>
      <w:r w:rsidR="00AC7EB6" w:rsidRPr="0003652C">
        <w:rPr>
          <w:rFonts w:cs="Arial"/>
          <w:color w:val="000000" w:themeColor="text1"/>
        </w:rPr>
        <w:t xml:space="preserve"> (S).</w:t>
      </w:r>
    </w:p>
    <w:p w14:paraId="5CBB07CE" w14:textId="0F04C45B" w:rsidR="00765E64" w:rsidRPr="0003652C" w:rsidRDefault="00765E64" w:rsidP="0003652C">
      <w:pPr>
        <w:spacing w:line="360" w:lineRule="auto"/>
        <w:jc w:val="both"/>
        <w:rPr>
          <w:rFonts w:cs="Arial"/>
          <w:color w:val="000000" w:themeColor="text1"/>
        </w:rPr>
      </w:pPr>
      <w:r w:rsidRPr="0003652C">
        <w:rPr>
          <w:rFonts w:cs="Arial"/>
          <w:color w:val="000000" w:themeColor="text1"/>
        </w:rPr>
        <w:t>The main themes</w:t>
      </w:r>
      <w:r w:rsidR="0058532F">
        <w:rPr>
          <w:rFonts w:cs="Arial"/>
          <w:color w:val="000000" w:themeColor="text1"/>
        </w:rPr>
        <w:t>,</w:t>
      </w:r>
      <w:r w:rsidRPr="0003652C">
        <w:rPr>
          <w:rFonts w:cs="Arial"/>
          <w:color w:val="000000" w:themeColor="text1"/>
        </w:rPr>
        <w:t xml:space="preserve"> however</w:t>
      </w:r>
      <w:r w:rsidR="0058532F">
        <w:rPr>
          <w:rFonts w:cs="Arial"/>
          <w:color w:val="000000" w:themeColor="text1"/>
        </w:rPr>
        <w:t>,</w:t>
      </w:r>
      <w:r w:rsidRPr="0003652C">
        <w:rPr>
          <w:rFonts w:cs="Arial"/>
          <w:color w:val="000000" w:themeColor="text1"/>
        </w:rPr>
        <w:t xml:space="preserve"> </w:t>
      </w:r>
      <w:r w:rsidR="00F83DDA" w:rsidRPr="0003652C">
        <w:rPr>
          <w:rFonts w:cs="Arial"/>
          <w:color w:val="000000" w:themeColor="text1"/>
        </w:rPr>
        <w:t>extend the investigation from</w:t>
      </w:r>
      <w:r w:rsidRPr="0003652C">
        <w:rPr>
          <w:rFonts w:cs="Arial"/>
          <w:color w:val="000000" w:themeColor="text1"/>
        </w:rPr>
        <w:t xml:space="preserve"> those presented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S</w:t>
      </w:r>
      <w:r w:rsidR="00F83DDA" w:rsidRPr="0003652C">
        <w:rPr>
          <w:rFonts w:cs="Arial"/>
          <w:color w:val="000000" w:themeColor="text1"/>
        </w:rPr>
        <w:t xml:space="preserve">even </w:t>
      </w:r>
      <w:r w:rsidRPr="0003652C">
        <w:rPr>
          <w:rFonts w:cs="Arial"/>
          <w:color w:val="000000" w:themeColor="text1"/>
        </w:rPr>
        <w:t>and the impact on disciplinary content of the degree</w:t>
      </w:r>
      <w:r w:rsidR="00F83DDA" w:rsidRPr="0003652C">
        <w:rPr>
          <w:rFonts w:cs="Arial"/>
          <w:color w:val="000000" w:themeColor="text1"/>
        </w:rPr>
        <w:t xml:space="preserve">. These were </w:t>
      </w:r>
      <w:r w:rsidRPr="0003652C">
        <w:rPr>
          <w:rFonts w:cs="Arial"/>
          <w:color w:val="000000" w:themeColor="text1"/>
        </w:rPr>
        <w:t>the introduction of skills</w:t>
      </w:r>
      <w:r w:rsidR="00076305" w:rsidRPr="0003652C">
        <w:rPr>
          <w:rFonts w:cs="Arial"/>
          <w:color w:val="000000" w:themeColor="text1"/>
        </w:rPr>
        <w:t>,</w:t>
      </w:r>
      <w:r w:rsidRPr="0003652C">
        <w:rPr>
          <w:rFonts w:cs="Arial"/>
          <w:color w:val="000000" w:themeColor="text1"/>
        </w:rPr>
        <w:t xml:space="preserve"> in the c</w:t>
      </w:r>
      <w:r w:rsidR="00F63B36">
        <w:rPr>
          <w:rFonts w:cs="Arial"/>
          <w:color w:val="000000" w:themeColor="text1"/>
        </w:rPr>
        <w:t>ourse design</w:t>
      </w:r>
      <w:r w:rsidRPr="0003652C">
        <w:rPr>
          <w:rFonts w:cs="Arial"/>
          <w:color w:val="000000" w:themeColor="text1"/>
        </w:rPr>
        <w:t xml:space="preserve"> first</w:t>
      </w:r>
      <w:r w:rsidR="00076305" w:rsidRPr="0003652C">
        <w:rPr>
          <w:rFonts w:cs="Arial"/>
          <w:color w:val="000000" w:themeColor="text1"/>
        </w:rPr>
        <w:t xml:space="preserve"> </w:t>
      </w:r>
      <w:r w:rsidRPr="0003652C">
        <w:rPr>
          <w:rFonts w:cs="Arial"/>
          <w:color w:val="000000" w:themeColor="text1"/>
        </w:rPr>
        <w:t xml:space="preserve">as relevant to both the students’ </w:t>
      </w:r>
      <w:r w:rsidRPr="0003652C">
        <w:rPr>
          <w:rFonts w:cs="Arial"/>
          <w:color w:val="000000" w:themeColor="text1"/>
        </w:rPr>
        <w:lastRenderedPageBreak/>
        <w:t xml:space="preserve">progression on the degree and </w:t>
      </w:r>
      <w:r w:rsidR="00076305" w:rsidRPr="0003652C">
        <w:rPr>
          <w:rFonts w:cs="Arial"/>
          <w:color w:val="000000" w:themeColor="text1"/>
        </w:rPr>
        <w:t>in preparing them for post-graduation,</w:t>
      </w:r>
      <w:r w:rsidRPr="0003652C">
        <w:rPr>
          <w:rFonts w:cs="Arial"/>
          <w:color w:val="000000" w:themeColor="text1"/>
        </w:rPr>
        <w:t xml:space="preserve"> and then </w:t>
      </w:r>
      <w:r w:rsidR="00076305" w:rsidRPr="0003652C">
        <w:rPr>
          <w:rFonts w:cs="Arial"/>
          <w:color w:val="000000" w:themeColor="text1"/>
        </w:rPr>
        <w:t>in</w:t>
      </w:r>
      <w:r w:rsidRPr="0003652C">
        <w:rPr>
          <w:rFonts w:cs="Arial"/>
          <w:color w:val="000000" w:themeColor="text1"/>
        </w:rPr>
        <w:t xml:space="preserve"> the wider </w:t>
      </w:r>
      <w:r w:rsidR="00076305" w:rsidRPr="0003652C">
        <w:rPr>
          <w:rFonts w:cs="Arial"/>
          <w:color w:val="000000" w:themeColor="text1"/>
        </w:rPr>
        <w:t>context of</w:t>
      </w:r>
      <w:r w:rsidRPr="0003652C">
        <w:rPr>
          <w:rFonts w:cs="Arial"/>
          <w:color w:val="000000" w:themeColor="text1"/>
        </w:rPr>
        <w:t xml:space="preserve"> employability.</w:t>
      </w:r>
    </w:p>
    <w:p w14:paraId="4C529BEE" w14:textId="44ED8AE9" w:rsidR="00765E64" w:rsidRPr="006370E7" w:rsidRDefault="00765E64" w:rsidP="006370E7">
      <w:pPr>
        <w:spacing w:line="360" w:lineRule="auto"/>
        <w:jc w:val="both"/>
        <w:rPr>
          <w:rFonts w:cs="Arial"/>
          <w:color w:val="000000" w:themeColor="text1"/>
        </w:rPr>
      </w:pPr>
      <w:r w:rsidRPr="0003652C">
        <w:rPr>
          <w:rFonts w:cs="Arial"/>
          <w:color w:val="000000" w:themeColor="text1"/>
        </w:rPr>
        <w:t>Having considered the non-disciplinary impact, I then turn to the cross</w:t>
      </w:r>
      <w:r w:rsidR="008E253F">
        <w:rPr>
          <w:rFonts w:cs="Arial"/>
          <w:color w:val="000000" w:themeColor="text1"/>
        </w:rPr>
        <w:t>-</w:t>
      </w:r>
      <w:r w:rsidRPr="0003652C">
        <w:rPr>
          <w:rFonts w:cs="Arial"/>
          <w:color w:val="000000" w:themeColor="text1"/>
        </w:rPr>
        <w:t xml:space="preserve">disciplinary programme level classification and </w:t>
      </w:r>
      <w:r w:rsidR="009779C0" w:rsidRPr="0003652C">
        <w:rPr>
          <w:rFonts w:cs="Arial"/>
          <w:color w:val="000000" w:themeColor="text1"/>
        </w:rPr>
        <w:t xml:space="preserve">framing </w:t>
      </w:r>
      <w:r w:rsidR="00076305" w:rsidRPr="0003652C">
        <w:rPr>
          <w:rFonts w:cs="Arial"/>
          <w:color w:val="000000" w:themeColor="text1"/>
        </w:rPr>
        <w:t xml:space="preserve">within the curriculum </w:t>
      </w:r>
      <w:r w:rsidR="009779C0" w:rsidRPr="0003652C">
        <w:rPr>
          <w:rFonts w:cs="Arial"/>
          <w:color w:val="000000" w:themeColor="text1"/>
        </w:rPr>
        <w:t>and</w:t>
      </w:r>
      <w:r w:rsidRPr="0003652C">
        <w:rPr>
          <w:rFonts w:cs="Arial"/>
          <w:color w:val="000000" w:themeColor="text1"/>
        </w:rPr>
        <w:t xml:space="preserve"> consider some of the reactions to challenges</w:t>
      </w:r>
      <w:r w:rsidR="00076305" w:rsidRPr="0003652C">
        <w:rPr>
          <w:rFonts w:cs="Arial"/>
          <w:color w:val="000000" w:themeColor="text1"/>
        </w:rPr>
        <w:t xml:space="preserve"> posed</w:t>
      </w:r>
      <w:r w:rsidRPr="0003652C">
        <w:rPr>
          <w:rFonts w:cs="Arial"/>
          <w:color w:val="000000" w:themeColor="text1"/>
        </w:rPr>
        <w:t xml:space="preserve"> in design. </w:t>
      </w:r>
    </w:p>
    <w:p w14:paraId="2AA8B8D5" w14:textId="67F6DACB" w:rsidR="006F3BFC" w:rsidRPr="0003652C" w:rsidRDefault="00765E64" w:rsidP="0003652C">
      <w:pPr>
        <w:pStyle w:val="Heading2"/>
        <w:spacing w:before="100" w:after="100" w:afterAutospacing="1" w:line="360" w:lineRule="auto"/>
        <w:rPr>
          <w:rFonts w:ascii="Arial" w:hAnsi="Arial" w:cs="Arial"/>
          <w:lang w:val="fr-FR"/>
        </w:rPr>
      </w:pPr>
      <w:bookmarkStart w:id="90" w:name="_Toc223348879"/>
      <w:r w:rsidRPr="0003652C">
        <w:rPr>
          <w:rFonts w:ascii="Arial" w:hAnsi="Arial" w:cs="Arial"/>
          <w:lang w:val="fr-FR"/>
        </w:rPr>
        <w:t>Non-disciplinary impact: The skills agenda</w:t>
      </w:r>
      <w:bookmarkEnd w:id="90"/>
    </w:p>
    <w:p w14:paraId="148571CA" w14:textId="7B1F205E"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A very prominent theme that arose from the interviews with participants across all </w:t>
      </w:r>
      <w:r w:rsidR="00AA70FC">
        <w:rPr>
          <w:rFonts w:cs="Arial"/>
          <w:color w:val="000000" w:themeColor="text1"/>
        </w:rPr>
        <w:t>school</w:t>
      </w:r>
      <w:r w:rsidR="00AA70FC" w:rsidRPr="0003652C">
        <w:rPr>
          <w:rFonts w:cs="Arial"/>
          <w:color w:val="000000" w:themeColor="text1"/>
        </w:rPr>
        <w:t xml:space="preserve">s </w:t>
      </w:r>
      <w:r w:rsidRPr="0003652C">
        <w:rPr>
          <w:rFonts w:cs="Arial"/>
          <w:color w:val="000000" w:themeColor="text1"/>
        </w:rPr>
        <w:t>was the inclusion of skills in the curriculum</w:t>
      </w:r>
      <w:r w:rsidR="009C67F9" w:rsidRPr="0003652C">
        <w:rPr>
          <w:rFonts w:cs="Arial"/>
          <w:color w:val="000000" w:themeColor="text1"/>
        </w:rPr>
        <w:t xml:space="preserve"> (Appendix </w:t>
      </w:r>
      <w:r w:rsidR="008E253F">
        <w:rPr>
          <w:rFonts w:cs="Arial"/>
          <w:color w:val="000000" w:themeColor="text1"/>
        </w:rPr>
        <w:t>F</w:t>
      </w:r>
      <w:r w:rsidR="008E253F" w:rsidRPr="0003652C">
        <w:rPr>
          <w:rFonts w:cs="Arial"/>
          <w:color w:val="000000" w:themeColor="text1"/>
        </w:rPr>
        <w:t>ive</w:t>
      </w:r>
      <w:r w:rsidR="009C67F9" w:rsidRPr="0003652C">
        <w:rPr>
          <w:rFonts w:cs="Arial"/>
          <w:color w:val="000000" w:themeColor="text1"/>
        </w:rPr>
        <w:t>, Table 8.1)</w:t>
      </w:r>
      <w:r w:rsidRPr="0003652C">
        <w:rPr>
          <w:rFonts w:cs="Arial"/>
          <w:color w:val="000000" w:themeColor="text1"/>
        </w:rPr>
        <w:t xml:space="preserve">. I have already discussed legal skills and simulations, and their inclusion in the degree. Accepting that there are not always clear boundaries between legal knowledge, legal skills and other skills (Guth, 2020), the skills reflected on here are the more generic, non-disciplinary skills included with a view to supporting students through and beyond their study. </w:t>
      </w:r>
    </w:p>
    <w:p w14:paraId="4BACD082" w14:textId="05CBCF4E"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The influence here is complex.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F</w:t>
      </w:r>
      <w:r w:rsidR="00076305" w:rsidRPr="0003652C">
        <w:rPr>
          <w:rFonts w:cs="Arial"/>
          <w:color w:val="000000" w:themeColor="text1"/>
        </w:rPr>
        <w:t>ive</w:t>
      </w:r>
      <w:r w:rsidR="008E253F">
        <w:rPr>
          <w:rFonts w:cs="Arial"/>
          <w:color w:val="000000" w:themeColor="text1"/>
        </w:rPr>
        <w:t>,</w:t>
      </w:r>
      <w:r w:rsidRPr="0003652C">
        <w:rPr>
          <w:rFonts w:cs="Arial"/>
          <w:color w:val="000000" w:themeColor="text1"/>
        </w:rPr>
        <w:t xml:space="preserve"> the increasing engagement of the state in the </w:t>
      </w:r>
      <w:r w:rsidR="00076305" w:rsidRPr="0003652C">
        <w:rPr>
          <w:rFonts w:cs="Arial"/>
          <w:color w:val="000000" w:themeColor="text1"/>
        </w:rPr>
        <w:t>official recontextualising field</w:t>
      </w:r>
      <w:r w:rsidR="008E253F">
        <w:rPr>
          <w:rFonts w:cs="Arial"/>
          <w:color w:val="000000" w:themeColor="text1"/>
        </w:rPr>
        <w:t>,</w:t>
      </w:r>
      <w:r w:rsidRPr="0003652C">
        <w:rPr>
          <w:rFonts w:cs="Arial"/>
          <w:color w:val="000000" w:themeColor="text1"/>
        </w:rPr>
        <w:t xml:space="preserve"> </w:t>
      </w:r>
      <w:r w:rsidR="00076305" w:rsidRPr="0003652C">
        <w:rPr>
          <w:rFonts w:cs="Arial"/>
          <w:color w:val="000000" w:themeColor="text1"/>
        </w:rPr>
        <w:t>‘</w:t>
      </w:r>
      <w:r w:rsidRPr="0003652C">
        <w:rPr>
          <w:rFonts w:cs="Arial"/>
          <w:color w:val="000000" w:themeColor="text1"/>
        </w:rPr>
        <w:t>metricising</w:t>
      </w:r>
      <w:r w:rsidR="00076305" w:rsidRPr="0003652C">
        <w:rPr>
          <w:rFonts w:cs="Arial"/>
          <w:color w:val="000000" w:themeColor="text1"/>
        </w:rPr>
        <w:t>’</w:t>
      </w:r>
      <w:r w:rsidRPr="0003652C">
        <w:rPr>
          <w:rFonts w:cs="Arial"/>
          <w:color w:val="000000" w:themeColor="text1"/>
        </w:rPr>
        <w:t xml:space="preserve"> higher education</w:t>
      </w:r>
      <w:r w:rsidR="008E253F">
        <w:rPr>
          <w:rFonts w:cs="Arial"/>
          <w:color w:val="000000" w:themeColor="text1"/>
        </w:rPr>
        <w:t>,</w:t>
      </w:r>
      <w:r w:rsidRPr="0003652C">
        <w:rPr>
          <w:rFonts w:cs="Arial"/>
          <w:color w:val="000000" w:themeColor="text1"/>
        </w:rPr>
        <w:t xml:space="preserve"> was discussed. Whilst this </w:t>
      </w:r>
      <w:r w:rsidR="00076305" w:rsidRPr="0003652C">
        <w:rPr>
          <w:rFonts w:cs="Arial"/>
          <w:color w:val="000000" w:themeColor="text1"/>
        </w:rPr>
        <w:t>trend has not required particular content or design in degrees,</w:t>
      </w:r>
      <w:r w:rsidR="00A82A71" w:rsidRPr="0003652C">
        <w:rPr>
          <w:rFonts w:cs="Arial"/>
          <w:color w:val="000000" w:themeColor="text1"/>
        </w:rPr>
        <w:t xml:space="preserve"> </w:t>
      </w:r>
      <w:r w:rsidR="00076305" w:rsidRPr="0003652C">
        <w:rPr>
          <w:rFonts w:cs="Arial"/>
          <w:color w:val="000000" w:themeColor="text1"/>
        </w:rPr>
        <w:t xml:space="preserve">very much like the regulatory bodies, </w:t>
      </w:r>
      <w:r w:rsidR="00A82A71" w:rsidRPr="0003652C">
        <w:rPr>
          <w:rFonts w:cs="Arial"/>
          <w:color w:val="000000" w:themeColor="text1"/>
        </w:rPr>
        <w:t xml:space="preserve">it </w:t>
      </w:r>
      <w:r w:rsidR="00076305" w:rsidRPr="0003652C">
        <w:rPr>
          <w:rFonts w:cs="Arial"/>
          <w:color w:val="000000" w:themeColor="text1"/>
        </w:rPr>
        <w:t>presents a</w:t>
      </w:r>
      <w:r w:rsidRPr="0003652C">
        <w:rPr>
          <w:rFonts w:cs="Arial"/>
          <w:color w:val="000000" w:themeColor="text1"/>
        </w:rPr>
        <w:t xml:space="preserve"> strong indirect influence. The autonomy in implementation for much of this is left to the agents in the PRF. The skills agenda has always been heavily influenced by the </w:t>
      </w:r>
      <w:r w:rsidR="00076305" w:rsidRPr="0003652C">
        <w:rPr>
          <w:rFonts w:cs="Arial"/>
          <w:color w:val="000000" w:themeColor="text1"/>
        </w:rPr>
        <w:t>marketisation</w:t>
      </w:r>
      <w:r w:rsidRPr="0003652C">
        <w:rPr>
          <w:rFonts w:cs="Arial"/>
          <w:color w:val="000000" w:themeColor="text1"/>
        </w:rPr>
        <w:t xml:space="preserve"> in higher education, and this is equally so for legal education (Twining, 1988; Guth, 2020). It </w:t>
      </w:r>
      <w:r w:rsidR="00076305" w:rsidRPr="0003652C">
        <w:rPr>
          <w:rFonts w:cs="Arial"/>
          <w:color w:val="000000" w:themeColor="text1"/>
        </w:rPr>
        <w:t>represents a response</w:t>
      </w:r>
      <w:r w:rsidRPr="0003652C">
        <w:rPr>
          <w:rFonts w:cs="Arial"/>
          <w:color w:val="000000" w:themeColor="text1"/>
        </w:rPr>
        <w:t xml:space="preserve"> to the changing needs of the student demographic </w:t>
      </w:r>
      <w:r w:rsidR="00076305" w:rsidRPr="0003652C">
        <w:rPr>
          <w:rFonts w:cs="Arial"/>
          <w:color w:val="000000" w:themeColor="text1"/>
        </w:rPr>
        <w:t xml:space="preserve">and their </w:t>
      </w:r>
      <w:r w:rsidRPr="0003652C">
        <w:rPr>
          <w:rFonts w:cs="Arial"/>
          <w:color w:val="000000" w:themeColor="text1"/>
        </w:rPr>
        <w:t xml:space="preserve">academic and literacy skills (Zhu &amp; Evans, 2024). </w:t>
      </w:r>
    </w:p>
    <w:p w14:paraId="706CA8B6" w14:textId="372DE92F" w:rsidR="00765E64" w:rsidRPr="0003652C" w:rsidRDefault="00076305" w:rsidP="0003652C">
      <w:pPr>
        <w:spacing w:line="360" w:lineRule="auto"/>
        <w:jc w:val="both"/>
        <w:rPr>
          <w:rFonts w:cs="Arial"/>
          <w:color w:val="000000" w:themeColor="text1"/>
        </w:rPr>
      </w:pPr>
      <w:r w:rsidRPr="0003652C">
        <w:rPr>
          <w:rFonts w:cs="Arial"/>
          <w:color w:val="000000" w:themeColor="text1"/>
        </w:rPr>
        <w:t>The participants often reflected on the need for skills provision in the degree, although they rarely referenced this back</w:t>
      </w:r>
      <w:r w:rsidR="00F653A6" w:rsidRPr="0003652C">
        <w:rPr>
          <w:rFonts w:cs="Arial"/>
          <w:color w:val="000000" w:themeColor="text1"/>
        </w:rPr>
        <w:t xml:space="preserve"> directly</w:t>
      </w:r>
      <w:r w:rsidRPr="0003652C">
        <w:rPr>
          <w:rFonts w:cs="Arial"/>
          <w:color w:val="000000" w:themeColor="text1"/>
        </w:rPr>
        <w:t xml:space="preserve"> to the pressures on the</w:t>
      </w:r>
      <w:r w:rsidR="00F653A6" w:rsidRPr="0003652C">
        <w:rPr>
          <w:rFonts w:cs="Arial"/>
          <w:color w:val="000000" w:themeColor="text1"/>
        </w:rPr>
        <w:t>m</w:t>
      </w:r>
      <w:r w:rsidRPr="0003652C">
        <w:rPr>
          <w:rFonts w:cs="Arial"/>
          <w:color w:val="000000" w:themeColor="text1"/>
        </w:rPr>
        <w:t xml:space="preserve">, due to the metrics present in the Teaching Excellence Framework or league tables. The reason for the inclusion of skills support </w:t>
      </w:r>
      <w:r w:rsidR="00765E64" w:rsidRPr="0003652C">
        <w:rPr>
          <w:rFonts w:cs="Arial"/>
          <w:color w:val="000000" w:themeColor="text1"/>
        </w:rPr>
        <w:t xml:space="preserve">was nearly always explained, sometimes very emotively, in the context of a desire to support the students. All the designers reflected on the identity or identities of their students, </w:t>
      </w:r>
      <w:r w:rsidR="00F653A6" w:rsidRPr="0003652C">
        <w:rPr>
          <w:rFonts w:cs="Arial"/>
          <w:color w:val="000000" w:themeColor="text1"/>
        </w:rPr>
        <w:t xml:space="preserve">and the needs of the students </w:t>
      </w:r>
      <w:r w:rsidR="00765E64" w:rsidRPr="0003652C">
        <w:rPr>
          <w:rFonts w:cs="Arial"/>
          <w:color w:val="000000" w:themeColor="text1"/>
        </w:rPr>
        <w:t xml:space="preserve">often equalled or superseded other drivers in the design. </w:t>
      </w:r>
      <w:r w:rsidR="00765E64" w:rsidRPr="0003652C">
        <w:rPr>
          <w:rFonts w:cs="Arial"/>
          <w:color w:val="000000" w:themeColor="text1"/>
        </w:rPr>
        <w:lastRenderedPageBreak/>
        <w:t xml:space="preserve">This had a strong influence in relation to skills, with designers highlighting the importance of knowing their students, both individually and as a cohort, and the influence of that on the provision of skills and what follows in relation to employability in the next section. The emphasis on academic and ‘soft’ skills was also reflected </w:t>
      </w:r>
      <w:r w:rsidR="00F653A6" w:rsidRPr="0003652C">
        <w:rPr>
          <w:rFonts w:cs="Arial"/>
          <w:color w:val="000000" w:themeColor="text1"/>
        </w:rPr>
        <w:t>within the context of the</w:t>
      </w:r>
      <w:r w:rsidR="00765E64" w:rsidRPr="0003652C">
        <w:rPr>
          <w:rFonts w:cs="Arial"/>
          <w:color w:val="000000" w:themeColor="text1"/>
        </w:rPr>
        <w:t xml:space="preserve"> experiences of the designer</w:t>
      </w:r>
      <w:r w:rsidR="008E253F">
        <w:rPr>
          <w:rFonts w:cs="Arial"/>
          <w:color w:val="000000" w:themeColor="text1"/>
        </w:rPr>
        <w:t>s</w:t>
      </w:r>
      <w:r w:rsidR="00765E64" w:rsidRPr="0003652C">
        <w:rPr>
          <w:rFonts w:cs="Arial"/>
          <w:color w:val="000000" w:themeColor="text1"/>
        </w:rPr>
        <w:t xml:space="preserve"> themselves, at university or in the workplace, and the designer</w:t>
      </w:r>
      <w:r w:rsidR="008E253F">
        <w:rPr>
          <w:rFonts w:cs="Arial"/>
          <w:color w:val="000000" w:themeColor="text1"/>
        </w:rPr>
        <w:t>s</w:t>
      </w:r>
      <w:r w:rsidR="00765E64" w:rsidRPr="0003652C">
        <w:rPr>
          <w:rFonts w:cs="Arial"/>
          <w:color w:val="000000" w:themeColor="text1"/>
        </w:rPr>
        <w:t xml:space="preserve"> often reflected on their choice of career path within this context. </w:t>
      </w:r>
    </w:p>
    <w:p w14:paraId="456E5474" w14:textId="10C1E054" w:rsidR="00765E64" w:rsidRPr="006370E7" w:rsidRDefault="00765E64" w:rsidP="0003652C">
      <w:pPr>
        <w:spacing w:line="360" w:lineRule="auto"/>
        <w:jc w:val="both"/>
        <w:rPr>
          <w:rFonts w:cs="Arial"/>
        </w:rPr>
      </w:pPr>
      <w:r w:rsidRPr="0003652C">
        <w:rPr>
          <w:rFonts w:cs="Arial"/>
          <w:color w:val="000000" w:themeColor="text1"/>
        </w:rPr>
        <w:t xml:space="preserve">The increasing diversity of the cohort was often presented as the driver for the skills agenda. </w:t>
      </w:r>
      <w:r w:rsidRPr="0003652C">
        <w:rPr>
          <w:rFonts w:cs="Arial"/>
        </w:rPr>
        <w:t xml:space="preserve">In the selective </w:t>
      </w:r>
      <w:r w:rsidR="00AA70FC">
        <w:rPr>
          <w:rFonts w:cs="Arial"/>
        </w:rPr>
        <w:t>school</w:t>
      </w:r>
      <w:r w:rsidR="00AA70FC" w:rsidRPr="0003652C">
        <w:rPr>
          <w:rFonts w:cs="Arial"/>
        </w:rPr>
        <w:t>s</w:t>
      </w:r>
      <w:r w:rsidR="008E253F">
        <w:rPr>
          <w:rFonts w:cs="Arial"/>
        </w:rPr>
        <w:t>,</w:t>
      </w:r>
      <w:r w:rsidR="00AA70FC" w:rsidRPr="0003652C">
        <w:rPr>
          <w:rFonts w:cs="Arial"/>
        </w:rPr>
        <w:t xml:space="preserve"> </w:t>
      </w:r>
      <w:r w:rsidRPr="0003652C">
        <w:rPr>
          <w:rFonts w:cs="Arial"/>
        </w:rPr>
        <w:t>there was an acknowledgement that the market environment had changed</w:t>
      </w:r>
      <w:r w:rsidR="008E253F">
        <w:rPr>
          <w:rFonts w:cs="Arial"/>
        </w:rPr>
        <w:t>,</w:t>
      </w:r>
      <w:r w:rsidRPr="0003652C">
        <w:rPr>
          <w:rFonts w:cs="Arial"/>
        </w:rPr>
        <w:t xml:space="preserve"> with a substantial growth in numbers</w:t>
      </w:r>
      <w:r w:rsidR="00F653A6" w:rsidRPr="0003652C">
        <w:rPr>
          <w:rFonts w:cs="Arial"/>
        </w:rPr>
        <w:t xml:space="preserve"> and diversity in the student cohorts</w:t>
      </w:r>
      <w:r w:rsidRPr="0003652C">
        <w:rPr>
          <w:rFonts w:cs="Arial"/>
        </w:rPr>
        <w:t xml:space="preserve">. The discussion about the </w:t>
      </w:r>
      <w:r w:rsidR="008E253F">
        <w:rPr>
          <w:rFonts w:cs="Arial"/>
        </w:rPr>
        <w:t xml:space="preserve">inclusion of skills in the curriculum often extended beyond the academic to </w:t>
      </w:r>
      <w:r w:rsidR="008E253F">
        <w:rPr>
          <w:rFonts w:cs="Arial"/>
          <w:color w:val="000000" w:themeColor="text1"/>
        </w:rPr>
        <w:t>the need to inject values of equality, diversity, and inclusion into the degree, with a</w:t>
      </w:r>
      <w:r w:rsidRPr="0003652C">
        <w:rPr>
          <w:rFonts w:cs="Arial"/>
          <w:color w:val="000000" w:themeColor="text1"/>
        </w:rPr>
        <w:t xml:space="preserve"> reference to wellbeing being embedded in the design. </w:t>
      </w:r>
      <w:r w:rsidRPr="0003652C">
        <w:rPr>
          <w:rFonts w:cs="Arial"/>
        </w:rPr>
        <w:t xml:space="preserve">In the selective </w:t>
      </w:r>
      <w:r w:rsidR="00AA70FC">
        <w:rPr>
          <w:rFonts w:cs="Arial"/>
        </w:rPr>
        <w:t>school</w:t>
      </w:r>
      <w:r w:rsidR="00AA70FC" w:rsidRPr="0003652C">
        <w:rPr>
          <w:rFonts w:cs="Arial"/>
        </w:rPr>
        <w:t>s</w:t>
      </w:r>
      <w:r w:rsidR="008E253F">
        <w:rPr>
          <w:rFonts w:cs="Arial"/>
        </w:rPr>
        <w:t>,</w:t>
      </w:r>
      <w:r w:rsidR="00AA70FC" w:rsidRPr="0003652C">
        <w:rPr>
          <w:rFonts w:cs="Arial"/>
        </w:rPr>
        <w:t xml:space="preserve"> </w:t>
      </w:r>
      <w:r w:rsidRPr="0003652C">
        <w:rPr>
          <w:rFonts w:cs="Arial"/>
        </w:rPr>
        <w:t xml:space="preserve">diversity was seen in changes in the cohort in relation to ethnicity, increased </w:t>
      </w:r>
      <w:r w:rsidR="008E253F" w:rsidRPr="0003652C">
        <w:rPr>
          <w:rFonts w:cs="Arial"/>
        </w:rPr>
        <w:t>first</w:t>
      </w:r>
      <w:r w:rsidR="008E253F">
        <w:rPr>
          <w:rFonts w:cs="Arial"/>
        </w:rPr>
        <w:t>-</w:t>
      </w:r>
      <w:r w:rsidRPr="0003652C">
        <w:rPr>
          <w:rFonts w:cs="Arial"/>
        </w:rPr>
        <w:t xml:space="preserve">generation students </w:t>
      </w:r>
      <w:r w:rsidR="008E253F">
        <w:rPr>
          <w:rFonts w:cs="Arial"/>
        </w:rPr>
        <w:t xml:space="preserve">and </w:t>
      </w:r>
      <w:r w:rsidRPr="0003652C">
        <w:rPr>
          <w:rFonts w:cs="Arial"/>
        </w:rPr>
        <w:t>different cohorts of international students. The diversity in academic entry levels and home circumstances w</w:t>
      </w:r>
      <w:r w:rsidR="008E253F">
        <w:rPr>
          <w:rFonts w:cs="Arial"/>
        </w:rPr>
        <w:t>as</w:t>
      </w:r>
      <w:r w:rsidRPr="0003652C">
        <w:rPr>
          <w:rFonts w:cs="Arial"/>
        </w:rPr>
        <w:t xml:space="preserve"> raised </w:t>
      </w:r>
      <w:r w:rsidR="00AA70FC">
        <w:rPr>
          <w:rFonts w:cs="Arial"/>
        </w:rPr>
        <w:t xml:space="preserve">by designers </w:t>
      </w:r>
      <w:r w:rsidRPr="0003652C">
        <w:rPr>
          <w:rFonts w:cs="Arial"/>
        </w:rPr>
        <w:t xml:space="preserve">in the semi-selective </w:t>
      </w:r>
      <w:r w:rsidR="00AA70FC">
        <w:rPr>
          <w:rFonts w:cs="Arial"/>
        </w:rPr>
        <w:t>school</w:t>
      </w:r>
      <w:r w:rsidR="00AA70FC" w:rsidRPr="0003652C">
        <w:rPr>
          <w:rFonts w:cs="Arial"/>
        </w:rPr>
        <w:t>s</w:t>
      </w:r>
      <w:r w:rsidRPr="0003652C">
        <w:rPr>
          <w:rFonts w:cs="Arial"/>
        </w:rPr>
        <w:t xml:space="preserve">. Whilst financial, race, age, commuter status and disability were commented on in the widening participation </w:t>
      </w:r>
      <w:r w:rsidR="00AA70FC">
        <w:rPr>
          <w:rFonts w:cs="Arial"/>
        </w:rPr>
        <w:t>school</w:t>
      </w:r>
      <w:r w:rsidR="00AA70FC" w:rsidRPr="0003652C">
        <w:rPr>
          <w:rFonts w:cs="Arial"/>
        </w:rPr>
        <w:t>s</w:t>
      </w:r>
      <w:r w:rsidR="00F653A6" w:rsidRPr="0003652C">
        <w:rPr>
          <w:rFonts w:cs="Arial"/>
        </w:rPr>
        <w:t xml:space="preserve">, with a recognition here that, </w:t>
      </w:r>
    </w:p>
    <w:p w14:paraId="1693A659" w14:textId="1E354D18" w:rsidR="00765E64" w:rsidRPr="0003652C" w:rsidRDefault="00765E64" w:rsidP="006370E7">
      <w:pPr>
        <w:spacing w:line="360" w:lineRule="auto"/>
        <w:ind w:left="720"/>
        <w:jc w:val="both"/>
        <w:rPr>
          <w:rFonts w:cs="Arial"/>
        </w:rPr>
      </w:pPr>
      <w:r w:rsidRPr="0003652C">
        <w:rPr>
          <w:rFonts w:cs="Arial"/>
        </w:rPr>
        <w:t>We need to realise that we are not recruiting students who are self-confident and self-motivated. This is aspirational for them</w:t>
      </w:r>
      <w:r w:rsidR="00AC7EB6" w:rsidRPr="0003652C">
        <w:rPr>
          <w:rFonts w:cs="Arial"/>
        </w:rPr>
        <w:t xml:space="preserve"> (WP).</w:t>
      </w:r>
      <w:r w:rsidRPr="0003652C">
        <w:rPr>
          <w:rFonts w:cs="Arial"/>
        </w:rPr>
        <w:t xml:space="preserve"> </w:t>
      </w:r>
    </w:p>
    <w:p w14:paraId="39616838" w14:textId="6C12B4C3" w:rsidR="00765E64" w:rsidRPr="0003652C" w:rsidRDefault="00765E64" w:rsidP="0003652C">
      <w:pPr>
        <w:spacing w:line="360" w:lineRule="auto"/>
        <w:jc w:val="both"/>
        <w:rPr>
          <w:rFonts w:cs="Arial"/>
        </w:rPr>
      </w:pPr>
      <w:r w:rsidRPr="0003652C">
        <w:rPr>
          <w:rFonts w:cs="Arial"/>
        </w:rPr>
        <w:t xml:space="preserve">The incorporation of skills is perhaps not a surprising theme to emerge here. With diversity and larger cohorts of students arises the need to support students in different ways (Guth, 2020). Whilst all </w:t>
      </w:r>
      <w:r w:rsidR="00AA70FC">
        <w:rPr>
          <w:rFonts w:cs="Arial"/>
        </w:rPr>
        <w:t>designers</w:t>
      </w:r>
      <w:r w:rsidR="00AA70FC" w:rsidRPr="0003652C">
        <w:rPr>
          <w:rFonts w:cs="Arial"/>
        </w:rPr>
        <w:t xml:space="preserve"> </w:t>
      </w:r>
      <w:r w:rsidRPr="0003652C">
        <w:rPr>
          <w:rFonts w:cs="Arial"/>
        </w:rPr>
        <w:t>reflected on the growing diversity</w:t>
      </w:r>
      <w:r w:rsidR="008E253F">
        <w:rPr>
          <w:rFonts w:cs="Arial"/>
        </w:rPr>
        <w:t>,</w:t>
      </w:r>
      <w:r w:rsidRPr="0003652C">
        <w:rPr>
          <w:rFonts w:cs="Arial"/>
        </w:rPr>
        <w:t xml:space="preserve"> the need for skills support and how it was implemented within c</w:t>
      </w:r>
      <w:r w:rsidR="00F63B36">
        <w:rPr>
          <w:rFonts w:cs="Arial"/>
        </w:rPr>
        <w:t>ourses</w:t>
      </w:r>
      <w:r w:rsidRPr="0003652C">
        <w:rPr>
          <w:rFonts w:cs="Arial"/>
        </w:rPr>
        <w:t xml:space="preserve"> was not seen </w:t>
      </w:r>
      <w:r w:rsidR="005E7EA6">
        <w:rPr>
          <w:rFonts w:cs="Arial"/>
        </w:rPr>
        <w:t xml:space="preserve">in </w:t>
      </w:r>
      <w:r w:rsidRPr="0003652C">
        <w:rPr>
          <w:rFonts w:cs="Arial"/>
        </w:rPr>
        <w:t>the same way across the different categories of</w:t>
      </w:r>
      <w:r w:rsidR="00AA70FC">
        <w:rPr>
          <w:rFonts w:cs="Arial"/>
        </w:rPr>
        <w:t xml:space="preserve"> school</w:t>
      </w:r>
      <w:r w:rsidR="005E7EA6">
        <w:rPr>
          <w:rFonts w:cs="Arial"/>
        </w:rPr>
        <w:t>s</w:t>
      </w:r>
      <w:r w:rsidRPr="0003652C">
        <w:rPr>
          <w:rFonts w:cs="Arial"/>
        </w:rPr>
        <w:t>.  There were different perspectives on the needs students had here, how skills should be embedded</w:t>
      </w:r>
      <w:r w:rsidR="008E253F">
        <w:rPr>
          <w:rFonts w:cs="Arial"/>
        </w:rPr>
        <w:t>,</w:t>
      </w:r>
      <w:r w:rsidRPr="0003652C">
        <w:rPr>
          <w:rFonts w:cs="Arial"/>
        </w:rPr>
        <w:t xml:space="preserve"> if at all, and what skills should be taught. </w:t>
      </w:r>
    </w:p>
    <w:p w14:paraId="6793470C" w14:textId="06858F85" w:rsidR="00765E64" w:rsidRPr="0003652C" w:rsidRDefault="00765E64" w:rsidP="0003652C">
      <w:pPr>
        <w:spacing w:line="360" w:lineRule="auto"/>
        <w:jc w:val="both"/>
        <w:rPr>
          <w:rFonts w:cs="Arial"/>
        </w:rPr>
      </w:pPr>
      <w:r w:rsidRPr="0003652C">
        <w:rPr>
          <w:rFonts w:cs="Arial"/>
        </w:rPr>
        <w:t xml:space="preserve">Some of the selective </w:t>
      </w:r>
      <w:r w:rsidR="00AA70FC">
        <w:rPr>
          <w:rFonts w:cs="Arial"/>
        </w:rPr>
        <w:t>school</w:t>
      </w:r>
      <w:r w:rsidR="00AA70FC" w:rsidRPr="0003652C">
        <w:rPr>
          <w:rFonts w:cs="Arial"/>
        </w:rPr>
        <w:t xml:space="preserve"> </w:t>
      </w:r>
      <w:r w:rsidRPr="0003652C">
        <w:rPr>
          <w:rFonts w:cs="Arial"/>
        </w:rPr>
        <w:t>designers felt their students probably came equipped with many of the study skills they needed and f</w:t>
      </w:r>
      <w:r w:rsidR="001B1BB0">
        <w:rPr>
          <w:rFonts w:cs="Arial"/>
        </w:rPr>
        <w:t>elt</w:t>
      </w:r>
      <w:r w:rsidRPr="0003652C">
        <w:rPr>
          <w:rFonts w:cs="Arial"/>
        </w:rPr>
        <w:t xml:space="preserve"> that the skills agenda </w:t>
      </w:r>
      <w:r w:rsidRPr="0003652C">
        <w:rPr>
          <w:rFonts w:cs="Arial"/>
        </w:rPr>
        <w:lastRenderedPageBreak/>
        <w:t xml:space="preserve">was not </w:t>
      </w:r>
      <w:r w:rsidR="00F653A6" w:rsidRPr="0003652C">
        <w:rPr>
          <w:rFonts w:cs="Arial"/>
        </w:rPr>
        <w:t xml:space="preserve">implemented </w:t>
      </w:r>
      <w:r w:rsidRPr="0003652C">
        <w:rPr>
          <w:rFonts w:cs="Arial"/>
        </w:rPr>
        <w:t>in a ‘deliberate way’</w:t>
      </w:r>
      <w:r w:rsidR="008E253F">
        <w:rPr>
          <w:rFonts w:cs="Arial"/>
        </w:rPr>
        <w:t>. Still,</w:t>
      </w:r>
      <w:r w:rsidRPr="0003652C">
        <w:rPr>
          <w:rFonts w:cs="Arial"/>
        </w:rPr>
        <w:t xml:space="preserve"> </w:t>
      </w:r>
      <w:r w:rsidR="008E253F">
        <w:rPr>
          <w:rFonts w:cs="Arial"/>
        </w:rPr>
        <w:t>they</w:t>
      </w:r>
      <w:r w:rsidRPr="0003652C">
        <w:rPr>
          <w:rFonts w:cs="Arial"/>
        </w:rPr>
        <w:t xml:space="preserve"> w</w:t>
      </w:r>
      <w:r w:rsidR="008E253F">
        <w:rPr>
          <w:rFonts w:cs="Arial"/>
        </w:rPr>
        <w:t>ere</w:t>
      </w:r>
      <w:r w:rsidRPr="0003652C">
        <w:rPr>
          <w:rFonts w:cs="Arial"/>
        </w:rPr>
        <w:t xml:space="preserve"> more of a mapping exercise of what skills provision already existed. There were references to higher-level academic skills</w:t>
      </w:r>
      <w:r w:rsidR="008E253F">
        <w:rPr>
          <w:rFonts w:cs="Arial"/>
        </w:rPr>
        <w:t xml:space="preserve"> that</w:t>
      </w:r>
      <w:r w:rsidRPr="0003652C">
        <w:rPr>
          <w:rFonts w:cs="Arial"/>
        </w:rPr>
        <w:t xml:space="preserve"> some </w:t>
      </w:r>
      <w:r w:rsidR="00AA70FC">
        <w:rPr>
          <w:rFonts w:cs="Arial"/>
        </w:rPr>
        <w:t>designer</w:t>
      </w:r>
      <w:r w:rsidR="00AA70FC" w:rsidRPr="0003652C">
        <w:rPr>
          <w:rFonts w:cs="Arial"/>
        </w:rPr>
        <w:t xml:space="preserve">s </w:t>
      </w:r>
      <w:r w:rsidRPr="0003652C">
        <w:rPr>
          <w:rFonts w:cs="Arial"/>
        </w:rPr>
        <w:t>felt students needed to develop</w:t>
      </w:r>
      <w:r w:rsidR="008E253F">
        <w:rPr>
          <w:rFonts w:cs="Arial"/>
        </w:rPr>
        <w:t>,</w:t>
      </w:r>
      <w:r w:rsidRPr="0003652C">
        <w:rPr>
          <w:rFonts w:cs="Arial"/>
        </w:rPr>
        <w:t xml:space="preserve"> such as critical thinking, confidence</w:t>
      </w:r>
      <w:r w:rsidR="008E253F">
        <w:rPr>
          <w:rFonts w:cs="Arial"/>
        </w:rPr>
        <w:t>,</w:t>
      </w:r>
      <w:r w:rsidRPr="0003652C">
        <w:rPr>
          <w:rFonts w:cs="Arial"/>
        </w:rPr>
        <w:t xml:space="preserve"> and self-reflection, or ‘old</w:t>
      </w:r>
      <w:r w:rsidR="005E7EA6">
        <w:rPr>
          <w:rFonts w:cs="Arial"/>
        </w:rPr>
        <w:t>-</w:t>
      </w:r>
      <w:r w:rsidRPr="0003652C">
        <w:rPr>
          <w:rFonts w:cs="Arial"/>
        </w:rPr>
        <w:t>fashioned higher education values’.</w:t>
      </w:r>
    </w:p>
    <w:p w14:paraId="26238027" w14:textId="586A6976" w:rsidR="00765E64" w:rsidRPr="0003652C" w:rsidRDefault="00AA70FC" w:rsidP="0003652C">
      <w:pPr>
        <w:spacing w:line="360" w:lineRule="auto"/>
        <w:jc w:val="both"/>
        <w:rPr>
          <w:rFonts w:cs="Arial"/>
        </w:rPr>
      </w:pPr>
      <w:r>
        <w:rPr>
          <w:rFonts w:cs="Arial"/>
        </w:rPr>
        <w:t>Designers from both the</w:t>
      </w:r>
      <w:r w:rsidR="00765E64" w:rsidRPr="0003652C">
        <w:rPr>
          <w:rFonts w:cs="Arial"/>
        </w:rPr>
        <w:t xml:space="preserve"> selective and semi-selective </w:t>
      </w:r>
      <w:r>
        <w:rPr>
          <w:rFonts w:cs="Arial"/>
        </w:rPr>
        <w:t>school</w:t>
      </w:r>
      <w:r w:rsidRPr="0003652C">
        <w:rPr>
          <w:rFonts w:cs="Arial"/>
        </w:rPr>
        <w:t xml:space="preserve">s </w:t>
      </w:r>
      <w:r w:rsidR="00765E64" w:rsidRPr="0003652C">
        <w:rPr>
          <w:rFonts w:cs="Arial"/>
        </w:rPr>
        <w:t xml:space="preserve">reflected on embedding legal as well as academic skills in </w:t>
      </w:r>
      <w:r w:rsidR="00F63B36">
        <w:rPr>
          <w:rFonts w:cs="Arial"/>
        </w:rPr>
        <w:t xml:space="preserve">programmes </w:t>
      </w:r>
      <w:r w:rsidR="00765E64" w:rsidRPr="0003652C">
        <w:rPr>
          <w:rFonts w:cs="Arial"/>
        </w:rPr>
        <w:t>in integrated approaches, highlighting the need to ‘test different things and bring out different skills’ and building on this</w:t>
      </w:r>
      <w:r w:rsidR="005E7EA6">
        <w:rPr>
          <w:rFonts w:cs="Arial"/>
        </w:rPr>
        <w:t>,</w:t>
      </w:r>
      <w:r w:rsidR="00765E64" w:rsidRPr="0003652C">
        <w:rPr>
          <w:rFonts w:cs="Arial"/>
        </w:rPr>
        <w:t xml:space="preserve"> </w:t>
      </w:r>
      <w:r w:rsidR="00F653A6" w:rsidRPr="0003652C">
        <w:rPr>
          <w:rFonts w:cs="Arial"/>
        </w:rPr>
        <w:t>for example</w:t>
      </w:r>
      <w:r w:rsidR="005E7EA6">
        <w:rPr>
          <w:rFonts w:cs="Arial"/>
        </w:rPr>
        <w:t>,</w:t>
      </w:r>
      <w:r w:rsidR="00F653A6" w:rsidRPr="0003652C">
        <w:rPr>
          <w:rFonts w:cs="Arial"/>
        </w:rPr>
        <w:t xml:space="preserve"> in providing </w:t>
      </w:r>
      <w:r w:rsidR="00765E64" w:rsidRPr="0003652C">
        <w:rPr>
          <w:rFonts w:cs="Arial"/>
        </w:rPr>
        <w:t>optional case studies where the skills could be strengthened. The theme of weaving the skills throughout the programme was also seen in the front</w:t>
      </w:r>
      <w:r w:rsidR="005E7EA6">
        <w:rPr>
          <w:rFonts w:cs="Arial"/>
        </w:rPr>
        <w:t>-</w:t>
      </w:r>
      <w:r w:rsidR="00765E64" w:rsidRPr="0003652C">
        <w:rPr>
          <w:rFonts w:cs="Arial"/>
        </w:rPr>
        <w:t xml:space="preserve">loading of academic skills. </w:t>
      </w:r>
    </w:p>
    <w:p w14:paraId="5DEE308B" w14:textId="055CAE9C" w:rsidR="00765E64" w:rsidRPr="0003652C" w:rsidRDefault="00765E64" w:rsidP="0003652C">
      <w:pPr>
        <w:spacing w:line="360" w:lineRule="auto"/>
        <w:jc w:val="both"/>
        <w:rPr>
          <w:rFonts w:cs="Arial"/>
        </w:rPr>
      </w:pPr>
      <w:r w:rsidRPr="0003652C">
        <w:rPr>
          <w:rFonts w:cs="Arial"/>
        </w:rPr>
        <w:t xml:space="preserve">In the widening participation </w:t>
      </w:r>
      <w:r w:rsidR="00AA70FC">
        <w:rPr>
          <w:rFonts w:cs="Arial"/>
        </w:rPr>
        <w:t>school</w:t>
      </w:r>
      <w:r w:rsidR="00AA70FC" w:rsidRPr="0003652C">
        <w:rPr>
          <w:rFonts w:cs="Arial"/>
        </w:rPr>
        <w:t>s</w:t>
      </w:r>
      <w:r w:rsidRPr="0003652C">
        <w:rPr>
          <w:rFonts w:cs="Arial"/>
        </w:rPr>
        <w:t xml:space="preserve">, the focus was very much on who their students were and the need to equip them for their future, with a great deal of emphasis on soft and academic skills to improve attainment, and the professional skills to support their entry into the job market. </w:t>
      </w:r>
    </w:p>
    <w:p w14:paraId="63F608DD" w14:textId="7619F481" w:rsidR="00765E64" w:rsidRPr="0003652C" w:rsidRDefault="00765E64" w:rsidP="006370E7">
      <w:pPr>
        <w:spacing w:line="360" w:lineRule="auto"/>
        <w:ind w:left="720"/>
        <w:jc w:val="both"/>
        <w:rPr>
          <w:rFonts w:cs="Arial"/>
          <w:color w:val="000000" w:themeColor="text1"/>
        </w:rPr>
      </w:pPr>
      <w:r w:rsidRPr="0003652C">
        <w:rPr>
          <w:rFonts w:cs="Arial"/>
          <w:color w:val="000000" w:themeColor="text1"/>
        </w:rPr>
        <w:t>We recognise that the very old-fashioned view that students would know certain things before coming to university is very much a fallacy</w:t>
      </w:r>
      <w:r w:rsidR="00AC7EB6" w:rsidRPr="0003652C">
        <w:rPr>
          <w:rFonts w:cs="Arial"/>
          <w:color w:val="000000" w:themeColor="text1"/>
        </w:rPr>
        <w:t xml:space="preserve"> (WP).</w:t>
      </w:r>
    </w:p>
    <w:p w14:paraId="680D41C0" w14:textId="238C0AE6" w:rsidR="00765E64" w:rsidRPr="006370E7" w:rsidRDefault="00765E64" w:rsidP="006370E7">
      <w:pPr>
        <w:spacing w:line="360" w:lineRule="auto"/>
        <w:ind w:left="720"/>
        <w:jc w:val="both"/>
        <w:rPr>
          <w:rFonts w:cs="Arial"/>
          <w:color w:val="000000" w:themeColor="text1"/>
        </w:rPr>
      </w:pPr>
      <w:r w:rsidRPr="0003652C">
        <w:rPr>
          <w:rFonts w:cs="Arial"/>
          <w:color w:val="000000" w:themeColor="text1"/>
        </w:rPr>
        <w:t>Students were struggling because they needed more skills – issues with literacy, resilience with research</w:t>
      </w:r>
      <w:r w:rsidR="005E7EA6">
        <w:rPr>
          <w:rFonts w:cs="Arial"/>
          <w:color w:val="000000" w:themeColor="text1"/>
        </w:rPr>
        <w:t xml:space="preserve">. </w:t>
      </w:r>
      <w:r w:rsidRPr="0003652C">
        <w:rPr>
          <w:rFonts w:cs="Arial"/>
          <w:color w:val="000000" w:themeColor="text1"/>
        </w:rPr>
        <w:t xml:space="preserve">We had to have regard to where our students were going and build skills in an appropriate way. We talked to </w:t>
      </w:r>
      <w:r w:rsidR="001B1BB0">
        <w:rPr>
          <w:rFonts w:cs="Arial"/>
          <w:color w:val="000000" w:themeColor="text1"/>
        </w:rPr>
        <w:t>a</w:t>
      </w:r>
      <w:r w:rsidRPr="0003652C">
        <w:rPr>
          <w:rFonts w:cs="Arial"/>
          <w:color w:val="000000" w:themeColor="text1"/>
        </w:rPr>
        <w:t>lumni and asked them what did they feel ready and prepared for</w:t>
      </w:r>
      <w:r w:rsidR="005E7EA6">
        <w:rPr>
          <w:rFonts w:cs="Arial"/>
          <w:color w:val="000000" w:themeColor="text1"/>
        </w:rPr>
        <w:t>.</w:t>
      </w:r>
      <w:r w:rsidRPr="0003652C">
        <w:rPr>
          <w:rFonts w:cs="Arial"/>
          <w:color w:val="000000" w:themeColor="text1"/>
        </w:rPr>
        <w:t xml:space="preserve"> It was very much driven by a skills agenda</w:t>
      </w:r>
      <w:r w:rsidR="00AC7EB6" w:rsidRPr="0003652C">
        <w:rPr>
          <w:rFonts w:cs="Arial"/>
          <w:color w:val="000000" w:themeColor="text1"/>
        </w:rPr>
        <w:t xml:space="preserve"> (WP).</w:t>
      </w:r>
    </w:p>
    <w:p w14:paraId="21E2374A" w14:textId="4E8AD473"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There was also the recognition across </w:t>
      </w:r>
      <w:r w:rsidR="00AA70FC">
        <w:rPr>
          <w:rFonts w:cs="Arial"/>
          <w:color w:val="000000" w:themeColor="text1"/>
        </w:rPr>
        <w:t>school</w:t>
      </w:r>
      <w:r w:rsidR="00AA70FC" w:rsidRPr="0003652C">
        <w:rPr>
          <w:rFonts w:cs="Arial"/>
          <w:color w:val="000000" w:themeColor="text1"/>
        </w:rPr>
        <w:t xml:space="preserve"> </w:t>
      </w:r>
      <w:r w:rsidRPr="0003652C">
        <w:rPr>
          <w:rFonts w:cs="Arial"/>
          <w:color w:val="000000" w:themeColor="text1"/>
        </w:rPr>
        <w:t>categories that emerging skills were having an impact on study and on the legal profession, and the use of technology and artificial intelligence needed to be taught. With reference to the latter,</w:t>
      </w:r>
    </w:p>
    <w:p w14:paraId="20CAEDE8" w14:textId="3F0510C6" w:rsidR="00765E64" w:rsidRPr="006370E7" w:rsidRDefault="00765E64" w:rsidP="006370E7">
      <w:pPr>
        <w:spacing w:line="360" w:lineRule="auto"/>
        <w:ind w:left="720"/>
        <w:jc w:val="both"/>
        <w:rPr>
          <w:rFonts w:cs="Arial"/>
          <w:color w:val="000000" w:themeColor="text1"/>
        </w:rPr>
      </w:pPr>
      <w:r w:rsidRPr="0003652C">
        <w:rPr>
          <w:rFonts w:cs="Arial"/>
          <w:color w:val="000000" w:themeColor="text1"/>
        </w:rPr>
        <w:t>It’s a skill they need to learn. There</w:t>
      </w:r>
      <w:r w:rsidR="005E7EA6">
        <w:rPr>
          <w:rFonts w:cs="Arial"/>
          <w:color w:val="000000" w:themeColor="text1"/>
        </w:rPr>
        <w:t>’</w:t>
      </w:r>
      <w:r w:rsidRPr="0003652C">
        <w:rPr>
          <w:rFonts w:cs="Arial"/>
          <w:color w:val="000000" w:themeColor="text1"/>
        </w:rPr>
        <w:t>s a lot of disagreement</w:t>
      </w:r>
      <w:r w:rsidR="005E7EA6">
        <w:rPr>
          <w:rFonts w:cs="Arial"/>
          <w:color w:val="000000" w:themeColor="text1"/>
        </w:rPr>
        <w:t>,</w:t>
      </w:r>
      <w:r w:rsidRPr="0003652C">
        <w:rPr>
          <w:rFonts w:cs="Arial"/>
          <w:color w:val="000000" w:themeColor="text1"/>
        </w:rPr>
        <w:t xml:space="preserve"> but we can’t pretend we live in a world where it doesn’t exist. It is an important skill for </w:t>
      </w:r>
      <w:r w:rsidRPr="0003652C">
        <w:rPr>
          <w:rFonts w:cs="Arial"/>
          <w:color w:val="000000" w:themeColor="text1"/>
        </w:rPr>
        <w:lastRenderedPageBreak/>
        <w:t>the students to use. We need to build it into the degree so the students can learn to use it ethically and from a career perspective</w:t>
      </w:r>
      <w:r w:rsidR="00AC7EB6" w:rsidRPr="0003652C">
        <w:rPr>
          <w:rFonts w:cs="Arial"/>
          <w:color w:val="000000" w:themeColor="text1"/>
        </w:rPr>
        <w:t xml:space="preserve"> (SS).</w:t>
      </w:r>
    </w:p>
    <w:p w14:paraId="6D33938E" w14:textId="0D5733C3" w:rsidR="00765E64" w:rsidRPr="0003652C" w:rsidRDefault="00765E64" w:rsidP="0003652C">
      <w:pPr>
        <w:spacing w:line="360" w:lineRule="auto"/>
        <w:jc w:val="both"/>
        <w:rPr>
          <w:rFonts w:cs="Arial"/>
        </w:rPr>
      </w:pPr>
      <w:r w:rsidRPr="0003652C">
        <w:rPr>
          <w:rFonts w:cs="Arial"/>
          <w:color w:val="000000" w:themeColor="text1"/>
        </w:rPr>
        <w:t>The reflections on students’ need for skills support often led to consideration of assessment and university policies on consistency, overassessment</w:t>
      </w:r>
      <w:r w:rsidR="005E7EA6">
        <w:rPr>
          <w:rFonts w:cs="Arial"/>
          <w:color w:val="000000" w:themeColor="text1"/>
        </w:rPr>
        <w:t>,</w:t>
      </w:r>
      <w:r w:rsidRPr="0003652C">
        <w:rPr>
          <w:rFonts w:cs="Arial"/>
          <w:color w:val="000000" w:themeColor="text1"/>
        </w:rPr>
        <w:t xml:space="preserve"> and authenticity, which were seen </w:t>
      </w:r>
      <w:r w:rsidRPr="0003652C">
        <w:rPr>
          <w:rFonts w:cs="Arial"/>
        </w:rPr>
        <w:t xml:space="preserve">as very much part of the design process, balancing supporting students in their transition to university whilst also </w:t>
      </w:r>
      <w:r w:rsidR="005E7EA6">
        <w:rPr>
          <w:rFonts w:cs="Arial"/>
        </w:rPr>
        <w:t>addressing</w:t>
      </w:r>
      <w:r w:rsidRPr="0003652C">
        <w:rPr>
          <w:rFonts w:cs="Arial"/>
        </w:rPr>
        <w:t xml:space="preserve"> efficiency concerns. I return to this in the context of the framing of the degree later </w:t>
      </w:r>
      <w:r w:rsidR="00F653A6" w:rsidRPr="0003652C">
        <w:rPr>
          <w:rFonts w:cs="Arial"/>
        </w:rPr>
        <w:t>in this chapter</w:t>
      </w:r>
      <w:r w:rsidRPr="0003652C">
        <w:rPr>
          <w:rFonts w:cs="Arial"/>
        </w:rPr>
        <w:t xml:space="preserve">. </w:t>
      </w:r>
    </w:p>
    <w:p w14:paraId="0AB59291" w14:textId="22A1F4D9" w:rsidR="00765E64" w:rsidRPr="0003652C" w:rsidRDefault="00765E64" w:rsidP="0003652C">
      <w:pPr>
        <w:spacing w:line="360" w:lineRule="auto"/>
        <w:jc w:val="both"/>
        <w:rPr>
          <w:rFonts w:cs="Arial"/>
        </w:rPr>
      </w:pPr>
      <w:r w:rsidRPr="0003652C">
        <w:rPr>
          <w:rFonts w:cs="Arial"/>
        </w:rPr>
        <w:t>The skills agenda is not new and has been playing out in law schools, as with higher education more generally</w:t>
      </w:r>
      <w:r w:rsidR="005E7EA6">
        <w:rPr>
          <w:rFonts w:cs="Arial"/>
        </w:rPr>
        <w:t>,</w:t>
      </w:r>
      <w:r w:rsidRPr="0003652C">
        <w:rPr>
          <w:rFonts w:cs="Arial"/>
        </w:rPr>
        <w:t xml:space="preserve"> for </w:t>
      </w:r>
      <w:r w:rsidR="00F653A6" w:rsidRPr="0003652C">
        <w:rPr>
          <w:rFonts w:cs="Arial"/>
        </w:rPr>
        <w:t>many</w:t>
      </w:r>
      <w:r w:rsidRPr="0003652C">
        <w:rPr>
          <w:rFonts w:cs="Arial"/>
        </w:rPr>
        <w:t xml:space="preserve"> years. </w:t>
      </w:r>
      <w:r w:rsidR="00F653A6" w:rsidRPr="0003652C">
        <w:rPr>
          <w:rFonts w:cs="Arial"/>
        </w:rPr>
        <w:t>In legal education</w:t>
      </w:r>
      <w:r w:rsidR="005E7EA6">
        <w:rPr>
          <w:rFonts w:cs="Arial"/>
        </w:rPr>
        <w:t>,</w:t>
      </w:r>
      <w:r w:rsidR="00F653A6" w:rsidRPr="0003652C">
        <w:rPr>
          <w:rFonts w:cs="Arial"/>
        </w:rPr>
        <w:t xml:space="preserve"> there</w:t>
      </w:r>
      <w:r w:rsidRPr="0003652C">
        <w:rPr>
          <w:rFonts w:cs="Arial"/>
        </w:rPr>
        <w:t xml:space="preserve"> is perhaps a renewed concern about this and the </w:t>
      </w:r>
      <w:r w:rsidR="005E7EA6" w:rsidRPr="0003652C">
        <w:rPr>
          <w:rFonts w:cs="Arial"/>
        </w:rPr>
        <w:t>future</w:t>
      </w:r>
      <w:r w:rsidR="005E7EA6">
        <w:rPr>
          <w:rFonts w:cs="Arial"/>
        </w:rPr>
        <w:t>-</w:t>
      </w:r>
      <w:r w:rsidRPr="0003652C">
        <w:rPr>
          <w:rFonts w:cs="Arial"/>
        </w:rPr>
        <w:t>proofing of students</w:t>
      </w:r>
      <w:r w:rsidR="005E7EA6">
        <w:rPr>
          <w:rFonts w:cs="Arial"/>
        </w:rPr>
        <w:t>,</w:t>
      </w:r>
      <w:r w:rsidRPr="0003652C">
        <w:rPr>
          <w:rFonts w:cs="Arial"/>
        </w:rPr>
        <w:t xml:space="preserve"> as the new route to the profession removes the requirement for what was a vehicle for both legal and generic skills in the practice course (Guth, 2020). The selective </w:t>
      </w:r>
      <w:r w:rsidR="00AA70FC">
        <w:rPr>
          <w:rFonts w:cs="Arial"/>
        </w:rPr>
        <w:t>school</w:t>
      </w:r>
      <w:r w:rsidR="00AA70FC" w:rsidRPr="0003652C">
        <w:rPr>
          <w:rFonts w:cs="Arial"/>
        </w:rPr>
        <w:t xml:space="preserve">s </w:t>
      </w:r>
      <w:r w:rsidRPr="0003652C">
        <w:rPr>
          <w:rFonts w:cs="Arial"/>
        </w:rPr>
        <w:t>here were perhaps less concerned with this but were increasingly becoming aware of the need to support a larger</w:t>
      </w:r>
      <w:r w:rsidR="00BB631B">
        <w:rPr>
          <w:rFonts w:cs="Arial"/>
        </w:rPr>
        <w:t>,</w:t>
      </w:r>
      <w:r w:rsidRPr="0003652C">
        <w:rPr>
          <w:rFonts w:cs="Arial"/>
        </w:rPr>
        <w:t xml:space="preserve"> more diverse group of students. </w:t>
      </w:r>
    </w:p>
    <w:p w14:paraId="72C46C03" w14:textId="3A3AF363" w:rsidR="00765E64" w:rsidRPr="0003652C" w:rsidRDefault="00765E64" w:rsidP="0003652C">
      <w:pPr>
        <w:spacing w:line="360" w:lineRule="auto"/>
        <w:jc w:val="both"/>
        <w:rPr>
          <w:rFonts w:cs="Arial"/>
        </w:rPr>
      </w:pPr>
      <w:r w:rsidRPr="0003652C">
        <w:rPr>
          <w:rFonts w:cs="Arial"/>
        </w:rPr>
        <w:t>Whilst this agenda might be seen to be emanating from the metrification and market-led context in higher education, the designers were consistent in presenting this in the context of an underlying value in the design of the degrees, being the need to support the students</w:t>
      </w:r>
      <w:r w:rsidR="005E7EA6">
        <w:rPr>
          <w:rFonts w:cs="Arial"/>
        </w:rPr>
        <w:t>.</w:t>
      </w:r>
    </w:p>
    <w:p w14:paraId="1E55AC36" w14:textId="0297EC8B" w:rsidR="00765E64" w:rsidRPr="006370E7" w:rsidRDefault="00765E64" w:rsidP="006370E7">
      <w:pPr>
        <w:spacing w:line="360" w:lineRule="auto"/>
        <w:ind w:left="720"/>
        <w:jc w:val="both"/>
        <w:rPr>
          <w:rFonts w:cs="Arial"/>
          <w:color w:val="000000" w:themeColor="text1"/>
        </w:rPr>
      </w:pPr>
      <w:r w:rsidRPr="0003652C">
        <w:rPr>
          <w:rFonts w:cs="Arial"/>
          <w:color w:val="000000" w:themeColor="text1"/>
        </w:rPr>
        <w:t>We have a social mission: We want educational experience to be transformative and to make a real differen</w:t>
      </w:r>
      <w:r w:rsidR="005E7EA6">
        <w:rPr>
          <w:rFonts w:cs="Arial"/>
          <w:color w:val="000000" w:themeColor="text1"/>
        </w:rPr>
        <w:t xml:space="preserve">ce </w:t>
      </w:r>
      <w:r w:rsidRPr="0003652C">
        <w:rPr>
          <w:rFonts w:cs="Arial"/>
          <w:color w:val="000000" w:themeColor="text1"/>
        </w:rPr>
        <w:t>to students</w:t>
      </w:r>
      <w:r w:rsidR="005E7EA6">
        <w:rPr>
          <w:rFonts w:cs="Arial"/>
          <w:color w:val="000000" w:themeColor="text1"/>
        </w:rPr>
        <w:t>’</w:t>
      </w:r>
      <w:r w:rsidRPr="0003652C">
        <w:rPr>
          <w:rFonts w:cs="Arial"/>
          <w:color w:val="000000" w:themeColor="text1"/>
        </w:rPr>
        <w:t xml:space="preserve"> lives, whether that’s in terms of career or not</w:t>
      </w:r>
      <w:r w:rsidR="00AC7EB6" w:rsidRPr="0003652C">
        <w:rPr>
          <w:rFonts w:cs="Arial"/>
          <w:color w:val="000000" w:themeColor="text1"/>
        </w:rPr>
        <w:t xml:space="preserve"> (SS).</w:t>
      </w:r>
    </w:p>
    <w:p w14:paraId="6DACADA1" w14:textId="26E3BDAB" w:rsidR="00765E64" w:rsidRPr="0003652C" w:rsidRDefault="00765E64" w:rsidP="0003652C">
      <w:pPr>
        <w:spacing w:line="360" w:lineRule="auto"/>
        <w:jc w:val="both"/>
        <w:rPr>
          <w:rFonts w:cs="Arial"/>
        </w:rPr>
      </w:pPr>
      <w:r w:rsidRPr="0003652C">
        <w:rPr>
          <w:rFonts w:cs="Arial"/>
        </w:rPr>
        <w:t>The widening participation designers often talked about this as a transformative journey</w:t>
      </w:r>
      <w:r w:rsidR="006370E7">
        <w:rPr>
          <w:rFonts w:cs="Arial"/>
        </w:rPr>
        <w:t>,</w:t>
      </w:r>
    </w:p>
    <w:p w14:paraId="23102B50" w14:textId="6078DDBC" w:rsidR="00765E64" w:rsidRPr="006370E7" w:rsidRDefault="00F653A6" w:rsidP="006370E7">
      <w:pPr>
        <w:spacing w:line="360" w:lineRule="auto"/>
        <w:ind w:left="720"/>
        <w:jc w:val="both"/>
        <w:rPr>
          <w:rFonts w:cs="Arial"/>
          <w:color w:val="000000" w:themeColor="text1"/>
        </w:rPr>
      </w:pPr>
      <w:r w:rsidRPr="0003652C">
        <w:rPr>
          <w:rFonts w:cs="Arial"/>
          <w:color w:val="000000" w:themeColor="text1"/>
        </w:rPr>
        <w:t>T</w:t>
      </w:r>
      <w:r w:rsidR="00765E64" w:rsidRPr="0003652C">
        <w:rPr>
          <w:rFonts w:cs="Arial"/>
          <w:color w:val="000000" w:themeColor="text1"/>
        </w:rPr>
        <w:t>hey’re on this kind of trajectory</w:t>
      </w:r>
      <w:r w:rsidR="005E7EA6">
        <w:rPr>
          <w:rFonts w:cs="Arial"/>
          <w:color w:val="000000" w:themeColor="text1"/>
        </w:rPr>
        <w:t>,</w:t>
      </w:r>
      <w:r w:rsidR="00765E64" w:rsidRPr="0003652C">
        <w:rPr>
          <w:rFonts w:cs="Arial"/>
          <w:color w:val="000000" w:themeColor="text1"/>
        </w:rPr>
        <w:t xml:space="preserve"> and the university gives effect to that trajectory, and our job is to refract the light and put them on a manifestly different trajectory</w:t>
      </w:r>
      <w:r w:rsidR="00AC7EB6" w:rsidRPr="0003652C">
        <w:rPr>
          <w:rFonts w:cs="Arial"/>
          <w:color w:val="000000" w:themeColor="text1"/>
        </w:rPr>
        <w:t xml:space="preserve"> (WP).</w:t>
      </w:r>
    </w:p>
    <w:p w14:paraId="3E5A5B4D" w14:textId="195A403A" w:rsidR="00765E64" w:rsidRPr="0003652C" w:rsidRDefault="00765E64" w:rsidP="0003652C">
      <w:pPr>
        <w:spacing w:line="360" w:lineRule="auto"/>
        <w:jc w:val="both"/>
        <w:rPr>
          <w:rFonts w:cs="Arial"/>
        </w:rPr>
      </w:pPr>
      <w:r w:rsidRPr="0003652C">
        <w:rPr>
          <w:rFonts w:cs="Arial"/>
        </w:rPr>
        <w:lastRenderedPageBreak/>
        <w:t xml:space="preserve">The student-centred nature of the values expressed was often evidenced in activities designed to learn more about the demographic, such as focus groups or more extensive projects. </w:t>
      </w:r>
    </w:p>
    <w:p w14:paraId="2B6D7E81" w14:textId="365EBF99" w:rsidR="00765E64" w:rsidRPr="0003652C" w:rsidRDefault="00765E64" w:rsidP="0003652C">
      <w:pPr>
        <w:spacing w:line="360" w:lineRule="auto"/>
        <w:ind w:left="720"/>
        <w:jc w:val="both"/>
        <w:rPr>
          <w:rFonts w:cs="Arial"/>
        </w:rPr>
      </w:pPr>
      <w:r w:rsidRPr="0003652C">
        <w:rPr>
          <w:rFonts w:cs="Arial"/>
        </w:rPr>
        <w:t xml:space="preserve">We asked things that aren’t normally asked and asked about their relationship with their </w:t>
      </w:r>
      <w:r w:rsidR="00CD6E72" w:rsidRPr="0003652C">
        <w:rPr>
          <w:rFonts w:cs="Arial"/>
        </w:rPr>
        <w:t>studies</w:t>
      </w:r>
      <w:r w:rsidR="00CD6E72">
        <w:rPr>
          <w:rFonts w:cs="Arial"/>
        </w:rPr>
        <w:t xml:space="preserve"> and</w:t>
      </w:r>
      <w:r w:rsidRPr="0003652C">
        <w:rPr>
          <w:rFonts w:cs="Arial"/>
        </w:rPr>
        <w:t xml:space="preserve"> became quite emotionally invested in them. We got feedback about family life and the fact that they didn’t see themselves in the curriculum</w:t>
      </w:r>
      <w:r w:rsidR="00AC7EB6" w:rsidRPr="0003652C">
        <w:rPr>
          <w:rFonts w:cs="Arial"/>
        </w:rPr>
        <w:t xml:space="preserve"> (S).</w:t>
      </w:r>
    </w:p>
    <w:p w14:paraId="405E1E4D" w14:textId="6B05E80A" w:rsidR="00765E64" w:rsidRPr="006370E7" w:rsidRDefault="00765E64" w:rsidP="006370E7">
      <w:pPr>
        <w:spacing w:line="360" w:lineRule="auto"/>
        <w:jc w:val="both"/>
        <w:rPr>
          <w:rFonts w:cs="Arial"/>
        </w:rPr>
      </w:pPr>
      <w:r w:rsidRPr="0003652C">
        <w:rPr>
          <w:rFonts w:cs="Arial"/>
        </w:rPr>
        <w:t>Others felt they knew their students due to the nature of the programme or size of the school</w:t>
      </w:r>
      <w:r w:rsidR="005E7EA6">
        <w:rPr>
          <w:rFonts w:cs="Arial"/>
        </w:rPr>
        <w:t>,</w:t>
      </w:r>
      <w:r w:rsidRPr="0003652C">
        <w:rPr>
          <w:rFonts w:cs="Arial"/>
        </w:rPr>
        <w:t xml:space="preserve"> with one saying that ‘our single USP is that students tell us. We know them as individuals or because they engaged students as co-designers of new programmes</w:t>
      </w:r>
      <w:r w:rsidR="002E6888" w:rsidRPr="0003652C">
        <w:rPr>
          <w:rFonts w:cs="Arial"/>
        </w:rPr>
        <w:t xml:space="preserve">. </w:t>
      </w:r>
      <w:r w:rsidRPr="0003652C">
        <w:rPr>
          <w:rFonts w:cs="Arial"/>
          <w:color w:val="000000" w:themeColor="text1"/>
        </w:rPr>
        <w:t xml:space="preserve">I return to the implications of this below after considering the more external looking employability agenda. </w:t>
      </w:r>
    </w:p>
    <w:p w14:paraId="25C787CA" w14:textId="7C8313BF" w:rsidR="006F3BFC" w:rsidRPr="0003652C" w:rsidRDefault="00765E64" w:rsidP="0003652C">
      <w:pPr>
        <w:pStyle w:val="Heading2"/>
        <w:spacing w:before="100" w:after="100" w:afterAutospacing="1" w:line="360" w:lineRule="auto"/>
        <w:rPr>
          <w:rFonts w:ascii="Arial" w:hAnsi="Arial" w:cs="Arial"/>
        </w:rPr>
      </w:pPr>
      <w:bookmarkStart w:id="91" w:name="_Toc223348880"/>
      <w:r w:rsidRPr="0003652C">
        <w:rPr>
          <w:rFonts w:ascii="Arial" w:hAnsi="Arial" w:cs="Arial"/>
        </w:rPr>
        <w:t>Non-disciplinary impact: Employability</w:t>
      </w:r>
      <w:bookmarkEnd w:id="91"/>
    </w:p>
    <w:p w14:paraId="0622DD23" w14:textId="5CA3BB65" w:rsidR="00765E64" w:rsidRPr="0003652C" w:rsidRDefault="00765E64" w:rsidP="0003652C">
      <w:pPr>
        <w:spacing w:line="360" w:lineRule="auto"/>
        <w:jc w:val="both"/>
        <w:rPr>
          <w:rFonts w:cs="Arial"/>
        </w:rPr>
      </w:pPr>
      <w:r w:rsidRPr="0003652C">
        <w:rPr>
          <w:rFonts w:cs="Arial"/>
        </w:rPr>
        <w:t xml:space="preserve">The employability agenda is a theme that arose regularly when discussing course design, impacting </w:t>
      </w:r>
      <w:r w:rsidR="002E6888" w:rsidRPr="0003652C">
        <w:rPr>
          <w:rFonts w:cs="Arial"/>
        </w:rPr>
        <w:t xml:space="preserve">directly or </w:t>
      </w:r>
      <w:r w:rsidRPr="0003652C">
        <w:rPr>
          <w:rFonts w:cs="Arial"/>
        </w:rPr>
        <w:t xml:space="preserve">indirectly </w:t>
      </w:r>
      <w:r w:rsidR="002E6888" w:rsidRPr="0003652C">
        <w:rPr>
          <w:rFonts w:cs="Arial"/>
        </w:rPr>
        <w:t>on</w:t>
      </w:r>
      <w:r w:rsidRPr="0003652C">
        <w:rPr>
          <w:rFonts w:cs="Arial"/>
        </w:rPr>
        <w:t xml:space="preserve"> </w:t>
      </w:r>
      <w:r w:rsidR="002E6888" w:rsidRPr="0003652C">
        <w:rPr>
          <w:rFonts w:cs="Arial"/>
        </w:rPr>
        <w:t>considerations of the</w:t>
      </w:r>
      <w:r w:rsidRPr="0003652C">
        <w:rPr>
          <w:rFonts w:cs="Arial"/>
        </w:rPr>
        <w:t xml:space="preserve"> students’ access to, progression through</w:t>
      </w:r>
      <w:r w:rsidR="005E7EA6">
        <w:rPr>
          <w:rFonts w:cs="Arial"/>
        </w:rPr>
        <w:t>,</w:t>
      </w:r>
      <w:r w:rsidRPr="0003652C">
        <w:rPr>
          <w:rFonts w:cs="Arial"/>
        </w:rPr>
        <w:t xml:space="preserve"> and future journey after the degree</w:t>
      </w:r>
      <w:r w:rsidR="009C67F9" w:rsidRPr="0003652C">
        <w:rPr>
          <w:rFonts w:cs="Arial"/>
        </w:rPr>
        <w:t xml:space="preserve"> (Appendix five, Table 8.1)</w:t>
      </w:r>
      <w:r w:rsidRPr="0003652C">
        <w:rPr>
          <w:rFonts w:cs="Arial"/>
        </w:rPr>
        <w:t xml:space="preserve">. It was also often intrinsically linked with the consideration of skills provision seen previously. </w:t>
      </w:r>
    </w:p>
    <w:p w14:paraId="0D0D6CF7" w14:textId="21ABBB03" w:rsidR="00765E64" w:rsidRPr="0003652C" w:rsidRDefault="00765E64" w:rsidP="0003652C">
      <w:pPr>
        <w:spacing w:line="360" w:lineRule="auto"/>
        <w:jc w:val="both"/>
        <w:rPr>
          <w:rFonts w:cs="Arial"/>
        </w:rPr>
      </w:pPr>
      <w:r w:rsidRPr="0003652C">
        <w:rPr>
          <w:rFonts w:cs="Arial"/>
        </w:rPr>
        <w:t>Again, arguably</w:t>
      </w:r>
      <w:r w:rsidR="005E7EA6">
        <w:rPr>
          <w:rFonts w:cs="Arial"/>
        </w:rPr>
        <w:t>,</w:t>
      </w:r>
      <w:r w:rsidRPr="0003652C">
        <w:rPr>
          <w:rFonts w:cs="Arial"/>
        </w:rPr>
        <w:t xml:space="preserve"> whilst the universities were only gatekeepers here of something emanating from the ORF, it is within the PRF that the decisions were made as to the extent to which this was a design value. The employability agenda and its implementation </w:t>
      </w:r>
      <w:r w:rsidR="002E6888" w:rsidRPr="0003652C">
        <w:rPr>
          <w:rFonts w:cs="Arial"/>
        </w:rPr>
        <w:t>appeared to have a particular reception in some law departments</w:t>
      </w:r>
      <w:r w:rsidR="005E7EA6">
        <w:rPr>
          <w:rFonts w:cs="Arial"/>
        </w:rPr>
        <w:t>,</w:t>
      </w:r>
      <w:r w:rsidR="002E6888" w:rsidRPr="0003652C">
        <w:rPr>
          <w:rFonts w:cs="Arial"/>
        </w:rPr>
        <w:t xml:space="preserve"> highlighting the nature of</w:t>
      </w:r>
      <w:r w:rsidRPr="0003652C">
        <w:rPr>
          <w:rFonts w:cs="Arial"/>
        </w:rPr>
        <w:t xml:space="preserve"> the relationship between law departments and schools, and the wider institution</w:t>
      </w:r>
      <w:r w:rsidR="002E6888" w:rsidRPr="0003652C">
        <w:rPr>
          <w:rFonts w:cs="Arial"/>
        </w:rPr>
        <w:t xml:space="preserve">. </w:t>
      </w:r>
    </w:p>
    <w:p w14:paraId="571A039E" w14:textId="7DF53AE0" w:rsidR="00765E64" w:rsidRPr="0003652C" w:rsidRDefault="00765E64" w:rsidP="0003652C">
      <w:pPr>
        <w:spacing w:line="360" w:lineRule="auto"/>
        <w:jc w:val="both"/>
        <w:rPr>
          <w:rFonts w:cs="Arial"/>
        </w:rPr>
      </w:pPr>
      <w:r w:rsidRPr="0003652C">
        <w:rPr>
          <w:rFonts w:cs="Arial"/>
        </w:rPr>
        <w:t>Legal education has</w:t>
      </w:r>
      <w:r w:rsidR="005E7EA6">
        <w:rPr>
          <w:rFonts w:cs="Arial"/>
        </w:rPr>
        <w:t>,</w:t>
      </w:r>
      <w:r w:rsidRPr="0003652C">
        <w:rPr>
          <w:rFonts w:cs="Arial"/>
        </w:rPr>
        <w:t xml:space="preserve"> in the context of a route to a profession, </w:t>
      </w:r>
      <w:r w:rsidR="002E6888" w:rsidRPr="0003652C">
        <w:rPr>
          <w:rFonts w:cs="Arial"/>
        </w:rPr>
        <w:t xml:space="preserve">always </w:t>
      </w:r>
      <w:r w:rsidRPr="0003652C">
        <w:rPr>
          <w:rFonts w:cs="Arial"/>
        </w:rPr>
        <w:t>promoted employability</w:t>
      </w:r>
      <w:r w:rsidR="005E7EA6">
        <w:rPr>
          <w:rFonts w:cs="Arial"/>
        </w:rPr>
        <w:t>,</w:t>
      </w:r>
      <w:r w:rsidRPr="0003652C">
        <w:rPr>
          <w:rFonts w:cs="Arial"/>
        </w:rPr>
        <w:t xml:space="preserve"> whether it is in terms of experiential, work-based, clinical or simulated professional learning (</w:t>
      </w:r>
      <w:r w:rsidR="002E6888" w:rsidRPr="0003652C">
        <w:rPr>
          <w:rFonts w:cs="Arial"/>
        </w:rPr>
        <w:t xml:space="preserve">as discussed earlier in </w:t>
      </w:r>
      <w:r w:rsidR="009D5113">
        <w:rPr>
          <w:rFonts w:cs="Arial"/>
        </w:rPr>
        <w:t>C</w:t>
      </w:r>
      <w:r w:rsidR="002E6888" w:rsidRPr="0003652C">
        <w:rPr>
          <w:rFonts w:cs="Arial"/>
        </w:rPr>
        <w:t xml:space="preserve">hapter </w:t>
      </w:r>
      <w:r w:rsidR="009D5113">
        <w:rPr>
          <w:rFonts w:cs="Arial"/>
        </w:rPr>
        <w:t>S</w:t>
      </w:r>
      <w:r w:rsidR="002E6888" w:rsidRPr="0003652C">
        <w:rPr>
          <w:rFonts w:cs="Arial"/>
        </w:rPr>
        <w:t>even</w:t>
      </w:r>
      <w:r w:rsidRPr="0003652C">
        <w:rPr>
          <w:rFonts w:cs="Arial"/>
        </w:rPr>
        <w:t xml:space="preserve">). Many participants reflected on the fact that the law school or department </w:t>
      </w:r>
      <w:r w:rsidR="002E6888" w:rsidRPr="0003652C">
        <w:rPr>
          <w:rFonts w:cs="Arial"/>
        </w:rPr>
        <w:t>was further advanced in developing this agenda tha</w:t>
      </w:r>
      <w:r w:rsidR="005E7EA6">
        <w:rPr>
          <w:rFonts w:cs="Arial"/>
        </w:rPr>
        <w:t xml:space="preserve">n </w:t>
      </w:r>
      <w:r w:rsidR="002E6888" w:rsidRPr="0003652C">
        <w:rPr>
          <w:rFonts w:cs="Arial"/>
        </w:rPr>
        <w:t>other parts of the institution</w:t>
      </w:r>
      <w:r w:rsidRPr="0003652C">
        <w:rPr>
          <w:rFonts w:cs="Arial"/>
        </w:rPr>
        <w:t>.</w:t>
      </w:r>
    </w:p>
    <w:p w14:paraId="1C09A499" w14:textId="43E0AC7E" w:rsidR="00765E64" w:rsidRPr="0003652C" w:rsidRDefault="00765E64" w:rsidP="0003652C">
      <w:pPr>
        <w:spacing w:line="360" w:lineRule="auto"/>
        <w:ind w:left="720"/>
        <w:jc w:val="both"/>
        <w:rPr>
          <w:rFonts w:cs="Arial"/>
        </w:rPr>
      </w:pPr>
      <w:r w:rsidRPr="0003652C">
        <w:rPr>
          <w:rFonts w:cs="Arial"/>
        </w:rPr>
        <w:lastRenderedPageBreak/>
        <w:t>Experiential learning is the universit</w:t>
      </w:r>
      <w:r w:rsidR="00AC7EB6" w:rsidRPr="0003652C">
        <w:rPr>
          <w:rFonts w:cs="Arial"/>
        </w:rPr>
        <w:t>y’s</w:t>
      </w:r>
      <w:r w:rsidRPr="0003652C">
        <w:rPr>
          <w:rFonts w:cs="Arial"/>
        </w:rPr>
        <w:t xml:space="preserve"> new buzzword. The university is </w:t>
      </w:r>
      <w:r w:rsidR="005E7EA6">
        <w:rPr>
          <w:rFonts w:cs="Arial"/>
        </w:rPr>
        <w:t xml:space="preserve">really </w:t>
      </w:r>
      <w:r w:rsidRPr="0003652C">
        <w:rPr>
          <w:rFonts w:cs="Arial"/>
        </w:rPr>
        <w:t>following us (here</w:t>
      </w:r>
      <w:r w:rsidR="005E7EA6">
        <w:rPr>
          <w:rFonts w:cs="Arial"/>
        </w:rPr>
        <w:t>,</w:t>
      </w:r>
      <w:r w:rsidRPr="0003652C">
        <w:rPr>
          <w:rFonts w:cs="Arial"/>
        </w:rPr>
        <w:t xml:space="preserve"> with practice and clinic). With experiential learning</w:t>
      </w:r>
      <w:r w:rsidR="005E7EA6">
        <w:rPr>
          <w:rFonts w:cs="Arial"/>
        </w:rPr>
        <w:t>,</w:t>
      </w:r>
      <w:r w:rsidRPr="0003652C">
        <w:rPr>
          <w:rFonts w:cs="Arial"/>
        </w:rPr>
        <w:t xml:space="preserve"> we are ahead of the game</w:t>
      </w:r>
      <w:r w:rsidR="00AC7EB6" w:rsidRPr="0003652C">
        <w:rPr>
          <w:rFonts w:cs="Arial"/>
        </w:rPr>
        <w:t xml:space="preserve"> (WP).</w:t>
      </w:r>
    </w:p>
    <w:p w14:paraId="434F1B49" w14:textId="1D464733" w:rsidR="00765E64" w:rsidRPr="0003652C" w:rsidRDefault="00765E64" w:rsidP="0003652C">
      <w:pPr>
        <w:spacing w:line="360" w:lineRule="auto"/>
        <w:jc w:val="both"/>
        <w:rPr>
          <w:rFonts w:cs="Arial"/>
        </w:rPr>
      </w:pPr>
      <w:r w:rsidRPr="0003652C">
        <w:rPr>
          <w:rFonts w:cs="Arial"/>
        </w:rPr>
        <w:t xml:space="preserve">Across all categories of </w:t>
      </w:r>
      <w:r w:rsidR="00AA70FC">
        <w:rPr>
          <w:rFonts w:cs="Arial"/>
        </w:rPr>
        <w:t>school</w:t>
      </w:r>
      <w:r w:rsidR="001078AA">
        <w:rPr>
          <w:rFonts w:cs="Arial"/>
        </w:rPr>
        <w:t>s</w:t>
      </w:r>
      <w:r w:rsidR="005E7EA6">
        <w:rPr>
          <w:rFonts w:cs="Arial"/>
        </w:rPr>
        <w:t>,</w:t>
      </w:r>
      <w:r w:rsidR="00AA70FC" w:rsidRPr="0003652C">
        <w:rPr>
          <w:rFonts w:cs="Arial"/>
        </w:rPr>
        <w:t xml:space="preserve"> </w:t>
      </w:r>
      <w:r w:rsidRPr="0003652C">
        <w:rPr>
          <w:rFonts w:cs="Arial"/>
        </w:rPr>
        <w:t xml:space="preserve">there was either the perception that the university was following the law school or that ‘We would have done this anyway’.  </w:t>
      </w:r>
    </w:p>
    <w:p w14:paraId="4CD6AA4B" w14:textId="246723D8" w:rsidR="00765E64" w:rsidRPr="0003652C" w:rsidRDefault="00765E64" w:rsidP="0003652C">
      <w:pPr>
        <w:spacing w:line="360" w:lineRule="auto"/>
        <w:jc w:val="both"/>
        <w:rPr>
          <w:rFonts w:cs="Arial"/>
        </w:rPr>
      </w:pPr>
      <w:r w:rsidRPr="0003652C">
        <w:rPr>
          <w:rFonts w:cs="Arial"/>
        </w:rPr>
        <w:t xml:space="preserve">Whilst employability was regarded as a serious influence on the degree for most, the impact differed according to the </w:t>
      </w:r>
      <w:r w:rsidR="00AA70FC">
        <w:rPr>
          <w:rFonts w:cs="Arial"/>
        </w:rPr>
        <w:t>school</w:t>
      </w:r>
      <w:r w:rsidRPr="0003652C">
        <w:rPr>
          <w:rFonts w:cs="Arial"/>
        </w:rPr>
        <w:t xml:space="preserve">, and the impact on the content was not consistent between or within categories of </w:t>
      </w:r>
      <w:r w:rsidR="00AA70FC">
        <w:rPr>
          <w:rFonts w:cs="Arial"/>
        </w:rPr>
        <w:t>school</w:t>
      </w:r>
      <w:r w:rsidRPr="0003652C">
        <w:rPr>
          <w:rFonts w:cs="Arial"/>
        </w:rPr>
        <w:t xml:space="preserve">. The selective </w:t>
      </w:r>
      <w:r w:rsidR="00AA70FC">
        <w:rPr>
          <w:rFonts w:cs="Arial"/>
        </w:rPr>
        <w:t>school</w:t>
      </w:r>
      <w:r w:rsidR="00AA70FC" w:rsidRPr="0003652C">
        <w:rPr>
          <w:rFonts w:cs="Arial"/>
        </w:rPr>
        <w:t xml:space="preserve">s </w:t>
      </w:r>
      <w:r w:rsidRPr="0003652C">
        <w:rPr>
          <w:rFonts w:cs="Arial"/>
        </w:rPr>
        <w:t xml:space="preserve">were more restrained about the agenda, </w:t>
      </w:r>
    </w:p>
    <w:p w14:paraId="2B595D66" w14:textId="422957E6" w:rsidR="00765E64" w:rsidRPr="0003652C" w:rsidRDefault="00765E64" w:rsidP="006370E7">
      <w:pPr>
        <w:spacing w:line="360" w:lineRule="auto"/>
        <w:ind w:left="720"/>
        <w:jc w:val="both"/>
        <w:rPr>
          <w:rFonts w:cs="Arial"/>
        </w:rPr>
      </w:pPr>
      <w:r w:rsidRPr="0003652C">
        <w:rPr>
          <w:rFonts w:cs="Arial"/>
        </w:rPr>
        <w:t>The discourse is not really about employability. They (the university) are squeamish about talking about a degree being a means to get a job. It feels like you’ve sold out</w:t>
      </w:r>
      <w:r w:rsidR="00CA5AC4" w:rsidRPr="0003652C">
        <w:rPr>
          <w:rFonts w:cs="Arial"/>
        </w:rPr>
        <w:t xml:space="preserve"> (S).</w:t>
      </w:r>
    </w:p>
    <w:p w14:paraId="06B9A834" w14:textId="1FF514D3" w:rsidR="00765E64" w:rsidRPr="0003652C" w:rsidRDefault="00765E64" w:rsidP="0003652C">
      <w:pPr>
        <w:spacing w:line="360" w:lineRule="auto"/>
        <w:jc w:val="both"/>
        <w:rPr>
          <w:rFonts w:cs="Arial"/>
        </w:rPr>
      </w:pPr>
      <w:r w:rsidRPr="0003652C">
        <w:rPr>
          <w:rFonts w:cs="Arial"/>
        </w:rPr>
        <w:t xml:space="preserve">In the semi-selective </w:t>
      </w:r>
      <w:r w:rsidR="00AA70FC">
        <w:rPr>
          <w:rFonts w:cs="Arial"/>
        </w:rPr>
        <w:t>school</w:t>
      </w:r>
      <w:r w:rsidR="001078AA">
        <w:rPr>
          <w:rFonts w:cs="Arial"/>
        </w:rPr>
        <w:t>,</w:t>
      </w:r>
      <w:r w:rsidR="00AA70FC" w:rsidRPr="0003652C">
        <w:rPr>
          <w:rFonts w:cs="Arial"/>
        </w:rPr>
        <w:t xml:space="preserve">s </w:t>
      </w:r>
      <w:r w:rsidRPr="0003652C">
        <w:rPr>
          <w:rFonts w:cs="Arial"/>
        </w:rPr>
        <w:t xml:space="preserve">employability was more likely to be embedded in </w:t>
      </w:r>
      <w:r w:rsidR="00F63B36">
        <w:rPr>
          <w:rFonts w:cs="Arial"/>
        </w:rPr>
        <w:t>programmes</w:t>
      </w:r>
      <w:r w:rsidRPr="0003652C">
        <w:rPr>
          <w:rFonts w:cs="Arial"/>
        </w:rPr>
        <w:t>, albeit with varying degrees of visibility. For some</w:t>
      </w:r>
      <w:r w:rsidR="005E7EA6">
        <w:rPr>
          <w:rFonts w:cs="Arial"/>
        </w:rPr>
        <w:t>,</w:t>
      </w:r>
      <w:r w:rsidRPr="0003652C">
        <w:rPr>
          <w:rFonts w:cs="Arial"/>
        </w:rPr>
        <w:t xml:space="preserve"> </w:t>
      </w:r>
      <w:r w:rsidR="002E6888" w:rsidRPr="0003652C">
        <w:rPr>
          <w:rFonts w:cs="Arial"/>
        </w:rPr>
        <w:t xml:space="preserve">there was a need to </w:t>
      </w:r>
      <w:r w:rsidRPr="0003652C">
        <w:rPr>
          <w:rFonts w:cs="Arial"/>
        </w:rPr>
        <w:t xml:space="preserve">embed employability interventions </w:t>
      </w:r>
      <w:r w:rsidR="002E6888" w:rsidRPr="0003652C">
        <w:rPr>
          <w:rFonts w:cs="Arial"/>
        </w:rPr>
        <w:t>due to the pressures on time-poor students</w:t>
      </w:r>
      <w:r w:rsidRPr="0003652C">
        <w:rPr>
          <w:rFonts w:cs="Arial"/>
        </w:rPr>
        <w:t xml:space="preserve">. Even with some selective </w:t>
      </w:r>
      <w:r w:rsidR="00AA70FC">
        <w:rPr>
          <w:rFonts w:cs="Arial"/>
        </w:rPr>
        <w:t>school</w:t>
      </w:r>
      <w:r w:rsidR="00AA70FC" w:rsidRPr="0003652C">
        <w:rPr>
          <w:rFonts w:cs="Arial"/>
        </w:rPr>
        <w:t>s</w:t>
      </w:r>
      <w:r w:rsidRPr="0003652C">
        <w:rPr>
          <w:rFonts w:cs="Arial"/>
        </w:rPr>
        <w:t xml:space="preserve">, where there was generally less commitment </w:t>
      </w:r>
      <w:r w:rsidR="001078AA">
        <w:rPr>
          <w:rFonts w:cs="Arial"/>
        </w:rPr>
        <w:t>to</w:t>
      </w:r>
      <w:r w:rsidRPr="0003652C">
        <w:rPr>
          <w:rFonts w:cs="Arial"/>
        </w:rPr>
        <w:t xml:space="preserve"> this, there were reflections on the fact that embedding what was currently extra</w:t>
      </w:r>
      <w:r w:rsidR="001078AA">
        <w:rPr>
          <w:rFonts w:cs="Arial"/>
        </w:rPr>
        <w:t>curricular</w:t>
      </w:r>
      <w:r w:rsidRPr="0003652C">
        <w:rPr>
          <w:rFonts w:cs="Arial"/>
        </w:rPr>
        <w:t xml:space="preserve"> within the curricul</w:t>
      </w:r>
      <w:r w:rsidR="001078AA">
        <w:rPr>
          <w:rFonts w:cs="Arial"/>
        </w:rPr>
        <w:t>um</w:t>
      </w:r>
      <w:r w:rsidRPr="0003652C">
        <w:rPr>
          <w:rFonts w:cs="Arial"/>
        </w:rPr>
        <w:t xml:space="preserve"> was on the horizon.</w:t>
      </w:r>
    </w:p>
    <w:p w14:paraId="2E806523" w14:textId="737623B1" w:rsidR="00765E64" w:rsidRPr="0003652C" w:rsidRDefault="00765E64" w:rsidP="0003652C">
      <w:pPr>
        <w:spacing w:line="360" w:lineRule="auto"/>
        <w:jc w:val="both"/>
        <w:rPr>
          <w:rFonts w:cs="Arial"/>
        </w:rPr>
      </w:pPr>
      <w:r w:rsidRPr="0003652C">
        <w:rPr>
          <w:rFonts w:cs="Arial"/>
        </w:rPr>
        <w:t>Employability is perceived by many to have become more of a pillar, embedded across modules</w:t>
      </w:r>
      <w:r w:rsidR="001078AA">
        <w:rPr>
          <w:rFonts w:cs="Arial"/>
        </w:rPr>
        <w:t xml:space="preserve"> </w:t>
      </w:r>
      <w:r w:rsidRPr="0003652C">
        <w:rPr>
          <w:rFonts w:cs="Arial"/>
        </w:rPr>
        <w:t xml:space="preserve">and supported (or imposed) as goals from the </w:t>
      </w:r>
      <w:r w:rsidR="00AA70FC">
        <w:rPr>
          <w:rFonts w:cs="Arial"/>
        </w:rPr>
        <w:t>university</w:t>
      </w:r>
      <w:r w:rsidR="001078AA">
        <w:rPr>
          <w:rFonts w:cs="Arial"/>
        </w:rPr>
        <w:t>,</w:t>
      </w:r>
      <w:r w:rsidRPr="0003652C">
        <w:rPr>
          <w:rFonts w:cs="Arial"/>
        </w:rPr>
        <w:t xml:space="preserve"> wh</w:t>
      </w:r>
      <w:r w:rsidR="001078AA">
        <w:rPr>
          <w:rFonts w:cs="Arial"/>
        </w:rPr>
        <w:t>ich,</w:t>
      </w:r>
      <w:r w:rsidRPr="0003652C">
        <w:rPr>
          <w:rFonts w:cs="Arial"/>
        </w:rPr>
        <w:t xml:space="preserve"> in turn</w:t>
      </w:r>
      <w:r w:rsidR="001078AA">
        <w:rPr>
          <w:rFonts w:cs="Arial"/>
        </w:rPr>
        <w:t>,</w:t>
      </w:r>
      <w:r w:rsidRPr="0003652C">
        <w:rPr>
          <w:rFonts w:cs="Arial"/>
        </w:rPr>
        <w:t xml:space="preserve"> w</w:t>
      </w:r>
      <w:r w:rsidR="001078AA">
        <w:rPr>
          <w:rFonts w:cs="Arial"/>
        </w:rPr>
        <w:t>as</w:t>
      </w:r>
      <w:r w:rsidRPr="0003652C">
        <w:rPr>
          <w:rFonts w:cs="Arial"/>
        </w:rPr>
        <w:t xml:space="preserve"> often seen to be adopting the language of the state. </w:t>
      </w:r>
      <w:r w:rsidR="00AA5DB8" w:rsidRPr="0003652C">
        <w:rPr>
          <w:rFonts w:cs="Arial"/>
        </w:rPr>
        <w:t>This</w:t>
      </w:r>
      <w:r w:rsidRPr="0003652C">
        <w:rPr>
          <w:rFonts w:cs="Arial"/>
        </w:rPr>
        <w:t xml:space="preserve"> was evident in the inclusion of professional skills in modules, professional training years embedded in degrees, </w:t>
      </w:r>
      <w:r w:rsidR="001078AA">
        <w:rPr>
          <w:rFonts w:cs="Arial"/>
        </w:rPr>
        <w:t>and</w:t>
      </w:r>
      <w:r w:rsidRPr="0003652C">
        <w:rPr>
          <w:rFonts w:cs="Arial"/>
        </w:rPr>
        <w:t xml:space="preserve"> clinic experience in modules</w:t>
      </w:r>
      <w:r w:rsidR="001078AA">
        <w:rPr>
          <w:rFonts w:cs="Arial"/>
        </w:rPr>
        <w:t xml:space="preserve">, as also discussed earlier </w:t>
      </w:r>
      <w:r w:rsidRPr="0003652C">
        <w:rPr>
          <w:rFonts w:cs="Arial"/>
          <w:color w:val="000000" w:themeColor="text1"/>
        </w:rPr>
        <w:t xml:space="preserve">in </w:t>
      </w:r>
      <w:r w:rsidR="009D5113">
        <w:rPr>
          <w:rFonts w:cs="Arial"/>
          <w:color w:val="000000" w:themeColor="text1"/>
        </w:rPr>
        <w:t>C</w:t>
      </w:r>
      <w:r w:rsidR="00AA5DB8" w:rsidRPr="0003652C">
        <w:rPr>
          <w:rFonts w:cs="Arial"/>
          <w:color w:val="000000" w:themeColor="text1"/>
        </w:rPr>
        <w:t xml:space="preserve">hapter </w:t>
      </w:r>
      <w:r w:rsidR="009D5113">
        <w:rPr>
          <w:rFonts w:cs="Arial"/>
          <w:color w:val="000000" w:themeColor="text1"/>
        </w:rPr>
        <w:t>S</w:t>
      </w:r>
      <w:r w:rsidR="00AA5DB8" w:rsidRPr="0003652C">
        <w:rPr>
          <w:rFonts w:cs="Arial"/>
          <w:color w:val="000000" w:themeColor="text1"/>
        </w:rPr>
        <w:t>ix</w:t>
      </w:r>
      <w:r w:rsidRPr="0003652C">
        <w:rPr>
          <w:rFonts w:cs="Arial"/>
          <w:color w:val="000000" w:themeColor="text1"/>
        </w:rPr>
        <w:t xml:space="preserve">.  </w:t>
      </w:r>
      <w:r w:rsidRPr="0003652C">
        <w:rPr>
          <w:rFonts w:cs="Arial"/>
        </w:rPr>
        <w:t>hen there was pressure on the optionality in the degree</w:t>
      </w:r>
      <w:r w:rsidR="001078AA">
        <w:rPr>
          <w:rFonts w:cs="Arial"/>
        </w:rPr>
        <w:t xml:space="preserve">, </w:t>
      </w:r>
      <w:r w:rsidR="00AA5DB8" w:rsidRPr="0003652C">
        <w:rPr>
          <w:rFonts w:cs="Arial"/>
        </w:rPr>
        <w:t>again</w:t>
      </w:r>
      <w:r w:rsidR="001078AA">
        <w:rPr>
          <w:rFonts w:cs="Arial"/>
        </w:rPr>
        <w:t>,</w:t>
      </w:r>
      <w:r w:rsidR="00AA5DB8" w:rsidRPr="0003652C">
        <w:rPr>
          <w:rFonts w:cs="Arial"/>
        </w:rPr>
        <w:t xml:space="preserve"> as discussed in</w:t>
      </w:r>
      <w:r w:rsidRPr="0003652C">
        <w:rPr>
          <w:rFonts w:cs="Arial"/>
        </w:rPr>
        <w:t xml:space="preserve"> </w:t>
      </w:r>
      <w:r w:rsidR="009D5113">
        <w:rPr>
          <w:rFonts w:cs="Arial"/>
        </w:rPr>
        <w:t>C</w:t>
      </w:r>
      <w:r w:rsidR="00AA5DB8" w:rsidRPr="0003652C">
        <w:rPr>
          <w:rFonts w:cs="Arial"/>
        </w:rPr>
        <w:t xml:space="preserve">hapter </w:t>
      </w:r>
      <w:r w:rsidR="009D5113">
        <w:rPr>
          <w:rFonts w:cs="Arial"/>
        </w:rPr>
        <w:t>S</w:t>
      </w:r>
      <w:r w:rsidR="00AA5DB8" w:rsidRPr="0003652C">
        <w:rPr>
          <w:rFonts w:cs="Arial"/>
        </w:rPr>
        <w:t>ix</w:t>
      </w:r>
      <w:r w:rsidR="001078AA">
        <w:rPr>
          <w:rFonts w:cs="Arial"/>
        </w:rPr>
        <w:t>,</w:t>
      </w:r>
      <w:r w:rsidRPr="0003652C">
        <w:rPr>
          <w:rFonts w:cs="Arial"/>
        </w:rPr>
        <w:t xml:space="preserve"> employability might also be the reason some modules were retained and some not.  </w:t>
      </w:r>
    </w:p>
    <w:p w14:paraId="4965B598" w14:textId="5BEA28D3" w:rsidR="00765E64" w:rsidRPr="0003652C" w:rsidRDefault="00765E64" w:rsidP="0003652C">
      <w:pPr>
        <w:spacing w:line="360" w:lineRule="auto"/>
        <w:jc w:val="both"/>
        <w:rPr>
          <w:rFonts w:cs="Arial"/>
        </w:rPr>
      </w:pPr>
      <w:r w:rsidRPr="0003652C">
        <w:rPr>
          <w:rFonts w:cs="Arial"/>
        </w:rPr>
        <w:t xml:space="preserve">In the widening participation </w:t>
      </w:r>
      <w:r w:rsidR="00AA70FC">
        <w:rPr>
          <w:rFonts w:cs="Arial"/>
        </w:rPr>
        <w:t>school</w:t>
      </w:r>
      <w:r w:rsidR="00AA70FC" w:rsidRPr="0003652C">
        <w:rPr>
          <w:rFonts w:cs="Arial"/>
        </w:rPr>
        <w:t>s</w:t>
      </w:r>
      <w:r w:rsidRPr="0003652C">
        <w:rPr>
          <w:rFonts w:cs="Arial"/>
        </w:rPr>
        <w:t xml:space="preserve">, the employability agenda was seen to be </w:t>
      </w:r>
      <w:r w:rsidR="001078AA" w:rsidRPr="0003652C">
        <w:rPr>
          <w:rFonts w:cs="Arial"/>
        </w:rPr>
        <w:t>skills</w:t>
      </w:r>
      <w:r w:rsidR="001078AA">
        <w:rPr>
          <w:rFonts w:cs="Arial"/>
        </w:rPr>
        <w:t>-</w:t>
      </w:r>
      <w:r w:rsidRPr="0003652C">
        <w:rPr>
          <w:rFonts w:cs="Arial"/>
        </w:rPr>
        <w:t xml:space="preserve">based, and a means to ‘fill the gap between graduating and day one in a job’ with an acknowledgement that students often weren’t going straight to the </w:t>
      </w:r>
      <w:r w:rsidRPr="0003652C">
        <w:rPr>
          <w:rFonts w:cs="Arial"/>
        </w:rPr>
        <w:lastRenderedPageBreak/>
        <w:t>SQE preparation courses but going into the job market at entry level, legal and non-legal</w:t>
      </w:r>
      <w:r w:rsidR="001078AA">
        <w:rPr>
          <w:rFonts w:cs="Arial"/>
        </w:rPr>
        <w:t>.</w:t>
      </w:r>
    </w:p>
    <w:p w14:paraId="5DF45A0A" w14:textId="412D0BBB" w:rsidR="00765E64" w:rsidRPr="0003652C" w:rsidRDefault="00765E64" w:rsidP="0003652C">
      <w:pPr>
        <w:spacing w:line="360" w:lineRule="auto"/>
        <w:ind w:left="720"/>
        <w:jc w:val="both"/>
        <w:rPr>
          <w:rFonts w:cs="Arial"/>
        </w:rPr>
      </w:pPr>
      <w:r w:rsidRPr="0003652C">
        <w:rPr>
          <w:rFonts w:cs="Arial"/>
        </w:rPr>
        <w:t>You know, it's not as if our students</w:t>
      </w:r>
      <w:r w:rsidR="001078AA">
        <w:rPr>
          <w:rFonts w:cs="Arial"/>
        </w:rPr>
        <w:t>’</w:t>
      </w:r>
      <w:r w:rsidRPr="0003652C">
        <w:rPr>
          <w:rFonts w:cs="Arial"/>
        </w:rPr>
        <w:t xml:space="preserve"> journey ends </w:t>
      </w:r>
      <w:r w:rsidR="001078AA">
        <w:rPr>
          <w:rFonts w:cs="Arial"/>
        </w:rPr>
        <w:t>at</w:t>
      </w:r>
      <w:r w:rsidRPr="0003652C">
        <w:rPr>
          <w:rFonts w:cs="Arial"/>
        </w:rPr>
        <w:t xml:space="preserve"> graduation</w:t>
      </w:r>
      <w:r w:rsidR="001078AA">
        <w:rPr>
          <w:rFonts w:cs="Arial"/>
        </w:rPr>
        <w:t>,</w:t>
      </w:r>
      <w:r w:rsidRPr="0003652C">
        <w:rPr>
          <w:rFonts w:cs="Arial"/>
        </w:rPr>
        <w:t xml:space="preserve"> and we've got to have Rome built by the time they graduate. It's actually that they've taken a next step, and that next step is the first step on something like an escalator. They move away from university pretty damn quick, and we just need to get them ready for that journey</w:t>
      </w:r>
      <w:r w:rsidR="00CA5AC4" w:rsidRPr="0003652C">
        <w:rPr>
          <w:rFonts w:cs="Arial"/>
        </w:rPr>
        <w:t xml:space="preserve"> (WP).</w:t>
      </w:r>
    </w:p>
    <w:p w14:paraId="3E065833" w14:textId="7827E00B" w:rsidR="00765E64" w:rsidRPr="0003652C" w:rsidRDefault="00765E64" w:rsidP="0003652C">
      <w:pPr>
        <w:spacing w:line="360" w:lineRule="auto"/>
        <w:jc w:val="both"/>
        <w:rPr>
          <w:rFonts w:cs="Arial"/>
        </w:rPr>
      </w:pPr>
      <w:r w:rsidRPr="0003652C">
        <w:rPr>
          <w:rFonts w:cs="Arial"/>
        </w:rPr>
        <w:t>Occasionally</w:t>
      </w:r>
      <w:r w:rsidR="001078AA">
        <w:rPr>
          <w:rFonts w:cs="Arial"/>
        </w:rPr>
        <w:t>,</w:t>
      </w:r>
      <w:r w:rsidRPr="0003652C">
        <w:rPr>
          <w:rFonts w:cs="Arial"/>
        </w:rPr>
        <w:t xml:space="preserve"> reflections on this agenda or </w:t>
      </w:r>
      <w:r w:rsidR="001078AA">
        <w:rPr>
          <w:rFonts w:cs="Arial"/>
        </w:rPr>
        <w:t xml:space="preserve">on the </w:t>
      </w:r>
      <w:r w:rsidRPr="0003652C">
        <w:rPr>
          <w:rFonts w:cs="Arial"/>
        </w:rPr>
        <w:t xml:space="preserve">influence felt that the drive towards employability was misplaced. It was referred to </w:t>
      </w:r>
      <w:r w:rsidR="00BB631B">
        <w:rPr>
          <w:rFonts w:cs="Arial"/>
        </w:rPr>
        <w:t xml:space="preserve">as </w:t>
      </w:r>
      <w:r w:rsidRPr="0003652C">
        <w:rPr>
          <w:rFonts w:cs="Arial"/>
        </w:rPr>
        <w:t>‘a necessary evil’</w:t>
      </w:r>
      <w:r w:rsidR="00BB631B">
        <w:rPr>
          <w:rFonts w:cs="Arial"/>
        </w:rPr>
        <w:t>,</w:t>
      </w:r>
      <w:r w:rsidRPr="0003652C">
        <w:rPr>
          <w:rFonts w:cs="Arial"/>
        </w:rPr>
        <w:t xml:space="preserve"> and not all designers felt that the balance here was right,</w:t>
      </w:r>
    </w:p>
    <w:p w14:paraId="06844234" w14:textId="0301AC8E" w:rsidR="00765E64" w:rsidRPr="0003652C" w:rsidRDefault="00765E64" w:rsidP="006370E7">
      <w:pPr>
        <w:spacing w:line="360" w:lineRule="auto"/>
        <w:ind w:left="720"/>
        <w:jc w:val="both"/>
        <w:rPr>
          <w:rFonts w:cs="Arial"/>
        </w:rPr>
      </w:pPr>
      <w:r w:rsidRPr="0003652C">
        <w:rPr>
          <w:rFonts w:cs="Arial"/>
        </w:rPr>
        <w:t>The need is not to focus on employability skills but on the ability of the students to think for themselves. It’s not about teaching them how to write a CV</w:t>
      </w:r>
      <w:r w:rsidR="001078AA">
        <w:rPr>
          <w:rFonts w:cs="Arial"/>
        </w:rPr>
        <w:t>;</w:t>
      </w:r>
      <w:r w:rsidR="001078AA" w:rsidRPr="0003652C">
        <w:rPr>
          <w:rFonts w:cs="Arial"/>
        </w:rPr>
        <w:t xml:space="preserve"> </w:t>
      </w:r>
      <w:r w:rsidRPr="0003652C">
        <w:rPr>
          <w:rFonts w:cs="Arial"/>
        </w:rPr>
        <w:t xml:space="preserve">it is about giving them </w:t>
      </w:r>
      <w:r w:rsidR="001078AA">
        <w:rPr>
          <w:rFonts w:cs="Arial"/>
        </w:rPr>
        <w:t xml:space="preserve">the </w:t>
      </w:r>
      <w:r w:rsidRPr="0003652C">
        <w:rPr>
          <w:rFonts w:cs="Arial"/>
        </w:rPr>
        <w:t>cultural capital that Russell Group students have</w:t>
      </w:r>
      <w:r w:rsidR="00CA5AC4" w:rsidRPr="0003652C">
        <w:rPr>
          <w:rFonts w:cs="Arial"/>
        </w:rPr>
        <w:t xml:space="preserve"> (WP).</w:t>
      </w:r>
    </w:p>
    <w:p w14:paraId="1AEC779F" w14:textId="724578C8" w:rsidR="00765E64" w:rsidRPr="0003652C" w:rsidRDefault="00765E64" w:rsidP="0003652C">
      <w:pPr>
        <w:spacing w:line="360" w:lineRule="auto"/>
        <w:jc w:val="both"/>
        <w:rPr>
          <w:rFonts w:cs="Arial"/>
          <w:szCs w:val="24"/>
        </w:rPr>
      </w:pPr>
      <w:r w:rsidRPr="0003652C">
        <w:rPr>
          <w:rFonts w:cs="Arial"/>
        </w:rPr>
        <w:t xml:space="preserve">The employability agenda is a good example of how the ORF might exert power over the curriculum indirectly. The agenda, whilst contested, emanates in part from the publication of metrics and the resultant league tables and so is implicitly a state-controlled influence, albeit so embedded in neoliberal policy that it is more </w:t>
      </w:r>
      <w:r w:rsidRPr="0003652C">
        <w:rPr>
          <w:rFonts w:cs="Arial"/>
          <w:szCs w:val="24"/>
        </w:rPr>
        <w:t xml:space="preserve">likely now to be presented as a necessary agenda to support students, as ‘the swing from social liberalism to neoliberalism’ sees a shift to ‘values associated with the market.’ (Thornton, 2007. </w:t>
      </w:r>
      <w:r w:rsidR="00CD6E72">
        <w:rPr>
          <w:rFonts w:cs="Arial"/>
          <w:szCs w:val="24"/>
        </w:rPr>
        <w:t>p.</w:t>
      </w:r>
      <w:r w:rsidRPr="0003652C">
        <w:rPr>
          <w:rFonts w:cs="Arial"/>
          <w:szCs w:val="24"/>
        </w:rPr>
        <w:t>1; Stoten, 2018). This is often seen as a negative influence,</w:t>
      </w:r>
    </w:p>
    <w:p w14:paraId="00D65A49" w14:textId="6E378F82" w:rsidR="000409A0" w:rsidRPr="006370E7" w:rsidRDefault="00765E64" w:rsidP="006370E7">
      <w:pPr>
        <w:spacing w:line="360" w:lineRule="auto"/>
        <w:ind w:left="720"/>
        <w:jc w:val="both"/>
        <w:rPr>
          <w:rFonts w:cs="Arial"/>
          <w:szCs w:val="24"/>
          <w:shd w:val="clear" w:color="auto" w:fill="FFFFFF"/>
        </w:rPr>
      </w:pPr>
      <w:r w:rsidRPr="0003652C">
        <w:rPr>
          <w:rFonts w:cs="Arial"/>
          <w:szCs w:val="24"/>
          <w:shd w:val="clear" w:color="auto" w:fill="FFFFFF"/>
        </w:rPr>
        <w:t>The employability agenda is fundamentally flawed and could lead to a future where employability skills take centre stage, where legal knowledge and specific legal skills are built around an employability focus or agenda</w:t>
      </w:r>
      <w:r w:rsidR="001078AA">
        <w:rPr>
          <w:rFonts w:cs="Arial"/>
          <w:szCs w:val="24"/>
          <w:shd w:val="clear" w:color="auto" w:fill="FFFFFF"/>
        </w:rPr>
        <w:t>,</w:t>
      </w:r>
      <w:r w:rsidRPr="0003652C">
        <w:rPr>
          <w:rFonts w:cs="Arial"/>
          <w:szCs w:val="24"/>
          <w:shd w:val="clear" w:color="auto" w:fill="FFFFFF"/>
        </w:rPr>
        <w:t xml:space="preserve"> and where they, rather than the employability skills, become the add-ons. (Guth, 2020. </w:t>
      </w:r>
      <w:r w:rsidR="00CD6E72">
        <w:rPr>
          <w:rFonts w:cs="Arial"/>
          <w:szCs w:val="24"/>
          <w:shd w:val="clear" w:color="auto" w:fill="FFFFFF"/>
        </w:rPr>
        <w:t>p.</w:t>
      </w:r>
      <w:r w:rsidRPr="0003652C">
        <w:rPr>
          <w:rFonts w:cs="Arial"/>
          <w:szCs w:val="24"/>
          <w:shd w:val="clear" w:color="auto" w:fill="FFFFFF"/>
        </w:rPr>
        <w:t>166)</w:t>
      </w:r>
    </w:p>
    <w:p w14:paraId="63BE51C5" w14:textId="36651CFB" w:rsidR="00765E64" w:rsidRPr="006370E7" w:rsidRDefault="00765E64" w:rsidP="0003652C">
      <w:pPr>
        <w:spacing w:line="360" w:lineRule="auto"/>
        <w:jc w:val="both"/>
        <w:rPr>
          <w:rFonts w:cs="Arial"/>
          <w:color w:val="000000" w:themeColor="text1"/>
        </w:rPr>
      </w:pPr>
      <w:r w:rsidRPr="0003652C">
        <w:rPr>
          <w:rFonts w:cs="Arial"/>
          <w:color w:val="000000" w:themeColor="text1"/>
        </w:rPr>
        <w:t xml:space="preserve">However whilst there is an argument to suggest that those in the ORF might exert quite an influence over the design of degrees by providing the wider metricised </w:t>
      </w:r>
      <w:r w:rsidRPr="0003652C">
        <w:rPr>
          <w:rFonts w:cs="Arial"/>
          <w:color w:val="000000" w:themeColor="text1"/>
        </w:rPr>
        <w:lastRenderedPageBreak/>
        <w:t xml:space="preserve">and neoliberal context, the findings suggest that the designers and the academic community were led by student-centred values, </w:t>
      </w:r>
      <w:r w:rsidR="006370E7">
        <w:rPr>
          <w:rFonts w:cs="Arial"/>
          <w:color w:val="000000" w:themeColor="text1"/>
        </w:rPr>
        <w:t xml:space="preserve">influenced by what </w:t>
      </w:r>
      <w:r w:rsidRPr="0003652C">
        <w:rPr>
          <w:rFonts w:cs="Arial"/>
          <w:color w:val="000000" w:themeColor="text1"/>
        </w:rPr>
        <w:t>they felt they knew about their students</w:t>
      </w:r>
      <w:r w:rsidR="006370E7">
        <w:rPr>
          <w:rFonts w:cs="Arial"/>
          <w:color w:val="000000" w:themeColor="text1"/>
        </w:rPr>
        <w:t>, and the needs of the discipline</w:t>
      </w:r>
      <w:r w:rsidR="001B1BB0">
        <w:rPr>
          <w:rFonts w:cs="Arial"/>
          <w:color w:val="000000" w:themeColor="text1"/>
        </w:rPr>
        <w:t>,</w:t>
      </w:r>
      <w:r w:rsidR="006370E7">
        <w:rPr>
          <w:rFonts w:cs="Arial"/>
          <w:color w:val="000000" w:themeColor="text1"/>
        </w:rPr>
        <w:t xml:space="preserve"> as well as the need for skills (Yorke &amp; Knight, 2006)</w:t>
      </w:r>
      <w:r w:rsidRPr="0003652C">
        <w:rPr>
          <w:rFonts w:cs="Arial"/>
          <w:color w:val="000000" w:themeColor="text1"/>
        </w:rPr>
        <w:t>. This does not</w:t>
      </w:r>
      <w:r w:rsidR="001078AA">
        <w:rPr>
          <w:rFonts w:cs="Arial"/>
          <w:color w:val="000000" w:themeColor="text1"/>
        </w:rPr>
        <w:t>,</w:t>
      </w:r>
      <w:r w:rsidRPr="0003652C">
        <w:rPr>
          <w:rFonts w:cs="Arial"/>
          <w:color w:val="000000" w:themeColor="text1"/>
        </w:rPr>
        <w:t xml:space="preserve"> however</w:t>
      </w:r>
      <w:r w:rsidR="001078AA">
        <w:rPr>
          <w:rFonts w:cs="Arial"/>
          <w:color w:val="000000" w:themeColor="text1"/>
        </w:rPr>
        <w:t>,</w:t>
      </w:r>
      <w:r w:rsidRPr="0003652C">
        <w:rPr>
          <w:rFonts w:cs="Arial"/>
          <w:color w:val="000000" w:themeColor="text1"/>
        </w:rPr>
        <w:t xml:space="preserve"> detract from the fact that </w:t>
      </w:r>
      <w:r w:rsidRPr="0003652C">
        <w:rPr>
          <w:rFonts w:cs="Arial"/>
          <w:color w:val="000000" w:themeColor="text1"/>
          <w:szCs w:val="24"/>
        </w:rPr>
        <w:t>teaching such skills takes up space (something I return to later), and</w:t>
      </w:r>
    </w:p>
    <w:p w14:paraId="084ADBA0" w14:textId="648972EC" w:rsidR="00765E64" w:rsidRPr="006370E7" w:rsidRDefault="00765E64" w:rsidP="006370E7">
      <w:pPr>
        <w:spacing w:line="360" w:lineRule="auto"/>
        <w:ind w:left="720"/>
        <w:jc w:val="both"/>
        <w:rPr>
          <w:rFonts w:cs="Arial"/>
          <w:szCs w:val="24"/>
        </w:rPr>
      </w:pPr>
      <w:r w:rsidRPr="0003652C">
        <w:rPr>
          <w:rFonts w:cs="Arial"/>
          <w:szCs w:val="24"/>
          <w:shd w:val="clear" w:color="auto" w:fill="FFFFFF"/>
        </w:rPr>
        <w:t xml:space="preserve">The future might, therefore, be one dominated by teaching the sort of skills that encourage students to follow instructions, look the part and not question too much, which might, of course, be exactly what the labour market wants. (Guth, 2020. </w:t>
      </w:r>
      <w:r w:rsidR="00CD6E72">
        <w:rPr>
          <w:rFonts w:cs="Arial"/>
          <w:szCs w:val="24"/>
          <w:shd w:val="clear" w:color="auto" w:fill="FFFFFF"/>
        </w:rPr>
        <w:t>p.</w:t>
      </w:r>
      <w:r w:rsidRPr="0003652C">
        <w:rPr>
          <w:rFonts w:cs="Arial"/>
          <w:szCs w:val="24"/>
          <w:shd w:val="clear" w:color="auto" w:fill="FFFFFF"/>
        </w:rPr>
        <w:t>167)</w:t>
      </w:r>
    </w:p>
    <w:p w14:paraId="1409F816" w14:textId="080ABBF4" w:rsidR="00765E64" w:rsidRPr="0003652C" w:rsidRDefault="00765E64" w:rsidP="0003652C">
      <w:pPr>
        <w:spacing w:line="360" w:lineRule="auto"/>
        <w:jc w:val="both"/>
        <w:rPr>
          <w:rFonts w:cs="Arial"/>
        </w:rPr>
      </w:pPr>
      <w:r w:rsidRPr="0003652C">
        <w:rPr>
          <w:rFonts w:cs="Arial"/>
        </w:rPr>
        <w:t>Here</w:t>
      </w:r>
      <w:r w:rsidR="001078AA">
        <w:rPr>
          <w:rFonts w:cs="Arial"/>
        </w:rPr>
        <w:t>,</w:t>
      </w:r>
      <w:r w:rsidRPr="0003652C">
        <w:rPr>
          <w:rFonts w:cs="Arial"/>
        </w:rPr>
        <w:t xml:space="preserve"> the traditionally different perspectives held by the selective, semi-selective</w:t>
      </w:r>
      <w:r w:rsidR="001078AA">
        <w:rPr>
          <w:rFonts w:cs="Arial"/>
        </w:rPr>
        <w:t>,</w:t>
      </w:r>
      <w:r w:rsidRPr="0003652C">
        <w:rPr>
          <w:rFonts w:cs="Arial"/>
        </w:rPr>
        <w:t xml:space="preserve"> and widening participation </w:t>
      </w:r>
      <w:r w:rsidR="00AA70FC">
        <w:rPr>
          <w:rFonts w:cs="Arial"/>
        </w:rPr>
        <w:t>school</w:t>
      </w:r>
      <w:r w:rsidR="00AA70FC" w:rsidRPr="0003652C">
        <w:rPr>
          <w:rFonts w:cs="Arial"/>
        </w:rPr>
        <w:t xml:space="preserve">s </w:t>
      </w:r>
      <w:r w:rsidRPr="0003652C">
        <w:rPr>
          <w:rFonts w:cs="Arial"/>
        </w:rPr>
        <w:t>are beginning to coincide due to the wider neoliberal context</w:t>
      </w:r>
      <w:r w:rsidR="001078AA">
        <w:rPr>
          <w:rFonts w:cs="Arial"/>
        </w:rPr>
        <w:t>,</w:t>
      </w:r>
      <w:r w:rsidRPr="0003652C">
        <w:rPr>
          <w:rFonts w:cs="Arial"/>
        </w:rPr>
        <w:t xml:space="preserve"> as all institutions face a wider diversity in their student cohorts. </w:t>
      </w:r>
    </w:p>
    <w:p w14:paraId="5D7F2541" w14:textId="63CC7604" w:rsidR="00765E64" w:rsidRPr="0003652C" w:rsidRDefault="00765E64" w:rsidP="0003652C">
      <w:pPr>
        <w:spacing w:line="360" w:lineRule="auto"/>
        <w:jc w:val="both"/>
        <w:rPr>
          <w:rFonts w:cs="Arial"/>
        </w:rPr>
      </w:pPr>
      <w:r w:rsidRPr="0003652C">
        <w:rPr>
          <w:rFonts w:cs="Arial"/>
        </w:rPr>
        <w:t xml:space="preserve">Bernstein’s proposition that elite and non-elite institutions may be distinguished in part by their research or market focus may be blurring here. Whilst legal education has always had an external focus as a regional discipline, we have seen that the elite </w:t>
      </w:r>
      <w:r w:rsidR="00AA70FC">
        <w:rPr>
          <w:rFonts w:cs="Arial"/>
        </w:rPr>
        <w:t>law school</w:t>
      </w:r>
      <w:r w:rsidRPr="0003652C">
        <w:rPr>
          <w:rFonts w:cs="Arial"/>
        </w:rPr>
        <w:t xml:space="preserve">s have historically been able to keep the profession at a distance in favour of presenting a largely academic curriculum. Whilst it may not yet be dictating the design of degrees, the implementation of the skills and employability agendas </w:t>
      </w:r>
      <w:r w:rsidR="001078AA">
        <w:rPr>
          <w:rFonts w:cs="Arial"/>
        </w:rPr>
        <w:t>is</w:t>
      </w:r>
      <w:r w:rsidRPr="0003652C">
        <w:rPr>
          <w:rFonts w:cs="Arial"/>
        </w:rPr>
        <w:t xml:space="preserve"> no longer purely the domain of the non-elite. On the other hand, the divide may widen again due to the introduction of the centralised exam, as some </w:t>
      </w:r>
      <w:r w:rsidR="00AA70FC">
        <w:rPr>
          <w:rFonts w:cs="Arial"/>
        </w:rPr>
        <w:t>school</w:t>
      </w:r>
      <w:r w:rsidRPr="0003652C">
        <w:rPr>
          <w:rFonts w:cs="Arial"/>
        </w:rPr>
        <w:t xml:space="preserve">s, more likely the less selective, lean towards designing </w:t>
      </w:r>
      <w:r w:rsidR="00D262F4" w:rsidRPr="0003652C">
        <w:rPr>
          <w:rFonts w:cs="Arial"/>
        </w:rPr>
        <w:t>SQE</w:t>
      </w:r>
      <w:r w:rsidR="00D262F4">
        <w:rPr>
          <w:rFonts w:cs="Arial"/>
        </w:rPr>
        <w:t>-</w:t>
      </w:r>
      <w:r w:rsidRPr="0003652C">
        <w:rPr>
          <w:rFonts w:cs="Arial"/>
        </w:rPr>
        <w:t>ready courses, the skills for which are largely competency</w:t>
      </w:r>
      <w:r w:rsidR="00D262F4">
        <w:rPr>
          <w:rFonts w:cs="Arial"/>
        </w:rPr>
        <w:t>-</w:t>
      </w:r>
      <w:r w:rsidRPr="0003652C">
        <w:rPr>
          <w:rFonts w:cs="Arial"/>
        </w:rPr>
        <w:t>based and very different from those needed for the traditional law degree (Mason &amp; Guth, 2018</w:t>
      </w:r>
      <w:r w:rsidR="001B1BB0">
        <w:rPr>
          <w:rFonts w:cs="Arial"/>
        </w:rPr>
        <w:t>;</w:t>
      </w:r>
      <w:r w:rsidRPr="0003652C">
        <w:rPr>
          <w:rFonts w:cs="Arial"/>
        </w:rPr>
        <w:t xml:space="preserve"> Guth, 2020). </w:t>
      </w:r>
      <w:r w:rsidR="000409A0" w:rsidRPr="0003652C">
        <w:rPr>
          <w:rFonts w:cs="Arial"/>
        </w:rPr>
        <w:t xml:space="preserve">The dangers of this are considered by </w:t>
      </w:r>
      <w:r w:rsidR="000409A0" w:rsidRPr="0003652C">
        <w:rPr>
          <w:rFonts w:cs="Arial"/>
          <w:color w:val="000000" w:themeColor="text1"/>
        </w:rPr>
        <w:t>Muller and Young</w:t>
      </w:r>
      <w:r w:rsidR="001078AA">
        <w:rPr>
          <w:rFonts w:cs="Arial"/>
          <w:color w:val="000000" w:themeColor="text1"/>
        </w:rPr>
        <w:t>,</w:t>
      </w:r>
      <w:r w:rsidR="000409A0" w:rsidRPr="0003652C">
        <w:rPr>
          <w:rFonts w:cs="Arial"/>
          <w:color w:val="000000" w:themeColor="text1"/>
        </w:rPr>
        <w:t xml:space="preserve"> who consider not only regionalisation and </w:t>
      </w:r>
      <w:r w:rsidR="00CD582E" w:rsidRPr="0003652C">
        <w:rPr>
          <w:rFonts w:cs="Arial"/>
          <w:color w:val="000000" w:themeColor="text1"/>
        </w:rPr>
        <w:t>‘</w:t>
      </w:r>
      <w:r w:rsidR="000409A0" w:rsidRPr="0003652C">
        <w:rPr>
          <w:rFonts w:cs="Arial"/>
          <w:color w:val="000000" w:themeColor="text1"/>
        </w:rPr>
        <w:t>vocationalisation</w:t>
      </w:r>
      <w:r w:rsidR="00CD582E" w:rsidRPr="0003652C">
        <w:rPr>
          <w:rFonts w:cs="Arial"/>
          <w:color w:val="000000" w:themeColor="text1"/>
        </w:rPr>
        <w:t>’</w:t>
      </w:r>
      <w:r w:rsidR="000409A0" w:rsidRPr="0003652C">
        <w:rPr>
          <w:rFonts w:cs="Arial"/>
          <w:color w:val="000000" w:themeColor="text1"/>
        </w:rPr>
        <w:t xml:space="preserve"> </w:t>
      </w:r>
      <w:r w:rsidR="00CD582E" w:rsidRPr="0003652C">
        <w:rPr>
          <w:rFonts w:cs="Arial"/>
          <w:color w:val="000000" w:themeColor="text1"/>
        </w:rPr>
        <w:t>of disciplines more generally</w:t>
      </w:r>
      <w:r w:rsidR="000409A0" w:rsidRPr="0003652C">
        <w:rPr>
          <w:rFonts w:cs="Arial"/>
          <w:color w:val="000000" w:themeColor="text1"/>
        </w:rPr>
        <w:t xml:space="preserve">, but the demise of </w:t>
      </w:r>
      <w:r w:rsidR="00CD582E" w:rsidRPr="0003652C">
        <w:rPr>
          <w:rFonts w:cs="Arial"/>
          <w:color w:val="000000" w:themeColor="text1"/>
        </w:rPr>
        <w:t>access to the discipline</w:t>
      </w:r>
      <w:r w:rsidR="000409A0" w:rsidRPr="0003652C">
        <w:rPr>
          <w:rFonts w:cs="Arial"/>
          <w:color w:val="000000" w:themeColor="text1"/>
        </w:rPr>
        <w:t xml:space="preserve"> through the skills agenda</w:t>
      </w:r>
      <w:r w:rsidR="00864084" w:rsidRPr="0003652C">
        <w:rPr>
          <w:rFonts w:cs="Arial"/>
          <w:color w:val="000000" w:themeColor="text1"/>
        </w:rPr>
        <w:t xml:space="preserve"> (Muller &amp; Young, 2014</w:t>
      </w:r>
      <w:r w:rsidR="006C6EF7">
        <w:rPr>
          <w:rFonts w:cs="Arial"/>
          <w:color w:val="000000" w:themeColor="text1"/>
        </w:rPr>
        <w:t>; Young &amp; Muller, 2016</w:t>
      </w:r>
      <w:r w:rsidR="00864084" w:rsidRPr="0003652C">
        <w:rPr>
          <w:rFonts w:cs="Arial"/>
          <w:color w:val="000000" w:themeColor="text1"/>
        </w:rPr>
        <w:t>)</w:t>
      </w:r>
      <w:r w:rsidR="000409A0" w:rsidRPr="0003652C">
        <w:rPr>
          <w:rFonts w:cs="Arial"/>
          <w:color w:val="000000" w:themeColor="text1"/>
        </w:rPr>
        <w:t>. Disciplinary knowledge is seen as “crowded out” by the rhetoric of employability and the generic</w:t>
      </w:r>
      <w:r w:rsidR="001078AA">
        <w:rPr>
          <w:rFonts w:cs="Arial"/>
          <w:color w:val="000000" w:themeColor="text1"/>
        </w:rPr>
        <w:t>,</w:t>
      </w:r>
      <w:r w:rsidR="000409A0" w:rsidRPr="0003652C">
        <w:rPr>
          <w:rFonts w:cs="Arial"/>
          <w:color w:val="000000" w:themeColor="text1"/>
        </w:rPr>
        <w:t xml:space="preserve"> </w:t>
      </w:r>
      <w:r w:rsidR="001078AA">
        <w:rPr>
          <w:rFonts w:cs="Arial"/>
          <w:color w:val="000000" w:themeColor="text1"/>
        </w:rPr>
        <w:t>according to</w:t>
      </w:r>
      <w:r w:rsidR="000409A0" w:rsidRPr="0003652C">
        <w:rPr>
          <w:rFonts w:cs="Arial"/>
          <w:color w:val="000000" w:themeColor="text1"/>
        </w:rPr>
        <w:t xml:space="preserve"> Wheelahan (2007). This is presented as being to the detriment of access to knowledge for some students (Clegg, 2016).</w:t>
      </w:r>
    </w:p>
    <w:p w14:paraId="5BCD209A" w14:textId="6BC961B6" w:rsidR="00765E64" w:rsidRPr="0003652C" w:rsidRDefault="00765E64" w:rsidP="0003652C">
      <w:pPr>
        <w:pStyle w:val="Heading2"/>
        <w:spacing w:line="360" w:lineRule="auto"/>
        <w:rPr>
          <w:rFonts w:ascii="Arial" w:hAnsi="Arial" w:cs="Arial"/>
        </w:rPr>
      </w:pPr>
      <w:bookmarkStart w:id="92" w:name="_Toc223348881"/>
      <w:r w:rsidRPr="0003652C">
        <w:rPr>
          <w:rFonts w:ascii="Arial" w:hAnsi="Arial" w:cs="Arial"/>
        </w:rPr>
        <w:lastRenderedPageBreak/>
        <w:t>Non-Disciplinary: Framing</w:t>
      </w:r>
      <w:bookmarkEnd w:id="92"/>
    </w:p>
    <w:p w14:paraId="20675F87" w14:textId="481DAB9F" w:rsidR="00765E64" w:rsidRPr="0003652C" w:rsidRDefault="00765E64" w:rsidP="0003652C">
      <w:pPr>
        <w:spacing w:line="360" w:lineRule="auto"/>
        <w:jc w:val="both"/>
        <w:rPr>
          <w:rFonts w:cs="Arial"/>
        </w:rPr>
      </w:pPr>
      <w:r w:rsidRPr="0003652C">
        <w:rPr>
          <w:rFonts w:cs="Arial"/>
        </w:rPr>
        <w:t xml:space="preserve">This investigation is centred on the design of degrees, </w:t>
      </w:r>
      <w:r w:rsidR="000409A0" w:rsidRPr="0003652C">
        <w:rPr>
          <w:rFonts w:cs="Arial"/>
        </w:rPr>
        <w:t xml:space="preserve">and whilst what happens in the classroom is bound to influence the design of degrees, this is </w:t>
      </w:r>
      <w:r w:rsidR="001078AA">
        <w:rPr>
          <w:rFonts w:cs="Arial"/>
        </w:rPr>
        <w:t xml:space="preserve">a </w:t>
      </w:r>
      <w:r w:rsidR="000409A0" w:rsidRPr="0003652C">
        <w:rPr>
          <w:rFonts w:cs="Arial"/>
        </w:rPr>
        <w:t>largely indirect influence</w:t>
      </w:r>
      <w:r w:rsidRPr="0003652C">
        <w:rPr>
          <w:rFonts w:cs="Arial"/>
        </w:rPr>
        <w:t>. In the findings</w:t>
      </w:r>
      <w:r w:rsidR="001078AA">
        <w:rPr>
          <w:rFonts w:cs="Arial"/>
        </w:rPr>
        <w:t>,</w:t>
      </w:r>
      <w:r w:rsidRPr="0003652C">
        <w:rPr>
          <w:rFonts w:cs="Arial"/>
        </w:rPr>
        <w:t xml:space="preserve"> there is evidence of the non-disciplinary concerns surrounding the classroom having an impact on the design of the programmes, in the form of the </w:t>
      </w:r>
      <w:r w:rsidR="001B1BB0">
        <w:rPr>
          <w:rFonts w:cs="Arial"/>
        </w:rPr>
        <w:t>quantity</w:t>
      </w:r>
      <w:r w:rsidRPr="0003652C">
        <w:rPr>
          <w:rFonts w:cs="Arial"/>
        </w:rPr>
        <w:t>, type</w:t>
      </w:r>
      <w:r w:rsidR="001078AA">
        <w:rPr>
          <w:rFonts w:cs="Arial"/>
        </w:rPr>
        <w:t>,</w:t>
      </w:r>
      <w:r w:rsidRPr="0003652C">
        <w:rPr>
          <w:rFonts w:cs="Arial"/>
        </w:rPr>
        <w:t xml:space="preserve"> and scheduling of the contact time between academics and students. Influenced heavily by a student-centred approach, and especially with reference to engagement concerns, there was a perceived need for the use of different learning environments, and this had implications for the degree structure. A push for active learning was seen to rest on the need for smaller seminars rather than large</w:t>
      </w:r>
      <w:r w:rsidR="001078AA">
        <w:rPr>
          <w:rFonts w:cs="Arial"/>
        </w:rPr>
        <w:t>-</w:t>
      </w:r>
      <w:r w:rsidRPr="0003652C">
        <w:rPr>
          <w:rFonts w:cs="Arial"/>
        </w:rPr>
        <w:t>scale lectures. This</w:t>
      </w:r>
      <w:r w:rsidR="001078AA">
        <w:rPr>
          <w:rFonts w:cs="Arial"/>
        </w:rPr>
        <w:t>,</w:t>
      </w:r>
      <w:r w:rsidRPr="0003652C">
        <w:rPr>
          <w:rFonts w:cs="Arial"/>
        </w:rPr>
        <w:t xml:space="preserve"> in turn</w:t>
      </w:r>
      <w:r w:rsidR="001078AA">
        <w:rPr>
          <w:rFonts w:cs="Arial"/>
        </w:rPr>
        <w:t>,</w:t>
      </w:r>
      <w:r w:rsidRPr="0003652C">
        <w:rPr>
          <w:rFonts w:cs="Arial"/>
        </w:rPr>
        <w:t xml:space="preserve"> highlighted the connection between styles of learning and particular approaches to the design of legal education, such as problem-based learning. The need to ‘privilege active learning rather </w:t>
      </w:r>
      <w:r w:rsidR="001B1BB0">
        <w:rPr>
          <w:rFonts w:cs="Arial"/>
        </w:rPr>
        <w:t>than</w:t>
      </w:r>
      <w:r w:rsidRPr="0003652C">
        <w:rPr>
          <w:rFonts w:cs="Arial"/>
        </w:rPr>
        <w:t xml:space="preserve"> passive learning’ was </w:t>
      </w:r>
      <w:r w:rsidR="001078AA">
        <w:rPr>
          <w:rFonts w:cs="Arial"/>
        </w:rPr>
        <w:t>also felt very strongly when reflecting on the need to move away from online learning and the lack of engagement that it was seen to encourage, or the lack</w:t>
      </w:r>
      <w:r w:rsidRPr="0003652C">
        <w:rPr>
          <w:rFonts w:cs="Arial"/>
        </w:rPr>
        <w:t xml:space="preserve"> of confidence that it led to. This was despite concerns that were evident about consistency. </w:t>
      </w:r>
    </w:p>
    <w:p w14:paraId="00584338" w14:textId="354DDDFC" w:rsidR="00765E64" w:rsidRPr="006370E7" w:rsidRDefault="00765E64" w:rsidP="006370E7">
      <w:pPr>
        <w:spacing w:line="360" w:lineRule="auto"/>
        <w:ind w:left="720"/>
        <w:jc w:val="both"/>
        <w:rPr>
          <w:rFonts w:cs="Arial"/>
          <w:color w:val="000000" w:themeColor="text1"/>
        </w:rPr>
      </w:pPr>
      <w:r w:rsidRPr="0003652C">
        <w:rPr>
          <w:rFonts w:cs="Arial"/>
          <w:color w:val="000000" w:themeColor="text1"/>
        </w:rPr>
        <w:t>You can’t do a lot of bespoke things, or if you do</w:t>
      </w:r>
      <w:r w:rsidR="001078AA">
        <w:rPr>
          <w:rFonts w:cs="Arial"/>
          <w:color w:val="000000" w:themeColor="text1"/>
        </w:rPr>
        <w:t xml:space="preserve">, </w:t>
      </w:r>
      <w:r w:rsidRPr="0003652C">
        <w:rPr>
          <w:rFonts w:cs="Arial"/>
          <w:color w:val="000000" w:themeColor="text1"/>
        </w:rPr>
        <w:t>you’ve got to be really clear about the quality of what you’re offering and the consistency. Consistency is one of the biggest problems we have</w:t>
      </w:r>
      <w:r w:rsidR="00CA5AC4" w:rsidRPr="0003652C">
        <w:rPr>
          <w:rFonts w:cs="Arial"/>
          <w:color w:val="000000" w:themeColor="text1"/>
        </w:rPr>
        <w:t xml:space="preserve"> (S).</w:t>
      </w:r>
    </w:p>
    <w:p w14:paraId="00AF8CB2" w14:textId="00A139A7" w:rsidR="00765E64" w:rsidRPr="0003652C" w:rsidRDefault="00765E64" w:rsidP="0003652C">
      <w:pPr>
        <w:spacing w:line="360" w:lineRule="auto"/>
        <w:jc w:val="both"/>
        <w:rPr>
          <w:rFonts w:cs="Arial"/>
        </w:rPr>
      </w:pPr>
      <w:r w:rsidRPr="0003652C">
        <w:rPr>
          <w:rFonts w:cs="Arial"/>
        </w:rPr>
        <w:t xml:space="preserve">These types of rescheduling of contact were also seen to be necessary regardless of student concern, with one </w:t>
      </w:r>
      <w:r w:rsidR="00AA70FC">
        <w:rPr>
          <w:rFonts w:cs="Arial"/>
        </w:rPr>
        <w:t>school</w:t>
      </w:r>
      <w:r w:rsidR="00AA70FC" w:rsidRPr="0003652C">
        <w:rPr>
          <w:rFonts w:cs="Arial"/>
        </w:rPr>
        <w:t xml:space="preserve"> </w:t>
      </w:r>
      <w:r w:rsidRPr="0003652C">
        <w:rPr>
          <w:rFonts w:cs="Arial"/>
        </w:rPr>
        <w:t>making their ‘lectures’ more active rather than rebranding them as seminars</w:t>
      </w:r>
      <w:r w:rsidR="001078AA">
        <w:rPr>
          <w:rFonts w:cs="Arial"/>
        </w:rPr>
        <w:t>.</w:t>
      </w:r>
    </w:p>
    <w:p w14:paraId="69B549D9" w14:textId="442D7C08" w:rsidR="00765E64" w:rsidRPr="0003652C" w:rsidRDefault="00765E64" w:rsidP="0003652C">
      <w:pPr>
        <w:spacing w:line="360" w:lineRule="auto"/>
        <w:ind w:left="720"/>
        <w:jc w:val="both"/>
        <w:rPr>
          <w:rFonts w:cs="Arial"/>
          <w:color w:val="000000" w:themeColor="text1"/>
        </w:rPr>
      </w:pPr>
      <w:r w:rsidRPr="0003652C">
        <w:rPr>
          <w:rFonts w:cs="Arial"/>
          <w:color w:val="000000" w:themeColor="text1"/>
        </w:rPr>
        <w:t>Even when they didn’t come</w:t>
      </w:r>
      <w:r w:rsidR="00BB631B">
        <w:rPr>
          <w:rFonts w:cs="Arial"/>
          <w:color w:val="000000" w:themeColor="text1"/>
        </w:rPr>
        <w:t>,</w:t>
      </w:r>
      <w:r w:rsidRPr="0003652C">
        <w:rPr>
          <w:rFonts w:cs="Arial"/>
          <w:color w:val="000000" w:themeColor="text1"/>
        </w:rPr>
        <w:t xml:space="preserve"> they hated the fact that we got rid of lectures. So we reframed </w:t>
      </w:r>
      <w:r w:rsidR="00BB631B" w:rsidRPr="0003652C">
        <w:rPr>
          <w:rFonts w:cs="Arial"/>
          <w:color w:val="000000" w:themeColor="text1"/>
        </w:rPr>
        <w:t>large</w:t>
      </w:r>
      <w:r w:rsidR="00BB631B">
        <w:rPr>
          <w:rFonts w:cs="Arial"/>
          <w:color w:val="000000" w:themeColor="text1"/>
        </w:rPr>
        <w:t>-</w:t>
      </w:r>
      <w:r w:rsidRPr="0003652C">
        <w:rPr>
          <w:rFonts w:cs="Arial"/>
          <w:color w:val="000000" w:themeColor="text1"/>
        </w:rPr>
        <w:t>group sessions</w:t>
      </w:r>
      <w:r w:rsidR="00BB631B">
        <w:rPr>
          <w:rFonts w:cs="Arial"/>
          <w:color w:val="000000" w:themeColor="text1"/>
        </w:rPr>
        <w:t>,</w:t>
      </w:r>
      <w:r w:rsidRPr="0003652C">
        <w:rPr>
          <w:rFonts w:cs="Arial"/>
          <w:color w:val="000000" w:themeColor="text1"/>
        </w:rPr>
        <w:t xml:space="preserve"> which are more interactive, as lectures. Now they are happy</w:t>
      </w:r>
      <w:r w:rsidR="00CA5AC4" w:rsidRPr="0003652C">
        <w:rPr>
          <w:rFonts w:cs="Arial"/>
          <w:color w:val="000000" w:themeColor="text1"/>
        </w:rPr>
        <w:t xml:space="preserve"> (WP).</w:t>
      </w:r>
    </w:p>
    <w:p w14:paraId="09B91699" w14:textId="25795296" w:rsidR="00765E64" w:rsidRPr="0003652C" w:rsidRDefault="00765E64" w:rsidP="0003652C">
      <w:pPr>
        <w:spacing w:line="360" w:lineRule="auto"/>
        <w:jc w:val="both"/>
        <w:rPr>
          <w:rFonts w:cs="Arial"/>
        </w:rPr>
      </w:pPr>
      <w:r w:rsidRPr="0003652C">
        <w:rPr>
          <w:rFonts w:cs="Arial"/>
        </w:rPr>
        <w:t xml:space="preserve">There were reflections from five of the selective designers on the level of support the students were getting in terms of the quantity of contact hours, especially because of efficiencies introduced </w:t>
      </w:r>
      <w:r w:rsidR="00AA5DB8" w:rsidRPr="0003652C">
        <w:rPr>
          <w:rFonts w:cs="Arial"/>
        </w:rPr>
        <w:t xml:space="preserve">after the </w:t>
      </w:r>
      <w:r w:rsidR="00BB631B">
        <w:rPr>
          <w:rFonts w:cs="Arial"/>
        </w:rPr>
        <w:t>COVID</w:t>
      </w:r>
      <w:r w:rsidR="00AA5DB8" w:rsidRPr="0003652C">
        <w:rPr>
          <w:rFonts w:cs="Arial"/>
        </w:rPr>
        <w:t xml:space="preserve"> pandemic</w:t>
      </w:r>
      <w:r w:rsidRPr="0003652C">
        <w:rPr>
          <w:rFonts w:cs="Arial"/>
        </w:rPr>
        <w:t xml:space="preserve"> and the drop in the </w:t>
      </w:r>
      <w:r w:rsidRPr="0003652C">
        <w:rPr>
          <w:rFonts w:cs="Arial"/>
        </w:rPr>
        <w:lastRenderedPageBreak/>
        <w:t xml:space="preserve">international student market. One designer mentioned </w:t>
      </w:r>
      <w:r w:rsidR="00BB631B">
        <w:rPr>
          <w:rFonts w:cs="Arial"/>
        </w:rPr>
        <w:t>this, saying, ‘The benchmark since COVID re contact has dropped, and it won’t return.’</w:t>
      </w:r>
      <w:r w:rsidRPr="0003652C">
        <w:rPr>
          <w:rFonts w:cs="Arial"/>
        </w:rPr>
        <w:t xml:space="preserve"> </w:t>
      </w:r>
    </w:p>
    <w:p w14:paraId="740F01C1" w14:textId="4AC32423" w:rsidR="00765E64" w:rsidRPr="0003652C" w:rsidRDefault="00765E64" w:rsidP="0003652C">
      <w:pPr>
        <w:spacing w:line="360" w:lineRule="auto"/>
        <w:jc w:val="both"/>
        <w:rPr>
          <w:rFonts w:cs="Arial"/>
        </w:rPr>
      </w:pPr>
      <w:r w:rsidRPr="0003652C">
        <w:rPr>
          <w:rFonts w:cs="Arial"/>
        </w:rPr>
        <w:t xml:space="preserve">The extensive investigation of the student experience in one </w:t>
      </w:r>
      <w:r w:rsidR="00AA70FC">
        <w:rPr>
          <w:rFonts w:cs="Arial"/>
        </w:rPr>
        <w:t>school</w:t>
      </w:r>
      <w:r w:rsidR="00AA70FC" w:rsidRPr="0003652C">
        <w:rPr>
          <w:rFonts w:cs="Arial"/>
        </w:rPr>
        <w:t xml:space="preserve"> </w:t>
      </w:r>
      <w:r w:rsidRPr="0003652C">
        <w:rPr>
          <w:rFonts w:cs="Arial"/>
        </w:rPr>
        <w:t>led to a specific approach to timetabling</w:t>
      </w:r>
      <w:r w:rsidR="00BB631B">
        <w:rPr>
          <w:rFonts w:cs="Arial"/>
        </w:rPr>
        <w:t>,</w:t>
      </w:r>
      <w:r w:rsidRPr="0003652C">
        <w:rPr>
          <w:rFonts w:cs="Arial"/>
        </w:rPr>
        <w:t xml:space="preserve"> which was only seen to be possible as the team were armed with the data they had collected from the students and were able to form an effective argument for what they wanted. The time</w:t>
      </w:r>
      <w:r w:rsidR="00BB631B">
        <w:rPr>
          <w:rFonts w:cs="Arial"/>
        </w:rPr>
        <w:t>-</w:t>
      </w:r>
      <w:r w:rsidRPr="0003652C">
        <w:rPr>
          <w:rFonts w:cs="Arial"/>
        </w:rPr>
        <w:t xml:space="preserve">poor demographic of students was a key consideration across all categories of </w:t>
      </w:r>
      <w:r w:rsidR="00AA70FC">
        <w:rPr>
          <w:rFonts w:cs="Arial"/>
        </w:rPr>
        <w:t>school</w:t>
      </w:r>
      <w:r w:rsidR="00AA70FC" w:rsidRPr="0003652C">
        <w:rPr>
          <w:rFonts w:cs="Arial"/>
        </w:rPr>
        <w:t>s</w:t>
      </w:r>
      <w:r w:rsidRPr="0003652C">
        <w:rPr>
          <w:rFonts w:cs="Arial"/>
        </w:rPr>
        <w:t>. The students were seen to have different pressures placed upon them that demanded small</w:t>
      </w:r>
      <w:r w:rsidR="00BB631B">
        <w:rPr>
          <w:rFonts w:cs="Arial"/>
        </w:rPr>
        <w:t>-</w:t>
      </w:r>
      <w:r w:rsidRPr="0003652C">
        <w:rPr>
          <w:rFonts w:cs="Arial"/>
        </w:rPr>
        <w:t>group classrooms and more flexibility in delivery.</w:t>
      </w:r>
      <w:r w:rsidR="00AA5DB8" w:rsidRPr="0003652C">
        <w:rPr>
          <w:rFonts w:cs="Arial"/>
        </w:rPr>
        <w:t xml:space="preserve"> In another</w:t>
      </w:r>
      <w:r w:rsidR="00BB631B">
        <w:rPr>
          <w:rFonts w:cs="Arial"/>
        </w:rPr>
        <w:t>,</w:t>
      </w:r>
      <w:r w:rsidR="00AA5DB8" w:rsidRPr="0003652C">
        <w:rPr>
          <w:rFonts w:cs="Arial"/>
        </w:rPr>
        <w:t xml:space="preserve"> there was a reworking of the scheduling to allow for students to factor in their studies with their commitments elsewhere. </w:t>
      </w:r>
      <w:r w:rsidRPr="0003652C">
        <w:rPr>
          <w:rFonts w:cs="Arial"/>
        </w:rPr>
        <w:t xml:space="preserve">In the widening participation </w:t>
      </w:r>
      <w:r w:rsidR="00AA70FC">
        <w:rPr>
          <w:rFonts w:cs="Arial"/>
        </w:rPr>
        <w:t>school</w:t>
      </w:r>
      <w:r w:rsidR="00AA70FC" w:rsidRPr="0003652C">
        <w:rPr>
          <w:rFonts w:cs="Arial"/>
        </w:rPr>
        <w:t>s</w:t>
      </w:r>
      <w:r w:rsidR="00AA5DB8" w:rsidRPr="0003652C">
        <w:rPr>
          <w:rFonts w:cs="Arial"/>
        </w:rPr>
        <w:t>,</w:t>
      </w:r>
      <w:r w:rsidRPr="0003652C">
        <w:rPr>
          <w:rFonts w:cs="Arial"/>
        </w:rPr>
        <w:t xml:space="preserve"> there was an emphasis on the need to embed as much as possible i</w:t>
      </w:r>
      <w:r w:rsidR="00F63B36">
        <w:rPr>
          <w:rFonts w:cs="Arial"/>
        </w:rPr>
        <w:t xml:space="preserve">n courses </w:t>
      </w:r>
      <w:r w:rsidRPr="0003652C">
        <w:rPr>
          <w:rFonts w:cs="Arial"/>
        </w:rPr>
        <w:t>to enable engagement. The isolation of commuter students led to changes to induction programmes and timetables. The diversity of the demographic</w:t>
      </w:r>
      <w:r w:rsidR="00BB631B">
        <w:rPr>
          <w:rFonts w:cs="Arial"/>
        </w:rPr>
        <w:t>,</w:t>
      </w:r>
      <w:r w:rsidRPr="0003652C">
        <w:rPr>
          <w:rFonts w:cs="Arial"/>
        </w:rPr>
        <w:t xml:space="preserve"> and the financial pressures on the students balancing work, different family pressures</w:t>
      </w:r>
      <w:r w:rsidR="00D262F4">
        <w:rPr>
          <w:rFonts w:cs="Arial"/>
        </w:rPr>
        <w:t>,</w:t>
      </w:r>
      <w:r w:rsidRPr="0003652C">
        <w:rPr>
          <w:rFonts w:cs="Arial"/>
        </w:rPr>
        <w:t xml:space="preserve"> and study, and more general references to students being time-poor</w:t>
      </w:r>
      <w:r w:rsidR="00BB631B">
        <w:rPr>
          <w:rFonts w:cs="Arial"/>
        </w:rPr>
        <w:t>,</w:t>
      </w:r>
      <w:r w:rsidRPr="0003652C">
        <w:rPr>
          <w:rFonts w:cs="Arial"/>
        </w:rPr>
        <w:t xml:space="preserve"> were evident in all the respondents’ reflections. </w:t>
      </w:r>
    </w:p>
    <w:p w14:paraId="7EC33F1F" w14:textId="55BE734E" w:rsidR="00765E64" w:rsidRPr="0003652C" w:rsidRDefault="00765E64" w:rsidP="0003652C">
      <w:pPr>
        <w:spacing w:line="360" w:lineRule="auto"/>
        <w:jc w:val="both"/>
        <w:rPr>
          <w:rFonts w:cs="Arial"/>
        </w:rPr>
      </w:pPr>
      <w:r w:rsidRPr="0003652C">
        <w:rPr>
          <w:rFonts w:cs="Arial"/>
        </w:rPr>
        <w:t xml:space="preserve">Much of the above is reflected in </w:t>
      </w:r>
      <w:r w:rsidR="00BB631B">
        <w:rPr>
          <w:rFonts w:cs="Arial"/>
        </w:rPr>
        <w:t xml:space="preserve">the </w:t>
      </w:r>
      <w:r w:rsidRPr="0003652C">
        <w:rPr>
          <w:rFonts w:cs="Arial"/>
        </w:rPr>
        <w:t>literature on higher education</w:t>
      </w:r>
      <w:r w:rsidR="00BB631B">
        <w:rPr>
          <w:rFonts w:cs="Arial"/>
        </w:rPr>
        <w:t>,</w:t>
      </w:r>
      <w:r w:rsidRPr="0003652C">
        <w:rPr>
          <w:rFonts w:cs="Arial"/>
        </w:rPr>
        <w:t xml:space="preserve"> and </w:t>
      </w:r>
      <w:r w:rsidR="00BB631B">
        <w:rPr>
          <w:rFonts w:cs="Arial"/>
        </w:rPr>
        <w:t xml:space="preserve">it is </w:t>
      </w:r>
      <w:r w:rsidRPr="0003652C">
        <w:rPr>
          <w:rFonts w:cs="Arial"/>
        </w:rPr>
        <w:t xml:space="preserve">not surprising to see </w:t>
      </w:r>
      <w:r w:rsidR="00BB631B">
        <w:rPr>
          <w:rFonts w:cs="Arial"/>
        </w:rPr>
        <w:t xml:space="preserve">it </w:t>
      </w:r>
      <w:r w:rsidRPr="0003652C">
        <w:rPr>
          <w:rFonts w:cs="Arial"/>
        </w:rPr>
        <w:t>in the responses from those tasked with designing law degrees. It’s interesting in the context of law</w:t>
      </w:r>
      <w:r w:rsidR="00BB631B">
        <w:rPr>
          <w:rFonts w:cs="Arial"/>
        </w:rPr>
        <w:t>,</w:t>
      </w:r>
      <w:r w:rsidRPr="0003652C">
        <w:rPr>
          <w:rFonts w:cs="Arial"/>
        </w:rPr>
        <w:t xml:space="preserve"> as it might be seen to have both positive and negative impacts in the classroom. On the one hand</w:t>
      </w:r>
      <w:r w:rsidR="00BB631B">
        <w:rPr>
          <w:rFonts w:cs="Arial"/>
        </w:rPr>
        <w:t>,</w:t>
      </w:r>
      <w:r w:rsidRPr="0003652C">
        <w:rPr>
          <w:rFonts w:cs="Arial"/>
        </w:rPr>
        <w:t xml:space="preserve"> there have been discussions about the currency and utility of the scientific Socratic approach to learning</w:t>
      </w:r>
      <w:r w:rsidR="00BB631B">
        <w:rPr>
          <w:rFonts w:cs="Arial"/>
        </w:rPr>
        <w:t>,</w:t>
      </w:r>
      <w:r w:rsidRPr="0003652C">
        <w:rPr>
          <w:rFonts w:cs="Arial"/>
        </w:rPr>
        <w:t xml:space="preserve"> which has historically been the accepted pedagogic approach in legal education (Abrams, 2015). On the other</w:t>
      </w:r>
      <w:r w:rsidR="00BB631B">
        <w:rPr>
          <w:rFonts w:cs="Arial"/>
        </w:rPr>
        <w:t xml:space="preserve"> hand</w:t>
      </w:r>
      <w:r w:rsidRPr="0003652C">
        <w:rPr>
          <w:rFonts w:cs="Arial"/>
        </w:rPr>
        <w:t>, the reduction in contact hours and the increased provision of larger</w:t>
      </w:r>
      <w:r w:rsidR="00BB631B">
        <w:rPr>
          <w:rFonts w:cs="Arial"/>
        </w:rPr>
        <w:t>,</w:t>
      </w:r>
      <w:r w:rsidRPr="0003652C">
        <w:rPr>
          <w:rFonts w:cs="Arial"/>
        </w:rPr>
        <w:t xml:space="preserve"> sometimes online</w:t>
      </w:r>
      <w:r w:rsidR="00BB631B">
        <w:rPr>
          <w:rFonts w:cs="Arial"/>
        </w:rPr>
        <w:t>,</w:t>
      </w:r>
      <w:r w:rsidRPr="0003652C">
        <w:rPr>
          <w:rFonts w:cs="Arial"/>
        </w:rPr>
        <w:t xml:space="preserve"> </w:t>
      </w:r>
      <w:r w:rsidR="00BB631B">
        <w:rPr>
          <w:rFonts w:cs="Arial"/>
        </w:rPr>
        <w:t>courses</w:t>
      </w:r>
      <w:r w:rsidRPr="0003652C">
        <w:rPr>
          <w:rFonts w:cs="Arial"/>
        </w:rPr>
        <w:t xml:space="preserve"> pos</w:t>
      </w:r>
      <w:r w:rsidR="00BB631B">
        <w:rPr>
          <w:rFonts w:cs="Arial"/>
        </w:rPr>
        <w:t>t-COVID</w:t>
      </w:r>
      <w:r w:rsidRPr="0003652C">
        <w:rPr>
          <w:rFonts w:cs="Arial"/>
        </w:rPr>
        <w:t xml:space="preserve"> have been seen </w:t>
      </w:r>
      <w:r w:rsidR="00BB631B">
        <w:rPr>
          <w:rFonts w:cs="Arial"/>
        </w:rPr>
        <w:t>as</w:t>
      </w:r>
      <w:r w:rsidRPr="0003652C">
        <w:rPr>
          <w:rFonts w:cs="Arial"/>
        </w:rPr>
        <w:t xml:space="preserve"> less progressive (HL, 2023). For this investigation and the design of law degrees</w:t>
      </w:r>
      <w:r w:rsidR="00BB631B">
        <w:rPr>
          <w:rFonts w:cs="Arial"/>
        </w:rPr>
        <w:t>,</w:t>
      </w:r>
      <w:r w:rsidRPr="0003652C">
        <w:rPr>
          <w:rFonts w:cs="Arial"/>
        </w:rPr>
        <w:t xml:space="preserve"> it indicates wider pressures being p</w:t>
      </w:r>
      <w:r w:rsidR="00BB631B">
        <w:rPr>
          <w:rFonts w:cs="Arial"/>
        </w:rPr>
        <w:t>laced</w:t>
      </w:r>
      <w:r w:rsidRPr="0003652C">
        <w:rPr>
          <w:rFonts w:cs="Arial"/>
        </w:rPr>
        <w:t xml:space="preserve"> on those leading </w:t>
      </w:r>
      <w:r w:rsidR="00BB631B">
        <w:rPr>
          <w:rFonts w:cs="Arial"/>
        </w:rPr>
        <w:t>the</w:t>
      </w:r>
      <w:r w:rsidRPr="0003652C">
        <w:rPr>
          <w:rFonts w:cs="Arial"/>
        </w:rPr>
        <w:t xml:space="preserve"> design to include more within less scheduling space. The reduction in contact hours in the selective </w:t>
      </w:r>
      <w:r w:rsidR="00AA70FC">
        <w:rPr>
          <w:rFonts w:cs="Arial"/>
        </w:rPr>
        <w:t>school</w:t>
      </w:r>
      <w:r w:rsidR="00AA70FC" w:rsidRPr="0003652C">
        <w:rPr>
          <w:rFonts w:cs="Arial"/>
        </w:rPr>
        <w:t>s</w:t>
      </w:r>
      <w:r w:rsidRPr="0003652C">
        <w:rPr>
          <w:rFonts w:cs="Arial"/>
        </w:rPr>
        <w:t xml:space="preserve"> and the need to put support interventions in </w:t>
      </w:r>
      <w:r w:rsidR="00F63B36">
        <w:rPr>
          <w:rFonts w:cs="Arial"/>
        </w:rPr>
        <w:t>programmes</w:t>
      </w:r>
      <w:r w:rsidRPr="0003652C">
        <w:rPr>
          <w:rFonts w:cs="Arial"/>
        </w:rPr>
        <w:t xml:space="preserve"> in widening participation </w:t>
      </w:r>
      <w:r w:rsidR="00AA70FC">
        <w:rPr>
          <w:rFonts w:cs="Arial"/>
        </w:rPr>
        <w:t>school</w:t>
      </w:r>
      <w:r w:rsidR="00AA70FC" w:rsidRPr="0003652C">
        <w:rPr>
          <w:rFonts w:cs="Arial"/>
        </w:rPr>
        <w:t xml:space="preserve">s </w:t>
      </w:r>
      <w:r w:rsidRPr="0003652C">
        <w:rPr>
          <w:rFonts w:cs="Arial"/>
        </w:rPr>
        <w:t xml:space="preserve">show that this is not a concern for only one set of </w:t>
      </w:r>
      <w:r w:rsidR="00AA70FC">
        <w:rPr>
          <w:rFonts w:cs="Arial"/>
        </w:rPr>
        <w:t>school</w:t>
      </w:r>
      <w:r w:rsidR="00AA70FC" w:rsidRPr="0003652C">
        <w:rPr>
          <w:rFonts w:cs="Arial"/>
        </w:rPr>
        <w:t>s</w:t>
      </w:r>
      <w:r w:rsidRPr="0003652C">
        <w:rPr>
          <w:rFonts w:cs="Arial"/>
        </w:rPr>
        <w:t xml:space="preserve">. I return to the impact of pressure on space in the </w:t>
      </w:r>
      <w:r w:rsidR="00F63B36">
        <w:rPr>
          <w:rFonts w:cs="Arial"/>
        </w:rPr>
        <w:t xml:space="preserve">programmes </w:t>
      </w:r>
      <w:r w:rsidRPr="0003652C">
        <w:rPr>
          <w:rFonts w:cs="Arial"/>
        </w:rPr>
        <w:t xml:space="preserve">below and the implications that that has for learning. </w:t>
      </w:r>
    </w:p>
    <w:p w14:paraId="1ECD5EA4" w14:textId="19A37F33" w:rsidR="00765E64" w:rsidRPr="0003652C" w:rsidRDefault="00765E64" w:rsidP="0003652C">
      <w:pPr>
        <w:pStyle w:val="Heading2"/>
        <w:spacing w:line="360" w:lineRule="auto"/>
        <w:rPr>
          <w:rFonts w:ascii="Arial" w:hAnsi="Arial" w:cs="Arial"/>
        </w:rPr>
      </w:pPr>
      <w:bookmarkStart w:id="93" w:name="_Toc223348882"/>
      <w:r w:rsidRPr="0003652C">
        <w:rPr>
          <w:rFonts w:ascii="Arial" w:hAnsi="Arial" w:cs="Arial"/>
        </w:rPr>
        <w:lastRenderedPageBreak/>
        <w:t>Cross-discipline and non-discipline programme level classification and framing</w:t>
      </w:r>
      <w:bookmarkEnd w:id="93"/>
    </w:p>
    <w:p w14:paraId="0FEA2CC9" w14:textId="3A5D68AB" w:rsidR="00765E64" w:rsidRPr="0003652C" w:rsidRDefault="00765E64" w:rsidP="0003652C">
      <w:pPr>
        <w:pStyle w:val="Heading3"/>
        <w:spacing w:line="360" w:lineRule="auto"/>
        <w:rPr>
          <w:rFonts w:ascii="Arial" w:hAnsi="Arial" w:cs="Arial"/>
        </w:rPr>
      </w:pPr>
      <w:bookmarkStart w:id="94" w:name="_Toc223348883"/>
      <w:r w:rsidRPr="0003652C">
        <w:rPr>
          <w:rFonts w:ascii="Arial" w:hAnsi="Arial" w:cs="Arial"/>
        </w:rPr>
        <w:t>The problem of space</w:t>
      </w:r>
      <w:bookmarkEnd w:id="94"/>
    </w:p>
    <w:p w14:paraId="0C4391C2" w14:textId="0BF1FFE5" w:rsidR="00765E64" w:rsidRPr="0003652C" w:rsidRDefault="00765E64" w:rsidP="006370E7">
      <w:pPr>
        <w:spacing w:line="360" w:lineRule="auto"/>
        <w:jc w:val="both"/>
        <w:rPr>
          <w:rFonts w:cs="Arial"/>
        </w:rPr>
      </w:pPr>
      <w:r w:rsidRPr="0003652C">
        <w:rPr>
          <w:rFonts w:cs="Arial"/>
        </w:rPr>
        <w:t>Mc</w:t>
      </w:r>
      <w:r w:rsidR="00046A61">
        <w:rPr>
          <w:rFonts w:cs="Arial"/>
        </w:rPr>
        <w:t>L</w:t>
      </w:r>
      <w:r w:rsidRPr="0003652C">
        <w:rPr>
          <w:rFonts w:cs="Arial"/>
        </w:rPr>
        <w:t xml:space="preserve">ean et al. draw attention to the fact that students are protected from the contested spaces of the ORF and PRF and </w:t>
      </w:r>
      <w:r w:rsidR="00BB631B">
        <w:rPr>
          <w:rFonts w:cs="Arial"/>
        </w:rPr>
        <w:t xml:space="preserve">from </w:t>
      </w:r>
      <w:r w:rsidRPr="0003652C">
        <w:rPr>
          <w:rFonts w:cs="Arial"/>
        </w:rPr>
        <w:t>the struggles within them (201</w:t>
      </w:r>
      <w:r w:rsidR="00765137" w:rsidRPr="0003652C">
        <w:rPr>
          <w:rFonts w:cs="Arial"/>
        </w:rPr>
        <w:t>8</w:t>
      </w:r>
      <w:r w:rsidRPr="0003652C">
        <w:rPr>
          <w:rFonts w:cs="Arial"/>
        </w:rPr>
        <w:t>). They are not aware that this recontextuali</w:t>
      </w:r>
      <w:r w:rsidR="001B1BB0">
        <w:rPr>
          <w:rFonts w:cs="Arial"/>
        </w:rPr>
        <w:t>s</w:t>
      </w:r>
      <w:r w:rsidRPr="0003652C">
        <w:rPr>
          <w:rFonts w:cs="Arial"/>
        </w:rPr>
        <w:t xml:space="preserve">ation is taking place and will not be aware of the impact of the process on the structure of their degree. This section considers </w:t>
      </w:r>
      <w:r w:rsidR="0068173C" w:rsidRPr="0003652C">
        <w:rPr>
          <w:rFonts w:cs="Arial"/>
        </w:rPr>
        <w:t>what this impact might be.</w:t>
      </w:r>
      <w:r w:rsidRPr="0003652C">
        <w:rPr>
          <w:rFonts w:cs="Arial"/>
        </w:rPr>
        <w:t xml:space="preserve">  </w:t>
      </w:r>
    </w:p>
    <w:p w14:paraId="173B7893" w14:textId="422DF040" w:rsidR="00765E64" w:rsidRPr="0003652C" w:rsidRDefault="00765E64" w:rsidP="0003652C">
      <w:pPr>
        <w:spacing w:line="360" w:lineRule="auto"/>
        <w:jc w:val="both"/>
        <w:rPr>
          <w:rFonts w:cs="Arial"/>
        </w:rPr>
      </w:pPr>
      <w:r w:rsidRPr="0003652C">
        <w:rPr>
          <w:rFonts w:cs="Arial"/>
        </w:rPr>
        <w:t xml:space="preserve">A theme that is not new for legal education and that was evident in this data was the need for space within the degree. </w:t>
      </w:r>
      <w:r w:rsidR="0068173C" w:rsidRPr="0003652C">
        <w:rPr>
          <w:rFonts w:cs="Arial"/>
        </w:rPr>
        <w:t xml:space="preserve">As discussed in </w:t>
      </w:r>
      <w:r w:rsidR="009D5113">
        <w:rPr>
          <w:rFonts w:cs="Arial"/>
        </w:rPr>
        <w:t>C</w:t>
      </w:r>
      <w:r w:rsidR="0068173C" w:rsidRPr="0003652C">
        <w:rPr>
          <w:rFonts w:cs="Arial"/>
        </w:rPr>
        <w:t xml:space="preserve">hapter </w:t>
      </w:r>
      <w:r w:rsidR="009D5113">
        <w:rPr>
          <w:rFonts w:cs="Arial"/>
        </w:rPr>
        <w:t>S</w:t>
      </w:r>
      <w:r w:rsidR="00D87F81" w:rsidRPr="0003652C">
        <w:rPr>
          <w:rFonts w:cs="Arial"/>
        </w:rPr>
        <w:t>ix, the</w:t>
      </w:r>
      <w:r w:rsidRPr="0003652C">
        <w:rPr>
          <w:rFonts w:cs="Arial"/>
        </w:rPr>
        <w:t xml:space="preserve"> withdrawal of the regulatory framework there was an uncertainty as to where the professional learning that had traditionally sat separately from the degree should be</w:t>
      </w:r>
      <w:r w:rsidR="00787286">
        <w:rPr>
          <w:rFonts w:cs="Arial"/>
        </w:rPr>
        <w:t xml:space="preserve"> placed</w:t>
      </w:r>
      <w:r w:rsidRPr="0003652C">
        <w:rPr>
          <w:rFonts w:cs="Arial"/>
        </w:rPr>
        <w:t xml:space="preserve">. Whilst there was little interest in any degree being designed to be ‘SQE ready’, or an ‘SQE prep’ degree, there was an uncertainty as to how far the degrees might incorporate the professional training. </w:t>
      </w:r>
    </w:p>
    <w:p w14:paraId="5F8D629D" w14:textId="4AB6992C" w:rsidR="00765E64" w:rsidRPr="0003652C" w:rsidRDefault="00765E64" w:rsidP="0003652C">
      <w:pPr>
        <w:spacing w:line="360" w:lineRule="auto"/>
        <w:jc w:val="both"/>
        <w:rPr>
          <w:rFonts w:cs="Arial"/>
        </w:rPr>
      </w:pPr>
      <w:r w:rsidRPr="0003652C">
        <w:rPr>
          <w:rFonts w:cs="Arial"/>
        </w:rPr>
        <w:t>The degree has historically been a contested area for different agendas and priorities</w:t>
      </w:r>
      <w:r w:rsidR="00D262F4">
        <w:rPr>
          <w:rFonts w:cs="Arial"/>
        </w:rPr>
        <w:t>,</w:t>
      </w:r>
      <w:r w:rsidRPr="0003652C">
        <w:rPr>
          <w:rFonts w:cs="Arial"/>
        </w:rPr>
        <w:t xml:space="preserve"> as discussed earlier in </w:t>
      </w:r>
      <w:r w:rsidR="00D262F4">
        <w:rPr>
          <w:rFonts w:cs="Arial"/>
        </w:rPr>
        <w:t>C</w:t>
      </w:r>
      <w:r w:rsidR="00D262F4" w:rsidRPr="0003652C">
        <w:rPr>
          <w:rFonts w:cs="Arial"/>
        </w:rPr>
        <w:t xml:space="preserve">hapter </w:t>
      </w:r>
      <w:r w:rsidR="00D262F4">
        <w:rPr>
          <w:rFonts w:cs="Arial"/>
        </w:rPr>
        <w:t>T</w:t>
      </w:r>
      <w:r w:rsidR="00D262F4" w:rsidRPr="0003652C">
        <w:rPr>
          <w:rFonts w:cs="Arial"/>
        </w:rPr>
        <w:t>hree</w:t>
      </w:r>
      <w:r w:rsidR="0068173C" w:rsidRPr="0003652C">
        <w:rPr>
          <w:rFonts w:cs="Arial"/>
        </w:rPr>
        <w:t>.</w:t>
      </w:r>
      <w:r w:rsidRPr="0003652C">
        <w:rPr>
          <w:rFonts w:cs="Arial"/>
        </w:rPr>
        <w:t xml:space="preserve"> The need for more space in the degree, in the form of suggestions for extended programmes</w:t>
      </w:r>
      <w:r w:rsidR="00D262F4">
        <w:rPr>
          <w:rFonts w:cs="Arial"/>
        </w:rPr>
        <w:t>,</w:t>
      </w:r>
      <w:r w:rsidRPr="0003652C">
        <w:rPr>
          <w:rFonts w:cs="Arial"/>
        </w:rPr>
        <w:t xml:space="preserve"> for example</w:t>
      </w:r>
      <w:r w:rsidR="00D262F4">
        <w:rPr>
          <w:rFonts w:cs="Arial"/>
        </w:rPr>
        <w:t>,</w:t>
      </w:r>
      <w:r w:rsidRPr="0003652C">
        <w:rPr>
          <w:rFonts w:cs="Arial"/>
        </w:rPr>
        <w:t xml:space="preserve"> has been the focus of debate for many years (</w:t>
      </w:r>
      <w:r w:rsidR="004E49F4" w:rsidRPr="0003652C">
        <w:rPr>
          <w:rFonts w:cs="Arial"/>
        </w:rPr>
        <w:t>Twining,</w:t>
      </w:r>
      <w:r w:rsidR="007D5ABD" w:rsidRPr="0003652C">
        <w:rPr>
          <w:rFonts w:cs="Arial"/>
        </w:rPr>
        <w:t xml:space="preserve"> 1991</w:t>
      </w:r>
      <w:r w:rsidRPr="0003652C">
        <w:rPr>
          <w:rFonts w:cs="Arial"/>
        </w:rPr>
        <w:t xml:space="preserve">). The findings here make that debate more prevalent as the professional learning has the potential to blur with the academic. </w:t>
      </w:r>
    </w:p>
    <w:p w14:paraId="629C9992" w14:textId="33BDB1F2" w:rsidR="00765E64" w:rsidRPr="0003652C" w:rsidRDefault="00765E64" w:rsidP="0003652C">
      <w:pPr>
        <w:spacing w:line="360" w:lineRule="auto"/>
        <w:jc w:val="both"/>
        <w:rPr>
          <w:rFonts w:cs="Arial"/>
        </w:rPr>
      </w:pPr>
      <w:r w:rsidRPr="0003652C">
        <w:rPr>
          <w:rFonts w:cs="Arial"/>
        </w:rPr>
        <w:t>Faced with the</w:t>
      </w:r>
      <w:r w:rsidR="00787286">
        <w:rPr>
          <w:rFonts w:cs="Arial"/>
        </w:rPr>
        <w:t>se</w:t>
      </w:r>
      <w:r w:rsidRPr="0003652C">
        <w:rPr>
          <w:rFonts w:cs="Arial"/>
        </w:rPr>
        <w:t xml:space="preserve"> tensions around space created by both the classification and the framing of the discipline in </w:t>
      </w:r>
      <w:r w:rsidR="00F63B36">
        <w:rPr>
          <w:rFonts w:cs="Arial"/>
        </w:rPr>
        <w:t>course design</w:t>
      </w:r>
      <w:r w:rsidRPr="0003652C">
        <w:rPr>
          <w:rFonts w:cs="Arial"/>
        </w:rPr>
        <w:t>, there were some specific responses from the designers and teams</w:t>
      </w:r>
      <w:r w:rsidR="009C67F9" w:rsidRPr="0003652C">
        <w:rPr>
          <w:rFonts w:cs="Arial"/>
        </w:rPr>
        <w:t xml:space="preserve"> (Appendix </w:t>
      </w:r>
      <w:r w:rsidR="00D262F4">
        <w:rPr>
          <w:rFonts w:cs="Arial"/>
        </w:rPr>
        <w:t>F</w:t>
      </w:r>
      <w:r w:rsidR="00D262F4" w:rsidRPr="0003652C">
        <w:rPr>
          <w:rFonts w:cs="Arial"/>
        </w:rPr>
        <w:t>ive</w:t>
      </w:r>
      <w:r w:rsidR="009C67F9" w:rsidRPr="0003652C">
        <w:rPr>
          <w:rFonts w:cs="Arial"/>
        </w:rPr>
        <w:t>, Table 8.2)</w:t>
      </w:r>
      <w:r w:rsidRPr="0003652C">
        <w:rPr>
          <w:rFonts w:cs="Arial"/>
        </w:rPr>
        <w:t>. The bringing together of the liberal arts and vocational agendas</w:t>
      </w:r>
      <w:r w:rsidR="0068173C" w:rsidRPr="0003652C">
        <w:rPr>
          <w:rFonts w:cs="Arial"/>
        </w:rPr>
        <w:t xml:space="preserve"> </w:t>
      </w:r>
      <w:r w:rsidRPr="0003652C">
        <w:rPr>
          <w:rFonts w:cs="Arial"/>
        </w:rPr>
        <w:t xml:space="preserve">led to designs that included reconstituted options presented as core modules </w:t>
      </w:r>
      <w:r w:rsidR="0068173C" w:rsidRPr="0003652C">
        <w:rPr>
          <w:rFonts w:cs="Arial"/>
        </w:rPr>
        <w:t>reflecting elements of the SQE</w:t>
      </w:r>
      <w:r w:rsidRPr="0003652C">
        <w:rPr>
          <w:rFonts w:cs="Arial"/>
        </w:rPr>
        <w:t xml:space="preserve">, </w:t>
      </w:r>
      <w:r w:rsidR="00D262F4">
        <w:rPr>
          <w:rFonts w:cs="Arial"/>
        </w:rPr>
        <w:t xml:space="preserve">as </w:t>
      </w:r>
      <w:r w:rsidRPr="0003652C">
        <w:rPr>
          <w:rFonts w:cs="Arial"/>
        </w:rPr>
        <w:t>seen</w:t>
      </w:r>
      <w:r w:rsidR="00D262F4">
        <w:rPr>
          <w:rFonts w:cs="Arial"/>
        </w:rPr>
        <w:t>, for example,</w:t>
      </w:r>
      <w:r w:rsidRPr="0003652C">
        <w:rPr>
          <w:rFonts w:cs="Arial"/>
        </w:rPr>
        <w:t xml:space="preserve"> in a couple of </w:t>
      </w:r>
      <w:r w:rsidR="00AA70FC">
        <w:rPr>
          <w:rFonts w:cs="Arial"/>
        </w:rPr>
        <w:t>school</w:t>
      </w:r>
      <w:r w:rsidR="00AA70FC" w:rsidRPr="0003652C">
        <w:rPr>
          <w:rFonts w:cs="Arial"/>
        </w:rPr>
        <w:t xml:space="preserve">s </w:t>
      </w:r>
      <w:r w:rsidRPr="0003652C">
        <w:rPr>
          <w:rFonts w:cs="Arial"/>
        </w:rPr>
        <w:t xml:space="preserve">in the inclusion of business law.   Some of the foundational subjects included elements of professional learning, </w:t>
      </w:r>
      <w:r w:rsidR="00D262F4">
        <w:rPr>
          <w:rFonts w:cs="Arial"/>
        </w:rPr>
        <w:t>as seen, for example, in the modules on contract and tort law,</w:t>
      </w:r>
      <w:r w:rsidRPr="0003652C">
        <w:rPr>
          <w:rFonts w:cs="Arial"/>
        </w:rPr>
        <w:t xml:space="preserve"> now including </w:t>
      </w:r>
      <w:r w:rsidR="0068173C" w:rsidRPr="0003652C">
        <w:rPr>
          <w:rFonts w:cs="Arial"/>
        </w:rPr>
        <w:t>elements of</w:t>
      </w:r>
      <w:r w:rsidRPr="0003652C">
        <w:rPr>
          <w:rFonts w:cs="Arial"/>
        </w:rPr>
        <w:t xml:space="preserve"> civil litigation. Occasionally</w:t>
      </w:r>
      <w:r w:rsidR="00D262F4">
        <w:rPr>
          <w:rFonts w:cs="Arial"/>
        </w:rPr>
        <w:t>,</w:t>
      </w:r>
      <w:r w:rsidRPr="0003652C">
        <w:rPr>
          <w:rFonts w:cs="Arial"/>
        </w:rPr>
        <w:t xml:space="preserve"> a professional practice module </w:t>
      </w:r>
      <w:r w:rsidRPr="0003652C">
        <w:rPr>
          <w:rFonts w:cs="Arial"/>
        </w:rPr>
        <w:lastRenderedPageBreak/>
        <w:t>might also introduce students to areas of practice such as wills and conveyancing</w:t>
      </w:r>
      <w:r w:rsidR="0068173C" w:rsidRPr="0003652C">
        <w:rPr>
          <w:rFonts w:cs="Arial"/>
        </w:rPr>
        <w:t xml:space="preserve">, again </w:t>
      </w:r>
      <w:r w:rsidR="00787286">
        <w:rPr>
          <w:rFonts w:cs="Arial"/>
        </w:rPr>
        <w:t xml:space="preserve">an </w:t>
      </w:r>
      <w:r w:rsidR="0068173C" w:rsidRPr="0003652C">
        <w:rPr>
          <w:rFonts w:cs="Arial"/>
        </w:rPr>
        <w:t>element of the SQE</w:t>
      </w:r>
      <w:r w:rsidRPr="0003652C">
        <w:rPr>
          <w:rFonts w:cs="Arial"/>
        </w:rPr>
        <w:t>. These were not necessarily new approaches nationally and are well documented (Rasiah, 2022</w:t>
      </w:r>
      <w:r w:rsidR="00D262F4" w:rsidRPr="0003652C">
        <w:rPr>
          <w:rFonts w:cs="Arial"/>
        </w:rPr>
        <w:t>)</w:t>
      </w:r>
      <w:r w:rsidR="00D262F4">
        <w:rPr>
          <w:rFonts w:cs="Arial"/>
        </w:rPr>
        <w:t>.</w:t>
      </w:r>
      <w:r w:rsidR="00D262F4" w:rsidRPr="0003652C">
        <w:rPr>
          <w:rFonts w:cs="Arial"/>
        </w:rPr>
        <w:t xml:space="preserve"> </w:t>
      </w:r>
      <w:r w:rsidR="00D262F4">
        <w:rPr>
          <w:rFonts w:cs="Arial"/>
        </w:rPr>
        <w:t>Still,</w:t>
      </w:r>
      <w:r w:rsidRPr="0003652C">
        <w:rPr>
          <w:rFonts w:cs="Arial"/>
        </w:rPr>
        <w:t xml:space="preserve"> they had previously been seen only </w:t>
      </w:r>
      <w:r w:rsidR="00D262F4">
        <w:rPr>
          <w:rFonts w:cs="Arial"/>
        </w:rPr>
        <w:t xml:space="preserve">in </w:t>
      </w:r>
      <w:r w:rsidRPr="0003652C">
        <w:rPr>
          <w:rFonts w:cs="Arial"/>
        </w:rPr>
        <w:t xml:space="preserve">a few practice-oriented degrees, whereas now the necessity for this appeared to be more prevalent. The difference between the selective and less selective </w:t>
      </w:r>
      <w:r w:rsidR="00AA70FC">
        <w:rPr>
          <w:rFonts w:cs="Arial"/>
        </w:rPr>
        <w:t>school</w:t>
      </w:r>
      <w:r w:rsidR="00AA70FC" w:rsidRPr="0003652C">
        <w:rPr>
          <w:rFonts w:cs="Arial"/>
        </w:rPr>
        <w:t xml:space="preserve">s </w:t>
      </w:r>
      <w:r w:rsidRPr="0003652C">
        <w:rPr>
          <w:rFonts w:cs="Arial"/>
        </w:rPr>
        <w:t>in approach here reflected the general outcomes mentioned earlier</w:t>
      </w:r>
      <w:r w:rsidR="00D262F4">
        <w:rPr>
          <w:rFonts w:cs="Arial"/>
        </w:rPr>
        <w:t>,</w:t>
      </w:r>
      <w:r w:rsidRPr="0003652C">
        <w:rPr>
          <w:rFonts w:cs="Arial"/>
        </w:rPr>
        <w:t xml:space="preserve"> with the former being less concerned here than the latter</w:t>
      </w:r>
      <w:r w:rsidR="00D262F4">
        <w:rPr>
          <w:rFonts w:cs="Arial"/>
        </w:rPr>
        <w:t>.</w:t>
      </w:r>
      <w:r w:rsidR="00D262F4" w:rsidRPr="0003652C">
        <w:rPr>
          <w:rFonts w:cs="Arial"/>
        </w:rPr>
        <w:t xml:space="preserve"> </w:t>
      </w:r>
      <w:r w:rsidR="00D262F4">
        <w:rPr>
          <w:rFonts w:cs="Arial"/>
        </w:rPr>
        <w:t>However,</w:t>
      </w:r>
      <w:r w:rsidRPr="0003652C">
        <w:rPr>
          <w:rFonts w:cs="Arial"/>
        </w:rPr>
        <w:t xml:space="preserve"> it wasn’t unknown for selective </w:t>
      </w:r>
      <w:r w:rsidR="00AA70FC">
        <w:rPr>
          <w:rFonts w:cs="Arial"/>
        </w:rPr>
        <w:t>school</w:t>
      </w:r>
      <w:r w:rsidR="00AA70FC" w:rsidRPr="0003652C">
        <w:rPr>
          <w:rFonts w:cs="Arial"/>
        </w:rPr>
        <w:t xml:space="preserve">s </w:t>
      </w:r>
      <w:r w:rsidRPr="0003652C">
        <w:rPr>
          <w:rFonts w:cs="Arial"/>
        </w:rPr>
        <w:t>to engage with the practice-based agenda.</w:t>
      </w:r>
    </w:p>
    <w:p w14:paraId="5774670C" w14:textId="7771D352" w:rsidR="001F1489" w:rsidRPr="0003652C" w:rsidRDefault="00765E64" w:rsidP="0003652C">
      <w:pPr>
        <w:spacing w:line="360" w:lineRule="auto"/>
        <w:jc w:val="both"/>
        <w:rPr>
          <w:rFonts w:cs="Arial"/>
        </w:rPr>
      </w:pPr>
      <w:r w:rsidRPr="0003652C">
        <w:rPr>
          <w:rFonts w:cs="Arial"/>
        </w:rPr>
        <w:t>Here</w:t>
      </w:r>
      <w:r w:rsidR="00D262F4">
        <w:rPr>
          <w:rFonts w:cs="Arial"/>
        </w:rPr>
        <w:t>,</w:t>
      </w:r>
      <w:r w:rsidRPr="0003652C">
        <w:rPr>
          <w:rFonts w:cs="Arial"/>
        </w:rPr>
        <w:t xml:space="preserve"> the influences within the PRF on the module content are very evident across all categories of </w:t>
      </w:r>
      <w:r w:rsidR="00AA70FC">
        <w:rPr>
          <w:rFonts w:cs="Arial"/>
        </w:rPr>
        <w:t>school</w:t>
      </w:r>
      <w:r w:rsidRPr="0003652C">
        <w:rPr>
          <w:rFonts w:cs="Arial"/>
        </w:rPr>
        <w:t xml:space="preserve">. </w:t>
      </w:r>
      <w:r w:rsidR="00D87F81" w:rsidRPr="0003652C">
        <w:rPr>
          <w:rFonts w:cs="Arial"/>
        </w:rPr>
        <w:t>Due</w:t>
      </w:r>
      <w:r w:rsidRPr="0003652C">
        <w:rPr>
          <w:rFonts w:cs="Arial"/>
        </w:rPr>
        <w:t xml:space="preserve"> to the </w:t>
      </w:r>
      <w:r w:rsidR="0068173C" w:rsidRPr="0003652C">
        <w:rPr>
          <w:rFonts w:cs="Arial"/>
        </w:rPr>
        <w:t xml:space="preserve">strong </w:t>
      </w:r>
      <w:r w:rsidRPr="0003652C">
        <w:rPr>
          <w:rFonts w:cs="Arial"/>
        </w:rPr>
        <w:t xml:space="preserve">classification of subject areas and the lack of holistic perspectives </w:t>
      </w:r>
      <w:r w:rsidR="00D262F4">
        <w:rPr>
          <w:rFonts w:cs="Arial"/>
        </w:rPr>
        <w:t>in law degrees, the module has, in many cases,</w:t>
      </w:r>
      <w:r w:rsidRPr="0003652C">
        <w:rPr>
          <w:rFonts w:cs="Arial"/>
        </w:rPr>
        <w:t xml:space="preserve"> been the unit within which innovation occurred. The exemption requirements which create a separatist nature of the foundational subjects arguably hindered holistic approaches to design (Boon &amp; Webb, 2008), except in the most innovative </w:t>
      </w:r>
      <w:r w:rsidR="00AA70FC">
        <w:rPr>
          <w:rFonts w:cs="Arial"/>
        </w:rPr>
        <w:t>school</w:t>
      </w:r>
      <w:r w:rsidR="00AA70FC" w:rsidRPr="0003652C">
        <w:rPr>
          <w:rFonts w:cs="Arial"/>
        </w:rPr>
        <w:t>s</w:t>
      </w:r>
      <w:r w:rsidRPr="0003652C">
        <w:rPr>
          <w:rFonts w:cs="Arial"/>
        </w:rPr>
        <w:t xml:space="preserve">. There has </w:t>
      </w:r>
      <w:r w:rsidR="00D262F4">
        <w:rPr>
          <w:rFonts w:cs="Arial"/>
        </w:rPr>
        <w:t>also been, for a long time, a conservatism in the approach to design, whether due to passivity or to the</w:t>
      </w:r>
      <w:r w:rsidRPr="0003652C">
        <w:rPr>
          <w:rFonts w:cs="Arial"/>
        </w:rPr>
        <w:t xml:space="preserve"> constraints perceived to exist because of what are presented here as the ORF agents (Hunt, 1987). The pressure for space here did not arise just from the need to meet the uncertainty left by the SRA’s deregulation. It also arose from other pressures on programmes to incorporate many more agendas outside of the disciplinary ones. </w:t>
      </w:r>
    </w:p>
    <w:p w14:paraId="111D7693" w14:textId="42DDF254" w:rsidR="00765E64" w:rsidRPr="0003652C" w:rsidRDefault="00765E64" w:rsidP="0003652C">
      <w:pPr>
        <w:pStyle w:val="Heading4"/>
        <w:spacing w:line="360" w:lineRule="auto"/>
        <w:rPr>
          <w:rFonts w:ascii="Arial" w:hAnsi="Arial" w:cs="Arial"/>
        </w:rPr>
      </w:pPr>
      <w:r w:rsidRPr="0003652C">
        <w:rPr>
          <w:rFonts w:ascii="Arial" w:hAnsi="Arial" w:cs="Arial"/>
        </w:rPr>
        <w:t>Pathways</w:t>
      </w:r>
    </w:p>
    <w:p w14:paraId="7BB4948A" w14:textId="64C4E42D" w:rsidR="00765E64" w:rsidRPr="0003652C" w:rsidRDefault="00765E64" w:rsidP="0003652C">
      <w:pPr>
        <w:spacing w:line="360" w:lineRule="auto"/>
        <w:jc w:val="both"/>
        <w:rPr>
          <w:rFonts w:cs="Arial"/>
        </w:rPr>
      </w:pPr>
      <w:r w:rsidRPr="0003652C">
        <w:rPr>
          <w:rFonts w:cs="Arial"/>
        </w:rPr>
        <w:t xml:space="preserve">One response to this, seen across several programmes, </w:t>
      </w:r>
      <w:r w:rsidR="0068173C" w:rsidRPr="0003652C">
        <w:rPr>
          <w:rFonts w:cs="Arial"/>
        </w:rPr>
        <w:t>was</w:t>
      </w:r>
      <w:r w:rsidRPr="0003652C">
        <w:rPr>
          <w:rFonts w:cs="Arial"/>
        </w:rPr>
        <w:t xml:space="preserve"> to add some of that content and respond to those pressures by creating space and reframing the structure of the degree by introducing pathways or routes through the degree, allowing students to identify and cho</w:t>
      </w:r>
      <w:r w:rsidR="00D262F4">
        <w:rPr>
          <w:rFonts w:cs="Arial"/>
        </w:rPr>
        <w:t>o</w:t>
      </w:r>
      <w:r w:rsidRPr="0003652C">
        <w:rPr>
          <w:rFonts w:cs="Arial"/>
        </w:rPr>
        <w:t xml:space="preserve">se the route they want. </w:t>
      </w:r>
    </w:p>
    <w:p w14:paraId="59B36AFE" w14:textId="60D880CE" w:rsidR="00765E64" w:rsidRPr="0003652C" w:rsidRDefault="00765E64" w:rsidP="0003652C">
      <w:pPr>
        <w:spacing w:line="360" w:lineRule="auto"/>
        <w:jc w:val="both"/>
        <w:rPr>
          <w:rFonts w:cs="Arial"/>
        </w:rPr>
      </w:pPr>
      <w:r w:rsidRPr="0003652C">
        <w:rPr>
          <w:rFonts w:cs="Arial"/>
        </w:rPr>
        <w:t xml:space="preserve">Two selective </w:t>
      </w:r>
      <w:r w:rsidR="00AA70FC">
        <w:rPr>
          <w:rFonts w:cs="Arial"/>
        </w:rPr>
        <w:t>school</w:t>
      </w:r>
      <w:r w:rsidR="00AA70FC" w:rsidRPr="0003652C">
        <w:rPr>
          <w:rFonts w:cs="Arial"/>
        </w:rPr>
        <w:t xml:space="preserve">s </w:t>
      </w:r>
      <w:r w:rsidRPr="0003652C">
        <w:rPr>
          <w:rFonts w:cs="Arial"/>
        </w:rPr>
        <w:t xml:space="preserve">saw the grouping together of modules as a way of guiding the students through optional choices, with reference to themes such as social justice, theory or practice, or reflecting disciplinary specialisms in postgraduate LLMs. Many semi-selective </w:t>
      </w:r>
      <w:r w:rsidR="00AA70FC">
        <w:rPr>
          <w:rFonts w:cs="Arial"/>
        </w:rPr>
        <w:t>school</w:t>
      </w:r>
      <w:r w:rsidR="00AA70FC" w:rsidRPr="0003652C">
        <w:rPr>
          <w:rFonts w:cs="Arial"/>
        </w:rPr>
        <w:t xml:space="preserve">s </w:t>
      </w:r>
      <w:r w:rsidRPr="0003652C">
        <w:rPr>
          <w:rFonts w:cs="Arial"/>
        </w:rPr>
        <w:t xml:space="preserve">had decided to introduce pathways through </w:t>
      </w:r>
      <w:r w:rsidRPr="0003652C">
        <w:rPr>
          <w:rFonts w:cs="Arial"/>
        </w:rPr>
        <w:lastRenderedPageBreak/>
        <w:t>the degree, offering one that allowed for an introduction to the context and content of the SQE, whilst another was more theoretical. In two examples</w:t>
      </w:r>
      <w:r w:rsidR="00D262F4">
        <w:rPr>
          <w:rFonts w:cs="Arial"/>
        </w:rPr>
        <w:t>,</w:t>
      </w:r>
      <w:r w:rsidRPr="0003652C">
        <w:rPr>
          <w:rFonts w:cs="Arial"/>
        </w:rPr>
        <w:t xml:space="preserve"> there were three routes through the degree. At the widening participation </w:t>
      </w:r>
      <w:r w:rsidR="00AA70FC">
        <w:rPr>
          <w:rFonts w:cs="Arial"/>
        </w:rPr>
        <w:t>school</w:t>
      </w:r>
      <w:r w:rsidR="00AA70FC" w:rsidRPr="0003652C">
        <w:rPr>
          <w:rFonts w:cs="Arial"/>
        </w:rPr>
        <w:t>s</w:t>
      </w:r>
      <w:r w:rsidR="00D262F4">
        <w:rPr>
          <w:rFonts w:cs="Arial"/>
        </w:rPr>
        <w:t>,</w:t>
      </w:r>
      <w:r w:rsidR="00AA70FC" w:rsidRPr="0003652C">
        <w:rPr>
          <w:rFonts w:cs="Arial"/>
        </w:rPr>
        <w:t xml:space="preserve"> </w:t>
      </w:r>
      <w:r w:rsidRPr="0003652C">
        <w:rPr>
          <w:rFonts w:cs="Arial"/>
        </w:rPr>
        <w:t xml:space="preserve">this trend continued, with the addition in two </w:t>
      </w:r>
      <w:r w:rsidR="00AA70FC">
        <w:rPr>
          <w:rFonts w:cs="Arial"/>
        </w:rPr>
        <w:t>school</w:t>
      </w:r>
      <w:r w:rsidR="00AA70FC" w:rsidRPr="0003652C">
        <w:rPr>
          <w:rFonts w:cs="Arial"/>
        </w:rPr>
        <w:t xml:space="preserve">s </w:t>
      </w:r>
      <w:r w:rsidRPr="0003652C">
        <w:rPr>
          <w:rFonts w:cs="Arial"/>
        </w:rPr>
        <w:t>of a level 7 provision, again creating that space</w:t>
      </w:r>
      <w:r w:rsidR="00D262F4">
        <w:rPr>
          <w:rFonts w:cs="Arial"/>
        </w:rPr>
        <w:t>,</w:t>
      </w:r>
      <w:r w:rsidRPr="0003652C">
        <w:rPr>
          <w:rFonts w:cs="Arial"/>
        </w:rPr>
        <w:t xml:space="preserve"> but also to support the student with access to funding. Two widening participations </w:t>
      </w:r>
      <w:r w:rsidR="00AA70FC">
        <w:rPr>
          <w:rFonts w:cs="Arial"/>
        </w:rPr>
        <w:t>school</w:t>
      </w:r>
      <w:r w:rsidR="00AA70FC" w:rsidRPr="0003652C">
        <w:rPr>
          <w:rFonts w:cs="Arial"/>
        </w:rPr>
        <w:t xml:space="preserve">s </w:t>
      </w:r>
      <w:r w:rsidRPr="0003652C">
        <w:rPr>
          <w:rFonts w:cs="Arial"/>
        </w:rPr>
        <w:t xml:space="preserve">presented different pathways which were reflective of professional practice or theory, or disciplinary areas such as business and criminal justice. </w:t>
      </w:r>
    </w:p>
    <w:p w14:paraId="531C6BA9" w14:textId="123EC97C" w:rsidR="00765E64" w:rsidRPr="0003652C" w:rsidRDefault="00765E64" w:rsidP="0003652C">
      <w:pPr>
        <w:spacing w:line="360" w:lineRule="auto"/>
        <w:jc w:val="both"/>
        <w:rPr>
          <w:rFonts w:cs="Arial"/>
        </w:rPr>
      </w:pPr>
      <w:r w:rsidRPr="0003652C">
        <w:rPr>
          <w:rFonts w:cs="Arial"/>
        </w:rPr>
        <w:t xml:space="preserve">These approaches were largely designed around the notion of student choice and autonomy, and ‘students being the leaders of their own destiny’, and </w:t>
      </w:r>
      <w:r w:rsidR="000C45F4" w:rsidRPr="0003652C">
        <w:rPr>
          <w:rFonts w:cs="Arial"/>
        </w:rPr>
        <w:t>these approaches have been</w:t>
      </w:r>
      <w:r w:rsidRPr="0003652C">
        <w:rPr>
          <w:rFonts w:cs="Arial"/>
        </w:rPr>
        <w:t xml:space="preserve"> supported in the literature (Rasiah, 2022). It is noteworthy that the selective </w:t>
      </w:r>
      <w:r w:rsidR="00AA70FC">
        <w:rPr>
          <w:rFonts w:cs="Arial"/>
        </w:rPr>
        <w:t>school</w:t>
      </w:r>
      <w:r w:rsidR="00AA70FC" w:rsidRPr="0003652C">
        <w:rPr>
          <w:rFonts w:cs="Arial"/>
        </w:rPr>
        <w:t xml:space="preserve">s </w:t>
      </w:r>
      <w:r w:rsidRPr="0003652C">
        <w:rPr>
          <w:rFonts w:cs="Arial"/>
        </w:rPr>
        <w:t>presented these more as disciplinary choices or as introductions to postgraduate programmes</w:t>
      </w:r>
      <w:r w:rsidR="00980823">
        <w:rPr>
          <w:rFonts w:cs="Arial"/>
        </w:rPr>
        <w:t>.</w:t>
      </w:r>
      <w:r w:rsidR="00980823" w:rsidRPr="0003652C">
        <w:rPr>
          <w:rFonts w:cs="Arial"/>
        </w:rPr>
        <w:t xml:space="preserve"> </w:t>
      </w:r>
      <w:r w:rsidR="00980823">
        <w:rPr>
          <w:rFonts w:cs="Arial"/>
        </w:rPr>
        <w:t>In contrast,</w:t>
      </w:r>
      <w:r w:rsidRPr="0003652C">
        <w:rPr>
          <w:rFonts w:cs="Arial"/>
        </w:rPr>
        <w:t xml:space="preserve"> the practice element was more evident in the less selective </w:t>
      </w:r>
      <w:r w:rsidR="00AA70FC">
        <w:rPr>
          <w:rFonts w:cs="Arial"/>
        </w:rPr>
        <w:t>school</w:t>
      </w:r>
      <w:r w:rsidR="00AA70FC" w:rsidRPr="0003652C">
        <w:rPr>
          <w:rFonts w:cs="Arial"/>
        </w:rPr>
        <w:t>s</w:t>
      </w:r>
      <w:r w:rsidRPr="0003652C">
        <w:rPr>
          <w:rFonts w:cs="Arial"/>
        </w:rPr>
        <w:t>. This reflects Bernstein’s introspective and projected presentations of the discipline in different</w:t>
      </w:r>
      <w:r w:rsidR="00AA70FC">
        <w:rPr>
          <w:rFonts w:cs="Arial"/>
        </w:rPr>
        <w:t xml:space="preserve"> types of</w:t>
      </w:r>
      <w:r w:rsidRPr="0003652C">
        <w:rPr>
          <w:rFonts w:cs="Arial"/>
        </w:rPr>
        <w:t xml:space="preserve"> institution</w:t>
      </w:r>
      <w:r w:rsidR="00980823">
        <w:rPr>
          <w:rFonts w:cs="Arial"/>
        </w:rPr>
        <w:t>s</w:t>
      </w:r>
      <w:r w:rsidRPr="0003652C">
        <w:rPr>
          <w:rFonts w:cs="Arial"/>
        </w:rPr>
        <w:t xml:space="preserve">. Some disputed the usefulness of doing this, highlighting the anxiety and uncertainty that this might create for the student. Some designers also felt that the ‘broad church’ approach reflected an undecided ‘schizophrenic activity of trying to be something to everyone’. </w:t>
      </w:r>
    </w:p>
    <w:p w14:paraId="045B26FD" w14:textId="0DC45C10" w:rsidR="00765E64" w:rsidRPr="0003652C" w:rsidRDefault="00765E64" w:rsidP="0003652C">
      <w:pPr>
        <w:spacing w:line="360" w:lineRule="auto"/>
        <w:jc w:val="both"/>
        <w:rPr>
          <w:rFonts w:cs="Arial"/>
          <w:color w:val="000000" w:themeColor="text1"/>
        </w:rPr>
      </w:pPr>
      <w:r w:rsidRPr="0003652C">
        <w:rPr>
          <w:rFonts w:cs="Arial"/>
        </w:rPr>
        <w:t xml:space="preserve">Regardless of the effectiveness of this approach to choice, the notion of autonomy was prevalent in the </w:t>
      </w:r>
      <w:r w:rsidR="00AA70FC">
        <w:rPr>
          <w:rFonts w:cs="Arial"/>
        </w:rPr>
        <w:t>school</w:t>
      </w:r>
      <w:r w:rsidRPr="0003652C">
        <w:rPr>
          <w:rFonts w:cs="Arial"/>
        </w:rPr>
        <w:t xml:space="preserve">s that </w:t>
      </w:r>
      <w:r w:rsidRPr="0003652C">
        <w:rPr>
          <w:rFonts w:cs="Arial"/>
          <w:color w:val="000000" w:themeColor="text1"/>
        </w:rPr>
        <w:t xml:space="preserve">introduced pathways, returning to the student-centred nature of the design, with the observation that ‘students can be masters of their own destiny’, and there being ‘lots of nonsense about students not wanting choice’. One participant said </w:t>
      </w:r>
    </w:p>
    <w:p w14:paraId="0E4F1EF4" w14:textId="14EDE458" w:rsidR="00765E64" w:rsidRPr="0003652C" w:rsidRDefault="00765E64" w:rsidP="006370E7">
      <w:pPr>
        <w:spacing w:line="360" w:lineRule="auto"/>
        <w:ind w:left="720"/>
        <w:jc w:val="both"/>
        <w:rPr>
          <w:rFonts w:cs="Arial"/>
          <w:color w:val="000000" w:themeColor="text1"/>
        </w:rPr>
      </w:pPr>
      <w:r w:rsidRPr="0003652C">
        <w:rPr>
          <w:rFonts w:cs="Arial"/>
          <w:color w:val="000000" w:themeColor="text1"/>
        </w:rPr>
        <w:t>I have realised that they have to work out for themselves that it may not be the best thing for them</w:t>
      </w:r>
      <w:r w:rsidR="00CA5AC4" w:rsidRPr="0003652C">
        <w:rPr>
          <w:rFonts w:cs="Arial"/>
          <w:color w:val="000000" w:themeColor="text1"/>
        </w:rPr>
        <w:t xml:space="preserve"> (WP).</w:t>
      </w:r>
    </w:p>
    <w:p w14:paraId="0C63312A" w14:textId="5753184C"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Discussion about optionality arose in </w:t>
      </w:r>
      <w:r w:rsidR="009D5113">
        <w:rPr>
          <w:rFonts w:cs="Arial"/>
          <w:color w:val="000000" w:themeColor="text1"/>
        </w:rPr>
        <w:t>C</w:t>
      </w:r>
      <w:r w:rsidRPr="0003652C">
        <w:rPr>
          <w:rFonts w:cs="Arial"/>
          <w:color w:val="000000" w:themeColor="text1"/>
        </w:rPr>
        <w:t xml:space="preserve">hapter </w:t>
      </w:r>
      <w:r w:rsidR="009D5113">
        <w:rPr>
          <w:rFonts w:cs="Arial"/>
          <w:color w:val="000000" w:themeColor="text1"/>
        </w:rPr>
        <w:t>S</w:t>
      </w:r>
      <w:r w:rsidR="0067602D" w:rsidRPr="0003652C">
        <w:rPr>
          <w:rFonts w:cs="Arial"/>
          <w:color w:val="000000" w:themeColor="text1"/>
        </w:rPr>
        <w:t>even</w:t>
      </w:r>
      <w:r w:rsidRPr="0003652C">
        <w:rPr>
          <w:rFonts w:cs="Arial"/>
          <w:color w:val="000000" w:themeColor="text1"/>
        </w:rPr>
        <w:t xml:space="preserve"> in relation to the optional modules</w:t>
      </w:r>
      <w:r w:rsidR="00980823">
        <w:rPr>
          <w:rFonts w:cs="Arial"/>
          <w:color w:val="000000" w:themeColor="text1"/>
        </w:rPr>
        <w:t>,</w:t>
      </w:r>
      <w:r w:rsidRPr="0003652C">
        <w:rPr>
          <w:rFonts w:cs="Arial"/>
          <w:color w:val="000000" w:themeColor="text1"/>
        </w:rPr>
        <w:t xml:space="preserve"> and the extent to which that level of choice diluted the access to powerful knowledge or </w:t>
      </w:r>
      <w:r w:rsidR="00980823" w:rsidRPr="0003652C">
        <w:rPr>
          <w:rFonts w:cs="Arial"/>
          <w:color w:val="000000" w:themeColor="text1"/>
        </w:rPr>
        <w:t>enable</w:t>
      </w:r>
      <w:r w:rsidR="00980823">
        <w:rPr>
          <w:rFonts w:cs="Arial"/>
          <w:color w:val="000000" w:themeColor="text1"/>
        </w:rPr>
        <w:t>d</w:t>
      </w:r>
      <w:r w:rsidR="00980823" w:rsidRPr="0003652C">
        <w:rPr>
          <w:rFonts w:cs="Arial"/>
          <w:color w:val="000000" w:themeColor="text1"/>
        </w:rPr>
        <w:t xml:space="preserve"> </w:t>
      </w:r>
      <w:r w:rsidRPr="0003652C">
        <w:rPr>
          <w:rFonts w:cs="Arial"/>
          <w:color w:val="000000" w:themeColor="text1"/>
        </w:rPr>
        <w:t xml:space="preserve">access to more niche </w:t>
      </w:r>
      <w:r w:rsidR="00980823" w:rsidRPr="0003652C">
        <w:rPr>
          <w:rFonts w:cs="Arial"/>
          <w:color w:val="000000" w:themeColor="text1"/>
        </w:rPr>
        <w:t>research</w:t>
      </w:r>
      <w:r w:rsidR="00980823">
        <w:rPr>
          <w:rFonts w:cs="Arial"/>
          <w:color w:val="000000" w:themeColor="text1"/>
        </w:rPr>
        <w:t>-</w:t>
      </w:r>
      <w:r w:rsidRPr="0003652C">
        <w:rPr>
          <w:rFonts w:cs="Arial"/>
          <w:color w:val="000000" w:themeColor="text1"/>
        </w:rPr>
        <w:t>led knowledge</w:t>
      </w:r>
      <w:r w:rsidR="0067602D" w:rsidRPr="0003652C">
        <w:rPr>
          <w:rFonts w:cs="Arial"/>
          <w:color w:val="000000" w:themeColor="text1"/>
        </w:rPr>
        <w:t xml:space="preserve">. </w:t>
      </w:r>
      <w:r w:rsidRPr="0003652C">
        <w:rPr>
          <w:rFonts w:cs="Arial"/>
          <w:color w:val="000000" w:themeColor="text1"/>
        </w:rPr>
        <w:t>Here</w:t>
      </w:r>
      <w:r w:rsidR="00980823">
        <w:rPr>
          <w:rFonts w:cs="Arial"/>
          <w:color w:val="000000" w:themeColor="text1"/>
        </w:rPr>
        <w:t>,</w:t>
      </w:r>
      <w:r w:rsidRPr="0003652C">
        <w:rPr>
          <w:rFonts w:cs="Arial"/>
          <w:color w:val="000000" w:themeColor="text1"/>
        </w:rPr>
        <w:t xml:space="preserve"> arguably</w:t>
      </w:r>
      <w:r w:rsidR="00980823">
        <w:rPr>
          <w:rFonts w:cs="Arial"/>
          <w:color w:val="000000" w:themeColor="text1"/>
        </w:rPr>
        <w:t>,</w:t>
      </w:r>
      <w:r w:rsidRPr="0003652C">
        <w:rPr>
          <w:rFonts w:cs="Arial"/>
          <w:color w:val="000000" w:themeColor="text1"/>
        </w:rPr>
        <w:t xml:space="preserve"> the choice at </w:t>
      </w:r>
      <w:r w:rsidR="00980823">
        <w:rPr>
          <w:rFonts w:cs="Arial"/>
          <w:color w:val="000000" w:themeColor="text1"/>
        </w:rPr>
        <w:t xml:space="preserve">the </w:t>
      </w:r>
      <w:r w:rsidRPr="0003652C">
        <w:rPr>
          <w:rFonts w:cs="Arial"/>
          <w:color w:val="000000" w:themeColor="text1"/>
        </w:rPr>
        <w:t xml:space="preserve">programme level raises similar concerns. The </w:t>
      </w:r>
      <w:r w:rsidRPr="0003652C">
        <w:rPr>
          <w:rFonts w:cs="Arial"/>
          <w:color w:val="000000" w:themeColor="text1"/>
        </w:rPr>
        <w:lastRenderedPageBreak/>
        <w:t xml:space="preserve">degree programme arguably </w:t>
      </w:r>
      <w:r w:rsidR="00980823">
        <w:rPr>
          <w:rFonts w:cs="Arial"/>
          <w:color w:val="000000" w:themeColor="text1"/>
        </w:rPr>
        <w:t>absorbs</w:t>
      </w:r>
      <w:r w:rsidRPr="0003652C">
        <w:rPr>
          <w:rFonts w:cs="Arial"/>
          <w:color w:val="000000" w:themeColor="text1"/>
        </w:rPr>
        <w:t xml:space="preserve"> vocational content</w:t>
      </w:r>
      <w:r w:rsidR="00980823">
        <w:rPr>
          <w:rFonts w:cs="Arial"/>
          <w:color w:val="000000" w:themeColor="text1"/>
        </w:rPr>
        <w:t>,</w:t>
      </w:r>
      <w:r w:rsidR="0067602D" w:rsidRPr="0003652C">
        <w:rPr>
          <w:rFonts w:cs="Arial"/>
          <w:color w:val="000000" w:themeColor="text1"/>
        </w:rPr>
        <w:t xml:space="preserve"> which is not </w:t>
      </w:r>
      <w:r w:rsidRPr="0003652C">
        <w:rPr>
          <w:rFonts w:cs="Arial"/>
          <w:color w:val="000000" w:themeColor="text1"/>
        </w:rPr>
        <w:t>necessarily a hindrance to powerful knowledge (Wheelahan, 2007). The inclusion of generic skills may threaten this access. Layered on</w:t>
      </w:r>
      <w:r w:rsidR="00787286">
        <w:rPr>
          <w:rFonts w:cs="Arial"/>
          <w:color w:val="000000" w:themeColor="text1"/>
        </w:rPr>
        <w:t>to</w:t>
      </w:r>
      <w:r w:rsidRPr="0003652C">
        <w:rPr>
          <w:rFonts w:cs="Arial"/>
          <w:color w:val="000000" w:themeColor="text1"/>
        </w:rPr>
        <w:t xml:space="preserve"> that is the fact that there may not be one cohesive message as to what the programme is trying to achieve</w:t>
      </w:r>
      <w:r w:rsidR="00A9673C">
        <w:rPr>
          <w:rFonts w:cs="Arial"/>
          <w:color w:val="000000" w:themeColor="text1"/>
        </w:rPr>
        <w:t>,</w:t>
      </w:r>
      <w:r w:rsidRPr="0003652C">
        <w:rPr>
          <w:rFonts w:cs="Arial"/>
          <w:color w:val="000000" w:themeColor="text1"/>
        </w:rPr>
        <w:t xml:space="preserve"> but instead a choice of messages. The emphasis might be seen here to be on what a student wants, as opposed to what they might need, and who here controls those decisions is key. How these are promoted from a common base might also be questioned.  </w:t>
      </w:r>
    </w:p>
    <w:p w14:paraId="261E4D20" w14:textId="3C3DC5DC" w:rsidR="00765E64" w:rsidRPr="0003652C" w:rsidRDefault="00765E64" w:rsidP="0003652C">
      <w:pPr>
        <w:pStyle w:val="Heading4"/>
        <w:spacing w:line="360" w:lineRule="auto"/>
        <w:rPr>
          <w:rFonts w:ascii="Arial" w:hAnsi="Arial" w:cs="Arial"/>
        </w:rPr>
      </w:pPr>
      <w:r w:rsidRPr="0003652C">
        <w:rPr>
          <w:rFonts w:ascii="Arial" w:hAnsi="Arial" w:cs="Arial"/>
        </w:rPr>
        <w:t>Holistic approaches</w:t>
      </w:r>
    </w:p>
    <w:p w14:paraId="375DC871" w14:textId="29D7EE7B"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Another approach here might have been to take a more holistic approach to design, committing to a direction. </w:t>
      </w:r>
      <w:r w:rsidRPr="0003652C">
        <w:rPr>
          <w:rFonts w:cs="Arial"/>
        </w:rPr>
        <w:t>Attempts to look at programme design holistically are apparent in the findings, but they clearly faced the tensions mentioned and some protectionist attitudes held by academics</w:t>
      </w:r>
      <w:r w:rsidR="00A9673C">
        <w:rPr>
          <w:rFonts w:cs="Arial"/>
        </w:rPr>
        <w:t>.</w:t>
      </w:r>
    </w:p>
    <w:p w14:paraId="23DF608F" w14:textId="5BE4BA7A" w:rsidR="00765E64" w:rsidRPr="0003652C" w:rsidRDefault="00765E64" w:rsidP="0003652C">
      <w:pPr>
        <w:spacing w:line="360" w:lineRule="auto"/>
        <w:ind w:left="720"/>
        <w:jc w:val="both"/>
        <w:rPr>
          <w:rFonts w:cs="Arial"/>
          <w:color w:val="000000" w:themeColor="text1"/>
        </w:rPr>
      </w:pPr>
      <w:r w:rsidRPr="0003652C">
        <w:rPr>
          <w:rFonts w:cs="Arial"/>
          <w:color w:val="000000" w:themeColor="text1"/>
        </w:rPr>
        <w:t>Trying to get people to start thinking about modules not as silos and trying to think about the program as a whole.</w:t>
      </w:r>
      <w:r w:rsidR="007D5ABD" w:rsidRPr="0003652C">
        <w:rPr>
          <w:rFonts w:cs="Arial"/>
          <w:color w:val="000000" w:themeColor="text1"/>
        </w:rPr>
        <w:t>.</w:t>
      </w:r>
      <w:r w:rsidRPr="0003652C">
        <w:rPr>
          <w:rFonts w:cs="Arial"/>
          <w:color w:val="000000" w:themeColor="text1"/>
        </w:rPr>
        <w:t>. It’s a change of ideology in terms of what and who is this program and it’s a change in culture in terms of what is your job… The module leader is part of a job as part of a team. We’re saying to program managers</w:t>
      </w:r>
      <w:r w:rsidR="00A9673C">
        <w:rPr>
          <w:rFonts w:cs="Arial"/>
          <w:color w:val="000000" w:themeColor="text1"/>
        </w:rPr>
        <w:t>:</w:t>
      </w:r>
      <w:r w:rsidRPr="0003652C">
        <w:rPr>
          <w:rFonts w:cs="Arial"/>
          <w:color w:val="000000" w:themeColor="text1"/>
        </w:rPr>
        <w:t xml:space="preserve"> </w:t>
      </w:r>
      <w:r w:rsidR="00A9673C">
        <w:rPr>
          <w:rFonts w:cs="Arial"/>
          <w:color w:val="000000" w:themeColor="text1"/>
        </w:rPr>
        <w:t>“H</w:t>
      </w:r>
      <w:r w:rsidR="00A9673C" w:rsidRPr="0003652C">
        <w:rPr>
          <w:rFonts w:cs="Arial"/>
          <w:color w:val="000000" w:themeColor="text1"/>
        </w:rPr>
        <w:t xml:space="preserve">ow </w:t>
      </w:r>
      <w:r w:rsidRPr="0003652C">
        <w:rPr>
          <w:rFonts w:cs="Arial"/>
          <w:color w:val="000000" w:themeColor="text1"/>
        </w:rPr>
        <w:t>does your program make sense?</w:t>
      </w:r>
      <w:r w:rsidR="00A9673C">
        <w:rPr>
          <w:rFonts w:cs="Arial"/>
          <w:color w:val="000000" w:themeColor="text1"/>
        </w:rPr>
        <w:t>”</w:t>
      </w:r>
      <w:r w:rsidRPr="0003652C">
        <w:rPr>
          <w:rFonts w:cs="Arial"/>
          <w:color w:val="000000" w:themeColor="text1"/>
        </w:rPr>
        <w:t xml:space="preserve"> And now, what’s the students’ journey through the program? And that’s a huge change in culture</w:t>
      </w:r>
      <w:r w:rsidR="00CA5AC4" w:rsidRPr="0003652C">
        <w:rPr>
          <w:rFonts w:cs="Arial"/>
          <w:color w:val="000000" w:themeColor="text1"/>
        </w:rPr>
        <w:t xml:space="preserve"> (SS).</w:t>
      </w:r>
    </w:p>
    <w:p w14:paraId="4B8808B1" w14:textId="41613992"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Some designs were distinctive at module level, introducing decolonisation through the core for example, and there were some success stories with holistic approaches to design. One </w:t>
      </w:r>
      <w:r w:rsidR="00AA70FC">
        <w:rPr>
          <w:rFonts w:cs="Arial"/>
          <w:color w:val="000000" w:themeColor="text1"/>
        </w:rPr>
        <w:t>school</w:t>
      </w:r>
      <w:r w:rsidR="00AA70FC" w:rsidRPr="0003652C">
        <w:rPr>
          <w:rFonts w:cs="Arial"/>
          <w:color w:val="000000" w:themeColor="text1"/>
        </w:rPr>
        <w:t xml:space="preserve"> </w:t>
      </w:r>
      <w:r w:rsidRPr="0003652C">
        <w:rPr>
          <w:rFonts w:cs="Arial"/>
          <w:color w:val="000000" w:themeColor="text1"/>
        </w:rPr>
        <w:t xml:space="preserve">presented an integrated core with a particular set of values and design principles, </w:t>
      </w:r>
      <w:r w:rsidR="00A9673C">
        <w:rPr>
          <w:rFonts w:cs="Arial"/>
          <w:color w:val="000000" w:themeColor="text1"/>
        </w:rPr>
        <w:t xml:space="preserve">and </w:t>
      </w:r>
      <w:r w:rsidRPr="0003652C">
        <w:rPr>
          <w:rFonts w:cs="Arial"/>
          <w:color w:val="000000" w:themeColor="text1"/>
        </w:rPr>
        <w:t xml:space="preserve">two courses invested in designs that were wholly based </w:t>
      </w:r>
      <w:r w:rsidR="00A9673C">
        <w:rPr>
          <w:rFonts w:cs="Arial"/>
          <w:color w:val="000000" w:themeColor="text1"/>
        </w:rPr>
        <w:t>o</w:t>
      </w:r>
      <w:r w:rsidR="00A9673C" w:rsidRPr="0003652C">
        <w:rPr>
          <w:rFonts w:cs="Arial"/>
          <w:color w:val="000000" w:themeColor="text1"/>
        </w:rPr>
        <w:t xml:space="preserve">n </w:t>
      </w:r>
      <w:r w:rsidRPr="0003652C">
        <w:rPr>
          <w:rFonts w:cs="Arial"/>
          <w:color w:val="000000" w:themeColor="text1"/>
        </w:rPr>
        <w:t>the applied legal education course. One commented that ‘The distinctive stuff is in particular modules rather than the programme as a whole’</w:t>
      </w:r>
      <w:r w:rsidR="00A9673C">
        <w:rPr>
          <w:rFonts w:cs="Arial"/>
          <w:color w:val="000000" w:themeColor="text1"/>
        </w:rPr>
        <w:t>,</w:t>
      </w:r>
      <w:r w:rsidRPr="0003652C">
        <w:rPr>
          <w:rFonts w:cs="Arial"/>
          <w:color w:val="000000" w:themeColor="text1"/>
        </w:rPr>
        <w:t xml:space="preserve"> but others felt that it needed to be at </w:t>
      </w:r>
      <w:r w:rsidR="00A9673C">
        <w:rPr>
          <w:rFonts w:cs="Arial"/>
          <w:color w:val="000000" w:themeColor="text1"/>
        </w:rPr>
        <w:t xml:space="preserve">the </w:t>
      </w:r>
      <w:r w:rsidRPr="0003652C">
        <w:rPr>
          <w:rFonts w:cs="Arial"/>
          <w:color w:val="000000" w:themeColor="text1"/>
        </w:rPr>
        <w:t>programme level</w:t>
      </w:r>
      <w:r w:rsidR="00A9673C">
        <w:rPr>
          <w:rFonts w:cs="Arial"/>
          <w:color w:val="000000" w:themeColor="text1"/>
        </w:rPr>
        <w:t>.</w:t>
      </w:r>
    </w:p>
    <w:p w14:paraId="3CC257BA" w14:textId="49EA7AD1" w:rsidR="00765E64" w:rsidRPr="0003652C" w:rsidRDefault="00765E64" w:rsidP="0003652C">
      <w:pPr>
        <w:spacing w:line="360" w:lineRule="auto"/>
        <w:ind w:left="720"/>
        <w:jc w:val="both"/>
        <w:rPr>
          <w:rFonts w:cs="Arial"/>
          <w:color w:val="000000" w:themeColor="text1"/>
        </w:rPr>
      </w:pPr>
      <w:r w:rsidRPr="0003652C">
        <w:rPr>
          <w:rFonts w:cs="Arial"/>
          <w:color w:val="000000" w:themeColor="text1"/>
        </w:rPr>
        <w:t>Innovation needs a safe space where there isn’t any blame culture</w:t>
      </w:r>
      <w:r w:rsidR="00A9673C">
        <w:rPr>
          <w:rFonts w:cs="Arial"/>
          <w:color w:val="000000" w:themeColor="text1"/>
        </w:rPr>
        <w:t>,</w:t>
      </w:r>
      <w:r w:rsidRPr="0003652C">
        <w:rPr>
          <w:rFonts w:cs="Arial"/>
          <w:color w:val="000000" w:themeColor="text1"/>
        </w:rPr>
        <w:t xml:space="preserve"> and there isn’t competitive – and I don’t know how you do that…Programme innovation in the current climate might be easier because module leaders </w:t>
      </w:r>
      <w:r w:rsidRPr="0003652C">
        <w:rPr>
          <w:rFonts w:cs="Arial"/>
          <w:color w:val="000000" w:themeColor="text1"/>
        </w:rPr>
        <w:lastRenderedPageBreak/>
        <w:t>don’t have to take responsibility for the innovation. People are retreating into something that is more conservative</w:t>
      </w:r>
      <w:r w:rsidR="00A9673C">
        <w:rPr>
          <w:rFonts w:cs="Arial"/>
          <w:color w:val="000000" w:themeColor="text1"/>
        </w:rPr>
        <w:t>—t</w:t>
      </w:r>
      <w:r w:rsidRPr="0003652C">
        <w:rPr>
          <w:rFonts w:cs="Arial"/>
          <w:color w:val="000000" w:themeColor="text1"/>
        </w:rPr>
        <w:t>he safety net of content</w:t>
      </w:r>
      <w:r w:rsidR="00CA5AC4" w:rsidRPr="0003652C">
        <w:rPr>
          <w:rFonts w:cs="Arial"/>
          <w:color w:val="000000" w:themeColor="text1"/>
        </w:rPr>
        <w:t xml:space="preserve"> (WP).</w:t>
      </w:r>
    </w:p>
    <w:p w14:paraId="06AC43DB" w14:textId="3586E592" w:rsidR="00765E64" w:rsidRPr="0003652C" w:rsidRDefault="00765E64" w:rsidP="0003652C">
      <w:pPr>
        <w:spacing w:line="360" w:lineRule="auto"/>
        <w:jc w:val="both"/>
        <w:rPr>
          <w:rFonts w:cs="Arial"/>
          <w:color w:val="000000" w:themeColor="text1"/>
        </w:rPr>
      </w:pPr>
      <w:r w:rsidRPr="0003652C">
        <w:rPr>
          <w:rFonts w:cs="Arial"/>
          <w:color w:val="000000" w:themeColor="text1"/>
        </w:rPr>
        <w:t xml:space="preserve">There were examples of holistic design that took very different approaches,  based </w:t>
      </w:r>
      <w:r w:rsidRPr="0003652C">
        <w:rPr>
          <w:rFonts w:cs="Arial"/>
        </w:rPr>
        <w:t>on legal skills provision, with</w:t>
      </w:r>
      <w:r w:rsidR="00A9673C">
        <w:rPr>
          <w:rFonts w:cs="Arial"/>
        </w:rPr>
        <w:t>,</w:t>
      </w:r>
      <w:r w:rsidRPr="0003652C">
        <w:rPr>
          <w:rFonts w:cs="Arial"/>
        </w:rPr>
        <w:t xml:space="preserve"> for example</w:t>
      </w:r>
      <w:r w:rsidR="00A9673C">
        <w:rPr>
          <w:rFonts w:cs="Arial"/>
        </w:rPr>
        <w:t>,</w:t>
      </w:r>
      <w:r w:rsidRPr="0003652C">
        <w:rPr>
          <w:rFonts w:cs="Arial"/>
        </w:rPr>
        <w:t xml:space="preserve"> ‘an integrated core, that was going to try to be spiral’ or built around </w:t>
      </w:r>
      <w:r w:rsidR="00A9673C">
        <w:rPr>
          <w:rFonts w:cs="Arial"/>
        </w:rPr>
        <w:t>the</w:t>
      </w:r>
      <w:r w:rsidRPr="0003652C">
        <w:rPr>
          <w:rFonts w:cs="Arial"/>
        </w:rPr>
        <w:t xml:space="preserve"> development of technical skills. </w:t>
      </w:r>
    </w:p>
    <w:p w14:paraId="19B3CE66" w14:textId="77777777" w:rsidR="00765E64" w:rsidRPr="0003652C" w:rsidRDefault="00765E64" w:rsidP="0003652C">
      <w:pPr>
        <w:spacing w:line="360" w:lineRule="auto"/>
        <w:jc w:val="both"/>
        <w:rPr>
          <w:rFonts w:cs="Arial"/>
        </w:rPr>
      </w:pPr>
      <w:r w:rsidRPr="0003652C">
        <w:rPr>
          <w:rFonts w:cs="Arial"/>
          <w:color w:val="000000" w:themeColor="text1"/>
        </w:rPr>
        <w:t>There was also reflection</w:t>
      </w:r>
      <w:r w:rsidRPr="0003652C">
        <w:rPr>
          <w:rFonts w:cs="Arial"/>
        </w:rPr>
        <w:t xml:space="preserve"> from one designer on a more radical attempt to install ‘a truly liberal arts degree’,</w:t>
      </w:r>
    </w:p>
    <w:p w14:paraId="3F26ACD7" w14:textId="71CED030" w:rsidR="00765E64" w:rsidRPr="0003652C" w:rsidRDefault="00765E64" w:rsidP="006370E7">
      <w:pPr>
        <w:spacing w:line="360" w:lineRule="auto"/>
        <w:ind w:left="720"/>
        <w:jc w:val="both"/>
        <w:rPr>
          <w:rFonts w:cs="Arial"/>
          <w:color w:val="000000" w:themeColor="text1"/>
        </w:rPr>
      </w:pPr>
      <w:r w:rsidRPr="0003652C">
        <w:rPr>
          <w:rFonts w:cs="Arial"/>
          <w:color w:val="000000" w:themeColor="text1"/>
        </w:rPr>
        <w:t>I was anti-legal practice – actively persuading students that they don’t want to do it and using case studies where law was the problem</w:t>
      </w:r>
      <w:r w:rsidR="00A9673C">
        <w:rPr>
          <w:rFonts w:cs="Arial"/>
          <w:color w:val="000000" w:themeColor="text1"/>
        </w:rPr>
        <w:t>,</w:t>
      </w:r>
      <w:r w:rsidRPr="0003652C">
        <w:rPr>
          <w:rFonts w:cs="Arial"/>
          <w:color w:val="000000" w:themeColor="text1"/>
        </w:rPr>
        <w:t xml:space="preserve"> not the solution. A proper academic law degree that sticks two fingers up to practice</w:t>
      </w:r>
      <w:r w:rsidR="00CA5AC4" w:rsidRPr="0003652C">
        <w:rPr>
          <w:rFonts w:cs="Arial"/>
          <w:color w:val="000000" w:themeColor="text1"/>
        </w:rPr>
        <w:t xml:space="preserve"> (SS).</w:t>
      </w:r>
    </w:p>
    <w:p w14:paraId="49C18ADF" w14:textId="1321F09A" w:rsidR="00765E64" w:rsidRPr="0003652C" w:rsidRDefault="00765E64" w:rsidP="0003652C">
      <w:pPr>
        <w:spacing w:line="360" w:lineRule="auto"/>
        <w:jc w:val="both"/>
        <w:rPr>
          <w:rFonts w:cs="Arial"/>
        </w:rPr>
      </w:pPr>
      <w:r w:rsidRPr="0003652C">
        <w:rPr>
          <w:rFonts w:cs="Arial"/>
        </w:rPr>
        <w:t>There were reflections on designs that had attempted innovative</w:t>
      </w:r>
      <w:r w:rsidR="00A9673C">
        <w:rPr>
          <w:rFonts w:cs="Arial"/>
        </w:rPr>
        <w:t>,</w:t>
      </w:r>
      <w:r w:rsidRPr="0003652C">
        <w:rPr>
          <w:rFonts w:cs="Arial"/>
        </w:rPr>
        <w:t xml:space="preserve"> holistic approaches but had exposed the risks involved. There were practical challenges here</w:t>
      </w:r>
      <w:r w:rsidR="00A9673C">
        <w:rPr>
          <w:rFonts w:cs="Arial"/>
        </w:rPr>
        <w:t>.</w:t>
      </w:r>
    </w:p>
    <w:p w14:paraId="20F973E4" w14:textId="3A9EDB7C" w:rsidR="00765E64" w:rsidRPr="0003652C" w:rsidRDefault="00765E64" w:rsidP="0003652C">
      <w:pPr>
        <w:spacing w:line="360" w:lineRule="auto"/>
        <w:ind w:left="720"/>
        <w:jc w:val="both"/>
        <w:rPr>
          <w:rFonts w:cs="Arial"/>
        </w:rPr>
      </w:pPr>
      <w:r w:rsidRPr="0003652C">
        <w:rPr>
          <w:rFonts w:cs="Arial"/>
        </w:rPr>
        <w:t>We tried with inquiry-based learning, and it didn’t take off. You have to recruit people who subscribe or are willing to teach the students on that basis</w:t>
      </w:r>
      <w:r w:rsidR="00CA5AC4" w:rsidRPr="0003652C">
        <w:rPr>
          <w:rFonts w:cs="Arial"/>
        </w:rPr>
        <w:t xml:space="preserve"> (SS).</w:t>
      </w:r>
    </w:p>
    <w:p w14:paraId="3E7B551A" w14:textId="18180044" w:rsidR="00306A4F" w:rsidRPr="0003652C" w:rsidRDefault="00765E64" w:rsidP="0003652C">
      <w:pPr>
        <w:spacing w:line="360" w:lineRule="auto"/>
        <w:jc w:val="both"/>
        <w:rPr>
          <w:rFonts w:cs="Arial"/>
          <w:color w:val="000000" w:themeColor="text1"/>
        </w:rPr>
      </w:pPr>
      <w:r w:rsidRPr="0003652C">
        <w:rPr>
          <w:rFonts w:cs="Arial"/>
        </w:rPr>
        <w:t>And,</w:t>
      </w:r>
    </w:p>
    <w:p w14:paraId="0EF31125" w14:textId="3483DC5E" w:rsidR="00765E64" w:rsidRPr="0003652C" w:rsidRDefault="00765E64" w:rsidP="00306A4F">
      <w:pPr>
        <w:spacing w:line="360" w:lineRule="auto"/>
        <w:ind w:left="720"/>
        <w:jc w:val="both"/>
        <w:rPr>
          <w:rFonts w:cs="Arial"/>
          <w:color w:val="000000" w:themeColor="text1"/>
        </w:rPr>
      </w:pPr>
      <w:r w:rsidRPr="0003652C">
        <w:rPr>
          <w:rFonts w:cs="Arial"/>
          <w:color w:val="000000" w:themeColor="text1"/>
        </w:rPr>
        <w:t>With integration</w:t>
      </w:r>
      <w:r w:rsidR="00A9673C">
        <w:rPr>
          <w:rFonts w:cs="Arial"/>
          <w:color w:val="000000" w:themeColor="text1"/>
        </w:rPr>
        <w:t>,</w:t>
      </w:r>
      <w:r w:rsidRPr="0003652C">
        <w:rPr>
          <w:rFonts w:cs="Arial"/>
          <w:color w:val="000000" w:themeColor="text1"/>
        </w:rPr>
        <w:t xml:space="preserve"> there’s a lot of moving parts and actually trying to coordinate it – you just need one bit of it not to function very well</w:t>
      </w:r>
      <w:r w:rsidR="00A9673C">
        <w:rPr>
          <w:rFonts w:cs="Arial"/>
          <w:color w:val="000000" w:themeColor="text1"/>
        </w:rPr>
        <w:t>,</w:t>
      </w:r>
      <w:r w:rsidRPr="0003652C">
        <w:rPr>
          <w:rFonts w:cs="Arial"/>
          <w:color w:val="000000" w:themeColor="text1"/>
        </w:rPr>
        <w:t xml:space="preserve"> and it gets to be problematic</w:t>
      </w:r>
      <w:r w:rsidR="00CA5AC4" w:rsidRPr="0003652C">
        <w:rPr>
          <w:rFonts w:cs="Arial"/>
          <w:color w:val="000000" w:themeColor="text1"/>
        </w:rPr>
        <w:t xml:space="preserve"> (S).</w:t>
      </w:r>
    </w:p>
    <w:p w14:paraId="1DE55EE2" w14:textId="47713E1D" w:rsidR="00765E64" w:rsidRPr="0003652C" w:rsidRDefault="00765E64" w:rsidP="0003652C">
      <w:pPr>
        <w:spacing w:line="360" w:lineRule="auto"/>
        <w:jc w:val="both"/>
        <w:rPr>
          <w:rFonts w:cs="Arial"/>
          <w:color w:val="000000" w:themeColor="text1"/>
        </w:rPr>
      </w:pPr>
      <w:r w:rsidRPr="0003652C">
        <w:rPr>
          <w:rFonts w:cs="Arial"/>
        </w:rPr>
        <w:t>The sustainability of some of the</w:t>
      </w:r>
      <w:r w:rsidR="008C60AD" w:rsidRPr="0003652C">
        <w:rPr>
          <w:rFonts w:cs="Arial"/>
        </w:rPr>
        <w:t>se more holistic</w:t>
      </w:r>
      <w:r w:rsidRPr="0003652C">
        <w:rPr>
          <w:rFonts w:cs="Arial"/>
        </w:rPr>
        <w:t xml:space="preserve"> degree designs was also an issue. The influences on the degrees being based in identities and values, sometimes meant that these were fluid and changing.   The team changes might be positive, allowing for change. However, three </w:t>
      </w:r>
      <w:r w:rsidR="00AA70FC">
        <w:rPr>
          <w:rFonts w:cs="Arial"/>
        </w:rPr>
        <w:t>school</w:t>
      </w:r>
      <w:r w:rsidR="00AA70FC" w:rsidRPr="0003652C">
        <w:rPr>
          <w:rFonts w:cs="Arial"/>
        </w:rPr>
        <w:t xml:space="preserve">s </w:t>
      </w:r>
      <w:r w:rsidRPr="0003652C">
        <w:rPr>
          <w:rFonts w:cs="Arial"/>
        </w:rPr>
        <w:t>across the categories talked of designs being dismantled or ‘rowed back on’ once the leadership in the design changed</w:t>
      </w:r>
      <w:r w:rsidR="00787286">
        <w:rPr>
          <w:rFonts w:cs="Arial"/>
        </w:rPr>
        <w:t>,</w:t>
      </w:r>
      <w:r w:rsidRPr="0003652C">
        <w:rPr>
          <w:rFonts w:cs="Arial"/>
        </w:rPr>
        <w:t xml:space="preserve"> with teams reverting to something that was regarded as more comfortable or safe. Two designers of the more radical designs in the </w:t>
      </w:r>
      <w:r w:rsidR="00AA70FC">
        <w:rPr>
          <w:rFonts w:cs="Arial"/>
        </w:rPr>
        <w:t>school</w:t>
      </w:r>
      <w:r w:rsidR="00AA70FC" w:rsidRPr="0003652C">
        <w:rPr>
          <w:rFonts w:cs="Arial"/>
        </w:rPr>
        <w:t xml:space="preserve">s </w:t>
      </w:r>
      <w:r w:rsidRPr="0003652C">
        <w:rPr>
          <w:rFonts w:cs="Arial"/>
        </w:rPr>
        <w:lastRenderedPageBreak/>
        <w:t>that participated felt that their designs needed them there to champion them, and they couldn’t survive once that leadership changed. Sometime</w:t>
      </w:r>
      <w:r w:rsidR="00A9673C">
        <w:rPr>
          <w:rFonts w:cs="Arial"/>
        </w:rPr>
        <w:t>s</w:t>
      </w:r>
      <w:r w:rsidRPr="0003652C">
        <w:rPr>
          <w:rFonts w:cs="Arial"/>
        </w:rPr>
        <w:t xml:space="preserve"> this was due to </w:t>
      </w:r>
      <w:r w:rsidR="00A9673C">
        <w:rPr>
          <w:rFonts w:cs="Arial"/>
        </w:rPr>
        <w:t>a</w:t>
      </w:r>
      <w:r w:rsidR="00A9673C" w:rsidRPr="0003652C">
        <w:rPr>
          <w:rFonts w:cs="Arial"/>
        </w:rPr>
        <w:t xml:space="preserve"> </w:t>
      </w:r>
      <w:r w:rsidRPr="0003652C">
        <w:rPr>
          <w:rFonts w:cs="Arial"/>
        </w:rPr>
        <w:t xml:space="preserve">lack of resources allocated to the changes, and sometimes to </w:t>
      </w:r>
      <w:r w:rsidRPr="0003652C">
        <w:rPr>
          <w:rFonts w:cs="Arial"/>
          <w:color w:val="000000" w:themeColor="text1"/>
        </w:rPr>
        <w:t xml:space="preserve">a team’s insecurities or ‘small c conservatism’ about whether it would work. </w:t>
      </w:r>
    </w:p>
    <w:p w14:paraId="571BCE69" w14:textId="5E68A9C3" w:rsidR="00765E64" w:rsidRPr="006370E7" w:rsidRDefault="00765E64" w:rsidP="006370E7">
      <w:pPr>
        <w:spacing w:line="360" w:lineRule="auto"/>
        <w:ind w:left="720"/>
        <w:jc w:val="both"/>
        <w:rPr>
          <w:rFonts w:cs="Arial"/>
          <w:color w:val="000000" w:themeColor="text1"/>
        </w:rPr>
      </w:pPr>
      <w:r w:rsidRPr="0003652C">
        <w:rPr>
          <w:rFonts w:cs="Arial"/>
          <w:color w:val="000000" w:themeColor="text1"/>
        </w:rPr>
        <w:t>It's always a bit of a challenge to get people to innovate. They just want to carry on doing it the way they‘ve always done it... There is always a tension between those who innovate and those who are far more traditional</w:t>
      </w:r>
      <w:r w:rsidR="00CA5AC4" w:rsidRPr="0003652C">
        <w:rPr>
          <w:rFonts w:cs="Arial"/>
          <w:color w:val="000000" w:themeColor="text1"/>
        </w:rPr>
        <w:t xml:space="preserve"> (WP).</w:t>
      </w:r>
    </w:p>
    <w:p w14:paraId="509A9459" w14:textId="39DCCFBF" w:rsidR="00765E64" w:rsidRPr="006370E7" w:rsidRDefault="00765E64" w:rsidP="006370E7">
      <w:pPr>
        <w:spacing w:line="360" w:lineRule="auto"/>
        <w:jc w:val="both"/>
        <w:rPr>
          <w:rFonts w:cs="Arial"/>
        </w:rPr>
      </w:pPr>
      <w:r w:rsidRPr="0003652C">
        <w:rPr>
          <w:rFonts w:cs="Arial"/>
        </w:rPr>
        <w:t xml:space="preserve">The impact on the design was evident in the tweaking of modules and a return to what was seen as a more traditional approach, and the leadership was key to keeping the overall design working. </w:t>
      </w:r>
    </w:p>
    <w:p w14:paraId="5539F7D7" w14:textId="36298792" w:rsidR="00765E64" w:rsidRPr="0003652C" w:rsidRDefault="00765E64" w:rsidP="0003652C">
      <w:pPr>
        <w:spacing w:line="360" w:lineRule="auto"/>
        <w:ind w:left="720"/>
        <w:jc w:val="both"/>
        <w:rPr>
          <w:rFonts w:cs="Arial"/>
          <w:color w:val="000000" w:themeColor="text1"/>
        </w:rPr>
      </w:pPr>
      <w:r w:rsidRPr="0003652C">
        <w:rPr>
          <w:rFonts w:cs="Arial"/>
          <w:color w:val="000000" w:themeColor="text1"/>
        </w:rPr>
        <w:t>I don’t think that</w:t>
      </w:r>
      <w:r w:rsidR="00787286">
        <w:rPr>
          <w:rFonts w:cs="Arial"/>
          <w:color w:val="000000" w:themeColor="text1"/>
        </w:rPr>
        <w:t xml:space="preserve"> ha</w:t>
      </w:r>
      <w:r w:rsidRPr="0003652C">
        <w:rPr>
          <w:rFonts w:cs="Arial"/>
          <w:color w:val="000000" w:themeColor="text1"/>
        </w:rPr>
        <w:t xml:space="preserve">s particularly come from a victory for the masses. It’s a particular direction of leadership from the top that has shifted that. It’s still kind of </w:t>
      </w:r>
      <w:r w:rsidR="00A9673C" w:rsidRPr="0003652C">
        <w:rPr>
          <w:rFonts w:cs="Arial"/>
          <w:color w:val="000000" w:themeColor="text1"/>
        </w:rPr>
        <w:t>top</w:t>
      </w:r>
      <w:r w:rsidR="00A9673C">
        <w:rPr>
          <w:rFonts w:cs="Arial"/>
          <w:color w:val="000000" w:themeColor="text1"/>
        </w:rPr>
        <w:t>-</w:t>
      </w:r>
      <w:r w:rsidRPr="0003652C">
        <w:rPr>
          <w:rFonts w:cs="Arial"/>
          <w:color w:val="000000" w:themeColor="text1"/>
        </w:rPr>
        <w:t>down and hierarchically led, but it’s a different person making those decisions</w:t>
      </w:r>
      <w:r w:rsidR="00CA5AC4" w:rsidRPr="0003652C">
        <w:rPr>
          <w:rFonts w:cs="Arial"/>
          <w:color w:val="000000" w:themeColor="text1"/>
        </w:rPr>
        <w:t xml:space="preserve"> (SS).</w:t>
      </w:r>
    </w:p>
    <w:p w14:paraId="2DE80411" w14:textId="7242BE15" w:rsidR="00765E64" w:rsidRPr="0003652C" w:rsidRDefault="00765E64" w:rsidP="0003652C">
      <w:pPr>
        <w:spacing w:line="360" w:lineRule="auto"/>
        <w:jc w:val="both"/>
        <w:rPr>
          <w:rFonts w:cs="Arial"/>
        </w:rPr>
      </w:pPr>
      <w:r w:rsidRPr="0003652C">
        <w:rPr>
          <w:rFonts w:cs="Arial"/>
        </w:rPr>
        <w:t xml:space="preserve">The sense of danger and risk in innovation, especially with a more fluid framework from the ORF, </w:t>
      </w:r>
      <w:r w:rsidR="00A9673C">
        <w:rPr>
          <w:rFonts w:cs="Arial"/>
        </w:rPr>
        <w:t xml:space="preserve">arguably </w:t>
      </w:r>
      <w:r w:rsidRPr="0003652C">
        <w:rPr>
          <w:rFonts w:cs="Arial"/>
        </w:rPr>
        <w:t>provided more autonomy but not necessarily a safe space in which to innovate. Concerns were that ‘students don't want something that's too far, too far out there’ and,</w:t>
      </w:r>
    </w:p>
    <w:p w14:paraId="38F0BA65" w14:textId="21D8FFFC" w:rsidR="00765E64" w:rsidRPr="0003652C" w:rsidRDefault="00765E64" w:rsidP="0003652C">
      <w:pPr>
        <w:spacing w:line="360" w:lineRule="auto"/>
        <w:ind w:left="720"/>
        <w:jc w:val="both"/>
        <w:rPr>
          <w:rFonts w:cs="Arial"/>
        </w:rPr>
      </w:pPr>
      <w:r w:rsidRPr="0003652C">
        <w:rPr>
          <w:rFonts w:cs="Arial"/>
        </w:rPr>
        <w:t xml:space="preserve">Staff </w:t>
      </w:r>
      <w:r w:rsidR="0067602D" w:rsidRPr="0003652C">
        <w:rPr>
          <w:rFonts w:cs="Arial"/>
        </w:rPr>
        <w:t xml:space="preserve">were </w:t>
      </w:r>
      <w:r w:rsidRPr="0003652C">
        <w:rPr>
          <w:rFonts w:cs="Arial"/>
        </w:rPr>
        <w:t>worried perhaps that this is different beyond having a USP</w:t>
      </w:r>
      <w:r w:rsidR="0067602D" w:rsidRPr="0003652C">
        <w:rPr>
          <w:rFonts w:cs="Arial"/>
        </w:rPr>
        <w:t>. Is</w:t>
      </w:r>
      <w:r w:rsidRPr="0003652C">
        <w:rPr>
          <w:rFonts w:cs="Arial"/>
        </w:rPr>
        <w:t xml:space="preserve"> it so different that we’re at risk here of not recruiting, or in putting our students at a disadvantage compared to graduates from other institutions</w:t>
      </w:r>
      <w:r w:rsidR="005D091E" w:rsidRPr="0003652C">
        <w:rPr>
          <w:rFonts w:cs="Arial"/>
        </w:rPr>
        <w:t xml:space="preserve"> (SS),</w:t>
      </w:r>
    </w:p>
    <w:p w14:paraId="50CE2027" w14:textId="058327DD" w:rsidR="00765E64" w:rsidRPr="0003652C" w:rsidRDefault="00765E64" w:rsidP="0003652C">
      <w:pPr>
        <w:spacing w:line="360" w:lineRule="auto"/>
        <w:jc w:val="both"/>
        <w:rPr>
          <w:rFonts w:cs="Arial"/>
        </w:rPr>
      </w:pPr>
      <w:r w:rsidRPr="0003652C">
        <w:rPr>
          <w:rFonts w:cs="Arial"/>
        </w:rPr>
        <w:t>and the more personal implications</w:t>
      </w:r>
      <w:r w:rsidR="00A9673C">
        <w:rPr>
          <w:rFonts w:cs="Arial"/>
        </w:rPr>
        <w:t>?</w:t>
      </w:r>
    </w:p>
    <w:p w14:paraId="0EB4681D" w14:textId="17419552" w:rsidR="00765E64" w:rsidRPr="0003652C" w:rsidRDefault="00765E64" w:rsidP="0003652C">
      <w:pPr>
        <w:spacing w:line="360" w:lineRule="auto"/>
        <w:ind w:left="720"/>
        <w:jc w:val="both"/>
        <w:rPr>
          <w:rFonts w:cs="Arial"/>
        </w:rPr>
      </w:pPr>
      <w:r w:rsidRPr="0003652C">
        <w:rPr>
          <w:rFonts w:cs="Arial"/>
        </w:rPr>
        <w:t>Innovation makes people feel it’s dangerous and risky. With innovation comes risk</w:t>
      </w:r>
      <w:r w:rsidR="00A9673C">
        <w:rPr>
          <w:rFonts w:cs="Arial"/>
        </w:rPr>
        <w:t>,</w:t>
      </w:r>
      <w:r w:rsidRPr="0003652C">
        <w:rPr>
          <w:rFonts w:cs="Arial"/>
        </w:rPr>
        <w:t xml:space="preserve"> and people are literally thinking there’s a risk that I would lose my job if this goes horribly wrong because there are redundancies everywhere</w:t>
      </w:r>
      <w:r w:rsidR="005D091E" w:rsidRPr="0003652C">
        <w:rPr>
          <w:rFonts w:cs="Arial"/>
        </w:rPr>
        <w:t xml:space="preserve"> (WP).</w:t>
      </w:r>
    </w:p>
    <w:p w14:paraId="3A0AE23F" w14:textId="364AB7CC" w:rsidR="00765E64" w:rsidRPr="0003652C" w:rsidRDefault="00765E64" w:rsidP="0003652C">
      <w:pPr>
        <w:spacing w:line="360" w:lineRule="auto"/>
        <w:jc w:val="both"/>
        <w:rPr>
          <w:rFonts w:cs="Arial"/>
        </w:rPr>
      </w:pPr>
      <w:r w:rsidRPr="0003652C">
        <w:rPr>
          <w:rFonts w:cs="Arial"/>
        </w:rPr>
        <w:lastRenderedPageBreak/>
        <w:t xml:space="preserve">There was reticence to engage in holistic approaches or innovation at </w:t>
      </w:r>
      <w:r w:rsidR="00A9673C">
        <w:rPr>
          <w:rFonts w:cs="Arial"/>
        </w:rPr>
        <w:t xml:space="preserve">the </w:t>
      </w:r>
      <w:r w:rsidRPr="0003652C">
        <w:rPr>
          <w:rFonts w:cs="Arial"/>
        </w:rPr>
        <w:t xml:space="preserve">programme level that might be seen </w:t>
      </w:r>
      <w:r w:rsidR="00A9673C">
        <w:rPr>
          <w:rFonts w:cs="Arial"/>
        </w:rPr>
        <w:t>as</w:t>
      </w:r>
      <w:r w:rsidRPr="0003652C">
        <w:rPr>
          <w:rFonts w:cs="Arial"/>
        </w:rPr>
        <w:t xml:space="preserve"> reduc</w:t>
      </w:r>
      <w:r w:rsidR="00A9673C">
        <w:rPr>
          <w:rFonts w:cs="Arial"/>
        </w:rPr>
        <w:t>ing</w:t>
      </w:r>
      <w:r w:rsidRPr="0003652C">
        <w:rPr>
          <w:rFonts w:cs="Arial"/>
        </w:rPr>
        <w:t xml:space="preserve"> choice. </w:t>
      </w:r>
    </w:p>
    <w:p w14:paraId="320156DE" w14:textId="2C1807FB" w:rsidR="00765E64" w:rsidRPr="0003652C" w:rsidRDefault="00765E64" w:rsidP="0003652C">
      <w:pPr>
        <w:pStyle w:val="Heading2"/>
        <w:spacing w:line="360" w:lineRule="auto"/>
        <w:rPr>
          <w:rFonts w:ascii="Arial" w:hAnsi="Arial" w:cs="Arial"/>
        </w:rPr>
      </w:pPr>
      <w:bookmarkStart w:id="95" w:name="_Toc223348884"/>
      <w:r w:rsidRPr="0003652C">
        <w:rPr>
          <w:rFonts w:ascii="Arial" w:hAnsi="Arial" w:cs="Arial"/>
        </w:rPr>
        <w:t>Concluding observations</w:t>
      </w:r>
      <w:bookmarkEnd w:id="95"/>
    </w:p>
    <w:p w14:paraId="335A72DA" w14:textId="379CFA48" w:rsidR="00765E64" w:rsidRPr="0003652C" w:rsidRDefault="00765E64" w:rsidP="0003652C">
      <w:pPr>
        <w:spacing w:line="360" w:lineRule="auto"/>
        <w:jc w:val="both"/>
        <w:rPr>
          <w:rFonts w:cs="Arial"/>
        </w:rPr>
      </w:pPr>
      <w:r w:rsidRPr="0003652C">
        <w:rPr>
          <w:rFonts w:cs="Arial"/>
        </w:rPr>
        <w:t>In this chapter</w:t>
      </w:r>
      <w:r w:rsidR="00A9673C">
        <w:rPr>
          <w:rFonts w:cs="Arial"/>
        </w:rPr>
        <w:t>,</w:t>
      </w:r>
      <w:r w:rsidRPr="0003652C">
        <w:rPr>
          <w:rFonts w:cs="Arial"/>
        </w:rPr>
        <w:t xml:space="preserve"> I have considered the non-disciplinary impact of the influences on the degree, from agendas that change the content of the degree, including those of skills and employability, to the programme</w:t>
      </w:r>
      <w:r w:rsidR="00A9673C">
        <w:rPr>
          <w:rFonts w:cs="Arial"/>
        </w:rPr>
        <w:t>-</w:t>
      </w:r>
      <w:r w:rsidRPr="0003652C">
        <w:rPr>
          <w:rFonts w:cs="Arial"/>
        </w:rPr>
        <w:t xml:space="preserve">level impact on and approaches to design in terms of framing. The former arguably gives rise to challenges with the latter, as the employability and skills agendas further squeeze the space on the degree and require choices to be made by designers as a way forward. I conclude that there are two different approaches apparent in many </w:t>
      </w:r>
      <w:r w:rsidR="00A9673C">
        <w:rPr>
          <w:rFonts w:cs="Arial"/>
        </w:rPr>
        <w:t>designs: either to provide choice to the student whilst they are studying their degree, with pathways through the programmes, or to require that choice is made about the programme, with designers committing to a more focused,</w:t>
      </w:r>
      <w:r w:rsidRPr="0003652C">
        <w:rPr>
          <w:rFonts w:cs="Arial"/>
        </w:rPr>
        <w:t xml:space="preserve"> holistic approach. From the reflections on design</w:t>
      </w:r>
      <w:r w:rsidR="00A9673C">
        <w:rPr>
          <w:rFonts w:cs="Arial"/>
        </w:rPr>
        <w:t>,</w:t>
      </w:r>
      <w:r w:rsidRPr="0003652C">
        <w:rPr>
          <w:rFonts w:cs="Arial"/>
        </w:rPr>
        <w:t xml:space="preserve"> here the two are not combined.  </w:t>
      </w:r>
    </w:p>
    <w:p w14:paraId="5DE72A70" w14:textId="1C3A7732" w:rsidR="008C60AD" w:rsidRPr="0003652C" w:rsidRDefault="00765E64" w:rsidP="0003652C">
      <w:pPr>
        <w:spacing w:line="360" w:lineRule="auto"/>
        <w:jc w:val="both"/>
        <w:rPr>
          <w:rFonts w:cs="Arial"/>
          <w:color w:val="000000" w:themeColor="text1"/>
        </w:rPr>
      </w:pPr>
      <w:r w:rsidRPr="0003652C">
        <w:rPr>
          <w:rFonts w:cs="Arial"/>
        </w:rPr>
        <w:t xml:space="preserve">Looking at this through Bernstein’s lens, the access to powerful knowledge might be better supported with a more integrated and holistic approach to design. The </w:t>
      </w:r>
      <w:r w:rsidR="00A9673C">
        <w:rPr>
          <w:rFonts w:cs="Arial"/>
        </w:rPr>
        <w:t>alternative, in part, engages the generic, which provides less opportunity for deep learning</w:t>
      </w:r>
      <w:r w:rsidRPr="0003652C">
        <w:rPr>
          <w:rFonts w:cs="Arial"/>
        </w:rPr>
        <w:t xml:space="preserve"> and leans towards training, but also presents the programme as compartmentalised, with more than one purpose. </w:t>
      </w:r>
      <w:r w:rsidR="008C60AD" w:rsidRPr="0003652C">
        <w:rPr>
          <w:rFonts w:cs="Arial"/>
          <w:color w:val="000000" w:themeColor="text1"/>
        </w:rPr>
        <w:t xml:space="preserve">In legal education </w:t>
      </w:r>
      <w:r w:rsidR="00D87F81" w:rsidRPr="0003652C">
        <w:rPr>
          <w:rFonts w:cs="Arial"/>
          <w:color w:val="000000" w:themeColor="text1"/>
        </w:rPr>
        <w:t>research</w:t>
      </w:r>
      <w:r w:rsidR="00F477CC">
        <w:rPr>
          <w:rFonts w:cs="Arial"/>
          <w:color w:val="000000" w:themeColor="text1"/>
        </w:rPr>
        <w:t>,</w:t>
      </w:r>
      <w:r w:rsidR="00D87F81" w:rsidRPr="0003652C">
        <w:rPr>
          <w:rFonts w:cs="Arial"/>
          <w:color w:val="000000" w:themeColor="text1"/>
        </w:rPr>
        <w:t xml:space="preserve"> holistic</w:t>
      </w:r>
      <w:r w:rsidR="008C60AD" w:rsidRPr="0003652C">
        <w:rPr>
          <w:rFonts w:cs="Arial"/>
          <w:color w:val="000000" w:themeColor="text1"/>
        </w:rPr>
        <w:t xml:space="preserve"> approaches to law curricula have long been advocated as a means to shift away from not only a compartmentalised presentation of the foundations of legal knowledge, but also away from an outcome-based education towards an emphasis on law as a vehicle to provide a more general education (Twining, 1994; Webb, 1996; Cownie, 2004). This is not a new discussion. Webb criticised learning approaches based on behavioural outcomes for encouraging conformity, and considering how law is received differently, advocating a socio-practical and contextual holistic approach (Webb, 1996). More recently</w:t>
      </w:r>
      <w:r w:rsidR="00306A4F">
        <w:rPr>
          <w:rFonts w:cs="Arial"/>
          <w:color w:val="000000" w:themeColor="text1"/>
        </w:rPr>
        <w:t>,</w:t>
      </w:r>
      <w:r w:rsidR="008C60AD" w:rsidRPr="0003652C">
        <w:rPr>
          <w:rFonts w:cs="Arial"/>
          <w:color w:val="000000" w:themeColor="text1"/>
        </w:rPr>
        <w:t xml:space="preserve"> specific examples are evident in the literature, around the rewriting and decolonisation attempts in many courses (Adebisi &amp; Bales, 2022), on student identity and values, social justice, and emotional inclusion. (Ferris, 201</w:t>
      </w:r>
      <w:r w:rsidR="00985AB5" w:rsidRPr="0003652C">
        <w:rPr>
          <w:rFonts w:cs="Arial"/>
          <w:color w:val="000000" w:themeColor="text1"/>
        </w:rPr>
        <w:t>5</w:t>
      </w:r>
      <w:r w:rsidR="008C60AD" w:rsidRPr="0003652C">
        <w:rPr>
          <w:rFonts w:cs="Arial"/>
          <w:color w:val="000000" w:themeColor="text1"/>
        </w:rPr>
        <w:t xml:space="preserve">; Guth et al., 2021). </w:t>
      </w:r>
    </w:p>
    <w:p w14:paraId="2FF4EC7D" w14:textId="5C0F87BB" w:rsidR="00765E64" w:rsidRPr="0003652C" w:rsidRDefault="00765E64" w:rsidP="0003652C">
      <w:pPr>
        <w:spacing w:line="360" w:lineRule="auto"/>
        <w:jc w:val="both"/>
        <w:rPr>
          <w:rFonts w:cs="Arial"/>
        </w:rPr>
      </w:pPr>
      <w:r w:rsidRPr="0003652C">
        <w:rPr>
          <w:rFonts w:cs="Arial"/>
        </w:rPr>
        <w:lastRenderedPageBreak/>
        <w:t xml:space="preserve">This I return to at the end of the </w:t>
      </w:r>
      <w:r w:rsidR="00D812AC" w:rsidRPr="0003652C">
        <w:rPr>
          <w:rFonts w:cs="Arial"/>
        </w:rPr>
        <w:t>concluding</w:t>
      </w:r>
      <w:r w:rsidRPr="0003652C">
        <w:rPr>
          <w:rFonts w:cs="Arial"/>
        </w:rPr>
        <w:t xml:space="preserve"> chapter</w:t>
      </w:r>
      <w:r w:rsidR="00D87F81" w:rsidRPr="0003652C">
        <w:rPr>
          <w:rFonts w:cs="Arial"/>
        </w:rPr>
        <w:t>.</w:t>
      </w:r>
    </w:p>
    <w:p w14:paraId="62214DD7" w14:textId="77777777" w:rsidR="00765E64" w:rsidRPr="0003652C" w:rsidRDefault="00765E64" w:rsidP="0003652C">
      <w:pPr>
        <w:spacing w:line="360" w:lineRule="auto"/>
        <w:jc w:val="both"/>
        <w:rPr>
          <w:rFonts w:cs="Arial"/>
          <w:color w:val="000000" w:themeColor="text1"/>
        </w:rPr>
      </w:pPr>
    </w:p>
    <w:p w14:paraId="32B40BCF" w14:textId="77777777" w:rsidR="00765E64" w:rsidRPr="00EF0E6B" w:rsidRDefault="00765E64" w:rsidP="00765E64">
      <w:pPr>
        <w:rPr>
          <w:rFonts w:cs="Arial"/>
        </w:rPr>
      </w:pPr>
    </w:p>
    <w:p w14:paraId="27295DEB" w14:textId="77777777" w:rsidR="001000C5" w:rsidRDefault="001000C5">
      <w:pPr>
        <w:spacing w:before="0" w:beforeAutospacing="0" w:after="0" w:line="240" w:lineRule="auto"/>
        <w:rPr>
          <w:rFonts w:cs="Arial"/>
          <w:b/>
          <w:sz w:val="28"/>
          <w:highlight w:val="lightGray"/>
          <w:lang w:val="fr-FR"/>
        </w:rPr>
      </w:pPr>
      <w:r>
        <w:rPr>
          <w:rFonts w:cs="Arial"/>
          <w:highlight w:val="lightGray"/>
          <w:lang w:val="fr-FR"/>
        </w:rPr>
        <w:br w:type="page"/>
      </w:r>
    </w:p>
    <w:p w14:paraId="6BECB338" w14:textId="531EDE3F" w:rsidR="001000C5" w:rsidRPr="008446AA" w:rsidRDefault="00765E64" w:rsidP="008446AA">
      <w:pPr>
        <w:pStyle w:val="Heading1"/>
        <w:numPr>
          <w:ilvl w:val="0"/>
          <w:numId w:val="0"/>
        </w:numPr>
      </w:pPr>
      <w:r w:rsidRPr="008446AA">
        <w:lastRenderedPageBreak/>
        <w:t> </w:t>
      </w:r>
      <w:bookmarkStart w:id="96" w:name="_Toc223348885"/>
      <w:r w:rsidR="001A02F7" w:rsidRPr="008446AA">
        <w:t xml:space="preserve">Chapter 9: </w:t>
      </w:r>
      <w:r w:rsidRPr="008446AA">
        <w:t>Conclusion</w:t>
      </w:r>
      <w:bookmarkEnd w:id="96"/>
    </w:p>
    <w:p w14:paraId="0DDAA2D3" w14:textId="75981A4D" w:rsidR="00765E64" w:rsidRPr="00EF0E6B" w:rsidRDefault="00765E64" w:rsidP="0003652C">
      <w:pPr>
        <w:spacing w:line="360" w:lineRule="auto"/>
        <w:jc w:val="both"/>
        <w:rPr>
          <w:rFonts w:cs="Arial"/>
        </w:rPr>
      </w:pPr>
      <w:r w:rsidRPr="00EF0E6B">
        <w:rPr>
          <w:rFonts w:cs="Arial"/>
        </w:rPr>
        <w:t xml:space="preserve">This investigation has been a journey through the contested spaces in which </w:t>
      </w:r>
      <w:r w:rsidR="006370E7">
        <w:rPr>
          <w:rFonts w:cs="Arial"/>
        </w:rPr>
        <w:t xml:space="preserve">law </w:t>
      </w:r>
      <w:r w:rsidRPr="00EF0E6B">
        <w:rPr>
          <w:rFonts w:cs="Arial"/>
        </w:rPr>
        <w:t>course design takes place, as seen through the lens of the course designers. In the process I have set out to answer two questions</w:t>
      </w:r>
      <w:r w:rsidR="00CD5819">
        <w:rPr>
          <w:rFonts w:cs="Arial"/>
        </w:rPr>
        <w:t>,</w:t>
      </w:r>
    </w:p>
    <w:p w14:paraId="3FBCA7A3" w14:textId="77777777" w:rsidR="00CD5819" w:rsidRPr="00EF0E6B" w:rsidRDefault="00CD5819" w:rsidP="0003652C">
      <w:pPr>
        <w:spacing w:line="360" w:lineRule="auto"/>
        <w:jc w:val="both"/>
        <w:rPr>
          <w:rFonts w:cs="Arial"/>
          <w:color w:val="000000" w:themeColor="text1"/>
        </w:rPr>
      </w:pPr>
      <w:r w:rsidRPr="00EF0E6B">
        <w:rPr>
          <w:rFonts w:cs="Arial"/>
          <w:color w:val="000000" w:themeColor="text1"/>
        </w:rPr>
        <w:t>What influences</w:t>
      </w:r>
      <w:r>
        <w:rPr>
          <w:rFonts w:cs="Arial"/>
          <w:color w:val="000000" w:themeColor="text1"/>
        </w:rPr>
        <w:t xml:space="preserve"> are</w:t>
      </w:r>
      <w:r w:rsidRPr="00EF0E6B">
        <w:rPr>
          <w:rFonts w:cs="Arial"/>
          <w:color w:val="000000" w:themeColor="text1"/>
        </w:rPr>
        <w:t xml:space="preserve"> </w:t>
      </w:r>
      <w:r>
        <w:rPr>
          <w:rFonts w:cs="Arial"/>
          <w:color w:val="000000" w:themeColor="text1"/>
        </w:rPr>
        <w:t>apparent in u</w:t>
      </w:r>
      <w:r w:rsidRPr="00EF0E6B">
        <w:rPr>
          <w:rFonts w:cs="Arial"/>
          <w:color w:val="000000" w:themeColor="text1"/>
        </w:rPr>
        <w:t>ndergraduate law course design?</w:t>
      </w:r>
    </w:p>
    <w:p w14:paraId="4377DEDF" w14:textId="77777777" w:rsidR="00CD5819" w:rsidRPr="00EF0E6B" w:rsidRDefault="00CD5819" w:rsidP="0003652C">
      <w:pPr>
        <w:spacing w:line="360" w:lineRule="auto"/>
        <w:jc w:val="both"/>
        <w:rPr>
          <w:rFonts w:cs="Arial"/>
          <w:color w:val="000000" w:themeColor="text1"/>
        </w:rPr>
      </w:pPr>
      <w:r w:rsidRPr="00EF0E6B">
        <w:rPr>
          <w:rFonts w:cs="Arial"/>
          <w:color w:val="000000" w:themeColor="text1"/>
        </w:rPr>
        <w:t xml:space="preserve">What impact are these </w:t>
      </w:r>
      <w:r w:rsidRPr="008145D9">
        <w:rPr>
          <w:rFonts w:cs="Arial"/>
          <w:color w:val="000000" w:themeColor="text1"/>
        </w:rPr>
        <w:t>influences understood to have</w:t>
      </w:r>
      <w:r w:rsidRPr="00EF0E6B">
        <w:rPr>
          <w:rFonts w:cs="Arial"/>
          <w:color w:val="000000" w:themeColor="text1"/>
        </w:rPr>
        <w:t xml:space="preserve"> on the course design?</w:t>
      </w:r>
    </w:p>
    <w:p w14:paraId="728A6FC5" w14:textId="16F1BA20" w:rsidR="00765E64" w:rsidRDefault="00CD5819" w:rsidP="0003652C">
      <w:pPr>
        <w:spacing w:line="360" w:lineRule="auto"/>
        <w:jc w:val="both"/>
        <w:rPr>
          <w:rFonts w:cs="Arial"/>
          <w:color w:val="000000" w:themeColor="text1"/>
        </w:rPr>
      </w:pPr>
      <w:r>
        <w:rPr>
          <w:rFonts w:cs="Arial"/>
        </w:rPr>
        <w:t xml:space="preserve">In answering these questions, </w:t>
      </w:r>
      <w:r w:rsidRPr="00EF0E6B">
        <w:rPr>
          <w:rFonts w:cs="Arial"/>
        </w:rPr>
        <w:t xml:space="preserve">I have presented the dynamics of the influences </w:t>
      </w:r>
      <w:r>
        <w:rPr>
          <w:rFonts w:cs="Arial"/>
        </w:rPr>
        <w:t>and their relationships with each other, and so the power and control structures that exist and have an impact that</w:t>
      </w:r>
      <w:r w:rsidRPr="00EF0E6B">
        <w:rPr>
          <w:rFonts w:cs="Arial"/>
        </w:rPr>
        <w:t xml:space="preserve"> shape</w:t>
      </w:r>
      <w:r>
        <w:rPr>
          <w:rFonts w:cs="Arial"/>
        </w:rPr>
        <w:t>s</w:t>
      </w:r>
      <w:r w:rsidRPr="00EF0E6B">
        <w:rPr>
          <w:rFonts w:cs="Arial"/>
        </w:rPr>
        <w:t xml:space="preserve"> undergraduate law course design.</w:t>
      </w:r>
      <w:r>
        <w:rPr>
          <w:rFonts w:cs="Arial"/>
        </w:rPr>
        <w:t xml:space="preserve"> </w:t>
      </w:r>
      <w:r w:rsidR="001A02F7">
        <w:rPr>
          <w:rFonts w:cs="Arial"/>
        </w:rPr>
        <w:t xml:space="preserve">This investigation draws conclusions about the utility and adaptation of Bernstein’s theory of pedagogy that may be useful within the context of wider research on course design, as well as contributing to the ongoing discussion and research in legal education. I turn to these in turn below to highlight the contribution this investigation makes to current research. </w:t>
      </w:r>
      <w:r>
        <w:rPr>
          <w:rFonts w:cs="Arial"/>
        </w:rPr>
        <w:t xml:space="preserve">Ultimately this research may provide a step towards an assessment of what this </w:t>
      </w:r>
      <w:r w:rsidRPr="00CD5819">
        <w:rPr>
          <w:rFonts w:cs="Arial"/>
        </w:rPr>
        <w:t xml:space="preserve">might </w:t>
      </w:r>
      <w:r w:rsidR="00765E64" w:rsidRPr="00CD5819">
        <w:rPr>
          <w:rFonts w:cs="Arial"/>
          <w:color w:val="000000" w:themeColor="text1"/>
        </w:rPr>
        <w:t>mean for students’ access to and understanding of knowledge and the wider discipline</w:t>
      </w:r>
      <w:r w:rsidRPr="00CD5819">
        <w:rPr>
          <w:rFonts w:cs="Arial"/>
          <w:color w:val="000000" w:themeColor="text1"/>
        </w:rPr>
        <w:t>.</w:t>
      </w:r>
      <w:r>
        <w:rPr>
          <w:rFonts w:cs="Arial"/>
          <w:color w:val="000000" w:themeColor="text1"/>
        </w:rPr>
        <w:t xml:space="preserve"> </w:t>
      </w:r>
    </w:p>
    <w:p w14:paraId="1DDF2DA1" w14:textId="77777777" w:rsidR="001A02F7" w:rsidRDefault="001A02F7" w:rsidP="008446AA">
      <w:pPr>
        <w:pStyle w:val="Heading2"/>
        <w:numPr>
          <w:ilvl w:val="0"/>
          <w:numId w:val="0"/>
        </w:numPr>
      </w:pPr>
      <w:bookmarkStart w:id="97" w:name="_Toc223348886"/>
      <w:r>
        <w:t>9.1. The utility and adaptation of Bernstein’s theory of pedagogy</w:t>
      </w:r>
      <w:bookmarkEnd w:id="97"/>
    </w:p>
    <w:p w14:paraId="15E62D1E" w14:textId="77777777" w:rsidR="001A02F7" w:rsidRDefault="001A02F7" w:rsidP="001A02F7">
      <w:pPr>
        <w:spacing w:line="360" w:lineRule="auto"/>
        <w:jc w:val="both"/>
        <w:rPr>
          <w:rFonts w:cs="Arial"/>
          <w:color w:val="000000" w:themeColor="text1"/>
        </w:rPr>
      </w:pPr>
      <w:r>
        <w:rPr>
          <w:rFonts w:cs="Arial"/>
          <w:color w:val="000000" w:themeColor="text1"/>
        </w:rPr>
        <w:t>Bernstein provides a framework that was originally developed in the context of secondary education. It has been adapted and shown to be relevant to the arguably more fluid boundaries present in higher education (Shay, 2008). The framework and its adaptation elsewhere (Annala, 2022) have proved invaluable in providing a structure within which this investigation can fit. The theory has also been conceptually important in considering the non-nuetral mechanisms of course design, and wider perceptions of ‘quality’ in higher education (McLean et al., 2018).</w:t>
      </w:r>
    </w:p>
    <w:p w14:paraId="3A5D9125" w14:textId="7972C4D2" w:rsidR="001A02F7" w:rsidRDefault="001A02F7" w:rsidP="001A02F7">
      <w:pPr>
        <w:spacing w:line="360" w:lineRule="auto"/>
        <w:jc w:val="both"/>
        <w:rPr>
          <w:rFonts w:cs="Arial"/>
          <w:color w:val="000000" w:themeColor="text1"/>
        </w:rPr>
      </w:pPr>
      <w:r>
        <w:rPr>
          <w:rFonts w:cs="Arial"/>
          <w:color w:val="000000" w:themeColor="text1"/>
        </w:rPr>
        <w:t xml:space="preserve">Whilst invaluable, the framework has been adapted here to incorporate changes in higher education and the specific nature of legal education. Bernstein presents the state as being the agent in the ORF for secondary education and reflects on </w:t>
      </w:r>
      <w:r>
        <w:rPr>
          <w:rFonts w:cs="Arial"/>
          <w:color w:val="000000" w:themeColor="text1"/>
        </w:rPr>
        <w:lastRenderedPageBreak/>
        <w:t>this being lacking in higher education</w:t>
      </w:r>
      <w:r w:rsidR="00A446E0">
        <w:rPr>
          <w:rFonts w:cs="Arial"/>
          <w:color w:val="000000" w:themeColor="text1"/>
        </w:rPr>
        <w:t xml:space="preserve"> (Bernstein, 2000)</w:t>
      </w:r>
      <w:r>
        <w:rPr>
          <w:rFonts w:cs="Arial"/>
          <w:color w:val="000000" w:themeColor="text1"/>
        </w:rPr>
        <w:t>. Here I argue, supporting wider educational research, that the state is increasingly present as an influence in higher education. Whilst there is an argument to say that the state has withdrawn from prescribing elements of higher education and deferred this responsibility to the market (Thornton, 2007), this investigation points to a growing indirect pressure from the state, facilitated by universities as gatekeepers. This is one that is felt even more so in legal education due to the withdrawal of the professional regulatory bodies</w:t>
      </w:r>
      <w:r w:rsidR="00A446E0">
        <w:rPr>
          <w:rFonts w:cs="Arial"/>
          <w:color w:val="000000" w:themeColor="text1"/>
        </w:rPr>
        <w:t xml:space="preserve"> as discussed in </w:t>
      </w:r>
      <w:r w:rsidR="009D5113">
        <w:rPr>
          <w:rFonts w:cs="Arial"/>
          <w:color w:val="000000" w:themeColor="text1"/>
        </w:rPr>
        <w:t>C</w:t>
      </w:r>
      <w:r w:rsidR="00A446E0">
        <w:rPr>
          <w:rFonts w:cs="Arial"/>
          <w:color w:val="000000" w:themeColor="text1"/>
        </w:rPr>
        <w:t xml:space="preserve">hapter </w:t>
      </w:r>
      <w:r w:rsidR="009D5113">
        <w:rPr>
          <w:rFonts w:cs="Arial"/>
          <w:color w:val="000000" w:themeColor="text1"/>
        </w:rPr>
        <w:t>Five</w:t>
      </w:r>
      <w:r w:rsidR="00A446E0">
        <w:rPr>
          <w:rFonts w:cs="Arial"/>
          <w:color w:val="000000" w:themeColor="text1"/>
        </w:rPr>
        <w:t xml:space="preserve"> (S</w:t>
      </w:r>
      <w:r w:rsidR="00035D03">
        <w:rPr>
          <w:rFonts w:cs="Arial"/>
          <w:color w:val="000000" w:themeColor="text1"/>
        </w:rPr>
        <w:t xml:space="preserve">ee </w:t>
      </w:r>
      <w:r w:rsidR="00A446E0">
        <w:rPr>
          <w:rFonts w:cs="Arial"/>
          <w:color w:val="000000" w:themeColor="text1"/>
        </w:rPr>
        <w:t>5.2.3.1)</w:t>
      </w:r>
      <w:r>
        <w:rPr>
          <w:rFonts w:cs="Arial"/>
          <w:color w:val="000000" w:themeColor="text1"/>
        </w:rPr>
        <w:t>. These findings reflect wider research that highlights increasing managerialism and the reconstruction of policy (H</w:t>
      </w:r>
      <w:r w:rsidR="00782640">
        <w:rPr>
          <w:rFonts w:cs="Arial"/>
          <w:color w:val="000000" w:themeColor="text1"/>
        </w:rPr>
        <w:t>o</w:t>
      </w:r>
      <w:r>
        <w:rPr>
          <w:rFonts w:cs="Arial"/>
          <w:color w:val="000000" w:themeColor="text1"/>
        </w:rPr>
        <w:t>rrod, 2023</w:t>
      </w:r>
      <w:r w:rsidR="00306A4F">
        <w:rPr>
          <w:rFonts w:cs="Arial"/>
          <w:color w:val="000000" w:themeColor="text1"/>
        </w:rPr>
        <w:t>) but</w:t>
      </w:r>
      <w:r>
        <w:rPr>
          <w:rFonts w:cs="Arial"/>
          <w:color w:val="000000" w:themeColor="text1"/>
        </w:rPr>
        <w:t xml:space="preserve"> evidences it specifically in the context of legal education. It was therefore necessary to adapt Bernstein specifically to include the ORF and acknowledge the relocation of explicit and implicit influences with legal education.</w:t>
      </w:r>
    </w:p>
    <w:p w14:paraId="32960997" w14:textId="2AE6C4FC" w:rsidR="001A02F7" w:rsidRDefault="001A02F7" w:rsidP="001A02F7">
      <w:pPr>
        <w:spacing w:line="360" w:lineRule="auto"/>
        <w:jc w:val="both"/>
        <w:rPr>
          <w:rFonts w:cs="Arial"/>
          <w:color w:val="000000" w:themeColor="text1"/>
        </w:rPr>
      </w:pPr>
      <w:r>
        <w:rPr>
          <w:rFonts w:cs="Arial"/>
          <w:color w:val="000000" w:themeColor="text1"/>
        </w:rPr>
        <w:t xml:space="preserve">The placement of the university in the PRF for this investigation was important. As is presented in </w:t>
      </w:r>
      <w:r w:rsidR="009D5113">
        <w:rPr>
          <w:rFonts w:cs="Arial"/>
          <w:color w:val="000000" w:themeColor="text1"/>
        </w:rPr>
        <w:t>C</w:t>
      </w:r>
      <w:r>
        <w:rPr>
          <w:rFonts w:cs="Arial"/>
          <w:color w:val="000000" w:themeColor="text1"/>
        </w:rPr>
        <w:t xml:space="preserve">hapter </w:t>
      </w:r>
      <w:r w:rsidR="009D5113">
        <w:rPr>
          <w:rFonts w:cs="Arial"/>
          <w:color w:val="000000" w:themeColor="text1"/>
        </w:rPr>
        <w:t>Fi</w:t>
      </w:r>
      <w:r>
        <w:rPr>
          <w:rFonts w:cs="Arial"/>
          <w:color w:val="000000" w:themeColor="text1"/>
        </w:rPr>
        <w:t xml:space="preserve">ve, the perception of the university was often not distinguished from that of the state, as the former was often seen to be the facilitator of state neoliberal policies. This is not a new perspective in legal education as the university is seen to contribute to the efficiency that is demanded </w:t>
      </w:r>
      <w:r w:rsidR="00A446E0">
        <w:rPr>
          <w:rFonts w:cs="Arial"/>
          <w:color w:val="000000" w:themeColor="text1"/>
        </w:rPr>
        <w:t>by increased</w:t>
      </w:r>
      <w:r>
        <w:rPr>
          <w:rFonts w:cs="Arial"/>
          <w:color w:val="000000" w:themeColor="text1"/>
        </w:rPr>
        <w:t xml:space="preserve"> regulation in higher education (Bradney et al., 2020). Whilst Bernstein suggests that insecurity or weakeness in the ORF might provide more autonomy in the PRF, as discussed in </w:t>
      </w:r>
      <w:r w:rsidR="009D5113">
        <w:rPr>
          <w:rFonts w:cs="Arial"/>
          <w:color w:val="000000" w:themeColor="text1"/>
        </w:rPr>
        <w:t>Chapter S</w:t>
      </w:r>
      <w:r>
        <w:rPr>
          <w:rFonts w:cs="Arial"/>
          <w:color w:val="000000" w:themeColor="text1"/>
        </w:rPr>
        <w:t>ix, that is not a perception of autonomy that is consistently reflected in these findings.</w:t>
      </w:r>
    </w:p>
    <w:p w14:paraId="5D06D061" w14:textId="494BF92A" w:rsidR="001A02F7" w:rsidRPr="00EF0E6B" w:rsidRDefault="001A02F7" w:rsidP="0003652C">
      <w:pPr>
        <w:spacing w:line="360" w:lineRule="auto"/>
        <w:jc w:val="both"/>
        <w:rPr>
          <w:rFonts w:cs="Arial"/>
          <w:color w:val="000000" w:themeColor="text1"/>
        </w:rPr>
      </w:pPr>
      <w:r>
        <w:rPr>
          <w:rFonts w:cs="Arial"/>
          <w:color w:val="000000" w:themeColor="text1"/>
        </w:rPr>
        <w:t xml:space="preserve">Law schools have long been deferential to the legal profession, but their relationship to the state is less discussed (Burden, 2020), possibly due to the continued market value of the discipline and that pre-existing relationship with the profession. Whilst Bernstein’s framework enabled the separation of the external and internal influences and an interrogation of power, increasing or decreasing in the ORF and PRF, the investigation also highlights the limitation of the framework here as discussed in </w:t>
      </w:r>
      <w:r w:rsidR="009D5113">
        <w:rPr>
          <w:rFonts w:cs="Arial"/>
          <w:color w:val="000000" w:themeColor="text1"/>
        </w:rPr>
        <w:t>C</w:t>
      </w:r>
      <w:r>
        <w:rPr>
          <w:rFonts w:cs="Arial"/>
          <w:color w:val="000000" w:themeColor="text1"/>
        </w:rPr>
        <w:t xml:space="preserve">hapter </w:t>
      </w:r>
      <w:r w:rsidR="009D5113">
        <w:rPr>
          <w:rFonts w:cs="Arial"/>
          <w:color w:val="000000" w:themeColor="text1"/>
        </w:rPr>
        <w:t>T</w:t>
      </w:r>
      <w:r>
        <w:rPr>
          <w:rFonts w:cs="Arial"/>
          <w:color w:val="000000" w:themeColor="text1"/>
        </w:rPr>
        <w:t xml:space="preserve">hree, the linear relationship between the ORF and the PRF envisaged does not always reflect the more cyclical and symbiotic relationship that legal education has with the profession. The profession influences research and then the curriculum, whilst research, </w:t>
      </w:r>
      <w:r>
        <w:rPr>
          <w:rFonts w:cs="Arial"/>
          <w:color w:val="000000" w:themeColor="text1"/>
        </w:rPr>
        <w:lastRenderedPageBreak/>
        <w:t xml:space="preserve">sometimes recontextualised for the purpose of education, influences the profession. </w:t>
      </w:r>
    </w:p>
    <w:p w14:paraId="00FBCF4B" w14:textId="33077E0A" w:rsidR="00765E64" w:rsidRPr="00EF0E6B" w:rsidRDefault="001A02F7" w:rsidP="0003652C">
      <w:pPr>
        <w:spacing w:line="360" w:lineRule="auto"/>
        <w:jc w:val="both"/>
        <w:rPr>
          <w:rFonts w:cs="Arial"/>
          <w:color w:val="000000" w:themeColor="text1"/>
        </w:rPr>
      </w:pPr>
      <w:r>
        <w:rPr>
          <w:rFonts w:cs="Arial"/>
          <w:color w:val="000000" w:themeColor="text1"/>
        </w:rPr>
        <w:t xml:space="preserve">Bearing these adaptations and limitations in mind, </w:t>
      </w:r>
      <w:r w:rsidR="00765E64" w:rsidRPr="00EF0E6B">
        <w:rPr>
          <w:rFonts w:cs="Arial"/>
          <w:color w:val="000000" w:themeColor="text1"/>
        </w:rPr>
        <w:t>Bernstein’s pedagogic device, and the recontextuali</w:t>
      </w:r>
      <w:r w:rsidR="00787286">
        <w:rPr>
          <w:rFonts w:cs="Arial"/>
          <w:color w:val="000000" w:themeColor="text1"/>
        </w:rPr>
        <w:t>s</w:t>
      </w:r>
      <w:r w:rsidR="00765E64" w:rsidRPr="00EF0E6B">
        <w:rPr>
          <w:rFonts w:cs="Arial"/>
          <w:color w:val="000000" w:themeColor="text1"/>
        </w:rPr>
        <w:t xml:space="preserve">ation rules in particular, </w:t>
      </w:r>
      <w:r>
        <w:rPr>
          <w:rFonts w:cs="Arial"/>
          <w:color w:val="000000" w:themeColor="text1"/>
        </w:rPr>
        <w:t xml:space="preserve">have been used here </w:t>
      </w:r>
      <w:r w:rsidR="00CD5819">
        <w:rPr>
          <w:rFonts w:cs="Arial"/>
          <w:color w:val="000000" w:themeColor="text1"/>
        </w:rPr>
        <w:t>to interrogate</w:t>
      </w:r>
      <w:r w:rsidR="00765E64" w:rsidRPr="00EF0E6B">
        <w:rPr>
          <w:rFonts w:cs="Arial"/>
          <w:color w:val="000000" w:themeColor="text1"/>
        </w:rPr>
        <w:t xml:space="preserve"> course design at the behest of the agents in the </w:t>
      </w:r>
      <w:r w:rsidR="00CD5819">
        <w:rPr>
          <w:rFonts w:cs="Arial"/>
          <w:color w:val="000000" w:themeColor="text1"/>
        </w:rPr>
        <w:t>o</w:t>
      </w:r>
      <w:r w:rsidR="0075156B">
        <w:rPr>
          <w:rFonts w:cs="Arial"/>
          <w:color w:val="000000" w:themeColor="text1"/>
        </w:rPr>
        <w:t>fficial recontextualising field</w:t>
      </w:r>
      <w:r w:rsidR="00765E64" w:rsidRPr="00EF0E6B">
        <w:rPr>
          <w:rFonts w:cs="Arial"/>
          <w:color w:val="000000" w:themeColor="text1"/>
        </w:rPr>
        <w:t xml:space="preserve"> and the </w:t>
      </w:r>
      <w:r w:rsidR="00CD5819">
        <w:rPr>
          <w:rFonts w:cs="Arial"/>
          <w:color w:val="000000" w:themeColor="text1"/>
        </w:rPr>
        <w:t>p</w:t>
      </w:r>
      <w:r w:rsidR="0075156B">
        <w:rPr>
          <w:rFonts w:cs="Arial"/>
          <w:color w:val="000000" w:themeColor="text1"/>
        </w:rPr>
        <w:t>edagogic recontextualising field</w:t>
      </w:r>
      <w:r w:rsidR="00765E64" w:rsidRPr="00EF0E6B">
        <w:rPr>
          <w:rFonts w:cs="Arial"/>
          <w:color w:val="000000" w:themeColor="text1"/>
        </w:rPr>
        <w:t xml:space="preserve">. I answer the first research question, </w:t>
      </w:r>
      <w:r w:rsidR="00EF0D82" w:rsidRPr="00EF0E6B">
        <w:rPr>
          <w:rFonts w:cs="Arial"/>
          <w:color w:val="000000" w:themeColor="text1"/>
        </w:rPr>
        <w:t>what</w:t>
      </w:r>
      <w:r w:rsidR="00CD5819" w:rsidRPr="00EF0E6B">
        <w:rPr>
          <w:rFonts w:cs="Arial"/>
          <w:color w:val="000000" w:themeColor="text1"/>
        </w:rPr>
        <w:t xml:space="preserve"> influences</w:t>
      </w:r>
      <w:r w:rsidR="00CD5819">
        <w:rPr>
          <w:rFonts w:cs="Arial"/>
          <w:color w:val="000000" w:themeColor="text1"/>
        </w:rPr>
        <w:t xml:space="preserve"> are</w:t>
      </w:r>
      <w:r w:rsidR="00CD5819" w:rsidRPr="00EF0E6B">
        <w:rPr>
          <w:rFonts w:cs="Arial"/>
          <w:color w:val="000000" w:themeColor="text1"/>
        </w:rPr>
        <w:t xml:space="preserve"> </w:t>
      </w:r>
      <w:r w:rsidR="00CD5819">
        <w:rPr>
          <w:rFonts w:cs="Arial"/>
          <w:color w:val="000000" w:themeColor="text1"/>
        </w:rPr>
        <w:t>apparent in u</w:t>
      </w:r>
      <w:r w:rsidR="00CD5819" w:rsidRPr="00EF0E6B">
        <w:rPr>
          <w:rFonts w:cs="Arial"/>
          <w:color w:val="000000" w:themeColor="text1"/>
        </w:rPr>
        <w:t>ndergraduate law course design</w:t>
      </w:r>
      <w:r w:rsidR="00765E64" w:rsidRPr="00EF0E6B">
        <w:rPr>
          <w:rFonts w:cs="Arial"/>
          <w:color w:val="000000" w:themeColor="text1"/>
        </w:rPr>
        <w:t xml:space="preserve">, by considering </w:t>
      </w:r>
      <w:r w:rsidR="00CD5819">
        <w:rPr>
          <w:rFonts w:cs="Arial"/>
          <w:color w:val="000000" w:themeColor="text1"/>
        </w:rPr>
        <w:t xml:space="preserve">in </w:t>
      </w:r>
      <w:r w:rsidR="009D5113">
        <w:rPr>
          <w:rFonts w:cs="Arial"/>
          <w:color w:val="000000" w:themeColor="text1"/>
        </w:rPr>
        <w:t>C</w:t>
      </w:r>
      <w:r w:rsidR="00CD5819">
        <w:rPr>
          <w:rFonts w:cs="Arial"/>
          <w:color w:val="000000" w:themeColor="text1"/>
        </w:rPr>
        <w:t xml:space="preserve">hapters </w:t>
      </w:r>
      <w:r w:rsidR="009D5113">
        <w:rPr>
          <w:rFonts w:cs="Arial"/>
          <w:color w:val="000000" w:themeColor="text1"/>
        </w:rPr>
        <w:t>S</w:t>
      </w:r>
      <w:r w:rsidR="00CD5819">
        <w:rPr>
          <w:rFonts w:cs="Arial"/>
          <w:color w:val="000000" w:themeColor="text1"/>
        </w:rPr>
        <w:t xml:space="preserve">ix and </w:t>
      </w:r>
      <w:r w:rsidR="009D5113">
        <w:rPr>
          <w:rFonts w:cs="Arial"/>
          <w:color w:val="000000" w:themeColor="text1"/>
        </w:rPr>
        <w:t>S</w:t>
      </w:r>
      <w:r w:rsidR="00CD5819">
        <w:rPr>
          <w:rFonts w:cs="Arial"/>
          <w:color w:val="000000" w:themeColor="text1"/>
        </w:rPr>
        <w:t xml:space="preserve">even, </w:t>
      </w:r>
      <w:r w:rsidR="00765E64" w:rsidRPr="00EF0E6B">
        <w:rPr>
          <w:rFonts w:cs="Arial"/>
          <w:color w:val="000000" w:themeColor="text1"/>
        </w:rPr>
        <w:t xml:space="preserve">the agents that exist in the ORF and the PRF, and how the power and control respectively is likely to play a part both between these two fields and within them.  These agents influence the programme design. The second research question then considers how this power and control play out in practice to establish the impact of the influence, </w:t>
      </w:r>
      <w:r w:rsidR="00EF0D82">
        <w:rPr>
          <w:rFonts w:cs="Arial"/>
          <w:color w:val="000000" w:themeColor="text1"/>
        </w:rPr>
        <w:t xml:space="preserve">directly and indirectly, </w:t>
      </w:r>
      <w:r w:rsidR="00EF0D82" w:rsidRPr="00EF0E6B">
        <w:rPr>
          <w:rFonts w:cs="Arial"/>
          <w:color w:val="000000" w:themeColor="text1"/>
        </w:rPr>
        <w:t>on</w:t>
      </w:r>
      <w:r w:rsidR="00765E64" w:rsidRPr="00EF0E6B">
        <w:rPr>
          <w:rFonts w:cs="Arial"/>
          <w:color w:val="000000" w:themeColor="text1"/>
        </w:rPr>
        <w:t xml:space="preserve"> the disciplinary and non-disciplinary knowledge represented in the design. Together, and utilising Berstein’s codes</w:t>
      </w:r>
      <w:r w:rsidR="00EF0D82">
        <w:rPr>
          <w:rFonts w:cs="Arial"/>
          <w:color w:val="000000" w:themeColor="text1"/>
        </w:rPr>
        <w:t xml:space="preserve"> the implications of what knowledge, and how it is presented within undergraduate programmes is then discussed. What this actually means for students’ access to knowledge is not tested in this investigation</w:t>
      </w:r>
      <w:r>
        <w:rPr>
          <w:rFonts w:cs="Arial"/>
          <w:color w:val="000000" w:themeColor="text1"/>
        </w:rPr>
        <w:t>. However,</w:t>
      </w:r>
      <w:r w:rsidR="00EF0D82">
        <w:rPr>
          <w:rFonts w:cs="Arial"/>
          <w:color w:val="000000" w:themeColor="text1"/>
        </w:rPr>
        <w:t xml:space="preserve"> the findings provide a foundation from which to consider the students’ </w:t>
      </w:r>
      <w:r w:rsidR="00765E64" w:rsidRPr="00EF0E6B">
        <w:rPr>
          <w:rFonts w:cs="Arial"/>
          <w:color w:val="000000" w:themeColor="text1"/>
        </w:rPr>
        <w:t>understanding of knowledge and the wider discipline</w:t>
      </w:r>
      <w:r w:rsidR="00EF0D82">
        <w:rPr>
          <w:rFonts w:cs="Arial"/>
          <w:color w:val="000000" w:themeColor="text1"/>
        </w:rPr>
        <w:t xml:space="preserve">. </w:t>
      </w:r>
    </w:p>
    <w:p w14:paraId="574C2DC3" w14:textId="15703559" w:rsidR="00765E64" w:rsidRPr="00EF0E6B" w:rsidRDefault="00765E64" w:rsidP="0003652C">
      <w:pPr>
        <w:spacing w:line="360" w:lineRule="auto"/>
        <w:jc w:val="both"/>
        <w:rPr>
          <w:rFonts w:cs="Arial"/>
          <w:color w:val="000000" w:themeColor="text1"/>
        </w:rPr>
      </w:pPr>
      <w:r w:rsidRPr="00EF0E6B">
        <w:rPr>
          <w:rFonts w:cs="Arial"/>
          <w:color w:val="000000" w:themeColor="text1"/>
        </w:rPr>
        <w:t>The findings and resultant discussion present the ORF as an arena in which the regional nature of law remains as it vies between t</w:t>
      </w:r>
      <w:r w:rsidR="00EF0D82">
        <w:rPr>
          <w:rFonts w:cs="Arial"/>
          <w:color w:val="000000" w:themeColor="text1"/>
        </w:rPr>
        <w:t>he academic</w:t>
      </w:r>
      <w:r w:rsidRPr="00EF0E6B">
        <w:rPr>
          <w:rFonts w:cs="Arial"/>
          <w:color w:val="000000" w:themeColor="text1"/>
        </w:rPr>
        <w:t xml:space="preserve"> and the professional world. </w:t>
      </w:r>
      <w:r w:rsidR="001A02F7">
        <w:rPr>
          <w:rFonts w:cs="Arial"/>
          <w:color w:val="000000" w:themeColor="text1"/>
        </w:rPr>
        <w:t>T</w:t>
      </w:r>
      <w:r w:rsidRPr="00EF0E6B">
        <w:rPr>
          <w:rFonts w:cs="Arial"/>
          <w:color w:val="000000" w:themeColor="text1"/>
        </w:rPr>
        <w:t>here is some relocation in the ORF as the regulatory bodies remove themselves from the accreditation role</w:t>
      </w:r>
      <w:r w:rsidR="001A02F7">
        <w:rPr>
          <w:rFonts w:cs="Arial"/>
          <w:color w:val="000000" w:themeColor="text1"/>
        </w:rPr>
        <w:t xml:space="preserve"> and there is an</w:t>
      </w:r>
      <w:r w:rsidRPr="00EF0E6B">
        <w:rPr>
          <w:rFonts w:cs="Arial"/>
          <w:color w:val="000000" w:themeColor="text1"/>
        </w:rPr>
        <w:t xml:space="preserve"> explicit removal of this power, but </w:t>
      </w:r>
      <w:r w:rsidR="001A02F7">
        <w:rPr>
          <w:rFonts w:cs="Arial"/>
          <w:color w:val="000000" w:themeColor="text1"/>
        </w:rPr>
        <w:t xml:space="preserve">there is </w:t>
      </w:r>
      <w:r w:rsidRPr="00EF0E6B">
        <w:rPr>
          <w:rFonts w:cs="Arial"/>
          <w:color w:val="000000" w:themeColor="text1"/>
        </w:rPr>
        <w:t xml:space="preserve">also an implicit removal of the boundaries between the academic and vocational stages of education, and so </w:t>
      </w:r>
      <w:r w:rsidR="00EF0D82">
        <w:rPr>
          <w:rFonts w:cs="Arial"/>
          <w:color w:val="000000" w:themeColor="text1"/>
        </w:rPr>
        <w:t>this</w:t>
      </w:r>
      <w:r w:rsidRPr="00EF0E6B">
        <w:rPr>
          <w:rFonts w:cs="Arial"/>
          <w:color w:val="000000" w:themeColor="text1"/>
        </w:rPr>
        <w:t xml:space="preserve"> arguably </w:t>
      </w:r>
      <w:r w:rsidR="00EF0D82">
        <w:rPr>
          <w:rFonts w:cs="Arial"/>
          <w:color w:val="000000" w:themeColor="text1"/>
        </w:rPr>
        <w:t xml:space="preserve">leaves a </w:t>
      </w:r>
      <w:r w:rsidRPr="00EF0E6B">
        <w:rPr>
          <w:rFonts w:cs="Arial"/>
          <w:color w:val="000000" w:themeColor="text1"/>
        </w:rPr>
        <w:t>weaker classification</w:t>
      </w:r>
      <w:r w:rsidR="00EF0D82">
        <w:rPr>
          <w:rFonts w:cs="Arial"/>
          <w:color w:val="000000" w:themeColor="text1"/>
        </w:rPr>
        <w:t xml:space="preserve"> between these</w:t>
      </w:r>
      <w:r w:rsidRPr="00EF0E6B">
        <w:rPr>
          <w:rFonts w:cs="Arial"/>
          <w:color w:val="000000" w:themeColor="text1"/>
        </w:rPr>
        <w:t xml:space="preserve">. </w:t>
      </w:r>
      <w:r w:rsidR="001A02F7">
        <w:rPr>
          <w:rFonts w:cs="Arial"/>
          <w:color w:val="000000" w:themeColor="text1"/>
        </w:rPr>
        <w:t>As discussed above</w:t>
      </w:r>
      <w:r w:rsidRPr="00EF0E6B">
        <w:rPr>
          <w:rFonts w:cs="Arial"/>
          <w:color w:val="000000" w:themeColor="text1"/>
        </w:rPr>
        <w:t xml:space="preserve"> the state is seen to be more interventionist </w:t>
      </w:r>
      <w:r w:rsidR="00EF0D82">
        <w:rPr>
          <w:rFonts w:cs="Arial"/>
          <w:color w:val="000000" w:themeColor="text1"/>
        </w:rPr>
        <w:t>and shifting hierarchically</w:t>
      </w:r>
      <w:r w:rsidRPr="00EF0E6B">
        <w:rPr>
          <w:rFonts w:cs="Arial"/>
          <w:color w:val="000000" w:themeColor="text1"/>
        </w:rPr>
        <w:t xml:space="preserve"> within that field. Whilst neither of these agents prescribes design elements of the degree, what remains as</w:t>
      </w:r>
      <w:r w:rsidR="00B34905">
        <w:rPr>
          <w:rFonts w:cs="Arial"/>
          <w:color w:val="000000" w:themeColor="text1"/>
        </w:rPr>
        <w:t xml:space="preserve"> an</w:t>
      </w:r>
      <w:r w:rsidRPr="00EF0E6B">
        <w:rPr>
          <w:rFonts w:cs="Arial"/>
          <w:color w:val="000000" w:themeColor="text1"/>
        </w:rPr>
        <w:t xml:space="preserve"> influential</w:t>
      </w:r>
      <w:r w:rsidR="00EF0D82">
        <w:rPr>
          <w:rFonts w:cs="Arial"/>
          <w:color w:val="000000" w:themeColor="text1"/>
        </w:rPr>
        <w:t>,</w:t>
      </w:r>
      <w:r w:rsidRPr="00EF0E6B">
        <w:rPr>
          <w:rFonts w:cs="Arial"/>
          <w:color w:val="000000" w:themeColor="text1"/>
        </w:rPr>
        <w:t xml:space="preserve"> albeit indirect</w:t>
      </w:r>
      <w:r w:rsidR="00EF0D82">
        <w:rPr>
          <w:rFonts w:cs="Arial"/>
          <w:color w:val="000000" w:themeColor="text1"/>
        </w:rPr>
        <w:t>,</w:t>
      </w:r>
      <w:r w:rsidRPr="00EF0E6B">
        <w:rPr>
          <w:rFonts w:cs="Arial"/>
          <w:color w:val="000000" w:themeColor="text1"/>
        </w:rPr>
        <w:t xml:space="preserve"> power is shifting from one to the other, from the </w:t>
      </w:r>
      <w:r w:rsidR="00EF0D82">
        <w:rPr>
          <w:rFonts w:cs="Arial"/>
          <w:color w:val="000000" w:themeColor="text1"/>
        </w:rPr>
        <w:t xml:space="preserve">professional </w:t>
      </w:r>
      <w:r w:rsidRPr="00EF0E6B">
        <w:rPr>
          <w:rFonts w:cs="Arial"/>
          <w:color w:val="000000" w:themeColor="text1"/>
        </w:rPr>
        <w:t xml:space="preserve">regulatory bodies to the state. </w:t>
      </w:r>
    </w:p>
    <w:p w14:paraId="2084708D" w14:textId="3BD8BBCE" w:rsidR="00765E64" w:rsidRDefault="00765E64" w:rsidP="0003652C">
      <w:pPr>
        <w:spacing w:line="360" w:lineRule="auto"/>
        <w:jc w:val="both"/>
        <w:rPr>
          <w:rFonts w:cs="Arial"/>
          <w:color w:val="000000" w:themeColor="text1"/>
        </w:rPr>
      </w:pPr>
      <w:r w:rsidRPr="00EF0E6B">
        <w:rPr>
          <w:rFonts w:cs="Arial"/>
          <w:color w:val="000000" w:themeColor="text1"/>
        </w:rPr>
        <w:t xml:space="preserve">As the agents in the ORF do not dictate the course design, then this potentially leaves a level of autonomy with the agents in the PRF. The power exerted by the </w:t>
      </w:r>
      <w:r w:rsidRPr="00EF0E6B">
        <w:rPr>
          <w:rFonts w:cs="Arial"/>
          <w:color w:val="000000" w:themeColor="text1"/>
        </w:rPr>
        <w:lastRenderedPageBreak/>
        <w:t>ORF on the PRF and the resultant classification, is weak.  Again, considering the first research question and what influences undergraduate course design, the participants are clear that the major influences in the PRF are the wider university, as interpreters of governmental policy as well as responders to the market demands</w:t>
      </w:r>
      <w:r w:rsidR="00EF0D82">
        <w:rPr>
          <w:rFonts w:cs="Arial"/>
          <w:color w:val="000000" w:themeColor="text1"/>
        </w:rPr>
        <w:t>,</w:t>
      </w:r>
      <w:r w:rsidRPr="00EF0E6B">
        <w:rPr>
          <w:rFonts w:cs="Arial"/>
          <w:color w:val="000000" w:themeColor="text1"/>
        </w:rPr>
        <w:t xml:space="preserve"> and the academic community, </w:t>
      </w:r>
      <w:r w:rsidR="00EF0D82">
        <w:rPr>
          <w:rFonts w:cs="Arial"/>
          <w:color w:val="000000" w:themeColor="text1"/>
        </w:rPr>
        <w:t>bringing</w:t>
      </w:r>
      <w:r w:rsidRPr="00EF0E6B">
        <w:rPr>
          <w:rFonts w:cs="Arial"/>
          <w:color w:val="000000" w:themeColor="text1"/>
        </w:rPr>
        <w:t xml:space="preserve"> with it split identities and student-led values. Again, the relationship between the two is key as they vie over this site of struggle. There </w:t>
      </w:r>
      <w:r w:rsidR="00EF0D82">
        <w:rPr>
          <w:rFonts w:cs="Arial"/>
          <w:color w:val="000000" w:themeColor="text1"/>
        </w:rPr>
        <w:t xml:space="preserve">is </w:t>
      </w:r>
      <w:r w:rsidRPr="00EF0E6B">
        <w:rPr>
          <w:rFonts w:cs="Arial"/>
          <w:color w:val="000000" w:themeColor="text1"/>
        </w:rPr>
        <w:t xml:space="preserve">again a relocation in the hierarchy, with the law schools’ historical position of strength within the university being more directly impacted upon by the universities’ policies.  Arguably the </w:t>
      </w:r>
      <w:r w:rsidR="00EF0D82">
        <w:rPr>
          <w:rFonts w:cs="Arial"/>
          <w:color w:val="000000" w:themeColor="text1"/>
        </w:rPr>
        <w:t xml:space="preserve">agents in the </w:t>
      </w:r>
      <w:r w:rsidRPr="00EF0E6B">
        <w:rPr>
          <w:rFonts w:cs="Arial"/>
          <w:color w:val="000000" w:themeColor="text1"/>
        </w:rPr>
        <w:t>PRF ha</w:t>
      </w:r>
      <w:r w:rsidR="00EF0D82">
        <w:rPr>
          <w:rFonts w:cs="Arial"/>
          <w:color w:val="000000" w:themeColor="text1"/>
        </w:rPr>
        <w:t>ve</w:t>
      </w:r>
      <w:r w:rsidRPr="00EF0E6B">
        <w:rPr>
          <w:rFonts w:cs="Arial"/>
          <w:color w:val="000000" w:themeColor="text1"/>
        </w:rPr>
        <w:t xml:space="preserve"> the autonomy but </w:t>
      </w:r>
      <w:r w:rsidR="00EF0D82">
        <w:rPr>
          <w:rFonts w:cs="Arial"/>
          <w:color w:val="000000" w:themeColor="text1"/>
        </w:rPr>
        <w:t xml:space="preserve">they are also </w:t>
      </w:r>
      <w:r w:rsidRPr="00EF0E6B">
        <w:rPr>
          <w:rFonts w:cs="Arial"/>
          <w:color w:val="000000" w:themeColor="text1"/>
        </w:rPr>
        <w:t xml:space="preserve">balancing conflicting objectives between </w:t>
      </w:r>
      <w:r w:rsidR="00EF0D82">
        <w:rPr>
          <w:rFonts w:cs="Arial"/>
          <w:color w:val="000000" w:themeColor="text1"/>
        </w:rPr>
        <w:t xml:space="preserve">them. </w:t>
      </w:r>
      <w:r w:rsidRPr="00EF0E6B">
        <w:rPr>
          <w:rFonts w:cs="Arial"/>
          <w:color w:val="000000" w:themeColor="text1"/>
        </w:rPr>
        <w:t xml:space="preserve">The PRF </w:t>
      </w:r>
      <w:r w:rsidR="00EF0D82">
        <w:rPr>
          <w:rFonts w:cs="Arial"/>
          <w:color w:val="000000" w:themeColor="text1"/>
        </w:rPr>
        <w:t>remains a</w:t>
      </w:r>
      <w:r w:rsidRPr="00EF0E6B">
        <w:rPr>
          <w:rFonts w:cs="Arial"/>
          <w:color w:val="000000" w:themeColor="text1"/>
        </w:rPr>
        <w:t xml:space="preserve"> highly contested arena. </w:t>
      </w:r>
      <w:r w:rsidR="00B34905">
        <w:rPr>
          <w:rFonts w:cs="Arial"/>
          <w:color w:val="000000" w:themeColor="text1"/>
        </w:rPr>
        <w:t>T</w:t>
      </w:r>
      <w:r w:rsidR="00EF0D82">
        <w:rPr>
          <w:rFonts w:cs="Arial"/>
          <w:color w:val="000000" w:themeColor="text1"/>
        </w:rPr>
        <w:t xml:space="preserve">here were nuanced differences as to why some influences had more impact that </w:t>
      </w:r>
      <w:r w:rsidR="00EF0D82" w:rsidRPr="005D4E8E">
        <w:rPr>
          <w:rFonts w:cs="Arial"/>
          <w:color w:val="000000" w:themeColor="text1"/>
        </w:rPr>
        <w:t xml:space="preserve">others, </w:t>
      </w:r>
      <w:r w:rsidR="00B34905" w:rsidRPr="008446AA">
        <w:rPr>
          <w:rFonts w:cs="Arial"/>
          <w:color w:val="000000" w:themeColor="text1"/>
        </w:rPr>
        <w:t>and</w:t>
      </w:r>
      <w:r w:rsidR="00B34905" w:rsidRPr="005D4E8E">
        <w:rPr>
          <w:rFonts w:cs="Arial"/>
          <w:color w:val="000000" w:themeColor="text1"/>
        </w:rPr>
        <w:t xml:space="preserve"> I return</w:t>
      </w:r>
      <w:r w:rsidR="00B34905">
        <w:rPr>
          <w:rFonts w:cs="Arial"/>
          <w:color w:val="000000" w:themeColor="text1"/>
        </w:rPr>
        <w:t xml:space="preserve"> to the differences highlighted between the selective and non-selective law schools later.</w:t>
      </w:r>
    </w:p>
    <w:p w14:paraId="7D0DBFC6" w14:textId="3EC1B8B0" w:rsidR="00B34905" w:rsidRDefault="00B34905" w:rsidP="008446AA">
      <w:pPr>
        <w:pStyle w:val="Heading2"/>
        <w:numPr>
          <w:ilvl w:val="0"/>
          <w:numId w:val="0"/>
        </w:numPr>
      </w:pPr>
      <w:bookmarkStart w:id="98" w:name="_Toc223348887"/>
      <w:r w:rsidRPr="000A33F2">
        <w:t xml:space="preserve">9.2. </w:t>
      </w:r>
      <w:r w:rsidRPr="009D153E">
        <w:t>Legal</w:t>
      </w:r>
      <w:r>
        <w:t xml:space="preserve"> education and the impact of the agents on the course design</w:t>
      </w:r>
      <w:bookmarkEnd w:id="98"/>
    </w:p>
    <w:p w14:paraId="13830086" w14:textId="78E0888E" w:rsidR="00B34905" w:rsidRDefault="00B34905" w:rsidP="00B34905">
      <w:pPr>
        <w:spacing w:line="360" w:lineRule="auto"/>
        <w:jc w:val="both"/>
        <w:rPr>
          <w:rFonts w:cs="Arial"/>
          <w:color w:val="000000" w:themeColor="text1"/>
        </w:rPr>
      </w:pPr>
      <w:r>
        <w:rPr>
          <w:rFonts w:cs="Arial"/>
          <w:color w:val="000000" w:themeColor="text1"/>
        </w:rPr>
        <w:t xml:space="preserve">Legal education research focusing on course design has been largely concerned with the promotion of specific paradigms, developed from wider considerations of what legal education is for. As discussed in </w:t>
      </w:r>
      <w:r w:rsidR="009D5113">
        <w:rPr>
          <w:rFonts w:cs="Arial"/>
          <w:color w:val="000000" w:themeColor="text1"/>
        </w:rPr>
        <w:t>C</w:t>
      </w:r>
      <w:r>
        <w:rPr>
          <w:rFonts w:cs="Arial"/>
          <w:color w:val="000000" w:themeColor="text1"/>
        </w:rPr>
        <w:t xml:space="preserve">hapter </w:t>
      </w:r>
      <w:r w:rsidR="009D5113">
        <w:rPr>
          <w:rFonts w:cs="Arial"/>
          <w:color w:val="000000" w:themeColor="text1"/>
        </w:rPr>
        <w:t>T</w:t>
      </w:r>
      <w:r>
        <w:rPr>
          <w:rFonts w:cs="Arial"/>
          <w:color w:val="000000" w:themeColor="text1"/>
        </w:rPr>
        <w:t xml:space="preserve">hree these might come in the context of critical legal, socio-legal or social justice orientated agendas, and are often influenced by research and wider law school identities (Toma, 1997; Cownie, 2004).  This investigation goes some way to considering the mechanism of design itself and therefore does not provide a normative proposition as to what education should be but instead considers what it is within the context specifically of course design. </w:t>
      </w:r>
    </w:p>
    <w:p w14:paraId="6DB203EF" w14:textId="1A1A94AD" w:rsidR="00B34905" w:rsidRPr="00EF0E6B" w:rsidRDefault="00B34905" w:rsidP="0003652C">
      <w:pPr>
        <w:spacing w:line="360" w:lineRule="auto"/>
        <w:jc w:val="both"/>
        <w:rPr>
          <w:rFonts w:cs="Arial"/>
          <w:color w:val="000000" w:themeColor="text1"/>
        </w:rPr>
      </w:pPr>
      <w:r>
        <w:rPr>
          <w:rFonts w:cs="Arial"/>
          <w:color w:val="000000" w:themeColor="text1"/>
        </w:rPr>
        <w:t xml:space="preserve">This investigation took place at a time of uncertainty and change which is unlikely to be repeated. It therefore provides a snapshot in time on perspectives from designers in part on the autonomy they may have in design. This builds upon work elsewhere (Annala, 2022) but places it within the unique setting of change and legal education. The findings here suggest that whilst the explicit professional body regulation has been removed, therefore following Bernstein’s theory, enabling the autonomy of the designers operating in the PRF, the reality </w:t>
      </w:r>
      <w:r>
        <w:rPr>
          <w:rFonts w:cs="Arial"/>
          <w:color w:val="000000" w:themeColor="text1"/>
        </w:rPr>
        <w:lastRenderedPageBreak/>
        <w:t>was that there was a perceived lack of autonomy as the state, and the university as gatekeeper, moved into the ORF and PRF respectively. This builds upon Mason and Guth’s observations in relation to wider legal education supporting the proposition that the changes in regulation may infact be more burdensome than liberating (Mason &amp; Guth, 2018), here evidenced specifically in the context of course design.</w:t>
      </w:r>
    </w:p>
    <w:p w14:paraId="5FB73D98" w14:textId="388CEC83" w:rsidR="00765E64" w:rsidRDefault="00B34905" w:rsidP="0003652C">
      <w:pPr>
        <w:spacing w:line="360" w:lineRule="auto"/>
        <w:jc w:val="both"/>
        <w:rPr>
          <w:rFonts w:cs="Arial"/>
          <w:color w:val="000000" w:themeColor="text1"/>
        </w:rPr>
      </w:pPr>
      <w:r>
        <w:rPr>
          <w:rFonts w:cs="Arial"/>
          <w:color w:val="000000" w:themeColor="text1"/>
        </w:rPr>
        <w:t xml:space="preserve">Some of the findings in this investigation evidence a perceived need to maintain the status quo, albeit possibly for a variety of reasons, whilst others show a reaction to the changes brought about by external non-disciplinary pressures on the design of courses. In interrogating </w:t>
      </w:r>
      <w:r w:rsidR="00FD7BFA">
        <w:rPr>
          <w:rFonts w:cs="Arial"/>
          <w:color w:val="000000" w:themeColor="text1"/>
        </w:rPr>
        <w:t xml:space="preserve">the second research </w:t>
      </w:r>
      <w:r w:rsidR="00EE4AED">
        <w:rPr>
          <w:rFonts w:cs="Arial"/>
          <w:color w:val="000000" w:themeColor="text1"/>
        </w:rPr>
        <w:t>question</w:t>
      </w:r>
      <w:r>
        <w:rPr>
          <w:rFonts w:cs="Arial"/>
          <w:color w:val="000000" w:themeColor="text1"/>
        </w:rPr>
        <w:t xml:space="preserve"> and considering these findings</w:t>
      </w:r>
      <w:r w:rsidR="00EE4AED">
        <w:rPr>
          <w:rFonts w:cs="Arial"/>
          <w:color w:val="000000" w:themeColor="text1"/>
        </w:rPr>
        <w:t>,</w:t>
      </w:r>
      <w:r w:rsidR="00FD7BFA">
        <w:rPr>
          <w:rFonts w:cs="Arial"/>
          <w:color w:val="000000" w:themeColor="text1"/>
        </w:rPr>
        <w:t xml:space="preserve"> it was necessary to </w:t>
      </w:r>
      <w:r w:rsidR="00765E64" w:rsidRPr="00EF0E6B">
        <w:rPr>
          <w:rFonts w:cs="Arial"/>
          <w:color w:val="000000" w:themeColor="text1"/>
        </w:rPr>
        <w:t xml:space="preserve">assess the level of influence and autonomy of the agents </w:t>
      </w:r>
      <w:r w:rsidR="00765E64" w:rsidRPr="00EF0E6B">
        <w:rPr>
          <w:rFonts w:cs="Arial"/>
          <w:i/>
          <w:iCs/>
          <w:color w:val="000000" w:themeColor="text1"/>
        </w:rPr>
        <w:t>within</w:t>
      </w:r>
      <w:r w:rsidR="00765E64" w:rsidRPr="00EF0E6B">
        <w:rPr>
          <w:rFonts w:cs="Arial"/>
          <w:color w:val="000000" w:themeColor="text1"/>
        </w:rPr>
        <w:t xml:space="preserve"> the PRF</w:t>
      </w:r>
      <w:r w:rsidR="00FD7BFA">
        <w:rPr>
          <w:rFonts w:cs="Arial"/>
          <w:color w:val="000000" w:themeColor="text1"/>
        </w:rPr>
        <w:t xml:space="preserve">. </w:t>
      </w:r>
      <w:r>
        <w:rPr>
          <w:rFonts w:cs="Arial"/>
          <w:color w:val="000000" w:themeColor="text1"/>
        </w:rPr>
        <w:t xml:space="preserve">This focus </w:t>
      </w:r>
      <w:r w:rsidR="00765E64" w:rsidRPr="00EF0E6B">
        <w:rPr>
          <w:rFonts w:cs="Arial"/>
          <w:color w:val="000000" w:themeColor="text1"/>
        </w:rPr>
        <w:t>explain</w:t>
      </w:r>
      <w:r w:rsidR="00FD7BFA">
        <w:rPr>
          <w:rFonts w:cs="Arial"/>
          <w:color w:val="000000" w:themeColor="text1"/>
        </w:rPr>
        <w:t>ed</w:t>
      </w:r>
      <w:r w:rsidR="00765E64" w:rsidRPr="00EF0E6B">
        <w:rPr>
          <w:rFonts w:cs="Arial"/>
          <w:color w:val="000000" w:themeColor="text1"/>
        </w:rPr>
        <w:t xml:space="preserve"> the degree of control held respectively by the university and the academic community, their relationship, and ultimately the impact of these agents on the law degree. I considered the findings here in the context of the disciplinary and non-disciplinary impact as this is an important distinction in the context of powerful knowledge as what is generic might also be seen to be diluting (Wheelahan, 2007). Whilst there are overlaps, these divisions also largely represent the impact of the academic community and the university respectively.</w:t>
      </w:r>
    </w:p>
    <w:p w14:paraId="72D043F0" w14:textId="686A0451" w:rsidR="00B34905" w:rsidRDefault="00B34905" w:rsidP="008446AA">
      <w:pPr>
        <w:pStyle w:val="Heading2"/>
        <w:numPr>
          <w:ilvl w:val="0"/>
          <w:numId w:val="0"/>
        </w:numPr>
      </w:pPr>
      <w:bookmarkStart w:id="99" w:name="_Toc223348888"/>
      <w:r>
        <w:rPr>
          <w:color w:val="000000" w:themeColor="text1"/>
        </w:rPr>
        <w:t xml:space="preserve">9.3. </w:t>
      </w:r>
      <w:r w:rsidRPr="000A33F2">
        <w:rPr>
          <w:color w:val="000000" w:themeColor="text1"/>
        </w:rPr>
        <w:t>Implications</w:t>
      </w:r>
      <w:r>
        <w:t xml:space="preserve"> for undergraduate law course design.</w:t>
      </w:r>
      <w:bookmarkEnd w:id="99"/>
      <w:r>
        <w:t xml:space="preserve"> </w:t>
      </w:r>
    </w:p>
    <w:p w14:paraId="2093260B" w14:textId="4F6C5D97" w:rsidR="00B34905" w:rsidRDefault="00B34905" w:rsidP="00B34905">
      <w:pPr>
        <w:spacing w:line="360" w:lineRule="auto"/>
        <w:jc w:val="both"/>
        <w:rPr>
          <w:rFonts w:cs="Arial"/>
          <w:szCs w:val="24"/>
        </w:rPr>
      </w:pPr>
      <w:r w:rsidRPr="008446AA">
        <w:rPr>
          <w:rFonts w:cs="Arial"/>
          <w:color w:val="000000" w:themeColor="text1"/>
        </w:rPr>
        <w:t xml:space="preserve">Looking internally at the content of the degree, and the segmented nature of the foundations of legal knowledge, the programmes overall maintained this collection code presentation, with a clear demarcation between key subject areas in the form of the FLKs. Here the changes appeared to have little impact, be it due to the uncertainty created by the withdrawal of the regulatory requirements, or the demands of the international market. From a Bernstein </w:t>
      </w:r>
      <w:r w:rsidRPr="00B34905">
        <w:rPr>
          <w:rFonts w:cs="Arial"/>
          <w:color w:val="000000" w:themeColor="text1"/>
        </w:rPr>
        <w:t xml:space="preserve">perspective </w:t>
      </w:r>
      <w:r w:rsidRPr="002C54D1">
        <w:rPr>
          <w:rFonts w:cs="Arial"/>
          <w:szCs w:val="24"/>
        </w:rPr>
        <w:t>degrees</w:t>
      </w:r>
      <w:r>
        <w:rPr>
          <w:rFonts w:cs="Arial"/>
          <w:szCs w:val="24"/>
        </w:rPr>
        <w:t xml:space="preserve"> are presenting as </w:t>
      </w:r>
      <w:r w:rsidRPr="002C54D1">
        <w:rPr>
          <w:rFonts w:cs="Arial"/>
          <w:szCs w:val="24"/>
        </w:rPr>
        <w:t>compartmentalised as a collection code</w:t>
      </w:r>
      <w:r>
        <w:rPr>
          <w:rFonts w:cs="Arial"/>
          <w:szCs w:val="24"/>
        </w:rPr>
        <w:t xml:space="preserve"> and</w:t>
      </w:r>
      <w:r w:rsidRPr="002C54D1">
        <w:rPr>
          <w:rFonts w:cs="Arial"/>
          <w:szCs w:val="24"/>
        </w:rPr>
        <w:t xml:space="preserve"> are retaining, with some exceptions, these clearly defined traditional units of knowledge. Bernstein would argue that this might hinder access to integrated and powerful knowledge with the existence of discursive gaps. </w:t>
      </w:r>
      <w:r>
        <w:rPr>
          <w:rFonts w:cs="Arial"/>
          <w:szCs w:val="24"/>
        </w:rPr>
        <w:t xml:space="preserve">Within legal education this has been documented elsewhere previously (Rasiah, 2022), but </w:t>
      </w:r>
      <w:r>
        <w:rPr>
          <w:rFonts w:cs="Arial"/>
          <w:szCs w:val="24"/>
        </w:rPr>
        <w:lastRenderedPageBreak/>
        <w:t xml:space="preserve">appears to be continuing to be the norm. Excessive influence by the remaining professional body has also been commented on previously (Vaughan, 2025), and the lack of cohesion this produces is also discussed in legal education research (Twining, 1988; Birks, 1996). </w:t>
      </w:r>
    </w:p>
    <w:p w14:paraId="1E56A4D8" w14:textId="4827370F" w:rsidR="00B34905" w:rsidRPr="008446AA" w:rsidRDefault="00B34905" w:rsidP="00B34905">
      <w:pPr>
        <w:spacing w:line="360" w:lineRule="auto"/>
        <w:jc w:val="both"/>
        <w:rPr>
          <w:rFonts w:cs="Arial"/>
        </w:rPr>
      </w:pPr>
      <w:r w:rsidRPr="008446AA">
        <w:rPr>
          <w:rFonts w:cs="Arial"/>
          <w:color w:val="000000" w:themeColor="text1"/>
        </w:rPr>
        <w:t>The findings show on the other hand that the disciplinary content has been impacted upon by university agendas, often presenting the need to consolidate optionality for efficiency purposes, again previously documented in legal education literature Giles &amp; Ang, 2025). From the perspective of legal education undergraduate optionality has traditionally been seen to be value-laden (Nicholson, 2019), or even reflective of academic freedom (Giles &amp; Ang, 2025).</w:t>
      </w:r>
    </w:p>
    <w:p w14:paraId="684AE47F" w14:textId="24117C06" w:rsidR="00765E64" w:rsidRDefault="00B34905" w:rsidP="008446AA">
      <w:pPr>
        <w:spacing w:before="0" w:beforeAutospacing="0" w:after="160" w:line="360" w:lineRule="auto"/>
        <w:jc w:val="both"/>
        <w:rPr>
          <w:rFonts w:cs="Arial"/>
          <w:szCs w:val="24"/>
        </w:rPr>
      </w:pPr>
      <w:r>
        <w:rPr>
          <w:rFonts w:cs="Arial"/>
          <w:szCs w:val="24"/>
        </w:rPr>
        <w:t xml:space="preserve">From a Bernstein perspective, this </w:t>
      </w:r>
      <w:r w:rsidR="00765E64" w:rsidRPr="005D4E8E">
        <w:rPr>
          <w:rFonts w:cs="Arial"/>
          <w:szCs w:val="24"/>
        </w:rPr>
        <w:t xml:space="preserve">might represent deeper knowledge in less areas but could also represent a removal of the student from the expertise that exists in the </w:t>
      </w:r>
      <w:r w:rsidR="00AA70FC" w:rsidRPr="005D4E8E">
        <w:rPr>
          <w:rFonts w:cs="Arial"/>
          <w:szCs w:val="24"/>
        </w:rPr>
        <w:t>school</w:t>
      </w:r>
      <w:r w:rsidR="00FD7BFA" w:rsidRPr="005D4E8E">
        <w:rPr>
          <w:rFonts w:cs="Arial"/>
          <w:szCs w:val="24"/>
        </w:rPr>
        <w:t xml:space="preserve">, </w:t>
      </w:r>
      <w:r w:rsidR="00765E64" w:rsidRPr="005D4E8E">
        <w:rPr>
          <w:rFonts w:cs="Arial"/>
          <w:szCs w:val="24"/>
        </w:rPr>
        <w:t>reducing their access to that sacred knowledge in the expertise</w:t>
      </w:r>
      <w:r w:rsidR="00FD7BFA" w:rsidRPr="005D4E8E">
        <w:rPr>
          <w:rFonts w:cs="Arial"/>
          <w:szCs w:val="24"/>
        </w:rPr>
        <w:t xml:space="preserve"> </w:t>
      </w:r>
      <w:r w:rsidR="00390788" w:rsidRPr="005D4E8E">
        <w:rPr>
          <w:rFonts w:cs="Arial"/>
          <w:szCs w:val="24"/>
        </w:rPr>
        <w:t>(Mc</w:t>
      </w:r>
      <w:r w:rsidR="00046A61">
        <w:rPr>
          <w:rFonts w:cs="Arial"/>
          <w:szCs w:val="24"/>
        </w:rPr>
        <w:t>L</w:t>
      </w:r>
      <w:r w:rsidR="00390788" w:rsidRPr="005D4E8E">
        <w:rPr>
          <w:rFonts w:cs="Arial"/>
          <w:szCs w:val="24"/>
        </w:rPr>
        <w:t>ean et al., 2018)</w:t>
      </w:r>
      <w:r>
        <w:rPr>
          <w:rFonts w:cs="Arial"/>
          <w:szCs w:val="24"/>
        </w:rPr>
        <w:t>, and so the findings evidence a contest between the diversity and level of specialism that degrees provide access to, and wider university and state efficiency drives.</w:t>
      </w:r>
    </w:p>
    <w:p w14:paraId="65B27925" w14:textId="4A400D46" w:rsidR="00B34905" w:rsidRDefault="00B34905" w:rsidP="00B34905">
      <w:pPr>
        <w:spacing w:before="0" w:beforeAutospacing="0" w:after="160" w:line="360" w:lineRule="auto"/>
        <w:jc w:val="both"/>
        <w:rPr>
          <w:rFonts w:cs="Arial"/>
          <w:szCs w:val="24"/>
        </w:rPr>
      </w:pPr>
      <w:r w:rsidRPr="002C54D1">
        <w:rPr>
          <w:rFonts w:cs="Arial"/>
          <w:szCs w:val="24"/>
        </w:rPr>
        <w:t>The</w:t>
      </w:r>
      <w:r>
        <w:rPr>
          <w:rFonts w:cs="Arial"/>
          <w:szCs w:val="24"/>
        </w:rPr>
        <w:t xml:space="preserve"> findings evidence that the</w:t>
      </w:r>
      <w:r w:rsidRPr="002C54D1">
        <w:rPr>
          <w:rFonts w:cs="Arial"/>
          <w:szCs w:val="24"/>
        </w:rPr>
        <w:t xml:space="preserve"> programmes are becoming more responsive to non-disciplinary agendas influenced often by a wider diversity of stude</w:t>
      </w:r>
      <w:r w:rsidRPr="00473A30">
        <w:rPr>
          <w:rFonts w:cs="Arial"/>
          <w:szCs w:val="24"/>
        </w:rPr>
        <w:t xml:space="preserve">nts. They evidence </w:t>
      </w:r>
      <w:r w:rsidRPr="000A33F2">
        <w:rPr>
          <w:rFonts w:cs="Arial"/>
          <w:color w:val="000000" w:themeColor="text1"/>
        </w:rPr>
        <w:t>the increased non-disciplinary framing, having an influence over the scheduling and mode of teaching, both often resource</w:t>
      </w:r>
      <w:r>
        <w:rPr>
          <w:rFonts w:cs="Arial"/>
          <w:color w:val="000000" w:themeColor="text1"/>
        </w:rPr>
        <w:t>-</w:t>
      </w:r>
      <w:r w:rsidRPr="000A33F2">
        <w:rPr>
          <w:rFonts w:cs="Arial"/>
          <w:color w:val="000000" w:themeColor="text1"/>
        </w:rPr>
        <w:t xml:space="preserve">led and in line with the perception </w:t>
      </w:r>
      <w:r w:rsidR="005D4E8E" w:rsidRPr="000A33F2">
        <w:rPr>
          <w:rFonts w:cs="Arial"/>
          <w:color w:val="000000" w:themeColor="text1"/>
        </w:rPr>
        <w:t>of the</w:t>
      </w:r>
      <w:r w:rsidRPr="000A33F2">
        <w:rPr>
          <w:rFonts w:cs="Arial"/>
          <w:color w:val="000000" w:themeColor="text1"/>
        </w:rPr>
        <w:t xml:space="preserve"> top-down university presence with respect to skills and employability agendas.</w:t>
      </w:r>
      <w:r>
        <w:rPr>
          <w:rFonts w:cs="Arial"/>
          <w:color w:val="000000" w:themeColor="text1"/>
        </w:rPr>
        <w:t xml:space="preserve"> The skills agenda is likely to be increasingly present with the marketisation of higher education and the related increasing diversity of student cohorts. There is also the possibility that ‘a flawed employablility agenda’ will impact on disciplinary legal skills (Guth, 2020. </w:t>
      </w:r>
      <w:r w:rsidR="00306A4F">
        <w:rPr>
          <w:rFonts w:cs="Arial"/>
          <w:color w:val="000000" w:themeColor="text1"/>
        </w:rPr>
        <w:t>p.</w:t>
      </w:r>
      <w:r>
        <w:rPr>
          <w:rFonts w:cs="Arial"/>
          <w:color w:val="000000" w:themeColor="text1"/>
        </w:rPr>
        <w:t xml:space="preserve">166) as discussed in </w:t>
      </w:r>
      <w:r w:rsidR="009D5113">
        <w:rPr>
          <w:rFonts w:cs="Arial"/>
          <w:color w:val="000000" w:themeColor="text1"/>
        </w:rPr>
        <w:t>C</w:t>
      </w:r>
      <w:r>
        <w:rPr>
          <w:rFonts w:cs="Arial"/>
          <w:color w:val="000000" w:themeColor="text1"/>
        </w:rPr>
        <w:t xml:space="preserve">hapter </w:t>
      </w:r>
      <w:r w:rsidR="009D5113">
        <w:rPr>
          <w:rFonts w:cs="Arial"/>
          <w:color w:val="000000" w:themeColor="text1"/>
        </w:rPr>
        <w:t>E</w:t>
      </w:r>
      <w:r>
        <w:rPr>
          <w:rFonts w:cs="Arial"/>
          <w:color w:val="000000" w:themeColor="text1"/>
        </w:rPr>
        <w:t xml:space="preserve">ight. </w:t>
      </w:r>
    </w:p>
    <w:p w14:paraId="0ADE739C" w14:textId="77777777" w:rsidR="00B34905" w:rsidRDefault="00B34905" w:rsidP="00B34905">
      <w:pPr>
        <w:spacing w:before="0" w:beforeAutospacing="0" w:after="160" w:line="360" w:lineRule="auto"/>
        <w:jc w:val="both"/>
        <w:rPr>
          <w:rFonts w:cs="Arial"/>
          <w:szCs w:val="24"/>
        </w:rPr>
      </w:pPr>
    </w:p>
    <w:p w14:paraId="1305E21E" w14:textId="77777777" w:rsidR="00B34905" w:rsidRDefault="00B34905" w:rsidP="00B34905">
      <w:pPr>
        <w:spacing w:before="0" w:beforeAutospacing="0" w:after="160" w:line="360" w:lineRule="auto"/>
        <w:jc w:val="both"/>
        <w:rPr>
          <w:rFonts w:cs="Arial"/>
          <w:szCs w:val="24"/>
        </w:rPr>
      </w:pPr>
      <w:r w:rsidRPr="002C54D1">
        <w:rPr>
          <w:rFonts w:cs="Arial"/>
          <w:szCs w:val="24"/>
        </w:rPr>
        <w:t>This</w:t>
      </w:r>
      <w:r>
        <w:rPr>
          <w:rFonts w:cs="Arial"/>
          <w:szCs w:val="24"/>
        </w:rPr>
        <w:t xml:space="preserve"> reflects wider concerns about the </w:t>
      </w:r>
      <w:r w:rsidRPr="002C54D1">
        <w:rPr>
          <w:rFonts w:cs="Arial"/>
          <w:szCs w:val="24"/>
        </w:rPr>
        <w:t>potential to dilute the disciplinary content</w:t>
      </w:r>
      <w:r>
        <w:rPr>
          <w:rFonts w:cs="Arial"/>
          <w:szCs w:val="24"/>
        </w:rPr>
        <w:t xml:space="preserve"> and therefore restrict the students’ access to ‘powerful’ knowledge</w:t>
      </w:r>
      <w:r w:rsidRPr="002C54D1">
        <w:rPr>
          <w:rFonts w:cs="Arial"/>
          <w:szCs w:val="24"/>
        </w:rPr>
        <w:t xml:space="preserve"> (Wheelahan, 2013). </w:t>
      </w:r>
      <w:r>
        <w:rPr>
          <w:rFonts w:cs="Arial"/>
          <w:szCs w:val="24"/>
        </w:rPr>
        <w:t xml:space="preserve">I return to the question of ‘vocationalisation’ below, but here acknowledge </w:t>
      </w:r>
      <w:r>
        <w:rPr>
          <w:rFonts w:cs="Arial"/>
          <w:szCs w:val="24"/>
        </w:rPr>
        <w:lastRenderedPageBreak/>
        <w:t>wider education research reflecting on ‘crowding out’ of disciplinary knowledge (Wheelahan, 2007).</w:t>
      </w:r>
    </w:p>
    <w:p w14:paraId="63C06673" w14:textId="5A2D11BB" w:rsidR="00B34905" w:rsidRDefault="00B34905" w:rsidP="00B34905">
      <w:pPr>
        <w:spacing w:before="0" w:beforeAutospacing="0" w:after="160" w:line="360" w:lineRule="auto"/>
        <w:jc w:val="both"/>
        <w:rPr>
          <w:rFonts w:cs="Arial"/>
          <w:color w:val="000000" w:themeColor="text1"/>
        </w:rPr>
      </w:pPr>
      <w:r>
        <w:rPr>
          <w:rFonts w:cs="Arial"/>
          <w:szCs w:val="24"/>
        </w:rPr>
        <w:t xml:space="preserve">Much of the above is reflective of legal education research recently as referenced particularly in relation to the widening participation or less selective law schools. However, what is evident in the above findings is a newer shared acknowledgement of these influences by the more selective institutions. In </w:t>
      </w:r>
      <w:r w:rsidR="009D5113">
        <w:rPr>
          <w:rFonts w:cs="Arial"/>
          <w:szCs w:val="24"/>
        </w:rPr>
        <w:t>C</w:t>
      </w:r>
      <w:r>
        <w:rPr>
          <w:rFonts w:cs="Arial"/>
          <w:szCs w:val="24"/>
        </w:rPr>
        <w:t xml:space="preserve">hapter </w:t>
      </w:r>
      <w:r w:rsidR="009D5113">
        <w:rPr>
          <w:rFonts w:cs="Arial"/>
          <w:szCs w:val="24"/>
        </w:rPr>
        <w:t>T</w:t>
      </w:r>
      <w:r>
        <w:rPr>
          <w:rFonts w:cs="Arial"/>
          <w:szCs w:val="24"/>
        </w:rPr>
        <w:t>wo I discuss the hierarchies between higher education institutions, reflecting on current research (Mc</w:t>
      </w:r>
      <w:r w:rsidR="00046A61">
        <w:rPr>
          <w:rFonts w:cs="Arial"/>
          <w:szCs w:val="24"/>
        </w:rPr>
        <w:t>L</w:t>
      </w:r>
      <w:r>
        <w:rPr>
          <w:rFonts w:cs="Arial"/>
          <w:szCs w:val="24"/>
        </w:rPr>
        <w:t>ean et al., 2018; Reay, 2021), and how this is reflected in legal education research (Kennedy, 1982; Thornton, 2007; Guth, 2025). This is then presented as central to the discussion within a Bernstein perspective where non-</w:t>
      </w:r>
      <w:r w:rsidR="00A446E0">
        <w:rPr>
          <w:rFonts w:cs="Arial"/>
          <w:szCs w:val="24"/>
        </w:rPr>
        <w:t>selective institutions</w:t>
      </w:r>
      <w:r>
        <w:rPr>
          <w:rFonts w:cs="Arial"/>
          <w:szCs w:val="24"/>
        </w:rPr>
        <w:t xml:space="preserve"> might have to fac</w:t>
      </w:r>
      <w:r w:rsidRPr="00B615B2">
        <w:rPr>
          <w:rFonts w:cs="Arial"/>
          <w:szCs w:val="24"/>
        </w:rPr>
        <w:t>e</w:t>
      </w:r>
      <w:r w:rsidRPr="000A33F2">
        <w:rPr>
          <w:rFonts w:cs="Arial"/>
          <w:color w:val="000000" w:themeColor="text1"/>
        </w:rPr>
        <w:t xml:space="preserve"> ‘the contingencies of the market’ (Bernstein, 2000. </w:t>
      </w:r>
      <w:r w:rsidR="00306A4F">
        <w:rPr>
          <w:rFonts w:cs="Arial"/>
          <w:color w:val="000000" w:themeColor="text1"/>
        </w:rPr>
        <w:t>p.</w:t>
      </w:r>
      <w:r w:rsidRPr="000A33F2">
        <w:rPr>
          <w:rFonts w:cs="Arial"/>
          <w:color w:val="000000" w:themeColor="text1"/>
        </w:rPr>
        <w:t>70</w:t>
      </w:r>
      <w:r w:rsidRPr="00B615B2">
        <w:rPr>
          <w:rFonts w:cs="Arial"/>
          <w:color w:val="000000" w:themeColor="text1"/>
        </w:rPr>
        <w:t>).</w:t>
      </w:r>
      <w:r w:rsidRPr="00FD7BFA">
        <w:rPr>
          <w:rFonts w:cs="Arial"/>
          <w:color w:val="000000" w:themeColor="text1"/>
        </w:rPr>
        <w:t xml:space="preserve"> </w:t>
      </w:r>
    </w:p>
    <w:p w14:paraId="6727238A" w14:textId="01B81C27" w:rsidR="00B34905" w:rsidRPr="000A33F2" w:rsidRDefault="00A446E0" w:rsidP="00B34905">
      <w:pPr>
        <w:spacing w:before="0" w:beforeAutospacing="0" w:after="160" w:line="360" w:lineRule="auto"/>
        <w:jc w:val="both"/>
        <w:rPr>
          <w:rFonts w:cs="Arial"/>
          <w:color w:val="000000" w:themeColor="text1"/>
        </w:rPr>
      </w:pPr>
      <w:r>
        <w:rPr>
          <w:rFonts w:cs="Arial"/>
          <w:color w:val="000000" w:themeColor="text1"/>
        </w:rPr>
        <w:t>In Chapter</w:t>
      </w:r>
      <w:r w:rsidR="00AA571E">
        <w:rPr>
          <w:rFonts w:cs="Arial"/>
          <w:color w:val="000000" w:themeColor="text1"/>
        </w:rPr>
        <w:t>s</w:t>
      </w:r>
      <w:r>
        <w:rPr>
          <w:rFonts w:cs="Arial"/>
          <w:color w:val="000000" w:themeColor="text1"/>
        </w:rPr>
        <w:t xml:space="preserve"> </w:t>
      </w:r>
      <w:r w:rsidR="009D5113">
        <w:rPr>
          <w:rFonts w:cs="Arial"/>
          <w:color w:val="000000" w:themeColor="text1"/>
        </w:rPr>
        <w:t>F</w:t>
      </w:r>
      <w:r w:rsidR="00AA571E">
        <w:rPr>
          <w:rFonts w:cs="Arial"/>
          <w:color w:val="000000" w:themeColor="text1"/>
        </w:rPr>
        <w:t xml:space="preserve">ive and </w:t>
      </w:r>
      <w:r w:rsidR="009D5113">
        <w:rPr>
          <w:rFonts w:cs="Arial"/>
          <w:color w:val="000000" w:themeColor="text1"/>
        </w:rPr>
        <w:t>S</w:t>
      </w:r>
      <w:r w:rsidR="00AA571E">
        <w:rPr>
          <w:rFonts w:cs="Arial"/>
          <w:color w:val="000000" w:themeColor="text1"/>
        </w:rPr>
        <w:t>ix</w:t>
      </w:r>
      <w:r>
        <w:rPr>
          <w:rFonts w:cs="Arial"/>
          <w:color w:val="000000" w:themeColor="text1"/>
        </w:rPr>
        <w:t xml:space="preserve"> I present the </w:t>
      </w:r>
      <w:r w:rsidR="00AA571E">
        <w:rPr>
          <w:rFonts w:cs="Arial"/>
          <w:color w:val="000000" w:themeColor="text1"/>
        </w:rPr>
        <w:t>designers’</w:t>
      </w:r>
      <w:r>
        <w:rPr>
          <w:rFonts w:cs="Arial"/>
          <w:color w:val="000000" w:themeColor="text1"/>
        </w:rPr>
        <w:t xml:space="preserve"> perceptions on the impact of the removal of the professional regulation and the position of the state within the context of the TEF</w:t>
      </w:r>
      <w:r w:rsidR="00AA571E">
        <w:rPr>
          <w:rFonts w:cs="Arial"/>
          <w:color w:val="000000" w:themeColor="text1"/>
        </w:rPr>
        <w:t>, and the relationship between the law schools and the universities</w:t>
      </w:r>
      <w:r>
        <w:rPr>
          <w:rFonts w:cs="Arial"/>
          <w:color w:val="000000" w:themeColor="text1"/>
        </w:rPr>
        <w:t xml:space="preserve">. Here the designers from selective and non-selective law schools present </w:t>
      </w:r>
      <w:r w:rsidR="00AA571E">
        <w:rPr>
          <w:rFonts w:cs="Arial"/>
          <w:color w:val="000000" w:themeColor="text1"/>
        </w:rPr>
        <w:t xml:space="preserve">some </w:t>
      </w:r>
      <w:r>
        <w:rPr>
          <w:rFonts w:cs="Arial"/>
          <w:color w:val="000000" w:themeColor="text1"/>
        </w:rPr>
        <w:t xml:space="preserve">different perspectives supporting Bernstein’s view. </w:t>
      </w:r>
      <w:r w:rsidR="00AA571E">
        <w:rPr>
          <w:rFonts w:cs="Arial"/>
          <w:color w:val="000000" w:themeColor="text1"/>
        </w:rPr>
        <w:t xml:space="preserve">However, the selective and non-selective institutions appear to be more aligned when it comes to the impact on the design of courses.  </w:t>
      </w:r>
      <w:r>
        <w:rPr>
          <w:rFonts w:cs="Arial"/>
          <w:color w:val="000000" w:themeColor="text1"/>
        </w:rPr>
        <w:t>T</w:t>
      </w:r>
      <w:r w:rsidR="00B34905">
        <w:rPr>
          <w:rFonts w:cs="Arial"/>
          <w:color w:val="000000" w:themeColor="text1"/>
        </w:rPr>
        <w:t xml:space="preserve">he findings point to a shared perspective on the need to maintain the foundations of legal </w:t>
      </w:r>
      <w:r w:rsidR="00B34905" w:rsidRPr="008C61B2">
        <w:rPr>
          <w:rFonts w:cs="Arial"/>
          <w:color w:val="000000" w:themeColor="text1"/>
        </w:rPr>
        <w:t>knowledge and the pressures placed on optionality in the degree</w:t>
      </w:r>
      <w:r w:rsidR="00AA571E">
        <w:rPr>
          <w:rFonts w:cs="Arial"/>
          <w:color w:val="000000" w:themeColor="text1"/>
        </w:rPr>
        <w:t xml:space="preserve">, and </w:t>
      </w:r>
      <w:r w:rsidR="00B34905" w:rsidRPr="000A33F2">
        <w:rPr>
          <w:rFonts w:cs="Arial"/>
          <w:color w:val="000000" w:themeColor="text1"/>
        </w:rPr>
        <w:t xml:space="preserve">the university as a gatekeeper in the implementation of </w:t>
      </w:r>
      <w:r>
        <w:rPr>
          <w:rFonts w:cs="Arial"/>
          <w:color w:val="000000" w:themeColor="text1"/>
        </w:rPr>
        <w:t xml:space="preserve">the </w:t>
      </w:r>
      <w:r w:rsidR="00B34905" w:rsidRPr="000A33F2">
        <w:rPr>
          <w:rFonts w:cs="Arial"/>
          <w:color w:val="000000" w:themeColor="text1"/>
        </w:rPr>
        <w:t xml:space="preserve">wider neoliberal higher education </w:t>
      </w:r>
      <w:r w:rsidR="00B34905" w:rsidRPr="00A72B6A">
        <w:rPr>
          <w:rFonts w:cs="Arial"/>
          <w:color w:val="000000" w:themeColor="text1"/>
        </w:rPr>
        <w:t>polic</w:t>
      </w:r>
      <w:r>
        <w:rPr>
          <w:rFonts w:cs="Arial"/>
          <w:color w:val="000000" w:themeColor="text1"/>
        </w:rPr>
        <w:t>ies</w:t>
      </w:r>
      <w:r w:rsidR="00B34905" w:rsidRPr="00A72B6A">
        <w:rPr>
          <w:rFonts w:cs="Arial"/>
          <w:color w:val="000000" w:themeColor="text1"/>
        </w:rPr>
        <w:t xml:space="preserve"> appear</w:t>
      </w:r>
      <w:r w:rsidR="00B34905">
        <w:rPr>
          <w:rFonts w:cs="Arial"/>
          <w:color w:val="000000" w:themeColor="text1"/>
        </w:rPr>
        <w:t>s</w:t>
      </w:r>
      <w:r w:rsidR="00B34905" w:rsidRPr="000A33F2">
        <w:rPr>
          <w:rFonts w:cs="Arial"/>
          <w:color w:val="000000" w:themeColor="text1"/>
        </w:rPr>
        <w:t xml:space="preserve"> to have ramifications for both the selective and non-selective institutions in relation to </w:t>
      </w:r>
      <w:r w:rsidR="00035D03" w:rsidRPr="000A33F2">
        <w:rPr>
          <w:rFonts w:cs="Arial"/>
          <w:color w:val="000000" w:themeColor="text1"/>
        </w:rPr>
        <w:t>th</w:t>
      </w:r>
      <w:r w:rsidR="00AA571E">
        <w:rPr>
          <w:rFonts w:cs="Arial"/>
          <w:color w:val="000000" w:themeColor="text1"/>
        </w:rPr>
        <w:t>e</w:t>
      </w:r>
      <w:r w:rsidR="00035D03" w:rsidRPr="000A33F2">
        <w:rPr>
          <w:rFonts w:cs="Arial"/>
          <w:color w:val="000000" w:themeColor="text1"/>
        </w:rPr>
        <w:t xml:space="preserve"> non-disciplinary impact</w:t>
      </w:r>
      <w:r w:rsidR="00B34905" w:rsidRPr="000A33F2">
        <w:rPr>
          <w:rFonts w:cs="Arial"/>
          <w:color w:val="000000" w:themeColor="text1"/>
        </w:rPr>
        <w:t>, with the skills and employability agendas having a more prominent positioning in the designs, often in response to shifting student demographics</w:t>
      </w:r>
      <w:r w:rsidR="00AA571E">
        <w:rPr>
          <w:rFonts w:cs="Arial"/>
          <w:color w:val="000000" w:themeColor="text1"/>
        </w:rPr>
        <w:t xml:space="preserve">, as evidenced in </w:t>
      </w:r>
      <w:r w:rsidR="00046A61">
        <w:rPr>
          <w:rFonts w:cs="Arial"/>
          <w:color w:val="000000" w:themeColor="text1"/>
        </w:rPr>
        <w:t>C</w:t>
      </w:r>
      <w:r w:rsidR="00AA571E">
        <w:rPr>
          <w:rFonts w:cs="Arial"/>
          <w:color w:val="000000" w:themeColor="text1"/>
        </w:rPr>
        <w:t xml:space="preserve">hapter </w:t>
      </w:r>
      <w:r w:rsidR="00046A61">
        <w:rPr>
          <w:rFonts w:cs="Arial"/>
          <w:color w:val="000000" w:themeColor="text1"/>
        </w:rPr>
        <w:t>E</w:t>
      </w:r>
      <w:r w:rsidR="00AA571E">
        <w:rPr>
          <w:rFonts w:cs="Arial"/>
          <w:color w:val="000000" w:themeColor="text1"/>
        </w:rPr>
        <w:t>ight</w:t>
      </w:r>
      <w:r w:rsidR="00B34905" w:rsidRPr="000A33F2">
        <w:rPr>
          <w:rFonts w:cs="Arial"/>
          <w:color w:val="000000" w:themeColor="text1"/>
        </w:rPr>
        <w:t xml:space="preserve">. </w:t>
      </w:r>
      <w:r w:rsidR="00B34905" w:rsidRPr="008C61B2">
        <w:rPr>
          <w:rFonts w:cs="Arial"/>
          <w:color w:val="000000" w:themeColor="text1"/>
        </w:rPr>
        <w:t>This</w:t>
      </w:r>
      <w:r w:rsidR="00B34905">
        <w:rPr>
          <w:rFonts w:cs="Arial"/>
          <w:color w:val="000000" w:themeColor="text1"/>
        </w:rPr>
        <w:t xml:space="preserve"> </w:t>
      </w:r>
      <w:r w:rsidR="00B92A81">
        <w:rPr>
          <w:rFonts w:cs="Arial"/>
          <w:color w:val="000000" w:themeColor="text1"/>
        </w:rPr>
        <w:t>also siuggests</w:t>
      </w:r>
      <w:r>
        <w:rPr>
          <w:rFonts w:cs="Arial"/>
          <w:color w:val="000000" w:themeColor="text1"/>
        </w:rPr>
        <w:t xml:space="preserve"> a</w:t>
      </w:r>
      <w:r w:rsidR="00B34905">
        <w:rPr>
          <w:rFonts w:cs="Arial"/>
          <w:color w:val="000000" w:themeColor="text1"/>
        </w:rPr>
        <w:t xml:space="preserve"> shared sense of uncertainty now transcending the level of prestige of the law schools. The visability of these influences was very similar as all institutions struggled to balance the maintenance of disciplinary expertise in the degree and student-led values with resource and efficiency concerns. Selective law schools are evidenced in the findings as changing their pedagogic discourse in course design </w:t>
      </w:r>
      <w:r w:rsidR="00B34905">
        <w:rPr>
          <w:rFonts w:cs="Arial"/>
          <w:color w:val="000000" w:themeColor="text1"/>
        </w:rPr>
        <w:lastRenderedPageBreak/>
        <w:t xml:space="preserve">from the ‘introjected’ to the ‘projected’ identity, as they respond to these market-led exigencies. </w:t>
      </w:r>
    </w:p>
    <w:p w14:paraId="638B5633" w14:textId="16222841" w:rsidR="00B34905" w:rsidRDefault="00B34905" w:rsidP="00B34905">
      <w:pPr>
        <w:spacing w:line="360" w:lineRule="auto"/>
        <w:jc w:val="both"/>
        <w:rPr>
          <w:rFonts w:cs="Arial"/>
          <w:color w:val="000000" w:themeColor="text1"/>
        </w:rPr>
      </w:pPr>
      <w:r>
        <w:rPr>
          <w:rFonts w:cs="Arial"/>
          <w:color w:val="000000" w:themeColor="text1"/>
        </w:rPr>
        <w:t xml:space="preserve">As discussed in </w:t>
      </w:r>
      <w:r w:rsidR="00046A61">
        <w:rPr>
          <w:rFonts w:cs="Arial"/>
          <w:color w:val="000000" w:themeColor="text1"/>
        </w:rPr>
        <w:t>C</w:t>
      </w:r>
      <w:r>
        <w:rPr>
          <w:rFonts w:cs="Arial"/>
          <w:color w:val="000000" w:themeColor="text1"/>
        </w:rPr>
        <w:t xml:space="preserve">hapter </w:t>
      </w:r>
      <w:r w:rsidR="00046A61">
        <w:rPr>
          <w:rFonts w:cs="Arial"/>
          <w:color w:val="000000" w:themeColor="text1"/>
        </w:rPr>
        <w:t>S</w:t>
      </w:r>
      <w:r>
        <w:rPr>
          <w:rFonts w:cs="Arial"/>
          <w:color w:val="000000" w:themeColor="text1"/>
        </w:rPr>
        <w:t xml:space="preserve">even, the findings </w:t>
      </w:r>
      <w:r w:rsidR="000963FE">
        <w:rPr>
          <w:rFonts w:cs="Arial"/>
          <w:color w:val="000000" w:themeColor="text1"/>
        </w:rPr>
        <w:t>of this investigation suggest that many of the wider paradigms advocated normatively as part of many law schools’ identities were evident in discussions during the design process, but were rarely influential or incorporated into</w:t>
      </w:r>
      <w:r>
        <w:rPr>
          <w:rFonts w:cs="Arial"/>
          <w:color w:val="000000" w:themeColor="text1"/>
        </w:rPr>
        <w:t xml:space="preserve"> the final design of the undergraduate degrees. These paradigms remained </w:t>
      </w:r>
      <w:r w:rsidR="000963FE">
        <w:rPr>
          <w:rFonts w:cs="Arial"/>
          <w:color w:val="000000" w:themeColor="text1"/>
        </w:rPr>
        <w:t>firmly in the realm of research or were occasionally acknowledged as</w:t>
      </w:r>
      <w:r>
        <w:rPr>
          <w:rFonts w:cs="Arial"/>
          <w:color w:val="000000" w:themeColor="text1"/>
        </w:rPr>
        <w:t xml:space="preserve"> ref</w:t>
      </w:r>
      <w:r w:rsidR="000963FE">
        <w:rPr>
          <w:rFonts w:cs="Arial"/>
          <w:color w:val="000000" w:themeColor="text1"/>
        </w:rPr>
        <w:t>le</w:t>
      </w:r>
      <w:r>
        <w:rPr>
          <w:rFonts w:cs="Arial"/>
          <w:color w:val="000000" w:themeColor="text1"/>
        </w:rPr>
        <w:t>cted in postgraduate provision. T</w:t>
      </w:r>
      <w:r w:rsidRPr="00EF0E6B">
        <w:rPr>
          <w:rFonts w:cs="Arial"/>
          <w:color w:val="000000" w:themeColor="text1"/>
        </w:rPr>
        <w:t xml:space="preserve">he direction of legal </w:t>
      </w:r>
      <w:r w:rsidR="000963FE">
        <w:rPr>
          <w:rFonts w:cs="Arial"/>
          <w:color w:val="000000" w:themeColor="text1"/>
        </w:rPr>
        <w:t>education, as recontextualised, was contested, whether with reference to these different paradigms influenced by complex identities within teams that were ever-present, or due to the conflict between the academic and vocational directions</w:t>
      </w:r>
      <w:r w:rsidRPr="00EF0E6B">
        <w:rPr>
          <w:rFonts w:cs="Arial"/>
          <w:color w:val="000000" w:themeColor="text1"/>
        </w:rPr>
        <w:t xml:space="preserve"> of some of the degrees. It was</w:t>
      </w:r>
      <w:r w:rsidR="000963FE">
        <w:rPr>
          <w:rFonts w:cs="Arial"/>
          <w:color w:val="000000" w:themeColor="text1"/>
        </w:rPr>
        <w:t>,</w:t>
      </w:r>
      <w:r>
        <w:rPr>
          <w:rFonts w:cs="Arial"/>
          <w:color w:val="000000" w:themeColor="text1"/>
        </w:rPr>
        <w:t xml:space="preserve"> however</w:t>
      </w:r>
      <w:r w:rsidR="000963FE">
        <w:rPr>
          <w:rFonts w:cs="Arial"/>
          <w:color w:val="000000" w:themeColor="text1"/>
        </w:rPr>
        <w:t>,</w:t>
      </w:r>
      <w:r>
        <w:rPr>
          <w:rFonts w:cs="Arial"/>
          <w:color w:val="000000" w:themeColor="text1"/>
        </w:rPr>
        <w:t xml:space="preserve"> only</w:t>
      </w:r>
      <w:r w:rsidRPr="00EF0E6B">
        <w:rPr>
          <w:rFonts w:cs="Arial"/>
          <w:color w:val="000000" w:themeColor="text1"/>
        </w:rPr>
        <w:t xml:space="preserve"> the latter that had </w:t>
      </w:r>
      <w:r w:rsidR="000963FE">
        <w:rPr>
          <w:rFonts w:cs="Arial"/>
          <w:color w:val="000000" w:themeColor="text1"/>
        </w:rPr>
        <w:t xml:space="preserve">an </w:t>
      </w:r>
      <w:r w:rsidRPr="00EF0E6B">
        <w:rPr>
          <w:rFonts w:cs="Arial"/>
          <w:color w:val="000000" w:themeColor="text1"/>
        </w:rPr>
        <w:t xml:space="preserve">impact </w:t>
      </w:r>
      <w:r>
        <w:rPr>
          <w:rFonts w:cs="Arial"/>
          <w:color w:val="000000" w:themeColor="text1"/>
        </w:rPr>
        <w:t>on design</w:t>
      </w:r>
      <w:r w:rsidRPr="00EF0E6B">
        <w:rPr>
          <w:rFonts w:cs="Arial"/>
          <w:color w:val="000000" w:themeColor="text1"/>
        </w:rPr>
        <w:t xml:space="preserve">. </w:t>
      </w:r>
    </w:p>
    <w:p w14:paraId="7376C009" w14:textId="7E9AA19C" w:rsidR="00B34905" w:rsidRDefault="00B34905" w:rsidP="00B34905">
      <w:pPr>
        <w:spacing w:before="0" w:beforeAutospacing="0" w:after="160" w:line="360" w:lineRule="auto"/>
        <w:jc w:val="both"/>
        <w:rPr>
          <w:rFonts w:cs="Arial"/>
          <w:color w:val="000000" w:themeColor="text1"/>
          <w:szCs w:val="24"/>
        </w:rPr>
      </w:pPr>
      <w:r>
        <w:rPr>
          <w:rFonts w:cs="Arial"/>
          <w:color w:val="000000" w:themeColor="text1"/>
        </w:rPr>
        <w:t>A</w:t>
      </w:r>
      <w:r w:rsidR="000963FE">
        <w:rPr>
          <w:rFonts w:cs="Arial"/>
          <w:color w:val="000000" w:themeColor="text1"/>
        </w:rPr>
        <w:t xml:space="preserve">lso </w:t>
      </w:r>
      <w:r>
        <w:rPr>
          <w:rFonts w:cs="Arial"/>
          <w:color w:val="000000" w:themeColor="text1"/>
        </w:rPr>
        <w:t xml:space="preserve">discussed in </w:t>
      </w:r>
      <w:r w:rsidR="00046A61">
        <w:rPr>
          <w:rFonts w:cs="Arial"/>
          <w:color w:val="000000" w:themeColor="text1"/>
        </w:rPr>
        <w:t>C</w:t>
      </w:r>
      <w:r>
        <w:rPr>
          <w:rFonts w:cs="Arial"/>
          <w:color w:val="000000" w:themeColor="text1"/>
        </w:rPr>
        <w:t xml:space="preserve">hapter </w:t>
      </w:r>
      <w:r w:rsidR="00046A61">
        <w:rPr>
          <w:rFonts w:cs="Arial"/>
          <w:color w:val="000000" w:themeColor="text1"/>
        </w:rPr>
        <w:t>S</w:t>
      </w:r>
      <w:r>
        <w:rPr>
          <w:rFonts w:cs="Arial"/>
          <w:color w:val="000000" w:themeColor="text1"/>
        </w:rPr>
        <w:t>even</w:t>
      </w:r>
      <w:r w:rsidR="000963FE">
        <w:rPr>
          <w:rFonts w:cs="Arial"/>
          <w:color w:val="000000" w:themeColor="text1"/>
        </w:rPr>
        <w:t>,</w:t>
      </w:r>
      <w:r>
        <w:rPr>
          <w:rFonts w:cs="Arial"/>
          <w:color w:val="000000" w:themeColor="text1"/>
        </w:rPr>
        <w:t xml:space="preserve"> the disconnect between the identities within the schools and what was recontextualised within the degrees was present</w:t>
      </w:r>
      <w:r w:rsidR="000963FE">
        <w:rPr>
          <w:rFonts w:cs="Arial"/>
          <w:color w:val="000000" w:themeColor="text1"/>
        </w:rPr>
        <w:t>,</w:t>
      </w:r>
      <w:r>
        <w:rPr>
          <w:rFonts w:cs="Arial"/>
          <w:color w:val="000000" w:themeColor="text1"/>
        </w:rPr>
        <w:t xml:space="preserve"> whether the school was selective or not. </w:t>
      </w:r>
      <w:r>
        <w:rPr>
          <w:rFonts w:cs="Arial"/>
          <w:color w:val="000000" w:themeColor="text1"/>
          <w:szCs w:val="24"/>
        </w:rPr>
        <w:t>T</w:t>
      </w:r>
      <w:r w:rsidRPr="000A33F2">
        <w:rPr>
          <w:rFonts w:cs="Arial"/>
          <w:color w:val="000000" w:themeColor="text1"/>
          <w:szCs w:val="24"/>
        </w:rPr>
        <w:t xml:space="preserve">he designers and their teams </w:t>
      </w:r>
      <w:r>
        <w:rPr>
          <w:rFonts w:cs="Arial"/>
          <w:color w:val="000000" w:themeColor="text1"/>
          <w:szCs w:val="24"/>
        </w:rPr>
        <w:t>were</w:t>
      </w:r>
      <w:r w:rsidRPr="000A33F2">
        <w:rPr>
          <w:rFonts w:cs="Arial"/>
          <w:color w:val="000000" w:themeColor="text1"/>
          <w:szCs w:val="24"/>
        </w:rPr>
        <w:t xml:space="preserve"> aware of the impact of the blurred </w:t>
      </w:r>
      <w:r>
        <w:rPr>
          <w:rFonts w:cs="Arial"/>
          <w:color w:val="000000" w:themeColor="text1"/>
          <w:szCs w:val="24"/>
        </w:rPr>
        <w:t>boundary</w:t>
      </w:r>
      <w:r w:rsidRPr="000A33F2">
        <w:rPr>
          <w:rFonts w:cs="Arial"/>
          <w:color w:val="000000" w:themeColor="text1"/>
          <w:szCs w:val="24"/>
        </w:rPr>
        <w:t xml:space="preserve"> between the academic liberal arts degree and vocational study</w:t>
      </w:r>
      <w:r>
        <w:rPr>
          <w:rFonts w:cs="Arial"/>
          <w:color w:val="000000" w:themeColor="text1"/>
          <w:szCs w:val="24"/>
        </w:rPr>
        <w:t xml:space="preserve">. Both the selective and non-selective law schools discussed the impact of the </w:t>
      </w:r>
      <w:r w:rsidR="000963FE">
        <w:rPr>
          <w:rFonts w:cs="Arial"/>
          <w:color w:val="000000" w:themeColor="text1"/>
          <w:szCs w:val="24"/>
        </w:rPr>
        <w:t>regulatory bodies' withdrawal, specifically the need for experiential clinics or problem-based learning, and the need to</w:t>
      </w:r>
      <w:r>
        <w:rPr>
          <w:rFonts w:cs="Arial"/>
          <w:color w:val="000000" w:themeColor="text1"/>
          <w:szCs w:val="24"/>
        </w:rPr>
        <w:t xml:space="preserve"> prepare students for the new SQE. Some selective law schools were engaging with the </w:t>
      </w:r>
      <w:r w:rsidR="000963FE">
        <w:rPr>
          <w:rFonts w:cs="Arial"/>
          <w:color w:val="000000" w:themeColor="text1"/>
          <w:szCs w:val="24"/>
        </w:rPr>
        <w:t>profession's</w:t>
      </w:r>
      <w:r>
        <w:rPr>
          <w:rFonts w:cs="Arial"/>
          <w:color w:val="000000" w:themeColor="text1"/>
          <w:szCs w:val="24"/>
        </w:rPr>
        <w:t xml:space="preserve"> </w:t>
      </w:r>
      <w:r w:rsidR="000963FE">
        <w:rPr>
          <w:rFonts w:cs="Arial"/>
          <w:color w:val="000000" w:themeColor="text1"/>
          <w:szCs w:val="24"/>
        </w:rPr>
        <w:t>externality</w:t>
      </w:r>
      <w:r>
        <w:rPr>
          <w:rFonts w:cs="Arial"/>
          <w:color w:val="000000" w:themeColor="text1"/>
          <w:szCs w:val="24"/>
        </w:rPr>
        <w:t xml:space="preserve">, although </w:t>
      </w:r>
      <w:r w:rsidR="000963FE">
        <w:rPr>
          <w:rFonts w:cs="Arial"/>
          <w:color w:val="000000" w:themeColor="text1"/>
          <w:szCs w:val="24"/>
        </w:rPr>
        <w:t>it was</w:t>
      </w:r>
      <w:r>
        <w:rPr>
          <w:rFonts w:cs="Arial"/>
          <w:color w:val="000000" w:themeColor="text1"/>
          <w:szCs w:val="24"/>
        </w:rPr>
        <w:t xml:space="preserve"> more prevalent in non-selective schools. What was interesting </w:t>
      </w:r>
      <w:r w:rsidR="000963FE">
        <w:rPr>
          <w:rFonts w:cs="Arial"/>
          <w:color w:val="000000" w:themeColor="text1"/>
          <w:szCs w:val="24"/>
        </w:rPr>
        <w:t>here,</w:t>
      </w:r>
      <w:r>
        <w:rPr>
          <w:rFonts w:cs="Arial"/>
          <w:color w:val="000000" w:themeColor="text1"/>
          <w:szCs w:val="24"/>
        </w:rPr>
        <w:t xml:space="preserve"> </w:t>
      </w:r>
      <w:r w:rsidR="000963FE">
        <w:rPr>
          <w:rFonts w:cs="Arial"/>
          <w:color w:val="000000" w:themeColor="text1"/>
          <w:szCs w:val="24"/>
        </w:rPr>
        <w:t>though,</w:t>
      </w:r>
      <w:r>
        <w:rPr>
          <w:rFonts w:cs="Arial"/>
          <w:color w:val="000000" w:themeColor="text1"/>
          <w:szCs w:val="24"/>
        </w:rPr>
        <w:t xml:space="preserve"> was the way some of this was presented. </w:t>
      </w:r>
    </w:p>
    <w:p w14:paraId="2DB20D7C" w14:textId="26022C61" w:rsidR="00B34905" w:rsidRDefault="00B34905" w:rsidP="00B34905">
      <w:pPr>
        <w:spacing w:before="0" w:beforeAutospacing="0" w:after="160" w:line="360" w:lineRule="auto"/>
        <w:jc w:val="both"/>
        <w:rPr>
          <w:rFonts w:cs="Arial"/>
          <w:color w:val="000000" w:themeColor="text1"/>
        </w:rPr>
      </w:pPr>
      <w:r>
        <w:rPr>
          <w:rFonts w:cs="Arial"/>
          <w:color w:val="000000" w:themeColor="text1"/>
        </w:rPr>
        <w:t>Much</w:t>
      </w:r>
      <w:r w:rsidRPr="00EF0E6B">
        <w:rPr>
          <w:rFonts w:cs="Arial"/>
          <w:color w:val="000000" w:themeColor="text1"/>
        </w:rPr>
        <w:t xml:space="preserve"> research has espoused the benefits that range from bridging the theory with practice, developing in situ lawyering skills, and exposing students to the possibility that law can be a vehicle for social justice, as well as developing </w:t>
      </w:r>
      <w:r>
        <w:rPr>
          <w:rFonts w:cs="Arial"/>
          <w:color w:val="000000" w:themeColor="text1"/>
        </w:rPr>
        <w:t>students’</w:t>
      </w:r>
      <w:r w:rsidRPr="00EF0E6B">
        <w:rPr>
          <w:rFonts w:cs="Arial"/>
          <w:color w:val="000000" w:themeColor="text1"/>
        </w:rPr>
        <w:t xml:space="preserve"> own emotional skills (Goldfarb, 2012; Arthurs, 2025; Jones, 2018).</w:t>
      </w:r>
      <w:r>
        <w:rPr>
          <w:rFonts w:cs="Arial"/>
          <w:color w:val="000000" w:themeColor="text1"/>
        </w:rPr>
        <w:t xml:space="preserve"> Here</w:t>
      </w:r>
      <w:r w:rsidR="000963FE">
        <w:rPr>
          <w:rFonts w:cs="Arial"/>
          <w:color w:val="000000" w:themeColor="text1"/>
        </w:rPr>
        <w:t>,</w:t>
      </w:r>
      <w:r>
        <w:rPr>
          <w:rFonts w:cs="Arial"/>
          <w:color w:val="000000" w:themeColor="text1"/>
        </w:rPr>
        <w:t xml:space="preserve"> the findings suggest that at least some of the designers saw the embedding of experiential learning as a means to democratise learning by shifting power balances in the classroom. This has been highlighted elsewhere in relation to problem-based learning in legal education research (Maharg, 2015). The findings </w:t>
      </w:r>
      <w:r>
        <w:rPr>
          <w:rFonts w:cs="Arial"/>
          <w:color w:val="000000" w:themeColor="text1"/>
        </w:rPr>
        <w:lastRenderedPageBreak/>
        <w:t xml:space="preserve">here go beyond </w:t>
      </w:r>
      <w:r w:rsidR="00C63E98" w:rsidRPr="00C63E98">
        <w:rPr>
          <w:rFonts w:cs="Arial"/>
          <w:color w:val="000000" w:themeColor="text1"/>
        </w:rPr>
        <w:t>this, however, and show that across different types of law school</w:t>
      </w:r>
      <w:r w:rsidR="00C63E98">
        <w:rPr>
          <w:rFonts w:cs="Arial"/>
          <w:color w:val="000000" w:themeColor="text1"/>
        </w:rPr>
        <w:t>s</w:t>
      </w:r>
      <w:r w:rsidR="00C63E98" w:rsidRPr="00C63E98">
        <w:rPr>
          <w:rFonts w:cs="Arial"/>
          <w:color w:val="000000" w:themeColor="text1"/>
        </w:rPr>
        <w:t>, this kind of learning was also introduced to integrate knowledge from across what might be seen as discrete units of learning, and this, in turn,</w:t>
      </w:r>
      <w:r>
        <w:rPr>
          <w:rFonts w:cs="Arial"/>
          <w:color w:val="000000" w:themeColor="text1"/>
        </w:rPr>
        <w:t xml:space="preserve"> was felt to be transformative for the students. This is interesting as it suggests that at least an element of vocationalisation here might enhance the chances of the students accessing what might be seen to be powerful knowledge. Sugarman’s reflection on the historical tension between legal education for legal practi</w:t>
      </w:r>
      <w:r w:rsidR="00C63E98">
        <w:rPr>
          <w:rFonts w:cs="Arial"/>
          <w:color w:val="000000" w:themeColor="text1"/>
        </w:rPr>
        <w:t>ti</w:t>
      </w:r>
      <w:r>
        <w:rPr>
          <w:rFonts w:cs="Arial"/>
          <w:color w:val="000000" w:themeColor="text1"/>
        </w:rPr>
        <w:t>oners and legal education as a university subject</w:t>
      </w:r>
      <w:r w:rsidR="00C63E98">
        <w:rPr>
          <w:rFonts w:cs="Arial"/>
          <w:color w:val="000000" w:themeColor="text1"/>
        </w:rPr>
        <w:t>,</w:t>
      </w:r>
      <w:r>
        <w:rPr>
          <w:rFonts w:cs="Arial"/>
          <w:color w:val="000000" w:themeColor="text1"/>
        </w:rPr>
        <w:t xml:space="preserve"> producing more than would be lawyers (Sugarman, 2025, </w:t>
      </w:r>
      <w:r w:rsidR="00C63E98">
        <w:rPr>
          <w:rFonts w:cs="Arial"/>
          <w:color w:val="000000" w:themeColor="text1"/>
        </w:rPr>
        <w:t xml:space="preserve">p. </w:t>
      </w:r>
      <w:r>
        <w:rPr>
          <w:rFonts w:cs="Arial"/>
          <w:color w:val="000000" w:themeColor="text1"/>
        </w:rPr>
        <w:t>148)</w:t>
      </w:r>
      <w:r w:rsidR="00C63E98">
        <w:rPr>
          <w:rFonts w:cs="Arial"/>
          <w:color w:val="000000" w:themeColor="text1"/>
        </w:rPr>
        <w:t>,</w:t>
      </w:r>
      <w:r>
        <w:rPr>
          <w:rFonts w:cs="Arial"/>
          <w:color w:val="000000" w:themeColor="text1"/>
        </w:rPr>
        <w:t xml:space="preserve"> is presented as less of a tension. Instead</w:t>
      </w:r>
      <w:r w:rsidR="00C63E98">
        <w:rPr>
          <w:rFonts w:cs="Arial"/>
          <w:color w:val="000000" w:themeColor="text1"/>
        </w:rPr>
        <w:t>,</w:t>
      </w:r>
      <w:r>
        <w:rPr>
          <w:rFonts w:cs="Arial"/>
          <w:color w:val="000000" w:themeColor="text1"/>
        </w:rPr>
        <w:t xml:space="preserve"> by blurring boundaries here between not only the vocational and academic, but also between subjects within the discipline, there is the potential for elements of vocational learning to provide access to Bernstein’s transformative sacred knowledge as the discursive gap is traversed.</w:t>
      </w:r>
    </w:p>
    <w:p w14:paraId="46B255B8" w14:textId="77777777" w:rsidR="00B34905" w:rsidRDefault="00B34905" w:rsidP="00B34905">
      <w:pPr>
        <w:spacing w:before="0" w:beforeAutospacing="0" w:after="160" w:line="360" w:lineRule="auto"/>
        <w:jc w:val="both"/>
        <w:rPr>
          <w:rFonts w:cs="Arial"/>
          <w:color w:val="000000" w:themeColor="text1"/>
        </w:rPr>
      </w:pPr>
    </w:p>
    <w:p w14:paraId="3DD891BD" w14:textId="77777777" w:rsidR="00B34905" w:rsidRDefault="00B34905" w:rsidP="008446AA">
      <w:pPr>
        <w:pStyle w:val="Heading2"/>
        <w:numPr>
          <w:ilvl w:val="0"/>
          <w:numId w:val="0"/>
        </w:numPr>
      </w:pPr>
      <w:bookmarkStart w:id="100" w:name="_Toc223348889"/>
      <w:r>
        <w:t>9.4. Practical implications and choices</w:t>
      </w:r>
      <w:bookmarkEnd w:id="100"/>
    </w:p>
    <w:p w14:paraId="5361BE1D" w14:textId="47EA45AB" w:rsidR="00765E64" w:rsidRPr="006370E7" w:rsidRDefault="005D4E8E" w:rsidP="006370E7">
      <w:pPr>
        <w:spacing w:line="360" w:lineRule="auto"/>
        <w:jc w:val="both"/>
        <w:rPr>
          <w:rFonts w:cs="Arial"/>
          <w:color w:val="000000" w:themeColor="text1"/>
        </w:rPr>
      </w:pPr>
      <w:r>
        <w:rPr>
          <w:rFonts w:cs="Arial"/>
          <w:color w:val="000000" w:themeColor="text1"/>
          <w:szCs w:val="24"/>
        </w:rPr>
        <w:t>All of the above issues</w:t>
      </w:r>
      <w:r w:rsidR="00C63E98">
        <w:rPr>
          <w:rFonts w:cs="Arial"/>
          <w:color w:val="000000" w:themeColor="text1"/>
          <w:szCs w:val="24"/>
        </w:rPr>
        <w:t xml:space="preserve"> were raised</w:t>
      </w:r>
      <w:r>
        <w:rPr>
          <w:rFonts w:cs="Arial"/>
          <w:color w:val="000000" w:themeColor="text1"/>
          <w:szCs w:val="24"/>
        </w:rPr>
        <w:t xml:space="preserve"> for designers in the context of the framing of learning within the degree. </w:t>
      </w:r>
      <w:r w:rsidR="00765E64" w:rsidRPr="00EF0E6B">
        <w:rPr>
          <w:rFonts w:cs="Arial"/>
          <w:color w:val="000000" w:themeColor="text1"/>
        </w:rPr>
        <w:t>The question often p</w:t>
      </w:r>
      <w:r w:rsidR="00C63E98">
        <w:rPr>
          <w:rFonts w:cs="Arial"/>
          <w:color w:val="000000" w:themeColor="text1"/>
        </w:rPr>
        <w:t>os</w:t>
      </w:r>
      <w:r w:rsidR="00765E64" w:rsidRPr="00EF0E6B">
        <w:rPr>
          <w:rFonts w:cs="Arial"/>
          <w:color w:val="000000" w:themeColor="text1"/>
        </w:rPr>
        <w:t>ed was</w:t>
      </w:r>
      <w:r w:rsidR="00C63E98">
        <w:rPr>
          <w:rFonts w:cs="Arial"/>
          <w:color w:val="000000" w:themeColor="text1"/>
        </w:rPr>
        <w:t>:</w:t>
      </w:r>
      <w:r w:rsidR="00765E64" w:rsidRPr="00EF0E6B">
        <w:rPr>
          <w:rFonts w:cs="Arial"/>
          <w:color w:val="000000" w:themeColor="text1"/>
        </w:rPr>
        <w:t xml:space="preserve"> </w:t>
      </w:r>
      <w:r w:rsidR="00C63E98">
        <w:rPr>
          <w:rFonts w:cs="Arial"/>
          <w:color w:val="000000" w:themeColor="text1"/>
        </w:rPr>
        <w:t>W</w:t>
      </w:r>
      <w:r w:rsidR="00C63E98" w:rsidRPr="00EF0E6B">
        <w:rPr>
          <w:rFonts w:cs="Arial"/>
          <w:color w:val="000000" w:themeColor="text1"/>
        </w:rPr>
        <w:t xml:space="preserve">here </w:t>
      </w:r>
      <w:r w:rsidR="00765E64" w:rsidRPr="00EF0E6B">
        <w:rPr>
          <w:rFonts w:cs="Arial"/>
          <w:color w:val="000000" w:themeColor="text1"/>
        </w:rPr>
        <w:t xml:space="preserve">is the space for everything within the design? For those </w:t>
      </w:r>
      <w:r>
        <w:rPr>
          <w:rFonts w:cs="Arial"/>
          <w:color w:val="000000" w:themeColor="text1"/>
        </w:rPr>
        <w:t>less selective law schools,</w:t>
      </w:r>
      <w:r w:rsidRPr="00EF0E6B">
        <w:rPr>
          <w:rFonts w:cs="Arial"/>
          <w:color w:val="000000" w:themeColor="text1"/>
        </w:rPr>
        <w:t xml:space="preserve"> </w:t>
      </w:r>
      <w:r w:rsidR="00C63E98">
        <w:rPr>
          <w:rFonts w:cs="Arial"/>
          <w:color w:val="000000" w:themeColor="text1"/>
        </w:rPr>
        <w:t>which</w:t>
      </w:r>
      <w:r w:rsidRPr="00EF0E6B">
        <w:rPr>
          <w:rFonts w:cs="Arial"/>
          <w:color w:val="000000" w:themeColor="text1"/>
        </w:rPr>
        <w:t xml:space="preserve"> </w:t>
      </w:r>
      <w:r>
        <w:rPr>
          <w:rFonts w:cs="Arial"/>
          <w:color w:val="000000" w:themeColor="text1"/>
        </w:rPr>
        <w:t xml:space="preserve">often </w:t>
      </w:r>
      <w:r w:rsidR="00765E64" w:rsidRPr="00EF0E6B">
        <w:rPr>
          <w:rFonts w:cs="Arial"/>
          <w:color w:val="000000" w:themeColor="text1"/>
        </w:rPr>
        <w:t xml:space="preserve">felt this pressure </w:t>
      </w:r>
      <w:r>
        <w:rPr>
          <w:rFonts w:cs="Arial"/>
          <w:color w:val="000000" w:themeColor="text1"/>
        </w:rPr>
        <w:t>more</w:t>
      </w:r>
      <w:r w:rsidR="00C63E98">
        <w:rPr>
          <w:rFonts w:cs="Arial"/>
          <w:color w:val="000000" w:themeColor="text1"/>
        </w:rPr>
        <w:t>,</w:t>
      </w:r>
      <w:r>
        <w:rPr>
          <w:rFonts w:cs="Arial"/>
          <w:color w:val="000000" w:themeColor="text1"/>
        </w:rPr>
        <w:t xml:space="preserve"> </w:t>
      </w:r>
      <w:r w:rsidR="00765E64" w:rsidRPr="00EF0E6B">
        <w:rPr>
          <w:rFonts w:cs="Arial"/>
          <w:color w:val="000000" w:themeColor="text1"/>
        </w:rPr>
        <w:t xml:space="preserve">there were options. One was to attempt to incorporate choice within the programme, and the other was to commit to one direction at </w:t>
      </w:r>
      <w:r w:rsidR="00C63E98">
        <w:rPr>
          <w:rFonts w:cs="Arial"/>
          <w:color w:val="000000" w:themeColor="text1"/>
        </w:rPr>
        <w:t xml:space="preserve">the </w:t>
      </w:r>
      <w:r w:rsidR="00765E64" w:rsidRPr="00EF0E6B">
        <w:rPr>
          <w:rFonts w:cs="Arial"/>
          <w:color w:val="000000" w:themeColor="text1"/>
        </w:rPr>
        <w:t>programme level, academic or vocational.</w:t>
      </w:r>
    </w:p>
    <w:p w14:paraId="18B65DAB" w14:textId="4C7A29D5" w:rsidR="00765E64" w:rsidRPr="00EF0E6B" w:rsidRDefault="00765E64" w:rsidP="0003652C">
      <w:pPr>
        <w:spacing w:line="360" w:lineRule="auto"/>
        <w:jc w:val="both"/>
        <w:rPr>
          <w:rFonts w:cs="Arial"/>
          <w:color w:val="000000" w:themeColor="text1"/>
        </w:rPr>
      </w:pPr>
      <w:r w:rsidRPr="00EF0E6B">
        <w:rPr>
          <w:rFonts w:cs="Arial"/>
          <w:color w:val="000000" w:themeColor="text1"/>
        </w:rPr>
        <w:t>The idea of choice is a theme that is prominent in the findings, whether in the context of optionality or the</w:t>
      </w:r>
      <w:r w:rsidR="00FD7BFA">
        <w:rPr>
          <w:rFonts w:cs="Arial"/>
          <w:color w:val="000000" w:themeColor="text1"/>
        </w:rPr>
        <w:t xml:space="preserve"> choice between a</w:t>
      </w:r>
      <w:r w:rsidR="00A85119">
        <w:rPr>
          <w:rFonts w:cs="Arial"/>
          <w:color w:val="000000" w:themeColor="text1"/>
        </w:rPr>
        <w:t xml:space="preserve">n academic </w:t>
      </w:r>
      <w:r w:rsidR="00A85119" w:rsidRPr="00EF0E6B">
        <w:rPr>
          <w:rFonts w:cs="Arial"/>
          <w:color w:val="000000" w:themeColor="text1"/>
        </w:rPr>
        <w:t>liberal art</w:t>
      </w:r>
      <w:r w:rsidR="00A85119">
        <w:rPr>
          <w:rFonts w:cs="Arial"/>
          <w:color w:val="000000" w:themeColor="text1"/>
        </w:rPr>
        <w:t>s</w:t>
      </w:r>
      <w:r w:rsidRPr="00EF0E6B">
        <w:rPr>
          <w:rFonts w:cs="Arial"/>
          <w:color w:val="000000" w:themeColor="text1"/>
        </w:rPr>
        <w:t xml:space="preserve"> </w:t>
      </w:r>
      <w:r w:rsidR="00FD7BFA">
        <w:rPr>
          <w:rFonts w:cs="Arial"/>
          <w:color w:val="000000" w:themeColor="text1"/>
        </w:rPr>
        <w:t xml:space="preserve">or a </w:t>
      </w:r>
      <w:r w:rsidRPr="00EF0E6B">
        <w:rPr>
          <w:rFonts w:cs="Arial"/>
          <w:color w:val="000000" w:themeColor="text1"/>
        </w:rPr>
        <w:t xml:space="preserve">vocational direction </w:t>
      </w:r>
      <w:r w:rsidR="00FD7BFA">
        <w:rPr>
          <w:rFonts w:cs="Arial"/>
          <w:color w:val="000000" w:themeColor="text1"/>
        </w:rPr>
        <w:t>in</w:t>
      </w:r>
      <w:r w:rsidRPr="00EF0E6B">
        <w:rPr>
          <w:rFonts w:cs="Arial"/>
          <w:color w:val="000000" w:themeColor="text1"/>
        </w:rPr>
        <w:t xml:space="preserve"> the degree. </w:t>
      </w:r>
      <w:r w:rsidR="00FD7BFA">
        <w:rPr>
          <w:rFonts w:cs="Arial"/>
          <w:color w:val="000000" w:themeColor="text1"/>
        </w:rPr>
        <w:t>The implications of this are important. For many</w:t>
      </w:r>
      <w:r w:rsidRPr="00EF0E6B">
        <w:rPr>
          <w:rFonts w:cs="Arial"/>
          <w:color w:val="000000" w:themeColor="text1"/>
        </w:rPr>
        <w:t xml:space="preserve"> students entering legal </w:t>
      </w:r>
      <w:r w:rsidR="00C63E98" w:rsidRPr="00EF0E6B">
        <w:rPr>
          <w:rFonts w:cs="Arial"/>
          <w:color w:val="000000" w:themeColor="text1"/>
        </w:rPr>
        <w:t>education</w:t>
      </w:r>
      <w:r w:rsidR="00C63E98">
        <w:rPr>
          <w:rFonts w:cs="Arial"/>
          <w:color w:val="000000" w:themeColor="text1"/>
        </w:rPr>
        <w:t>,</w:t>
      </w:r>
      <w:r w:rsidR="00C63E98" w:rsidRPr="00EF0E6B">
        <w:rPr>
          <w:rFonts w:cs="Arial"/>
          <w:color w:val="000000" w:themeColor="text1"/>
        </w:rPr>
        <w:t xml:space="preserve"> there</w:t>
      </w:r>
      <w:r w:rsidRPr="00EF0E6B">
        <w:rPr>
          <w:rFonts w:cs="Arial"/>
          <w:color w:val="000000" w:themeColor="text1"/>
        </w:rPr>
        <w:t xml:space="preserve"> is </w:t>
      </w:r>
      <w:r w:rsidR="005D4E8E">
        <w:rPr>
          <w:rFonts w:cs="Arial"/>
          <w:color w:val="000000" w:themeColor="text1"/>
        </w:rPr>
        <w:t xml:space="preserve">now </w:t>
      </w:r>
      <w:r w:rsidRPr="00EF0E6B">
        <w:rPr>
          <w:rFonts w:cs="Arial"/>
          <w:color w:val="000000" w:themeColor="text1"/>
        </w:rPr>
        <w:t xml:space="preserve">a sense of uncertainty. Most will initially </w:t>
      </w:r>
      <w:r w:rsidR="00C63E98">
        <w:rPr>
          <w:rFonts w:cs="Arial"/>
          <w:color w:val="000000" w:themeColor="text1"/>
        </w:rPr>
        <w:t>pursue</w:t>
      </w:r>
      <w:r w:rsidRPr="00EF0E6B">
        <w:rPr>
          <w:rFonts w:cs="Arial"/>
          <w:color w:val="000000" w:themeColor="text1"/>
        </w:rPr>
        <w:t xml:space="preserve"> a law degree because they want to be</w:t>
      </w:r>
      <w:r w:rsidR="00C63E98">
        <w:rPr>
          <w:rFonts w:cs="Arial"/>
          <w:color w:val="000000" w:themeColor="text1"/>
        </w:rPr>
        <w:t>come</w:t>
      </w:r>
      <w:r w:rsidRPr="00EF0E6B">
        <w:rPr>
          <w:rFonts w:cs="Arial"/>
          <w:color w:val="000000" w:themeColor="text1"/>
        </w:rPr>
        <w:t xml:space="preserve"> a lawyer</w:t>
      </w:r>
      <w:r w:rsidR="00A85119">
        <w:rPr>
          <w:rFonts w:cs="Arial"/>
          <w:color w:val="000000" w:themeColor="text1"/>
        </w:rPr>
        <w:t>. This</w:t>
      </w:r>
      <w:r w:rsidRPr="00EF0E6B">
        <w:rPr>
          <w:rFonts w:cs="Arial"/>
          <w:color w:val="000000" w:themeColor="text1"/>
        </w:rPr>
        <w:t xml:space="preserve"> sentiment often </w:t>
      </w:r>
      <w:r w:rsidR="00A85119" w:rsidRPr="00EF0E6B">
        <w:rPr>
          <w:rFonts w:cs="Arial"/>
          <w:color w:val="000000" w:themeColor="text1"/>
        </w:rPr>
        <w:t>changes,</w:t>
      </w:r>
      <w:r w:rsidRPr="00EF0E6B">
        <w:rPr>
          <w:rFonts w:cs="Arial"/>
          <w:color w:val="000000" w:themeColor="text1"/>
        </w:rPr>
        <w:t xml:space="preserve"> and most do not become lawyers</w:t>
      </w:r>
      <w:r w:rsidR="00C63E98">
        <w:rPr>
          <w:rFonts w:cs="Arial"/>
          <w:color w:val="000000" w:themeColor="text1"/>
        </w:rPr>
        <w:t>,</w:t>
      </w:r>
      <w:r w:rsidRPr="00EF0E6B">
        <w:rPr>
          <w:rFonts w:cs="Arial"/>
          <w:color w:val="000000" w:themeColor="text1"/>
        </w:rPr>
        <w:t xml:space="preserve"> whether out of choice or due to the restrictive entry opportunities into the profession, be th</w:t>
      </w:r>
      <w:r w:rsidR="000B4AC7">
        <w:rPr>
          <w:rFonts w:cs="Arial"/>
          <w:color w:val="000000" w:themeColor="text1"/>
        </w:rPr>
        <w:t>at</w:t>
      </w:r>
      <w:r w:rsidRPr="00EF0E6B">
        <w:rPr>
          <w:rFonts w:cs="Arial"/>
          <w:color w:val="000000" w:themeColor="text1"/>
        </w:rPr>
        <w:t xml:space="preserve"> the cost of entry, the </w:t>
      </w:r>
      <w:r w:rsidR="000B4AC7">
        <w:rPr>
          <w:rFonts w:cs="Arial"/>
          <w:color w:val="000000" w:themeColor="text1"/>
        </w:rPr>
        <w:t xml:space="preserve">saturation in the </w:t>
      </w:r>
      <w:r w:rsidR="00A85119">
        <w:rPr>
          <w:rFonts w:cs="Arial"/>
          <w:color w:val="000000" w:themeColor="text1"/>
        </w:rPr>
        <w:t>demand for</w:t>
      </w:r>
      <w:r w:rsidRPr="00EF0E6B">
        <w:rPr>
          <w:rFonts w:cs="Arial"/>
          <w:color w:val="000000" w:themeColor="text1"/>
        </w:rPr>
        <w:t xml:space="preserve"> lawyers, or the lack of diversity in the profession. Added to this uncertainty might be the way in which </w:t>
      </w:r>
      <w:r w:rsidR="00C63E98">
        <w:rPr>
          <w:rFonts w:cs="Arial"/>
          <w:color w:val="000000" w:themeColor="text1"/>
        </w:rPr>
        <w:t xml:space="preserve">we, as law </w:t>
      </w:r>
      <w:r w:rsidR="00C63E98">
        <w:rPr>
          <w:rFonts w:cs="Arial"/>
          <w:color w:val="000000" w:themeColor="text1"/>
        </w:rPr>
        <w:lastRenderedPageBreak/>
        <w:t>schools, academic communities, and ultimately designers, present</w:t>
      </w:r>
      <w:r w:rsidRPr="00EF0E6B">
        <w:rPr>
          <w:rFonts w:cs="Arial"/>
          <w:color w:val="000000" w:themeColor="text1"/>
        </w:rPr>
        <w:t xml:space="preserve"> the degrees</w:t>
      </w:r>
      <w:r w:rsidR="00AE67DC">
        <w:rPr>
          <w:rFonts w:cs="Arial"/>
          <w:color w:val="000000" w:themeColor="text1"/>
        </w:rPr>
        <w:t xml:space="preserve"> (Waters, 2018)</w:t>
      </w:r>
      <w:r w:rsidRPr="00EF0E6B">
        <w:rPr>
          <w:rFonts w:cs="Arial"/>
          <w:color w:val="000000" w:themeColor="text1"/>
        </w:rPr>
        <w:t xml:space="preserve">. </w:t>
      </w:r>
    </w:p>
    <w:p w14:paraId="5C8371AC" w14:textId="1A7E540C" w:rsidR="000409A0" w:rsidRDefault="000409A0" w:rsidP="0003652C">
      <w:pPr>
        <w:spacing w:line="360" w:lineRule="auto"/>
        <w:jc w:val="both"/>
        <w:rPr>
          <w:color w:val="000000" w:themeColor="text1"/>
        </w:rPr>
      </w:pPr>
      <w:r>
        <w:t xml:space="preserve">There are obvious </w:t>
      </w:r>
      <w:r w:rsidRPr="00124133">
        <w:rPr>
          <w:color w:val="000000" w:themeColor="text1"/>
        </w:rPr>
        <w:t xml:space="preserve">pressures placed on institutions to market their courses in such a way </w:t>
      </w:r>
      <w:r>
        <w:rPr>
          <w:color w:val="000000" w:themeColor="text1"/>
        </w:rPr>
        <w:t xml:space="preserve">as to reflect a balance or to provide choice to the student between an </w:t>
      </w:r>
      <w:r w:rsidRPr="00124133">
        <w:rPr>
          <w:color w:val="000000" w:themeColor="text1"/>
        </w:rPr>
        <w:t xml:space="preserve">academic liberal education </w:t>
      </w:r>
      <w:r>
        <w:rPr>
          <w:color w:val="000000" w:themeColor="text1"/>
        </w:rPr>
        <w:t xml:space="preserve">and an </w:t>
      </w:r>
      <w:r w:rsidRPr="00124133">
        <w:rPr>
          <w:color w:val="000000" w:themeColor="text1"/>
        </w:rPr>
        <w:t xml:space="preserve">introduction </w:t>
      </w:r>
      <w:r w:rsidRPr="00D0183E">
        <w:rPr>
          <w:color w:val="000000" w:themeColor="text1"/>
        </w:rPr>
        <w:t>to the focus and epistemology of a vocational education</w:t>
      </w:r>
      <w:r>
        <w:rPr>
          <w:color w:val="000000" w:themeColor="text1"/>
        </w:rPr>
        <w:t>. At the same time</w:t>
      </w:r>
      <w:r w:rsidR="00F477CC">
        <w:rPr>
          <w:color w:val="000000" w:themeColor="text1"/>
        </w:rPr>
        <w:t>,</w:t>
      </w:r>
      <w:r>
        <w:rPr>
          <w:color w:val="000000" w:themeColor="text1"/>
        </w:rPr>
        <w:t xml:space="preserve"> </w:t>
      </w:r>
      <w:r w:rsidR="00A85119">
        <w:rPr>
          <w:color w:val="000000" w:themeColor="text1"/>
        </w:rPr>
        <w:t xml:space="preserve">institutions </w:t>
      </w:r>
      <w:r>
        <w:rPr>
          <w:color w:val="000000" w:themeColor="text1"/>
        </w:rPr>
        <w:t>must be mindful of</w:t>
      </w:r>
      <w:r w:rsidRPr="00124133">
        <w:rPr>
          <w:color w:val="000000" w:themeColor="text1"/>
        </w:rPr>
        <w:t xml:space="preserve"> the pressures on students to choose </w:t>
      </w:r>
      <w:r w:rsidR="00F477CC">
        <w:rPr>
          <w:color w:val="000000" w:themeColor="text1"/>
        </w:rPr>
        <w:t xml:space="preserve">a </w:t>
      </w:r>
      <w:r w:rsidRPr="00124133">
        <w:rPr>
          <w:color w:val="000000" w:themeColor="text1"/>
        </w:rPr>
        <w:t xml:space="preserve">study that is economically viable and </w:t>
      </w:r>
      <w:r>
        <w:rPr>
          <w:color w:val="000000" w:themeColor="text1"/>
        </w:rPr>
        <w:t xml:space="preserve">perceived </w:t>
      </w:r>
      <w:r w:rsidRPr="00D0183E">
        <w:rPr>
          <w:color w:val="000000" w:themeColor="text1"/>
        </w:rPr>
        <w:t>as relevant (Thornton, 202</w:t>
      </w:r>
      <w:r w:rsidR="00F81F7F">
        <w:rPr>
          <w:color w:val="000000" w:themeColor="text1"/>
        </w:rPr>
        <w:t>2</w:t>
      </w:r>
      <w:r w:rsidRPr="00D0183E">
        <w:rPr>
          <w:color w:val="000000" w:themeColor="text1"/>
        </w:rPr>
        <w:t>).</w:t>
      </w:r>
      <w:r w:rsidR="00A85119">
        <w:rPr>
          <w:color w:val="000000" w:themeColor="text1"/>
        </w:rPr>
        <w:t xml:space="preserve"> </w:t>
      </w:r>
    </w:p>
    <w:p w14:paraId="1711560C" w14:textId="05A3AE28" w:rsidR="00765E64" w:rsidRPr="006370E7" w:rsidRDefault="00765E64" w:rsidP="006370E7">
      <w:pPr>
        <w:spacing w:line="360" w:lineRule="auto"/>
        <w:jc w:val="both"/>
        <w:rPr>
          <w:rFonts w:cs="Arial"/>
          <w:color w:val="000000" w:themeColor="text1"/>
        </w:rPr>
      </w:pPr>
      <w:r w:rsidRPr="00EF0E6B">
        <w:rPr>
          <w:rFonts w:cs="Arial"/>
          <w:color w:val="000000" w:themeColor="text1"/>
        </w:rPr>
        <w:t xml:space="preserve">The introduction of pathways through degrees might provide </w:t>
      </w:r>
      <w:r w:rsidR="000409A0">
        <w:rPr>
          <w:rFonts w:cs="Arial"/>
          <w:color w:val="000000" w:themeColor="text1"/>
        </w:rPr>
        <w:t xml:space="preserve">the element of </w:t>
      </w:r>
      <w:r w:rsidR="000963FE" w:rsidRPr="00EF0E6B">
        <w:rPr>
          <w:rFonts w:cs="Arial"/>
          <w:color w:val="000000" w:themeColor="text1"/>
        </w:rPr>
        <w:t>choice</w:t>
      </w:r>
      <w:r w:rsidR="000963FE">
        <w:rPr>
          <w:rFonts w:cs="Arial"/>
          <w:color w:val="000000" w:themeColor="text1"/>
        </w:rPr>
        <w:t>, but</w:t>
      </w:r>
      <w:r w:rsidRPr="00EF0E6B">
        <w:rPr>
          <w:rFonts w:cs="Arial"/>
          <w:color w:val="000000" w:themeColor="text1"/>
        </w:rPr>
        <w:t xml:space="preserve"> </w:t>
      </w:r>
      <w:r w:rsidR="00A85119">
        <w:rPr>
          <w:rFonts w:cs="Arial"/>
          <w:color w:val="000000" w:themeColor="text1"/>
        </w:rPr>
        <w:t>may undermine the programme as an</w:t>
      </w:r>
      <w:r w:rsidRPr="00EF0E6B">
        <w:rPr>
          <w:rFonts w:cs="Arial"/>
          <w:color w:val="000000" w:themeColor="text1"/>
        </w:rPr>
        <w:t xml:space="preserve"> integrated approach to learning</w:t>
      </w:r>
      <w:r w:rsidR="00A85119">
        <w:rPr>
          <w:rFonts w:cs="Arial"/>
          <w:color w:val="000000" w:themeColor="text1"/>
        </w:rPr>
        <w:t>. The lack of a</w:t>
      </w:r>
      <w:r w:rsidRPr="00EF0E6B">
        <w:rPr>
          <w:rFonts w:cs="Arial"/>
          <w:color w:val="000000" w:themeColor="text1"/>
        </w:rPr>
        <w:t xml:space="preserve"> clear message as to the purpose of a programme, </w:t>
      </w:r>
      <w:r w:rsidR="00A85119">
        <w:rPr>
          <w:rFonts w:cs="Arial"/>
          <w:color w:val="000000" w:themeColor="text1"/>
        </w:rPr>
        <w:t>and a segmented presentation of the units of study within it, might present a degree that is</w:t>
      </w:r>
      <w:r w:rsidRPr="00EF0E6B">
        <w:rPr>
          <w:rFonts w:cs="Arial"/>
          <w:color w:val="000000" w:themeColor="text1"/>
        </w:rPr>
        <w:t xml:space="preserve"> trying to be all things to all people</w:t>
      </w:r>
      <w:r w:rsidR="00A85119">
        <w:rPr>
          <w:rFonts w:cs="Arial"/>
          <w:color w:val="000000" w:themeColor="text1"/>
        </w:rPr>
        <w:t>, and in the process</w:t>
      </w:r>
      <w:r w:rsidR="00C63E98">
        <w:rPr>
          <w:rFonts w:cs="Arial"/>
          <w:color w:val="000000" w:themeColor="text1"/>
        </w:rPr>
        <w:t>,</w:t>
      </w:r>
      <w:r w:rsidR="00A85119">
        <w:rPr>
          <w:rFonts w:cs="Arial"/>
          <w:color w:val="000000" w:themeColor="text1"/>
        </w:rPr>
        <w:t xml:space="preserve"> is insufficient for any focus. </w:t>
      </w:r>
    </w:p>
    <w:p w14:paraId="18C7CF73" w14:textId="0947379B" w:rsidR="005D4E8E" w:rsidRDefault="00A85119" w:rsidP="005D4E8E">
      <w:pPr>
        <w:spacing w:line="360" w:lineRule="auto"/>
        <w:jc w:val="both"/>
        <w:rPr>
          <w:rFonts w:cs="Arial"/>
          <w:color w:val="000000" w:themeColor="text1"/>
        </w:rPr>
      </w:pPr>
      <w:r>
        <w:rPr>
          <w:rFonts w:cs="Arial"/>
          <w:color w:val="000000" w:themeColor="text1"/>
        </w:rPr>
        <w:t>The alternativ</w:t>
      </w:r>
      <w:r w:rsidR="00F477CC">
        <w:rPr>
          <w:rFonts w:cs="Arial"/>
          <w:color w:val="000000" w:themeColor="text1"/>
        </w:rPr>
        <w:t>e</w:t>
      </w:r>
      <w:r>
        <w:rPr>
          <w:rFonts w:cs="Arial"/>
          <w:color w:val="000000" w:themeColor="text1"/>
        </w:rPr>
        <w:t xml:space="preserve"> </w:t>
      </w:r>
      <w:r w:rsidR="00F477CC">
        <w:rPr>
          <w:rFonts w:cs="Arial"/>
          <w:color w:val="000000" w:themeColor="text1"/>
        </w:rPr>
        <w:t xml:space="preserve">to </w:t>
      </w:r>
      <w:r>
        <w:rPr>
          <w:rFonts w:cs="Arial"/>
          <w:color w:val="000000" w:themeColor="text1"/>
        </w:rPr>
        <w:t xml:space="preserve">committing to a specific purpose, </w:t>
      </w:r>
      <w:r w:rsidR="00F477CC">
        <w:rPr>
          <w:rFonts w:cs="Arial"/>
          <w:color w:val="000000" w:themeColor="text1"/>
        </w:rPr>
        <w:t>whether</w:t>
      </w:r>
      <w:r>
        <w:rPr>
          <w:rFonts w:cs="Arial"/>
          <w:color w:val="000000" w:themeColor="text1"/>
        </w:rPr>
        <w:t xml:space="preserve"> led by an academic paradigm or a vocational agenda</w:t>
      </w:r>
      <w:r w:rsidR="00F477CC">
        <w:rPr>
          <w:rFonts w:cs="Arial"/>
          <w:color w:val="000000" w:themeColor="text1"/>
        </w:rPr>
        <w:t>,</w:t>
      </w:r>
      <w:r>
        <w:rPr>
          <w:rFonts w:cs="Arial"/>
          <w:color w:val="000000" w:themeColor="text1"/>
        </w:rPr>
        <w:t xml:space="preserve"> is possible. From the findings</w:t>
      </w:r>
      <w:r w:rsidR="00F477CC">
        <w:rPr>
          <w:rFonts w:cs="Arial"/>
          <w:color w:val="000000" w:themeColor="text1"/>
        </w:rPr>
        <w:t>,</w:t>
      </w:r>
      <w:r>
        <w:rPr>
          <w:rFonts w:cs="Arial"/>
          <w:color w:val="000000" w:themeColor="text1"/>
        </w:rPr>
        <w:t xml:space="preserve"> it seems it may not be as risky an endeavour </w:t>
      </w:r>
      <w:r w:rsidR="00765E64" w:rsidRPr="00EF0E6B">
        <w:rPr>
          <w:rFonts w:cs="Arial"/>
          <w:color w:val="000000" w:themeColor="text1"/>
        </w:rPr>
        <w:t xml:space="preserve">for the selective </w:t>
      </w:r>
      <w:r w:rsidR="00E76CF0">
        <w:rPr>
          <w:rFonts w:cs="Arial"/>
          <w:color w:val="000000" w:themeColor="text1"/>
        </w:rPr>
        <w:t>school</w:t>
      </w:r>
      <w:r w:rsidR="00E76CF0" w:rsidRPr="00EF0E6B">
        <w:rPr>
          <w:rFonts w:cs="Arial"/>
          <w:color w:val="000000" w:themeColor="text1"/>
        </w:rPr>
        <w:t>s</w:t>
      </w:r>
      <w:r w:rsidR="00765E64" w:rsidRPr="00EF0E6B">
        <w:rPr>
          <w:rFonts w:cs="Arial"/>
          <w:color w:val="000000" w:themeColor="text1"/>
        </w:rPr>
        <w:t xml:space="preserve">. </w:t>
      </w:r>
      <w:r>
        <w:rPr>
          <w:rFonts w:cs="Arial"/>
          <w:color w:val="000000" w:themeColor="text1"/>
        </w:rPr>
        <w:t>There is a confidence there that their</w:t>
      </w:r>
      <w:r w:rsidR="00765E64" w:rsidRPr="00EF0E6B">
        <w:rPr>
          <w:rFonts w:cs="Arial"/>
          <w:color w:val="000000" w:themeColor="text1"/>
        </w:rPr>
        <w:t xml:space="preserve"> degree</w:t>
      </w:r>
      <w:r>
        <w:rPr>
          <w:rFonts w:cs="Arial"/>
          <w:color w:val="000000" w:themeColor="text1"/>
        </w:rPr>
        <w:t>s</w:t>
      </w:r>
      <w:r w:rsidR="00765E64" w:rsidRPr="00EF0E6B">
        <w:rPr>
          <w:rFonts w:cs="Arial"/>
          <w:color w:val="000000" w:themeColor="text1"/>
        </w:rPr>
        <w:t xml:space="preserve"> will provide the cultural capital to enable the students to progress in the profession</w:t>
      </w:r>
      <w:r w:rsidR="00F477CC">
        <w:rPr>
          <w:rFonts w:cs="Arial"/>
          <w:color w:val="000000" w:themeColor="text1"/>
        </w:rPr>
        <w:t>,</w:t>
      </w:r>
      <w:r w:rsidR="00765E64" w:rsidRPr="00EF0E6B">
        <w:rPr>
          <w:rFonts w:cs="Arial"/>
          <w:color w:val="000000" w:themeColor="text1"/>
        </w:rPr>
        <w:t xml:space="preserve"> should they wish to. Adopting one message, academic or vocational, </w:t>
      </w:r>
      <w:r w:rsidR="00F477CC">
        <w:rPr>
          <w:rFonts w:cs="Arial"/>
          <w:color w:val="000000" w:themeColor="text1"/>
        </w:rPr>
        <w:t>is, however,</w:t>
      </w:r>
      <w:r w:rsidR="00765E64" w:rsidRPr="00EF0E6B">
        <w:rPr>
          <w:rFonts w:cs="Arial"/>
          <w:color w:val="000000" w:themeColor="text1"/>
        </w:rPr>
        <w:t xml:space="preserve"> a risk for the less selective</w:t>
      </w:r>
      <w:r w:rsidR="00F477CC">
        <w:rPr>
          <w:rFonts w:cs="Arial"/>
          <w:color w:val="000000" w:themeColor="text1"/>
        </w:rPr>
        <w:t>.</w:t>
      </w:r>
      <w:r w:rsidR="00765E64" w:rsidRPr="00EF0E6B">
        <w:rPr>
          <w:rFonts w:cs="Arial"/>
          <w:color w:val="000000" w:themeColor="text1"/>
        </w:rPr>
        <w:t xml:space="preserve"> </w:t>
      </w:r>
      <w:r w:rsidR="00F477CC">
        <w:rPr>
          <w:rFonts w:cs="Arial"/>
          <w:color w:val="000000" w:themeColor="text1"/>
        </w:rPr>
        <w:t>I</w:t>
      </w:r>
      <w:r w:rsidR="00F477CC" w:rsidRPr="00EF0E6B">
        <w:rPr>
          <w:rFonts w:cs="Arial"/>
          <w:color w:val="000000" w:themeColor="text1"/>
        </w:rPr>
        <w:t xml:space="preserve">n </w:t>
      </w:r>
      <w:r w:rsidR="00765E64" w:rsidRPr="00EF0E6B">
        <w:rPr>
          <w:rFonts w:cs="Arial"/>
          <w:color w:val="000000" w:themeColor="text1"/>
        </w:rPr>
        <w:t>two cases in the findings, one where the commitment was to a practice-based approach, and another a liberal arts approach, this proved not to be sustainable over time.</w:t>
      </w:r>
      <w:r w:rsidR="00523F3B">
        <w:rPr>
          <w:rFonts w:cs="Arial"/>
          <w:color w:val="000000" w:themeColor="text1"/>
        </w:rPr>
        <w:t xml:space="preserve"> It is also a risk for students as their options beyond their degree might be resource o</w:t>
      </w:r>
      <w:r w:rsidR="007674C5">
        <w:rPr>
          <w:rFonts w:cs="Arial"/>
          <w:color w:val="000000" w:themeColor="text1"/>
        </w:rPr>
        <w:t>r</w:t>
      </w:r>
      <w:r w:rsidR="00523F3B">
        <w:rPr>
          <w:rFonts w:cs="Arial"/>
          <w:color w:val="000000" w:themeColor="text1"/>
        </w:rPr>
        <w:t xml:space="preserve"> time</w:t>
      </w:r>
      <w:r w:rsidR="00F477CC">
        <w:rPr>
          <w:rFonts w:cs="Arial"/>
          <w:color w:val="000000" w:themeColor="text1"/>
        </w:rPr>
        <w:t>-</w:t>
      </w:r>
      <w:r w:rsidR="00523F3B">
        <w:rPr>
          <w:rFonts w:cs="Arial"/>
          <w:color w:val="000000" w:themeColor="text1"/>
        </w:rPr>
        <w:t>limited. Here</w:t>
      </w:r>
      <w:r w:rsidR="00F477CC">
        <w:rPr>
          <w:rFonts w:cs="Arial"/>
          <w:color w:val="000000" w:themeColor="text1"/>
        </w:rPr>
        <w:t>,</w:t>
      </w:r>
      <w:r w:rsidR="00523F3B">
        <w:rPr>
          <w:rFonts w:cs="Arial"/>
          <w:color w:val="000000" w:themeColor="text1"/>
        </w:rPr>
        <w:t xml:space="preserve"> the degree may need to be the vehicle for all potential later choices. </w:t>
      </w:r>
    </w:p>
    <w:p w14:paraId="0FEEE538" w14:textId="0C2CE32B" w:rsidR="00523F3B" w:rsidRPr="008446AA" w:rsidRDefault="005D4E8E" w:rsidP="008446AA">
      <w:pPr>
        <w:pStyle w:val="Heading2"/>
        <w:numPr>
          <w:ilvl w:val="0"/>
          <w:numId w:val="0"/>
        </w:numPr>
        <w:rPr>
          <w:rFonts w:cs="Arial"/>
          <w:color w:val="000000" w:themeColor="text1"/>
        </w:rPr>
      </w:pPr>
      <w:bookmarkStart w:id="101" w:name="_Toc223348890"/>
      <w:r>
        <w:rPr>
          <w:rFonts w:cs="Arial"/>
          <w:color w:val="000000" w:themeColor="text1"/>
        </w:rPr>
        <w:t xml:space="preserve">9.5. </w:t>
      </w:r>
      <w:r>
        <w:t>The future</w:t>
      </w:r>
      <w:bookmarkEnd w:id="101"/>
    </w:p>
    <w:p w14:paraId="21A60F7E" w14:textId="298B791B" w:rsidR="00765E64" w:rsidRDefault="00523F3B" w:rsidP="0003652C">
      <w:pPr>
        <w:spacing w:line="360" w:lineRule="auto"/>
        <w:jc w:val="both"/>
        <w:rPr>
          <w:rFonts w:cs="Arial"/>
          <w:color w:val="000000" w:themeColor="text1"/>
        </w:rPr>
      </w:pPr>
      <w:r>
        <w:rPr>
          <w:rFonts w:cs="Arial"/>
          <w:color w:val="000000" w:themeColor="text1"/>
        </w:rPr>
        <w:t>Traditional</w:t>
      </w:r>
      <w:r w:rsidR="00765E64" w:rsidRPr="00EF0E6B">
        <w:rPr>
          <w:rFonts w:cs="Arial"/>
          <w:color w:val="000000" w:themeColor="text1"/>
        </w:rPr>
        <w:t xml:space="preserve"> law degrees have often claimed to present distinctive</w:t>
      </w:r>
      <w:r w:rsidR="00F477CC">
        <w:rPr>
          <w:rFonts w:cs="Arial"/>
          <w:color w:val="000000" w:themeColor="text1"/>
        </w:rPr>
        <w:t>,</w:t>
      </w:r>
      <w:r w:rsidR="00765E64" w:rsidRPr="00EF0E6B">
        <w:rPr>
          <w:rFonts w:cs="Arial"/>
          <w:color w:val="000000" w:themeColor="text1"/>
        </w:rPr>
        <w:t xml:space="preserve"> recognisable identities</w:t>
      </w:r>
      <w:r>
        <w:rPr>
          <w:rFonts w:cs="Arial"/>
          <w:color w:val="000000" w:themeColor="text1"/>
        </w:rPr>
        <w:t xml:space="preserve">. This is often evident </w:t>
      </w:r>
      <w:r w:rsidR="00765E64" w:rsidRPr="00EF0E6B">
        <w:rPr>
          <w:rFonts w:cs="Arial"/>
          <w:color w:val="000000" w:themeColor="text1"/>
        </w:rPr>
        <w:t xml:space="preserve">in presentations to validation panels, in the marketing to prospective students, or as emanating from the identity of the </w:t>
      </w:r>
      <w:r>
        <w:rPr>
          <w:rFonts w:cs="Arial"/>
          <w:color w:val="000000" w:themeColor="text1"/>
        </w:rPr>
        <w:t>l</w:t>
      </w:r>
      <w:r w:rsidR="00765E64" w:rsidRPr="00EF0E6B">
        <w:rPr>
          <w:rFonts w:cs="Arial"/>
          <w:color w:val="000000" w:themeColor="text1"/>
        </w:rPr>
        <w:t xml:space="preserve">aw </w:t>
      </w:r>
      <w:r>
        <w:rPr>
          <w:rFonts w:cs="Arial"/>
          <w:color w:val="000000" w:themeColor="text1"/>
        </w:rPr>
        <w:lastRenderedPageBreak/>
        <w:t>s</w:t>
      </w:r>
      <w:r w:rsidR="00765E64" w:rsidRPr="00EF0E6B">
        <w:rPr>
          <w:rFonts w:cs="Arial"/>
          <w:color w:val="000000" w:themeColor="text1"/>
        </w:rPr>
        <w:t xml:space="preserve">chool or the academics within it. This is </w:t>
      </w:r>
      <w:r w:rsidR="001F1489" w:rsidRPr="00EF0E6B">
        <w:rPr>
          <w:rFonts w:cs="Arial"/>
          <w:color w:val="000000" w:themeColor="text1"/>
        </w:rPr>
        <w:t xml:space="preserve">even </w:t>
      </w:r>
      <w:r w:rsidR="00F477CC">
        <w:rPr>
          <w:rFonts w:cs="Arial"/>
          <w:color w:val="000000" w:themeColor="text1"/>
        </w:rPr>
        <w:t>though, on paper, they may often look</w:t>
      </w:r>
      <w:r w:rsidR="00765E64" w:rsidRPr="00EF0E6B">
        <w:rPr>
          <w:rFonts w:cs="Arial"/>
          <w:color w:val="000000" w:themeColor="text1"/>
        </w:rPr>
        <w:t xml:space="preserve"> very similar</w:t>
      </w:r>
      <w:r w:rsidR="00390788">
        <w:rPr>
          <w:rFonts w:cs="Arial"/>
          <w:color w:val="000000" w:themeColor="text1"/>
        </w:rPr>
        <w:t xml:space="preserve"> (Vaughan, </w:t>
      </w:r>
      <w:r w:rsidR="001000C5">
        <w:rPr>
          <w:rFonts w:cs="Arial"/>
          <w:color w:val="000000" w:themeColor="text1"/>
        </w:rPr>
        <w:t>2020)</w:t>
      </w:r>
      <w:r w:rsidR="00765E64" w:rsidRPr="00EF0E6B">
        <w:rPr>
          <w:rFonts w:cs="Arial"/>
          <w:color w:val="000000" w:themeColor="text1"/>
        </w:rPr>
        <w:t>. A law degree might</w:t>
      </w:r>
      <w:r w:rsidR="00F477CC">
        <w:rPr>
          <w:rFonts w:cs="Arial"/>
          <w:color w:val="000000" w:themeColor="text1"/>
        </w:rPr>
        <w:t>,</w:t>
      </w:r>
      <w:r w:rsidR="00765E64" w:rsidRPr="00EF0E6B">
        <w:rPr>
          <w:rFonts w:cs="Arial"/>
          <w:color w:val="000000" w:themeColor="text1"/>
        </w:rPr>
        <w:t xml:space="preserve"> in practice</w:t>
      </w:r>
      <w:r w:rsidR="00F477CC">
        <w:rPr>
          <w:rFonts w:cs="Arial"/>
          <w:color w:val="000000" w:themeColor="text1"/>
        </w:rPr>
        <w:t>,</w:t>
      </w:r>
      <w:r w:rsidR="00765E64" w:rsidRPr="00EF0E6B">
        <w:rPr>
          <w:rFonts w:cs="Arial"/>
          <w:color w:val="000000" w:themeColor="text1"/>
        </w:rPr>
        <w:t xml:space="preserve"> highlight the content of specific modules, or the offering of options beyond the core foundations, or the overlaying of </w:t>
      </w:r>
      <w:r w:rsidR="00B43084">
        <w:rPr>
          <w:rFonts w:cs="Arial"/>
          <w:color w:val="000000" w:themeColor="text1"/>
        </w:rPr>
        <w:t xml:space="preserve">disciplinary learning </w:t>
      </w:r>
      <w:r w:rsidR="00765E64" w:rsidRPr="00EF0E6B">
        <w:rPr>
          <w:rFonts w:cs="Arial"/>
          <w:color w:val="000000" w:themeColor="text1"/>
        </w:rPr>
        <w:t xml:space="preserve">with a mapping embedding skills or problem-based learning in their presentation (Hall &amp; Rasiah, 2022). These are all ways in which law degrees have presented themselves as distinctive from others. </w:t>
      </w:r>
    </w:p>
    <w:p w14:paraId="052B1F36" w14:textId="3BFFD8DD" w:rsidR="005D4E8E" w:rsidRPr="00EF0E6B" w:rsidRDefault="005D4E8E" w:rsidP="0003652C">
      <w:pPr>
        <w:spacing w:line="360" w:lineRule="auto"/>
        <w:jc w:val="both"/>
        <w:rPr>
          <w:rFonts w:cs="Arial"/>
          <w:color w:val="000000" w:themeColor="text1"/>
        </w:rPr>
      </w:pPr>
      <w:r>
        <w:rPr>
          <w:rFonts w:cs="Arial"/>
          <w:color w:val="000000" w:themeColor="text1"/>
        </w:rPr>
        <w:t>This</w:t>
      </w:r>
      <w:r w:rsidR="00F477CC">
        <w:rPr>
          <w:rFonts w:cs="Arial"/>
          <w:color w:val="000000" w:themeColor="text1"/>
        </w:rPr>
        <w:t>, however, is</w:t>
      </w:r>
      <w:r>
        <w:rPr>
          <w:rFonts w:cs="Arial"/>
          <w:color w:val="000000" w:themeColor="text1"/>
        </w:rPr>
        <w:t xml:space="preserve"> a point of change and uncertainty. This investigation has allowed for an interrogation of how designers respond to this</w:t>
      </w:r>
      <w:r w:rsidR="000963FE">
        <w:rPr>
          <w:rFonts w:cs="Arial"/>
          <w:color w:val="000000" w:themeColor="text1"/>
        </w:rPr>
        <w:t>,</w:t>
      </w:r>
      <w:r>
        <w:rPr>
          <w:rFonts w:cs="Arial"/>
          <w:color w:val="000000" w:themeColor="text1"/>
        </w:rPr>
        <w:t xml:space="preserve"> </w:t>
      </w:r>
      <w:r w:rsidR="00F477CC">
        <w:rPr>
          <w:rFonts w:cs="Arial"/>
          <w:color w:val="000000" w:themeColor="text1"/>
        </w:rPr>
        <w:t xml:space="preserve">either </w:t>
      </w:r>
      <w:r w:rsidR="000963FE">
        <w:rPr>
          <w:rFonts w:cs="Arial"/>
          <w:color w:val="000000" w:themeColor="text1"/>
        </w:rPr>
        <w:t xml:space="preserve">by </w:t>
      </w:r>
      <w:r w:rsidR="00F477CC">
        <w:rPr>
          <w:rFonts w:cs="Arial"/>
          <w:color w:val="000000" w:themeColor="text1"/>
        </w:rPr>
        <w:t>exercising</w:t>
      </w:r>
      <w:r>
        <w:rPr>
          <w:rFonts w:cs="Arial"/>
          <w:color w:val="000000" w:themeColor="text1"/>
        </w:rPr>
        <w:t xml:space="preserve"> newfound a</w:t>
      </w:r>
      <w:r w:rsidR="00F477CC">
        <w:rPr>
          <w:rFonts w:cs="Arial"/>
          <w:color w:val="000000" w:themeColor="text1"/>
        </w:rPr>
        <w:t>utonomy</w:t>
      </w:r>
      <w:r>
        <w:rPr>
          <w:rFonts w:cs="Arial"/>
          <w:color w:val="000000" w:themeColor="text1"/>
        </w:rPr>
        <w:t xml:space="preserve"> or </w:t>
      </w:r>
      <w:r w:rsidR="000963FE">
        <w:rPr>
          <w:rFonts w:cs="Arial"/>
          <w:color w:val="000000" w:themeColor="text1"/>
        </w:rPr>
        <w:t xml:space="preserve">by </w:t>
      </w:r>
      <w:r>
        <w:rPr>
          <w:rFonts w:cs="Arial"/>
          <w:color w:val="000000" w:themeColor="text1"/>
        </w:rPr>
        <w:t>retreating into traditional structures.</w:t>
      </w:r>
    </w:p>
    <w:p w14:paraId="331258E4" w14:textId="468D5C6B" w:rsidR="00523F3B" w:rsidRDefault="00765E64" w:rsidP="0003652C">
      <w:pPr>
        <w:spacing w:line="360" w:lineRule="auto"/>
        <w:jc w:val="both"/>
        <w:rPr>
          <w:rFonts w:cs="Arial"/>
          <w:color w:val="000000" w:themeColor="text1"/>
        </w:rPr>
      </w:pPr>
      <w:r w:rsidRPr="00EF0E6B">
        <w:rPr>
          <w:rFonts w:cs="Arial"/>
          <w:color w:val="000000" w:themeColor="text1"/>
        </w:rPr>
        <w:t xml:space="preserve">The question then is whether any distinctiveness can survive the changes in higher education and the profession. </w:t>
      </w:r>
      <w:r w:rsidR="00523F3B">
        <w:rPr>
          <w:rFonts w:cs="Arial"/>
          <w:color w:val="000000" w:themeColor="text1"/>
        </w:rPr>
        <w:t xml:space="preserve">These external pressures have had more impact on the non-selective </w:t>
      </w:r>
      <w:r w:rsidR="00E76CF0">
        <w:rPr>
          <w:rFonts w:cs="Arial"/>
          <w:color w:val="000000" w:themeColor="text1"/>
        </w:rPr>
        <w:t>schools</w:t>
      </w:r>
      <w:r w:rsidR="00523F3B">
        <w:rPr>
          <w:rFonts w:cs="Arial"/>
          <w:color w:val="000000" w:themeColor="text1"/>
        </w:rPr>
        <w:t xml:space="preserve">, and this is apparent in the findings here to a certain extent, although the market pressures are more visible in course design for all </w:t>
      </w:r>
      <w:r w:rsidR="00E76CF0">
        <w:rPr>
          <w:rFonts w:cs="Arial"/>
          <w:color w:val="000000" w:themeColor="text1"/>
        </w:rPr>
        <w:t xml:space="preserve">schools </w:t>
      </w:r>
      <w:r w:rsidR="00523F3B">
        <w:rPr>
          <w:rFonts w:cs="Arial"/>
          <w:color w:val="000000" w:themeColor="text1"/>
        </w:rPr>
        <w:t xml:space="preserve">now. </w:t>
      </w:r>
      <w:r w:rsidRPr="00EF0E6B">
        <w:rPr>
          <w:rFonts w:cs="Arial"/>
          <w:color w:val="000000" w:themeColor="text1"/>
        </w:rPr>
        <w:t xml:space="preserve"> </w:t>
      </w:r>
    </w:p>
    <w:p w14:paraId="5EE54599" w14:textId="24F8068F" w:rsidR="00765E64" w:rsidRPr="00EF0E6B" w:rsidRDefault="00523F3B" w:rsidP="0003652C">
      <w:pPr>
        <w:spacing w:line="360" w:lineRule="auto"/>
        <w:jc w:val="both"/>
        <w:rPr>
          <w:rFonts w:cs="Arial"/>
          <w:color w:val="000000" w:themeColor="text1"/>
        </w:rPr>
      </w:pPr>
      <w:r>
        <w:rPr>
          <w:rFonts w:cs="Arial"/>
          <w:color w:val="000000" w:themeColor="text1"/>
        </w:rPr>
        <w:t>If distinctiveness means unique messaging and approaches to design, the</w:t>
      </w:r>
      <w:r w:rsidR="00765E64" w:rsidRPr="00EF0E6B">
        <w:rPr>
          <w:rFonts w:cs="Arial"/>
          <w:color w:val="000000" w:themeColor="text1"/>
        </w:rPr>
        <w:t xml:space="preserve"> question then remains whether we can take the risk at </w:t>
      </w:r>
      <w:r w:rsidR="00F477CC">
        <w:rPr>
          <w:rFonts w:cs="Arial"/>
          <w:color w:val="000000" w:themeColor="text1"/>
        </w:rPr>
        <w:t xml:space="preserve">the </w:t>
      </w:r>
      <w:r w:rsidR="00765E64" w:rsidRPr="00EF0E6B">
        <w:rPr>
          <w:rFonts w:cs="Arial"/>
          <w:color w:val="000000" w:themeColor="text1"/>
        </w:rPr>
        <w:t xml:space="preserve">programme level to commit to </w:t>
      </w:r>
      <w:r>
        <w:rPr>
          <w:rFonts w:cs="Arial"/>
          <w:color w:val="000000" w:themeColor="text1"/>
        </w:rPr>
        <w:t xml:space="preserve">such </w:t>
      </w:r>
      <w:r w:rsidR="00765E64" w:rsidRPr="00EF0E6B">
        <w:rPr>
          <w:rFonts w:cs="Arial"/>
          <w:color w:val="000000" w:themeColor="text1"/>
        </w:rPr>
        <w:t xml:space="preserve">a message, be that led by a liberal arts, vocational, or any other agenda. </w:t>
      </w:r>
    </w:p>
    <w:p w14:paraId="1CABD893" w14:textId="381F4C9D" w:rsidR="00765E64" w:rsidRPr="00EF0E6B" w:rsidRDefault="00765E64" w:rsidP="0003652C">
      <w:pPr>
        <w:spacing w:line="360" w:lineRule="auto"/>
        <w:ind w:left="720"/>
        <w:jc w:val="both"/>
        <w:rPr>
          <w:rFonts w:cs="Arial"/>
          <w:color w:val="000000" w:themeColor="text1"/>
        </w:rPr>
      </w:pPr>
      <w:r w:rsidRPr="00EF0E6B">
        <w:rPr>
          <w:rFonts w:cs="Arial"/>
          <w:color w:val="000000" w:themeColor="text1"/>
        </w:rPr>
        <w:t>What is needed is a variety of approaches to developing knowledge-as-curriculum that respond to the particular forms of knowledge, the particular students who will engage with them, and who those students will become based on their engagement with that knowledge (McArther &amp; Ashwin, 2020.</w:t>
      </w:r>
      <w:r w:rsidR="00F477CC">
        <w:rPr>
          <w:rFonts w:cs="Arial"/>
          <w:color w:val="000000" w:themeColor="text1"/>
        </w:rPr>
        <w:t xml:space="preserve"> p.</w:t>
      </w:r>
      <w:r w:rsidRPr="00EF0E6B">
        <w:rPr>
          <w:rFonts w:cs="Arial"/>
          <w:color w:val="000000" w:themeColor="text1"/>
        </w:rPr>
        <w:t>207)</w:t>
      </w:r>
    </w:p>
    <w:p w14:paraId="58A300C9" w14:textId="3B9C22D6" w:rsidR="00026FC1" w:rsidRDefault="00523F3B" w:rsidP="0003652C">
      <w:pPr>
        <w:spacing w:line="360" w:lineRule="auto"/>
        <w:jc w:val="both"/>
        <w:rPr>
          <w:rFonts w:cs="Arial"/>
          <w:color w:val="000000" w:themeColor="text1"/>
        </w:rPr>
      </w:pPr>
      <w:r>
        <w:rPr>
          <w:rFonts w:cs="Arial"/>
          <w:color w:val="000000" w:themeColor="text1"/>
        </w:rPr>
        <w:t>It is for further research to establish whether</w:t>
      </w:r>
      <w:r w:rsidR="00765E64" w:rsidRPr="00EF0E6B">
        <w:rPr>
          <w:rFonts w:cs="Arial"/>
          <w:color w:val="000000" w:themeColor="text1"/>
        </w:rPr>
        <w:t xml:space="preserve"> integrated knowledge</w:t>
      </w:r>
      <w:r w:rsidR="000B4AC7">
        <w:rPr>
          <w:rFonts w:cs="Arial"/>
          <w:color w:val="000000" w:themeColor="text1"/>
        </w:rPr>
        <w:t>,</w:t>
      </w:r>
      <w:r>
        <w:rPr>
          <w:rFonts w:cs="Arial"/>
          <w:color w:val="000000" w:themeColor="text1"/>
        </w:rPr>
        <w:t xml:space="preserve"> as might be represented in holistic approaches to design</w:t>
      </w:r>
      <w:r w:rsidR="000B4AC7">
        <w:rPr>
          <w:rFonts w:cs="Arial"/>
          <w:color w:val="000000" w:themeColor="text1"/>
        </w:rPr>
        <w:t>,</w:t>
      </w:r>
      <w:r>
        <w:rPr>
          <w:rFonts w:cs="Arial"/>
          <w:color w:val="000000" w:themeColor="text1"/>
        </w:rPr>
        <w:t xml:space="preserve"> </w:t>
      </w:r>
      <w:r w:rsidR="001F1489">
        <w:rPr>
          <w:rFonts w:cs="Arial"/>
          <w:color w:val="000000" w:themeColor="text1"/>
        </w:rPr>
        <w:t>opens</w:t>
      </w:r>
      <w:r>
        <w:rPr>
          <w:rFonts w:cs="Arial"/>
          <w:color w:val="000000" w:themeColor="text1"/>
        </w:rPr>
        <w:t xml:space="preserve"> </w:t>
      </w:r>
      <w:r w:rsidR="00765E64" w:rsidRPr="00EF0E6B">
        <w:rPr>
          <w:rFonts w:cs="Arial"/>
          <w:color w:val="000000" w:themeColor="text1"/>
        </w:rPr>
        <w:t>the ‘discursive gap’</w:t>
      </w:r>
      <w:r>
        <w:rPr>
          <w:rFonts w:cs="Arial"/>
          <w:color w:val="000000" w:themeColor="text1"/>
        </w:rPr>
        <w:t xml:space="preserve"> in legal education</w:t>
      </w:r>
      <w:r w:rsidR="00F477CC">
        <w:rPr>
          <w:rFonts w:cs="Arial"/>
          <w:color w:val="000000" w:themeColor="text1"/>
        </w:rPr>
        <w:t>. However,</w:t>
      </w:r>
      <w:r w:rsidR="00026FC1">
        <w:rPr>
          <w:rFonts w:cs="Arial"/>
          <w:color w:val="000000" w:themeColor="text1"/>
        </w:rPr>
        <w:t xml:space="preserve"> we might be asking not what </w:t>
      </w:r>
      <w:r w:rsidR="00765E64" w:rsidRPr="00EF0E6B">
        <w:rPr>
          <w:rFonts w:cs="Arial"/>
          <w:color w:val="000000" w:themeColor="text1"/>
        </w:rPr>
        <w:t>law degree</w:t>
      </w:r>
      <w:r w:rsidR="00026FC1">
        <w:rPr>
          <w:rFonts w:cs="Arial"/>
          <w:color w:val="000000" w:themeColor="text1"/>
        </w:rPr>
        <w:t>s</w:t>
      </w:r>
      <w:r w:rsidR="00765E64" w:rsidRPr="00EF0E6B">
        <w:rPr>
          <w:rFonts w:cs="Arial"/>
          <w:color w:val="000000" w:themeColor="text1"/>
        </w:rPr>
        <w:t xml:space="preserve"> </w:t>
      </w:r>
      <w:r w:rsidR="00026FC1">
        <w:rPr>
          <w:rFonts w:cs="Arial"/>
          <w:color w:val="000000" w:themeColor="text1"/>
        </w:rPr>
        <w:t>are</w:t>
      </w:r>
      <w:r w:rsidR="00765E64" w:rsidRPr="00EF0E6B">
        <w:rPr>
          <w:rFonts w:cs="Arial"/>
          <w:color w:val="000000" w:themeColor="text1"/>
        </w:rPr>
        <w:t xml:space="preserve"> for, but what </w:t>
      </w:r>
      <w:r w:rsidR="00765E64" w:rsidRPr="00EF0E6B">
        <w:rPr>
          <w:rFonts w:cs="Arial"/>
          <w:i/>
          <w:iCs/>
          <w:color w:val="000000" w:themeColor="text1"/>
        </w:rPr>
        <w:t xml:space="preserve">this </w:t>
      </w:r>
      <w:r w:rsidR="00765E64" w:rsidRPr="00EF0E6B">
        <w:rPr>
          <w:rFonts w:cs="Arial"/>
          <w:color w:val="000000" w:themeColor="text1"/>
        </w:rPr>
        <w:t xml:space="preserve">law degree is for, </w:t>
      </w:r>
      <w:r w:rsidR="00026FC1">
        <w:rPr>
          <w:rFonts w:cs="Arial"/>
          <w:color w:val="000000" w:themeColor="text1"/>
        </w:rPr>
        <w:t>presenting a transparent choice for students</w:t>
      </w:r>
      <w:r>
        <w:rPr>
          <w:rFonts w:cs="Arial"/>
          <w:color w:val="000000" w:themeColor="text1"/>
        </w:rPr>
        <w:t>.</w:t>
      </w:r>
      <w:r w:rsidR="00765E64" w:rsidRPr="00EF0E6B">
        <w:rPr>
          <w:rFonts w:cs="Arial"/>
          <w:color w:val="000000" w:themeColor="text1"/>
        </w:rPr>
        <w:t xml:space="preserve"> </w:t>
      </w:r>
      <w:r w:rsidR="00026FC1">
        <w:rPr>
          <w:rFonts w:cs="Arial"/>
          <w:color w:val="000000" w:themeColor="text1"/>
        </w:rPr>
        <w:t xml:space="preserve">There is some </w:t>
      </w:r>
      <w:r w:rsidR="00026FC1" w:rsidRPr="00EF0E6B">
        <w:rPr>
          <w:rFonts w:cs="Arial"/>
          <w:color w:val="000000" w:themeColor="text1"/>
        </w:rPr>
        <w:t xml:space="preserve">agreement </w:t>
      </w:r>
      <w:r w:rsidR="00026FC1">
        <w:rPr>
          <w:rFonts w:cs="Arial"/>
          <w:color w:val="000000" w:themeColor="text1"/>
        </w:rPr>
        <w:t xml:space="preserve">with this argument, and </w:t>
      </w:r>
      <w:r w:rsidR="00026FC1" w:rsidRPr="00EF0E6B">
        <w:rPr>
          <w:rFonts w:cs="Arial"/>
          <w:color w:val="000000" w:themeColor="text1"/>
        </w:rPr>
        <w:t xml:space="preserve">that </w:t>
      </w:r>
      <w:r w:rsidR="00026FC1">
        <w:rPr>
          <w:rFonts w:cs="Arial"/>
          <w:color w:val="000000" w:themeColor="text1"/>
        </w:rPr>
        <w:t>l</w:t>
      </w:r>
      <w:r w:rsidR="00026FC1" w:rsidRPr="00EF0E6B">
        <w:rPr>
          <w:rFonts w:cs="Arial"/>
          <w:color w:val="000000" w:themeColor="text1"/>
        </w:rPr>
        <w:t xml:space="preserve">aw </w:t>
      </w:r>
      <w:r w:rsidR="00026FC1">
        <w:rPr>
          <w:rFonts w:cs="Arial"/>
          <w:color w:val="000000" w:themeColor="text1"/>
        </w:rPr>
        <w:t>s</w:t>
      </w:r>
      <w:r w:rsidR="00026FC1" w:rsidRPr="00EF0E6B">
        <w:rPr>
          <w:rFonts w:cs="Arial"/>
          <w:color w:val="000000" w:themeColor="text1"/>
        </w:rPr>
        <w:t xml:space="preserve">chools do not need to do the same </w:t>
      </w:r>
      <w:r w:rsidR="00026FC1" w:rsidRPr="00EF0E6B">
        <w:rPr>
          <w:rFonts w:cs="Arial"/>
          <w:color w:val="000000" w:themeColor="text1"/>
        </w:rPr>
        <w:lastRenderedPageBreak/>
        <w:t xml:space="preserve">thing </w:t>
      </w:r>
      <w:r w:rsidR="00026FC1" w:rsidRPr="00EF0E6B">
        <w:rPr>
          <w:rFonts w:cs="Arial"/>
        </w:rPr>
        <w:t xml:space="preserve">(Mason &amp; Guth, 2018), </w:t>
      </w:r>
      <w:r w:rsidR="00026FC1">
        <w:rPr>
          <w:rFonts w:cs="Arial"/>
        </w:rPr>
        <w:t xml:space="preserve">and </w:t>
      </w:r>
      <w:r w:rsidR="00026FC1" w:rsidRPr="00EF0E6B">
        <w:rPr>
          <w:rFonts w:cs="Arial"/>
          <w:color w:val="000000" w:themeColor="text1"/>
        </w:rPr>
        <w:t xml:space="preserve">what is needed is transparency in what they do, particularly when attracting students to the </w:t>
      </w:r>
      <w:r w:rsidR="00026FC1" w:rsidRPr="00765137">
        <w:rPr>
          <w:rFonts w:cs="Arial"/>
          <w:color w:val="000000" w:themeColor="text1"/>
        </w:rPr>
        <w:t>discipline (Roper et al., 2020).</w:t>
      </w:r>
    </w:p>
    <w:p w14:paraId="158F015A" w14:textId="6E09DC38" w:rsidR="006F3BFC" w:rsidRDefault="00765E64" w:rsidP="0003652C">
      <w:pPr>
        <w:spacing w:line="360" w:lineRule="auto"/>
        <w:jc w:val="both"/>
        <w:rPr>
          <w:rFonts w:cs="Arial"/>
          <w:color w:val="000000" w:themeColor="text1"/>
        </w:rPr>
      </w:pPr>
      <w:r w:rsidRPr="00EF0E6B">
        <w:rPr>
          <w:rFonts w:cs="Arial"/>
          <w:color w:val="000000" w:themeColor="text1"/>
        </w:rPr>
        <w:t>What is clear is that the recontextuali</w:t>
      </w:r>
      <w:r w:rsidR="00AC3D05">
        <w:rPr>
          <w:rFonts w:cs="Arial"/>
          <w:color w:val="000000" w:themeColor="text1"/>
        </w:rPr>
        <w:t>s</w:t>
      </w:r>
      <w:r w:rsidRPr="00EF0E6B">
        <w:rPr>
          <w:rFonts w:cs="Arial"/>
          <w:color w:val="000000" w:themeColor="text1"/>
        </w:rPr>
        <w:t xml:space="preserve">ation is still a site of struggle in the law curriculum, and that this </w:t>
      </w:r>
      <w:r w:rsidR="00026FC1">
        <w:rPr>
          <w:rFonts w:cs="Arial"/>
          <w:color w:val="000000" w:themeColor="text1"/>
        </w:rPr>
        <w:t>may</w:t>
      </w:r>
      <w:r w:rsidRPr="00EF0E6B">
        <w:rPr>
          <w:rFonts w:cs="Arial"/>
          <w:color w:val="000000" w:themeColor="text1"/>
        </w:rPr>
        <w:t xml:space="preserve"> have implications for the students</w:t>
      </w:r>
      <w:r w:rsidR="00F477CC">
        <w:rPr>
          <w:rFonts w:cs="Arial"/>
          <w:color w:val="000000" w:themeColor="text1"/>
        </w:rPr>
        <w:t>’</w:t>
      </w:r>
      <w:r w:rsidRPr="00EF0E6B">
        <w:rPr>
          <w:rFonts w:cs="Arial"/>
          <w:color w:val="000000" w:themeColor="text1"/>
        </w:rPr>
        <w:t xml:space="preserve"> access to knowledge. </w:t>
      </w:r>
      <w:r w:rsidR="008C60AD">
        <w:rPr>
          <w:color w:val="000000" w:themeColor="text1"/>
        </w:rPr>
        <w:t xml:space="preserve">Whilst Bernstein’s </w:t>
      </w:r>
      <w:r w:rsidR="008C60AD" w:rsidRPr="00177D7D">
        <w:rPr>
          <w:color w:val="000000" w:themeColor="text1"/>
        </w:rPr>
        <w:t xml:space="preserve">concept of powerful knowledge is not without controversy (Muller, 2023), it is a useful way in which to interrogate course design. </w:t>
      </w:r>
      <w:r w:rsidR="008C60AD">
        <w:rPr>
          <w:color w:val="000000" w:themeColor="text1"/>
        </w:rPr>
        <w:t>With the</w:t>
      </w:r>
      <w:r w:rsidR="008C60AD" w:rsidRPr="00177D7D">
        <w:rPr>
          <w:color w:val="000000" w:themeColor="text1"/>
        </w:rPr>
        <w:t xml:space="preserve"> massification of higher education </w:t>
      </w:r>
      <w:r w:rsidR="008C60AD" w:rsidRPr="00B228CF">
        <w:rPr>
          <w:color w:val="000000" w:themeColor="text1"/>
        </w:rPr>
        <w:t>and potential increased regionalisation of disciplines as they struggle to be marketable, it is arguable</w:t>
      </w:r>
      <w:r w:rsidR="008C60AD">
        <w:rPr>
          <w:color w:val="000000" w:themeColor="text1"/>
        </w:rPr>
        <w:t xml:space="preserve"> that </w:t>
      </w:r>
      <w:r w:rsidR="008C60AD" w:rsidRPr="00177D7D">
        <w:rPr>
          <w:color w:val="000000" w:themeColor="text1"/>
        </w:rPr>
        <w:t>the hierarchical structures are eroding in favour of the horizontal (Annala, 2022)</w:t>
      </w:r>
      <w:r w:rsidR="00F477CC">
        <w:rPr>
          <w:color w:val="000000" w:themeColor="text1"/>
        </w:rPr>
        <w:t>,</w:t>
      </w:r>
      <w:r w:rsidR="008C60AD">
        <w:rPr>
          <w:color w:val="000000" w:themeColor="text1"/>
        </w:rPr>
        <w:t xml:space="preserve"> and so this is of growing importance.</w:t>
      </w:r>
      <w:r w:rsidR="008C60AD" w:rsidRPr="00FA0F0C">
        <w:rPr>
          <w:color w:val="000000" w:themeColor="text1"/>
        </w:rPr>
        <w:t xml:space="preserve"> </w:t>
      </w:r>
      <w:r w:rsidR="008C60AD">
        <w:rPr>
          <w:color w:val="000000" w:themeColor="text1"/>
        </w:rPr>
        <w:t>Annala</w:t>
      </w:r>
      <w:r w:rsidR="008C60AD" w:rsidRPr="00177D7D">
        <w:rPr>
          <w:color w:val="000000" w:themeColor="text1"/>
        </w:rPr>
        <w:t xml:space="preserve"> concludes that</w:t>
      </w:r>
      <w:r w:rsidR="00F477CC">
        <w:rPr>
          <w:color w:val="000000" w:themeColor="text1"/>
        </w:rPr>
        <w:t>,</w:t>
      </w:r>
      <w:r w:rsidR="008C60AD" w:rsidRPr="00177D7D">
        <w:rPr>
          <w:color w:val="000000" w:themeColor="text1"/>
        </w:rPr>
        <w:t xml:space="preserve"> as a result</w:t>
      </w:r>
      <w:r w:rsidR="00F477CC">
        <w:rPr>
          <w:color w:val="000000" w:themeColor="text1"/>
        </w:rPr>
        <w:t>,</w:t>
      </w:r>
      <w:r w:rsidR="008C60AD" w:rsidRPr="00177D7D">
        <w:rPr>
          <w:color w:val="000000" w:themeColor="text1"/>
        </w:rPr>
        <w:t xml:space="preserve"> ‘We need to pay attention to </w:t>
      </w:r>
      <w:r w:rsidR="008C60AD" w:rsidRPr="00026FC1">
        <w:rPr>
          <w:color w:val="000000" w:themeColor="text1"/>
        </w:rPr>
        <w:t xml:space="preserve">curriculum implementation as pedagogical practice’. </w:t>
      </w:r>
      <w:r w:rsidRPr="00026FC1">
        <w:rPr>
          <w:rFonts w:cs="Arial"/>
          <w:color w:val="000000" w:themeColor="text1"/>
        </w:rPr>
        <w:t>Further</w:t>
      </w:r>
      <w:r w:rsidRPr="00EF0E6B">
        <w:rPr>
          <w:rFonts w:cs="Arial"/>
          <w:color w:val="000000" w:themeColor="text1"/>
        </w:rPr>
        <w:t xml:space="preserve"> research here is needed to look at that impact from the perspective of the student and</w:t>
      </w:r>
      <w:r w:rsidR="00F477CC">
        <w:rPr>
          <w:rFonts w:cs="Arial"/>
          <w:color w:val="000000" w:themeColor="text1"/>
        </w:rPr>
        <w:t>,</w:t>
      </w:r>
      <w:r w:rsidRPr="00EF0E6B">
        <w:rPr>
          <w:rFonts w:cs="Arial"/>
          <w:color w:val="000000" w:themeColor="text1"/>
        </w:rPr>
        <w:t xml:space="preserve"> beyond that</w:t>
      </w:r>
      <w:r w:rsidR="00F477CC">
        <w:rPr>
          <w:rFonts w:cs="Arial"/>
          <w:color w:val="000000" w:themeColor="text1"/>
        </w:rPr>
        <w:t>,</w:t>
      </w:r>
      <w:r w:rsidRPr="00EF0E6B">
        <w:rPr>
          <w:rFonts w:cs="Arial"/>
          <w:color w:val="000000" w:themeColor="text1"/>
        </w:rPr>
        <w:t xml:space="preserve"> </w:t>
      </w:r>
      <w:r w:rsidR="00F477CC">
        <w:rPr>
          <w:rFonts w:cs="Arial"/>
          <w:color w:val="000000" w:themeColor="text1"/>
        </w:rPr>
        <w:t xml:space="preserve">as </w:t>
      </w:r>
      <w:r w:rsidRPr="00EF0E6B">
        <w:rPr>
          <w:rFonts w:cs="Arial"/>
          <w:color w:val="000000" w:themeColor="text1"/>
        </w:rPr>
        <w:t>presented to date</w:t>
      </w:r>
      <w:r w:rsidR="00F477CC">
        <w:rPr>
          <w:rFonts w:cs="Arial"/>
          <w:color w:val="000000" w:themeColor="text1"/>
        </w:rPr>
        <w:t>,</w:t>
      </w:r>
      <w:r w:rsidRPr="00EF0E6B">
        <w:rPr>
          <w:rFonts w:cs="Arial"/>
          <w:color w:val="000000" w:themeColor="text1"/>
        </w:rPr>
        <w:t xml:space="preserve"> in the context of professionalism (Reid, 2006; Gibbons, 201</w:t>
      </w:r>
      <w:r w:rsidR="00BD4ABD">
        <w:rPr>
          <w:rFonts w:cs="Arial"/>
          <w:color w:val="000000" w:themeColor="text1"/>
        </w:rPr>
        <w:t>8</w:t>
      </w:r>
      <w:r w:rsidRPr="00EF0E6B">
        <w:rPr>
          <w:rFonts w:cs="Arial"/>
          <w:color w:val="000000" w:themeColor="text1"/>
        </w:rPr>
        <w:t>).</w:t>
      </w:r>
      <w:r w:rsidR="00026FC1">
        <w:rPr>
          <w:rFonts w:cs="Arial"/>
          <w:color w:val="000000" w:themeColor="text1"/>
        </w:rPr>
        <w:t xml:space="preserve"> We </w:t>
      </w:r>
      <w:r w:rsidR="00F477CC">
        <w:rPr>
          <w:rFonts w:cs="Arial"/>
          <w:color w:val="000000" w:themeColor="text1"/>
        </w:rPr>
        <w:t>might then be looking for models and approaches, informed by Bernstein’s work, that course design might adopt if it is to be disruptive to inequalities, resetting codes about who students were and who they become (McLean et al.,</w:t>
      </w:r>
      <w:r w:rsidR="00026FC1" w:rsidRPr="00765137">
        <w:rPr>
          <w:rFonts w:cs="Arial"/>
          <w:color w:val="000000" w:themeColor="text1"/>
        </w:rPr>
        <w:t xml:space="preserve"> 2018)</w:t>
      </w:r>
      <w:r w:rsidR="00EE4AED">
        <w:rPr>
          <w:rFonts w:cs="Arial"/>
          <w:color w:val="000000" w:themeColor="text1"/>
        </w:rPr>
        <w:t>.</w:t>
      </w:r>
    </w:p>
    <w:p w14:paraId="45274BA4" w14:textId="77777777" w:rsidR="00EE4AED" w:rsidRDefault="00EE4AED" w:rsidP="0003652C">
      <w:pPr>
        <w:spacing w:line="360" w:lineRule="auto"/>
        <w:jc w:val="both"/>
        <w:rPr>
          <w:rFonts w:cs="Arial"/>
          <w:color w:val="000000" w:themeColor="text1"/>
        </w:rPr>
      </w:pPr>
    </w:p>
    <w:p w14:paraId="4AF3C155" w14:textId="77777777" w:rsidR="00EE4AED" w:rsidRDefault="00EE4AED" w:rsidP="0003652C">
      <w:pPr>
        <w:spacing w:line="360" w:lineRule="auto"/>
        <w:jc w:val="both"/>
        <w:rPr>
          <w:rFonts w:cs="Arial"/>
          <w:color w:val="000000" w:themeColor="text1"/>
        </w:rPr>
      </w:pPr>
    </w:p>
    <w:p w14:paraId="0FB992F2" w14:textId="77777777" w:rsidR="00EE4AED" w:rsidRDefault="00EE4AED" w:rsidP="0003652C">
      <w:pPr>
        <w:spacing w:line="360" w:lineRule="auto"/>
        <w:jc w:val="both"/>
        <w:rPr>
          <w:rFonts w:cs="Arial"/>
          <w:color w:val="000000" w:themeColor="text1"/>
        </w:rPr>
      </w:pPr>
    </w:p>
    <w:p w14:paraId="162F893F" w14:textId="77777777" w:rsidR="00306A4F" w:rsidRDefault="00306A4F" w:rsidP="0003652C">
      <w:pPr>
        <w:spacing w:line="360" w:lineRule="auto"/>
        <w:jc w:val="both"/>
        <w:rPr>
          <w:rFonts w:cs="Arial"/>
          <w:color w:val="000000" w:themeColor="text1"/>
        </w:rPr>
      </w:pPr>
    </w:p>
    <w:p w14:paraId="74566A3F" w14:textId="77777777" w:rsidR="00306A4F" w:rsidRDefault="00306A4F" w:rsidP="0003652C">
      <w:pPr>
        <w:spacing w:line="360" w:lineRule="auto"/>
        <w:jc w:val="both"/>
        <w:rPr>
          <w:rFonts w:cs="Arial"/>
          <w:color w:val="000000" w:themeColor="text1"/>
        </w:rPr>
      </w:pPr>
    </w:p>
    <w:p w14:paraId="73774504" w14:textId="24472AF1" w:rsidR="00393736" w:rsidRPr="00AF2A6B" w:rsidRDefault="00393736" w:rsidP="00AF2A6B">
      <w:pPr>
        <w:pStyle w:val="Heading1"/>
        <w:numPr>
          <w:ilvl w:val="0"/>
          <w:numId w:val="0"/>
        </w:numPr>
        <w:spacing w:before="100" w:after="100" w:afterAutospacing="1" w:line="360" w:lineRule="auto"/>
        <w:rPr>
          <w:rFonts w:ascii="Arial" w:hAnsi="Arial" w:cs="Arial"/>
        </w:rPr>
      </w:pPr>
      <w:bookmarkStart w:id="102" w:name="_Toc223348891"/>
      <w:r w:rsidRPr="00EF0E6B">
        <w:rPr>
          <w:rFonts w:ascii="Arial" w:hAnsi="Arial" w:cs="Arial"/>
        </w:rPr>
        <w:lastRenderedPageBreak/>
        <w:t>Appendix One</w:t>
      </w:r>
      <w:r w:rsidR="00AF2A6B">
        <w:rPr>
          <w:rFonts w:ascii="Arial" w:hAnsi="Arial" w:cs="Arial"/>
        </w:rPr>
        <w:t xml:space="preserve">: </w:t>
      </w:r>
      <w:r w:rsidRPr="00AF2A6B">
        <w:rPr>
          <w:rFonts w:ascii="Arial" w:hAnsi="Arial" w:cs="Arial"/>
          <w:bCs/>
          <w:szCs w:val="28"/>
        </w:rPr>
        <w:t xml:space="preserve">Professional body education and training requirements </w:t>
      </w:r>
      <w:r w:rsidR="000B4AC7">
        <w:rPr>
          <w:rFonts w:ascii="Arial" w:hAnsi="Arial" w:cs="Arial"/>
          <w:bCs/>
          <w:szCs w:val="28"/>
        </w:rPr>
        <w:t>after</w:t>
      </w:r>
      <w:r w:rsidRPr="00AF2A6B">
        <w:rPr>
          <w:rFonts w:ascii="Arial" w:hAnsi="Arial" w:cs="Arial"/>
          <w:bCs/>
          <w:szCs w:val="28"/>
        </w:rPr>
        <w:t xml:space="preserve"> secondary post-18 </w:t>
      </w:r>
      <w:r w:rsidR="000B4AC7">
        <w:rPr>
          <w:rFonts w:ascii="Arial" w:hAnsi="Arial" w:cs="Arial"/>
          <w:bCs/>
          <w:szCs w:val="28"/>
        </w:rPr>
        <w:t>education</w:t>
      </w:r>
      <w:r w:rsidRPr="00AF2A6B">
        <w:rPr>
          <w:rStyle w:val="FootnoteReference"/>
          <w:rFonts w:ascii="Arial" w:hAnsi="Arial" w:cs="Arial"/>
          <w:bCs/>
          <w:sz w:val="28"/>
          <w:szCs w:val="28"/>
        </w:rPr>
        <w:footnoteReference w:id="3"/>
      </w:r>
      <w:bookmarkEnd w:id="102"/>
      <w:r w:rsidRPr="00517EE9">
        <w:rPr>
          <w:bCs/>
          <w:sz w:val="20"/>
        </w:rPr>
        <w:t xml:space="preserve"> </w:t>
      </w:r>
    </w:p>
    <w:p w14:paraId="419F9BD2" w14:textId="1B383119" w:rsidR="00393736" w:rsidRPr="00517EE9" w:rsidRDefault="00393736" w:rsidP="00393736">
      <w:pPr>
        <w:spacing w:line="240" w:lineRule="auto"/>
        <w:rPr>
          <w:sz w:val="20"/>
        </w:rPr>
      </w:pPr>
      <w:r w:rsidRPr="00517EE9">
        <w:rPr>
          <w:sz w:val="20"/>
        </w:rPr>
        <w:t>Solicitors pre</w:t>
      </w:r>
      <w:r w:rsidR="000B4AC7">
        <w:rPr>
          <w:sz w:val="20"/>
        </w:rPr>
        <w:t>-</w:t>
      </w:r>
      <w:r w:rsidRPr="00517EE9">
        <w:rPr>
          <w:sz w:val="20"/>
        </w:rPr>
        <w:t>2021 degree entry (Solicitors Regulatory Authority)</w:t>
      </w:r>
    </w:p>
    <w:tbl>
      <w:tblPr>
        <w:tblStyle w:val="TableGrid"/>
        <w:tblW w:w="8467" w:type="dxa"/>
        <w:tblLook w:val="04A0" w:firstRow="1" w:lastRow="0" w:firstColumn="1" w:lastColumn="0" w:noHBand="0" w:noVBand="1"/>
      </w:tblPr>
      <w:tblGrid>
        <w:gridCol w:w="2730"/>
        <w:gridCol w:w="3786"/>
        <w:gridCol w:w="1951"/>
      </w:tblGrid>
      <w:tr w:rsidR="00393736" w:rsidRPr="00517EE9" w14:paraId="3D3DF6FF" w14:textId="77777777" w:rsidTr="006F0C87">
        <w:tc>
          <w:tcPr>
            <w:tcW w:w="2730" w:type="dxa"/>
          </w:tcPr>
          <w:p w14:paraId="23299A63" w14:textId="77777777" w:rsidR="00393736" w:rsidRPr="00517EE9" w:rsidRDefault="00393736" w:rsidP="006F0C87">
            <w:pPr>
              <w:spacing w:line="240" w:lineRule="auto"/>
              <w:rPr>
                <w:sz w:val="20"/>
                <w:szCs w:val="20"/>
              </w:rPr>
            </w:pPr>
            <w:r w:rsidRPr="00517EE9">
              <w:rPr>
                <w:sz w:val="20"/>
                <w:szCs w:val="20"/>
              </w:rPr>
              <w:t>Academic stage</w:t>
            </w:r>
          </w:p>
        </w:tc>
        <w:tc>
          <w:tcPr>
            <w:tcW w:w="3786" w:type="dxa"/>
          </w:tcPr>
          <w:p w14:paraId="0E148C4E" w14:textId="77777777" w:rsidR="00393736" w:rsidRPr="00517EE9" w:rsidRDefault="00393736" w:rsidP="006F0C87">
            <w:pPr>
              <w:spacing w:line="240" w:lineRule="auto"/>
              <w:rPr>
                <w:sz w:val="20"/>
                <w:szCs w:val="20"/>
              </w:rPr>
            </w:pPr>
            <w:r w:rsidRPr="00517EE9">
              <w:rPr>
                <w:sz w:val="20"/>
                <w:szCs w:val="20"/>
              </w:rPr>
              <w:t>Vocational training stage</w:t>
            </w:r>
          </w:p>
        </w:tc>
        <w:tc>
          <w:tcPr>
            <w:tcW w:w="1951" w:type="dxa"/>
          </w:tcPr>
          <w:p w14:paraId="455732A0" w14:textId="77777777" w:rsidR="00393736" w:rsidRPr="00517EE9" w:rsidRDefault="00393736" w:rsidP="006F0C87">
            <w:pPr>
              <w:spacing w:line="240" w:lineRule="auto"/>
              <w:rPr>
                <w:sz w:val="20"/>
                <w:szCs w:val="20"/>
              </w:rPr>
            </w:pPr>
            <w:r w:rsidRPr="00517EE9">
              <w:rPr>
                <w:sz w:val="20"/>
                <w:szCs w:val="20"/>
              </w:rPr>
              <w:t>Work based training</w:t>
            </w:r>
          </w:p>
        </w:tc>
      </w:tr>
      <w:tr w:rsidR="00393736" w:rsidRPr="00517EE9" w14:paraId="024920E6" w14:textId="77777777" w:rsidTr="006F0C87">
        <w:tc>
          <w:tcPr>
            <w:tcW w:w="2730" w:type="dxa"/>
          </w:tcPr>
          <w:p w14:paraId="0D396A6F" w14:textId="77777777" w:rsidR="00393736" w:rsidRPr="00517EE9" w:rsidRDefault="00393736" w:rsidP="006F0C87">
            <w:pPr>
              <w:spacing w:line="240" w:lineRule="auto"/>
              <w:rPr>
                <w:sz w:val="20"/>
                <w:szCs w:val="20"/>
              </w:rPr>
            </w:pPr>
            <w:r w:rsidRPr="00517EE9">
              <w:rPr>
                <w:sz w:val="20"/>
                <w:szCs w:val="20"/>
              </w:rPr>
              <w:t>LLB Law degree</w:t>
            </w:r>
          </w:p>
        </w:tc>
        <w:tc>
          <w:tcPr>
            <w:tcW w:w="3786" w:type="dxa"/>
            <w:vMerge w:val="restart"/>
          </w:tcPr>
          <w:p w14:paraId="6EB4D6F9" w14:textId="77777777" w:rsidR="00393736" w:rsidRPr="00517EE9" w:rsidRDefault="00393736" w:rsidP="006F0C87">
            <w:pPr>
              <w:spacing w:line="240" w:lineRule="auto"/>
              <w:rPr>
                <w:sz w:val="20"/>
                <w:szCs w:val="20"/>
              </w:rPr>
            </w:pPr>
          </w:p>
          <w:p w14:paraId="2AA80692" w14:textId="77777777" w:rsidR="00393736" w:rsidRPr="00517EE9" w:rsidRDefault="00393736" w:rsidP="006F0C87">
            <w:pPr>
              <w:spacing w:line="240" w:lineRule="auto"/>
              <w:rPr>
                <w:sz w:val="20"/>
                <w:szCs w:val="20"/>
              </w:rPr>
            </w:pPr>
            <w:r w:rsidRPr="00517EE9">
              <w:rPr>
                <w:sz w:val="20"/>
                <w:szCs w:val="20"/>
              </w:rPr>
              <w:t>Legal Practice Course</w:t>
            </w:r>
          </w:p>
        </w:tc>
        <w:tc>
          <w:tcPr>
            <w:tcW w:w="1951" w:type="dxa"/>
            <w:vMerge w:val="restart"/>
          </w:tcPr>
          <w:p w14:paraId="0B10C91D" w14:textId="77777777" w:rsidR="00393736" w:rsidRPr="00517EE9" w:rsidRDefault="00393736" w:rsidP="006F0C87">
            <w:pPr>
              <w:spacing w:line="240" w:lineRule="auto"/>
              <w:rPr>
                <w:sz w:val="20"/>
                <w:szCs w:val="20"/>
              </w:rPr>
            </w:pPr>
          </w:p>
          <w:p w14:paraId="1E00083F" w14:textId="77777777" w:rsidR="00393736" w:rsidRPr="00517EE9" w:rsidRDefault="00393736" w:rsidP="006F0C87">
            <w:pPr>
              <w:spacing w:line="240" w:lineRule="auto"/>
              <w:rPr>
                <w:sz w:val="20"/>
                <w:szCs w:val="20"/>
              </w:rPr>
            </w:pPr>
            <w:r w:rsidRPr="00517EE9">
              <w:rPr>
                <w:sz w:val="20"/>
                <w:szCs w:val="20"/>
              </w:rPr>
              <w:t>Training contract</w:t>
            </w:r>
          </w:p>
        </w:tc>
      </w:tr>
      <w:tr w:rsidR="00393736" w:rsidRPr="00517EE9" w14:paraId="6FA9CD06" w14:textId="77777777" w:rsidTr="006F0C87">
        <w:tc>
          <w:tcPr>
            <w:tcW w:w="2730" w:type="dxa"/>
          </w:tcPr>
          <w:p w14:paraId="4A7FBA05" w14:textId="77777777" w:rsidR="00393736" w:rsidRPr="00517EE9" w:rsidRDefault="00393736" w:rsidP="006F0C87">
            <w:pPr>
              <w:spacing w:line="240" w:lineRule="auto"/>
              <w:rPr>
                <w:sz w:val="20"/>
                <w:szCs w:val="20"/>
              </w:rPr>
            </w:pPr>
            <w:r w:rsidRPr="00517EE9">
              <w:rPr>
                <w:sz w:val="20"/>
                <w:szCs w:val="20"/>
              </w:rPr>
              <w:t>A degree and a PG conversion course</w:t>
            </w:r>
          </w:p>
        </w:tc>
        <w:tc>
          <w:tcPr>
            <w:tcW w:w="3786" w:type="dxa"/>
            <w:vMerge/>
          </w:tcPr>
          <w:p w14:paraId="211040F1" w14:textId="77777777" w:rsidR="00393736" w:rsidRPr="00517EE9" w:rsidRDefault="00393736" w:rsidP="006F0C87">
            <w:pPr>
              <w:spacing w:line="240" w:lineRule="auto"/>
              <w:rPr>
                <w:sz w:val="20"/>
                <w:szCs w:val="20"/>
              </w:rPr>
            </w:pPr>
          </w:p>
        </w:tc>
        <w:tc>
          <w:tcPr>
            <w:tcW w:w="1951" w:type="dxa"/>
            <w:vMerge/>
          </w:tcPr>
          <w:p w14:paraId="07980FFB" w14:textId="77777777" w:rsidR="00393736" w:rsidRPr="00517EE9" w:rsidRDefault="00393736" w:rsidP="006F0C87">
            <w:pPr>
              <w:spacing w:line="240" w:lineRule="auto"/>
              <w:rPr>
                <w:sz w:val="20"/>
                <w:szCs w:val="20"/>
              </w:rPr>
            </w:pPr>
          </w:p>
        </w:tc>
      </w:tr>
      <w:tr w:rsidR="00393736" w:rsidRPr="00517EE9" w14:paraId="71EB1F1D" w14:textId="77777777" w:rsidTr="006F0C87">
        <w:tc>
          <w:tcPr>
            <w:tcW w:w="6516" w:type="dxa"/>
            <w:gridSpan w:val="2"/>
          </w:tcPr>
          <w:p w14:paraId="602B4BE6" w14:textId="64DF09C7" w:rsidR="00393736" w:rsidRPr="00517EE9" w:rsidRDefault="00393736" w:rsidP="006F0C87">
            <w:pPr>
              <w:spacing w:line="240" w:lineRule="auto"/>
              <w:rPr>
                <w:sz w:val="20"/>
                <w:szCs w:val="20"/>
              </w:rPr>
            </w:pPr>
            <w:r w:rsidRPr="00517EE9">
              <w:rPr>
                <w:sz w:val="20"/>
                <w:szCs w:val="20"/>
              </w:rPr>
              <w:t>A four</w:t>
            </w:r>
            <w:r w:rsidR="000B4AC7">
              <w:rPr>
                <w:sz w:val="20"/>
                <w:szCs w:val="20"/>
              </w:rPr>
              <w:t>-</w:t>
            </w:r>
            <w:r w:rsidRPr="00517EE9">
              <w:rPr>
                <w:sz w:val="20"/>
                <w:szCs w:val="20"/>
              </w:rPr>
              <w:t>year integrated Masters combining academic and vocational stages</w:t>
            </w:r>
          </w:p>
        </w:tc>
        <w:tc>
          <w:tcPr>
            <w:tcW w:w="1951" w:type="dxa"/>
            <w:vMerge/>
          </w:tcPr>
          <w:p w14:paraId="780BA5F8" w14:textId="77777777" w:rsidR="00393736" w:rsidRPr="00517EE9" w:rsidRDefault="00393736" w:rsidP="006F0C87">
            <w:pPr>
              <w:spacing w:line="240" w:lineRule="auto"/>
              <w:rPr>
                <w:sz w:val="20"/>
                <w:szCs w:val="20"/>
              </w:rPr>
            </w:pPr>
          </w:p>
        </w:tc>
      </w:tr>
    </w:tbl>
    <w:p w14:paraId="64159DD5" w14:textId="4F555473" w:rsidR="00393736" w:rsidRPr="00517EE9" w:rsidRDefault="00393736" w:rsidP="00393736">
      <w:pPr>
        <w:spacing w:line="240" w:lineRule="auto"/>
        <w:rPr>
          <w:sz w:val="20"/>
        </w:rPr>
      </w:pPr>
      <w:r w:rsidRPr="00517EE9">
        <w:rPr>
          <w:sz w:val="20"/>
        </w:rPr>
        <w:t>Solicitors post 2021</w:t>
      </w:r>
      <w:r w:rsidR="000B4AC7">
        <w:rPr>
          <w:sz w:val="20"/>
        </w:rPr>
        <w:t>-</w:t>
      </w:r>
      <w:r w:rsidRPr="00517EE9">
        <w:rPr>
          <w:sz w:val="20"/>
        </w:rPr>
        <w:t>degree entry (Solicitors Regulatory Authority)</w:t>
      </w:r>
    </w:p>
    <w:tbl>
      <w:tblPr>
        <w:tblStyle w:val="TableGrid"/>
        <w:tblW w:w="0" w:type="auto"/>
        <w:tblLook w:val="04A0" w:firstRow="1" w:lastRow="0" w:firstColumn="1" w:lastColumn="0" w:noHBand="0" w:noVBand="1"/>
      </w:tblPr>
      <w:tblGrid>
        <w:gridCol w:w="2791"/>
        <w:gridCol w:w="1724"/>
        <w:gridCol w:w="1981"/>
        <w:gridCol w:w="1971"/>
      </w:tblGrid>
      <w:tr w:rsidR="00393736" w:rsidRPr="00517EE9" w14:paraId="52A55D88" w14:textId="77777777" w:rsidTr="006F0C87">
        <w:tc>
          <w:tcPr>
            <w:tcW w:w="4515" w:type="dxa"/>
            <w:gridSpan w:val="2"/>
          </w:tcPr>
          <w:p w14:paraId="2C54EFCA" w14:textId="77777777" w:rsidR="00393736" w:rsidRPr="00517EE9" w:rsidRDefault="00393736" w:rsidP="006F0C87">
            <w:pPr>
              <w:spacing w:line="240" w:lineRule="auto"/>
              <w:rPr>
                <w:sz w:val="20"/>
                <w:szCs w:val="20"/>
              </w:rPr>
            </w:pPr>
            <w:r w:rsidRPr="00517EE9">
              <w:rPr>
                <w:sz w:val="20"/>
                <w:szCs w:val="20"/>
              </w:rPr>
              <w:t>Unregulated stages</w:t>
            </w:r>
          </w:p>
        </w:tc>
        <w:tc>
          <w:tcPr>
            <w:tcW w:w="1981" w:type="dxa"/>
          </w:tcPr>
          <w:p w14:paraId="517FD214" w14:textId="77777777" w:rsidR="00393736" w:rsidRPr="00517EE9" w:rsidRDefault="00393736" w:rsidP="006F0C87">
            <w:pPr>
              <w:spacing w:line="240" w:lineRule="auto"/>
              <w:rPr>
                <w:sz w:val="20"/>
                <w:szCs w:val="20"/>
              </w:rPr>
            </w:pPr>
          </w:p>
        </w:tc>
        <w:tc>
          <w:tcPr>
            <w:tcW w:w="1971" w:type="dxa"/>
            <w:vMerge w:val="restart"/>
          </w:tcPr>
          <w:p w14:paraId="2FAB1DDC" w14:textId="77777777" w:rsidR="00393736" w:rsidRPr="00517EE9" w:rsidRDefault="00393736" w:rsidP="006F0C87">
            <w:pPr>
              <w:spacing w:line="240" w:lineRule="auto"/>
              <w:rPr>
                <w:sz w:val="20"/>
                <w:szCs w:val="20"/>
              </w:rPr>
            </w:pPr>
            <w:r w:rsidRPr="00517EE9">
              <w:rPr>
                <w:sz w:val="20"/>
                <w:szCs w:val="20"/>
              </w:rPr>
              <w:t>Work based training (SQE2)</w:t>
            </w:r>
          </w:p>
        </w:tc>
      </w:tr>
      <w:tr w:rsidR="00393736" w:rsidRPr="00517EE9" w14:paraId="7969DB11" w14:textId="77777777" w:rsidTr="006F0C87">
        <w:tc>
          <w:tcPr>
            <w:tcW w:w="2791" w:type="dxa"/>
          </w:tcPr>
          <w:p w14:paraId="2D0217BA" w14:textId="77777777" w:rsidR="00393736" w:rsidRPr="00517EE9" w:rsidRDefault="00393736" w:rsidP="006F0C87">
            <w:pPr>
              <w:spacing w:line="240" w:lineRule="auto"/>
              <w:rPr>
                <w:sz w:val="20"/>
                <w:szCs w:val="20"/>
              </w:rPr>
            </w:pPr>
            <w:r w:rsidRPr="00517EE9">
              <w:rPr>
                <w:sz w:val="20"/>
                <w:szCs w:val="20"/>
              </w:rPr>
              <w:t>A degree from any discipline</w:t>
            </w:r>
            <w:r>
              <w:rPr>
                <w:sz w:val="20"/>
                <w:szCs w:val="20"/>
              </w:rPr>
              <w:t xml:space="preserve"> or equivalent</w:t>
            </w:r>
          </w:p>
        </w:tc>
        <w:tc>
          <w:tcPr>
            <w:tcW w:w="1724" w:type="dxa"/>
          </w:tcPr>
          <w:p w14:paraId="445514EF" w14:textId="77777777" w:rsidR="00393736" w:rsidRPr="00517EE9" w:rsidRDefault="00393736" w:rsidP="006F0C87">
            <w:pPr>
              <w:spacing w:line="240" w:lineRule="auto"/>
              <w:rPr>
                <w:sz w:val="20"/>
                <w:szCs w:val="20"/>
              </w:rPr>
            </w:pPr>
            <w:r w:rsidRPr="00517EE9">
              <w:rPr>
                <w:sz w:val="20"/>
                <w:szCs w:val="20"/>
              </w:rPr>
              <w:t>Optional preparation course</w:t>
            </w:r>
          </w:p>
        </w:tc>
        <w:tc>
          <w:tcPr>
            <w:tcW w:w="1981" w:type="dxa"/>
          </w:tcPr>
          <w:p w14:paraId="0F10F0EA" w14:textId="77777777" w:rsidR="00393736" w:rsidRPr="00517EE9" w:rsidRDefault="00393736" w:rsidP="006F0C87">
            <w:pPr>
              <w:spacing w:line="240" w:lineRule="auto"/>
              <w:rPr>
                <w:sz w:val="20"/>
                <w:szCs w:val="20"/>
              </w:rPr>
            </w:pPr>
            <w:r w:rsidRPr="00517EE9">
              <w:rPr>
                <w:sz w:val="20"/>
                <w:szCs w:val="20"/>
              </w:rPr>
              <w:t>Centralised Solicitors Qualifying Examination (SQE1)</w:t>
            </w:r>
          </w:p>
        </w:tc>
        <w:tc>
          <w:tcPr>
            <w:tcW w:w="1971" w:type="dxa"/>
            <w:vMerge/>
          </w:tcPr>
          <w:p w14:paraId="17F6FD8D" w14:textId="77777777" w:rsidR="00393736" w:rsidRPr="00517EE9" w:rsidRDefault="00393736" w:rsidP="006F0C87">
            <w:pPr>
              <w:spacing w:line="240" w:lineRule="auto"/>
              <w:rPr>
                <w:sz w:val="20"/>
                <w:szCs w:val="20"/>
              </w:rPr>
            </w:pPr>
          </w:p>
        </w:tc>
      </w:tr>
      <w:tr w:rsidR="00393736" w:rsidRPr="00517EE9" w14:paraId="1E46CAB6" w14:textId="77777777" w:rsidTr="006F0C87">
        <w:tc>
          <w:tcPr>
            <w:tcW w:w="8467" w:type="dxa"/>
            <w:gridSpan w:val="4"/>
          </w:tcPr>
          <w:p w14:paraId="6D061B00" w14:textId="77777777" w:rsidR="00393736" w:rsidRPr="00517EE9" w:rsidRDefault="00393736" w:rsidP="006F0C87">
            <w:pPr>
              <w:spacing w:line="240" w:lineRule="auto"/>
              <w:rPr>
                <w:sz w:val="20"/>
                <w:szCs w:val="20"/>
              </w:rPr>
            </w:pPr>
            <w:r w:rsidRPr="00517EE9">
              <w:rPr>
                <w:sz w:val="20"/>
                <w:szCs w:val="20"/>
              </w:rPr>
              <w:t>Work based training (SQE2)</w:t>
            </w:r>
            <w:r>
              <w:rPr>
                <w:sz w:val="20"/>
                <w:szCs w:val="20"/>
              </w:rPr>
              <w:t xml:space="preserve"> alongside or after other stages. </w:t>
            </w:r>
          </w:p>
        </w:tc>
      </w:tr>
    </w:tbl>
    <w:p w14:paraId="1CDB5766" w14:textId="67D11DFD" w:rsidR="00393736" w:rsidRPr="00517EE9" w:rsidRDefault="00393736" w:rsidP="00393736">
      <w:pPr>
        <w:spacing w:line="240" w:lineRule="auto"/>
        <w:rPr>
          <w:sz w:val="20"/>
        </w:rPr>
      </w:pPr>
      <w:r w:rsidRPr="00517EE9">
        <w:rPr>
          <w:sz w:val="20"/>
        </w:rPr>
        <w:t>Barristers pre and post 2021</w:t>
      </w:r>
      <w:r w:rsidR="000B4AC7">
        <w:rPr>
          <w:sz w:val="20"/>
        </w:rPr>
        <w:t>-</w:t>
      </w:r>
      <w:r w:rsidRPr="00517EE9">
        <w:rPr>
          <w:sz w:val="20"/>
        </w:rPr>
        <w:t>degree entry (Bar Standards Board)</w:t>
      </w:r>
    </w:p>
    <w:tbl>
      <w:tblPr>
        <w:tblStyle w:val="TableGrid"/>
        <w:tblW w:w="8358" w:type="dxa"/>
        <w:tblLook w:val="04A0" w:firstRow="1" w:lastRow="0" w:firstColumn="1" w:lastColumn="0" w:noHBand="0" w:noVBand="1"/>
      </w:tblPr>
      <w:tblGrid>
        <w:gridCol w:w="2972"/>
        <w:gridCol w:w="3544"/>
        <w:gridCol w:w="1842"/>
      </w:tblGrid>
      <w:tr w:rsidR="00393736" w:rsidRPr="00517EE9" w14:paraId="7D152120" w14:textId="77777777" w:rsidTr="006F0C87">
        <w:tc>
          <w:tcPr>
            <w:tcW w:w="2972" w:type="dxa"/>
          </w:tcPr>
          <w:p w14:paraId="25B4AF23" w14:textId="77777777" w:rsidR="00393736" w:rsidRPr="00517EE9" w:rsidRDefault="00393736" w:rsidP="006F0C87">
            <w:pPr>
              <w:spacing w:line="240" w:lineRule="auto"/>
              <w:rPr>
                <w:sz w:val="20"/>
                <w:szCs w:val="20"/>
              </w:rPr>
            </w:pPr>
            <w:r w:rsidRPr="00517EE9">
              <w:rPr>
                <w:sz w:val="20"/>
                <w:szCs w:val="20"/>
              </w:rPr>
              <w:t>Academic stage</w:t>
            </w:r>
          </w:p>
        </w:tc>
        <w:tc>
          <w:tcPr>
            <w:tcW w:w="3544" w:type="dxa"/>
          </w:tcPr>
          <w:p w14:paraId="1FAF8558" w14:textId="77777777" w:rsidR="00393736" w:rsidRPr="00517EE9" w:rsidRDefault="00393736" w:rsidP="006F0C87">
            <w:pPr>
              <w:spacing w:line="240" w:lineRule="auto"/>
              <w:rPr>
                <w:sz w:val="20"/>
                <w:szCs w:val="20"/>
              </w:rPr>
            </w:pPr>
            <w:r w:rsidRPr="00517EE9">
              <w:rPr>
                <w:sz w:val="20"/>
                <w:szCs w:val="20"/>
              </w:rPr>
              <w:t>Vocational training stage</w:t>
            </w:r>
          </w:p>
        </w:tc>
        <w:tc>
          <w:tcPr>
            <w:tcW w:w="1842" w:type="dxa"/>
          </w:tcPr>
          <w:p w14:paraId="2B9B3A37" w14:textId="77777777" w:rsidR="00393736" w:rsidRPr="00517EE9" w:rsidRDefault="00393736" w:rsidP="006F0C87">
            <w:pPr>
              <w:spacing w:line="240" w:lineRule="auto"/>
              <w:rPr>
                <w:sz w:val="20"/>
                <w:szCs w:val="20"/>
              </w:rPr>
            </w:pPr>
          </w:p>
        </w:tc>
      </w:tr>
      <w:tr w:rsidR="00393736" w:rsidRPr="00517EE9" w14:paraId="708C96C2" w14:textId="77777777" w:rsidTr="006F0C87">
        <w:tc>
          <w:tcPr>
            <w:tcW w:w="2972" w:type="dxa"/>
          </w:tcPr>
          <w:p w14:paraId="2EA4BDF7" w14:textId="77777777" w:rsidR="00393736" w:rsidRPr="00517EE9" w:rsidRDefault="00393736" w:rsidP="006F0C87">
            <w:pPr>
              <w:spacing w:line="240" w:lineRule="auto"/>
              <w:rPr>
                <w:sz w:val="20"/>
                <w:szCs w:val="20"/>
              </w:rPr>
            </w:pPr>
            <w:r w:rsidRPr="00517EE9">
              <w:rPr>
                <w:sz w:val="20"/>
                <w:szCs w:val="20"/>
              </w:rPr>
              <w:t>Law degree covering the foundations of legal knowledge</w:t>
            </w:r>
          </w:p>
        </w:tc>
        <w:tc>
          <w:tcPr>
            <w:tcW w:w="3544" w:type="dxa"/>
            <w:vMerge w:val="restart"/>
          </w:tcPr>
          <w:p w14:paraId="01187198" w14:textId="77777777" w:rsidR="00393736" w:rsidRPr="00517EE9" w:rsidRDefault="00393736" w:rsidP="006F0C87">
            <w:pPr>
              <w:spacing w:line="240" w:lineRule="auto"/>
              <w:rPr>
                <w:sz w:val="20"/>
                <w:szCs w:val="20"/>
              </w:rPr>
            </w:pPr>
          </w:p>
          <w:p w14:paraId="21CA84ED" w14:textId="77777777" w:rsidR="00393736" w:rsidRPr="00517EE9" w:rsidRDefault="00393736" w:rsidP="006F0C87">
            <w:pPr>
              <w:spacing w:line="240" w:lineRule="auto"/>
              <w:rPr>
                <w:sz w:val="20"/>
                <w:szCs w:val="20"/>
              </w:rPr>
            </w:pPr>
            <w:r w:rsidRPr="00517EE9">
              <w:rPr>
                <w:sz w:val="20"/>
                <w:szCs w:val="20"/>
              </w:rPr>
              <w:t>Bar Course</w:t>
            </w:r>
          </w:p>
        </w:tc>
        <w:tc>
          <w:tcPr>
            <w:tcW w:w="1842" w:type="dxa"/>
            <w:vMerge w:val="restart"/>
          </w:tcPr>
          <w:p w14:paraId="715A2E1F" w14:textId="77777777" w:rsidR="00393736" w:rsidRPr="00517EE9" w:rsidRDefault="00393736" w:rsidP="006F0C87">
            <w:pPr>
              <w:spacing w:line="240" w:lineRule="auto"/>
              <w:rPr>
                <w:sz w:val="20"/>
                <w:szCs w:val="20"/>
              </w:rPr>
            </w:pPr>
          </w:p>
          <w:p w14:paraId="2BA83F2E" w14:textId="77777777" w:rsidR="00393736" w:rsidRPr="00517EE9" w:rsidRDefault="00393736" w:rsidP="006F0C87">
            <w:pPr>
              <w:spacing w:line="240" w:lineRule="auto"/>
              <w:rPr>
                <w:sz w:val="20"/>
                <w:szCs w:val="20"/>
              </w:rPr>
            </w:pPr>
            <w:r w:rsidRPr="00517EE9">
              <w:rPr>
                <w:sz w:val="20"/>
                <w:szCs w:val="20"/>
              </w:rPr>
              <w:t>Pupillage</w:t>
            </w:r>
          </w:p>
        </w:tc>
      </w:tr>
      <w:tr w:rsidR="00393736" w:rsidRPr="00517EE9" w14:paraId="6A579C74" w14:textId="77777777" w:rsidTr="006F0C87">
        <w:tc>
          <w:tcPr>
            <w:tcW w:w="2972" w:type="dxa"/>
          </w:tcPr>
          <w:p w14:paraId="5C808284" w14:textId="77777777" w:rsidR="00393736" w:rsidRPr="00517EE9" w:rsidRDefault="00393736" w:rsidP="006F0C87">
            <w:pPr>
              <w:spacing w:line="240" w:lineRule="auto"/>
              <w:rPr>
                <w:sz w:val="20"/>
                <w:szCs w:val="20"/>
              </w:rPr>
            </w:pPr>
            <w:r w:rsidRPr="00517EE9">
              <w:rPr>
                <w:sz w:val="20"/>
                <w:szCs w:val="20"/>
              </w:rPr>
              <w:t>A degree and a PG conversion course</w:t>
            </w:r>
          </w:p>
        </w:tc>
        <w:tc>
          <w:tcPr>
            <w:tcW w:w="3544" w:type="dxa"/>
            <w:vMerge/>
          </w:tcPr>
          <w:p w14:paraId="491BED7A" w14:textId="77777777" w:rsidR="00393736" w:rsidRPr="00517EE9" w:rsidRDefault="00393736" w:rsidP="006F0C87">
            <w:pPr>
              <w:spacing w:line="240" w:lineRule="auto"/>
              <w:rPr>
                <w:sz w:val="20"/>
                <w:szCs w:val="20"/>
              </w:rPr>
            </w:pPr>
          </w:p>
        </w:tc>
        <w:tc>
          <w:tcPr>
            <w:tcW w:w="1842" w:type="dxa"/>
            <w:vMerge/>
          </w:tcPr>
          <w:p w14:paraId="4F722DE5" w14:textId="77777777" w:rsidR="00393736" w:rsidRPr="00517EE9" w:rsidRDefault="00393736" w:rsidP="006F0C87">
            <w:pPr>
              <w:spacing w:line="240" w:lineRule="auto"/>
              <w:rPr>
                <w:sz w:val="20"/>
                <w:szCs w:val="20"/>
              </w:rPr>
            </w:pPr>
          </w:p>
        </w:tc>
      </w:tr>
    </w:tbl>
    <w:p w14:paraId="694DE32B" w14:textId="77777777" w:rsidR="00393736" w:rsidRDefault="00393736" w:rsidP="003176D1">
      <w:pPr>
        <w:pStyle w:val="Heading1"/>
        <w:numPr>
          <w:ilvl w:val="0"/>
          <w:numId w:val="0"/>
        </w:numPr>
        <w:spacing w:before="100" w:after="100" w:afterAutospacing="1" w:line="360" w:lineRule="auto"/>
        <w:rPr>
          <w:rFonts w:ascii="Arial" w:hAnsi="Arial" w:cs="Arial"/>
        </w:rPr>
        <w:sectPr w:rsidR="00393736" w:rsidSect="008854CA">
          <w:pgSz w:w="11880" w:h="16800"/>
          <w:pgMar w:top="1418" w:right="1418" w:bottom="1418" w:left="1985" w:header="720" w:footer="720" w:gutter="0"/>
          <w:cols w:space="720"/>
        </w:sectPr>
      </w:pPr>
    </w:p>
    <w:p w14:paraId="2474908E" w14:textId="3D43F77B" w:rsidR="009068CD" w:rsidRPr="00AF2A6B" w:rsidRDefault="00A16AFC" w:rsidP="00AF2A6B">
      <w:pPr>
        <w:pStyle w:val="Heading1"/>
        <w:numPr>
          <w:ilvl w:val="0"/>
          <w:numId w:val="0"/>
        </w:numPr>
        <w:spacing w:before="100" w:after="100" w:afterAutospacing="1" w:line="360" w:lineRule="auto"/>
        <w:rPr>
          <w:rFonts w:ascii="Arial" w:hAnsi="Arial" w:cs="Arial"/>
        </w:rPr>
      </w:pPr>
      <w:bookmarkStart w:id="103" w:name="_Toc208723509"/>
      <w:bookmarkStart w:id="104" w:name="_Toc4491306"/>
      <w:bookmarkStart w:id="105" w:name="_Toc4492111"/>
      <w:bookmarkStart w:id="106" w:name="_Toc223348892"/>
      <w:bookmarkEnd w:id="76"/>
      <w:bookmarkEnd w:id="77"/>
      <w:bookmarkEnd w:id="78"/>
      <w:r w:rsidRPr="00EF0E6B">
        <w:rPr>
          <w:rFonts w:ascii="Arial" w:hAnsi="Arial" w:cs="Arial"/>
        </w:rPr>
        <w:lastRenderedPageBreak/>
        <w:t>Appendix Two</w:t>
      </w:r>
      <w:bookmarkEnd w:id="103"/>
      <w:bookmarkEnd w:id="104"/>
      <w:bookmarkEnd w:id="105"/>
      <w:r w:rsidR="00AF2A6B">
        <w:rPr>
          <w:rFonts w:ascii="Arial" w:hAnsi="Arial" w:cs="Arial"/>
        </w:rPr>
        <w:t xml:space="preserve">: </w:t>
      </w:r>
      <w:r w:rsidR="009068CD" w:rsidRPr="00AF2A6B">
        <w:rPr>
          <w:rFonts w:ascii="Arial" w:hAnsi="Arial" w:cs="Arial"/>
          <w:szCs w:val="28"/>
        </w:rPr>
        <w:t>Interview Outline</w:t>
      </w:r>
      <w:bookmarkEnd w:id="106"/>
    </w:p>
    <w:tbl>
      <w:tblPr>
        <w:tblStyle w:val="TableGrid"/>
        <w:tblW w:w="8064" w:type="dxa"/>
        <w:tblInd w:w="11" w:type="dxa"/>
        <w:tblLook w:val="04A0" w:firstRow="1" w:lastRow="0" w:firstColumn="1" w:lastColumn="0" w:noHBand="0" w:noVBand="1"/>
      </w:tblPr>
      <w:tblGrid>
        <w:gridCol w:w="8064"/>
      </w:tblGrid>
      <w:tr w:rsidR="009068CD" w:rsidRPr="00C35A17" w14:paraId="218C7ED2" w14:textId="77777777" w:rsidTr="006F0C87">
        <w:tc>
          <w:tcPr>
            <w:tcW w:w="8064" w:type="dxa"/>
          </w:tcPr>
          <w:p w14:paraId="26DA58C7" w14:textId="77777777" w:rsidR="009068CD" w:rsidRPr="00C35A17" w:rsidRDefault="009068CD" w:rsidP="006F0C87">
            <w:pPr>
              <w:rPr>
                <w:b/>
                <w:bCs/>
                <w:sz w:val="22"/>
                <w:szCs w:val="22"/>
              </w:rPr>
            </w:pPr>
            <w:r w:rsidRPr="00C35A17">
              <w:rPr>
                <w:b/>
                <w:bCs/>
                <w:sz w:val="22"/>
                <w:szCs w:val="22"/>
              </w:rPr>
              <w:t>Introduction</w:t>
            </w:r>
          </w:p>
        </w:tc>
      </w:tr>
      <w:tr w:rsidR="009068CD" w:rsidRPr="00C35A17" w14:paraId="1CD28805" w14:textId="77777777" w:rsidTr="006F0C87">
        <w:tc>
          <w:tcPr>
            <w:tcW w:w="8064" w:type="dxa"/>
          </w:tcPr>
          <w:p w14:paraId="25E9FE6E" w14:textId="77777777" w:rsidR="009068CD" w:rsidRPr="00C35A17" w:rsidRDefault="009068CD" w:rsidP="006F0C87">
            <w:pPr>
              <w:rPr>
                <w:sz w:val="22"/>
                <w:szCs w:val="22"/>
              </w:rPr>
            </w:pPr>
          </w:p>
        </w:tc>
      </w:tr>
    </w:tbl>
    <w:p w14:paraId="7A8D06B1" w14:textId="77777777" w:rsidR="009068CD" w:rsidRPr="00C35A17" w:rsidRDefault="009068CD" w:rsidP="009068CD">
      <w:pPr>
        <w:rPr>
          <w:sz w:val="22"/>
          <w:szCs w:val="22"/>
        </w:rPr>
      </w:pPr>
    </w:p>
    <w:tbl>
      <w:tblPr>
        <w:tblStyle w:val="TableGrid"/>
        <w:tblW w:w="8064" w:type="dxa"/>
        <w:tblInd w:w="11" w:type="dxa"/>
        <w:tblLook w:val="04A0" w:firstRow="1" w:lastRow="0" w:firstColumn="1" w:lastColumn="0" w:noHBand="0" w:noVBand="1"/>
      </w:tblPr>
      <w:tblGrid>
        <w:gridCol w:w="4946"/>
        <w:gridCol w:w="3118"/>
      </w:tblGrid>
      <w:tr w:rsidR="009068CD" w:rsidRPr="00C35A17" w14:paraId="7FA1BE7C" w14:textId="77777777" w:rsidTr="006F0C87">
        <w:tc>
          <w:tcPr>
            <w:tcW w:w="4946" w:type="dxa"/>
            <w:shd w:val="clear" w:color="auto" w:fill="auto"/>
          </w:tcPr>
          <w:p w14:paraId="0F46B914" w14:textId="77777777" w:rsidR="009068CD" w:rsidRPr="00C35A17" w:rsidRDefault="009068CD" w:rsidP="006F0C87">
            <w:pPr>
              <w:rPr>
                <w:b/>
                <w:bCs/>
                <w:sz w:val="22"/>
                <w:szCs w:val="22"/>
              </w:rPr>
            </w:pPr>
            <w:r w:rsidRPr="00C35A17">
              <w:rPr>
                <w:b/>
                <w:bCs/>
                <w:sz w:val="22"/>
                <w:szCs w:val="22"/>
              </w:rPr>
              <w:t>Research questions</w:t>
            </w:r>
          </w:p>
        </w:tc>
        <w:tc>
          <w:tcPr>
            <w:tcW w:w="3118" w:type="dxa"/>
          </w:tcPr>
          <w:p w14:paraId="2736E2A6" w14:textId="77777777" w:rsidR="009068CD" w:rsidRPr="00C35A17" w:rsidRDefault="009068CD" w:rsidP="006F0C87">
            <w:pPr>
              <w:rPr>
                <w:b/>
                <w:bCs/>
                <w:sz w:val="22"/>
                <w:szCs w:val="22"/>
              </w:rPr>
            </w:pPr>
            <w:r w:rsidRPr="00C35A17">
              <w:rPr>
                <w:b/>
                <w:bCs/>
                <w:sz w:val="22"/>
                <w:szCs w:val="22"/>
              </w:rPr>
              <w:t>Central questions</w:t>
            </w:r>
            <w:r>
              <w:rPr>
                <w:b/>
                <w:bCs/>
                <w:sz w:val="22"/>
                <w:szCs w:val="22"/>
              </w:rPr>
              <w:t xml:space="preserve"> will be about</w:t>
            </w:r>
          </w:p>
        </w:tc>
      </w:tr>
      <w:tr w:rsidR="009068CD" w:rsidRPr="00C35A17" w14:paraId="2A8F6913" w14:textId="77777777" w:rsidTr="006F0C87">
        <w:trPr>
          <w:trHeight w:val="454"/>
        </w:trPr>
        <w:tc>
          <w:tcPr>
            <w:tcW w:w="4946" w:type="dxa"/>
            <w:vMerge w:val="restart"/>
            <w:shd w:val="clear" w:color="auto" w:fill="DBE5F1" w:themeFill="accent1" w:themeFillTint="33"/>
          </w:tcPr>
          <w:p w14:paraId="7B15A67C" w14:textId="77777777" w:rsidR="009068CD" w:rsidRDefault="009068CD" w:rsidP="006F0C87">
            <w:pPr>
              <w:rPr>
                <w:sz w:val="21"/>
                <w:szCs w:val="21"/>
              </w:rPr>
            </w:pPr>
          </w:p>
          <w:p w14:paraId="7CB574B8" w14:textId="77777777" w:rsidR="000B4AC7" w:rsidRPr="00EF0E6B" w:rsidRDefault="009068CD" w:rsidP="000B4AC7">
            <w:pPr>
              <w:jc w:val="both"/>
              <w:rPr>
                <w:rFonts w:cs="Arial"/>
                <w:color w:val="000000" w:themeColor="text1"/>
              </w:rPr>
            </w:pPr>
            <w:r w:rsidRPr="006B22D4">
              <w:rPr>
                <w:sz w:val="21"/>
                <w:szCs w:val="21"/>
              </w:rPr>
              <w:t>1.</w:t>
            </w:r>
            <w:r w:rsidRPr="006B22D4">
              <w:rPr>
                <w:color w:val="000000" w:themeColor="text1"/>
                <w:sz w:val="21"/>
                <w:szCs w:val="21"/>
              </w:rPr>
              <w:t xml:space="preserve"> </w:t>
            </w:r>
            <w:r w:rsidR="000B4AC7" w:rsidRPr="00EF0E6B">
              <w:rPr>
                <w:rFonts w:cs="Arial"/>
                <w:color w:val="000000" w:themeColor="text1"/>
              </w:rPr>
              <w:t>What influences</w:t>
            </w:r>
            <w:r w:rsidR="000B4AC7">
              <w:rPr>
                <w:rFonts w:cs="Arial"/>
                <w:color w:val="000000" w:themeColor="text1"/>
              </w:rPr>
              <w:t xml:space="preserve"> are</w:t>
            </w:r>
            <w:r w:rsidR="000B4AC7" w:rsidRPr="00EF0E6B">
              <w:rPr>
                <w:rFonts w:cs="Arial"/>
                <w:color w:val="000000" w:themeColor="text1"/>
              </w:rPr>
              <w:t xml:space="preserve"> </w:t>
            </w:r>
            <w:r w:rsidR="000B4AC7">
              <w:rPr>
                <w:rFonts w:cs="Arial"/>
                <w:color w:val="000000" w:themeColor="text1"/>
              </w:rPr>
              <w:t>apparent in u</w:t>
            </w:r>
            <w:r w:rsidR="000B4AC7" w:rsidRPr="00EF0E6B">
              <w:rPr>
                <w:rFonts w:cs="Arial"/>
                <w:color w:val="000000" w:themeColor="text1"/>
              </w:rPr>
              <w:t>ndergraduate law course design?</w:t>
            </w:r>
          </w:p>
          <w:p w14:paraId="08A0E49A" w14:textId="584BA091" w:rsidR="009068CD" w:rsidRPr="006B22D4" w:rsidRDefault="009068CD" w:rsidP="006F0C87">
            <w:pPr>
              <w:rPr>
                <w:sz w:val="21"/>
                <w:szCs w:val="21"/>
              </w:rPr>
            </w:pPr>
          </w:p>
        </w:tc>
        <w:tc>
          <w:tcPr>
            <w:tcW w:w="3118" w:type="dxa"/>
            <w:shd w:val="clear" w:color="auto" w:fill="D9D9D9" w:themeFill="background1" w:themeFillShade="D9"/>
          </w:tcPr>
          <w:p w14:paraId="5485C2CF" w14:textId="1D610B82" w:rsidR="009068CD" w:rsidRPr="006B22D4" w:rsidRDefault="009068CD" w:rsidP="006F0C87">
            <w:pPr>
              <w:rPr>
                <w:sz w:val="21"/>
                <w:szCs w:val="21"/>
              </w:rPr>
            </w:pPr>
            <w:r>
              <w:rPr>
                <w:sz w:val="21"/>
                <w:szCs w:val="21"/>
              </w:rPr>
              <w:t>Your</w:t>
            </w:r>
            <w:r w:rsidRPr="006B22D4">
              <w:rPr>
                <w:sz w:val="21"/>
                <w:szCs w:val="21"/>
              </w:rPr>
              <w:t xml:space="preserve"> position and your involvement in the process of design. </w:t>
            </w:r>
          </w:p>
        </w:tc>
      </w:tr>
      <w:tr w:rsidR="009068CD" w:rsidRPr="00C35A17" w14:paraId="2D744C73" w14:textId="77777777" w:rsidTr="006F0C87">
        <w:trPr>
          <w:trHeight w:val="983"/>
        </w:trPr>
        <w:tc>
          <w:tcPr>
            <w:tcW w:w="4946" w:type="dxa"/>
            <w:vMerge/>
            <w:shd w:val="clear" w:color="auto" w:fill="DBE5F1" w:themeFill="accent1" w:themeFillTint="33"/>
          </w:tcPr>
          <w:p w14:paraId="5ABECAA1" w14:textId="77777777" w:rsidR="009068CD" w:rsidRPr="006B22D4" w:rsidRDefault="009068CD" w:rsidP="006F0C87">
            <w:pPr>
              <w:rPr>
                <w:b/>
                <w:bCs/>
                <w:sz w:val="21"/>
                <w:szCs w:val="21"/>
              </w:rPr>
            </w:pPr>
          </w:p>
        </w:tc>
        <w:tc>
          <w:tcPr>
            <w:tcW w:w="3118" w:type="dxa"/>
            <w:shd w:val="clear" w:color="auto" w:fill="D9D9D9" w:themeFill="background1" w:themeFillShade="D9"/>
          </w:tcPr>
          <w:p w14:paraId="2CE30ED4" w14:textId="306E10AB" w:rsidR="009068CD" w:rsidRDefault="009068CD" w:rsidP="006F0C87">
            <w:pPr>
              <w:rPr>
                <w:sz w:val="21"/>
                <w:szCs w:val="21"/>
              </w:rPr>
            </w:pPr>
            <w:r w:rsidRPr="006B22D4">
              <w:rPr>
                <w:sz w:val="21"/>
                <w:szCs w:val="21"/>
              </w:rPr>
              <w:t>Who else was involved in the course design?</w:t>
            </w:r>
          </w:p>
          <w:p w14:paraId="72471EC4" w14:textId="7AE0CE8E" w:rsidR="009068CD" w:rsidRPr="00143CF7" w:rsidRDefault="009068CD" w:rsidP="006F0C87">
            <w:pPr>
              <w:rPr>
                <w:sz w:val="21"/>
                <w:szCs w:val="21"/>
              </w:rPr>
            </w:pPr>
            <w:r w:rsidRPr="006B22D4">
              <w:rPr>
                <w:sz w:val="21"/>
                <w:szCs w:val="21"/>
              </w:rPr>
              <w:t>What did that mean for the course?</w:t>
            </w:r>
          </w:p>
        </w:tc>
      </w:tr>
      <w:tr w:rsidR="009068CD" w:rsidRPr="00C35A17" w14:paraId="7D9F20D3" w14:textId="77777777" w:rsidTr="006F0C87">
        <w:trPr>
          <w:trHeight w:val="1366"/>
        </w:trPr>
        <w:tc>
          <w:tcPr>
            <w:tcW w:w="4946" w:type="dxa"/>
            <w:vMerge/>
            <w:shd w:val="clear" w:color="auto" w:fill="DBE5F1" w:themeFill="accent1" w:themeFillTint="33"/>
          </w:tcPr>
          <w:p w14:paraId="61A5AC5F" w14:textId="77777777" w:rsidR="009068CD" w:rsidRPr="00C35A17" w:rsidRDefault="009068CD" w:rsidP="006F0C87">
            <w:pPr>
              <w:rPr>
                <w:b/>
                <w:bCs/>
                <w:sz w:val="22"/>
                <w:szCs w:val="22"/>
              </w:rPr>
            </w:pPr>
          </w:p>
        </w:tc>
        <w:tc>
          <w:tcPr>
            <w:tcW w:w="3118" w:type="dxa"/>
            <w:shd w:val="clear" w:color="auto" w:fill="D9D9D9" w:themeFill="background1" w:themeFillShade="D9"/>
          </w:tcPr>
          <w:p w14:paraId="48AFB395" w14:textId="0D9B2AE0" w:rsidR="009068CD" w:rsidRDefault="009068CD" w:rsidP="006F0C87">
            <w:pPr>
              <w:rPr>
                <w:sz w:val="22"/>
                <w:szCs w:val="22"/>
              </w:rPr>
            </w:pPr>
            <w:r w:rsidRPr="00C35A17">
              <w:rPr>
                <w:sz w:val="22"/>
                <w:szCs w:val="22"/>
              </w:rPr>
              <w:t>How d</w:t>
            </w:r>
            <w:r>
              <w:rPr>
                <w:sz w:val="22"/>
                <w:szCs w:val="22"/>
              </w:rPr>
              <w:t>oes</w:t>
            </w:r>
            <w:r w:rsidRPr="00C35A17">
              <w:rPr>
                <w:sz w:val="22"/>
                <w:szCs w:val="22"/>
              </w:rPr>
              <w:t xml:space="preserve"> change in the curriculum usually come about </w:t>
            </w:r>
            <w:r>
              <w:rPr>
                <w:sz w:val="22"/>
                <w:szCs w:val="22"/>
              </w:rPr>
              <w:t xml:space="preserve">in your </w:t>
            </w:r>
            <w:r w:rsidR="00E76CF0">
              <w:rPr>
                <w:sz w:val="22"/>
                <w:szCs w:val="22"/>
              </w:rPr>
              <w:t>school</w:t>
            </w:r>
            <w:r>
              <w:rPr>
                <w:sz w:val="22"/>
                <w:szCs w:val="22"/>
              </w:rPr>
              <w:t>/department</w:t>
            </w:r>
            <w:r w:rsidR="00E76CF0">
              <w:rPr>
                <w:sz w:val="22"/>
                <w:szCs w:val="22"/>
              </w:rPr>
              <w:t>/university</w:t>
            </w:r>
            <w:r>
              <w:rPr>
                <w:sz w:val="22"/>
                <w:szCs w:val="22"/>
              </w:rPr>
              <w:t xml:space="preserve">, </w:t>
            </w:r>
            <w:r w:rsidRPr="00C35A17">
              <w:rPr>
                <w:sz w:val="22"/>
                <w:szCs w:val="22"/>
              </w:rPr>
              <w:t xml:space="preserve">and how did it come about here? </w:t>
            </w:r>
          </w:p>
          <w:p w14:paraId="1789357F" w14:textId="77777777" w:rsidR="009068CD" w:rsidRDefault="009068CD" w:rsidP="006F0C87">
            <w:pPr>
              <w:rPr>
                <w:sz w:val="22"/>
                <w:szCs w:val="22"/>
              </w:rPr>
            </w:pPr>
          </w:p>
          <w:p w14:paraId="05D5FEDD" w14:textId="30D248E6" w:rsidR="009068CD" w:rsidRPr="00C35A17" w:rsidRDefault="009068CD" w:rsidP="006F0C87">
            <w:pPr>
              <w:rPr>
                <w:sz w:val="22"/>
                <w:szCs w:val="22"/>
              </w:rPr>
            </w:pPr>
          </w:p>
        </w:tc>
      </w:tr>
      <w:tr w:rsidR="009068CD" w:rsidRPr="00C35A17" w14:paraId="1FA14C02" w14:textId="77777777" w:rsidTr="006F0C87">
        <w:trPr>
          <w:trHeight w:val="1366"/>
        </w:trPr>
        <w:tc>
          <w:tcPr>
            <w:tcW w:w="4946" w:type="dxa"/>
            <w:vMerge/>
            <w:shd w:val="clear" w:color="auto" w:fill="DBE5F1" w:themeFill="accent1" w:themeFillTint="33"/>
          </w:tcPr>
          <w:p w14:paraId="5CBB35DD" w14:textId="77777777" w:rsidR="009068CD" w:rsidRPr="00C35A17" w:rsidRDefault="009068CD" w:rsidP="006F0C87">
            <w:pPr>
              <w:rPr>
                <w:b/>
                <w:bCs/>
                <w:sz w:val="22"/>
                <w:szCs w:val="22"/>
              </w:rPr>
            </w:pPr>
          </w:p>
        </w:tc>
        <w:tc>
          <w:tcPr>
            <w:tcW w:w="3118" w:type="dxa"/>
            <w:shd w:val="clear" w:color="auto" w:fill="D9D9D9" w:themeFill="background1" w:themeFillShade="D9"/>
          </w:tcPr>
          <w:p w14:paraId="23697459" w14:textId="04948A52" w:rsidR="009068CD" w:rsidRDefault="009068CD" w:rsidP="006F0C87">
            <w:pPr>
              <w:rPr>
                <w:sz w:val="22"/>
                <w:szCs w:val="22"/>
              </w:rPr>
            </w:pPr>
            <w:r>
              <w:rPr>
                <w:sz w:val="22"/>
                <w:szCs w:val="22"/>
              </w:rPr>
              <w:t>The important influences that were evident during the design of the programme?</w:t>
            </w:r>
          </w:p>
        </w:tc>
      </w:tr>
      <w:tr w:rsidR="009068CD" w:rsidRPr="00C35A17" w14:paraId="28449999" w14:textId="77777777" w:rsidTr="006F0C87">
        <w:trPr>
          <w:trHeight w:val="983"/>
        </w:trPr>
        <w:tc>
          <w:tcPr>
            <w:tcW w:w="4946" w:type="dxa"/>
            <w:shd w:val="clear" w:color="auto" w:fill="EAF1DD" w:themeFill="accent3" w:themeFillTint="33"/>
          </w:tcPr>
          <w:p w14:paraId="761AE0D3" w14:textId="77777777" w:rsidR="000B4AC7" w:rsidRPr="00EF0E6B" w:rsidRDefault="000B4AC7" w:rsidP="000B4AC7">
            <w:pPr>
              <w:jc w:val="both"/>
              <w:rPr>
                <w:rFonts w:cs="Arial"/>
                <w:color w:val="000000" w:themeColor="text1"/>
              </w:rPr>
            </w:pPr>
            <w:r w:rsidRPr="00EF0E6B">
              <w:rPr>
                <w:rFonts w:cs="Arial"/>
                <w:color w:val="000000" w:themeColor="text1"/>
              </w:rPr>
              <w:t xml:space="preserve">What impact are these </w:t>
            </w:r>
            <w:r w:rsidRPr="008145D9">
              <w:rPr>
                <w:rFonts w:cs="Arial"/>
                <w:color w:val="000000" w:themeColor="text1"/>
              </w:rPr>
              <w:t>influences understood to have</w:t>
            </w:r>
            <w:r w:rsidRPr="00EF0E6B">
              <w:rPr>
                <w:rFonts w:cs="Arial"/>
                <w:color w:val="000000" w:themeColor="text1"/>
              </w:rPr>
              <w:t xml:space="preserve"> on the course design?</w:t>
            </w:r>
          </w:p>
          <w:p w14:paraId="7B7D0956" w14:textId="77777777" w:rsidR="009068CD" w:rsidRPr="00C35A17" w:rsidRDefault="009068CD" w:rsidP="000B4AC7">
            <w:pPr>
              <w:rPr>
                <w:sz w:val="22"/>
                <w:szCs w:val="22"/>
              </w:rPr>
            </w:pPr>
          </w:p>
        </w:tc>
        <w:tc>
          <w:tcPr>
            <w:tcW w:w="3118" w:type="dxa"/>
            <w:shd w:val="clear" w:color="auto" w:fill="D9D9D9" w:themeFill="background1" w:themeFillShade="D9"/>
          </w:tcPr>
          <w:p w14:paraId="520A3848" w14:textId="77777777" w:rsidR="000B4AC7" w:rsidRDefault="000B4AC7" w:rsidP="000B4AC7">
            <w:pPr>
              <w:rPr>
                <w:color w:val="000000" w:themeColor="text1"/>
                <w:sz w:val="22"/>
                <w:szCs w:val="22"/>
              </w:rPr>
            </w:pPr>
            <w:r>
              <w:rPr>
                <w:color w:val="000000" w:themeColor="text1"/>
                <w:sz w:val="22"/>
                <w:szCs w:val="22"/>
              </w:rPr>
              <w:t xml:space="preserve">How, when and in what way did these influences have an impact on the design? </w:t>
            </w:r>
          </w:p>
          <w:p w14:paraId="4B4A83BF" w14:textId="04AD0C7C" w:rsidR="000B4AC7" w:rsidRDefault="000B4AC7" w:rsidP="000B4AC7">
            <w:pPr>
              <w:rPr>
                <w:color w:val="000000" w:themeColor="text1"/>
                <w:sz w:val="22"/>
                <w:szCs w:val="22"/>
              </w:rPr>
            </w:pPr>
            <w:r w:rsidRPr="00C35A17">
              <w:rPr>
                <w:sz w:val="22"/>
                <w:szCs w:val="22"/>
              </w:rPr>
              <w:t>How were</w:t>
            </w:r>
            <w:r>
              <w:rPr>
                <w:sz w:val="22"/>
                <w:szCs w:val="22"/>
              </w:rPr>
              <w:t xml:space="preserve"> any structural and/or pedagogic </w:t>
            </w:r>
            <w:r w:rsidRPr="00C35A17">
              <w:rPr>
                <w:sz w:val="22"/>
                <w:szCs w:val="22"/>
              </w:rPr>
              <w:t>choices</w:t>
            </w:r>
            <w:r>
              <w:rPr>
                <w:sz w:val="22"/>
                <w:szCs w:val="22"/>
              </w:rPr>
              <w:t xml:space="preserve"> made?</w:t>
            </w:r>
          </w:p>
          <w:p w14:paraId="25F83D53" w14:textId="14C89D68" w:rsidR="000B4AC7" w:rsidRDefault="000B4AC7" w:rsidP="000B4AC7">
            <w:pPr>
              <w:rPr>
                <w:sz w:val="22"/>
                <w:szCs w:val="22"/>
              </w:rPr>
            </w:pPr>
            <w:r>
              <w:rPr>
                <w:sz w:val="22"/>
                <w:szCs w:val="22"/>
              </w:rPr>
              <w:t>The more important or distinctive cornerstones in the design of th</w:t>
            </w:r>
            <w:r w:rsidR="00B43084">
              <w:rPr>
                <w:sz w:val="22"/>
                <w:szCs w:val="22"/>
              </w:rPr>
              <w:t>e course(s)</w:t>
            </w:r>
            <w:r>
              <w:rPr>
                <w:sz w:val="22"/>
                <w:szCs w:val="22"/>
              </w:rPr>
              <w:t>?</w:t>
            </w:r>
          </w:p>
          <w:p w14:paraId="2DE794CF" w14:textId="3F5563EE" w:rsidR="009068CD" w:rsidRPr="00143CF7" w:rsidRDefault="009068CD" w:rsidP="006F0C87">
            <w:pPr>
              <w:rPr>
                <w:color w:val="000000" w:themeColor="text1"/>
                <w:sz w:val="22"/>
                <w:szCs w:val="22"/>
              </w:rPr>
            </w:pPr>
          </w:p>
        </w:tc>
      </w:tr>
    </w:tbl>
    <w:p w14:paraId="6AC55899" w14:textId="77777777" w:rsidR="009068CD" w:rsidRPr="00C35A17" w:rsidRDefault="009068CD" w:rsidP="009068CD">
      <w:pPr>
        <w:rPr>
          <w:sz w:val="22"/>
          <w:szCs w:val="22"/>
        </w:rPr>
      </w:pPr>
    </w:p>
    <w:p w14:paraId="31F5BAB2" w14:textId="77777777" w:rsidR="009068CD" w:rsidRDefault="009068CD" w:rsidP="009068CD"/>
    <w:p w14:paraId="5DC8E137" w14:textId="77777777" w:rsidR="009068CD" w:rsidRDefault="009068CD" w:rsidP="009068CD"/>
    <w:p w14:paraId="7A366DE0" w14:textId="77777777" w:rsidR="000B4AC7" w:rsidRDefault="000B4AC7" w:rsidP="009068CD"/>
    <w:p w14:paraId="62BF11D7" w14:textId="77777777" w:rsidR="009068CD" w:rsidRDefault="009068CD" w:rsidP="009068CD"/>
    <w:p w14:paraId="6FFBE79C" w14:textId="77777777" w:rsidR="00306A4F" w:rsidRDefault="00306A4F" w:rsidP="009068CD"/>
    <w:p w14:paraId="357F126D" w14:textId="77777777" w:rsidR="00306A4F" w:rsidRDefault="00306A4F" w:rsidP="009068CD"/>
    <w:p w14:paraId="2BFE1F2D" w14:textId="7557449B" w:rsidR="00393736" w:rsidRPr="00AF2A6B" w:rsidRDefault="009068CD" w:rsidP="00AF2A6B">
      <w:pPr>
        <w:pStyle w:val="Heading1"/>
        <w:numPr>
          <w:ilvl w:val="0"/>
          <w:numId w:val="0"/>
        </w:numPr>
        <w:spacing w:before="100" w:after="100" w:afterAutospacing="1" w:line="360" w:lineRule="auto"/>
        <w:rPr>
          <w:rFonts w:ascii="Arial" w:hAnsi="Arial" w:cs="Arial"/>
        </w:rPr>
      </w:pPr>
      <w:bookmarkStart w:id="107" w:name="_Toc223348893"/>
      <w:r w:rsidRPr="00EF0E6B">
        <w:rPr>
          <w:rFonts w:ascii="Arial" w:hAnsi="Arial" w:cs="Arial"/>
        </w:rPr>
        <w:lastRenderedPageBreak/>
        <w:t>Appendix T</w:t>
      </w:r>
      <w:r>
        <w:rPr>
          <w:rFonts w:ascii="Arial" w:hAnsi="Arial" w:cs="Arial"/>
        </w:rPr>
        <w:t>hree</w:t>
      </w:r>
      <w:r w:rsidR="00AF2A6B">
        <w:rPr>
          <w:rFonts w:ascii="Arial" w:hAnsi="Arial" w:cs="Arial"/>
        </w:rPr>
        <w:t xml:space="preserve">: Representation </w:t>
      </w:r>
      <w:r w:rsidR="00AF2A6B" w:rsidRPr="00AF2A6B">
        <w:rPr>
          <w:rFonts w:ascii="Arial" w:hAnsi="Arial" w:cs="Arial"/>
          <w:szCs w:val="28"/>
        </w:rPr>
        <w:t>of the</w:t>
      </w:r>
      <w:r w:rsidR="005D091E">
        <w:rPr>
          <w:rFonts w:ascii="Arial" w:hAnsi="Arial" w:cs="Arial"/>
          <w:szCs w:val="28"/>
        </w:rPr>
        <w:t xml:space="preserve"> initial</w:t>
      </w:r>
      <w:r w:rsidR="00AF2A6B" w:rsidRPr="00AF2A6B">
        <w:rPr>
          <w:rFonts w:ascii="Arial" w:hAnsi="Arial" w:cs="Arial"/>
          <w:szCs w:val="28"/>
        </w:rPr>
        <w:t xml:space="preserve"> </w:t>
      </w:r>
      <w:r w:rsidR="00393736" w:rsidRPr="00AF2A6B">
        <w:rPr>
          <w:rFonts w:ascii="Arial" w:hAnsi="Arial" w:cs="Arial"/>
          <w:szCs w:val="28"/>
        </w:rPr>
        <w:t>Code Book</w:t>
      </w:r>
      <w:r w:rsidR="00393736" w:rsidRPr="00AF2A6B">
        <w:rPr>
          <w:rStyle w:val="FootnoteReference"/>
          <w:rFonts w:ascii="Arial" w:hAnsi="Arial" w:cs="Arial"/>
          <w:sz w:val="28"/>
          <w:szCs w:val="28"/>
        </w:rPr>
        <w:footnoteReference w:id="4"/>
      </w:r>
      <w:bookmarkEnd w:id="107"/>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597F69C1"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4EFED830"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21B89749"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419089EF"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61087B6D"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1D73EA2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02E9AC30"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5B2747CE" w14:textId="77777777" w:rsidTr="006F0C87">
        <w:tc>
          <w:tcPr>
            <w:tcW w:w="3490" w:type="dxa"/>
            <w:tcBorders>
              <w:left w:val="single" w:sz="2" w:space="0" w:color="DDDDDD"/>
              <w:bottom w:val="single" w:sz="2" w:space="0" w:color="DDDDDD"/>
            </w:tcBorders>
          </w:tcPr>
          <w:p w14:paraId="0808F36D" w14:textId="6F4B63F0" w:rsidR="00393736" w:rsidRPr="00393736" w:rsidRDefault="00E76CF0" w:rsidP="006F0C87">
            <w:pPr>
              <w:pStyle w:val="TableContents"/>
              <w:rPr>
                <w:rFonts w:ascii="Arial" w:hAnsi="Arial" w:cs="Arial"/>
                <w:sz w:val="20"/>
                <w:szCs w:val="20"/>
              </w:rPr>
            </w:pPr>
            <w:r>
              <w:rPr>
                <w:rFonts w:ascii="Arial" w:hAnsi="Arial" w:cs="Arial"/>
                <w:sz w:val="20"/>
                <w:szCs w:val="20"/>
              </w:rPr>
              <w:t xml:space="preserve">Law School </w:t>
            </w:r>
            <w:r w:rsidR="00393736" w:rsidRPr="00393736">
              <w:rPr>
                <w:rFonts w:ascii="Arial" w:hAnsi="Arial" w:cs="Arial"/>
                <w:sz w:val="20"/>
                <w:szCs w:val="20"/>
              </w:rPr>
              <w:t>differences</w:t>
            </w:r>
          </w:p>
        </w:tc>
        <w:tc>
          <w:tcPr>
            <w:tcW w:w="2745" w:type="dxa"/>
            <w:vMerge w:val="restart"/>
            <w:tcBorders>
              <w:left w:val="single" w:sz="2" w:space="0" w:color="DDDDDD"/>
            </w:tcBorders>
          </w:tcPr>
          <w:p w14:paraId="5A6F4CB3"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Professional Regulatory Bodies</w:t>
            </w:r>
          </w:p>
        </w:tc>
        <w:tc>
          <w:tcPr>
            <w:tcW w:w="1984" w:type="dxa"/>
            <w:vMerge w:val="restart"/>
            <w:tcBorders>
              <w:left w:val="single" w:sz="2" w:space="0" w:color="DDDDDD"/>
              <w:right w:val="single" w:sz="2" w:space="0" w:color="DDDDDD"/>
            </w:tcBorders>
          </w:tcPr>
          <w:p w14:paraId="7ADE606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ORF: s5.2.1.</w:t>
            </w:r>
          </w:p>
        </w:tc>
        <w:tc>
          <w:tcPr>
            <w:tcW w:w="1985" w:type="dxa"/>
            <w:tcBorders>
              <w:left w:val="single" w:sz="2" w:space="0" w:color="DDDDDD"/>
              <w:bottom w:val="single" w:sz="2" w:space="0" w:color="DDDDDD"/>
              <w:right w:val="single" w:sz="2" w:space="0" w:color="DDDDDD"/>
            </w:tcBorders>
          </w:tcPr>
          <w:p w14:paraId="4024D5B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s7.2.</w:t>
            </w:r>
          </w:p>
        </w:tc>
        <w:tc>
          <w:tcPr>
            <w:tcW w:w="1417" w:type="dxa"/>
            <w:tcBorders>
              <w:left w:val="single" w:sz="2" w:space="0" w:color="DDDDDD"/>
              <w:bottom w:val="single" w:sz="2" w:space="0" w:color="DDDDDD"/>
            </w:tcBorders>
          </w:tcPr>
          <w:p w14:paraId="60278AD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6806779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01CD4158" w14:textId="77777777" w:rsidTr="006F0C87">
        <w:tc>
          <w:tcPr>
            <w:tcW w:w="3490" w:type="dxa"/>
            <w:tcBorders>
              <w:left w:val="single" w:sz="2" w:space="0" w:color="DDDDDD"/>
              <w:bottom w:val="single" w:sz="2" w:space="0" w:color="DDDDDD"/>
            </w:tcBorders>
          </w:tcPr>
          <w:p w14:paraId="0CFA832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International</w:t>
            </w:r>
          </w:p>
        </w:tc>
        <w:tc>
          <w:tcPr>
            <w:tcW w:w="2745" w:type="dxa"/>
            <w:vMerge/>
            <w:tcBorders>
              <w:left w:val="single" w:sz="2" w:space="0" w:color="DDDDDD"/>
            </w:tcBorders>
          </w:tcPr>
          <w:p w14:paraId="0186366E"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14E2C379"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tcPr>
          <w:p w14:paraId="5A71C48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ORF: s5.2.1.</w:t>
            </w:r>
          </w:p>
        </w:tc>
        <w:tc>
          <w:tcPr>
            <w:tcW w:w="1417" w:type="dxa"/>
            <w:tcBorders>
              <w:left w:val="single" w:sz="2" w:space="0" w:color="DDDDDD"/>
              <w:bottom w:val="single" w:sz="2" w:space="0" w:color="DDDDDD"/>
            </w:tcBorders>
          </w:tcPr>
          <w:p w14:paraId="598E91D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4D7E4FE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28</w:t>
            </w:r>
          </w:p>
        </w:tc>
      </w:tr>
      <w:tr w:rsidR="00393736" w:rsidRPr="00393736" w14:paraId="0C702393" w14:textId="77777777" w:rsidTr="006F0C87">
        <w:tc>
          <w:tcPr>
            <w:tcW w:w="3490" w:type="dxa"/>
            <w:tcBorders>
              <w:left w:val="single" w:sz="2" w:space="0" w:color="DDDDDD"/>
              <w:bottom w:val="single" w:sz="2" w:space="0" w:color="DDDDDD"/>
            </w:tcBorders>
            <w:shd w:val="clear" w:color="auto" w:fill="EEEEEE"/>
          </w:tcPr>
          <w:p w14:paraId="3A50855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QLD</w:t>
            </w:r>
          </w:p>
        </w:tc>
        <w:tc>
          <w:tcPr>
            <w:tcW w:w="2745" w:type="dxa"/>
            <w:vMerge/>
            <w:tcBorders>
              <w:left w:val="single" w:sz="2" w:space="0" w:color="DDDDDD"/>
            </w:tcBorders>
            <w:shd w:val="clear" w:color="auto" w:fill="EEEEEE"/>
          </w:tcPr>
          <w:p w14:paraId="3E173EA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CCC8A48" w14:textId="77777777" w:rsidR="00393736" w:rsidRPr="00393736" w:rsidRDefault="00393736" w:rsidP="006F0C87">
            <w:pPr>
              <w:pStyle w:val="TableContents"/>
              <w:jc w:val="center"/>
              <w:rPr>
                <w:rFonts w:ascii="Arial" w:hAnsi="Arial" w:cs="Arial"/>
                <w:sz w:val="20"/>
                <w:szCs w:val="20"/>
              </w:rPr>
            </w:pPr>
          </w:p>
        </w:tc>
        <w:tc>
          <w:tcPr>
            <w:tcW w:w="1985" w:type="dxa"/>
            <w:vMerge w:val="restart"/>
            <w:tcBorders>
              <w:left w:val="single" w:sz="2" w:space="0" w:color="DDDDDD"/>
              <w:right w:val="single" w:sz="2" w:space="0" w:color="DDDDDD"/>
            </w:tcBorders>
            <w:shd w:val="clear" w:color="auto" w:fill="EEEEEE"/>
          </w:tcPr>
          <w:p w14:paraId="6DE1A34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ss7.2.2;7.4.1.1.</w:t>
            </w:r>
          </w:p>
        </w:tc>
        <w:tc>
          <w:tcPr>
            <w:tcW w:w="1417" w:type="dxa"/>
            <w:tcBorders>
              <w:left w:val="single" w:sz="2" w:space="0" w:color="DDDDDD"/>
              <w:bottom w:val="single" w:sz="2" w:space="0" w:color="DDDDDD"/>
            </w:tcBorders>
            <w:shd w:val="clear" w:color="auto" w:fill="EEEEEE"/>
          </w:tcPr>
          <w:p w14:paraId="0442B53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0E2DC1C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r>
      <w:tr w:rsidR="00393736" w:rsidRPr="00393736" w14:paraId="48157961" w14:textId="77777777" w:rsidTr="006F0C87">
        <w:tc>
          <w:tcPr>
            <w:tcW w:w="3490" w:type="dxa"/>
            <w:tcBorders>
              <w:left w:val="single" w:sz="2" w:space="0" w:color="DDDDDD"/>
              <w:bottom w:val="single" w:sz="2" w:space="0" w:color="DDDDDD"/>
            </w:tcBorders>
          </w:tcPr>
          <w:p w14:paraId="451172E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w:t>
            </w:r>
          </w:p>
        </w:tc>
        <w:tc>
          <w:tcPr>
            <w:tcW w:w="2745" w:type="dxa"/>
            <w:vMerge/>
            <w:tcBorders>
              <w:left w:val="single" w:sz="2" w:space="0" w:color="DDDDDD"/>
            </w:tcBorders>
          </w:tcPr>
          <w:p w14:paraId="4972D49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552DE0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71B9FD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9CF958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18</w:t>
            </w:r>
          </w:p>
        </w:tc>
        <w:tc>
          <w:tcPr>
            <w:tcW w:w="1276" w:type="dxa"/>
            <w:tcBorders>
              <w:left w:val="single" w:sz="2" w:space="0" w:color="DDDDDD"/>
              <w:bottom w:val="single" w:sz="2" w:space="0" w:color="DDDDDD"/>
              <w:right w:val="single" w:sz="2" w:space="0" w:color="DDDDDD"/>
            </w:tcBorders>
          </w:tcPr>
          <w:p w14:paraId="1BA9470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73</w:t>
            </w:r>
          </w:p>
        </w:tc>
      </w:tr>
      <w:tr w:rsidR="00393736" w:rsidRPr="00393736" w14:paraId="43321C03" w14:textId="77777777" w:rsidTr="006F0C87">
        <w:tc>
          <w:tcPr>
            <w:tcW w:w="3490" w:type="dxa"/>
            <w:tcBorders>
              <w:left w:val="single" w:sz="2" w:space="0" w:color="DDDDDD"/>
              <w:bottom w:val="single" w:sz="2" w:space="0" w:color="DDDDDD"/>
            </w:tcBorders>
            <w:shd w:val="clear" w:color="auto" w:fill="EEEEEE"/>
          </w:tcPr>
          <w:p w14:paraId="7ADE68C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anti SQE take over</w:t>
            </w:r>
          </w:p>
        </w:tc>
        <w:tc>
          <w:tcPr>
            <w:tcW w:w="2745" w:type="dxa"/>
            <w:vMerge/>
            <w:tcBorders>
              <w:left w:val="single" w:sz="2" w:space="0" w:color="DDDDDD"/>
            </w:tcBorders>
            <w:shd w:val="clear" w:color="auto" w:fill="EEEEEE"/>
          </w:tcPr>
          <w:p w14:paraId="4166CC1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FB0B646"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94D5114"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62C483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6BDAC7D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5971891B" w14:textId="77777777" w:rsidTr="006F0C87">
        <w:tc>
          <w:tcPr>
            <w:tcW w:w="3490" w:type="dxa"/>
            <w:tcBorders>
              <w:left w:val="single" w:sz="2" w:space="0" w:color="DDDDDD"/>
              <w:bottom w:val="single" w:sz="2" w:space="0" w:color="DDDDDD"/>
            </w:tcBorders>
            <w:shd w:val="clear" w:color="auto" w:fill="EEEEEE"/>
          </w:tcPr>
          <w:p w14:paraId="746977E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anxiety</w:t>
            </w:r>
          </w:p>
        </w:tc>
        <w:tc>
          <w:tcPr>
            <w:tcW w:w="2745" w:type="dxa"/>
            <w:vMerge/>
            <w:tcBorders>
              <w:left w:val="single" w:sz="2" w:space="0" w:color="DDDDDD"/>
            </w:tcBorders>
            <w:shd w:val="clear" w:color="auto" w:fill="EEEEEE"/>
          </w:tcPr>
          <w:p w14:paraId="0D28D5F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2A46B4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8B4256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20C03F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4201C86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r>
      <w:tr w:rsidR="00393736" w:rsidRPr="00393736" w14:paraId="044321F3" w14:textId="77777777" w:rsidTr="006F0C87">
        <w:tc>
          <w:tcPr>
            <w:tcW w:w="3490" w:type="dxa"/>
            <w:tcBorders>
              <w:left w:val="single" w:sz="2" w:space="0" w:color="DDDDDD"/>
              <w:bottom w:val="single" w:sz="2" w:space="0" w:color="DDDDDD"/>
            </w:tcBorders>
            <w:shd w:val="clear" w:color="auto" w:fill="EEEEEE"/>
          </w:tcPr>
          <w:p w14:paraId="73A5B66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Assessment</w:t>
            </w:r>
          </w:p>
        </w:tc>
        <w:tc>
          <w:tcPr>
            <w:tcW w:w="2745" w:type="dxa"/>
            <w:vMerge/>
            <w:tcBorders>
              <w:left w:val="single" w:sz="2" w:space="0" w:color="DDDDDD"/>
            </w:tcBorders>
            <w:shd w:val="clear" w:color="auto" w:fill="EEEEEE"/>
          </w:tcPr>
          <w:p w14:paraId="3753BFA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2ED081F"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A5D508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8E7E90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10</w:t>
            </w:r>
          </w:p>
        </w:tc>
        <w:tc>
          <w:tcPr>
            <w:tcW w:w="1276" w:type="dxa"/>
            <w:tcBorders>
              <w:left w:val="single" w:sz="2" w:space="0" w:color="DDDDDD"/>
              <w:bottom w:val="single" w:sz="2" w:space="0" w:color="DDDDDD"/>
              <w:right w:val="single" w:sz="2" w:space="0" w:color="DDDDDD"/>
            </w:tcBorders>
            <w:shd w:val="clear" w:color="auto" w:fill="EEEEEE"/>
          </w:tcPr>
          <w:p w14:paraId="23E4314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28</w:t>
            </w:r>
          </w:p>
        </w:tc>
      </w:tr>
      <w:tr w:rsidR="00393736" w:rsidRPr="00393736" w14:paraId="04406153" w14:textId="77777777" w:rsidTr="006F0C87">
        <w:tc>
          <w:tcPr>
            <w:tcW w:w="3490" w:type="dxa"/>
            <w:tcBorders>
              <w:left w:val="single" w:sz="2" w:space="0" w:color="DDDDDD"/>
              <w:bottom w:val="single" w:sz="2" w:space="0" w:color="DDDDDD"/>
            </w:tcBorders>
            <w:shd w:val="clear" w:color="auto" w:fill="EEEEEE"/>
          </w:tcPr>
          <w:p w14:paraId="1E7A20C0" w14:textId="77777777" w:rsidR="00393736" w:rsidRPr="00393736" w:rsidRDefault="00393736" w:rsidP="006F0C87">
            <w:pPr>
              <w:rPr>
                <w:rFonts w:cs="Arial"/>
                <w:sz w:val="20"/>
              </w:rPr>
            </w:pPr>
            <w:r w:rsidRPr="00393736">
              <w:rPr>
                <w:rFonts w:cs="Arial"/>
                <w:sz w:val="20"/>
              </w:rPr>
              <w:t>SQE careful re description</w:t>
            </w:r>
          </w:p>
        </w:tc>
        <w:tc>
          <w:tcPr>
            <w:tcW w:w="2745" w:type="dxa"/>
            <w:vMerge/>
            <w:tcBorders>
              <w:left w:val="single" w:sz="2" w:space="0" w:color="DDDDDD"/>
            </w:tcBorders>
            <w:shd w:val="clear" w:color="auto" w:fill="EEEEEE"/>
          </w:tcPr>
          <w:p w14:paraId="4E47257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A7422A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462999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5AB1AC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102F5E4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5D1E84D7" w14:textId="77777777" w:rsidTr="006F0C87">
        <w:tc>
          <w:tcPr>
            <w:tcW w:w="3490" w:type="dxa"/>
            <w:tcBorders>
              <w:left w:val="single" w:sz="2" w:space="0" w:color="DDDDDD"/>
              <w:bottom w:val="single" w:sz="2" w:space="0" w:color="DDDDDD"/>
            </w:tcBorders>
          </w:tcPr>
          <w:p w14:paraId="34E261FA"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content</w:t>
            </w:r>
          </w:p>
        </w:tc>
        <w:tc>
          <w:tcPr>
            <w:tcW w:w="2745" w:type="dxa"/>
            <w:vMerge/>
            <w:tcBorders>
              <w:left w:val="single" w:sz="2" w:space="0" w:color="DDDDDD"/>
            </w:tcBorders>
          </w:tcPr>
          <w:p w14:paraId="6BD58FD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7AFBBA5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26278A7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55F7FDB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25CDA42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14</w:t>
            </w:r>
          </w:p>
        </w:tc>
      </w:tr>
      <w:tr w:rsidR="00393736" w:rsidRPr="00393736" w14:paraId="19E3DD20" w14:textId="77777777" w:rsidTr="006F0C87">
        <w:tc>
          <w:tcPr>
            <w:tcW w:w="3490" w:type="dxa"/>
            <w:tcBorders>
              <w:left w:val="single" w:sz="2" w:space="0" w:color="DDDDDD"/>
              <w:bottom w:val="single" w:sz="2" w:space="0" w:color="DDDDDD"/>
            </w:tcBorders>
            <w:shd w:val="clear" w:color="auto" w:fill="EEEEEE"/>
          </w:tcPr>
          <w:p w14:paraId="76DB19C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diversity</w:t>
            </w:r>
          </w:p>
        </w:tc>
        <w:tc>
          <w:tcPr>
            <w:tcW w:w="2745" w:type="dxa"/>
            <w:vMerge/>
            <w:tcBorders>
              <w:left w:val="single" w:sz="2" w:space="0" w:color="DDDDDD"/>
            </w:tcBorders>
            <w:shd w:val="clear" w:color="auto" w:fill="EEEEEE"/>
          </w:tcPr>
          <w:p w14:paraId="4E79A45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BA17EF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6D914EE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A8DE1F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3021C08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32A74FE5" w14:textId="77777777" w:rsidTr="006F0C87">
        <w:tc>
          <w:tcPr>
            <w:tcW w:w="3490" w:type="dxa"/>
            <w:tcBorders>
              <w:left w:val="single" w:sz="2" w:space="0" w:color="DDDDDD"/>
              <w:bottom w:val="single" w:sz="2" w:space="0" w:color="DDDDDD"/>
            </w:tcBorders>
          </w:tcPr>
          <w:p w14:paraId="55A6E58C" w14:textId="77777777" w:rsidR="00393736" w:rsidRPr="00393736" w:rsidRDefault="00393736" w:rsidP="006F0C87">
            <w:pPr>
              <w:spacing w:line="240" w:lineRule="auto"/>
              <w:rPr>
                <w:rFonts w:cs="Arial"/>
                <w:sz w:val="20"/>
              </w:rPr>
            </w:pPr>
            <w:r w:rsidRPr="00393736">
              <w:rPr>
                <w:rFonts w:cs="Arial"/>
                <w:sz w:val="20"/>
              </w:rPr>
              <w:t>SQE limiting</w:t>
            </w:r>
          </w:p>
        </w:tc>
        <w:tc>
          <w:tcPr>
            <w:tcW w:w="2745" w:type="dxa"/>
            <w:vMerge/>
            <w:tcBorders>
              <w:left w:val="single" w:sz="2" w:space="0" w:color="DDDDDD"/>
            </w:tcBorders>
          </w:tcPr>
          <w:p w14:paraId="7EC10C4A"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4F016A5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045893F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553081A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0</w:t>
            </w:r>
          </w:p>
        </w:tc>
        <w:tc>
          <w:tcPr>
            <w:tcW w:w="1276" w:type="dxa"/>
            <w:tcBorders>
              <w:left w:val="single" w:sz="2" w:space="0" w:color="DDDDDD"/>
              <w:bottom w:val="single" w:sz="2" w:space="0" w:color="DDDDDD"/>
              <w:right w:val="single" w:sz="2" w:space="0" w:color="DDDDDD"/>
            </w:tcBorders>
          </w:tcPr>
          <w:p w14:paraId="40EBD71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0</w:t>
            </w:r>
          </w:p>
        </w:tc>
      </w:tr>
      <w:tr w:rsidR="00393736" w:rsidRPr="00393736" w14:paraId="17368B61" w14:textId="77777777" w:rsidTr="006F0C87">
        <w:tc>
          <w:tcPr>
            <w:tcW w:w="3490" w:type="dxa"/>
            <w:tcBorders>
              <w:left w:val="single" w:sz="2" w:space="0" w:color="DDDDDD"/>
              <w:bottom w:val="single" w:sz="2" w:space="0" w:color="DDDDDD"/>
            </w:tcBorders>
            <w:shd w:val="clear" w:color="auto" w:fill="EEEEEE"/>
          </w:tcPr>
          <w:p w14:paraId="57B0C30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pragmatic response</w:t>
            </w:r>
          </w:p>
        </w:tc>
        <w:tc>
          <w:tcPr>
            <w:tcW w:w="2745" w:type="dxa"/>
            <w:vMerge/>
            <w:tcBorders>
              <w:left w:val="single" w:sz="2" w:space="0" w:color="DDDDDD"/>
            </w:tcBorders>
            <w:shd w:val="clear" w:color="auto" w:fill="EEEEEE"/>
          </w:tcPr>
          <w:p w14:paraId="3337D92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091E08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75F08C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13DFEE6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10C957B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2CC01034" w14:textId="77777777" w:rsidTr="006F0C87">
        <w:tc>
          <w:tcPr>
            <w:tcW w:w="3490" w:type="dxa"/>
            <w:tcBorders>
              <w:left w:val="single" w:sz="2" w:space="0" w:color="DDDDDD"/>
              <w:bottom w:val="single" w:sz="2" w:space="0" w:color="DDDDDD"/>
            </w:tcBorders>
          </w:tcPr>
          <w:p w14:paraId="228DCCC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SQE prepping students</w:t>
            </w:r>
          </w:p>
        </w:tc>
        <w:tc>
          <w:tcPr>
            <w:tcW w:w="2745" w:type="dxa"/>
            <w:vMerge/>
            <w:tcBorders>
              <w:left w:val="single" w:sz="2" w:space="0" w:color="DDDDDD"/>
            </w:tcBorders>
          </w:tcPr>
          <w:p w14:paraId="34F68FA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71F259A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79654C6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3E31003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78E2B82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r>
      <w:tr w:rsidR="00393736" w:rsidRPr="00393736" w14:paraId="0D116729" w14:textId="77777777" w:rsidTr="006F0C87">
        <w:tc>
          <w:tcPr>
            <w:tcW w:w="3490" w:type="dxa"/>
            <w:tcBorders>
              <w:left w:val="single" w:sz="2" w:space="0" w:color="DDDDDD"/>
              <w:bottom w:val="single" w:sz="2" w:space="0" w:color="DDDDDD"/>
            </w:tcBorders>
          </w:tcPr>
          <w:p w14:paraId="5F3A78E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SRA BAR</w:t>
            </w:r>
          </w:p>
        </w:tc>
        <w:tc>
          <w:tcPr>
            <w:tcW w:w="2745" w:type="dxa"/>
            <w:vMerge/>
            <w:tcBorders>
              <w:left w:val="single" w:sz="2" w:space="0" w:color="DDDDDD"/>
            </w:tcBorders>
          </w:tcPr>
          <w:p w14:paraId="613DF45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0D46C9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1056269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5413F50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14</w:t>
            </w:r>
          </w:p>
        </w:tc>
        <w:tc>
          <w:tcPr>
            <w:tcW w:w="1276" w:type="dxa"/>
            <w:tcBorders>
              <w:left w:val="single" w:sz="2" w:space="0" w:color="DDDDDD"/>
              <w:bottom w:val="single" w:sz="2" w:space="0" w:color="DDDDDD"/>
              <w:right w:val="single" w:sz="2" w:space="0" w:color="DDDDDD"/>
            </w:tcBorders>
          </w:tcPr>
          <w:p w14:paraId="1CABFCE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33</w:t>
            </w:r>
          </w:p>
        </w:tc>
      </w:tr>
      <w:tr w:rsidR="00393736" w:rsidRPr="00393736" w14:paraId="03CA240F" w14:textId="77777777" w:rsidTr="006F0C87">
        <w:tc>
          <w:tcPr>
            <w:tcW w:w="3490" w:type="dxa"/>
            <w:tcBorders>
              <w:left w:val="single" w:sz="2" w:space="0" w:color="DDDDDD"/>
              <w:bottom w:val="single" w:sz="2" w:space="0" w:color="DDDDDD"/>
            </w:tcBorders>
          </w:tcPr>
          <w:p w14:paraId="6FAF4970"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The Bar</w:t>
            </w:r>
          </w:p>
        </w:tc>
        <w:tc>
          <w:tcPr>
            <w:tcW w:w="2745" w:type="dxa"/>
            <w:vMerge/>
            <w:tcBorders>
              <w:left w:val="single" w:sz="2" w:space="0" w:color="DDDDDD"/>
              <w:bottom w:val="single" w:sz="2" w:space="0" w:color="DDDDDD"/>
            </w:tcBorders>
          </w:tcPr>
          <w:p w14:paraId="32A13AB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tcPr>
          <w:p w14:paraId="6E5616AE"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tcPr>
          <w:p w14:paraId="77B104BF"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5D10172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c>
          <w:tcPr>
            <w:tcW w:w="1276" w:type="dxa"/>
            <w:tcBorders>
              <w:left w:val="single" w:sz="2" w:space="0" w:color="DDDDDD"/>
              <w:bottom w:val="single" w:sz="2" w:space="0" w:color="DDDDDD"/>
              <w:right w:val="single" w:sz="2" w:space="0" w:color="DDDDDD"/>
            </w:tcBorders>
          </w:tcPr>
          <w:p w14:paraId="4D56536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r>
    </w:tbl>
    <w:p w14:paraId="7CD6092B" w14:textId="77777777" w:rsidR="00393736" w:rsidRPr="00393736" w:rsidRDefault="00393736" w:rsidP="00393736">
      <w:pPr>
        <w:spacing w:line="240" w:lineRule="auto"/>
        <w:rPr>
          <w:rFonts w:cs="Arial"/>
          <w:sz w:val="20"/>
        </w:rPr>
      </w:pPr>
      <w:r w:rsidRPr="00393736">
        <w:rPr>
          <w:rFonts w:cs="Arial"/>
          <w:sz w:val="20"/>
        </w:rPr>
        <w:t>Table 1: The Professional Regulatory Bodies</w:t>
      </w:r>
    </w:p>
    <w:p w14:paraId="3A2ABFE4" w14:textId="77777777" w:rsidR="00393736" w:rsidRPr="00393736" w:rsidRDefault="00393736" w:rsidP="00393736">
      <w:pPr>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7CC7E547"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15105EAE"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lastRenderedPageBreak/>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300CEC50"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7AD28E4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7AA8419B"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23E9CA07"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5AF8259D"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495ABAC5" w14:textId="77777777" w:rsidTr="006F0C87">
        <w:tc>
          <w:tcPr>
            <w:tcW w:w="3490" w:type="dxa"/>
            <w:tcBorders>
              <w:left w:val="single" w:sz="2" w:space="0" w:color="DDDDDD"/>
              <w:bottom w:val="single" w:sz="2" w:space="0" w:color="DDDDDD"/>
            </w:tcBorders>
            <w:shd w:val="clear" w:color="auto" w:fill="EEEEEE"/>
          </w:tcPr>
          <w:p w14:paraId="1BB3CE8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Brexit</w:t>
            </w:r>
          </w:p>
        </w:tc>
        <w:tc>
          <w:tcPr>
            <w:tcW w:w="2745" w:type="dxa"/>
            <w:vMerge w:val="restart"/>
            <w:tcBorders>
              <w:left w:val="single" w:sz="2" w:space="0" w:color="DDDDDD"/>
            </w:tcBorders>
            <w:shd w:val="clear" w:color="auto" w:fill="EEEEEE"/>
          </w:tcPr>
          <w:p w14:paraId="5C07D781"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The State</w:t>
            </w:r>
          </w:p>
        </w:tc>
        <w:tc>
          <w:tcPr>
            <w:tcW w:w="1984" w:type="dxa"/>
            <w:vMerge w:val="restart"/>
            <w:tcBorders>
              <w:left w:val="single" w:sz="2" w:space="0" w:color="DDDDDD"/>
              <w:right w:val="single" w:sz="2" w:space="0" w:color="DDDDDD"/>
            </w:tcBorders>
            <w:shd w:val="clear" w:color="auto" w:fill="EEEEEE"/>
          </w:tcPr>
          <w:p w14:paraId="33E3595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ORF: s5.2.3.</w:t>
            </w:r>
          </w:p>
        </w:tc>
        <w:tc>
          <w:tcPr>
            <w:tcW w:w="1985" w:type="dxa"/>
            <w:vMerge w:val="restart"/>
            <w:tcBorders>
              <w:left w:val="single" w:sz="2" w:space="0" w:color="DDDDDD"/>
              <w:right w:val="single" w:sz="2" w:space="0" w:color="DDDDDD"/>
            </w:tcBorders>
            <w:shd w:val="clear" w:color="auto" w:fill="EEEEEE"/>
          </w:tcPr>
          <w:p w14:paraId="33E8150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97BC25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4BDBC67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713D39AC" w14:textId="77777777" w:rsidTr="006F0C87">
        <w:tc>
          <w:tcPr>
            <w:tcW w:w="3490" w:type="dxa"/>
            <w:tcBorders>
              <w:left w:val="single" w:sz="2" w:space="0" w:color="DDDDDD"/>
              <w:bottom w:val="single" w:sz="2" w:space="0" w:color="DDDDDD"/>
            </w:tcBorders>
            <w:shd w:val="clear" w:color="auto" w:fill="EEEEEE"/>
          </w:tcPr>
          <w:p w14:paraId="38BC001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Competition between institutions</w:t>
            </w:r>
          </w:p>
        </w:tc>
        <w:tc>
          <w:tcPr>
            <w:tcW w:w="2745" w:type="dxa"/>
            <w:vMerge/>
            <w:tcBorders>
              <w:left w:val="single" w:sz="2" w:space="0" w:color="DDDDDD"/>
            </w:tcBorders>
            <w:shd w:val="clear" w:color="auto" w:fill="EEEEEE"/>
          </w:tcPr>
          <w:p w14:paraId="1F5C5B1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51FF21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5979A60"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40A20E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539E0BF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7A684CD9" w14:textId="77777777" w:rsidTr="006F0C87">
        <w:tc>
          <w:tcPr>
            <w:tcW w:w="3490" w:type="dxa"/>
            <w:tcBorders>
              <w:left w:val="single" w:sz="2" w:space="0" w:color="DDDDDD"/>
              <w:bottom w:val="single" w:sz="2" w:space="0" w:color="DDDDDD"/>
            </w:tcBorders>
          </w:tcPr>
          <w:p w14:paraId="54DA77DD" w14:textId="77777777" w:rsidR="00393736" w:rsidRPr="00393736" w:rsidRDefault="00393736" w:rsidP="006F0C87">
            <w:pPr>
              <w:spacing w:line="240" w:lineRule="auto"/>
              <w:rPr>
                <w:rFonts w:cs="Arial"/>
                <w:sz w:val="20"/>
              </w:rPr>
            </w:pPr>
            <w:r w:rsidRPr="00393736">
              <w:rPr>
                <w:rFonts w:cs="Arial"/>
                <w:sz w:val="20"/>
              </w:rPr>
              <w:t>Market parents</w:t>
            </w:r>
          </w:p>
        </w:tc>
        <w:tc>
          <w:tcPr>
            <w:tcW w:w="2745" w:type="dxa"/>
            <w:vMerge/>
            <w:tcBorders>
              <w:left w:val="single" w:sz="2" w:space="0" w:color="DDDDDD"/>
            </w:tcBorders>
          </w:tcPr>
          <w:p w14:paraId="5C35473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2F981A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8EF2BB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4A6C319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tcPr>
          <w:p w14:paraId="33B679B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35</w:t>
            </w:r>
          </w:p>
        </w:tc>
      </w:tr>
      <w:tr w:rsidR="00393736" w:rsidRPr="00393736" w14:paraId="761F6923" w14:textId="77777777" w:rsidTr="006F0C87">
        <w:tc>
          <w:tcPr>
            <w:tcW w:w="3490" w:type="dxa"/>
            <w:tcBorders>
              <w:left w:val="single" w:sz="2" w:space="0" w:color="DDDDDD"/>
              <w:bottom w:val="single" w:sz="2" w:space="0" w:color="DDDDDD"/>
            </w:tcBorders>
            <w:shd w:val="clear" w:color="auto" w:fill="EEEEEE"/>
          </w:tcPr>
          <w:p w14:paraId="0E592C34" w14:textId="77777777" w:rsidR="00393736" w:rsidRPr="00393736" w:rsidRDefault="00393736" w:rsidP="006F0C87">
            <w:pPr>
              <w:spacing w:line="240" w:lineRule="auto"/>
              <w:rPr>
                <w:rFonts w:cs="Arial"/>
                <w:sz w:val="20"/>
              </w:rPr>
            </w:pPr>
            <w:r w:rsidRPr="00393736">
              <w:rPr>
                <w:rFonts w:cs="Arial"/>
                <w:sz w:val="20"/>
              </w:rPr>
              <w:t>Metrics in design</w:t>
            </w:r>
          </w:p>
        </w:tc>
        <w:tc>
          <w:tcPr>
            <w:tcW w:w="2745" w:type="dxa"/>
            <w:vMerge/>
            <w:tcBorders>
              <w:left w:val="single" w:sz="2" w:space="0" w:color="DDDDDD"/>
            </w:tcBorders>
            <w:shd w:val="clear" w:color="auto" w:fill="EEEEEE"/>
          </w:tcPr>
          <w:p w14:paraId="0E0174A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8E5C3A6"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18F96F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CA0400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c>
          <w:tcPr>
            <w:tcW w:w="1276" w:type="dxa"/>
            <w:tcBorders>
              <w:left w:val="single" w:sz="2" w:space="0" w:color="DDDDDD"/>
              <w:bottom w:val="single" w:sz="2" w:space="0" w:color="DDDDDD"/>
              <w:right w:val="single" w:sz="2" w:space="0" w:color="DDDDDD"/>
            </w:tcBorders>
            <w:shd w:val="clear" w:color="auto" w:fill="EEEEEE"/>
          </w:tcPr>
          <w:p w14:paraId="7AC5176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6878D3B4" w14:textId="77777777" w:rsidTr="006F0C87">
        <w:tc>
          <w:tcPr>
            <w:tcW w:w="3490" w:type="dxa"/>
            <w:tcBorders>
              <w:left w:val="single" w:sz="2" w:space="0" w:color="DDDDDD"/>
              <w:bottom w:val="single" w:sz="2" w:space="0" w:color="DDDDDD"/>
            </w:tcBorders>
            <w:shd w:val="clear" w:color="auto" w:fill="EEEEEE"/>
          </w:tcPr>
          <w:p w14:paraId="2E114FD6"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QAA Benchmarks</w:t>
            </w:r>
          </w:p>
        </w:tc>
        <w:tc>
          <w:tcPr>
            <w:tcW w:w="2745" w:type="dxa"/>
            <w:vMerge/>
            <w:tcBorders>
              <w:left w:val="single" w:sz="2" w:space="0" w:color="DDDDDD"/>
              <w:bottom w:val="single" w:sz="2" w:space="0" w:color="DDDDDD"/>
            </w:tcBorders>
            <w:shd w:val="clear" w:color="auto" w:fill="EEEEEE"/>
          </w:tcPr>
          <w:p w14:paraId="6930A2C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09E1849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2BA73AB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98547D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1922D60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18</w:t>
            </w:r>
          </w:p>
        </w:tc>
      </w:tr>
    </w:tbl>
    <w:p w14:paraId="7E5E9D71" w14:textId="77777777" w:rsidR="00393736" w:rsidRDefault="00393736" w:rsidP="00393736">
      <w:pPr>
        <w:rPr>
          <w:rFonts w:cs="Arial"/>
          <w:sz w:val="20"/>
        </w:rPr>
      </w:pPr>
      <w:r w:rsidRPr="00393736">
        <w:rPr>
          <w:rFonts w:cs="Arial"/>
          <w:sz w:val="20"/>
        </w:rPr>
        <w:t>Table 2</w:t>
      </w:r>
      <w:r>
        <w:rPr>
          <w:rFonts w:cs="Arial"/>
          <w:sz w:val="20"/>
        </w:rPr>
        <w:t>:</w:t>
      </w:r>
      <w:r w:rsidRPr="00393736">
        <w:rPr>
          <w:rFonts w:cs="Arial"/>
          <w:sz w:val="20"/>
        </w:rPr>
        <w:t xml:space="preserve"> The state</w:t>
      </w:r>
    </w:p>
    <w:p w14:paraId="2FF3CB55" w14:textId="77777777" w:rsidR="009068CD" w:rsidRPr="00393736" w:rsidRDefault="009068CD" w:rsidP="00393736">
      <w:pPr>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3EAFE31B"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0ECAFE53"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1C8B7CD0"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2E3FF60E"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66CF3D4B"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376F47A7"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431CB09A"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2AA75B70" w14:textId="77777777" w:rsidTr="006F0C87">
        <w:tc>
          <w:tcPr>
            <w:tcW w:w="3490" w:type="dxa"/>
            <w:tcBorders>
              <w:left w:val="single" w:sz="2" w:space="0" w:color="DDDDDD"/>
              <w:bottom w:val="single" w:sz="2" w:space="0" w:color="DDDDDD"/>
            </w:tcBorders>
          </w:tcPr>
          <w:p w14:paraId="7CA8508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Degree interdisciplinary</w:t>
            </w:r>
          </w:p>
        </w:tc>
        <w:tc>
          <w:tcPr>
            <w:tcW w:w="2745" w:type="dxa"/>
            <w:vMerge w:val="restart"/>
            <w:tcBorders>
              <w:left w:val="single" w:sz="2" w:space="0" w:color="DDDDDD"/>
            </w:tcBorders>
          </w:tcPr>
          <w:p w14:paraId="602572ED"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The University</w:t>
            </w:r>
          </w:p>
        </w:tc>
        <w:tc>
          <w:tcPr>
            <w:tcW w:w="1984" w:type="dxa"/>
            <w:vMerge w:val="restart"/>
            <w:tcBorders>
              <w:left w:val="single" w:sz="2" w:space="0" w:color="DDDDDD"/>
              <w:right w:val="single" w:sz="2" w:space="0" w:color="DDDDDD"/>
            </w:tcBorders>
          </w:tcPr>
          <w:p w14:paraId="17B6D6E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s6.2.1.</w:t>
            </w:r>
          </w:p>
        </w:tc>
        <w:tc>
          <w:tcPr>
            <w:tcW w:w="1985" w:type="dxa"/>
            <w:tcBorders>
              <w:left w:val="single" w:sz="2" w:space="0" w:color="DDDDDD"/>
              <w:bottom w:val="single" w:sz="2" w:space="0" w:color="DDDDDD"/>
              <w:right w:val="single" w:sz="2" w:space="0" w:color="DDDDDD"/>
            </w:tcBorders>
          </w:tcPr>
          <w:p w14:paraId="5C5FF9F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s7.1.</w:t>
            </w:r>
          </w:p>
        </w:tc>
        <w:tc>
          <w:tcPr>
            <w:tcW w:w="1417" w:type="dxa"/>
            <w:tcBorders>
              <w:left w:val="single" w:sz="2" w:space="0" w:color="DDDDDD"/>
              <w:bottom w:val="single" w:sz="2" w:space="0" w:color="DDDDDD"/>
            </w:tcBorders>
          </w:tcPr>
          <w:p w14:paraId="6906727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22</w:t>
            </w:r>
          </w:p>
        </w:tc>
        <w:tc>
          <w:tcPr>
            <w:tcW w:w="1276" w:type="dxa"/>
            <w:tcBorders>
              <w:left w:val="single" w:sz="2" w:space="0" w:color="DDDDDD"/>
              <w:bottom w:val="single" w:sz="2" w:space="0" w:color="DDDDDD"/>
              <w:right w:val="single" w:sz="2" w:space="0" w:color="DDDDDD"/>
            </w:tcBorders>
          </w:tcPr>
          <w:p w14:paraId="37614BD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96</w:t>
            </w:r>
          </w:p>
        </w:tc>
      </w:tr>
      <w:tr w:rsidR="00393736" w:rsidRPr="00393736" w14:paraId="49D7E7DC" w14:textId="77777777" w:rsidTr="006F0C87">
        <w:tc>
          <w:tcPr>
            <w:tcW w:w="3490" w:type="dxa"/>
            <w:tcBorders>
              <w:left w:val="single" w:sz="2" w:space="0" w:color="DDDDDD"/>
              <w:bottom w:val="single" w:sz="2" w:space="0" w:color="DDDDDD"/>
            </w:tcBorders>
            <w:shd w:val="clear" w:color="auto" w:fill="EEEEEE"/>
          </w:tcPr>
          <w:p w14:paraId="716B937A" w14:textId="77777777" w:rsidR="00393736" w:rsidRPr="00393736" w:rsidRDefault="00393736" w:rsidP="006F0C87">
            <w:pPr>
              <w:rPr>
                <w:rFonts w:cs="Arial"/>
                <w:sz w:val="20"/>
              </w:rPr>
            </w:pPr>
            <w:r w:rsidRPr="00393736">
              <w:rPr>
                <w:rFonts w:cs="Arial"/>
                <w:sz w:val="20"/>
              </w:rPr>
              <w:t>Degree optionality</w:t>
            </w:r>
          </w:p>
        </w:tc>
        <w:tc>
          <w:tcPr>
            <w:tcW w:w="2745" w:type="dxa"/>
            <w:vMerge/>
            <w:tcBorders>
              <w:left w:val="single" w:sz="2" w:space="0" w:color="DDDDDD"/>
            </w:tcBorders>
            <w:shd w:val="clear" w:color="auto" w:fill="EEEEEE"/>
          </w:tcPr>
          <w:p w14:paraId="4705AD9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FE0BCCA"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shd w:val="clear" w:color="auto" w:fill="EEEEEE"/>
          </w:tcPr>
          <w:p w14:paraId="2BB769C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s7.3.2.</w:t>
            </w:r>
          </w:p>
        </w:tc>
        <w:tc>
          <w:tcPr>
            <w:tcW w:w="1417" w:type="dxa"/>
            <w:tcBorders>
              <w:left w:val="single" w:sz="2" w:space="0" w:color="DDDDDD"/>
              <w:bottom w:val="single" w:sz="2" w:space="0" w:color="DDDDDD"/>
            </w:tcBorders>
            <w:shd w:val="clear" w:color="auto" w:fill="EEEEEE"/>
          </w:tcPr>
          <w:p w14:paraId="36629DD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004DF5B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65B830D4" w14:textId="77777777" w:rsidTr="006F0C87">
        <w:tc>
          <w:tcPr>
            <w:tcW w:w="3490" w:type="dxa"/>
            <w:tcBorders>
              <w:left w:val="single" w:sz="2" w:space="0" w:color="DDDDDD"/>
              <w:bottom w:val="single" w:sz="2" w:space="0" w:color="DDDDDD"/>
            </w:tcBorders>
            <w:shd w:val="clear" w:color="auto" w:fill="EEEEEE"/>
          </w:tcPr>
          <w:p w14:paraId="7AE6CB3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 efficiencies</w:t>
            </w:r>
          </w:p>
        </w:tc>
        <w:tc>
          <w:tcPr>
            <w:tcW w:w="2745" w:type="dxa"/>
            <w:vMerge/>
            <w:tcBorders>
              <w:left w:val="single" w:sz="2" w:space="0" w:color="DDDDDD"/>
            </w:tcBorders>
            <w:shd w:val="clear" w:color="auto" w:fill="EEEEEE"/>
          </w:tcPr>
          <w:p w14:paraId="030F2BF1"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815751E"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6A3B056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54BE50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shd w:val="clear" w:color="auto" w:fill="EEEEEE"/>
          </w:tcPr>
          <w:p w14:paraId="7B9D89B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14237585" w14:textId="77777777" w:rsidTr="006F0C87">
        <w:tc>
          <w:tcPr>
            <w:tcW w:w="3490" w:type="dxa"/>
            <w:tcBorders>
              <w:left w:val="single" w:sz="2" w:space="0" w:color="DDDDDD"/>
              <w:bottom w:val="single" w:sz="2" w:space="0" w:color="DDDDDD"/>
            </w:tcBorders>
          </w:tcPr>
          <w:p w14:paraId="663613A6"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admissions policy</w:t>
            </w:r>
          </w:p>
        </w:tc>
        <w:tc>
          <w:tcPr>
            <w:tcW w:w="2745" w:type="dxa"/>
            <w:vMerge/>
            <w:tcBorders>
              <w:left w:val="single" w:sz="2" w:space="0" w:color="DDDDDD"/>
            </w:tcBorders>
          </w:tcPr>
          <w:p w14:paraId="439CB0F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6D3D5ED3"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tcPr>
          <w:p w14:paraId="666BAAD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Chapter 8</w:t>
            </w:r>
          </w:p>
        </w:tc>
        <w:tc>
          <w:tcPr>
            <w:tcW w:w="1417" w:type="dxa"/>
            <w:tcBorders>
              <w:left w:val="single" w:sz="2" w:space="0" w:color="DDDDDD"/>
              <w:bottom w:val="single" w:sz="2" w:space="0" w:color="DDDDDD"/>
            </w:tcBorders>
          </w:tcPr>
          <w:p w14:paraId="4B86641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7DBB43C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r>
      <w:tr w:rsidR="00393736" w:rsidRPr="00393736" w14:paraId="723604AE" w14:textId="77777777" w:rsidTr="006F0C87">
        <w:tc>
          <w:tcPr>
            <w:tcW w:w="3490" w:type="dxa"/>
            <w:tcBorders>
              <w:left w:val="single" w:sz="2" w:space="0" w:color="DDDDDD"/>
              <w:bottom w:val="single" w:sz="2" w:space="0" w:color="DDDDDD"/>
            </w:tcBorders>
            <w:shd w:val="clear" w:color="auto" w:fill="EEEEEE"/>
          </w:tcPr>
          <w:p w14:paraId="2F60358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Geography locality</w:t>
            </w:r>
          </w:p>
        </w:tc>
        <w:tc>
          <w:tcPr>
            <w:tcW w:w="2745" w:type="dxa"/>
            <w:vMerge/>
            <w:tcBorders>
              <w:left w:val="single" w:sz="2" w:space="0" w:color="DDDDDD"/>
            </w:tcBorders>
            <w:shd w:val="clear" w:color="auto" w:fill="EEEEEE"/>
          </w:tcPr>
          <w:p w14:paraId="18F2371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F3825EE"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813D44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BC2B5A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37C0958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13</w:t>
            </w:r>
          </w:p>
        </w:tc>
      </w:tr>
      <w:tr w:rsidR="00393736" w:rsidRPr="00393736" w14:paraId="18BB3087" w14:textId="77777777" w:rsidTr="006F0C87">
        <w:tc>
          <w:tcPr>
            <w:tcW w:w="3490" w:type="dxa"/>
            <w:tcBorders>
              <w:left w:val="single" w:sz="2" w:space="0" w:color="DDDDDD"/>
              <w:bottom w:val="single" w:sz="2" w:space="0" w:color="DDDDDD"/>
            </w:tcBorders>
            <w:shd w:val="clear" w:color="auto" w:fill="EEEEEE"/>
          </w:tcPr>
          <w:p w14:paraId="1D5E8BD6"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 SDG</w:t>
            </w:r>
          </w:p>
        </w:tc>
        <w:tc>
          <w:tcPr>
            <w:tcW w:w="2745" w:type="dxa"/>
            <w:vMerge/>
            <w:tcBorders>
              <w:left w:val="single" w:sz="2" w:space="0" w:color="DDDDDD"/>
            </w:tcBorders>
            <w:shd w:val="clear" w:color="auto" w:fill="EEEEEE"/>
          </w:tcPr>
          <w:p w14:paraId="4F2757B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35C486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652006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2E6C56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2A30445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7713C9A8" w14:textId="77777777" w:rsidTr="006F0C87">
        <w:tc>
          <w:tcPr>
            <w:tcW w:w="3490" w:type="dxa"/>
            <w:tcBorders>
              <w:left w:val="single" w:sz="2" w:space="0" w:color="DDDDDD"/>
              <w:bottom w:val="single" w:sz="2" w:space="0" w:color="DDDDDD"/>
            </w:tcBorders>
          </w:tcPr>
          <w:p w14:paraId="604159D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agenda requirements</w:t>
            </w:r>
          </w:p>
        </w:tc>
        <w:tc>
          <w:tcPr>
            <w:tcW w:w="2745" w:type="dxa"/>
            <w:vMerge/>
            <w:tcBorders>
              <w:left w:val="single" w:sz="2" w:space="0" w:color="DDDDDD"/>
            </w:tcBorders>
          </w:tcPr>
          <w:p w14:paraId="4621AE0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151D4F1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206F8FA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2E5D36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tcPr>
          <w:p w14:paraId="75EBEDE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45</w:t>
            </w:r>
          </w:p>
        </w:tc>
      </w:tr>
      <w:tr w:rsidR="00393736" w:rsidRPr="00393736" w14:paraId="7F51BD55" w14:textId="77777777" w:rsidTr="006F0C87">
        <w:tc>
          <w:tcPr>
            <w:tcW w:w="3490" w:type="dxa"/>
            <w:tcBorders>
              <w:left w:val="single" w:sz="2" w:space="0" w:color="DDDDDD"/>
              <w:bottom w:val="single" w:sz="2" w:space="0" w:color="DDDDDD"/>
            </w:tcBorders>
            <w:shd w:val="clear" w:color="auto" w:fill="EEEEEE"/>
          </w:tcPr>
          <w:p w14:paraId="4D2C182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Market values</w:t>
            </w:r>
          </w:p>
        </w:tc>
        <w:tc>
          <w:tcPr>
            <w:tcW w:w="2745" w:type="dxa"/>
            <w:vMerge/>
            <w:tcBorders>
              <w:left w:val="single" w:sz="2" w:space="0" w:color="DDDDDD"/>
            </w:tcBorders>
            <w:shd w:val="clear" w:color="auto" w:fill="EEEEEE"/>
          </w:tcPr>
          <w:p w14:paraId="2FA7A68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DAD37E7"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09467A1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FC7017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40906A7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3ECE7EFC" w14:textId="77777777" w:rsidTr="006F0C87">
        <w:tc>
          <w:tcPr>
            <w:tcW w:w="3490" w:type="dxa"/>
            <w:tcBorders>
              <w:left w:val="single" w:sz="2" w:space="0" w:color="DDDDDD"/>
              <w:bottom w:val="single" w:sz="2" w:space="0" w:color="DDDDDD"/>
            </w:tcBorders>
          </w:tcPr>
          <w:p w14:paraId="7DD95F1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autonomy</w:t>
            </w:r>
          </w:p>
        </w:tc>
        <w:tc>
          <w:tcPr>
            <w:tcW w:w="2745" w:type="dxa"/>
            <w:vMerge/>
            <w:tcBorders>
              <w:left w:val="single" w:sz="2" w:space="0" w:color="DDDDDD"/>
            </w:tcBorders>
          </w:tcPr>
          <w:p w14:paraId="1722B17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8FF7C59"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C5232C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873E5D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tcPr>
          <w:p w14:paraId="0144932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41042999" w14:textId="77777777" w:rsidTr="006F0C87">
        <w:tc>
          <w:tcPr>
            <w:tcW w:w="3490" w:type="dxa"/>
            <w:tcBorders>
              <w:left w:val="single" w:sz="2" w:space="0" w:color="DDDDDD"/>
              <w:bottom w:val="single" w:sz="2" w:space="0" w:color="DDDDDD"/>
            </w:tcBorders>
            <w:shd w:val="clear" w:color="auto" w:fill="EEEEEE"/>
          </w:tcPr>
          <w:p w14:paraId="12EA636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central pedagogic support</w:t>
            </w:r>
          </w:p>
        </w:tc>
        <w:tc>
          <w:tcPr>
            <w:tcW w:w="2745" w:type="dxa"/>
            <w:vMerge/>
            <w:tcBorders>
              <w:left w:val="single" w:sz="2" w:space="0" w:color="DDDDDD"/>
            </w:tcBorders>
            <w:shd w:val="clear" w:color="auto" w:fill="EEEEEE"/>
          </w:tcPr>
          <w:p w14:paraId="44F3AA1A"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2D178D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914CDC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E28368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c>
          <w:tcPr>
            <w:tcW w:w="1276" w:type="dxa"/>
            <w:tcBorders>
              <w:left w:val="single" w:sz="2" w:space="0" w:color="DDDDDD"/>
              <w:bottom w:val="single" w:sz="2" w:space="0" w:color="DDDDDD"/>
              <w:right w:val="single" w:sz="2" w:space="0" w:color="DDDDDD"/>
            </w:tcBorders>
            <w:shd w:val="clear" w:color="auto" w:fill="EEEEEE"/>
          </w:tcPr>
          <w:p w14:paraId="27C1631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23</w:t>
            </w:r>
          </w:p>
        </w:tc>
      </w:tr>
      <w:tr w:rsidR="00393736" w:rsidRPr="00393736" w14:paraId="5ACDF34B" w14:textId="77777777" w:rsidTr="006F0C87">
        <w:tc>
          <w:tcPr>
            <w:tcW w:w="3490" w:type="dxa"/>
            <w:tcBorders>
              <w:left w:val="single" w:sz="2" w:space="0" w:color="DDDDDD"/>
              <w:bottom w:val="single" w:sz="2" w:space="0" w:color="DDDDDD"/>
            </w:tcBorders>
            <w:shd w:val="clear" w:color="auto" w:fill="EEEEEE"/>
          </w:tcPr>
          <w:p w14:paraId="57BCB92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Employability</w:t>
            </w:r>
          </w:p>
        </w:tc>
        <w:tc>
          <w:tcPr>
            <w:tcW w:w="2745" w:type="dxa"/>
            <w:vMerge/>
            <w:tcBorders>
              <w:left w:val="single" w:sz="2" w:space="0" w:color="DDDDDD"/>
            </w:tcBorders>
            <w:shd w:val="clear" w:color="auto" w:fill="EEEEEE"/>
          </w:tcPr>
          <w:p w14:paraId="7E1826E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F99FB1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1423C4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50E6B8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45409CD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374DCB8C" w14:textId="77777777" w:rsidTr="006F0C87">
        <w:tc>
          <w:tcPr>
            <w:tcW w:w="3490" w:type="dxa"/>
            <w:tcBorders>
              <w:left w:val="single" w:sz="2" w:space="0" w:color="DDDDDD"/>
              <w:bottom w:val="single" w:sz="2" w:space="0" w:color="DDDDDD"/>
            </w:tcBorders>
          </w:tcPr>
          <w:p w14:paraId="29FB628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framework changes</w:t>
            </w:r>
          </w:p>
        </w:tc>
        <w:tc>
          <w:tcPr>
            <w:tcW w:w="2745" w:type="dxa"/>
            <w:vMerge/>
            <w:tcBorders>
              <w:left w:val="single" w:sz="2" w:space="0" w:color="DDDDDD"/>
            </w:tcBorders>
          </w:tcPr>
          <w:p w14:paraId="2BFEDC0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6B4C11B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04FBDF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E389B8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tcPr>
          <w:p w14:paraId="0CB282B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16</w:t>
            </w:r>
          </w:p>
        </w:tc>
      </w:tr>
      <w:tr w:rsidR="00393736" w:rsidRPr="00393736" w14:paraId="7DD1A939" w14:textId="77777777" w:rsidTr="006F0C87">
        <w:tc>
          <w:tcPr>
            <w:tcW w:w="3490" w:type="dxa"/>
            <w:tcBorders>
              <w:left w:val="single" w:sz="2" w:space="0" w:color="DDDDDD"/>
              <w:bottom w:val="single" w:sz="2" w:space="0" w:color="DDDDDD"/>
            </w:tcBorders>
          </w:tcPr>
          <w:p w14:paraId="3E86999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identity</w:t>
            </w:r>
          </w:p>
        </w:tc>
        <w:tc>
          <w:tcPr>
            <w:tcW w:w="2745" w:type="dxa"/>
            <w:vMerge/>
            <w:tcBorders>
              <w:left w:val="single" w:sz="2" w:space="0" w:color="DDDDDD"/>
            </w:tcBorders>
          </w:tcPr>
          <w:p w14:paraId="4CC0217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1D158C9"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747B61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5225EF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c>
          <w:tcPr>
            <w:tcW w:w="1276" w:type="dxa"/>
            <w:tcBorders>
              <w:left w:val="single" w:sz="2" w:space="0" w:color="DDDDDD"/>
              <w:bottom w:val="single" w:sz="2" w:space="0" w:color="DDDDDD"/>
              <w:right w:val="single" w:sz="2" w:space="0" w:color="DDDDDD"/>
            </w:tcBorders>
          </w:tcPr>
          <w:p w14:paraId="42A2E25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7AFA455E" w14:textId="77777777" w:rsidTr="006F0C87">
        <w:tc>
          <w:tcPr>
            <w:tcW w:w="3490" w:type="dxa"/>
            <w:tcBorders>
              <w:left w:val="single" w:sz="2" w:space="0" w:color="DDDDDD"/>
              <w:bottom w:val="single" w:sz="2" w:space="0" w:color="DDDDDD"/>
            </w:tcBorders>
            <w:shd w:val="clear" w:color="auto" w:fill="EEEEEE"/>
          </w:tcPr>
          <w:p w14:paraId="6F55E17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Context and risk</w:t>
            </w:r>
          </w:p>
        </w:tc>
        <w:tc>
          <w:tcPr>
            <w:tcW w:w="2745" w:type="dxa"/>
            <w:vMerge/>
            <w:tcBorders>
              <w:left w:val="single" w:sz="2" w:space="0" w:color="DDDDDD"/>
            </w:tcBorders>
            <w:shd w:val="clear" w:color="auto" w:fill="EEEEEE"/>
          </w:tcPr>
          <w:p w14:paraId="4CB6C86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B33DAB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F5B2FA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840970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40EDB9B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02E19DAF" w14:textId="77777777" w:rsidTr="006F0C87">
        <w:tc>
          <w:tcPr>
            <w:tcW w:w="3490" w:type="dxa"/>
            <w:tcBorders>
              <w:left w:val="single" w:sz="2" w:space="0" w:color="DDDDDD"/>
              <w:bottom w:val="single" w:sz="2" w:space="0" w:color="DDDDDD"/>
            </w:tcBorders>
          </w:tcPr>
          <w:p w14:paraId="6E442793"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University metrics</w:t>
            </w:r>
          </w:p>
        </w:tc>
        <w:tc>
          <w:tcPr>
            <w:tcW w:w="2745" w:type="dxa"/>
            <w:vMerge/>
            <w:tcBorders>
              <w:left w:val="single" w:sz="2" w:space="0" w:color="DDDDDD"/>
            </w:tcBorders>
          </w:tcPr>
          <w:p w14:paraId="47AF1921"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363E207"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49E2F49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2CF359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10</w:t>
            </w:r>
          </w:p>
        </w:tc>
        <w:tc>
          <w:tcPr>
            <w:tcW w:w="1276" w:type="dxa"/>
            <w:tcBorders>
              <w:left w:val="single" w:sz="2" w:space="0" w:color="DDDDDD"/>
              <w:bottom w:val="single" w:sz="2" w:space="0" w:color="DDDDDD"/>
              <w:right w:val="single" w:sz="2" w:space="0" w:color="DDDDDD"/>
            </w:tcBorders>
          </w:tcPr>
          <w:p w14:paraId="024742F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30</w:t>
            </w:r>
          </w:p>
        </w:tc>
      </w:tr>
      <w:tr w:rsidR="00393736" w:rsidRPr="00393736" w14:paraId="4EAB92EE" w14:textId="77777777" w:rsidTr="006F0C87">
        <w:tc>
          <w:tcPr>
            <w:tcW w:w="3490" w:type="dxa"/>
            <w:tcBorders>
              <w:left w:val="single" w:sz="2" w:space="0" w:color="DDDDDD"/>
              <w:bottom w:val="single" w:sz="2" w:space="0" w:color="DDDDDD"/>
            </w:tcBorders>
            <w:shd w:val="clear" w:color="auto" w:fill="EEEEEE"/>
          </w:tcPr>
          <w:p w14:paraId="246AF7C7" w14:textId="77777777" w:rsidR="00393736" w:rsidRPr="00393736" w:rsidRDefault="00393736" w:rsidP="006F0C87">
            <w:pPr>
              <w:spacing w:line="240" w:lineRule="auto"/>
              <w:rPr>
                <w:rFonts w:cs="Arial"/>
                <w:sz w:val="20"/>
              </w:rPr>
            </w:pPr>
            <w:r w:rsidRPr="00393736">
              <w:rPr>
                <w:rFonts w:cs="Arial"/>
                <w:sz w:val="20"/>
              </w:rPr>
              <w:t>University numbers</w:t>
            </w:r>
          </w:p>
        </w:tc>
        <w:tc>
          <w:tcPr>
            <w:tcW w:w="2745" w:type="dxa"/>
            <w:vMerge/>
            <w:tcBorders>
              <w:left w:val="single" w:sz="2" w:space="0" w:color="DDDDDD"/>
            </w:tcBorders>
            <w:shd w:val="clear" w:color="auto" w:fill="EEEEEE"/>
          </w:tcPr>
          <w:p w14:paraId="36B0566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5F023D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089C725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4DBF92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35F337A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18</w:t>
            </w:r>
          </w:p>
        </w:tc>
      </w:tr>
      <w:tr w:rsidR="00393736" w:rsidRPr="00393736" w14:paraId="6096E0D3" w14:textId="77777777" w:rsidTr="006F0C87">
        <w:tc>
          <w:tcPr>
            <w:tcW w:w="3490" w:type="dxa"/>
            <w:tcBorders>
              <w:left w:val="single" w:sz="2" w:space="0" w:color="DDDDDD"/>
              <w:bottom w:val="single" w:sz="2" w:space="0" w:color="DDDDDD"/>
            </w:tcBorders>
          </w:tcPr>
          <w:p w14:paraId="27309F4F" w14:textId="77777777" w:rsidR="00393736" w:rsidRPr="00393736" w:rsidRDefault="00393736" w:rsidP="006F0C87">
            <w:pPr>
              <w:spacing w:line="240" w:lineRule="auto"/>
              <w:rPr>
                <w:rFonts w:cs="Arial"/>
                <w:sz w:val="20"/>
              </w:rPr>
            </w:pPr>
            <w:r w:rsidRPr="00393736">
              <w:rPr>
                <w:rFonts w:cs="Arial"/>
                <w:sz w:val="20"/>
              </w:rPr>
              <w:lastRenderedPageBreak/>
              <w:t>University resource options</w:t>
            </w:r>
          </w:p>
        </w:tc>
        <w:tc>
          <w:tcPr>
            <w:tcW w:w="2745" w:type="dxa"/>
            <w:vMerge/>
            <w:tcBorders>
              <w:left w:val="single" w:sz="2" w:space="0" w:color="DDDDDD"/>
            </w:tcBorders>
          </w:tcPr>
          <w:p w14:paraId="0F5C744A"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68E6058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B6E492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30F86F5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tcPr>
          <w:p w14:paraId="45D3920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31</w:t>
            </w:r>
          </w:p>
        </w:tc>
      </w:tr>
      <w:tr w:rsidR="00393736" w:rsidRPr="00393736" w14:paraId="477C7BC7" w14:textId="77777777" w:rsidTr="006F0C87">
        <w:tc>
          <w:tcPr>
            <w:tcW w:w="3490" w:type="dxa"/>
            <w:tcBorders>
              <w:left w:val="single" w:sz="2" w:space="0" w:color="DDDDDD"/>
              <w:bottom w:val="single" w:sz="2" w:space="0" w:color="DDDDDD"/>
            </w:tcBorders>
            <w:shd w:val="clear" w:color="auto" w:fill="EEEEEE"/>
          </w:tcPr>
          <w:p w14:paraId="173BF245" w14:textId="77777777" w:rsidR="00393736" w:rsidRPr="00393736" w:rsidRDefault="00393736" w:rsidP="006F0C87">
            <w:pPr>
              <w:spacing w:line="240" w:lineRule="auto"/>
              <w:rPr>
                <w:rFonts w:cs="Arial"/>
                <w:sz w:val="20"/>
              </w:rPr>
            </w:pPr>
            <w:r w:rsidRPr="00393736">
              <w:rPr>
                <w:rFonts w:cs="Arial"/>
                <w:sz w:val="20"/>
              </w:rPr>
              <w:t>University structure and impact on discipline</w:t>
            </w:r>
          </w:p>
        </w:tc>
        <w:tc>
          <w:tcPr>
            <w:tcW w:w="2745" w:type="dxa"/>
            <w:vMerge/>
            <w:tcBorders>
              <w:left w:val="single" w:sz="2" w:space="0" w:color="DDDDDD"/>
            </w:tcBorders>
            <w:shd w:val="clear" w:color="auto" w:fill="EEEEEE"/>
          </w:tcPr>
          <w:p w14:paraId="71C9FEF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D46D83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1E0ABE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32F067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2E171B3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r>
      <w:tr w:rsidR="00393736" w:rsidRPr="00393736" w14:paraId="640FC5D6" w14:textId="77777777" w:rsidTr="006F0C87">
        <w:tc>
          <w:tcPr>
            <w:tcW w:w="3490" w:type="dxa"/>
            <w:tcBorders>
              <w:left w:val="single" w:sz="2" w:space="0" w:color="DDDDDD"/>
              <w:bottom w:val="single" w:sz="2" w:space="0" w:color="DDDDDD"/>
            </w:tcBorders>
          </w:tcPr>
          <w:p w14:paraId="0DA556DD" w14:textId="77777777" w:rsidR="00393736" w:rsidRPr="00393736" w:rsidRDefault="00393736" w:rsidP="006F0C87">
            <w:pPr>
              <w:spacing w:line="240" w:lineRule="auto"/>
              <w:rPr>
                <w:rFonts w:cs="Arial"/>
                <w:sz w:val="20"/>
              </w:rPr>
            </w:pPr>
            <w:r w:rsidRPr="00393736">
              <w:rPr>
                <w:rFonts w:cs="Arial"/>
                <w:sz w:val="20"/>
              </w:rPr>
              <w:t>University support</w:t>
            </w:r>
          </w:p>
        </w:tc>
        <w:tc>
          <w:tcPr>
            <w:tcW w:w="2745" w:type="dxa"/>
            <w:vMerge/>
            <w:tcBorders>
              <w:left w:val="single" w:sz="2" w:space="0" w:color="DDDDDD"/>
            </w:tcBorders>
          </w:tcPr>
          <w:p w14:paraId="1B02206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3BA1A0C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42A2B7B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76E6F6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62B565D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r>
      <w:tr w:rsidR="00393736" w:rsidRPr="00393736" w14:paraId="01A11318" w14:textId="77777777" w:rsidTr="006F0C87">
        <w:tc>
          <w:tcPr>
            <w:tcW w:w="3490" w:type="dxa"/>
            <w:tcBorders>
              <w:left w:val="single" w:sz="2" w:space="0" w:color="DDDDDD"/>
              <w:bottom w:val="single" w:sz="2" w:space="0" w:color="DDDDDD"/>
            </w:tcBorders>
            <w:shd w:val="clear" w:color="auto" w:fill="EEEEEE"/>
          </w:tcPr>
          <w:p w14:paraId="4C258473" w14:textId="77777777" w:rsidR="00393736" w:rsidRPr="00393736" w:rsidRDefault="00393736" w:rsidP="006F0C87">
            <w:pPr>
              <w:spacing w:line="240" w:lineRule="auto"/>
              <w:rPr>
                <w:rFonts w:cs="Arial"/>
                <w:sz w:val="20"/>
              </w:rPr>
            </w:pPr>
            <w:r w:rsidRPr="00393736">
              <w:rPr>
                <w:rFonts w:cs="Arial"/>
                <w:sz w:val="20"/>
              </w:rPr>
              <w:t>University tension with regulatory body power</w:t>
            </w:r>
          </w:p>
        </w:tc>
        <w:tc>
          <w:tcPr>
            <w:tcW w:w="2745" w:type="dxa"/>
            <w:vMerge/>
            <w:tcBorders>
              <w:left w:val="single" w:sz="2" w:space="0" w:color="DDDDDD"/>
              <w:bottom w:val="single" w:sz="2" w:space="0" w:color="DDDDDD"/>
            </w:tcBorders>
            <w:shd w:val="clear" w:color="auto" w:fill="EEEEEE"/>
          </w:tcPr>
          <w:p w14:paraId="5657043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6349CD6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2158F7C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D274D1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17C5282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bl>
    <w:p w14:paraId="1B662D6D" w14:textId="77777777" w:rsidR="00393736" w:rsidRPr="00393736" w:rsidRDefault="00393736" w:rsidP="00393736">
      <w:pPr>
        <w:spacing w:line="240" w:lineRule="auto"/>
        <w:rPr>
          <w:rFonts w:cs="Arial"/>
          <w:sz w:val="20"/>
        </w:rPr>
      </w:pPr>
      <w:r w:rsidRPr="00393736">
        <w:rPr>
          <w:rFonts w:cs="Arial"/>
          <w:sz w:val="20"/>
        </w:rPr>
        <w:t>Table 3: The university</w:t>
      </w:r>
    </w:p>
    <w:p w14:paraId="39E980CC" w14:textId="77777777" w:rsidR="00393736" w:rsidRPr="00393736" w:rsidRDefault="00393736" w:rsidP="00393736">
      <w:pPr>
        <w:rPr>
          <w:rFonts w:cs="Arial"/>
          <w:sz w:val="20"/>
        </w:rPr>
      </w:pPr>
    </w:p>
    <w:p w14:paraId="4DFEDB0D" w14:textId="77777777" w:rsidR="00393736" w:rsidRPr="00393736" w:rsidRDefault="00393736" w:rsidP="00393736">
      <w:pPr>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36C26F6D"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45266813"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6D737F62"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02EAD4AE"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05EDD747"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10687DE3"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13B235B0"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16B3F456" w14:textId="77777777" w:rsidTr="006F0C87">
        <w:tc>
          <w:tcPr>
            <w:tcW w:w="3490" w:type="dxa"/>
            <w:tcBorders>
              <w:left w:val="single" w:sz="2" w:space="0" w:color="DDDDDD"/>
              <w:bottom w:val="single" w:sz="2" w:space="0" w:color="DDDDDD"/>
            </w:tcBorders>
          </w:tcPr>
          <w:p w14:paraId="5C39798E"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Degree</w:t>
            </w:r>
          </w:p>
        </w:tc>
        <w:tc>
          <w:tcPr>
            <w:tcW w:w="2745" w:type="dxa"/>
            <w:tcBorders>
              <w:left w:val="single" w:sz="2" w:space="0" w:color="DDDDDD"/>
            </w:tcBorders>
          </w:tcPr>
          <w:p w14:paraId="23F933B9" w14:textId="77777777" w:rsidR="00393736" w:rsidRPr="00393736" w:rsidRDefault="00393736" w:rsidP="006F0C87">
            <w:pPr>
              <w:pStyle w:val="TableContents"/>
              <w:rPr>
                <w:rFonts w:ascii="Arial" w:hAnsi="Arial" w:cs="Arial"/>
                <w:b/>
                <w:bCs/>
                <w:sz w:val="20"/>
                <w:szCs w:val="20"/>
              </w:rPr>
            </w:pPr>
          </w:p>
        </w:tc>
        <w:tc>
          <w:tcPr>
            <w:tcW w:w="1984" w:type="dxa"/>
            <w:vMerge w:val="restart"/>
            <w:tcBorders>
              <w:left w:val="single" w:sz="2" w:space="0" w:color="DDDDDD"/>
              <w:right w:val="single" w:sz="2" w:space="0" w:color="DDDDDD"/>
            </w:tcBorders>
          </w:tcPr>
          <w:p w14:paraId="2A4212B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s6.2.2.</w:t>
            </w:r>
          </w:p>
        </w:tc>
        <w:tc>
          <w:tcPr>
            <w:tcW w:w="1985" w:type="dxa"/>
            <w:vMerge w:val="restart"/>
            <w:tcBorders>
              <w:left w:val="single" w:sz="2" w:space="0" w:color="DDDDDD"/>
              <w:right w:val="single" w:sz="2" w:space="0" w:color="DDDDDD"/>
            </w:tcBorders>
          </w:tcPr>
          <w:p w14:paraId="43D45CB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s7.3.</w:t>
            </w:r>
          </w:p>
        </w:tc>
        <w:tc>
          <w:tcPr>
            <w:tcW w:w="1417" w:type="dxa"/>
            <w:tcBorders>
              <w:left w:val="single" w:sz="2" w:space="0" w:color="DDDDDD"/>
              <w:bottom w:val="single" w:sz="2" w:space="0" w:color="DDDDDD"/>
            </w:tcBorders>
          </w:tcPr>
          <w:p w14:paraId="44F55303"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tcPr>
          <w:p w14:paraId="127E69F7" w14:textId="77777777" w:rsidR="00393736" w:rsidRPr="00393736" w:rsidRDefault="00393736" w:rsidP="006F0C87">
            <w:pPr>
              <w:pStyle w:val="TableContents"/>
              <w:jc w:val="right"/>
              <w:rPr>
                <w:rFonts w:ascii="Arial" w:hAnsi="Arial" w:cs="Arial"/>
                <w:sz w:val="20"/>
                <w:szCs w:val="20"/>
              </w:rPr>
            </w:pPr>
          </w:p>
        </w:tc>
      </w:tr>
      <w:tr w:rsidR="00393736" w:rsidRPr="00393736" w14:paraId="2DBF0429" w14:textId="77777777" w:rsidTr="006F0C87">
        <w:tc>
          <w:tcPr>
            <w:tcW w:w="3490" w:type="dxa"/>
            <w:tcBorders>
              <w:left w:val="single" w:sz="2" w:space="0" w:color="DDDDDD"/>
              <w:bottom w:val="single" w:sz="2" w:space="0" w:color="DDDDDD"/>
            </w:tcBorders>
          </w:tcPr>
          <w:p w14:paraId="10B1454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Degree structure</w:t>
            </w:r>
          </w:p>
        </w:tc>
        <w:tc>
          <w:tcPr>
            <w:tcW w:w="2745" w:type="dxa"/>
            <w:vMerge w:val="restart"/>
            <w:tcBorders>
              <w:left w:val="single" w:sz="2" w:space="0" w:color="DDDDDD"/>
            </w:tcBorders>
          </w:tcPr>
          <w:p w14:paraId="7BBBC447"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The academic community</w:t>
            </w:r>
          </w:p>
        </w:tc>
        <w:tc>
          <w:tcPr>
            <w:tcW w:w="1984" w:type="dxa"/>
            <w:vMerge/>
            <w:tcBorders>
              <w:left w:val="single" w:sz="2" w:space="0" w:color="DDDDDD"/>
              <w:right w:val="single" w:sz="2" w:space="0" w:color="DDDDDD"/>
            </w:tcBorders>
          </w:tcPr>
          <w:p w14:paraId="6D65D1E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76334DE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941A5C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tcPr>
          <w:p w14:paraId="5680FEE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728D71CA" w14:textId="77777777" w:rsidTr="006F0C87">
        <w:tc>
          <w:tcPr>
            <w:tcW w:w="3490" w:type="dxa"/>
            <w:tcBorders>
              <w:left w:val="single" w:sz="2" w:space="0" w:color="DDDDDD"/>
              <w:bottom w:val="single" w:sz="2" w:space="0" w:color="DDDDDD"/>
            </w:tcBorders>
            <w:shd w:val="clear" w:color="auto" w:fill="EEEEEE"/>
          </w:tcPr>
          <w:p w14:paraId="140F6D7E" w14:textId="77777777" w:rsidR="00393736" w:rsidRPr="00393736" w:rsidRDefault="00393736" w:rsidP="006F0C87">
            <w:pPr>
              <w:spacing w:line="240" w:lineRule="auto"/>
              <w:rPr>
                <w:rFonts w:cs="Arial"/>
                <w:sz w:val="20"/>
              </w:rPr>
            </w:pPr>
            <w:r w:rsidRPr="00393736">
              <w:rPr>
                <w:rFonts w:cs="Arial"/>
                <w:sz w:val="20"/>
              </w:rPr>
              <w:t>FLK</w:t>
            </w:r>
          </w:p>
        </w:tc>
        <w:tc>
          <w:tcPr>
            <w:tcW w:w="2745" w:type="dxa"/>
            <w:vMerge/>
            <w:tcBorders>
              <w:left w:val="single" w:sz="2" w:space="0" w:color="DDDDDD"/>
            </w:tcBorders>
            <w:shd w:val="clear" w:color="auto" w:fill="EEEEEE"/>
          </w:tcPr>
          <w:p w14:paraId="2EE8310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CAD7A2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6336B14"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D9FBA5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33BCF19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29</w:t>
            </w:r>
          </w:p>
        </w:tc>
      </w:tr>
      <w:tr w:rsidR="00393736" w:rsidRPr="00393736" w14:paraId="5F62BDEF" w14:textId="77777777" w:rsidTr="006F0C87">
        <w:tc>
          <w:tcPr>
            <w:tcW w:w="3490" w:type="dxa"/>
            <w:tcBorders>
              <w:left w:val="single" w:sz="2" w:space="0" w:color="DDDDDD"/>
              <w:bottom w:val="single" w:sz="2" w:space="0" w:color="DDDDDD"/>
            </w:tcBorders>
          </w:tcPr>
          <w:p w14:paraId="37535236" w14:textId="77777777" w:rsidR="00393736" w:rsidRPr="00393736" w:rsidRDefault="00393736" w:rsidP="006F0C87">
            <w:pPr>
              <w:spacing w:line="240" w:lineRule="auto"/>
              <w:rPr>
                <w:rFonts w:cs="Arial"/>
                <w:sz w:val="20"/>
              </w:rPr>
            </w:pPr>
            <w:r w:rsidRPr="00393736">
              <w:rPr>
                <w:rFonts w:cs="Arial"/>
                <w:sz w:val="20"/>
              </w:rPr>
              <w:t xml:space="preserve">Degree values </w:t>
            </w:r>
          </w:p>
        </w:tc>
        <w:tc>
          <w:tcPr>
            <w:tcW w:w="2745" w:type="dxa"/>
            <w:vMerge/>
            <w:tcBorders>
              <w:left w:val="single" w:sz="2" w:space="0" w:color="DDDDDD"/>
            </w:tcBorders>
          </w:tcPr>
          <w:p w14:paraId="1285B6F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EC8D0F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9044B4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4C980B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tcPr>
          <w:p w14:paraId="215BF21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31</w:t>
            </w:r>
          </w:p>
        </w:tc>
      </w:tr>
      <w:tr w:rsidR="00393736" w:rsidRPr="00393736" w14:paraId="4C88C7CC" w14:textId="77777777" w:rsidTr="006F0C87">
        <w:tc>
          <w:tcPr>
            <w:tcW w:w="3490" w:type="dxa"/>
            <w:tcBorders>
              <w:left w:val="single" w:sz="2" w:space="0" w:color="DDDDDD"/>
              <w:bottom w:val="single" w:sz="2" w:space="0" w:color="DDDDDD"/>
            </w:tcBorders>
          </w:tcPr>
          <w:p w14:paraId="6A1D5D6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 EDI</w:t>
            </w:r>
          </w:p>
        </w:tc>
        <w:tc>
          <w:tcPr>
            <w:tcW w:w="2745" w:type="dxa"/>
            <w:vMerge/>
            <w:tcBorders>
              <w:left w:val="single" w:sz="2" w:space="0" w:color="DDDDDD"/>
            </w:tcBorders>
          </w:tcPr>
          <w:p w14:paraId="0395219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B37852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tcPr>
          <w:p w14:paraId="6BFB684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6DC607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tcPr>
          <w:p w14:paraId="6F6D3B4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28</w:t>
            </w:r>
          </w:p>
        </w:tc>
      </w:tr>
      <w:tr w:rsidR="00393736" w:rsidRPr="00393736" w14:paraId="7B83ACF9" w14:textId="77777777" w:rsidTr="006F0C87">
        <w:tc>
          <w:tcPr>
            <w:tcW w:w="3490" w:type="dxa"/>
            <w:tcBorders>
              <w:left w:val="single" w:sz="2" w:space="0" w:color="DDDDDD"/>
              <w:bottom w:val="single" w:sz="2" w:space="0" w:color="DDDDDD"/>
            </w:tcBorders>
            <w:shd w:val="clear" w:color="auto" w:fill="EEEEEE"/>
          </w:tcPr>
          <w:p w14:paraId="3665BA3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 innovation</w:t>
            </w:r>
          </w:p>
        </w:tc>
        <w:tc>
          <w:tcPr>
            <w:tcW w:w="2745" w:type="dxa"/>
            <w:vMerge/>
            <w:tcBorders>
              <w:left w:val="single" w:sz="2" w:space="0" w:color="DDDDDD"/>
            </w:tcBorders>
            <w:shd w:val="clear" w:color="auto" w:fill="EEEEEE"/>
          </w:tcPr>
          <w:p w14:paraId="77A6D441"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629CBDB"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1C7E6F5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s8.4.1.</w:t>
            </w:r>
          </w:p>
        </w:tc>
        <w:tc>
          <w:tcPr>
            <w:tcW w:w="1417" w:type="dxa"/>
            <w:tcBorders>
              <w:left w:val="single" w:sz="2" w:space="0" w:color="DDDDDD"/>
              <w:bottom w:val="single" w:sz="2" w:space="0" w:color="DDDDDD"/>
            </w:tcBorders>
            <w:shd w:val="clear" w:color="auto" w:fill="EEEEEE"/>
          </w:tcPr>
          <w:p w14:paraId="3982543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17</w:t>
            </w:r>
          </w:p>
        </w:tc>
        <w:tc>
          <w:tcPr>
            <w:tcW w:w="1276" w:type="dxa"/>
            <w:tcBorders>
              <w:left w:val="single" w:sz="2" w:space="0" w:color="DDDDDD"/>
              <w:bottom w:val="single" w:sz="2" w:space="0" w:color="DDDDDD"/>
              <w:right w:val="single" w:sz="2" w:space="0" w:color="DDDDDD"/>
            </w:tcBorders>
            <w:shd w:val="clear" w:color="auto" w:fill="EEEEEE"/>
          </w:tcPr>
          <w:p w14:paraId="57E4B1B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68</w:t>
            </w:r>
          </w:p>
        </w:tc>
      </w:tr>
      <w:tr w:rsidR="00393736" w:rsidRPr="00393736" w14:paraId="73F55FDF" w14:textId="77777777" w:rsidTr="006F0C87">
        <w:tc>
          <w:tcPr>
            <w:tcW w:w="3490" w:type="dxa"/>
            <w:tcBorders>
              <w:left w:val="single" w:sz="2" w:space="0" w:color="DDDDDD"/>
              <w:bottom w:val="single" w:sz="2" w:space="0" w:color="DDDDDD"/>
            </w:tcBorders>
          </w:tcPr>
          <w:p w14:paraId="058FBC54" w14:textId="77777777" w:rsidR="00393736" w:rsidRPr="00393736" w:rsidRDefault="00393736" w:rsidP="006F0C87">
            <w:pPr>
              <w:spacing w:line="240" w:lineRule="auto"/>
              <w:rPr>
                <w:rFonts w:cs="Arial"/>
                <w:sz w:val="20"/>
              </w:rPr>
            </w:pPr>
            <w:r w:rsidRPr="00393736">
              <w:rPr>
                <w:rFonts w:cs="Arial"/>
                <w:sz w:val="20"/>
              </w:rPr>
              <w:t>Design reflecting vocational vs practice</w:t>
            </w:r>
          </w:p>
        </w:tc>
        <w:tc>
          <w:tcPr>
            <w:tcW w:w="2745" w:type="dxa"/>
            <w:vMerge/>
            <w:tcBorders>
              <w:left w:val="single" w:sz="2" w:space="0" w:color="DDDDDD"/>
            </w:tcBorders>
          </w:tcPr>
          <w:p w14:paraId="76389D5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74F8B645"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tcPr>
          <w:p w14:paraId="0475609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s7.2.</w:t>
            </w:r>
          </w:p>
        </w:tc>
        <w:tc>
          <w:tcPr>
            <w:tcW w:w="1417" w:type="dxa"/>
            <w:tcBorders>
              <w:left w:val="single" w:sz="2" w:space="0" w:color="DDDDDD"/>
              <w:bottom w:val="single" w:sz="2" w:space="0" w:color="DDDDDD"/>
            </w:tcBorders>
          </w:tcPr>
          <w:p w14:paraId="26074D8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13</w:t>
            </w:r>
          </w:p>
        </w:tc>
        <w:tc>
          <w:tcPr>
            <w:tcW w:w="1276" w:type="dxa"/>
            <w:tcBorders>
              <w:left w:val="single" w:sz="2" w:space="0" w:color="DDDDDD"/>
              <w:bottom w:val="single" w:sz="2" w:space="0" w:color="DDDDDD"/>
              <w:right w:val="single" w:sz="2" w:space="0" w:color="DDDDDD"/>
            </w:tcBorders>
          </w:tcPr>
          <w:p w14:paraId="0135471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31</w:t>
            </w:r>
          </w:p>
        </w:tc>
      </w:tr>
      <w:tr w:rsidR="00393736" w:rsidRPr="00393736" w14:paraId="111CF996" w14:textId="77777777" w:rsidTr="006F0C87">
        <w:tc>
          <w:tcPr>
            <w:tcW w:w="3490" w:type="dxa"/>
            <w:tcBorders>
              <w:left w:val="single" w:sz="2" w:space="0" w:color="DDDDDD"/>
              <w:bottom w:val="single" w:sz="2" w:space="0" w:color="DDDDDD"/>
            </w:tcBorders>
            <w:shd w:val="clear" w:color="auto" w:fill="EEEEEE"/>
          </w:tcPr>
          <w:p w14:paraId="276BED65"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Clinical</w:t>
            </w:r>
          </w:p>
        </w:tc>
        <w:tc>
          <w:tcPr>
            <w:tcW w:w="2745" w:type="dxa"/>
            <w:vMerge/>
            <w:tcBorders>
              <w:left w:val="single" w:sz="2" w:space="0" w:color="DDDDDD"/>
            </w:tcBorders>
            <w:shd w:val="clear" w:color="auto" w:fill="EEEEEE"/>
          </w:tcPr>
          <w:p w14:paraId="727EF29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B2E5059"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0ACD1B9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9A8E8C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shd w:val="clear" w:color="auto" w:fill="EEEEEE"/>
          </w:tcPr>
          <w:p w14:paraId="5FF690C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38</w:t>
            </w:r>
          </w:p>
        </w:tc>
      </w:tr>
      <w:tr w:rsidR="00393736" w:rsidRPr="00393736" w14:paraId="3E0A62CF" w14:textId="77777777" w:rsidTr="006F0C87">
        <w:tc>
          <w:tcPr>
            <w:tcW w:w="3490" w:type="dxa"/>
            <w:tcBorders>
              <w:left w:val="single" w:sz="2" w:space="0" w:color="DDDDDD"/>
              <w:bottom w:val="single" w:sz="2" w:space="0" w:color="DDDDDD"/>
            </w:tcBorders>
            <w:shd w:val="clear" w:color="auto" w:fill="EEEEEE"/>
          </w:tcPr>
          <w:p w14:paraId="1F9FBA6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Degree practice focus</w:t>
            </w:r>
          </w:p>
        </w:tc>
        <w:tc>
          <w:tcPr>
            <w:tcW w:w="2745" w:type="dxa"/>
            <w:vMerge/>
            <w:tcBorders>
              <w:left w:val="single" w:sz="2" w:space="0" w:color="DDDDDD"/>
            </w:tcBorders>
            <w:shd w:val="clear" w:color="auto" w:fill="EEEEEE"/>
          </w:tcPr>
          <w:p w14:paraId="4DBF8D4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89C115F"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265339E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1E175A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216BC25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r>
      <w:tr w:rsidR="00393736" w:rsidRPr="00393736" w14:paraId="292EDA2E" w14:textId="77777777" w:rsidTr="006F0C87">
        <w:tc>
          <w:tcPr>
            <w:tcW w:w="3490" w:type="dxa"/>
            <w:tcBorders>
              <w:left w:val="single" w:sz="2" w:space="0" w:color="DDDDDD"/>
              <w:bottom w:val="single" w:sz="2" w:space="0" w:color="DDDDDD"/>
            </w:tcBorders>
            <w:shd w:val="clear" w:color="auto" w:fill="EEEEEE"/>
          </w:tcPr>
          <w:p w14:paraId="2F7D80A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Assessment</w:t>
            </w:r>
          </w:p>
        </w:tc>
        <w:tc>
          <w:tcPr>
            <w:tcW w:w="2745" w:type="dxa"/>
            <w:vMerge/>
            <w:tcBorders>
              <w:left w:val="single" w:sz="2" w:space="0" w:color="DDDDDD"/>
            </w:tcBorders>
            <w:shd w:val="clear" w:color="auto" w:fill="EEEEEE"/>
          </w:tcPr>
          <w:p w14:paraId="7CBE791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2392893"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55D65D8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Chapters 7 and 8</w:t>
            </w:r>
          </w:p>
        </w:tc>
        <w:tc>
          <w:tcPr>
            <w:tcW w:w="1417" w:type="dxa"/>
            <w:tcBorders>
              <w:left w:val="single" w:sz="2" w:space="0" w:color="DDDDDD"/>
              <w:bottom w:val="single" w:sz="2" w:space="0" w:color="DDDDDD"/>
            </w:tcBorders>
            <w:shd w:val="clear" w:color="auto" w:fill="EEEEEE"/>
          </w:tcPr>
          <w:p w14:paraId="1BCFD55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shd w:val="clear" w:color="auto" w:fill="EEEEEE"/>
          </w:tcPr>
          <w:p w14:paraId="0F396D9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36</w:t>
            </w:r>
          </w:p>
        </w:tc>
      </w:tr>
      <w:tr w:rsidR="00393736" w:rsidRPr="00393736" w14:paraId="064C6284" w14:textId="77777777" w:rsidTr="006F0C87">
        <w:tc>
          <w:tcPr>
            <w:tcW w:w="3490" w:type="dxa"/>
            <w:tcBorders>
              <w:left w:val="single" w:sz="2" w:space="0" w:color="DDDDDD"/>
              <w:bottom w:val="single" w:sz="2" w:space="0" w:color="DDDDDD"/>
            </w:tcBorders>
            <w:shd w:val="clear" w:color="auto" w:fill="EEEEEE"/>
          </w:tcPr>
          <w:p w14:paraId="0574EEC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Skills</w:t>
            </w:r>
          </w:p>
        </w:tc>
        <w:tc>
          <w:tcPr>
            <w:tcW w:w="2745" w:type="dxa"/>
            <w:vMerge/>
            <w:tcBorders>
              <w:left w:val="single" w:sz="2" w:space="0" w:color="DDDDDD"/>
            </w:tcBorders>
            <w:shd w:val="clear" w:color="auto" w:fill="EEEEEE"/>
          </w:tcPr>
          <w:p w14:paraId="71F825F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7D69734"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5E73919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s8.1.</w:t>
            </w:r>
          </w:p>
        </w:tc>
        <w:tc>
          <w:tcPr>
            <w:tcW w:w="1417" w:type="dxa"/>
            <w:tcBorders>
              <w:left w:val="single" w:sz="2" w:space="0" w:color="DDDDDD"/>
              <w:bottom w:val="single" w:sz="2" w:space="0" w:color="DDDDDD"/>
            </w:tcBorders>
            <w:shd w:val="clear" w:color="auto" w:fill="EEEEEE"/>
          </w:tcPr>
          <w:p w14:paraId="12A41BD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15</w:t>
            </w:r>
          </w:p>
        </w:tc>
        <w:tc>
          <w:tcPr>
            <w:tcW w:w="1276" w:type="dxa"/>
            <w:tcBorders>
              <w:left w:val="single" w:sz="2" w:space="0" w:color="DDDDDD"/>
              <w:bottom w:val="single" w:sz="2" w:space="0" w:color="DDDDDD"/>
              <w:right w:val="single" w:sz="2" w:space="0" w:color="DDDDDD"/>
            </w:tcBorders>
            <w:shd w:val="clear" w:color="auto" w:fill="EEEEEE"/>
          </w:tcPr>
          <w:p w14:paraId="3CCC57A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51</w:t>
            </w:r>
          </w:p>
        </w:tc>
      </w:tr>
      <w:tr w:rsidR="00393736" w:rsidRPr="00393736" w14:paraId="3205EF00" w14:textId="77777777" w:rsidTr="006F0C87">
        <w:tc>
          <w:tcPr>
            <w:tcW w:w="3490" w:type="dxa"/>
            <w:tcBorders>
              <w:left w:val="single" w:sz="2" w:space="0" w:color="DDDDDD"/>
              <w:bottom w:val="single" w:sz="2" w:space="0" w:color="DDDDDD"/>
            </w:tcBorders>
            <w:shd w:val="clear" w:color="auto" w:fill="EEEEEE"/>
          </w:tcPr>
          <w:p w14:paraId="3B6C0D30"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Technology</w:t>
            </w:r>
          </w:p>
        </w:tc>
        <w:tc>
          <w:tcPr>
            <w:tcW w:w="2745" w:type="dxa"/>
            <w:vMerge/>
            <w:tcBorders>
              <w:left w:val="single" w:sz="2" w:space="0" w:color="DDDDDD"/>
            </w:tcBorders>
            <w:shd w:val="clear" w:color="auto" w:fill="EEEEEE"/>
          </w:tcPr>
          <w:p w14:paraId="3B42BCD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A541646"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56E7207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8.1.</w:t>
            </w:r>
          </w:p>
        </w:tc>
        <w:tc>
          <w:tcPr>
            <w:tcW w:w="1417" w:type="dxa"/>
            <w:tcBorders>
              <w:left w:val="single" w:sz="2" w:space="0" w:color="DDDDDD"/>
              <w:bottom w:val="single" w:sz="2" w:space="0" w:color="DDDDDD"/>
            </w:tcBorders>
            <w:shd w:val="clear" w:color="auto" w:fill="EEEEEE"/>
          </w:tcPr>
          <w:p w14:paraId="7BD484E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shd w:val="clear" w:color="auto" w:fill="EEEEEE"/>
          </w:tcPr>
          <w:p w14:paraId="22FBD42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19</w:t>
            </w:r>
          </w:p>
        </w:tc>
      </w:tr>
      <w:tr w:rsidR="00393736" w:rsidRPr="00393736" w14:paraId="054C0FB4" w14:textId="77777777" w:rsidTr="006F0C87">
        <w:tc>
          <w:tcPr>
            <w:tcW w:w="3490" w:type="dxa"/>
            <w:tcBorders>
              <w:left w:val="single" w:sz="2" w:space="0" w:color="DDDDDD"/>
              <w:bottom w:val="single" w:sz="2" w:space="0" w:color="DDDDDD"/>
            </w:tcBorders>
            <w:shd w:val="clear" w:color="auto" w:fill="EEEEEE"/>
          </w:tcPr>
          <w:p w14:paraId="28AE93E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Pathways</w:t>
            </w:r>
          </w:p>
        </w:tc>
        <w:tc>
          <w:tcPr>
            <w:tcW w:w="2745" w:type="dxa"/>
            <w:vMerge/>
            <w:tcBorders>
              <w:left w:val="single" w:sz="2" w:space="0" w:color="DDDDDD"/>
            </w:tcBorders>
            <w:shd w:val="clear" w:color="auto" w:fill="EEEEEE"/>
          </w:tcPr>
          <w:p w14:paraId="4C6C50D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2663F17"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578F404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 xml:space="preserve">PRF: s8.4.1. </w:t>
            </w:r>
          </w:p>
        </w:tc>
        <w:tc>
          <w:tcPr>
            <w:tcW w:w="1417" w:type="dxa"/>
            <w:tcBorders>
              <w:left w:val="single" w:sz="2" w:space="0" w:color="DDDDDD"/>
              <w:bottom w:val="single" w:sz="2" w:space="0" w:color="DDDDDD"/>
            </w:tcBorders>
            <w:shd w:val="clear" w:color="auto" w:fill="EEEEEE"/>
          </w:tcPr>
          <w:p w14:paraId="2DA1C56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19</w:t>
            </w:r>
          </w:p>
        </w:tc>
        <w:tc>
          <w:tcPr>
            <w:tcW w:w="1276" w:type="dxa"/>
            <w:tcBorders>
              <w:left w:val="single" w:sz="2" w:space="0" w:color="DDDDDD"/>
              <w:bottom w:val="single" w:sz="2" w:space="0" w:color="DDDDDD"/>
              <w:right w:val="single" w:sz="2" w:space="0" w:color="DDDDDD"/>
            </w:tcBorders>
            <w:shd w:val="clear" w:color="auto" w:fill="EEEEEE"/>
          </w:tcPr>
          <w:p w14:paraId="321FB41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46</w:t>
            </w:r>
          </w:p>
        </w:tc>
      </w:tr>
      <w:tr w:rsidR="00393736" w:rsidRPr="00393736" w14:paraId="01712E39" w14:textId="77777777" w:rsidTr="006F0C87">
        <w:tc>
          <w:tcPr>
            <w:tcW w:w="3490" w:type="dxa"/>
            <w:tcBorders>
              <w:left w:val="single" w:sz="2" w:space="0" w:color="DDDDDD"/>
              <w:bottom w:val="single" w:sz="2" w:space="0" w:color="DDDDDD"/>
            </w:tcBorders>
            <w:shd w:val="clear" w:color="auto" w:fill="EEEEEE"/>
          </w:tcPr>
          <w:p w14:paraId="520314DA"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Holistic</w:t>
            </w:r>
          </w:p>
        </w:tc>
        <w:tc>
          <w:tcPr>
            <w:tcW w:w="2745" w:type="dxa"/>
            <w:vMerge/>
            <w:tcBorders>
              <w:left w:val="single" w:sz="2" w:space="0" w:color="DDDDDD"/>
            </w:tcBorders>
            <w:shd w:val="clear" w:color="auto" w:fill="EEEEEE"/>
          </w:tcPr>
          <w:p w14:paraId="5B43CC5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302AA40"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284A3D2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 xml:space="preserve">PRF: s8.4.1. </w:t>
            </w:r>
          </w:p>
        </w:tc>
        <w:tc>
          <w:tcPr>
            <w:tcW w:w="1417" w:type="dxa"/>
            <w:tcBorders>
              <w:left w:val="single" w:sz="2" w:space="0" w:color="DDDDDD"/>
              <w:bottom w:val="single" w:sz="2" w:space="0" w:color="DDDDDD"/>
            </w:tcBorders>
            <w:shd w:val="clear" w:color="auto" w:fill="EEEEEE"/>
          </w:tcPr>
          <w:p w14:paraId="4317F9B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09D3124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r>
      <w:tr w:rsidR="00393736" w:rsidRPr="00393736" w14:paraId="19DB39EC" w14:textId="77777777" w:rsidTr="006F0C87">
        <w:tc>
          <w:tcPr>
            <w:tcW w:w="3490" w:type="dxa"/>
            <w:tcBorders>
              <w:left w:val="single" w:sz="2" w:space="0" w:color="DDDDDD"/>
              <w:bottom w:val="single" w:sz="2" w:space="0" w:color="DDDDDD"/>
            </w:tcBorders>
            <w:shd w:val="clear" w:color="auto" w:fill="EEEEEE"/>
          </w:tcPr>
          <w:p w14:paraId="6E0700E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lastRenderedPageBreak/>
              <w:t>Sustainability</w:t>
            </w:r>
          </w:p>
        </w:tc>
        <w:tc>
          <w:tcPr>
            <w:tcW w:w="2745" w:type="dxa"/>
            <w:vMerge/>
            <w:tcBorders>
              <w:left w:val="single" w:sz="2" w:space="0" w:color="DDDDDD"/>
            </w:tcBorders>
            <w:shd w:val="clear" w:color="auto" w:fill="EEEEEE"/>
          </w:tcPr>
          <w:p w14:paraId="1DBB2AC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06455BB"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1439A71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s8.4.1.</w:t>
            </w:r>
          </w:p>
        </w:tc>
        <w:tc>
          <w:tcPr>
            <w:tcW w:w="1417" w:type="dxa"/>
            <w:tcBorders>
              <w:left w:val="single" w:sz="2" w:space="0" w:color="DDDDDD"/>
              <w:bottom w:val="single" w:sz="2" w:space="0" w:color="DDDDDD"/>
            </w:tcBorders>
            <w:shd w:val="clear" w:color="auto" w:fill="EEEEEE"/>
          </w:tcPr>
          <w:p w14:paraId="02CB49F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shd w:val="clear" w:color="auto" w:fill="EEEEEE"/>
          </w:tcPr>
          <w:p w14:paraId="4BE135D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28</w:t>
            </w:r>
          </w:p>
        </w:tc>
      </w:tr>
      <w:tr w:rsidR="00393736" w:rsidRPr="00393736" w14:paraId="0DF57C5D" w14:textId="77777777" w:rsidTr="006F0C87">
        <w:tc>
          <w:tcPr>
            <w:tcW w:w="3490" w:type="dxa"/>
            <w:tcBorders>
              <w:left w:val="single" w:sz="2" w:space="0" w:color="DDDDDD"/>
              <w:bottom w:val="single" w:sz="2" w:space="0" w:color="DDDDDD"/>
            </w:tcBorders>
            <w:shd w:val="clear" w:color="auto" w:fill="EEEEEE"/>
          </w:tcPr>
          <w:p w14:paraId="0A49E1CA"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Designer</w:t>
            </w:r>
          </w:p>
        </w:tc>
        <w:tc>
          <w:tcPr>
            <w:tcW w:w="2745" w:type="dxa"/>
            <w:vMerge/>
            <w:tcBorders>
              <w:left w:val="single" w:sz="2" w:space="0" w:color="DDDDDD"/>
            </w:tcBorders>
            <w:shd w:val="clear" w:color="auto" w:fill="EEEEEE"/>
          </w:tcPr>
          <w:p w14:paraId="4F67A7B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6994309"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shd w:val="clear" w:color="auto" w:fill="EEEEEE"/>
          </w:tcPr>
          <w:p w14:paraId="50AD954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Chapter 7</w:t>
            </w:r>
          </w:p>
        </w:tc>
        <w:tc>
          <w:tcPr>
            <w:tcW w:w="1417" w:type="dxa"/>
            <w:tcBorders>
              <w:left w:val="single" w:sz="2" w:space="0" w:color="DDDDDD"/>
              <w:bottom w:val="single" w:sz="2" w:space="0" w:color="DDDDDD"/>
            </w:tcBorders>
            <w:shd w:val="clear" w:color="auto" w:fill="EEEEEE"/>
          </w:tcPr>
          <w:p w14:paraId="2E447293"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shd w:val="clear" w:color="auto" w:fill="EEEEEE"/>
          </w:tcPr>
          <w:p w14:paraId="12EC4A92" w14:textId="77777777" w:rsidR="00393736" w:rsidRPr="00393736" w:rsidRDefault="00393736" w:rsidP="006F0C87">
            <w:pPr>
              <w:pStyle w:val="TableContents"/>
              <w:jc w:val="right"/>
              <w:rPr>
                <w:rFonts w:ascii="Arial" w:hAnsi="Arial" w:cs="Arial"/>
                <w:sz w:val="20"/>
                <w:szCs w:val="20"/>
              </w:rPr>
            </w:pPr>
          </w:p>
        </w:tc>
      </w:tr>
      <w:tr w:rsidR="00393736" w:rsidRPr="00393736" w14:paraId="036C523D" w14:textId="77777777" w:rsidTr="006F0C87">
        <w:tc>
          <w:tcPr>
            <w:tcW w:w="3490" w:type="dxa"/>
            <w:tcBorders>
              <w:left w:val="single" w:sz="2" w:space="0" w:color="DDDDDD"/>
              <w:bottom w:val="single" w:sz="2" w:space="0" w:color="DDDDDD"/>
            </w:tcBorders>
          </w:tcPr>
          <w:p w14:paraId="1DB0AD8A"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Designer championing</w:t>
            </w:r>
          </w:p>
        </w:tc>
        <w:tc>
          <w:tcPr>
            <w:tcW w:w="2745" w:type="dxa"/>
            <w:vMerge/>
            <w:tcBorders>
              <w:left w:val="single" w:sz="2" w:space="0" w:color="DDDDDD"/>
            </w:tcBorders>
          </w:tcPr>
          <w:p w14:paraId="1DFE51F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409C1BFF"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FEACB3F"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D83FFE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3BFD672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r>
      <w:tr w:rsidR="00393736" w:rsidRPr="00393736" w14:paraId="1461E238" w14:textId="77777777" w:rsidTr="006F0C87">
        <w:tc>
          <w:tcPr>
            <w:tcW w:w="3490" w:type="dxa"/>
            <w:tcBorders>
              <w:left w:val="single" w:sz="2" w:space="0" w:color="DDDDDD"/>
              <w:bottom w:val="single" w:sz="2" w:space="0" w:color="DDDDDD"/>
            </w:tcBorders>
            <w:shd w:val="clear" w:color="auto" w:fill="EEEEEE"/>
          </w:tcPr>
          <w:p w14:paraId="6D9BB1A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Designer identity</w:t>
            </w:r>
          </w:p>
        </w:tc>
        <w:tc>
          <w:tcPr>
            <w:tcW w:w="2745" w:type="dxa"/>
            <w:vMerge/>
            <w:tcBorders>
              <w:left w:val="single" w:sz="2" w:space="0" w:color="DDDDDD"/>
            </w:tcBorders>
            <w:shd w:val="clear" w:color="auto" w:fill="EEEEEE"/>
          </w:tcPr>
          <w:p w14:paraId="08FBE03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1D5517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FA2C72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12BFE2B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22</w:t>
            </w:r>
          </w:p>
        </w:tc>
        <w:tc>
          <w:tcPr>
            <w:tcW w:w="1276" w:type="dxa"/>
            <w:tcBorders>
              <w:left w:val="single" w:sz="2" w:space="0" w:color="DDDDDD"/>
              <w:bottom w:val="single" w:sz="2" w:space="0" w:color="DDDDDD"/>
              <w:right w:val="single" w:sz="2" w:space="0" w:color="DDDDDD"/>
            </w:tcBorders>
            <w:shd w:val="clear" w:color="auto" w:fill="EEEEEE"/>
          </w:tcPr>
          <w:p w14:paraId="666A3AE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96</w:t>
            </w:r>
          </w:p>
        </w:tc>
      </w:tr>
      <w:tr w:rsidR="00393736" w:rsidRPr="00393736" w14:paraId="449DF843" w14:textId="77777777" w:rsidTr="006F0C87">
        <w:tc>
          <w:tcPr>
            <w:tcW w:w="3490" w:type="dxa"/>
            <w:tcBorders>
              <w:left w:val="single" w:sz="2" w:space="0" w:color="DDDDDD"/>
              <w:bottom w:val="single" w:sz="2" w:space="0" w:color="DDDDDD"/>
            </w:tcBorders>
          </w:tcPr>
          <w:p w14:paraId="0A304A53"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Position of designer</w:t>
            </w:r>
          </w:p>
        </w:tc>
        <w:tc>
          <w:tcPr>
            <w:tcW w:w="2745" w:type="dxa"/>
            <w:vMerge/>
            <w:tcBorders>
              <w:left w:val="single" w:sz="2" w:space="0" w:color="DDDDDD"/>
            </w:tcBorders>
          </w:tcPr>
          <w:p w14:paraId="79A00CA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C12F70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4E9AB70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06B92C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tcPr>
          <w:p w14:paraId="59EBC2D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46B2A58F" w14:textId="77777777" w:rsidTr="006F0C87">
        <w:tc>
          <w:tcPr>
            <w:tcW w:w="3490" w:type="dxa"/>
            <w:tcBorders>
              <w:left w:val="single" w:sz="2" w:space="0" w:color="DDDDDD"/>
              <w:bottom w:val="single" w:sz="2" w:space="0" w:color="DDDDDD"/>
            </w:tcBorders>
            <w:shd w:val="clear" w:color="auto" w:fill="EEEEEE"/>
          </w:tcPr>
          <w:p w14:paraId="7B49F37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Designer autonomy</w:t>
            </w:r>
          </w:p>
        </w:tc>
        <w:tc>
          <w:tcPr>
            <w:tcW w:w="2745" w:type="dxa"/>
            <w:vMerge/>
            <w:tcBorders>
              <w:left w:val="single" w:sz="2" w:space="0" w:color="DDDDDD"/>
            </w:tcBorders>
            <w:shd w:val="clear" w:color="auto" w:fill="EEEEEE"/>
          </w:tcPr>
          <w:p w14:paraId="5F0ED16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68387D3"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0EFE80B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49CEF3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shd w:val="clear" w:color="auto" w:fill="EEEEEE"/>
          </w:tcPr>
          <w:p w14:paraId="239282D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143BF64B" w14:textId="77777777" w:rsidTr="006F0C87">
        <w:tc>
          <w:tcPr>
            <w:tcW w:w="3490" w:type="dxa"/>
            <w:tcBorders>
              <w:left w:val="single" w:sz="2" w:space="0" w:color="DDDDDD"/>
              <w:bottom w:val="single" w:sz="2" w:space="0" w:color="DDDDDD"/>
            </w:tcBorders>
          </w:tcPr>
          <w:p w14:paraId="4E8639E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Designer leadership</w:t>
            </w:r>
          </w:p>
        </w:tc>
        <w:tc>
          <w:tcPr>
            <w:tcW w:w="2745" w:type="dxa"/>
            <w:vMerge/>
            <w:tcBorders>
              <w:left w:val="single" w:sz="2" w:space="0" w:color="DDDDDD"/>
            </w:tcBorders>
          </w:tcPr>
          <w:p w14:paraId="0E688D1E"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BFA79D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320DA9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0E6E902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20</w:t>
            </w:r>
          </w:p>
        </w:tc>
        <w:tc>
          <w:tcPr>
            <w:tcW w:w="1276" w:type="dxa"/>
            <w:tcBorders>
              <w:left w:val="single" w:sz="2" w:space="0" w:color="DDDDDD"/>
              <w:bottom w:val="single" w:sz="2" w:space="0" w:color="DDDDDD"/>
              <w:right w:val="single" w:sz="2" w:space="0" w:color="DDDDDD"/>
            </w:tcBorders>
          </w:tcPr>
          <w:p w14:paraId="429CCB9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109</w:t>
            </w:r>
          </w:p>
        </w:tc>
      </w:tr>
      <w:tr w:rsidR="00393736" w:rsidRPr="00393736" w14:paraId="25B90676" w14:textId="77777777" w:rsidTr="006F0C87">
        <w:tc>
          <w:tcPr>
            <w:tcW w:w="3490" w:type="dxa"/>
            <w:tcBorders>
              <w:left w:val="single" w:sz="2" w:space="0" w:color="DDDDDD"/>
              <w:bottom w:val="single" w:sz="2" w:space="0" w:color="DDDDDD"/>
            </w:tcBorders>
            <w:shd w:val="clear" w:color="auto" w:fill="EEEEEE"/>
          </w:tcPr>
          <w:p w14:paraId="5B644DD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Designers values</w:t>
            </w:r>
          </w:p>
        </w:tc>
        <w:tc>
          <w:tcPr>
            <w:tcW w:w="2745" w:type="dxa"/>
            <w:vMerge/>
            <w:tcBorders>
              <w:left w:val="single" w:sz="2" w:space="0" w:color="DDDDDD"/>
            </w:tcBorders>
            <w:shd w:val="clear" w:color="auto" w:fill="EEEEEE"/>
          </w:tcPr>
          <w:p w14:paraId="320A626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36EFA7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638A8AC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4FAEA4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17</w:t>
            </w:r>
          </w:p>
        </w:tc>
        <w:tc>
          <w:tcPr>
            <w:tcW w:w="1276" w:type="dxa"/>
            <w:tcBorders>
              <w:left w:val="single" w:sz="2" w:space="0" w:color="DDDDDD"/>
              <w:bottom w:val="single" w:sz="2" w:space="0" w:color="DDDDDD"/>
              <w:right w:val="single" w:sz="2" w:space="0" w:color="DDDDDD"/>
            </w:tcBorders>
            <w:shd w:val="clear" w:color="auto" w:fill="EEEEEE"/>
          </w:tcPr>
          <w:p w14:paraId="38FB8F6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55</w:t>
            </w:r>
          </w:p>
        </w:tc>
      </w:tr>
      <w:tr w:rsidR="00393736" w:rsidRPr="00393736" w14:paraId="48C37E1B" w14:textId="77777777" w:rsidTr="006F0C87">
        <w:tc>
          <w:tcPr>
            <w:tcW w:w="3490" w:type="dxa"/>
            <w:tcBorders>
              <w:left w:val="single" w:sz="2" w:space="0" w:color="DDDDDD"/>
              <w:bottom w:val="single" w:sz="2" w:space="0" w:color="DDDDDD"/>
            </w:tcBorders>
          </w:tcPr>
          <w:p w14:paraId="46399E81"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Module</w:t>
            </w:r>
          </w:p>
        </w:tc>
        <w:tc>
          <w:tcPr>
            <w:tcW w:w="2745" w:type="dxa"/>
            <w:vMerge/>
            <w:tcBorders>
              <w:left w:val="single" w:sz="2" w:space="0" w:color="DDDDDD"/>
            </w:tcBorders>
          </w:tcPr>
          <w:p w14:paraId="2B82993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4C3C074D"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tcPr>
          <w:p w14:paraId="35F103A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s7.3 and 4</w:t>
            </w:r>
          </w:p>
        </w:tc>
        <w:tc>
          <w:tcPr>
            <w:tcW w:w="1417" w:type="dxa"/>
            <w:tcBorders>
              <w:left w:val="single" w:sz="2" w:space="0" w:color="DDDDDD"/>
              <w:bottom w:val="single" w:sz="2" w:space="0" w:color="DDDDDD"/>
            </w:tcBorders>
          </w:tcPr>
          <w:p w14:paraId="7A258F47"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tcPr>
          <w:p w14:paraId="0DF69BCB" w14:textId="77777777" w:rsidR="00393736" w:rsidRPr="00393736" w:rsidRDefault="00393736" w:rsidP="006F0C87">
            <w:pPr>
              <w:pStyle w:val="TableContents"/>
              <w:jc w:val="right"/>
              <w:rPr>
                <w:rFonts w:ascii="Arial" w:hAnsi="Arial" w:cs="Arial"/>
                <w:sz w:val="20"/>
                <w:szCs w:val="20"/>
              </w:rPr>
            </w:pPr>
          </w:p>
        </w:tc>
      </w:tr>
      <w:tr w:rsidR="00393736" w:rsidRPr="00393736" w14:paraId="077702C9" w14:textId="77777777" w:rsidTr="006F0C87">
        <w:tc>
          <w:tcPr>
            <w:tcW w:w="3490" w:type="dxa"/>
            <w:tcBorders>
              <w:left w:val="single" w:sz="2" w:space="0" w:color="DDDDDD"/>
              <w:bottom w:val="single" w:sz="2" w:space="0" w:color="DDDDDD"/>
            </w:tcBorders>
          </w:tcPr>
          <w:p w14:paraId="0EC9B6F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Module Content need by teachers</w:t>
            </w:r>
          </w:p>
        </w:tc>
        <w:tc>
          <w:tcPr>
            <w:tcW w:w="2745" w:type="dxa"/>
            <w:vMerge/>
            <w:tcBorders>
              <w:left w:val="single" w:sz="2" w:space="0" w:color="DDDDDD"/>
            </w:tcBorders>
          </w:tcPr>
          <w:p w14:paraId="6B7CDD7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304855B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20C947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17A843F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2D433C8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15</w:t>
            </w:r>
          </w:p>
        </w:tc>
      </w:tr>
      <w:tr w:rsidR="00393736" w:rsidRPr="00393736" w14:paraId="732B7C2B" w14:textId="77777777" w:rsidTr="006F0C87">
        <w:tc>
          <w:tcPr>
            <w:tcW w:w="3490" w:type="dxa"/>
            <w:tcBorders>
              <w:left w:val="single" w:sz="2" w:space="0" w:color="DDDDDD"/>
              <w:bottom w:val="single" w:sz="2" w:space="0" w:color="DDDDDD"/>
            </w:tcBorders>
          </w:tcPr>
          <w:p w14:paraId="7BB27B6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Content and skills</w:t>
            </w:r>
          </w:p>
        </w:tc>
        <w:tc>
          <w:tcPr>
            <w:tcW w:w="2745" w:type="dxa"/>
            <w:vMerge/>
            <w:tcBorders>
              <w:left w:val="single" w:sz="2" w:space="0" w:color="DDDDDD"/>
            </w:tcBorders>
          </w:tcPr>
          <w:p w14:paraId="0935534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DC950A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0F288398"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04D1F0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49AC545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4E51A4C9" w14:textId="77777777" w:rsidTr="006F0C87">
        <w:tc>
          <w:tcPr>
            <w:tcW w:w="3490" w:type="dxa"/>
            <w:tcBorders>
              <w:left w:val="single" w:sz="2" w:space="0" w:color="DDDDDD"/>
              <w:bottom w:val="single" w:sz="2" w:space="0" w:color="DDDDDD"/>
            </w:tcBorders>
            <w:shd w:val="clear" w:color="auto" w:fill="EEEEEE"/>
          </w:tcPr>
          <w:p w14:paraId="6647682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Core : importance of</w:t>
            </w:r>
          </w:p>
        </w:tc>
        <w:tc>
          <w:tcPr>
            <w:tcW w:w="2745" w:type="dxa"/>
            <w:vMerge/>
            <w:tcBorders>
              <w:left w:val="single" w:sz="2" w:space="0" w:color="DDDDDD"/>
            </w:tcBorders>
            <w:shd w:val="clear" w:color="auto" w:fill="EEEEEE"/>
          </w:tcPr>
          <w:p w14:paraId="5C741ED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DD053E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6C2ED1E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B376BC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782F6C1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7A320DB4" w14:textId="77777777" w:rsidTr="006F0C87">
        <w:tc>
          <w:tcPr>
            <w:tcW w:w="3490" w:type="dxa"/>
            <w:tcBorders>
              <w:left w:val="single" w:sz="2" w:space="0" w:color="DDDDDD"/>
              <w:bottom w:val="single" w:sz="2" w:space="0" w:color="DDDDDD"/>
            </w:tcBorders>
          </w:tcPr>
          <w:p w14:paraId="2D2BA05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Culture shift teaching</w:t>
            </w:r>
          </w:p>
        </w:tc>
        <w:tc>
          <w:tcPr>
            <w:tcW w:w="2745" w:type="dxa"/>
            <w:vMerge/>
            <w:tcBorders>
              <w:left w:val="single" w:sz="2" w:space="0" w:color="DDDDDD"/>
            </w:tcBorders>
          </w:tcPr>
          <w:p w14:paraId="7DB303F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7AC1D2E"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00E850B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B6C6E1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39C94A3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296EC013" w14:textId="77777777" w:rsidTr="006F0C87">
        <w:tc>
          <w:tcPr>
            <w:tcW w:w="3490" w:type="dxa"/>
            <w:tcBorders>
              <w:left w:val="single" w:sz="2" w:space="0" w:color="DDDDDD"/>
              <w:bottom w:val="single" w:sz="2" w:space="0" w:color="DDDDDD"/>
            </w:tcBorders>
          </w:tcPr>
          <w:p w14:paraId="6D44A2C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Module Content pressure</w:t>
            </w:r>
          </w:p>
        </w:tc>
        <w:tc>
          <w:tcPr>
            <w:tcW w:w="2745" w:type="dxa"/>
            <w:vMerge/>
            <w:tcBorders>
              <w:left w:val="single" w:sz="2" w:space="0" w:color="DDDDDD"/>
            </w:tcBorders>
          </w:tcPr>
          <w:p w14:paraId="7D25BE2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BFDB75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F703DB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4FFD0BB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39B6808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7D18900B" w14:textId="77777777" w:rsidTr="006F0C87">
        <w:tc>
          <w:tcPr>
            <w:tcW w:w="3490" w:type="dxa"/>
            <w:tcBorders>
              <w:left w:val="single" w:sz="2" w:space="0" w:color="DDDDDD"/>
              <w:bottom w:val="single" w:sz="2" w:space="0" w:color="DDDDDD"/>
            </w:tcBorders>
            <w:shd w:val="clear" w:color="auto" w:fill="EEEEEE"/>
          </w:tcPr>
          <w:p w14:paraId="18CB4F6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Tension content and other agendas</w:t>
            </w:r>
          </w:p>
        </w:tc>
        <w:tc>
          <w:tcPr>
            <w:tcW w:w="2745" w:type="dxa"/>
            <w:vMerge/>
            <w:tcBorders>
              <w:left w:val="single" w:sz="2" w:space="0" w:color="DDDDDD"/>
            </w:tcBorders>
            <w:shd w:val="clear" w:color="auto" w:fill="EEEEEE"/>
          </w:tcPr>
          <w:p w14:paraId="4AB0F1B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136ADA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9B1099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7CA57A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7891669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17899FD4" w14:textId="77777777" w:rsidTr="006F0C87">
        <w:tc>
          <w:tcPr>
            <w:tcW w:w="3490" w:type="dxa"/>
            <w:tcBorders>
              <w:left w:val="single" w:sz="2" w:space="0" w:color="DDDDDD"/>
              <w:bottom w:val="single" w:sz="2" w:space="0" w:color="DDDDDD"/>
            </w:tcBorders>
            <w:shd w:val="clear" w:color="auto" w:fill="EEEEEE"/>
          </w:tcPr>
          <w:p w14:paraId="325AE39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Practice based design Clinic</w:t>
            </w:r>
          </w:p>
        </w:tc>
        <w:tc>
          <w:tcPr>
            <w:tcW w:w="2745" w:type="dxa"/>
            <w:vMerge/>
            <w:tcBorders>
              <w:left w:val="single" w:sz="2" w:space="0" w:color="DDDDDD"/>
            </w:tcBorders>
            <w:shd w:val="clear" w:color="auto" w:fill="EEEEEE"/>
          </w:tcPr>
          <w:p w14:paraId="63DAF45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1DCCCE7"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6EAD9A3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1501800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10</w:t>
            </w:r>
          </w:p>
        </w:tc>
        <w:tc>
          <w:tcPr>
            <w:tcW w:w="1276" w:type="dxa"/>
            <w:tcBorders>
              <w:left w:val="single" w:sz="2" w:space="0" w:color="DDDDDD"/>
              <w:bottom w:val="single" w:sz="2" w:space="0" w:color="DDDDDD"/>
              <w:right w:val="single" w:sz="2" w:space="0" w:color="DDDDDD"/>
            </w:tcBorders>
            <w:shd w:val="clear" w:color="auto" w:fill="EEEEEE"/>
          </w:tcPr>
          <w:p w14:paraId="75995CC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41</w:t>
            </w:r>
          </w:p>
        </w:tc>
      </w:tr>
      <w:tr w:rsidR="00393736" w:rsidRPr="00393736" w14:paraId="0FAF723F" w14:textId="77777777" w:rsidTr="006F0C87">
        <w:tc>
          <w:tcPr>
            <w:tcW w:w="3490" w:type="dxa"/>
            <w:tcBorders>
              <w:left w:val="single" w:sz="2" w:space="0" w:color="DDDDDD"/>
              <w:bottom w:val="single" w:sz="2" w:space="0" w:color="DDDDDD"/>
            </w:tcBorders>
          </w:tcPr>
          <w:p w14:paraId="15C557F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Problem based learning</w:t>
            </w:r>
          </w:p>
        </w:tc>
        <w:tc>
          <w:tcPr>
            <w:tcW w:w="2745" w:type="dxa"/>
            <w:vMerge/>
            <w:tcBorders>
              <w:left w:val="single" w:sz="2" w:space="0" w:color="DDDDDD"/>
            </w:tcBorders>
          </w:tcPr>
          <w:p w14:paraId="4ECC714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1423774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tcPr>
          <w:p w14:paraId="2FA2E21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16C942C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4213E11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17</w:t>
            </w:r>
          </w:p>
        </w:tc>
      </w:tr>
      <w:tr w:rsidR="00393736" w:rsidRPr="00393736" w14:paraId="55FB62B2" w14:textId="77777777" w:rsidTr="006F0C87">
        <w:tc>
          <w:tcPr>
            <w:tcW w:w="3490" w:type="dxa"/>
            <w:tcBorders>
              <w:left w:val="single" w:sz="2" w:space="0" w:color="DDDDDD"/>
              <w:bottom w:val="single" w:sz="2" w:space="0" w:color="DDDDDD"/>
            </w:tcBorders>
          </w:tcPr>
          <w:p w14:paraId="58BE9F85"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School</w:t>
            </w:r>
          </w:p>
        </w:tc>
        <w:tc>
          <w:tcPr>
            <w:tcW w:w="2745" w:type="dxa"/>
            <w:vMerge/>
            <w:tcBorders>
              <w:left w:val="single" w:sz="2" w:space="0" w:color="DDDDDD"/>
            </w:tcBorders>
          </w:tcPr>
          <w:p w14:paraId="23FA99D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FECB5DB"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tcPr>
          <w:p w14:paraId="170969D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 xml:space="preserve">PRF: ss7.2.1; 7.2.2.; 7.3;7.4. </w:t>
            </w:r>
          </w:p>
        </w:tc>
        <w:tc>
          <w:tcPr>
            <w:tcW w:w="1417" w:type="dxa"/>
            <w:tcBorders>
              <w:left w:val="single" w:sz="2" w:space="0" w:color="DDDDDD"/>
              <w:bottom w:val="single" w:sz="2" w:space="0" w:color="DDDDDD"/>
            </w:tcBorders>
          </w:tcPr>
          <w:p w14:paraId="5F2E9B1F"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tcPr>
          <w:p w14:paraId="1A01E6AE" w14:textId="77777777" w:rsidR="00393736" w:rsidRPr="00393736" w:rsidRDefault="00393736" w:rsidP="006F0C87">
            <w:pPr>
              <w:pStyle w:val="TableContents"/>
              <w:jc w:val="right"/>
              <w:rPr>
                <w:rFonts w:ascii="Arial" w:hAnsi="Arial" w:cs="Arial"/>
                <w:sz w:val="20"/>
                <w:szCs w:val="20"/>
              </w:rPr>
            </w:pPr>
          </w:p>
        </w:tc>
      </w:tr>
      <w:tr w:rsidR="00393736" w:rsidRPr="00393736" w14:paraId="5323C076" w14:textId="77777777" w:rsidTr="006F0C87">
        <w:tc>
          <w:tcPr>
            <w:tcW w:w="3490" w:type="dxa"/>
            <w:tcBorders>
              <w:left w:val="single" w:sz="2" w:space="0" w:color="DDDDDD"/>
              <w:bottom w:val="single" w:sz="2" w:space="0" w:color="DDDDDD"/>
            </w:tcBorders>
            <w:shd w:val="clear" w:color="auto" w:fill="EEEEEE"/>
          </w:tcPr>
          <w:p w14:paraId="28063D6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Culture and identity</w:t>
            </w:r>
          </w:p>
        </w:tc>
        <w:tc>
          <w:tcPr>
            <w:tcW w:w="2745" w:type="dxa"/>
            <w:vMerge/>
            <w:tcBorders>
              <w:left w:val="single" w:sz="2" w:space="0" w:color="DDDDDD"/>
            </w:tcBorders>
            <w:shd w:val="clear" w:color="auto" w:fill="EEEEEE"/>
          </w:tcPr>
          <w:p w14:paraId="126F549E"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40DF8F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3714946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B8D7B7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23</w:t>
            </w:r>
          </w:p>
        </w:tc>
        <w:tc>
          <w:tcPr>
            <w:tcW w:w="1276" w:type="dxa"/>
            <w:tcBorders>
              <w:left w:val="single" w:sz="2" w:space="0" w:color="DDDDDD"/>
              <w:bottom w:val="single" w:sz="2" w:space="0" w:color="DDDDDD"/>
              <w:right w:val="single" w:sz="2" w:space="0" w:color="DDDDDD"/>
            </w:tcBorders>
            <w:shd w:val="clear" w:color="auto" w:fill="EEEEEE"/>
          </w:tcPr>
          <w:p w14:paraId="6DC5AA5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68</w:t>
            </w:r>
          </w:p>
        </w:tc>
      </w:tr>
      <w:tr w:rsidR="00393736" w:rsidRPr="00393736" w14:paraId="6940B91C" w14:textId="77777777" w:rsidTr="006F0C87">
        <w:tc>
          <w:tcPr>
            <w:tcW w:w="3490" w:type="dxa"/>
            <w:tcBorders>
              <w:left w:val="single" w:sz="2" w:space="0" w:color="DDDDDD"/>
              <w:bottom w:val="single" w:sz="2" w:space="0" w:color="DDDDDD"/>
            </w:tcBorders>
          </w:tcPr>
          <w:p w14:paraId="1D9B636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in interdisciplinary context</w:t>
            </w:r>
          </w:p>
        </w:tc>
        <w:tc>
          <w:tcPr>
            <w:tcW w:w="2745" w:type="dxa"/>
            <w:vMerge/>
            <w:tcBorders>
              <w:left w:val="single" w:sz="2" w:space="0" w:color="DDDDDD"/>
            </w:tcBorders>
          </w:tcPr>
          <w:p w14:paraId="6D406B6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B64851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A51976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729DCB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4C04A52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r>
      <w:tr w:rsidR="00393736" w:rsidRPr="00393736" w14:paraId="43E7BF17" w14:textId="77777777" w:rsidTr="006F0C87">
        <w:tc>
          <w:tcPr>
            <w:tcW w:w="3490" w:type="dxa"/>
            <w:tcBorders>
              <w:left w:val="single" w:sz="2" w:space="0" w:color="DDDDDD"/>
              <w:bottom w:val="single" w:sz="2" w:space="0" w:color="DDDDDD"/>
            </w:tcBorders>
            <w:shd w:val="clear" w:color="auto" w:fill="EEEEEE"/>
          </w:tcPr>
          <w:p w14:paraId="730A4F3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partnerships</w:t>
            </w:r>
          </w:p>
        </w:tc>
        <w:tc>
          <w:tcPr>
            <w:tcW w:w="2745" w:type="dxa"/>
            <w:vMerge/>
            <w:tcBorders>
              <w:left w:val="single" w:sz="2" w:space="0" w:color="DDDDDD"/>
            </w:tcBorders>
            <w:shd w:val="clear" w:color="auto" w:fill="EEEEEE"/>
          </w:tcPr>
          <w:p w14:paraId="6D8F093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360667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4475F4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11E4F2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02CE6AE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r>
      <w:tr w:rsidR="00393736" w:rsidRPr="00393736" w14:paraId="7E9ABE7D" w14:textId="77777777" w:rsidTr="006F0C87">
        <w:tc>
          <w:tcPr>
            <w:tcW w:w="3490" w:type="dxa"/>
            <w:tcBorders>
              <w:left w:val="single" w:sz="2" w:space="0" w:color="DDDDDD"/>
              <w:bottom w:val="single" w:sz="2" w:space="0" w:color="DDDDDD"/>
            </w:tcBorders>
            <w:shd w:val="clear" w:color="auto" w:fill="EEEEEE"/>
          </w:tcPr>
          <w:p w14:paraId="2C9AA9E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relationship to college</w:t>
            </w:r>
          </w:p>
        </w:tc>
        <w:tc>
          <w:tcPr>
            <w:tcW w:w="2745" w:type="dxa"/>
            <w:vMerge/>
            <w:tcBorders>
              <w:left w:val="single" w:sz="2" w:space="0" w:color="DDDDDD"/>
            </w:tcBorders>
            <w:shd w:val="clear" w:color="auto" w:fill="EEEEEE"/>
          </w:tcPr>
          <w:p w14:paraId="447524F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D18D37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1C75D9C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0311ED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13</w:t>
            </w:r>
          </w:p>
        </w:tc>
        <w:tc>
          <w:tcPr>
            <w:tcW w:w="1276" w:type="dxa"/>
            <w:tcBorders>
              <w:left w:val="single" w:sz="2" w:space="0" w:color="DDDDDD"/>
              <w:bottom w:val="single" w:sz="2" w:space="0" w:color="DDDDDD"/>
              <w:right w:val="single" w:sz="2" w:space="0" w:color="DDDDDD"/>
            </w:tcBorders>
            <w:shd w:val="clear" w:color="auto" w:fill="EEEEEE"/>
          </w:tcPr>
          <w:p w14:paraId="277996C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57</w:t>
            </w:r>
          </w:p>
        </w:tc>
      </w:tr>
      <w:tr w:rsidR="00393736" w:rsidRPr="00393736" w14:paraId="70A019C0" w14:textId="77777777" w:rsidTr="006F0C87">
        <w:tc>
          <w:tcPr>
            <w:tcW w:w="3490" w:type="dxa"/>
            <w:tcBorders>
              <w:left w:val="single" w:sz="2" w:space="0" w:color="DDDDDD"/>
              <w:bottom w:val="single" w:sz="2" w:space="0" w:color="DDDDDD"/>
            </w:tcBorders>
            <w:shd w:val="clear" w:color="auto" w:fill="EEEEEE"/>
          </w:tcPr>
          <w:p w14:paraId="118AABF6"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resource</w:t>
            </w:r>
          </w:p>
        </w:tc>
        <w:tc>
          <w:tcPr>
            <w:tcW w:w="2745" w:type="dxa"/>
            <w:vMerge/>
            <w:tcBorders>
              <w:left w:val="single" w:sz="2" w:space="0" w:color="DDDDDD"/>
            </w:tcBorders>
            <w:shd w:val="clear" w:color="auto" w:fill="EEEEEE"/>
          </w:tcPr>
          <w:p w14:paraId="0FF3BB3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462AF7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8F2F4DA"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BA809A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4886A62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5A614DC7" w14:textId="77777777" w:rsidTr="006F0C87">
        <w:tc>
          <w:tcPr>
            <w:tcW w:w="3490" w:type="dxa"/>
            <w:tcBorders>
              <w:left w:val="single" w:sz="2" w:space="0" w:color="DDDDDD"/>
              <w:bottom w:val="single" w:sz="2" w:space="0" w:color="DDDDDD"/>
            </w:tcBorders>
            <w:shd w:val="clear" w:color="auto" w:fill="EEEEEE"/>
          </w:tcPr>
          <w:p w14:paraId="4908CBD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School support</w:t>
            </w:r>
          </w:p>
        </w:tc>
        <w:tc>
          <w:tcPr>
            <w:tcW w:w="2745" w:type="dxa"/>
            <w:vMerge/>
            <w:tcBorders>
              <w:left w:val="single" w:sz="2" w:space="0" w:color="DDDDDD"/>
            </w:tcBorders>
            <w:shd w:val="clear" w:color="auto" w:fill="EEEEEE"/>
          </w:tcPr>
          <w:p w14:paraId="717FEE82"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3EDEC68"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6993434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1899B9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2721E52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4F31FA24" w14:textId="77777777" w:rsidTr="006F0C87">
        <w:tc>
          <w:tcPr>
            <w:tcW w:w="3490" w:type="dxa"/>
            <w:tcBorders>
              <w:left w:val="single" w:sz="2" w:space="0" w:color="DDDDDD"/>
              <w:bottom w:val="single" w:sz="2" w:space="0" w:color="DDDDDD"/>
            </w:tcBorders>
          </w:tcPr>
          <w:p w14:paraId="61F1BD1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Subject benchmarks</w:t>
            </w:r>
          </w:p>
        </w:tc>
        <w:tc>
          <w:tcPr>
            <w:tcW w:w="2745" w:type="dxa"/>
            <w:vMerge/>
            <w:tcBorders>
              <w:left w:val="single" w:sz="2" w:space="0" w:color="DDDDDD"/>
            </w:tcBorders>
          </w:tcPr>
          <w:p w14:paraId="11F0B1A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9DBAB9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B524626"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E5A038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tcPr>
          <w:p w14:paraId="5E466F8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1292FAEC" w14:textId="77777777" w:rsidTr="006F0C87">
        <w:tc>
          <w:tcPr>
            <w:tcW w:w="3490" w:type="dxa"/>
            <w:tcBorders>
              <w:left w:val="single" w:sz="2" w:space="0" w:color="DDDDDD"/>
              <w:bottom w:val="single" w:sz="2" w:space="0" w:color="DDDDDD"/>
            </w:tcBorders>
          </w:tcPr>
          <w:p w14:paraId="4B561E5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Size</w:t>
            </w:r>
          </w:p>
        </w:tc>
        <w:tc>
          <w:tcPr>
            <w:tcW w:w="2745" w:type="dxa"/>
            <w:vMerge/>
            <w:tcBorders>
              <w:left w:val="single" w:sz="2" w:space="0" w:color="DDDDDD"/>
            </w:tcBorders>
          </w:tcPr>
          <w:p w14:paraId="41D661E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8765ED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tcPr>
          <w:p w14:paraId="50203C7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FBD429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15</w:t>
            </w:r>
          </w:p>
        </w:tc>
        <w:tc>
          <w:tcPr>
            <w:tcW w:w="1276" w:type="dxa"/>
            <w:tcBorders>
              <w:left w:val="single" w:sz="2" w:space="0" w:color="DDDDDD"/>
              <w:bottom w:val="single" w:sz="2" w:space="0" w:color="DDDDDD"/>
              <w:right w:val="single" w:sz="2" w:space="0" w:color="DDDDDD"/>
            </w:tcBorders>
          </w:tcPr>
          <w:p w14:paraId="1AB0FAD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30</w:t>
            </w:r>
          </w:p>
        </w:tc>
      </w:tr>
      <w:tr w:rsidR="00393736" w:rsidRPr="00393736" w14:paraId="5DFACF68" w14:textId="77777777" w:rsidTr="006F0C87">
        <w:tc>
          <w:tcPr>
            <w:tcW w:w="3490" w:type="dxa"/>
            <w:tcBorders>
              <w:left w:val="single" w:sz="2" w:space="0" w:color="DDDDDD"/>
              <w:bottom w:val="single" w:sz="2" w:space="0" w:color="DDDDDD"/>
            </w:tcBorders>
            <w:shd w:val="clear" w:color="auto" w:fill="EEEEEE"/>
          </w:tcPr>
          <w:p w14:paraId="2BB0DECA"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Team</w:t>
            </w:r>
          </w:p>
        </w:tc>
        <w:tc>
          <w:tcPr>
            <w:tcW w:w="2745" w:type="dxa"/>
            <w:vMerge/>
            <w:tcBorders>
              <w:left w:val="single" w:sz="2" w:space="0" w:color="DDDDDD"/>
            </w:tcBorders>
            <w:shd w:val="clear" w:color="auto" w:fill="EEEEEE"/>
          </w:tcPr>
          <w:p w14:paraId="3B5FC7E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48568B9" w14:textId="77777777" w:rsidR="00393736" w:rsidRPr="00393736" w:rsidRDefault="00393736" w:rsidP="006F0C87">
            <w:pPr>
              <w:pStyle w:val="TableContents"/>
              <w:jc w:val="right"/>
              <w:rPr>
                <w:rFonts w:ascii="Arial" w:hAnsi="Arial" w:cs="Arial"/>
                <w:sz w:val="20"/>
                <w:szCs w:val="20"/>
              </w:rPr>
            </w:pPr>
          </w:p>
        </w:tc>
        <w:tc>
          <w:tcPr>
            <w:tcW w:w="1985" w:type="dxa"/>
            <w:vMerge w:val="restart"/>
            <w:tcBorders>
              <w:left w:val="single" w:sz="2" w:space="0" w:color="DDDDDD"/>
              <w:right w:val="single" w:sz="2" w:space="0" w:color="DDDDDD"/>
            </w:tcBorders>
            <w:shd w:val="clear" w:color="auto" w:fill="EEEEEE"/>
          </w:tcPr>
          <w:p w14:paraId="6D0F5FB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 xml:space="preserve">PRF: Chapter 7 and ss8.1, 8.2. </w:t>
            </w:r>
          </w:p>
        </w:tc>
        <w:tc>
          <w:tcPr>
            <w:tcW w:w="1417" w:type="dxa"/>
            <w:tcBorders>
              <w:left w:val="single" w:sz="2" w:space="0" w:color="DDDDDD"/>
              <w:bottom w:val="single" w:sz="2" w:space="0" w:color="DDDDDD"/>
            </w:tcBorders>
            <w:shd w:val="clear" w:color="auto" w:fill="EEEEEE"/>
          </w:tcPr>
          <w:p w14:paraId="01D6E504"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shd w:val="clear" w:color="auto" w:fill="EEEEEE"/>
          </w:tcPr>
          <w:p w14:paraId="2C1C8A85" w14:textId="77777777" w:rsidR="00393736" w:rsidRPr="00393736" w:rsidRDefault="00393736" w:rsidP="006F0C87">
            <w:pPr>
              <w:pStyle w:val="TableContents"/>
              <w:jc w:val="right"/>
              <w:rPr>
                <w:rFonts w:ascii="Arial" w:hAnsi="Arial" w:cs="Arial"/>
                <w:sz w:val="20"/>
                <w:szCs w:val="20"/>
              </w:rPr>
            </w:pPr>
          </w:p>
        </w:tc>
      </w:tr>
      <w:tr w:rsidR="00393736" w:rsidRPr="00393736" w14:paraId="6D6EDBED" w14:textId="77777777" w:rsidTr="006F0C87">
        <w:tc>
          <w:tcPr>
            <w:tcW w:w="3490" w:type="dxa"/>
            <w:tcBorders>
              <w:left w:val="single" w:sz="2" w:space="0" w:color="DDDDDD"/>
              <w:bottom w:val="single" w:sz="2" w:space="0" w:color="DDDDDD"/>
            </w:tcBorders>
            <w:shd w:val="clear" w:color="auto" w:fill="EEEEEE"/>
          </w:tcPr>
          <w:p w14:paraId="79F3B75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attitude</w:t>
            </w:r>
          </w:p>
        </w:tc>
        <w:tc>
          <w:tcPr>
            <w:tcW w:w="2745" w:type="dxa"/>
            <w:vMerge/>
            <w:tcBorders>
              <w:left w:val="single" w:sz="2" w:space="0" w:color="DDDDDD"/>
            </w:tcBorders>
            <w:shd w:val="clear" w:color="auto" w:fill="EEEEEE"/>
          </w:tcPr>
          <w:p w14:paraId="15CEBB9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700328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1D9E48BF"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C597E9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705AFB7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4D6A7D6B" w14:textId="77777777" w:rsidTr="006F0C87">
        <w:tc>
          <w:tcPr>
            <w:tcW w:w="3490" w:type="dxa"/>
            <w:tcBorders>
              <w:left w:val="single" w:sz="2" w:space="0" w:color="DDDDDD"/>
              <w:bottom w:val="single" w:sz="2" w:space="0" w:color="DDDDDD"/>
            </w:tcBorders>
          </w:tcPr>
          <w:p w14:paraId="50F7F42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capability</w:t>
            </w:r>
          </w:p>
        </w:tc>
        <w:tc>
          <w:tcPr>
            <w:tcW w:w="2745" w:type="dxa"/>
            <w:vMerge/>
            <w:tcBorders>
              <w:left w:val="single" w:sz="2" w:space="0" w:color="DDDDDD"/>
            </w:tcBorders>
          </w:tcPr>
          <w:p w14:paraId="535D788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43E55AB0"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0D4D9A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10AE624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tcPr>
          <w:p w14:paraId="0CFC7D9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r>
      <w:tr w:rsidR="00393736" w:rsidRPr="00393736" w14:paraId="5066A0EB" w14:textId="77777777" w:rsidTr="006F0C87">
        <w:tc>
          <w:tcPr>
            <w:tcW w:w="3490" w:type="dxa"/>
            <w:tcBorders>
              <w:left w:val="single" w:sz="2" w:space="0" w:color="DDDDDD"/>
              <w:bottom w:val="single" w:sz="2" w:space="0" w:color="DDDDDD"/>
            </w:tcBorders>
            <w:shd w:val="clear" w:color="auto" w:fill="EEEEEE"/>
          </w:tcPr>
          <w:p w14:paraId="095A45D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changes</w:t>
            </w:r>
          </w:p>
        </w:tc>
        <w:tc>
          <w:tcPr>
            <w:tcW w:w="2745" w:type="dxa"/>
            <w:vMerge/>
            <w:tcBorders>
              <w:left w:val="single" w:sz="2" w:space="0" w:color="DDDDDD"/>
            </w:tcBorders>
            <w:shd w:val="clear" w:color="auto" w:fill="EEEEEE"/>
          </w:tcPr>
          <w:p w14:paraId="673720E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8F5194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DD87656"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440B98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721951D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16</w:t>
            </w:r>
          </w:p>
        </w:tc>
      </w:tr>
      <w:tr w:rsidR="00393736" w:rsidRPr="00393736" w14:paraId="0E09F59B" w14:textId="77777777" w:rsidTr="006F0C87">
        <w:tc>
          <w:tcPr>
            <w:tcW w:w="3490" w:type="dxa"/>
            <w:tcBorders>
              <w:left w:val="single" w:sz="2" w:space="0" w:color="DDDDDD"/>
              <w:bottom w:val="single" w:sz="2" w:space="0" w:color="DDDDDD"/>
            </w:tcBorders>
          </w:tcPr>
          <w:p w14:paraId="0C38272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seniority</w:t>
            </w:r>
          </w:p>
        </w:tc>
        <w:tc>
          <w:tcPr>
            <w:tcW w:w="2745" w:type="dxa"/>
            <w:vMerge/>
            <w:tcBorders>
              <w:left w:val="single" w:sz="2" w:space="0" w:color="DDDDDD"/>
            </w:tcBorders>
          </w:tcPr>
          <w:p w14:paraId="6143879E"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76B6A0EC"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748667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0F907A7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34B7E64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2FF7E873" w14:textId="77777777" w:rsidTr="006F0C87">
        <w:tc>
          <w:tcPr>
            <w:tcW w:w="3490" w:type="dxa"/>
            <w:tcBorders>
              <w:left w:val="single" w:sz="2" w:space="0" w:color="DDDDDD"/>
              <w:bottom w:val="single" w:sz="2" w:space="0" w:color="DDDDDD"/>
            </w:tcBorders>
            <w:shd w:val="clear" w:color="auto" w:fill="EEEEEE"/>
          </w:tcPr>
          <w:p w14:paraId="2F1FFD8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lastRenderedPageBreak/>
              <w:t>Team conflict</w:t>
            </w:r>
          </w:p>
        </w:tc>
        <w:tc>
          <w:tcPr>
            <w:tcW w:w="2745" w:type="dxa"/>
            <w:vMerge/>
            <w:tcBorders>
              <w:left w:val="single" w:sz="2" w:space="0" w:color="DDDDDD"/>
            </w:tcBorders>
            <w:shd w:val="clear" w:color="auto" w:fill="EEEEEE"/>
          </w:tcPr>
          <w:p w14:paraId="794EAD3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A57EA26"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9BEA59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1E49B3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17</w:t>
            </w:r>
          </w:p>
        </w:tc>
        <w:tc>
          <w:tcPr>
            <w:tcW w:w="1276" w:type="dxa"/>
            <w:tcBorders>
              <w:left w:val="single" w:sz="2" w:space="0" w:color="DDDDDD"/>
              <w:bottom w:val="single" w:sz="2" w:space="0" w:color="DDDDDD"/>
              <w:right w:val="single" w:sz="2" w:space="0" w:color="DDDDDD"/>
            </w:tcBorders>
            <w:shd w:val="clear" w:color="auto" w:fill="EEEEEE"/>
          </w:tcPr>
          <w:p w14:paraId="5A23F19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64</w:t>
            </w:r>
          </w:p>
        </w:tc>
      </w:tr>
      <w:tr w:rsidR="00393736" w:rsidRPr="00393736" w14:paraId="6A201012" w14:textId="77777777" w:rsidTr="006F0C87">
        <w:tc>
          <w:tcPr>
            <w:tcW w:w="3490" w:type="dxa"/>
            <w:tcBorders>
              <w:left w:val="single" w:sz="2" w:space="0" w:color="DDDDDD"/>
              <w:bottom w:val="single" w:sz="2" w:space="0" w:color="DDDDDD"/>
            </w:tcBorders>
          </w:tcPr>
          <w:p w14:paraId="549D5F4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contract</w:t>
            </w:r>
          </w:p>
        </w:tc>
        <w:tc>
          <w:tcPr>
            <w:tcW w:w="2745" w:type="dxa"/>
            <w:vMerge/>
            <w:tcBorders>
              <w:left w:val="single" w:sz="2" w:space="0" w:color="DDDDDD"/>
            </w:tcBorders>
          </w:tcPr>
          <w:p w14:paraId="345C853A"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5C6FCD86"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482C6426"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A0AD0C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3BF9683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49AF317B" w14:textId="77777777" w:rsidTr="006F0C87">
        <w:tc>
          <w:tcPr>
            <w:tcW w:w="3490" w:type="dxa"/>
            <w:tcBorders>
              <w:left w:val="single" w:sz="2" w:space="0" w:color="DDDDDD"/>
              <w:bottom w:val="single" w:sz="2" w:space="0" w:color="DDDDDD"/>
            </w:tcBorders>
            <w:shd w:val="clear" w:color="auto" w:fill="EEEEEE"/>
          </w:tcPr>
          <w:p w14:paraId="6B1579A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re module content</w:t>
            </w:r>
          </w:p>
        </w:tc>
        <w:tc>
          <w:tcPr>
            <w:tcW w:w="2745" w:type="dxa"/>
            <w:vMerge/>
            <w:tcBorders>
              <w:left w:val="single" w:sz="2" w:space="0" w:color="DDDDDD"/>
            </w:tcBorders>
            <w:shd w:val="clear" w:color="auto" w:fill="EEEEEE"/>
          </w:tcPr>
          <w:p w14:paraId="31E9B45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DB86D5B"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74830A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77F1C1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3264376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r>
      <w:tr w:rsidR="00393736" w:rsidRPr="00393736" w14:paraId="2B28B75E" w14:textId="77777777" w:rsidTr="006F0C87">
        <w:tc>
          <w:tcPr>
            <w:tcW w:w="3490" w:type="dxa"/>
            <w:tcBorders>
              <w:left w:val="single" w:sz="2" w:space="0" w:color="DDDDDD"/>
              <w:bottom w:val="single" w:sz="2" w:space="0" w:color="DDDDDD"/>
            </w:tcBorders>
          </w:tcPr>
          <w:p w14:paraId="610A1033"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decisions</w:t>
            </w:r>
          </w:p>
        </w:tc>
        <w:tc>
          <w:tcPr>
            <w:tcW w:w="2745" w:type="dxa"/>
            <w:vMerge/>
            <w:tcBorders>
              <w:left w:val="single" w:sz="2" w:space="0" w:color="DDDDDD"/>
            </w:tcBorders>
          </w:tcPr>
          <w:p w14:paraId="5A1C7088"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101602D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77818D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155D0FE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tcPr>
          <w:p w14:paraId="2E37BBB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27</w:t>
            </w:r>
          </w:p>
        </w:tc>
      </w:tr>
      <w:tr w:rsidR="00393736" w:rsidRPr="00393736" w14:paraId="0B9907C5" w14:textId="77777777" w:rsidTr="006F0C87">
        <w:tc>
          <w:tcPr>
            <w:tcW w:w="3490" w:type="dxa"/>
            <w:tcBorders>
              <w:left w:val="single" w:sz="2" w:space="0" w:color="DDDDDD"/>
              <w:bottom w:val="single" w:sz="2" w:space="0" w:color="DDDDDD"/>
            </w:tcBorders>
            <w:shd w:val="clear" w:color="auto" w:fill="EEEEEE"/>
          </w:tcPr>
          <w:p w14:paraId="540F55D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individual identity</w:t>
            </w:r>
          </w:p>
        </w:tc>
        <w:tc>
          <w:tcPr>
            <w:tcW w:w="2745" w:type="dxa"/>
            <w:vMerge/>
            <w:tcBorders>
              <w:left w:val="single" w:sz="2" w:space="0" w:color="DDDDDD"/>
            </w:tcBorders>
            <w:shd w:val="clear" w:color="auto" w:fill="EEEEEE"/>
          </w:tcPr>
          <w:p w14:paraId="6B5DA20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21EB15B"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6E86A16F"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DEC141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24CA9A9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0F4F62B4" w14:textId="77777777" w:rsidTr="006F0C87">
        <w:tc>
          <w:tcPr>
            <w:tcW w:w="3490" w:type="dxa"/>
            <w:tcBorders>
              <w:left w:val="single" w:sz="2" w:space="0" w:color="DDDDDD"/>
              <w:bottom w:val="single" w:sz="2" w:space="0" w:color="DDDDDD"/>
            </w:tcBorders>
          </w:tcPr>
          <w:p w14:paraId="08CBC88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legal identity</w:t>
            </w:r>
          </w:p>
        </w:tc>
        <w:tc>
          <w:tcPr>
            <w:tcW w:w="2745" w:type="dxa"/>
            <w:vMerge/>
            <w:tcBorders>
              <w:left w:val="single" w:sz="2" w:space="0" w:color="DDDDDD"/>
            </w:tcBorders>
          </w:tcPr>
          <w:p w14:paraId="0CD923E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14369F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124473F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72242D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c>
          <w:tcPr>
            <w:tcW w:w="1276" w:type="dxa"/>
            <w:tcBorders>
              <w:left w:val="single" w:sz="2" w:space="0" w:color="DDDDDD"/>
              <w:bottom w:val="single" w:sz="2" w:space="0" w:color="DDDDDD"/>
              <w:right w:val="single" w:sz="2" w:space="0" w:color="DDDDDD"/>
            </w:tcBorders>
          </w:tcPr>
          <w:p w14:paraId="286A411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7A59C20E" w14:textId="77777777" w:rsidTr="006F0C87">
        <w:tc>
          <w:tcPr>
            <w:tcW w:w="3490" w:type="dxa"/>
            <w:tcBorders>
              <w:left w:val="single" w:sz="2" w:space="0" w:color="DDDDDD"/>
              <w:bottom w:val="single" w:sz="2" w:space="0" w:color="DDDDDD"/>
            </w:tcBorders>
            <w:shd w:val="clear" w:color="auto" w:fill="EEEEEE"/>
          </w:tcPr>
          <w:p w14:paraId="738A3CF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makeup and impact of research groups</w:t>
            </w:r>
          </w:p>
        </w:tc>
        <w:tc>
          <w:tcPr>
            <w:tcW w:w="2745" w:type="dxa"/>
            <w:vMerge/>
            <w:tcBorders>
              <w:left w:val="single" w:sz="2" w:space="0" w:color="DDDDDD"/>
            </w:tcBorders>
            <w:shd w:val="clear" w:color="auto" w:fill="EEEEEE"/>
          </w:tcPr>
          <w:p w14:paraId="1952156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D0B7DC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3CE472EA"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319432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14</w:t>
            </w:r>
          </w:p>
        </w:tc>
        <w:tc>
          <w:tcPr>
            <w:tcW w:w="1276" w:type="dxa"/>
            <w:tcBorders>
              <w:left w:val="single" w:sz="2" w:space="0" w:color="DDDDDD"/>
              <w:bottom w:val="single" w:sz="2" w:space="0" w:color="DDDDDD"/>
              <w:right w:val="single" w:sz="2" w:space="0" w:color="DDDDDD"/>
            </w:tcBorders>
            <w:shd w:val="clear" w:color="auto" w:fill="EEEEEE"/>
          </w:tcPr>
          <w:p w14:paraId="1B32790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43</w:t>
            </w:r>
          </w:p>
        </w:tc>
      </w:tr>
      <w:tr w:rsidR="00393736" w:rsidRPr="00393736" w14:paraId="54968453" w14:textId="77777777" w:rsidTr="006F0C87">
        <w:tc>
          <w:tcPr>
            <w:tcW w:w="3490" w:type="dxa"/>
            <w:tcBorders>
              <w:left w:val="single" w:sz="2" w:space="0" w:color="DDDDDD"/>
              <w:bottom w:val="single" w:sz="2" w:space="0" w:color="DDDDDD"/>
            </w:tcBorders>
          </w:tcPr>
          <w:p w14:paraId="60767BFC" w14:textId="77777777" w:rsidR="00393736" w:rsidRPr="00393736" w:rsidRDefault="00393736" w:rsidP="006F0C87">
            <w:pPr>
              <w:spacing w:line="240" w:lineRule="auto"/>
              <w:rPr>
                <w:rFonts w:cs="Arial"/>
                <w:sz w:val="20"/>
              </w:rPr>
            </w:pPr>
            <w:r w:rsidRPr="00393736">
              <w:rPr>
                <w:rFonts w:cs="Arial"/>
                <w:sz w:val="20"/>
              </w:rPr>
              <w:t>Professional links in teaching</w:t>
            </w:r>
          </w:p>
        </w:tc>
        <w:tc>
          <w:tcPr>
            <w:tcW w:w="2745" w:type="dxa"/>
            <w:vMerge/>
            <w:tcBorders>
              <w:left w:val="single" w:sz="2" w:space="0" w:color="DDDDDD"/>
            </w:tcBorders>
          </w:tcPr>
          <w:p w14:paraId="3C7F57C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7C572FF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37D87CF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073FB06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3160407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0BFCE6B5" w14:textId="77777777" w:rsidTr="006F0C87">
        <w:tc>
          <w:tcPr>
            <w:tcW w:w="3490" w:type="dxa"/>
            <w:tcBorders>
              <w:left w:val="single" w:sz="2" w:space="0" w:color="DDDDDD"/>
              <w:bottom w:val="single" w:sz="2" w:space="0" w:color="DDDDDD"/>
            </w:tcBorders>
            <w:shd w:val="clear" w:color="auto" w:fill="EEEEEE"/>
          </w:tcPr>
          <w:p w14:paraId="2D5F559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teaching vs research</w:t>
            </w:r>
          </w:p>
        </w:tc>
        <w:tc>
          <w:tcPr>
            <w:tcW w:w="2745" w:type="dxa"/>
            <w:vMerge/>
            <w:tcBorders>
              <w:left w:val="single" w:sz="2" w:space="0" w:color="DDDDDD"/>
            </w:tcBorders>
            <w:shd w:val="clear" w:color="auto" w:fill="EEEEEE"/>
          </w:tcPr>
          <w:p w14:paraId="3D63823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D870AD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30B8916F"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3B01E4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068734B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2BA1940D" w14:textId="77777777" w:rsidTr="006F0C87">
        <w:tc>
          <w:tcPr>
            <w:tcW w:w="3490" w:type="dxa"/>
            <w:tcBorders>
              <w:left w:val="single" w:sz="2" w:space="0" w:color="DDDDDD"/>
              <w:bottom w:val="single" w:sz="2" w:space="0" w:color="DDDDDD"/>
            </w:tcBorders>
          </w:tcPr>
          <w:p w14:paraId="002B6C06" w14:textId="77777777" w:rsidR="00393736" w:rsidRPr="00393736" w:rsidRDefault="00393736" w:rsidP="006F0C87">
            <w:pPr>
              <w:spacing w:line="240" w:lineRule="auto"/>
              <w:rPr>
                <w:rFonts w:cs="Arial"/>
                <w:sz w:val="20"/>
              </w:rPr>
            </w:pPr>
            <w:r w:rsidRPr="00393736">
              <w:rPr>
                <w:rFonts w:cs="Arial"/>
                <w:sz w:val="20"/>
              </w:rPr>
              <w:t>Team contract types</w:t>
            </w:r>
          </w:p>
        </w:tc>
        <w:tc>
          <w:tcPr>
            <w:tcW w:w="2745" w:type="dxa"/>
            <w:vMerge/>
            <w:tcBorders>
              <w:left w:val="single" w:sz="2" w:space="0" w:color="DDDDDD"/>
            </w:tcBorders>
          </w:tcPr>
          <w:p w14:paraId="1CDBD37C"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384D037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7D8A655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415E792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tcPr>
          <w:p w14:paraId="605B5A3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75ACA916" w14:textId="77777777" w:rsidTr="006F0C87">
        <w:tc>
          <w:tcPr>
            <w:tcW w:w="3490" w:type="dxa"/>
            <w:tcBorders>
              <w:left w:val="single" w:sz="2" w:space="0" w:color="DDDDDD"/>
              <w:bottom w:val="single" w:sz="2" w:space="0" w:color="DDDDDD"/>
            </w:tcBorders>
            <w:shd w:val="clear" w:color="auto" w:fill="EEEEEE"/>
          </w:tcPr>
          <w:p w14:paraId="70B991E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non practitioners</w:t>
            </w:r>
          </w:p>
        </w:tc>
        <w:tc>
          <w:tcPr>
            <w:tcW w:w="2745" w:type="dxa"/>
            <w:vMerge/>
            <w:tcBorders>
              <w:left w:val="single" w:sz="2" w:space="0" w:color="DDDDDD"/>
            </w:tcBorders>
            <w:shd w:val="clear" w:color="auto" w:fill="EEEEEE"/>
          </w:tcPr>
          <w:p w14:paraId="1A1F73A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3A4CFF8"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4CB3210"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24C68E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68613EA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736D73A5" w14:textId="77777777" w:rsidTr="006F0C87">
        <w:tc>
          <w:tcPr>
            <w:tcW w:w="3490" w:type="dxa"/>
            <w:tcBorders>
              <w:left w:val="single" w:sz="2" w:space="0" w:color="DDDDDD"/>
              <w:bottom w:val="single" w:sz="2" w:space="0" w:color="DDDDDD"/>
            </w:tcBorders>
            <w:shd w:val="clear" w:color="auto" w:fill="EEEEEE"/>
          </w:tcPr>
          <w:p w14:paraId="7BDFA1D5"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research interests</w:t>
            </w:r>
          </w:p>
        </w:tc>
        <w:tc>
          <w:tcPr>
            <w:tcW w:w="2745" w:type="dxa"/>
            <w:vMerge/>
            <w:tcBorders>
              <w:left w:val="single" w:sz="2" w:space="0" w:color="DDDDDD"/>
            </w:tcBorders>
            <w:shd w:val="clear" w:color="auto" w:fill="EEEEEE"/>
          </w:tcPr>
          <w:p w14:paraId="4D50577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1E398B5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0A43BAA"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791AA2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shd w:val="clear" w:color="auto" w:fill="EEEEEE"/>
          </w:tcPr>
          <w:p w14:paraId="0A3A236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38</w:t>
            </w:r>
          </w:p>
        </w:tc>
      </w:tr>
      <w:tr w:rsidR="00393736" w:rsidRPr="00393736" w14:paraId="430E5436" w14:textId="77777777" w:rsidTr="006F0C87">
        <w:tc>
          <w:tcPr>
            <w:tcW w:w="3490" w:type="dxa"/>
            <w:tcBorders>
              <w:left w:val="single" w:sz="2" w:space="0" w:color="DDDDDD"/>
              <w:bottom w:val="single" w:sz="2" w:space="0" w:color="DDDDDD"/>
            </w:tcBorders>
            <w:shd w:val="clear" w:color="auto" w:fill="EEEEEE"/>
          </w:tcPr>
          <w:p w14:paraId="48FA6E7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vocational or academic</w:t>
            </w:r>
          </w:p>
        </w:tc>
        <w:tc>
          <w:tcPr>
            <w:tcW w:w="2745" w:type="dxa"/>
            <w:vMerge/>
            <w:tcBorders>
              <w:left w:val="single" w:sz="2" w:space="0" w:color="DDDDDD"/>
            </w:tcBorders>
            <w:shd w:val="clear" w:color="auto" w:fill="EEEEEE"/>
          </w:tcPr>
          <w:p w14:paraId="4A6D7A7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50004E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CC87A9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214C66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16</w:t>
            </w:r>
          </w:p>
        </w:tc>
        <w:tc>
          <w:tcPr>
            <w:tcW w:w="1276" w:type="dxa"/>
            <w:tcBorders>
              <w:left w:val="single" w:sz="2" w:space="0" w:color="DDDDDD"/>
              <w:bottom w:val="single" w:sz="2" w:space="0" w:color="DDDDDD"/>
              <w:right w:val="single" w:sz="2" w:space="0" w:color="DDDDDD"/>
            </w:tcBorders>
            <w:shd w:val="clear" w:color="auto" w:fill="EEEEEE"/>
          </w:tcPr>
          <w:p w14:paraId="320D4B4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58</w:t>
            </w:r>
          </w:p>
        </w:tc>
      </w:tr>
      <w:tr w:rsidR="00393736" w:rsidRPr="00393736" w14:paraId="09E4ECA3" w14:textId="77777777" w:rsidTr="006F0C87">
        <w:tc>
          <w:tcPr>
            <w:tcW w:w="3490" w:type="dxa"/>
            <w:tcBorders>
              <w:left w:val="single" w:sz="2" w:space="0" w:color="DDDDDD"/>
              <w:bottom w:val="single" w:sz="2" w:space="0" w:color="DDDDDD"/>
            </w:tcBorders>
          </w:tcPr>
          <w:p w14:paraId="17C17EE6" w14:textId="77777777" w:rsidR="00393736" w:rsidRPr="00393736" w:rsidRDefault="00393736" w:rsidP="006F0C87">
            <w:pPr>
              <w:spacing w:line="240" w:lineRule="auto"/>
              <w:rPr>
                <w:rFonts w:cs="Arial"/>
                <w:sz w:val="20"/>
              </w:rPr>
            </w:pPr>
            <w:r w:rsidRPr="00393736">
              <w:rPr>
                <w:rFonts w:cs="Arial"/>
                <w:sz w:val="20"/>
              </w:rPr>
              <w:t>Team staff resource diversity</w:t>
            </w:r>
          </w:p>
        </w:tc>
        <w:tc>
          <w:tcPr>
            <w:tcW w:w="2745" w:type="dxa"/>
            <w:vMerge/>
            <w:tcBorders>
              <w:left w:val="single" w:sz="2" w:space="0" w:color="DDDDDD"/>
            </w:tcBorders>
          </w:tcPr>
          <w:p w14:paraId="752E0AE1"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026444F7"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BB6688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FD4269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tcPr>
          <w:p w14:paraId="08D90D6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26</w:t>
            </w:r>
          </w:p>
        </w:tc>
      </w:tr>
      <w:tr w:rsidR="00393736" w:rsidRPr="00393736" w14:paraId="60DFA249" w14:textId="77777777" w:rsidTr="006F0C87">
        <w:tc>
          <w:tcPr>
            <w:tcW w:w="3490" w:type="dxa"/>
            <w:tcBorders>
              <w:left w:val="single" w:sz="2" w:space="0" w:color="DDDDDD"/>
              <w:bottom w:val="single" w:sz="2" w:space="0" w:color="DDDDDD"/>
            </w:tcBorders>
          </w:tcPr>
          <w:p w14:paraId="2E56DB1E" w14:textId="77777777" w:rsidR="00393736" w:rsidRPr="00393736" w:rsidRDefault="00393736" w:rsidP="006F0C87">
            <w:pPr>
              <w:spacing w:line="240" w:lineRule="auto"/>
              <w:rPr>
                <w:rFonts w:cs="Arial"/>
                <w:sz w:val="20"/>
              </w:rPr>
            </w:pPr>
            <w:r w:rsidRPr="00393736">
              <w:rPr>
                <w:rFonts w:cs="Arial"/>
                <w:sz w:val="20"/>
              </w:rPr>
              <w:t>Team Teaching allocation to degree</w:t>
            </w:r>
          </w:p>
        </w:tc>
        <w:tc>
          <w:tcPr>
            <w:tcW w:w="2745" w:type="dxa"/>
            <w:vMerge/>
            <w:tcBorders>
              <w:left w:val="single" w:sz="2" w:space="0" w:color="DDDDDD"/>
            </w:tcBorders>
          </w:tcPr>
          <w:p w14:paraId="5520E6B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6A3ED12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06EA3EC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6378077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0EC2C3D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2EB4AB83" w14:textId="77777777" w:rsidTr="006F0C87">
        <w:tc>
          <w:tcPr>
            <w:tcW w:w="3490" w:type="dxa"/>
            <w:tcBorders>
              <w:left w:val="single" w:sz="2" w:space="0" w:color="DDDDDD"/>
              <w:bottom w:val="single" w:sz="2" w:space="0" w:color="DDDDDD"/>
            </w:tcBorders>
            <w:shd w:val="clear" w:color="auto" w:fill="EEEEEE"/>
          </w:tcPr>
          <w:p w14:paraId="7E61B78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wellbeing</w:t>
            </w:r>
          </w:p>
        </w:tc>
        <w:tc>
          <w:tcPr>
            <w:tcW w:w="2745" w:type="dxa"/>
            <w:vMerge/>
            <w:tcBorders>
              <w:left w:val="single" w:sz="2" w:space="0" w:color="DDDDDD"/>
            </w:tcBorders>
            <w:shd w:val="clear" w:color="auto" w:fill="EEEEEE"/>
          </w:tcPr>
          <w:p w14:paraId="05CB0DFD"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9E4694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AA7450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E10B40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11D836A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176F84B0" w14:textId="77777777" w:rsidTr="006F0C87">
        <w:tc>
          <w:tcPr>
            <w:tcW w:w="3490" w:type="dxa"/>
            <w:tcBorders>
              <w:left w:val="single" w:sz="2" w:space="0" w:color="DDDDDD"/>
              <w:bottom w:val="single" w:sz="2" w:space="0" w:color="DDDDDD"/>
            </w:tcBorders>
            <w:shd w:val="clear" w:color="auto" w:fill="EEEEEE"/>
          </w:tcPr>
          <w:p w14:paraId="64247F1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Team values</w:t>
            </w:r>
          </w:p>
        </w:tc>
        <w:tc>
          <w:tcPr>
            <w:tcW w:w="2745" w:type="dxa"/>
            <w:vMerge/>
            <w:tcBorders>
              <w:left w:val="single" w:sz="2" w:space="0" w:color="DDDDDD"/>
            </w:tcBorders>
            <w:shd w:val="clear" w:color="auto" w:fill="EEEEEE"/>
          </w:tcPr>
          <w:p w14:paraId="672C0ED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0420927"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065D5B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DC592D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shd w:val="clear" w:color="auto" w:fill="EEEEEE"/>
          </w:tcPr>
          <w:p w14:paraId="1F9E4FF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19</w:t>
            </w:r>
          </w:p>
        </w:tc>
      </w:tr>
      <w:tr w:rsidR="00393736" w:rsidRPr="00393736" w14:paraId="5BB66F55" w14:textId="77777777" w:rsidTr="006F0C87">
        <w:tc>
          <w:tcPr>
            <w:tcW w:w="3490" w:type="dxa"/>
            <w:tcBorders>
              <w:left w:val="single" w:sz="2" w:space="0" w:color="DDDDDD"/>
              <w:bottom w:val="single" w:sz="2" w:space="0" w:color="DDDDDD"/>
            </w:tcBorders>
            <w:shd w:val="clear" w:color="auto" w:fill="EEEEEE"/>
          </w:tcPr>
          <w:p w14:paraId="2C421D5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Research output</w:t>
            </w:r>
          </w:p>
        </w:tc>
        <w:tc>
          <w:tcPr>
            <w:tcW w:w="2745" w:type="dxa"/>
            <w:vMerge/>
            <w:tcBorders>
              <w:left w:val="single" w:sz="2" w:space="0" w:color="DDDDDD"/>
            </w:tcBorders>
            <w:shd w:val="clear" w:color="auto" w:fill="EEEEEE"/>
          </w:tcPr>
          <w:p w14:paraId="7F6D794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5D2D31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3F7FC3C"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B94411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0192118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r>
      <w:tr w:rsidR="00393736" w:rsidRPr="00393736" w14:paraId="523D8EA0" w14:textId="77777777" w:rsidTr="006F0C87">
        <w:tc>
          <w:tcPr>
            <w:tcW w:w="3490" w:type="dxa"/>
            <w:tcBorders>
              <w:left w:val="single" w:sz="2" w:space="0" w:color="DDDDDD"/>
              <w:bottom w:val="single" w:sz="2" w:space="0" w:color="DDDDDD"/>
            </w:tcBorders>
            <w:shd w:val="clear" w:color="auto" w:fill="EEEEEE"/>
          </w:tcPr>
          <w:p w14:paraId="00D9F82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Pedagogic literature</w:t>
            </w:r>
          </w:p>
        </w:tc>
        <w:tc>
          <w:tcPr>
            <w:tcW w:w="2745" w:type="dxa"/>
            <w:vMerge/>
            <w:tcBorders>
              <w:left w:val="single" w:sz="2" w:space="0" w:color="DDDDDD"/>
            </w:tcBorders>
            <w:shd w:val="clear" w:color="auto" w:fill="EEEEEE"/>
          </w:tcPr>
          <w:p w14:paraId="4512DC0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F8F8774"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04C5810"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BDB3F7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351DC5E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18</w:t>
            </w:r>
          </w:p>
        </w:tc>
      </w:tr>
      <w:tr w:rsidR="00393736" w:rsidRPr="00393736" w14:paraId="42EBBAA9" w14:textId="77777777" w:rsidTr="006F0C87">
        <w:tc>
          <w:tcPr>
            <w:tcW w:w="3490" w:type="dxa"/>
            <w:tcBorders>
              <w:left w:val="single" w:sz="2" w:space="0" w:color="DDDDDD"/>
              <w:bottom w:val="single" w:sz="2" w:space="0" w:color="DDDDDD"/>
            </w:tcBorders>
            <w:shd w:val="clear" w:color="auto" w:fill="EEEEEE"/>
          </w:tcPr>
          <w:p w14:paraId="1E955EF4"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Specific values</w:t>
            </w:r>
          </w:p>
        </w:tc>
        <w:tc>
          <w:tcPr>
            <w:tcW w:w="2745" w:type="dxa"/>
            <w:vMerge/>
            <w:tcBorders>
              <w:left w:val="single" w:sz="2" w:space="0" w:color="DDDDDD"/>
            </w:tcBorders>
            <w:shd w:val="clear" w:color="auto" w:fill="EEEEEE"/>
          </w:tcPr>
          <w:p w14:paraId="63686D6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83A4CE1"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FA4379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9F6871C"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shd w:val="clear" w:color="auto" w:fill="EEEEEE"/>
          </w:tcPr>
          <w:p w14:paraId="11AA076E" w14:textId="77777777" w:rsidR="00393736" w:rsidRPr="00393736" w:rsidRDefault="00393736" w:rsidP="006F0C87">
            <w:pPr>
              <w:pStyle w:val="TableContents"/>
              <w:jc w:val="right"/>
              <w:rPr>
                <w:rFonts w:ascii="Arial" w:hAnsi="Arial" w:cs="Arial"/>
                <w:sz w:val="20"/>
                <w:szCs w:val="20"/>
              </w:rPr>
            </w:pPr>
          </w:p>
        </w:tc>
      </w:tr>
      <w:tr w:rsidR="00393736" w:rsidRPr="00393736" w14:paraId="224A5FA4" w14:textId="77777777" w:rsidTr="006F0C87">
        <w:tc>
          <w:tcPr>
            <w:tcW w:w="3490" w:type="dxa"/>
            <w:tcBorders>
              <w:left w:val="single" w:sz="2" w:space="0" w:color="DDDDDD"/>
              <w:bottom w:val="single" w:sz="2" w:space="0" w:color="DDDDDD"/>
            </w:tcBorders>
            <w:shd w:val="clear" w:color="auto" w:fill="EEEEEE"/>
          </w:tcPr>
          <w:p w14:paraId="6864CBF8"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Social justice</w:t>
            </w:r>
          </w:p>
        </w:tc>
        <w:tc>
          <w:tcPr>
            <w:tcW w:w="2745" w:type="dxa"/>
            <w:vMerge/>
            <w:tcBorders>
              <w:left w:val="single" w:sz="2" w:space="0" w:color="DDDDDD"/>
            </w:tcBorders>
            <w:shd w:val="clear" w:color="auto" w:fill="EEEEEE"/>
          </w:tcPr>
          <w:p w14:paraId="7DF1DC7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42A4506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34AD1A5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FD7774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3807E78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5B3A2CAB" w14:textId="77777777" w:rsidTr="006F0C87">
        <w:tc>
          <w:tcPr>
            <w:tcW w:w="3490" w:type="dxa"/>
            <w:tcBorders>
              <w:left w:val="single" w:sz="2" w:space="0" w:color="DDDDDD"/>
              <w:bottom w:val="single" w:sz="2" w:space="0" w:color="DDDDDD"/>
            </w:tcBorders>
            <w:shd w:val="clear" w:color="auto" w:fill="EEEEEE"/>
          </w:tcPr>
          <w:p w14:paraId="1A43ED7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Socio-legal</w:t>
            </w:r>
          </w:p>
        </w:tc>
        <w:tc>
          <w:tcPr>
            <w:tcW w:w="2745" w:type="dxa"/>
            <w:vMerge/>
            <w:tcBorders>
              <w:left w:val="single" w:sz="2" w:space="0" w:color="DDDDDD"/>
              <w:bottom w:val="single" w:sz="2" w:space="0" w:color="DDDDDD"/>
            </w:tcBorders>
            <w:shd w:val="clear" w:color="auto" w:fill="EEEEEE"/>
          </w:tcPr>
          <w:p w14:paraId="3AFAEF9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47C62E26"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18E54DC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FE5D3A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1EF5EAB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r>
    </w:tbl>
    <w:p w14:paraId="61D0932E" w14:textId="77777777" w:rsidR="00393736" w:rsidRPr="00393736" w:rsidRDefault="00393736" w:rsidP="00393736">
      <w:pPr>
        <w:rPr>
          <w:rFonts w:cs="Arial"/>
          <w:sz w:val="20"/>
        </w:rPr>
      </w:pPr>
      <w:r w:rsidRPr="00393736">
        <w:rPr>
          <w:rFonts w:cs="Arial"/>
          <w:sz w:val="20"/>
        </w:rPr>
        <w:t>Table 4: The academic community</w:t>
      </w: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6F5234AB"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19AB3D9B"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59671A61"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636BE87B"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3DC2B07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70F7BF42"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6B71298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442C9066" w14:textId="77777777" w:rsidTr="006F0C87">
        <w:tc>
          <w:tcPr>
            <w:tcW w:w="3490" w:type="dxa"/>
            <w:tcBorders>
              <w:left w:val="single" w:sz="2" w:space="0" w:color="DDDDDD"/>
              <w:bottom w:val="single" w:sz="2" w:space="0" w:color="DDDDDD"/>
            </w:tcBorders>
            <w:shd w:val="clear" w:color="auto" w:fill="EEEEEE"/>
          </w:tcPr>
          <w:p w14:paraId="3FBB793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diversity background</w:t>
            </w:r>
          </w:p>
        </w:tc>
        <w:tc>
          <w:tcPr>
            <w:tcW w:w="2745" w:type="dxa"/>
            <w:vMerge w:val="restart"/>
            <w:tcBorders>
              <w:left w:val="single" w:sz="2" w:space="0" w:color="DDDDDD"/>
            </w:tcBorders>
            <w:shd w:val="clear" w:color="auto" w:fill="EEEEEE"/>
          </w:tcPr>
          <w:p w14:paraId="1626C90B"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The students</w:t>
            </w:r>
          </w:p>
        </w:tc>
        <w:tc>
          <w:tcPr>
            <w:tcW w:w="1984" w:type="dxa"/>
            <w:vMerge w:val="restart"/>
            <w:tcBorders>
              <w:left w:val="single" w:sz="2" w:space="0" w:color="DDDDDD"/>
              <w:right w:val="single" w:sz="2" w:space="0" w:color="DDDDDD"/>
            </w:tcBorders>
            <w:shd w:val="clear" w:color="auto" w:fill="EEEEEE"/>
          </w:tcPr>
          <w:p w14:paraId="68FB611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s6.3.</w:t>
            </w:r>
          </w:p>
        </w:tc>
        <w:tc>
          <w:tcPr>
            <w:tcW w:w="1985" w:type="dxa"/>
            <w:vMerge w:val="restart"/>
            <w:tcBorders>
              <w:left w:val="single" w:sz="2" w:space="0" w:color="DDDDDD"/>
              <w:right w:val="single" w:sz="2" w:space="0" w:color="DDDDDD"/>
            </w:tcBorders>
            <w:shd w:val="clear" w:color="auto" w:fill="EEEEEE"/>
          </w:tcPr>
          <w:p w14:paraId="0EC8B51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Chapter 8</w:t>
            </w:r>
          </w:p>
        </w:tc>
        <w:tc>
          <w:tcPr>
            <w:tcW w:w="1417" w:type="dxa"/>
            <w:tcBorders>
              <w:left w:val="single" w:sz="2" w:space="0" w:color="DDDDDD"/>
              <w:bottom w:val="single" w:sz="2" w:space="0" w:color="DDDDDD"/>
            </w:tcBorders>
            <w:shd w:val="clear" w:color="auto" w:fill="EEEEEE"/>
          </w:tcPr>
          <w:p w14:paraId="44D8890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15</w:t>
            </w:r>
          </w:p>
        </w:tc>
        <w:tc>
          <w:tcPr>
            <w:tcW w:w="1276" w:type="dxa"/>
            <w:tcBorders>
              <w:left w:val="single" w:sz="2" w:space="0" w:color="DDDDDD"/>
              <w:bottom w:val="single" w:sz="2" w:space="0" w:color="DDDDDD"/>
              <w:right w:val="single" w:sz="2" w:space="0" w:color="DDDDDD"/>
            </w:tcBorders>
            <w:shd w:val="clear" w:color="auto" w:fill="EEEEEE"/>
          </w:tcPr>
          <w:p w14:paraId="420E930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45</w:t>
            </w:r>
          </w:p>
        </w:tc>
      </w:tr>
      <w:tr w:rsidR="00393736" w:rsidRPr="00393736" w14:paraId="39A41439" w14:textId="77777777" w:rsidTr="006F0C87">
        <w:tc>
          <w:tcPr>
            <w:tcW w:w="3490" w:type="dxa"/>
            <w:tcBorders>
              <w:left w:val="single" w:sz="2" w:space="0" w:color="DDDDDD"/>
              <w:bottom w:val="single" w:sz="2" w:space="0" w:color="DDDDDD"/>
            </w:tcBorders>
          </w:tcPr>
          <w:p w14:paraId="7CAC6CBF"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lastRenderedPageBreak/>
              <w:t>Student expectations</w:t>
            </w:r>
          </w:p>
        </w:tc>
        <w:tc>
          <w:tcPr>
            <w:tcW w:w="2745" w:type="dxa"/>
            <w:vMerge/>
            <w:tcBorders>
              <w:left w:val="single" w:sz="2" w:space="0" w:color="DDDDDD"/>
            </w:tcBorders>
          </w:tcPr>
          <w:p w14:paraId="7DD4D77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695AE8A3"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F9BB18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2F6224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30</w:t>
            </w:r>
          </w:p>
        </w:tc>
        <w:tc>
          <w:tcPr>
            <w:tcW w:w="1276" w:type="dxa"/>
            <w:tcBorders>
              <w:left w:val="single" w:sz="2" w:space="0" w:color="DDDDDD"/>
              <w:bottom w:val="single" w:sz="2" w:space="0" w:color="DDDDDD"/>
              <w:right w:val="single" w:sz="2" w:space="0" w:color="DDDDDD"/>
            </w:tcBorders>
          </w:tcPr>
          <w:p w14:paraId="678D7A9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43</w:t>
            </w:r>
          </w:p>
        </w:tc>
      </w:tr>
      <w:tr w:rsidR="00393736" w:rsidRPr="00393736" w14:paraId="70777DBB" w14:textId="77777777" w:rsidTr="006F0C87">
        <w:tc>
          <w:tcPr>
            <w:tcW w:w="3490" w:type="dxa"/>
            <w:tcBorders>
              <w:left w:val="single" w:sz="2" w:space="0" w:color="DDDDDD"/>
              <w:bottom w:val="single" w:sz="2" w:space="0" w:color="DDDDDD"/>
            </w:tcBorders>
            <w:shd w:val="clear" w:color="auto" w:fill="EEEEEE"/>
          </w:tcPr>
          <w:p w14:paraId="66A898BC"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experience and engagement</w:t>
            </w:r>
          </w:p>
        </w:tc>
        <w:tc>
          <w:tcPr>
            <w:tcW w:w="2745" w:type="dxa"/>
            <w:vMerge/>
            <w:tcBorders>
              <w:left w:val="single" w:sz="2" w:space="0" w:color="DDDDDD"/>
            </w:tcBorders>
            <w:shd w:val="clear" w:color="auto" w:fill="EEEEEE"/>
          </w:tcPr>
          <w:p w14:paraId="6CF84FD1"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D1AF7DF"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5EA3CBB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CCA79E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22</w:t>
            </w:r>
          </w:p>
        </w:tc>
        <w:tc>
          <w:tcPr>
            <w:tcW w:w="1276" w:type="dxa"/>
            <w:tcBorders>
              <w:left w:val="single" w:sz="2" w:space="0" w:color="DDDDDD"/>
              <w:bottom w:val="single" w:sz="2" w:space="0" w:color="DDDDDD"/>
              <w:right w:val="single" w:sz="2" w:space="0" w:color="DDDDDD"/>
            </w:tcBorders>
            <w:shd w:val="clear" w:color="auto" w:fill="EEEEEE"/>
          </w:tcPr>
          <w:p w14:paraId="0EB27D2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75</w:t>
            </w:r>
          </w:p>
        </w:tc>
      </w:tr>
      <w:tr w:rsidR="00393736" w:rsidRPr="00393736" w14:paraId="4DFF6FF5" w14:textId="77777777" w:rsidTr="006F0C87">
        <w:tc>
          <w:tcPr>
            <w:tcW w:w="3490" w:type="dxa"/>
            <w:tcBorders>
              <w:left w:val="single" w:sz="2" w:space="0" w:color="DDDDDD"/>
              <w:bottom w:val="single" w:sz="2" w:space="0" w:color="DDDDDD"/>
            </w:tcBorders>
          </w:tcPr>
          <w:p w14:paraId="331F5CDB" w14:textId="77777777" w:rsidR="00393736" w:rsidRPr="00393736" w:rsidRDefault="00393736" w:rsidP="006F0C87">
            <w:pPr>
              <w:spacing w:line="240" w:lineRule="auto"/>
              <w:rPr>
                <w:rFonts w:cs="Arial"/>
                <w:sz w:val="20"/>
              </w:rPr>
            </w:pPr>
            <w:r w:rsidRPr="00393736">
              <w:rPr>
                <w:rFonts w:cs="Arial"/>
                <w:sz w:val="20"/>
              </w:rPr>
              <w:t>Student choice autonomy</w:t>
            </w:r>
          </w:p>
        </w:tc>
        <w:tc>
          <w:tcPr>
            <w:tcW w:w="2745" w:type="dxa"/>
            <w:vMerge/>
            <w:tcBorders>
              <w:left w:val="single" w:sz="2" w:space="0" w:color="DDDDDD"/>
            </w:tcBorders>
          </w:tcPr>
          <w:p w14:paraId="553A030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2D9298E8"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6C00B7B2"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7294297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39069E9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5F48CEB9" w14:textId="77777777" w:rsidTr="006F0C87">
        <w:tc>
          <w:tcPr>
            <w:tcW w:w="3490" w:type="dxa"/>
            <w:tcBorders>
              <w:left w:val="single" w:sz="2" w:space="0" w:color="DDDDDD"/>
              <w:bottom w:val="single" w:sz="2" w:space="0" w:color="DDDDDD"/>
            </w:tcBorders>
            <w:shd w:val="clear" w:color="auto" w:fill="EEEEEE"/>
          </w:tcPr>
          <w:p w14:paraId="5B76E710"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feedback</w:t>
            </w:r>
          </w:p>
        </w:tc>
        <w:tc>
          <w:tcPr>
            <w:tcW w:w="2745" w:type="dxa"/>
            <w:vMerge/>
            <w:tcBorders>
              <w:left w:val="single" w:sz="2" w:space="0" w:color="DDDDDD"/>
            </w:tcBorders>
            <w:shd w:val="clear" w:color="auto" w:fill="EEEEEE"/>
          </w:tcPr>
          <w:p w14:paraId="7B8B419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285FB2C5"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7A59E78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61466E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37BCC11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6A4F834F" w14:textId="77777777" w:rsidTr="006F0C87">
        <w:tc>
          <w:tcPr>
            <w:tcW w:w="3490" w:type="dxa"/>
            <w:tcBorders>
              <w:left w:val="single" w:sz="2" w:space="0" w:color="DDDDDD"/>
              <w:bottom w:val="single" w:sz="2" w:space="0" w:color="DDDDDD"/>
            </w:tcBorders>
          </w:tcPr>
          <w:p w14:paraId="072F659A" w14:textId="77777777" w:rsidR="00393736" w:rsidRPr="00393736" w:rsidRDefault="00393736" w:rsidP="006F0C87">
            <w:pPr>
              <w:spacing w:line="240" w:lineRule="auto"/>
              <w:rPr>
                <w:rFonts w:cs="Arial"/>
                <w:sz w:val="20"/>
              </w:rPr>
            </w:pPr>
            <w:r w:rsidRPr="00393736">
              <w:rPr>
                <w:rFonts w:cs="Arial"/>
                <w:sz w:val="20"/>
              </w:rPr>
              <w:t>Student finances</w:t>
            </w:r>
          </w:p>
        </w:tc>
        <w:tc>
          <w:tcPr>
            <w:tcW w:w="2745" w:type="dxa"/>
            <w:vMerge/>
            <w:tcBorders>
              <w:left w:val="single" w:sz="2" w:space="0" w:color="DDDDDD"/>
            </w:tcBorders>
          </w:tcPr>
          <w:p w14:paraId="405988FB"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45E8DC53"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11593F8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27E6328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tcPr>
          <w:p w14:paraId="452CFF6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r>
      <w:tr w:rsidR="00393736" w:rsidRPr="00393736" w14:paraId="3BC3B1CC" w14:textId="77777777" w:rsidTr="006F0C87">
        <w:tc>
          <w:tcPr>
            <w:tcW w:w="3490" w:type="dxa"/>
            <w:tcBorders>
              <w:left w:val="single" w:sz="2" w:space="0" w:color="DDDDDD"/>
              <w:bottom w:val="single" w:sz="2" w:space="0" w:color="DDDDDD"/>
            </w:tcBorders>
            <w:shd w:val="clear" w:color="auto" w:fill="EEEEEE"/>
          </w:tcPr>
          <w:p w14:paraId="076D6CEE"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identity</w:t>
            </w:r>
          </w:p>
        </w:tc>
        <w:tc>
          <w:tcPr>
            <w:tcW w:w="2745" w:type="dxa"/>
            <w:vMerge/>
            <w:tcBorders>
              <w:left w:val="single" w:sz="2" w:space="0" w:color="DDDDDD"/>
            </w:tcBorders>
            <w:shd w:val="clear" w:color="auto" w:fill="EEEEEE"/>
          </w:tcPr>
          <w:p w14:paraId="0BF8AA46"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DA901AA"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37B1C67A"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A18097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c>
          <w:tcPr>
            <w:tcW w:w="1276" w:type="dxa"/>
            <w:tcBorders>
              <w:left w:val="single" w:sz="2" w:space="0" w:color="DDDDDD"/>
              <w:bottom w:val="single" w:sz="2" w:space="0" w:color="DDDDDD"/>
              <w:right w:val="single" w:sz="2" w:space="0" w:color="DDDDDD"/>
            </w:tcBorders>
            <w:shd w:val="clear" w:color="auto" w:fill="EEEEEE"/>
          </w:tcPr>
          <w:p w14:paraId="4730F21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17</w:t>
            </w:r>
          </w:p>
        </w:tc>
      </w:tr>
      <w:tr w:rsidR="00393736" w:rsidRPr="00393736" w14:paraId="4F8F7A62" w14:textId="77777777" w:rsidTr="006F0C87">
        <w:tc>
          <w:tcPr>
            <w:tcW w:w="3490" w:type="dxa"/>
            <w:tcBorders>
              <w:left w:val="single" w:sz="2" w:space="0" w:color="DDDDDD"/>
              <w:bottom w:val="single" w:sz="2" w:space="0" w:color="DDDDDD"/>
            </w:tcBorders>
            <w:shd w:val="clear" w:color="auto" w:fill="EEEEEE"/>
          </w:tcPr>
          <w:p w14:paraId="5D88B25A"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Commuter</w:t>
            </w:r>
          </w:p>
        </w:tc>
        <w:tc>
          <w:tcPr>
            <w:tcW w:w="2745" w:type="dxa"/>
            <w:vMerge/>
            <w:tcBorders>
              <w:left w:val="single" w:sz="2" w:space="0" w:color="DDDDDD"/>
            </w:tcBorders>
            <w:shd w:val="clear" w:color="auto" w:fill="EEEEEE"/>
          </w:tcPr>
          <w:p w14:paraId="602F1F54"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AD1C44B"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2C641E81"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17F3099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61C4A23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6CA32480" w14:textId="77777777" w:rsidTr="006F0C87">
        <w:tc>
          <w:tcPr>
            <w:tcW w:w="3490" w:type="dxa"/>
            <w:tcBorders>
              <w:left w:val="single" w:sz="2" w:space="0" w:color="DDDDDD"/>
              <w:bottom w:val="single" w:sz="2" w:space="0" w:color="DDDDDD"/>
            </w:tcBorders>
            <w:shd w:val="clear" w:color="auto" w:fill="EEEEEE"/>
          </w:tcPr>
          <w:p w14:paraId="4E56E51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Students re vocational or theory led</w:t>
            </w:r>
          </w:p>
        </w:tc>
        <w:tc>
          <w:tcPr>
            <w:tcW w:w="2745" w:type="dxa"/>
            <w:vMerge/>
            <w:tcBorders>
              <w:left w:val="single" w:sz="2" w:space="0" w:color="DDDDDD"/>
              <w:bottom w:val="single" w:sz="2" w:space="0" w:color="DDDDDD"/>
            </w:tcBorders>
            <w:shd w:val="clear" w:color="auto" w:fill="EEEEEE"/>
          </w:tcPr>
          <w:p w14:paraId="76A01F0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77D3A17D"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0CE7371E"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1D3A335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5CD18333"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13</w:t>
            </w:r>
          </w:p>
        </w:tc>
      </w:tr>
      <w:tr w:rsidR="00393736" w:rsidRPr="00393736" w14:paraId="7C8DCC79" w14:textId="77777777" w:rsidTr="006F0C87">
        <w:tc>
          <w:tcPr>
            <w:tcW w:w="3490" w:type="dxa"/>
            <w:tcBorders>
              <w:left w:val="single" w:sz="2" w:space="0" w:color="DDDDDD"/>
              <w:bottom w:val="single" w:sz="2" w:space="0" w:color="DDDDDD"/>
            </w:tcBorders>
            <w:shd w:val="clear" w:color="auto" w:fill="EEEEEE"/>
          </w:tcPr>
          <w:p w14:paraId="49BC2EB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pedagogic support structuring</w:t>
            </w:r>
          </w:p>
        </w:tc>
        <w:tc>
          <w:tcPr>
            <w:tcW w:w="2745" w:type="dxa"/>
            <w:vMerge w:val="restart"/>
            <w:tcBorders>
              <w:left w:val="single" w:sz="2" w:space="0" w:color="DDDDDD"/>
              <w:bottom w:val="single" w:sz="2" w:space="0" w:color="DDDDDD"/>
            </w:tcBorders>
            <w:shd w:val="clear" w:color="auto" w:fill="EEEEEE"/>
          </w:tcPr>
          <w:p w14:paraId="53584797"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The students</w:t>
            </w:r>
          </w:p>
        </w:tc>
        <w:tc>
          <w:tcPr>
            <w:tcW w:w="1984" w:type="dxa"/>
            <w:vMerge w:val="restart"/>
            <w:tcBorders>
              <w:left w:val="single" w:sz="2" w:space="0" w:color="DDDDDD"/>
              <w:right w:val="single" w:sz="2" w:space="0" w:color="DDDDDD"/>
            </w:tcBorders>
            <w:shd w:val="clear" w:color="auto" w:fill="EEEEEE"/>
          </w:tcPr>
          <w:p w14:paraId="7CBF5F6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PRF: s6.2.2.</w:t>
            </w:r>
          </w:p>
        </w:tc>
        <w:tc>
          <w:tcPr>
            <w:tcW w:w="1985" w:type="dxa"/>
            <w:vMerge/>
            <w:tcBorders>
              <w:left w:val="single" w:sz="2" w:space="0" w:color="DDDDDD"/>
              <w:right w:val="single" w:sz="2" w:space="0" w:color="DDDDDD"/>
            </w:tcBorders>
            <w:shd w:val="clear" w:color="auto" w:fill="EEEEEE"/>
          </w:tcPr>
          <w:p w14:paraId="54BB82FA"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89C903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8</w:t>
            </w:r>
          </w:p>
        </w:tc>
        <w:tc>
          <w:tcPr>
            <w:tcW w:w="1276" w:type="dxa"/>
            <w:tcBorders>
              <w:left w:val="single" w:sz="2" w:space="0" w:color="DDDDDD"/>
              <w:bottom w:val="single" w:sz="2" w:space="0" w:color="DDDDDD"/>
              <w:right w:val="single" w:sz="2" w:space="0" w:color="DDDDDD"/>
            </w:tcBorders>
            <w:shd w:val="clear" w:color="auto" w:fill="EEEEEE"/>
          </w:tcPr>
          <w:p w14:paraId="6954FD7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33</w:t>
            </w:r>
          </w:p>
        </w:tc>
      </w:tr>
      <w:tr w:rsidR="00393736" w:rsidRPr="00393736" w14:paraId="483B0243" w14:textId="77777777" w:rsidTr="006F0C87">
        <w:tc>
          <w:tcPr>
            <w:tcW w:w="3490" w:type="dxa"/>
            <w:tcBorders>
              <w:left w:val="single" w:sz="2" w:space="0" w:color="DDDDDD"/>
              <w:bottom w:val="single" w:sz="2" w:space="0" w:color="DDDDDD"/>
            </w:tcBorders>
            <w:shd w:val="clear" w:color="auto" w:fill="EEEEEE"/>
          </w:tcPr>
          <w:p w14:paraId="66EA27E7"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Preparatory pedagogic</w:t>
            </w:r>
          </w:p>
        </w:tc>
        <w:tc>
          <w:tcPr>
            <w:tcW w:w="2745" w:type="dxa"/>
            <w:vMerge/>
            <w:tcBorders>
              <w:left w:val="single" w:sz="2" w:space="0" w:color="DDDDDD"/>
              <w:bottom w:val="single" w:sz="2" w:space="0" w:color="DDDDDD"/>
            </w:tcBorders>
            <w:shd w:val="clear" w:color="auto" w:fill="EEEEEE"/>
          </w:tcPr>
          <w:p w14:paraId="4009C320"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518F8647"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0A1F41F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C3250F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6159AC7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3CE1FEC7" w14:textId="77777777" w:rsidTr="006F0C87">
        <w:tc>
          <w:tcPr>
            <w:tcW w:w="3490" w:type="dxa"/>
            <w:tcBorders>
              <w:left w:val="single" w:sz="2" w:space="0" w:color="DDDDDD"/>
              <w:bottom w:val="single" w:sz="2" w:space="0" w:color="DDDDDD"/>
            </w:tcBorders>
            <w:shd w:val="clear" w:color="auto" w:fill="EEEEEE"/>
          </w:tcPr>
          <w:p w14:paraId="1AD2AFCA"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academic skills</w:t>
            </w:r>
          </w:p>
        </w:tc>
        <w:tc>
          <w:tcPr>
            <w:tcW w:w="2745" w:type="dxa"/>
            <w:vMerge/>
            <w:tcBorders>
              <w:left w:val="single" w:sz="2" w:space="0" w:color="DDDDDD"/>
              <w:bottom w:val="single" w:sz="2" w:space="0" w:color="DDDDDD"/>
            </w:tcBorders>
            <w:shd w:val="clear" w:color="auto" w:fill="EEEEEE"/>
          </w:tcPr>
          <w:p w14:paraId="1FAE9DFE"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8EFE94D"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76D5E225"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651A7F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05A598C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4F1776AB" w14:textId="77777777" w:rsidTr="006F0C87">
        <w:tc>
          <w:tcPr>
            <w:tcW w:w="3490" w:type="dxa"/>
            <w:tcBorders>
              <w:left w:val="single" w:sz="2" w:space="0" w:color="DDDDDD"/>
              <w:bottom w:val="single" w:sz="2" w:space="0" w:color="DDDDDD"/>
            </w:tcBorders>
            <w:shd w:val="clear" w:color="auto" w:fill="EEEEEE"/>
          </w:tcPr>
          <w:p w14:paraId="44F7E9E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progression</w:t>
            </w:r>
          </w:p>
        </w:tc>
        <w:tc>
          <w:tcPr>
            <w:tcW w:w="2745" w:type="dxa"/>
            <w:vMerge/>
            <w:tcBorders>
              <w:left w:val="single" w:sz="2" w:space="0" w:color="DDDDDD"/>
              <w:bottom w:val="single" w:sz="2" w:space="0" w:color="DDDDDD"/>
            </w:tcBorders>
            <w:shd w:val="clear" w:color="auto" w:fill="EEEEEE"/>
          </w:tcPr>
          <w:p w14:paraId="75D4A23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9614398"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236B100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5D52FFC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542CA08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14A5799E" w14:textId="77777777" w:rsidTr="006F0C87">
        <w:tc>
          <w:tcPr>
            <w:tcW w:w="3490" w:type="dxa"/>
            <w:tcBorders>
              <w:left w:val="single" w:sz="2" w:space="0" w:color="DDDDDD"/>
              <w:bottom w:val="single" w:sz="2" w:space="0" w:color="DDDDDD"/>
            </w:tcBorders>
            <w:shd w:val="clear" w:color="auto" w:fill="EEEEEE"/>
          </w:tcPr>
          <w:p w14:paraId="52306239"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disadvantaged professionally</w:t>
            </w:r>
          </w:p>
        </w:tc>
        <w:tc>
          <w:tcPr>
            <w:tcW w:w="2745" w:type="dxa"/>
            <w:vMerge/>
            <w:tcBorders>
              <w:left w:val="single" w:sz="2" w:space="0" w:color="DDDDDD"/>
              <w:bottom w:val="single" w:sz="2" w:space="0" w:color="DDDDDD"/>
            </w:tcBorders>
            <w:shd w:val="clear" w:color="auto" w:fill="EEEEEE"/>
          </w:tcPr>
          <w:p w14:paraId="2535185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00F2E60C"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01700F30"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43035A16"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c>
          <w:tcPr>
            <w:tcW w:w="1276" w:type="dxa"/>
            <w:tcBorders>
              <w:left w:val="single" w:sz="2" w:space="0" w:color="DDDDDD"/>
              <w:bottom w:val="single" w:sz="2" w:space="0" w:color="DDDDDD"/>
              <w:right w:val="single" w:sz="2" w:space="0" w:color="DDDDDD"/>
            </w:tcBorders>
            <w:shd w:val="clear" w:color="auto" w:fill="EEEEEE"/>
          </w:tcPr>
          <w:p w14:paraId="72A3E56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13</w:t>
            </w:r>
          </w:p>
        </w:tc>
      </w:tr>
      <w:tr w:rsidR="00393736" w:rsidRPr="00393736" w14:paraId="3BEB6873" w14:textId="77777777" w:rsidTr="006F0C87">
        <w:tc>
          <w:tcPr>
            <w:tcW w:w="3490" w:type="dxa"/>
            <w:tcBorders>
              <w:left w:val="single" w:sz="2" w:space="0" w:color="DDDDDD"/>
              <w:bottom w:val="single" w:sz="2" w:space="0" w:color="DDDDDD"/>
            </w:tcBorders>
            <w:shd w:val="clear" w:color="auto" w:fill="EEEEEE"/>
          </w:tcPr>
          <w:p w14:paraId="2B374EF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staff co</w:t>
            </w:r>
          </w:p>
        </w:tc>
        <w:tc>
          <w:tcPr>
            <w:tcW w:w="2745" w:type="dxa"/>
            <w:vMerge/>
            <w:tcBorders>
              <w:left w:val="single" w:sz="2" w:space="0" w:color="DDDDDD"/>
              <w:bottom w:val="single" w:sz="2" w:space="0" w:color="DDDDDD"/>
            </w:tcBorders>
            <w:shd w:val="clear" w:color="auto" w:fill="EEEEEE"/>
          </w:tcPr>
          <w:p w14:paraId="03DDCFF3"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6F7F4BCE"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018C1653"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7641249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3C26E9F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r>
      <w:tr w:rsidR="00393736" w:rsidRPr="00393736" w14:paraId="5D545176" w14:textId="77777777" w:rsidTr="006F0C87">
        <w:tc>
          <w:tcPr>
            <w:tcW w:w="3490" w:type="dxa"/>
            <w:tcBorders>
              <w:left w:val="single" w:sz="2" w:space="0" w:color="DDDDDD"/>
              <w:bottom w:val="single" w:sz="2" w:space="0" w:color="DDDDDD"/>
            </w:tcBorders>
            <w:shd w:val="clear" w:color="auto" w:fill="EEEEEE"/>
          </w:tcPr>
          <w:p w14:paraId="5112DFF0"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support</w:t>
            </w:r>
          </w:p>
        </w:tc>
        <w:tc>
          <w:tcPr>
            <w:tcW w:w="2745" w:type="dxa"/>
            <w:vMerge/>
            <w:tcBorders>
              <w:left w:val="single" w:sz="2" w:space="0" w:color="DDDDDD"/>
              <w:bottom w:val="single" w:sz="2" w:space="0" w:color="DDDDDD"/>
            </w:tcBorders>
            <w:shd w:val="clear" w:color="auto" w:fill="EEEEEE"/>
          </w:tcPr>
          <w:p w14:paraId="5C25E40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4AB068A"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2026B5F9"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081FE32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4A59426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18</w:t>
            </w:r>
          </w:p>
        </w:tc>
      </w:tr>
      <w:tr w:rsidR="00393736" w:rsidRPr="00393736" w14:paraId="5963992B" w14:textId="77777777" w:rsidTr="006F0C87">
        <w:tc>
          <w:tcPr>
            <w:tcW w:w="3490" w:type="dxa"/>
            <w:tcBorders>
              <w:left w:val="single" w:sz="2" w:space="0" w:color="DDDDDD"/>
              <w:bottom w:val="single" w:sz="2" w:space="0" w:color="DDDDDD"/>
            </w:tcBorders>
            <w:shd w:val="clear" w:color="auto" w:fill="EEEEEE"/>
          </w:tcPr>
          <w:p w14:paraId="06C60DF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Pastoral</w:t>
            </w:r>
          </w:p>
        </w:tc>
        <w:tc>
          <w:tcPr>
            <w:tcW w:w="2745" w:type="dxa"/>
            <w:vMerge/>
            <w:tcBorders>
              <w:left w:val="single" w:sz="2" w:space="0" w:color="DDDDDD"/>
              <w:bottom w:val="single" w:sz="2" w:space="0" w:color="DDDDDD"/>
            </w:tcBorders>
            <w:shd w:val="clear" w:color="auto" w:fill="EEEEEE"/>
          </w:tcPr>
          <w:p w14:paraId="77134885"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39D21D90"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right w:val="single" w:sz="2" w:space="0" w:color="DDDDDD"/>
            </w:tcBorders>
            <w:shd w:val="clear" w:color="auto" w:fill="EEEEEE"/>
          </w:tcPr>
          <w:p w14:paraId="4CC4F1E8"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A812DE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c>
          <w:tcPr>
            <w:tcW w:w="1276" w:type="dxa"/>
            <w:tcBorders>
              <w:left w:val="single" w:sz="2" w:space="0" w:color="DDDDDD"/>
              <w:bottom w:val="single" w:sz="2" w:space="0" w:color="DDDDDD"/>
              <w:right w:val="single" w:sz="2" w:space="0" w:color="DDDDDD"/>
            </w:tcBorders>
            <w:shd w:val="clear" w:color="auto" w:fill="EEEEEE"/>
          </w:tcPr>
          <w:p w14:paraId="08CA712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w:t>
            </w:r>
          </w:p>
        </w:tc>
      </w:tr>
      <w:tr w:rsidR="00393736" w:rsidRPr="00393736" w14:paraId="38245867" w14:textId="77777777" w:rsidTr="006F0C87">
        <w:tc>
          <w:tcPr>
            <w:tcW w:w="3490" w:type="dxa"/>
            <w:tcBorders>
              <w:left w:val="single" w:sz="2" w:space="0" w:color="DDDDDD"/>
              <w:bottom w:val="single" w:sz="2" w:space="0" w:color="DDDDDD"/>
            </w:tcBorders>
            <w:shd w:val="clear" w:color="auto" w:fill="EEEEEE"/>
          </w:tcPr>
          <w:p w14:paraId="5CF7E2B5"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Student belonging</w:t>
            </w:r>
          </w:p>
        </w:tc>
        <w:tc>
          <w:tcPr>
            <w:tcW w:w="2745" w:type="dxa"/>
            <w:vMerge/>
            <w:tcBorders>
              <w:left w:val="single" w:sz="2" w:space="0" w:color="DDDDDD"/>
              <w:bottom w:val="single" w:sz="2" w:space="0" w:color="DDDDDD"/>
            </w:tcBorders>
            <w:shd w:val="clear" w:color="auto" w:fill="EEEEEE"/>
          </w:tcPr>
          <w:p w14:paraId="2CC11CA9"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0775503F" w14:textId="77777777" w:rsidR="00393736" w:rsidRPr="00393736" w:rsidRDefault="00393736" w:rsidP="006F0C87">
            <w:pPr>
              <w:pStyle w:val="TableContents"/>
              <w:rPr>
                <w:rFonts w:ascii="Arial" w:hAnsi="Arial" w:cs="Arial"/>
                <w:b/>
                <w:bCs/>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3A9433FD"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29B461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79DD417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bl>
    <w:p w14:paraId="656044DA" w14:textId="77777777" w:rsidR="00393736" w:rsidRPr="00393736" w:rsidRDefault="00393736" w:rsidP="00393736">
      <w:pPr>
        <w:spacing w:line="240" w:lineRule="auto"/>
        <w:rPr>
          <w:rFonts w:cs="Arial"/>
          <w:sz w:val="20"/>
        </w:rPr>
      </w:pPr>
      <w:r w:rsidRPr="00393736">
        <w:rPr>
          <w:rFonts w:cs="Arial"/>
          <w:sz w:val="20"/>
        </w:rPr>
        <w:t>Table 5: The students</w:t>
      </w:r>
    </w:p>
    <w:p w14:paraId="393E4C71" w14:textId="77777777" w:rsidR="00393736" w:rsidRDefault="00393736" w:rsidP="00393736">
      <w:pPr>
        <w:rPr>
          <w:rFonts w:cs="Arial"/>
          <w:sz w:val="20"/>
        </w:rPr>
      </w:pPr>
    </w:p>
    <w:p w14:paraId="58744057" w14:textId="77777777" w:rsidR="009068CD" w:rsidRDefault="009068CD" w:rsidP="00393736">
      <w:pPr>
        <w:rPr>
          <w:rFonts w:cs="Arial"/>
          <w:sz w:val="20"/>
        </w:rPr>
      </w:pPr>
    </w:p>
    <w:p w14:paraId="55B7304E" w14:textId="77777777" w:rsidR="009068CD" w:rsidRDefault="009068CD" w:rsidP="00393736">
      <w:pPr>
        <w:rPr>
          <w:rFonts w:cs="Arial"/>
          <w:sz w:val="20"/>
        </w:rPr>
      </w:pPr>
    </w:p>
    <w:p w14:paraId="7284E49A" w14:textId="77777777" w:rsidR="009068CD" w:rsidRPr="00393736" w:rsidRDefault="009068CD" w:rsidP="00393736">
      <w:pPr>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2600953B"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26075E73"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lastRenderedPageBreak/>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03BF1BA0"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5593854B"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176D629E"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5A6D0F1B"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24E9522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325C53C8" w14:textId="77777777" w:rsidTr="006F0C87">
        <w:tc>
          <w:tcPr>
            <w:tcW w:w="3490" w:type="dxa"/>
            <w:tcBorders>
              <w:left w:val="single" w:sz="2" w:space="0" w:color="DDDDDD"/>
              <w:bottom w:val="single" w:sz="2" w:space="0" w:color="DDDDDD"/>
            </w:tcBorders>
          </w:tcPr>
          <w:p w14:paraId="7F69B8B8" w14:textId="77777777" w:rsidR="00393736" w:rsidRPr="00393736" w:rsidRDefault="00393736" w:rsidP="006F0C87">
            <w:pPr>
              <w:spacing w:line="240" w:lineRule="auto"/>
              <w:rPr>
                <w:rFonts w:cs="Arial"/>
                <w:sz w:val="20"/>
              </w:rPr>
            </w:pPr>
            <w:r w:rsidRPr="00393736">
              <w:rPr>
                <w:rFonts w:cs="Arial"/>
                <w:sz w:val="20"/>
              </w:rPr>
              <w:t>Degree domination in School or Uni</w:t>
            </w:r>
          </w:p>
        </w:tc>
        <w:tc>
          <w:tcPr>
            <w:tcW w:w="2745" w:type="dxa"/>
            <w:vMerge w:val="restart"/>
            <w:tcBorders>
              <w:left w:val="single" w:sz="2" w:space="0" w:color="DDDDDD"/>
            </w:tcBorders>
          </w:tcPr>
          <w:p w14:paraId="15E06534"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Degree within wider context</w:t>
            </w:r>
          </w:p>
        </w:tc>
        <w:tc>
          <w:tcPr>
            <w:tcW w:w="1984" w:type="dxa"/>
            <w:vMerge w:val="restart"/>
            <w:tcBorders>
              <w:left w:val="single" w:sz="2" w:space="0" w:color="DDDDDD"/>
              <w:right w:val="single" w:sz="2" w:space="0" w:color="DDDDDD"/>
            </w:tcBorders>
          </w:tcPr>
          <w:p w14:paraId="5C97473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s6.4.</w:t>
            </w:r>
          </w:p>
        </w:tc>
        <w:tc>
          <w:tcPr>
            <w:tcW w:w="1985" w:type="dxa"/>
            <w:vMerge w:val="restart"/>
            <w:tcBorders>
              <w:left w:val="single" w:sz="2" w:space="0" w:color="DDDDDD"/>
              <w:right w:val="single" w:sz="2" w:space="0" w:color="DDDDDD"/>
            </w:tcBorders>
          </w:tcPr>
          <w:p w14:paraId="329311B2"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PRF: s8.1 and 2</w:t>
            </w:r>
          </w:p>
        </w:tc>
        <w:tc>
          <w:tcPr>
            <w:tcW w:w="1417" w:type="dxa"/>
            <w:tcBorders>
              <w:left w:val="single" w:sz="2" w:space="0" w:color="DDDDDD"/>
              <w:bottom w:val="single" w:sz="2" w:space="0" w:color="DDDDDD"/>
            </w:tcBorders>
          </w:tcPr>
          <w:p w14:paraId="4F1AACE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tcPr>
          <w:p w14:paraId="4D6838EA"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r>
      <w:tr w:rsidR="00393736" w:rsidRPr="00393736" w14:paraId="6C11E93B" w14:textId="77777777" w:rsidTr="006F0C87">
        <w:tc>
          <w:tcPr>
            <w:tcW w:w="3490" w:type="dxa"/>
            <w:tcBorders>
              <w:left w:val="single" w:sz="2" w:space="0" w:color="DDDDDD"/>
              <w:bottom w:val="single" w:sz="2" w:space="0" w:color="DDDDDD"/>
            </w:tcBorders>
          </w:tcPr>
          <w:p w14:paraId="1B06F347" w14:textId="77777777" w:rsidR="00393736" w:rsidRPr="00393736" w:rsidRDefault="00393736" w:rsidP="006F0C87">
            <w:pPr>
              <w:spacing w:line="240" w:lineRule="auto"/>
              <w:rPr>
                <w:rFonts w:cs="Arial"/>
                <w:sz w:val="20"/>
              </w:rPr>
            </w:pPr>
            <w:r w:rsidRPr="00393736">
              <w:rPr>
                <w:rFonts w:cs="Arial"/>
                <w:sz w:val="20"/>
              </w:rPr>
              <w:t>Law ahead of the game</w:t>
            </w:r>
          </w:p>
        </w:tc>
        <w:tc>
          <w:tcPr>
            <w:tcW w:w="2745" w:type="dxa"/>
            <w:vMerge/>
            <w:tcBorders>
              <w:left w:val="single" w:sz="2" w:space="0" w:color="DDDDDD"/>
            </w:tcBorders>
          </w:tcPr>
          <w:p w14:paraId="74AFB98A"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tcPr>
          <w:p w14:paraId="146DDFAB"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tcPr>
          <w:p w14:paraId="562A5266"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30A8047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c>
          <w:tcPr>
            <w:tcW w:w="1276" w:type="dxa"/>
            <w:tcBorders>
              <w:left w:val="single" w:sz="2" w:space="0" w:color="DDDDDD"/>
              <w:bottom w:val="single" w:sz="2" w:space="0" w:color="DDDDDD"/>
              <w:right w:val="single" w:sz="2" w:space="0" w:color="DDDDDD"/>
            </w:tcBorders>
          </w:tcPr>
          <w:p w14:paraId="38C1562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r>
      <w:tr w:rsidR="00393736" w:rsidRPr="00393736" w14:paraId="517D3F0B" w14:textId="77777777" w:rsidTr="006F0C87">
        <w:tc>
          <w:tcPr>
            <w:tcW w:w="3490" w:type="dxa"/>
            <w:tcBorders>
              <w:left w:val="single" w:sz="2" w:space="0" w:color="DDDDDD"/>
              <w:bottom w:val="single" w:sz="2" w:space="0" w:color="DDDDDD"/>
            </w:tcBorders>
            <w:shd w:val="clear" w:color="auto" w:fill="EEEEEE"/>
          </w:tcPr>
          <w:p w14:paraId="062D73F3"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Leadership of school</w:t>
            </w:r>
          </w:p>
        </w:tc>
        <w:tc>
          <w:tcPr>
            <w:tcW w:w="2745" w:type="dxa"/>
            <w:vMerge/>
            <w:tcBorders>
              <w:left w:val="single" w:sz="2" w:space="0" w:color="DDDDDD"/>
            </w:tcBorders>
            <w:shd w:val="clear" w:color="auto" w:fill="EEEEEE"/>
          </w:tcPr>
          <w:p w14:paraId="18C5D9F7"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right w:val="single" w:sz="2" w:space="0" w:color="DDDDDD"/>
            </w:tcBorders>
            <w:shd w:val="clear" w:color="auto" w:fill="EEEEEE"/>
          </w:tcPr>
          <w:p w14:paraId="7947A468"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right w:val="single" w:sz="2" w:space="0" w:color="DDDDDD"/>
            </w:tcBorders>
            <w:shd w:val="clear" w:color="auto" w:fill="EEEEEE"/>
          </w:tcPr>
          <w:p w14:paraId="4C7B1527"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28E75E3F"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10</w:t>
            </w:r>
          </w:p>
        </w:tc>
        <w:tc>
          <w:tcPr>
            <w:tcW w:w="1276" w:type="dxa"/>
            <w:tcBorders>
              <w:left w:val="single" w:sz="2" w:space="0" w:color="DDDDDD"/>
              <w:bottom w:val="single" w:sz="2" w:space="0" w:color="DDDDDD"/>
              <w:right w:val="single" w:sz="2" w:space="0" w:color="DDDDDD"/>
            </w:tcBorders>
            <w:shd w:val="clear" w:color="auto" w:fill="EEEEEE"/>
          </w:tcPr>
          <w:p w14:paraId="4F17720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22</w:t>
            </w:r>
          </w:p>
        </w:tc>
      </w:tr>
      <w:tr w:rsidR="00393736" w:rsidRPr="00393736" w14:paraId="360425BA" w14:textId="77777777" w:rsidTr="006F0C87">
        <w:tc>
          <w:tcPr>
            <w:tcW w:w="3490" w:type="dxa"/>
            <w:tcBorders>
              <w:left w:val="single" w:sz="2" w:space="0" w:color="DDDDDD"/>
              <w:bottom w:val="single" w:sz="2" w:space="0" w:color="DDDDDD"/>
            </w:tcBorders>
            <w:shd w:val="clear" w:color="auto" w:fill="EEEEEE"/>
          </w:tcPr>
          <w:p w14:paraId="4CE8690E" w14:textId="77777777" w:rsidR="00393736" w:rsidRPr="00393736" w:rsidRDefault="00393736" w:rsidP="006F0C87">
            <w:pPr>
              <w:pStyle w:val="TableContents"/>
              <w:rPr>
                <w:rFonts w:ascii="Arial" w:hAnsi="Arial" w:cs="Arial"/>
                <w:sz w:val="20"/>
                <w:szCs w:val="20"/>
              </w:rPr>
            </w:pPr>
          </w:p>
        </w:tc>
        <w:tc>
          <w:tcPr>
            <w:tcW w:w="2745" w:type="dxa"/>
            <w:vMerge/>
            <w:tcBorders>
              <w:left w:val="single" w:sz="2" w:space="0" w:color="DDDDDD"/>
              <w:bottom w:val="single" w:sz="2" w:space="0" w:color="DDDDDD"/>
            </w:tcBorders>
            <w:shd w:val="clear" w:color="auto" w:fill="EEEEEE"/>
          </w:tcPr>
          <w:p w14:paraId="0B1312AF" w14:textId="77777777" w:rsidR="00393736" w:rsidRPr="00393736" w:rsidRDefault="00393736" w:rsidP="006F0C87">
            <w:pPr>
              <w:pStyle w:val="TableContents"/>
              <w:rPr>
                <w:rFonts w:ascii="Arial" w:hAnsi="Arial" w:cs="Arial"/>
                <w:sz w:val="20"/>
                <w:szCs w:val="20"/>
              </w:rPr>
            </w:pPr>
          </w:p>
        </w:tc>
        <w:tc>
          <w:tcPr>
            <w:tcW w:w="1984" w:type="dxa"/>
            <w:vMerge/>
            <w:tcBorders>
              <w:left w:val="single" w:sz="2" w:space="0" w:color="DDDDDD"/>
              <w:bottom w:val="single" w:sz="2" w:space="0" w:color="DDDDDD"/>
              <w:right w:val="single" w:sz="2" w:space="0" w:color="DDDDDD"/>
            </w:tcBorders>
            <w:shd w:val="clear" w:color="auto" w:fill="EEEEEE"/>
          </w:tcPr>
          <w:p w14:paraId="75C079D2" w14:textId="77777777" w:rsidR="00393736" w:rsidRPr="00393736" w:rsidRDefault="00393736" w:rsidP="006F0C87">
            <w:pPr>
              <w:pStyle w:val="TableContents"/>
              <w:jc w:val="right"/>
              <w:rPr>
                <w:rFonts w:ascii="Arial" w:hAnsi="Arial" w:cs="Arial"/>
                <w:sz w:val="20"/>
                <w:szCs w:val="20"/>
              </w:rPr>
            </w:pPr>
          </w:p>
        </w:tc>
        <w:tc>
          <w:tcPr>
            <w:tcW w:w="1985" w:type="dxa"/>
            <w:vMerge/>
            <w:tcBorders>
              <w:left w:val="single" w:sz="2" w:space="0" w:color="DDDDDD"/>
              <w:bottom w:val="single" w:sz="2" w:space="0" w:color="DDDDDD"/>
              <w:right w:val="single" w:sz="2" w:space="0" w:color="DDDDDD"/>
            </w:tcBorders>
            <w:shd w:val="clear" w:color="auto" w:fill="EEEEEE"/>
          </w:tcPr>
          <w:p w14:paraId="740E5A9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65B6ED1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c>
          <w:tcPr>
            <w:tcW w:w="1276" w:type="dxa"/>
            <w:tcBorders>
              <w:left w:val="single" w:sz="2" w:space="0" w:color="DDDDDD"/>
              <w:bottom w:val="single" w:sz="2" w:space="0" w:color="DDDDDD"/>
              <w:right w:val="single" w:sz="2" w:space="0" w:color="DDDDDD"/>
            </w:tcBorders>
            <w:shd w:val="clear" w:color="auto" w:fill="EEEEEE"/>
          </w:tcPr>
          <w:p w14:paraId="35B32E4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19</w:t>
            </w:r>
          </w:p>
        </w:tc>
      </w:tr>
    </w:tbl>
    <w:p w14:paraId="58281DAC" w14:textId="77777777" w:rsidR="00393736" w:rsidRDefault="00393736" w:rsidP="00393736">
      <w:pPr>
        <w:spacing w:line="240" w:lineRule="auto"/>
        <w:rPr>
          <w:rFonts w:cs="Arial"/>
          <w:sz w:val="20"/>
        </w:rPr>
      </w:pPr>
      <w:r w:rsidRPr="00393736">
        <w:rPr>
          <w:rFonts w:cs="Arial"/>
          <w:sz w:val="20"/>
        </w:rPr>
        <w:t>Table 6: Discipline positioning</w:t>
      </w:r>
    </w:p>
    <w:p w14:paraId="759FC23D" w14:textId="77777777" w:rsidR="009068CD" w:rsidRPr="00393736" w:rsidRDefault="009068CD" w:rsidP="00393736">
      <w:pPr>
        <w:spacing w:line="240" w:lineRule="auto"/>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09"/>
        <w:gridCol w:w="880"/>
        <w:gridCol w:w="797"/>
      </w:tblGrid>
      <w:tr w:rsidR="00393736" w:rsidRPr="00393736" w14:paraId="27693A18"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160725CE"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2B420CE7"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1FF5D52F"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350028B1"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8" w:type="dxa"/>
            <w:tcBorders>
              <w:top w:val="single" w:sz="2" w:space="0" w:color="DDDDDD"/>
              <w:left w:val="single" w:sz="2" w:space="0" w:color="DDDDDD"/>
              <w:bottom w:val="single" w:sz="2" w:space="0" w:color="DDDDDD"/>
            </w:tcBorders>
            <w:shd w:val="clear" w:color="auto" w:fill="6699CC"/>
            <w:vAlign w:val="center"/>
          </w:tcPr>
          <w:p w14:paraId="6225E61D"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62F9E23D"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6CD37D6A" w14:textId="77777777" w:rsidTr="006F0C87">
        <w:tc>
          <w:tcPr>
            <w:tcW w:w="3490" w:type="dxa"/>
            <w:tcBorders>
              <w:left w:val="single" w:sz="2" w:space="0" w:color="DDDDDD"/>
              <w:bottom w:val="single" w:sz="2" w:space="0" w:color="DDDDDD"/>
            </w:tcBorders>
          </w:tcPr>
          <w:p w14:paraId="0AE66ED5"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w:t>
            </w:r>
          </w:p>
        </w:tc>
        <w:tc>
          <w:tcPr>
            <w:tcW w:w="2745" w:type="dxa"/>
            <w:vMerge w:val="restart"/>
            <w:tcBorders>
              <w:left w:val="single" w:sz="2" w:space="0" w:color="DDDDDD"/>
            </w:tcBorders>
          </w:tcPr>
          <w:p w14:paraId="45369920"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Contextual process in design: Relevance to all themes</w:t>
            </w:r>
          </w:p>
        </w:tc>
        <w:tc>
          <w:tcPr>
            <w:tcW w:w="1984" w:type="dxa"/>
            <w:tcBorders>
              <w:left w:val="single" w:sz="2" w:space="0" w:color="DDDDDD"/>
              <w:bottom w:val="single" w:sz="2" w:space="0" w:color="DDDDDD"/>
              <w:right w:val="single" w:sz="2" w:space="0" w:color="DDDDDD"/>
            </w:tcBorders>
          </w:tcPr>
          <w:p w14:paraId="5A9D3FDC"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5DA7AF97"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tcPr>
          <w:p w14:paraId="0508177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14</w:t>
            </w:r>
          </w:p>
        </w:tc>
        <w:tc>
          <w:tcPr>
            <w:tcW w:w="1276" w:type="dxa"/>
            <w:tcBorders>
              <w:left w:val="single" w:sz="2" w:space="0" w:color="DDDDDD"/>
              <w:bottom w:val="single" w:sz="2" w:space="0" w:color="DDDDDD"/>
              <w:right w:val="single" w:sz="2" w:space="0" w:color="DDDDDD"/>
            </w:tcBorders>
          </w:tcPr>
          <w:p w14:paraId="2277E68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50</w:t>
            </w:r>
          </w:p>
        </w:tc>
      </w:tr>
      <w:tr w:rsidR="00393736" w:rsidRPr="00393736" w14:paraId="2FBF1035" w14:textId="77777777" w:rsidTr="006F0C87">
        <w:tc>
          <w:tcPr>
            <w:tcW w:w="3490" w:type="dxa"/>
            <w:tcBorders>
              <w:left w:val="single" w:sz="2" w:space="0" w:color="DDDDDD"/>
              <w:bottom w:val="single" w:sz="2" w:space="0" w:color="DDDDDD"/>
            </w:tcBorders>
          </w:tcPr>
          <w:p w14:paraId="087F4A7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design</w:t>
            </w:r>
          </w:p>
        </w:tc>
        <w:tc>
          <w:tcPr>
            <w:tcW w:w="2745" w:type="dxa"/>
            <w:vMerge/>
            <w:tcBorders>
              <w:left w:val="single" w:sz="2" w:space="0" w:color="DDDDDD"/>
            </w:tcBorders>
          </w:tcPr>
          <w:p w14:paraId="16577924"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34CF1460"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074D667E"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tcPr>
          <w:p w14:paraId="3F61AB6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5</w:t>
            </w:r>
          </w:p>
        </w:tc>
        <w:tc>
          <w:tcPr>
            <w:tcW w:w="1276" w:type="dxa"/>
            <w:tcBorders>
              <w:left w:val="single" w:sz="2" w:space="0" w:color="DDDDDD"/>
              <w:bottom w:val="single" w:sz="2" w:space="0" w:color="DDDDDD"/>
              <w:right w:val="single" w:sz="2" w:space="0" w:color="DDDDDD"/>
            </w:tcBorders>
          </w:tcPr>
          <w:p w14:paraId="20F9F1D4"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9</w:t>
            </w:r>
          </w:p>
        </w:tc>
      </w:tr>
      <w:tr w:rsidR="00393736" w:rsidRPr="00393736" w14:paraId="5080172E" w14:textId="77777777" w:rsidTr="006F0C87">
        <w:tc>
          <w:tcPr>
            <w:tcW w:w="3490" w:type="dxa"/>
            <w:tcBorders>
              <w:left w:val="single" w:sz="2" w:space="0" w:color="DDDDDD"/>
              <w:bottom w:val="single" w:sz="2" w:space="0" w:color="DDDDDD"/>
            </w:tcBorders>
            <w:shd w:val="clear" w:color="auto" w:fill="EEEEEE"/>
          </w:tcPr>
          <w:p w14:paraId="4FDD91F3"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externality</w:t>
            </w:r>
          </w:p>
        </w:tc>
        <w:tc>
          <w:tcPr>
            <w:tcW w:w="2745" w:type="dxa"/>
            <w:vMerge/>
            <w:tcBorders>
              <w:left w:val="single" w:sz="2" w:space="0" w:color="DDDDDD"/>
            </w:tcBorders>
            <w:shd w:val="clear" w:color="auto" w:fill="EEEEEE"/>
          </w:tcPr>
          <w:p w14:paraId="0235092C"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47AD940E" w14:textId="77777777" w:rsidR="00393736" w:rsidRPr="00393736" w:rsidRDefault="00393736" w:rsidP="006F0C87">
            <w:pPr>
              <w:pStyle w:val="TableContents"/>
              <w:jc w:val="center"/>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6915CA55"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shd w:val="clear" w:color="auto" w:fill="EEEEEE"/>
          </w:tcPr>
          <w:p w14:paraId="0400094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1070BFF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r>
      <w:tr w:rsidR="00393736" w:rsidRPr="00393736" w14:paraId="446F8B96" w14:textId="77777777" w:rsidTr="006F0C87">
        <w:tc>
          <w:tcPr>
            <w:tcW w:w="3490" w:type="dxa"/>
            <w:tcBorders>
              <w:left w:val="single" w:sz="2" w:space="0" w:color="DDDDDD"/>
              <w:bottom w:val="single" w:sz="2" w:space="0" w:color="DDDDDD"/>
            </w:tcBorders>
          </w:tcPr>
          <w:p w14:paraId="5D061401"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hierarchy</w:t>
            </w:r>
          </w:p>
        </w:tc>
        <w:tc>
          <w:tcPr>
            <w:tcW w:w="2745" w:type="dxa"/>
            <w:vMerge/>
            <w:tcBorders>
              <w:left w:val="single" w:sz="2" w:space="0" w:color="DDDDDD"/>
            </w:tcBorders>
          </w:tcPr>
          <w:p w14:paraId="4D3A5177"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515419AC"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2269B45A"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tcPr>
          <w:p w14:paraId="4C38A48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11</w:t>
            </w:r>
          </w:p>
        </w:tc>
        <w:tc>
          <w:tcPr>
            <w:tcW w:w="1276" w:type="dxa"/>
            <w:tcBorders>
              <w:left w:val="single" w:sz="2" w:space="0" w:color="DDDDDD"/>
              <w:bottom w:val="single" w:sz="2" w:space="0" w:color="DDDDDD"/>
              <w:right w:val="single" w:sz="2" w:space="0" w:color="DDDDDD"/>
            </w:tcBorders>
          </w:tcPr>
          <w:p w14:paraId="340BD177"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40</w:t>
            </w:r>
          </w:p>
        </w:tc>
      </w:tr>
      <w:tr w:rsidR="00393736" w:rsidRPr="00393736" w14:paraId="51CEAD8A" w14:textId="77777777" w:rsidTr="006F0C87">
        <w:tc>
          <w:tcPr>
            <w:tcW w:w="3490" w:type="dxa"/>
            <w:tcBorders>
              <w:left w:val="single" w:sz="2" w:space="0" w:color="DDDDDD"/>
              <w:bottom w:val="single" w:sz="2" w:space="0" w:color="DDDDDD"/>
            </w:tcBorders>
            <w:shd w:val="clear" w:color="auto" w:fill="EEEEEE"/>
          </w:tcPr>
          <w:p w14:paraId="064ACCAB"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implementation</w:t>
            </w:r>
          </w:p>
        </w:tc>
        <w:tc>
          <w:tcPr>
            <w:tcW w:w="2745" w:type="dxa"/>
            <w:vMerge/>
            <w:tcBorders>
              <w:left w:val="single" w:sz="2" w:space="0" w:color="DDDDDD"/>
            </w:tcBorders>
            <w:shd w:val="clear" w:color="auto" w:fill="EEEEEE"/>
          </w:tcPr>
          <w:p w14:paraId="7E9A610F"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038A6B59"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7044E236"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shd w:val="clear" w:color="auto" w:fill="EEEEEE"/>
          </w:tcPr>
          <w:p w14:paraId="1DA72A41"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310CC42D"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357A66D1" w14:textId="77777777" w:rsidTr="006F0C87">
        <w:tc>
          <w:tcPr>
            <w:tcW w:w="3490" w:type="dxa"/>
            <w:tcBorders>
              <w:left w:val="single" w:sz="2" w:space="0" w:color="DDDDDD"/>
              <w:bottom w:val="single" w:sz="2" w:space="0" w:color="DDDDDD"/>
            </w:tcBorders>
            <w:shd w:val="clear" w:color="auto" w:fill="EEEEEE"/>
          </w:tcPr>
          <w:p w14:paraId="00E4740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instigation</w:t>
            </w:r>
          </w:p>
        </w:tc>
        <w:tc>
          <w:tcPr>
            <w:tcW w:w="2745" w:type="dxa"/>
            <w:vMerge/>
            <w:tcBorders>
              <w:left w:val="single" w:sz="2" w:space="0" w:color="DDDDDD"/>
            </w:tcBorders>
            <w:shd w:val="clear" w:color="auto" w:fill="EEEEEE"/>
          </w:tcPr>
          <w:p w14:paraId="57432147"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4560959B"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2558476F"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shd w:val="clear" w:color="auto" w:fill="EEEEEE"/>
          </w:tcPr>
          <w:p w14:paraId="46B924E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w:t>
            </w:r>
          </w:p>
        </w:tc>
        <w:tc>
          <w:tcPr>
            <w:tcW w:w="1276" w:type="dxa"/>
            <w:tcBorders>
              <w:left w:val="single" w:sz="2" w:space="0" w:color="DDDDDD"/>
              <w:bottom w:val="single" w:sz="2" w:space="0" w:color="DDDDDD"/>
              <w:right w:val="single" w:sz="2" w:space="0" w:color="DDDDDD"/>
            </w:tcBorders>
            <w:shd w:val="clear" w:color="auto" w:fill="EEEEEE"/>
          </w:tcPr>
          <w:p w14:paraId="47CA430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12</w:t>
            </w:r>
          </w:p>
        </w:tc>
      </w:tr>
      <w:tr w:rsidR="00393736" w:rsidRPr="00393736" w14:paraId="01114F21" w14:textId="77777777" w:rsidTr="006F0C87">
        <w:tc>
          <w:tcPr>
            <w:tcW w:w="3490" w:type="dxa"/>
            <w:tcBorders>
              <w:left w:val="single" w:sz="2" w:space="0" w:color="DDDDDD"/>
              <w:bottom w:val="single" w:sz="2" w:space="0" w:color="DDDDDD"/>
            </w:tcBorders>
            <w:shd w:val="clear" w:color="auto" w:fill="EEEEEE"/>
          </w:tcPr>
          <w:p w14:paraId="33C742C2"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Process mapping</w:t>
            </w:r>
          </w:p>
        </w:tc>
        <w:tc>
          <w:tcPr>
            <w:tcW w:w="2745" w:type="dxa"/>
            <w:vMerge/>
            <w:tcBorders>
              <w:left w:val="single" w:sz="2" w:space="0" w:color="DDDDDD"/>
            </w:tcBorders>
            <w:shd w:val="clear" w:color="auto" w:fill="EEEEEE"/>
          </w:tcPr>
          <w:p w14:paraId="7E58D65A"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31243EA5"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568414D6"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shd w:val="clear" w:color="auto" w:fill="EEEEEE"/>
          </w:tcPr>
          <w:p w14:paraId="242027DE"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w:t>
            </w:r>
          </w:p>
        </w:tc>
        <w:tc>
          <w:tcPr>
            <w:tcW w:w="1276" w:type="dxa"/>
            <w:tcBorders>
              <w:left w:val="single" w:sz="2" w:space="0" w:color="DDDDDD"/>
              <w:bottom w:val="single" w:sz="2" w:space="0" w:color="DDDDDD"/>
              <w:right w:val="single" w:sz="2" w:space="0" w:color="DDDDDD"/>
            </w:tcBorders>
            <w:shd w:val="clear" w:color="auto" w:fill="EEEEEE"/>
          </w:tcPr>
          <w:p w14:paraId="00A6262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r>
      <w:tr w:rsidR="00393736" w:rsidRPr="00393736" w14:paraId="04A63A29" w14:textId="77777777" w:rsidTr="006F0C87">
        <w:tc>
          <w:tcPr>
            <w:tcW w:w="3490" w:type="dxa"/>
            <w:tcBorders>
              <w:left w:val="single" w:sz="2" w:space="0" w:color="DDDDDD"/>
              <w:bottom w:val="single" w:sz="2" w:space="0" w:color="DDDDDD"/>
            </w:tcBorders>
            <w:shd w:val="clear" w:color="auto" w:fill="EEEEEE"/>
          </w:tcPr>
          <w:p w14:paraId="10154CA1" w14:textId="77777777" w:rsidR="00393736" w:rsidRPr="00393736" w:rsidRDefault="00393736" w:rsidP="006F0C87">
            <w:pPr>
              <w:spacing w:line="240" w:lineRule="auto"/>
              <w:rPr>
                <w:rFonts w:cs="Arial"/>
                <w:sz w:val="20"/>
              </w:rPr>
            </w:pPr>
            <w:r w:rsidRPr="00393736">
              <w:rPr>
                <w:rFonts w:cs="Arial"/>
                <w:sz w:val="20"/>
              </w:rPr>
              <w:t>Process students</w:t>
            </w:r>
          </w:p>
        </w:tc>
        <w:tc>
          <w:tcPr>
            <w:tcW w:w="2745" w:type="dxa"/>
            <w:vMerge/>
            <w:tcBorders>
              <w:left w:val="single" w:sz="2" w:space="0" w:color="DDDDDD"/>
            </w:tcBorders>
            <w:shd w:val="clear" w:color="auto" w:fill="EEEEEE"/>
          </w:tcPr>
          <w:p w14:paraId="1C297ED6"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7EF3A7BA"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647673CE"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shd w:val="clear" w:color="auto" w:fill="EEEEEE"/>
          </w:tcPr>
          <w:p w14:paraId="2F45975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4</w:t>
            </w:r>
          </w:p>
        </w:tc>
        <w:tc>
          <w:tcPr>
            <w:tcW w:w="1276" w:type="dxa"/>
            <w:tcBorders>
              <w:left w:val="single" w:sz="2" w:space="0" w:color="DDDDDD"/>
              <w:bottom w:val="single" w:sz="2" w:space="0" w:color="DDDDDD"/>
              <w:right w:val="single" w:sz="2" w:space="0" w:color="DDDDDD"/>
            </w:tcBorders>
            <w:shd w:val="clear" w:color="auto" w:fill="EEEEEE"/>
          </w:tcPr>
          <w:p w14:paraId="1BCC38A8"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r>
      <w:tr w:rsidR="00393736" w:rsidRPr="00393736" w14:paraId="13FCA1C0" w14:textId="77777777" w:rsidTr="006F0C87">
        <w:tc>
          <w:tcPr>
            <w:tcW w:w="3490" w:type="dxa"/>
            <w:tcBorders>
              <w:left w:val="single" w:sz="2" w:space="0" w:color="DDDDDD"/>
              <w:bottom w:val="single" w:sz="2" w:space="0" w:color="DDDDDD"/>
            </w:tcBorders>
          </w:tcPr>
          <w:p w14:paraId="7811E20D"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Timing</w:t>
            </w:r>
          </w:p>
        </w:tc>
        <w:tc>
          <w:tcPr>
            <w:tcW w:w="2745" w:type="dxa"/>
            <w:vMerge/>
            <w:tcBorders>
              <w:left w:val="single" w:sz="2" w:space="0" w:color="DDDDDD"/>
            </w:tcBorders>
          </w:tcPr>
          <w:p w14:paraId="6119FE89"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3D46CAAD" w14:textId="77777777" w:rsidR="00393736" w:rsidRPr="00393736" w:rsidRDefault="00393736" w:rsidP="006F0C87">
            <w:pPr>
              <w:pStyle w:val="TableContents"/>
              <w:jc w:val="right"/>
              <w:rPr>
                <w:rFonts w:ascii="Arial" w:hAnsi="Arial" w:cs="Arial"/>
                <w:sz w:val="20"/>
                <w:szCs w:val="20"/>
              </w:rPr>
            </w:pPr>
          </w:p>
        </w:tc>
        <w:tc>
          <w:tcPr>
            <w:tcW w:w="1984" w:type="dxa"/>
            <w:tcBorders>
              <w:left w:val="single" w:sz="2" w:space="0" w:color="DDDDDD"/>
              <w:bottom w:val="single" w:sz="2" w:space="0" w:color="DDDDDD"/>
              <w:right w:val="single" w:sz="2" w:space="0" w:color="DDDDDD"/>
            </w:tcBorders>
          </w:tcPr>
          <w:p w14:paraId="5FDA20D1" w14:textId="77777777" w:rsidR="00393736" w:rsidRPr="00393736" w:rsidRDefault="00393736" w:rsidP="006F0C87">
            <w:pPr>
              <w:pStyle w:val="TableContents"/>
              <w:jc w:val="right"/>
              <w:rPr>
                <w:rFonts w:ascii="Arial" w:hAnsi="Arial" w:cs="Arial"/>
                <w:sz w:val="20"/>
                <w:szCs w:val="20"/>
              </w:rPr>
            </w:pPr>
          </w:p>
        </w:tc>
        <w:tc>
          <w:tcPr>
            <w:tcW w:w="1418" w:type="dxa"/>
            <w:tcBorders>
              <w:left w:val="single" w:sz="2" w:space="0" w:color="DDDDDD"/>
              <w:bottom w:val="single" w:sz="2" w:space="0" w:color="DDDDDD"/>
            </w:tcBorders>
          </w:tcPr>
          <w:p w14:paraId="4E29E73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20</w:t>
            </w:r>
          </w:p>
        </w:tc>
        <w:tc>
          <w:tcPr>
            <w:tcW w:w="1276" w:type="dxa"/>
            <w:tcBorders>
              <w:left w:val="single" w:sz="2" w:space="0" w:color="DDDDDD"/>
              <w:bottom w:val="single" w:sz="2" w:space="0" w:color="DDDDDD"/>
              <w:right w:val="single" w:sz="2" w:space="0" w:color="DDDDDD"/>
            </w:tcBorders>
          </w:tcPr>
          <w:p w14:paraId="3897008B"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33</w:t>
            </w:r>
          </w:p>
        </w:tc>
      </w:tr>
    </w:tbl>
    <w:p w14:paraId="5DD600A4" w14:textId="77777777" w:rsidR="00393736" w:rsidRPr="00393736" w:rsidRDefault="00393736" w:rsidP="00393736">
      <w:pPr>
        <w:spacing w:line="240" w:lineRule="auto"/>
        <w:rPr>
          <w:rFonts w:cs="Arial"/>
          <w:sz w:val="20"/>
        </w:rPr>
      </w:pPr>
      <w:r w:rsidRPr="00393736">
        <w:rPr>
          <w:rFonts w:cs="Arial"/>
          <w:sz w:val="20"/>
        </w:rPr>
        <w:t>Table 7: The process of design</w:t>
      </w:r>
    </w:p>
    <w:p w14:paraId="75E36EC3" w14:textId="77777777" w:rsidR="00393736" w:rsidRPr="00393736" w:rsidRDefault="00393736" w:rsidP="00393736">
      <w:pPr>
        <w:rPr>
          <w:rFonts w:cs="Arial"/>
          <w:sz w:val="20"/>
        </w:rPr>
      </w:pPr>
    </w:p>
    <w:tbl>
      <w:tblPr>
        <w:tblW w:w="4621" w:type="pct"/>
        <w:tblLayout w:type="fixed"/>
        <w:tblCellMar>
          <w:top w:w="55" w:type="dxa"/>
          <w:left w:w="55" w:type="dxa"/>
          <w:bottom w:w="55" w:type="dxa"/>
          <w:right w:w="55" w:type="dxa"/>
        </w:tblCellMar>
        <w:tblLook w:val="04A0" w:firstRow="1" w:lastRow="0" w:firstColumn="1" w:lastColumn="0" w:noHBand="0" w:noVBand="1"/>
      </w:tblPr>
      <w:tblGrid>
        <w:gridCol w:w="2085"/>
        <w:gridCol w:w="1652"/>
        <w:gridCol w:w="1209"/>
        <w:gridCol w:w="1210"/>
        <w:gridCol w:w="879"/>
        <w:gridCol w:w="797"/>
      </w:tblGrid>
      <w:tr w:rsidR="00393736" w:rsidRPr="00393736" w14:paraId="53F654CC" w14:textId="77777777" w:rsidTr="006F0C87">
        <w:trPr>
          <w:trHeight w:val="451"/>
          <w:tblHeader/>
        </w:trPr>
        <w:tc>
          <w:tcPr>
            <w:tcW w:w="3490" w:type="dxa"/>
            <w:tcBorders>
              <w:top w:val="single" w:sz="2" w:space="0" w:color="DDDDDD"/>
              <w:left w:val="single" w:sz="2" w:space="0" w:color="DDDDDD"/>
              <w:bottom w:val="single" w:sz="2" w:space="0" w:color="DDDDDD"/>
            </w:tcBorders>
            <w:shd w:val="clear" w:color="auto" w:fill="6699CC"/>
            <w:vAlign w:val="center"/>
          </w:tcPr>
          <w:p w14:paraId="311D3137"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Initial code</w:t>
            </w:r>
          </w:p>
        </w:tc>
        <w:tc>
          <w:tcPr>
            <w:tcW w:w="2745" w:type="dxa"/>
            <w:tcBorders>
              <w:top w:val="single" w:sz="2" w:space="0" w:color="DDDDDD"/>
              <w:left w:val="single" w:sz="2" w:space="0" w:color="DDDDDD"/>
              <w:bottom w:val="single" w:sz="2" w:space="0" w:color="DDDDDD"/>
            </w:tcBorders>
            <w:shd w:val="clear" w:color="auto" w:fill="6699CC"/>
            <w:vAlign w:val="center"/>
          </w:tcPr>
          <w:p w14:paraId="47F5E6EB" w14:textId="77777777" w:rsidR="00393736" w:rsidRPr="00EE68C9" w:rsidRDefault="00393736" w:rsidP="006F0C87">
            <w:pPr>
              <w:pStyle w:val="TableHeading"/>
              <w:jc w:val="left"/>
              <w:rPr>
                <w:rFonts w:ascii="Arial" w:hAnsi="Arial" w:cs="Arial"/>
                <w:color w:val="000000"/>
                <w:sz w:val="20"/>
                <w:szCs w:val="20"/>
              </w:rPr>
            </w:pPr>
            <w:r w:rsidRPr="00EE68C9">
              <w:rPr>
                <w:rFonts w:ascii="Arial" w:hAnsi="Arial" w:cs="Arial"/>
                <w:color w:val="000000"/>
                <w:sz w:val="20"/>
                <w:szCs w:val="20"/>
              </w:rPr>
              <w:t>Theme</w:t>
            </w:r>
          </w:p>
        </w:tc>
        <w:tc>
          <w:tcPr>
            <w:tcW w:w="1984" w:type="dxa"/>
            <w:tcBorders>
              <w:top w:val="single" w:sz="2" w:space="0" w:color="DDDDDD"/>
              <w:left w:val="single" w:sz="2" w:space="0" w:color="DDDDDD"/>
              <w:bottom w:val="single" w:sz="2" w:space="0" w:color="DDDDDD"/>
              <w:right w:val="single" w:sz="2" w:space="0" w:color="DDDDDD"/>
            </w:tcBorders>
            <w:shd w:val="clear" w:color="auto" w:fill="6699CC"/>
          </w:tcPr>
          <w:p w14:paraId="3FA89A57"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Influence</w:t>
            </w:r>
          </w:p>
        </w:tc>
        <w:tc>
          <w:tcPr>
            <w:tcW w:w="1985" w:type="dxa"/>
            <w:tcBorders>
              <w:top w:val="single" w:sz="2" w:space="0" w:color="DDDDDD"/>
              <w:left w:val="single" w:sz="2" w:space="0" w:color="DDDDDD"/>
              <w:bottom w:val="single" w:sz="2" w:space="0" w:color="DDDDDD"/>
              <w:right w:val="single" w:sz="2" w:space="0" w:color="DDDDDD"/>
            </w:tcBorders>
            <w:shd w:val="clear" w:color="auto" w:fill="6699CC"/>
          </w:tcPr>
          <w:p w14:paraId="4235D4B2"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Section: Impact</w:t>
            </w:r>
          </w:p>
        </w:tc>
        <w:tc>
          <w:tcPr>
            <w:tcW w:w="1417" w:type="dxa"/>
            <w:tcBorders>
              <w:top w:val="single" w:sz="2" w:space="0" w:color="DDDDDD"/>
              <w:left w:val="single" w:sz="2" w:space="0" w:color="DDDDDD"/>
              <w:bottom w:val="single" w:sz="2" w:space="0" w:color="DDDDDD"/>
            </w:tcBorders>
            <w:shd w:val="clear" w:color="auto" w:fill="6699CC"/>
            <w:vAlign w:val="center"/>
          </w:tcPr>
          <w:p w14:paraId="262D8962"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Sources</w:t>
            </w:r>
          </w:p>
        </w:tc>
        <w:tc>
          <w:tcPr>
            <w:tcW w:w="1276" w:type="dxa"/>
            <w:tcBorders>
              <w:top w:val="single" w:sz="2" w:space="0" w:color="DDDDDD"/>
              <w:left w:val="single" w:sz="2" w:space="0" w:color="DDDDDD"/>
              <w:bottom w:val="single" w:sz="2" w:space="0" w:color="DDDDDD"/>
            </w:tcBorders>
            <w:shd w:val="clear" w:color="auto" w:fill="6699CC"/>
            <w:vAlign w:val="center"/>
          </w:tcPr>
          <w:p w14:paraId="3BFC2A7A" w14:textId="77777777" w:rsidR="00393736" w:rsidRPr="00EE68C9" w:rsidRDefault="00393736" w:rsidP="006F0C87">
            <w:pPr>
              <w:pStyle w:val="TableHeading"/>
              <w:rPr>
                <w:rFonts w:ascii="Arial" w:hAnsi="Arial" w:cs="Arial"/>
                <w:color w:val="000000"/>
                <w:sz w:val="20"/>
                <w:szCs w:val="20"/>
              </w:rPr>
            </w:pPr>
            <w:r w:rsidRPr="00EE68C9">
              <w:rPr>
                <w:rFonts w:ascii="Arial" w:hAnsi="Arial" w:cs="Arial"/>
                <w:color w:val="000000"/>
                <w:sz w:val="20"/>
                <w:szCs w:val="20"/>
              </w:rPr>
              <w:t>References</w:t>
            </w:r>
          </w:p>
        </w:tc>
      </w:tr>
      <w:tr w:rsidR="00393736" w:rsidRPr="00393736" w14:paraId="50047267" w14:textId="77777777" w:rsidTr="006F0C87">
        <w:tc>
          <w:tcPr>
            <w:tcW w:w="3490" w:type="dxa"/>
            <w:tcBorders>
              <w:left w:val="single" w:sz="2" w:space="0" w:color="DDDDDD"/>
              <w:bottom w:val="single" w:sz="2" w:space="0" w:color="DDDDDD"/>
            </w:tcBorders>
          </w:tcPr>
          <w:p w14:paraId="2C200514" w14:textId="77777777" w:rsidR="00393736" w:rsidRPr="00393736" w:rsidRDefault="00393736" w:rsidP="006F0C87">
            <w:pPr>
              <w:pStyle w:val="TableContents"/>
              <w:rPr>
                <w:rFonts w:ascii="Arial" w:hAnsi="Arial" w:cs="Arial"/>
                <w:sz w:val="20"/>
                <w:szCs w:val="20"/>
              </w:rPr>
            </w:pPr>
            <w:r w:rsidRPr="00393736">
              <w:rPr>
                <w:rFonts w:ascii="Arial" w:hAnsi="Arial" w:cs="Arial"/>
                <w:sz w:val="20"/>
                <w:szCs w:val="20"/>
              </w:rPr>
              <w:t>Pedagogy</w:t>
            </w:r>
          </w:p>
        </w:tc>
        <w:tc>
          <w:tcPr>
            <w:tcW w:w="2745" w:type="dxa"/>
            <w:tcBorders>
              <w:left w:val="single" w:sz="2" w:space="0" w:color="DDDDDD"/>
            </w:tcBorders>
          </w:tcPr>
          <w:p w14:paraId="636FAA7A" w14:textId="77777777" w:rsidR="00393736" w:rsidRPr="00393736" w:rsidRDefault="00393736" w:rsidP="006F0C87">
            <w:pPr>
              <w:pStyle w:val="TableContents"/>
              <w:rPr>
                <w:rFonts w:ascii="Arial" w:hAnsi="Arial" w:cs="Arial"/>
                <w:b/>
                <w:bCs/>
                <w:sz w:val="20"/>
                <w:szCs w:val="20"/>
              </w:rPr>
            </w:pPr>
          </w:p>
        </w:tc>
        <w:tc>
          <w:tcPr>
            <w:tcW w:w="1984" w:type="dxa"/>
            <w:tcBorders>
              <w:left w:val="single" w:sz="2" w:space="0" w:color="DDDDDD"/>
              <w:bottom w:val="single" w:sz="2" w:space="0" w:color="DDDDDD"/>
              <w:right w:val="single" w:sz="2" w:space="0" w:color="DDDDDD"/>
            </w:tcBorders>
          </w:tcPr>
          <w:p w14:paraId="4DEBFED5"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tcPr>
          <w:p w14:paraId="719C1C86"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0CFF3725"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19</w:t>
            </w:r>
          </w:p>
        </w:tc>
        <w:tc>
          <w:tcPr>
            <w:tcW w:w="1276" w:type="dxa"/>
            <w:tcBorders>
              <w:left w:val="single" w:sz="2" w:space="0" w:color="DDDDDD"/>
              <w:bottom w:val="single" w:sz="2" w:space="0" w:color="DDDDDD"/>
              <w:right w:val="single" w:sz="2" w:space="0" w:color="DDDDDD"/>
            </w:tcBorders>
          </w:tcPr>
          <w:p w14:paraId="35F340A9"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61</w:t>
            </w:r>
          </w:p>
        </w:tc>
      </w:tr>
      <w:tr w:rsidR="00393736" w:rsidRPr="00393736" w14:paraId="3D3C4306" w14:textId="77777777" w:rsidTr="006F0C87">
        <w:tc>
          <w:tcPr>
            <w:tcW w:w="3490" w:type="dxa"/>
            <w:tcBorders>
              <w:left w:val="single" w:sz="2" w:space="0" w:color="DDDDDD"/>
              <w:bottom w:val="single" w:sz="2" w:space="0" w:color="DDDDDD"/>
            </w:tcBorders>
          </w:tcPr>
          <w:p w14:paraId="55A5BF8B" w14:textId="77777777" w:rsidR="00393736" w:rsidRPr="00393736" w:rsidRDefault="00393736" w:rsidP="006F0C87">
            <w:pPr>
              <w:pStyle w:val="TableContents"/>
              <w:rPr>
                <w:rFonts w:ascii="Arial" w:hAnsi="Arial" w:cs="Arial"/>
                <w:sz w:val="20"/>
                <w:szCs w:val="20"/>
              </w:rPr>
            </w:pPr>
          </w:p>
        </w:tc>
        <w:tc>
          <w:tcPr>
            <w:tcW w:w="2745" w:type="dxa"/>
            <w:vMerge w:val="restart"/>
            <w:tcBorders>
              <w:left w:val="single" w:sz="2" w:space="0" w:color="DDDDDD"/>
            </w:tcBorders>
          </w:tcPr>
          <w:p w14:paraId="52B22770" w14:textId="77777777" w:rsidR="00393736" w:rsidRPr="00393736" w:rsidRDefault="00393736" w:rsidP="006F0C87">
            <w:pPr>
              <w:pStyle w:val="TableContents"/>
              <w:rPr>
                <w:rFonts w:ascii="Arial" w:hAnsi="Arial" w:cs="Arial"/>
                <w:b/>
                <w:bCs/>
                <w:sz w:val="20"/>
                <w:szCs w:val="20"/>
              </w:rPr>
            </w:pPr>
            <w:r w:rsidRPr="00393736">
              <w:rPr>
                <w:rFonts w:ascii="Arial" w:hAnsi="Arial" w:cs="Arial"/>
                <w:b/>
                <w:bCs/>
                <w:sz w:val="20"/>
                <w:szCs w:val="20"/>
              </w:rPr>
              <w:t>References outside of the scope of the work</w:t>
            </w:r>
          </w:p>
        </w:tc>
        <w:tc>
          <w:tcPr>
            <w:tcW w:w="1984" w:type="dxa"/>
            <w:tcBorders>
              <w:left w:val="single" w:sz="2" w:space="0" w:color="DDDDDD"/>
              <w:bottom w:val="single" w:sz="2" w:space="0" w:color="DDDDDD"/>
              <w:right w:val="single" w:sz="2" w:space="0" w:color="DDDDDD"/>
            </w:tcBorders>
          </w:tcPr>
          <w:p w14:paraId="179FDBC4"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tcPr>
          <w:p w14:paraId="6ABEAD24"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tcPr>
          <w:p w14:paraId="30052E19" w14:textId="77777777" w:rsidR="00393736" w:rsidRPr="00393736" w:rsidRDefault="00393736" w:rsidP="006F0C87">
            <w:pPr>
              <w:pStyle w:val="TableContents"/>
              <w:jc w:val="right"/>
              <w:rPr>
                <w:rFonts w:ascii="Arial" w:hAnsi="Arial" w:cs="Arial"/>
                <w:sz w:val="20"/>
                <w:szCs w:val="20"/>
              </w:rPr>
            </w:pPr>
          </w:p>
        </w:tc>
        <w:tc>
          <w:tcPr>
            <w:tcW w:w="1276" w:type="dxa"/>
            <w:tcBorders>
              <w:left w:val="single" w:sz="2" w:space="0" w:color="DDDDDD"/>
              <w:bottom w:val="single" w:sz="2" w:space="0" w:color="DDDDDD"/>
              <w:right w:val="single" w:sz="2" w:space="0" w:color="DDDDDD"/>
            </w:tcBorders>
          </w:tcPr>
          <w:p w14:paraId="51C63DC3" w14:textId="77777777" w:rsidR="00393736" w:rsidRPr="00393736" w:rsidRDefault="00393736" w:rsidP="006F0C87">
            <w:pPr>
              <w:pStyle w:val="TableContents"/>
              <w:jc w:val="right"/>
              <w:rPr>
                <w:rFonts w:ascii="Arial" w:hAnsi="Arial" w:cs="Arial"/>
                <w:sz w:val="20"/>
                <w:szCs w:val="20"/>
              </w:rPr>
            </w:pPr>
          </w:p>
        </w:tc>
      </w:tr>
      <w:tr w:rsidR="00393736" w:rsidRPr="00393736" w14:paraId="674C029B" w14:textId="77777777" w:rsidTr="006F0C87">
        <w:tc>
          <w:tcPr>
            <w:tcW w:w="3490" w:type="dxa"/>
            <w:tcBorders>
              <w:left w:val="single" w:sz="2" w:space="0" w:color="DDDDDD"/>
              <w:bottom w:val="single" w:sz="2" w:space="0" w:color="DDDDDD"/>
            </w:tcBorders>
            <w:shd w:val="clear" w:color="auto" w:fill="EEEEEE"/>
          </w:tcPr>
          <w:p w14:paraId="4BE40735" w14:textId="77777777" w:rsidR="00393736" w:rsidRPr="00393736" w:rsidRDefault="00393736" w:rsidP="006F0C87">
            <w:pPr>
              <w:spacing w:line="240" w:lineRule="auto"/>
              <w:rPr>
                <w:rFonts w:cs="Arial"/>
                <w:sz w:val="20"/>
              </w:rPr>
            </w:pPr>
            <w:r w:rsidRPr="00393736">
              <w:rPr>
                <w:rFonts w:cs="Arial"/>
                <w:sz w:val="20"/>
              </w:rPr>
              <w:t>Timetabling</w:t>
            </w:r>
          </w:p>
        </w:tc>
        <w:tc>
          <w:tcPr>
            <w:tcW w:w="2745" w:type="dxa"/>
            <w:vMerge/>
            <w:tcBorders>
              <w:left w:val="single" w:sz="2" w:space="0" w:color="DDDDDD"/>
            </w:tcBorders>
            <w:shd w:val="clear" w:color="auto" w:fill="EEEEEE"/>
          </w:tcPr>
          <w:p w14:paraId="05F567C8" w14:textId="77777777" w:rsidR="00393736" w:rsidRPr="00393736" w:rsidRDefault="00393736" w:rsidP="006F0C87">
            <w:pPr>
              <w:pStyle w:val="TableContents"/>
              <w:rPr>
                <w:rFonts w:ascii="Arial" w:hAnsi="Arial" w:cs="Arial"/>
                <w:sz w:val="20"/>
                <w:szCs w:val="20"/>
              </w:rPr>
            </w:pPr>
          </w:p>
        </w:tc>
        <w:tc>
          <w:tcPr>
            <w:tcW w:w="1984" w:type="dxa"/>
            <w:tcBorders>
              <w:left w:val="single" w:sz="2" w:space="0" w:color="DDDDDD"/>
              <w:bottom w:val="single" w:sz="2" w:space="0" w:color="DDDDDD"/>
              <w:right w:val="single" w:sz="2" w:space="0" w:color="DDDDDD"/>
            </w:tcBorders>
            <w:shd w:val="clear" w:color="auto" w:fill="EEEEEE"/>
          </w:tcPr>
          <w:p w14:paraId="329B09DF" w14:textId="77777777" w:rsidR="00393736" w:rsidRPr="00393736" w:rsidRDefault="00393736" w:rsidP="006F0C87">
            <w:pPr>
              <w:pStyle w:val="TableContents"/>
              <w:jc w:val="right"/>
              <w:rPr>
                <w:rFonts w:ascii="Arial" w:hAnsi="Arial" w:cs="Arial"/>
                <w:sz w:val="20"/>
                <w:szCs w:val="20"/>
              </w:rPr>
            </w:pPr>
          </w:p>
        </w:tc>
        <w:tc>
          <w:tcPr>
            <w:tcW w:w="1985" w:type="dxa"/>
            <w:tcBorders>
              <w:left w:val="single" w:sz="2" w:space="0" w:color="DDDDDD"/>
              <w:bottom w:val="single" w:sz="2" w:space="0" w:color="DDDDDD"/>
              <w:right w:val="single" w:sz="2" w:space="0" w:color="DDDDDD"/>
            </w:tcBorders>
            <w:shd w:val="clear" w:color="auto" w:fill="EEEEEE"/>
          </w:tcPr>
          <w:p w14:paraId="00D67BEB" w14:textId="77777777" w:rsidR="00393736" w:rsidRPr="00393736" w:rsidRDefault="00393736" w:rsidP="006F0C87">
            <w:pPr>
              <w:pStyle w:val="TableContents"/>
              <w:jc w:val="right"/>
              <w:rPr>
                <w:rFonts w:ascii="Arial" w:hAnsi="Arial" w:cs="Arial"/>
                <w:sz w:val="20"/>
                <w:szCs w:val="20"/>
              </w:rPr>
            </w:pPr>
          </w:p>
        </w:tc>
        <w:tc>
          <w:tcPr>
            <w:tcW w:w="1417" w:type="dxa"/>
            <w:tcBorders>
              <w:left w:val="single" w:sz="2" w:space="0" w:color="DDDDDD"/>
              <w:bottom w:val="single" w:sz="2" w:space="0" w:color="DDDDDD"/>
            </w:tcBorders>
            <w:shd w:val="clear" w:color="auto" w:fill="EEEEEE"/>
          </w:tcPr>
          <w:p w14:paraId="3F5C99EC"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3</w:t>
            </w:r>
          </w:p>
        </w:tc>
        <w:tc>
          <w:tcPr>
            <w:tcW w:w="1276" w:type="dxa"/>
            <w:tcBorders>
              <w:left w:val="single" w:sz="2" w:space="0" w:color="DDDDDD"/>
              <w:bottom w:val="single" w:sz="2" w:space="0" w:color="DDDDDD"/>
              <w:right w:val="single" w:sz="2" w:space="0" w:color="DDDDDD"/>
            </w:tcBorders>
            <w:shd w:val="clear" w:color="auto" w:fill="EEEEEE"/>
          </w:tcPr>
          <w:p w14:paraId="5E89CB60" w14:textId="77777777" w:rsidR="00393736" w:rsidRPr="00393736" w:rsidRDefault="00393736" w:rsidP="006F0C87">
            <w:pPr>
              <w:pStyle w:val="TableContents"/>
              <w:jc w:val="right"/>
              <w:rPr>
                <w:rFonts w:ascii="Arial" w:hAnsi="Arial" w:cs="Arial"/>
                <w:sz w:val="20"/>
                <w:szCs w:val="20"/>
              </w:rPr>
            </w:pPr>
            <w:r w:rsidRPr="00393736">
              <w:rPr>
                <w:rFonts w:ascii="Arial" w:hAnsi="Arial" w:cs="Arial"/>
                <w:sz w:val="20"/>
                <w:szCs w:val="20"/>
              </w:rPr>
              <w:t>7</w:t>
            </w:r>
          </w:p>
        </w:tc>
      </w:tr>
    </w:tbl>
    <w:p w14:paraId="6A0CE141" w14:textId="77777777" w:rsidR="00393736" w:rsidRPr="00393736" w:rsidRDefault="00393736" w:rsidP="00393736">
      <w:pPr>
        <w:spacing w:line="240" w:lineRule="auto"/>
        <w:rPr>
          <w:rFonts w:cs="Arial"/>
          <w:sz w:val="20"/>
        </w:rPr>
      </w:pPr>
      <w:r w:rsidRPr="00393736">
        <w:rPr>
          <w:rFonts w:cs="Arial"/>
          <w:sz w:val="20"/>
        </w:rPr>
        <w:t xml:space="preserve">Table 8: Other </w:t>
      </w:r>
    </w:p>
    <w:p w14:paraId="0B2A5881" w14:textId="77777777" w:rsidR="00393736" w:rsidRDefault="00393736" w:rsidP="00393736"/>
    <w:p w14:paraId="3D487760" w14:textId="2639E26F" w:rsidR="00930B92" w:rsidRPr="00930B92" w:rsidRDefault="00930B92" w:rsidP="00930B92">
      <w:pPr>
        <w:pStyle w:val="Heading1"/>
        <w:numPr>
          <w:ilvl w:val="0"/>
          <w:numId w:val="0"/>
        </w:numPr>
        <w:spacing w:before="100" w:after="100" w:afterAutospacing="1" w:line="360" w:lineRule="auto"/>
        <w:rPr>
          <w:rFonts w:ascii="Arial" w:hAnsi="Arial" w:cs="Arial"/>
        </w:rPr>
      </w:pPr>
      <w:bookmarkStart w:id="108" w:name="_Toc223348894"/>
      <w:r w:rsidRPr="00EF0E6B">
        <w:rPr>
          <w:rFonts w:ascii="Arial" w:hAnsi="Arial" w:cs="Arial"/>
        </w:rPr>
        <w:lastRenderedPageBreak/>
        <w:t xml:space="preserve">Appendix </w:t>
      </w:r>
      <w:r>
        <w:rPr>
          <w:rFonts w:ascii="Arial" w:hAnsi="Arial" w:cs="Arial"/>
        </w:rPr>
        <w:t>Fou</w:t>
      </w:r>
      <w:r w:rsidR="00E76CF0">
        <w:rPr>
          <w:rFonts w:ascii="Arial" w:hAnsi="Arial" w:cs="Arial"/>
        </w:rPr>
        <w:t>r</w:t>
      </w:r>
      <w:r w:rsidR="00E76CF0">
        <w:rPr>
          <w:rFonts w:cs="Arial"/>
          <w:b w:val="0"/>
        </w:rPr>
        <w:t>: C</w:t>
      </w:r>
      <w:r w:rsidRPr="00930B92">
        <w:rPr>
          <w:rFonts w:cs="Arial"/>
          <w:b w:val="0"/>
        </w:rPr>
        <w:t xml:space="preserve">ategorisation of participant </w:t>
      </w:r>
      <w:r w:rsidR="00E76CF0">
        <w:rPr>
          <w:rFonts w:cs="Arial"/>
          <w:b w:val="0"/>
        </w:rPr>
        <w:t>law school</w:t>
      </w:r>
      <w:r w:rsidRPr="00930B92">
        <w:rPr>
          <w:rFonts w:cs="Arial"/>
          <w:b w:val="0"/>
        </w:rPr>
        <w:t>s</w:t>
      </w:r>
      <w:r>
        <w:rPr>
          <w:rStyle w:val="FootnoteReference"/>
        </w:rPr>
        <w:footnoteReference w:id="5"/>
      </w:r>
      <w:bookmarkEnd w:id="108"/>
    </w:p>
    <w:tbl>
      <w:tblPr>
        <w:tblStyle w:val="TableGrid"/>
        <w:tblW w:w="8489" w:type="dxa"/>
        <w:tblInd w:w="11" w:type="dxa"/>
        <w:tblLook w:val="04A0" w:firstRow="1" w:lastRow="0" w:firstColumn="1" w:lastColumn="0" w:noHBand="0" w:noVBand="1"/>
      </w:tblPr>
      <w:tblGrid>
        <w:gridCol w:w="2111"/>
        <w:gridCol w:w="1422"/>
        <w:gridCol w:w="2688"/>
        <w:gridCol w:w="2268"/>
      </w:tblGrid>
      <w:tr w:rsidR="00930B92" w:rsidRPr="00930B92" w14:paraId="1F6E709F" w14:textId="77777777" w:rsidTr="00930B92">
        <w:tc>
          <w:tcPr>
            <w:tcW w:w="2111" w:type="dxa"/>
          </w:tcPr>
          <w:p w14:paraId="20186655" w14:textId="682768C5" w:rsidR="00930B92" w:rsidRPr="00930B92" w:rsidRDefault="00E76CF0" w:rsidP="00930B92">
            <w:pPr>
              <w:spacing w:before="0" w:beforeAutospacing="0" w:after="0" w:line="240" w:lineRule="auto"/>
              <w:rPr>
                <w:rFonts w:cs="Arial"/>
                <w:b/>
                <w:bCs/>
                <w:color w:val="000000" w:themeColor="text1"/>
              </w:rPr>
            </w:pPr>
            <w:r>
              <w:rPr>
                <w:rFonts w:cs="Arial"/>
                <w:b/>
                <w:bCs/>
                <w:color w:val="000000" w:themeColor="text1"/>
              </w:rPr>
              <w:t>Law School</w:t>
            </w:r>
          </w:p>
          <w:p w14:paraId="631A9727" w14:textId="77777777" w:rsidR="00930B92" w:rsidRDefault="00930B92" w:rsidP="00930B92">
            <w:pPr>
              <w:spacing w:before="0" w:beforeAutospacing="0" w:after="0" w:line="240" w:lineRule="auto"/>
              <w:rPr>
                <w:rFonts w:cs="Arial"/>
                <w:b/>
                <w:bCs/>
                <w:color w:val="000000" w:themeColor="text1"/>
              </w:rPr>
            </w:pPr>
            <w:r w:rsidRPr="00930B92">
              <w:rPr>
                <w:rFonts w:cs="Arial"/>
                <w:b/>
                <w:bCs/>
                <w:color w:val="000000" w:themeColor="text1"/>
              </w:rPr>
              <w:t>And categorisation</w:t>
            </w:r>
          </w:p>
          <w:p w14:paraId="05FDE50A" w14:textId="77777777" w:rsidR="00930B92" w:rsidRPr="00930B92" w:rsidRDefault="00930B92" w:rsidP="00930B92">
            <w:pPr>
              <w:spacing w:before="0" w:beforeAutospacing="0" w:after="0" w:line="240" w:lineRule="auto"/>
              <w:rPr>
                <w:rFonts w:cs="Arial"/>
                <w:b/>
                <w:bCs/>
                <w:color w:val="000000" w:themeColor="text1"/>
              </w:rPr>
            </w:pPr>
          </w:p>
          <w:p w14:paraId="0E25AFED" w14:textId="6E778ADD" w:rsidR="00930B92" w:rsidRDefault="00930B92" w:rsidP="00930B92">
            <w:pPr>
              <w:spacing w:before="0" w:beforeAutospacing="0" w:after="0" w:line="240" w:lineRule="auto"/>
              <w:rPr>
                <w:rFonts w:cs="Arial"/>
              </w:rPr>
            </w:pPr>
            <w:r w:rsidRPr="00930B92">
              <w:rPr>
                <w:rFonts w:cs="Arial"/>
              </w:rPr>
              <w:t>WP: Widening Participation;</w:t>
            </w:r>
          </w:p>
          <w:p w14:paraId="099A75DA" w14:textId="77777777" w:rsidR="00930B92" w:rsidRPr="00930B92" w:rsidRDefault="00930B92" w:rsidP="00930B92">
            <w:pPr>
              <w:spacing w:before="0" w:beforeAutospacing="0" w:after="0" w:line="240" w:lineRule="auto"/>
              <w:rPr>
                <w:rFonts w:cs="Arial"/>
              </w:rPr>
            </w:pPr>
          </w:p>
          <w:p w14:paraId="56DADB22" w14:textId="77777777" w:rsidR="00930B92" w:rsidRDefault="00930B92" w:rsidP="00930B92">
            <w:pPr>
              <w:spacing w:before="0" w:beforeAutospacing="0" w:after="0" w:line="240" w:lineRule="auto"/>
              <w:rPr>
                <w:rFonts w:cs="Arial"/>
              </w:rPr>
            </w:pPr>
            <w:r w:rsidRPr="00930B92">
              <w:rPr>
                <w:rFonts w:cs="Arial"/>
              </w:rPr>
              <w:t>SS: Semi-selective;</w:t>
            </w:r>
          </w:p>
          <w:p w14:paraId="13BE20D9" w14:textId="77777777" w:rsidR="00930B92" w:rsidRPr="00930B92" w:rsidRDefault="00930B92" w:rsidP="00930B92">
            <w:pPr>
              <w:spacing w:before="0" w:beforeAutospacing="0" w:after="0" w:line="240" w:lineRule="auto"/>
              <w:rPr>
                <w:rFonts w:cs="Arial"/>
              </w:rPr>
            </w:pPr>
          </w:p>
          <w:p w14:paraId="08504BCB" w14:textId="77777777" w:rsidR="00930B92" w:rsidRDefault="00930B92" w:rsidP="00930B92">
            <w:pPr>
              <w:spacing w:before="0" w:beforeAutospacing="0" w:after="0" w:line="240" w:lineRule="auto"/>
              <w:rPr>
                <w:rFonts w:cs="Arial"/>
              </w:rPr>
            </w:pPr>
            <w:r w:rsidRPr="00930B92">
              <w:rPr>
                <w:rFonts w:cs="Arial"/>
              </w:rPr>
              <w:t>S: Selective</w:t>
            </w:r>
          </w:p>
          <w:p w14:paraId="25157E7F" w14:textId="016A84DC" w:rsidR="00930B92" w:rsidRPr="00930B92" w:rsidRDefault="00930B92" w:rsidP="00930B92">
            <w:pPr>
              <w:spacing w:before="0" w:beforeAutospacing="0" w:after="0" w:line="240" w:lineRule="auto"/>
              <w:rPr>
                <w:rFonts w:cs="Arial"/>
              </w:rPr>
            </w:pPr>
          </w:p>
        </w:tc>
        <w:tc>
          <w:tcPr>
            <w:tcW w:w="1422" w:type="dxa"/>
          </w:tcPr>
          <w:p w14:paraId="44A28B21" w14:textId="77777777" w:rsidR="00930B92" w:rsidRPr="00930B92" w:rsidRDefault="00930B92" w:rsidP="00930B92">
            <w:pPr>
              <w:spacing w:before="0" w:beforeAutospacing="0" w:after="0" w:line="240" w:lineRule="auto"/>
              <w:rPr>
                <w:rFonts w:cs="Arial"/>
                <w:b/>
                <w:bCs/>
              </w:rPr>
            </w:pPr>
            <w:r w:rsidRPr="00930B92">
              <w:rPr>
                <w:rFonts w:cs="Arial"/>
                <w:b/>
                <w:bCs/>
              </w:rPr>
              <w:t>TEF 2023</w:t>
            </w:r>
          </w:p>
        </w:tc>
        <w:tc>
          <w:tcPr>
            <w:tcW w:w="2688" w:type="dxa"/>
          </w:tcPr>
          <w:p w14:paraId="2AC04549" w14:textId="77777777" w:rsidR="00930B92" w:rsidRDefault="00930B92" w:rsidP="00930B92">
            <w:pPr>
              <w:spacing w:before="0" w:beforeAutospacing="0" w:after="0" w:line="240" w:lineRule="auto"/>
              <w:rPr>
                <w:rFonts w:cs="Arial"/>
                <w:b/>
                <w:bCs/>
              </w:rPr>
            </w:pPr>
            <w:r w:rsidRPr="00930B92">
              <w:rPr>
                <w:rFonts w:cs="Arial"/>
                <w:b/>
                <w:bCs/>
              </w:rPr>
              <w:t>REF 2021</w:t>
            </w:r>
          </w:p>
          <w:p w14:paraId="72D93109" w14:textId="77777777" w:rsidR="00930B92" w:rsidRPr="00930B92" w:rsidRDefault="00930B92" w:rsidP="00930B92">
            <w:pPr>
              <w:spacing w:before="0" w:beforeAutospacing="0" w:after="0" w:line="240" w:lineRule="auto"/>
              <w:rPr>
                <w:rFonts w:cs="Arial"/>
                <w:b/>
                <w:bCs/>
              </w:rPr>
            </w:pPr>
          </w:p>
          <w:p w14:paraId="2D2EC242" w14:textId="77777777" w:rsidR="00930B92" w:rsidRPr="00930B92" w:rsidRDefault="00930B92" w:rsidP="00930B92">
            <w:pPr>
              <w:spacing w:before="0" w:beforeAutospacing="0" w:after="0" w:line="240" w:lineRule="auto"/>
              <w:rPr>
                <w:rFonts w:cs="Arial"/>
              </w:rPr>
            </w:pPr>
            <w:r w:rsidRPr="00930B92">
              <w:rPr>
                <w:rFonts w:cs="Arial"/>
              </w:rPr>
              <w:t>(Hierarchically only in relation to each other from 1 to 14, with – representing no submission)</w:t>
            </w:r>
          </w:p>
        </w:tc>
        <w:tc>
          <w:tcPr>
            <w:tcW w:w="2268" w:type="dxa"/>
          </w:tcPr>
          <w:p w14:paraId="75DF356A" w14:textId="77777777" w:rsidR="00930B92" w:rsidRDefault="00930B92" w:rsidP="00930B92">
            <w:pPr>
              <w:spacing w:before="0" w:beforeAutospacing="0" w:after="0" w:line="240" w:lineRule="auto"/>
              <w:rPr>
                <w:rFonts w:cs="Arial"/>
              </w:rPr>
            </w:pPr>
            <w:r w:rsidRPr="00930B92">
              <w:rPr>
                <w:rFonts w:cs="Arial"/>
                <w:b/>
                <w:bCs/>
              </w:rPr>
              <w:t>Entry Tarriff</w:t>
            </w:r>
            <w:r w:rsidRPr="00930B92">
              <w:rPr>
                <w:rFonts w:cs="Arial"/>
              </w:rPr>
              <w:t xml:space="preserve"> or equivalent</w:t>
            </w:r>
          </w:p>
          <w:p w14:paraId="235CD76F" w14:textId="77777777" w:rsidR="00930B92" w:rsidRPr="00930B92" w:rsidRDefault="00930B92" w:rsidP="00930B92">
            <w:pPr>
              <w:spacing w:before="0" w:beforeAutospacing="0" w:after="0" w:line="240" w:lineRule="auto"/>
              <w:rPr>
                <w:rFonts w:cs="Arial"/>
              </w:rPr>
            </w:pPr>
          </w:p>
          <w:p w14:paraId="0F1122BD" w14:textId="462BB775" w:rsidR="00930B92" w:rsidRPr="00930B92" w:rsidRDefault="00930B92" w:rsidP="00930B92">
            <w:pPr>
              <w:spacing w:before="0" w:beforeAutospacing="0" w:after="0" w:line="240" w:lineRule="auto"/>
              <w:rPr>
                <w:rFonts w:cs="Arial"/>
              </w:rPr>
            </w:pPr>
            <w:r w:rsidRPr="00930B92">
              <w:rPr>
                <w:rFonts w:cs="Arial"/>
              </w:rPr>
              <w:t>(Various online sources)</w:t>
            </w:r>
          </w:p>
        </w:tc>
      </w:tr>
      <w:tr w:rsidR="00930B92" w:rsidRPr="00930B92" w14:paraId="661692B6" w14:textId="77777777" w:rsidTr="00930B92">
        <w:tc>
          <w:tcPr>
            <w:tcW w:w="2111" w:type="dxa"/>
          </w:tcPr>
          <w:p w14:paraId="6AE353EF" w14:textId="77777777" w:rsidR="00930B92" w:rsidRPr="00930B92" w:rsidRDefault="00930B92" w:rsidP="00930B92">
            <w:pPr>
              <w:spacing w:before="0" w:beforeAutospacing="0" w:after="0" w:line="276" w:lineRule="auto"/>
              <w:rPr>
                <w:rFonts w:cs="Arial"/>
              </w:rPr>
            </w:pPr>
            <w:r w:rsidRPr="00930B92">
              <w:rPr>
                <w:rFonts w:cs="Arial"/>
              </w:rPr>
              <w:t>WP 1</w:t>
            </w:r>
          </w:p>
        </w:tc>
        <w:tc>
          <w:tcPr>
            <w:tcW w:w="1422" w:type="dxa"/>
          </w:tcPr>
          <w:p w14:paraId="2E17DF4D"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64DE60F7" w14:textId="77777777" w:rsidR="00930B92" w:rsidRPr="00930B92" w:rsidRDefault="00930B92" w:rsidP="00930B92">
            <w:pPr>
              <w:spacing w:before="0" w:beforeAutospacing="0" w:after="0" w:line="276" w:lineRule="auto"/>
              <w:rPr>
                <w:rFonts w:cs="Arial"/>
              </w:rPr>
            </w:pPr>
            <w:r w:rsidRPr="00930B92">
              <w:rPr>
                <w:rFonts w:cs="Arial"/>
              </w:rPr>
              <w:t>-</w:t>
            </w:r>
          </w:p>
        </w:tc>
        <w:tc>
          <w:tcPr>
            <w:tcW w:w="2268" w:type="dxa"/>
          </w:tcPr>
          <w:p w14:paraId="423AD552" w14:textId="77777777" w:rsidR="00930B92" w:rsidRPr="00930B92" w:rsidRDefault="00930B92" w:rsidP="00930B92">
            <w:pPr>
              <w:spacing w:before="0" w:beforeAutospacing="0" w:after="0" w:line="276" w:lineRule="auto"/>
              <w:rPr>
                <w:rFonts w:cs="Arial"/>
              </w:rPr>
            </w:pPr>
            <w:r w:rsidRPr="00930B92">
              <w:rPr>
                <w:rFonts w:cs="Arial"/>
              </w:rPr>
              <w:t>112</w:t>
            </w:r>
          </w:p>
        </w:tc>
      </w:tr>
      <w:tr w:rsidR="00930B92" w:rsidRPr="00930B92" w14:paraId="1B221C78" w14:textId="77777777" w:rsidTr="00930B92">
        <w:tc>
          <w:tcPr>
            <w:tcW w:w="2111" w:type="dxa"/>
          </w:tcPr>
          <w:p w14:paraId="0B074DDA" w14:textId="77777777" w:rsidR="00930B92" w:rsidRPr="00930B92" w:rsidRDefault="00930B92" w:rsidP="00930B92">
            <w:pPr>
              <w:spacing w:before="0" w:beforeAutospacing="0" w:after="0" w:line="276" w:lineRule="auto"/>
              <w:rPr>
                <w:rFonts w:cs="Arial"/>
              </w:rPr>
            </w:pPr>
            <w:r w:rsidRPr="00930B92">
              <w:rPr>
                <w:rFonts w:cs="Arial"/>
              </w:rPr>
              <w:t>WP 2</w:t>
            </w:r>
          </w:p>
        </w:tc>
        <w:tc>
          <w:tcPr>
            <w:tcW w:w="1422" w:type="dxa"/>
          </w:tcPr>
          <w:p w14:paraId="32424FBB"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34F980DE" w14:textId="77777777" w:rsidR="00930B92" w:rsidRPr="00930B92" w:rsidRDefault="00930B92" w:rsidP="00930B92">
            <w:pPr>
              <w:spacing w:before="0" w:beforeAutospacing="0" w:after="0" w:line="276" w:lineRule="auto"/>
              <w:rPr>
                <w:rFonts w:cs="Arial"/>
              </w:rPr>
            </w:pPr>
            <w:r w:rsidRPr="00930B92">
              <w:rPr>
                <w:rFonts w:cs="Arial"/>
              </w:rPr>
              <w:t>11</w:t>
            </w:r>
          </w:p>
        </w:tc>
        <w:tc>
          <w:tcPr>
            <w:tcW w:w="2268" w:type="dxa"/>
          </w:tcPr>
          <w:p w14:paraId="62D18682" w14:textId="77777777" w:rsidR="00930B92" w:rsidRPr="00930B92" w:rsidRDefault="00930B92" w:rsidP="00930B92">
            <w:pPr>
              <w:spacing w:before="0" w:beforeAutospacing="0" w:after="0" w:line="276" w:lineRule="auto"/>
              <w:rPr>
                <w:rFonts w:cs="Arial"/>
              </w:rPr>
            </w:pPr>
            <w:r w:rsidRPr="00930B92">
              <w:rPr>
                <w:rFonts w:cs="Arial"/>
              </w:rPr>
              <w:t>104-112</w:t>
            </w:r>
          </w:p>
        </w:tc>
      </w:tr>
      <w:tr w:rsidR="00930B92" w:rsidRPr="00930B92" w14:paraId="3C11E107" w14:textId="77777777" w:rsidTr="00930B92">
        <w:tc>
          <w:tcPr>
            <w:tcW w:w="2111" w:type="dxa"/>
          </w:tcPr>
          <w:p w14:paraId="06AAE903" w14:textId="77777777" w:rsidR="00930B92" w:rsidRPr="00930B92" w:rsidRDefault="00930B92" w:rsidP="00930B92">
            <w:pPr>
              <w:spacing w:before="0" w:beforeAutospacing="0" w:after="0" w:line="276" w:lineRule="auto"/>
              <w:rPr>
                <w:rFonts w:cs="Arial"/>
              </w:rPr>
            </w:pPr>
            <w:r w:rsidRPr="00930B92">
              <w:rPr>
                <w:rFonts w:cs="Arial"/>
              </w:rPr>
              <w:t>WP 3</w:t>
            </w:r>
          </w:p>
        </w:tc>
        <w:tc>
          <w:tcPr>
            <w:tcW w:w="1422" w:type="dxa"/>
          </w:tcPr>
          <w:p w14:paraId="65B9BB28"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214DC7AC" w14:textId="77777777" w:rsidR="00930B92" w:rsidRPr="00930B92" w:rsidRDefault="00930B92" w:rsidP="00930B92">
            <w:pPr>
              <w:spacing w:before="0" w:beforeAutospacing="0" w:after="0" w:line="276" w:lineRule="auto"/>
              <w:rPr>
                <w:rFonts w:cs="Arial"/>
              </w:rPr>
            </w:pPr>
            <w:r w:rsidRPr="00930B92">
              <w:rPr>
                <w:rFonts w:cs="Arial"/>
              </w:rPr>
              <w:t>-</w:t>
            </w:r>
          </w:p>
        </w:tc>
        <w:tc>
          <w:tcPr>
            <w:tcW w:w="2268" w:type="dxa"/>
          </w:tcPr>
          <w:p w14:paraId="3FF1D8AB" w14:textId="77777777" w:rsidR="00930B92" w:rsidRPr="00930B92" w:rsidRDefault="00930B92" w:rsidP="00930B92">
            <w:pPr>
              <w:spacing w:before="0" w:beforeAutospacing="0" w:after="0" w:line="276" w:lineRule="auto"/>
              <w:rPr>
                <w:rFonts w:cs="Arial"/>
              </w:rPr>
            </w:pPr>
            <w:r w:rsidRPr="00930B92">
              <w:rPr>
                <w:rFonts w:cs="Arial"/>
              </w:rPr>
              <w:t>112</w:t>
            </w:r>
          </w:p>
        </w:tc>
      </w:tr>
      <w:tr w:rsidR="00930B92" w:rsidRPr="00930B92" w14:paraId="28968CE5" w14:textId="77777777" w:rsidTr="00930B92">
        <w:tc>
          <w:tcPr>
            <w:tcW w:w="2111" w:type="dxa"/>
          </w:tcPr>
          <w:p w14:paraId="14F29945" w14:textId="77777777" w:rsidR="00930B92" w:rsidRPr="00930B92" w:rsidRDefault="00930B92" w:rsidP="00930B92">
            <w:pPr>
              <w:spacing w:before="0" w:beforeAutospacing="0" w:after="0" w:line="276" w:lineRule="auto"/>
              <w:rPr>
                <w:rFonts w:cs="Arial"/>
              </w:rPr>
            </w:pPr>
            <w:r w:rsidRPr="00930B92">
              <w:rPr>
                <w:rFonts w:cs="Arial"/>
              </w:rPr>
              <w:t>WP 4</w:t>
            </w:r>
          </w:p>
        </w:tc>
        <w:tc>
          <w:tcPr>
            <w:tcW w:w="1422" w:type="dxa"/>
          </w:tcPr>
          <w:p w14:paraId="39EEA9BC"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13F25795" w14:textId="77777777" w:rsidR="00930B92" w:rsidRPr="00930B92" w:rsidRDefault="00930B92" w:rsidP="00930B92">
            <w:pPr>
              <w:spacing w:before="0" w:beforeAutospacing="0" w:after="0" w:line="276" w:lineRule="auto"/>
              <w:rPr>
                <w:rFonts w:cs="Arial"/>
              </w:rPr>
            </w:pPr>
            <w:r w:rsidRPr="00930B92">
              <w:rPr>
                <w:rFonts w:cs="Arial"/>
              </w:rPr>
              <w:t>-</w:t>
            </w:r>
          </w:p>
        </w:tc>
        <w:tc>
          <w:tcPr>
            <w:tcW w:w="2268" w:type="dxa"/>
          </w:tcPr>
          <w:p w14:paraId="5316B124" w14:textId="77777777" w:rsidR="00930B92" w:rsidRPr="00930B92" w:rsidRDefault="00930B92" w:rsidP="00930B92">
            <w:pPr>
              <w:spacing w:before="0" w:beforeAutospacing="0" w:after="0" w:line="276" w:lineRule="auto"/>
              <w:rPr>
                <w:rFonts w:cs="Arial"/>
              </w:rPr>
            </w:pPr>
            <w:r w:rsidRPr="00930B92">
              <w:rPr>
                <w:rFonts w:cs="Arial"/>
              </w:rPr>
              <w:t>105</w:t>
            </w:r>
          </w:p>
        </w:tc>
      </w:tr>
      <w:tr w:rsidR="00930B92" w:rsidRPr="00930B92" w14:paraId="716A5737" w14:textId="77777777" w:rsidTr="00930B92">
        <w:tc>
          <w:tcPr>
            <w:tcW w:w="2111" w:type="dxa"/>
          </w:tcPr>
          <w:p w14:paraId="32A7E65D" w14:textId="77777777" w:rsidR="00930B92" w:rsidRPr="00930B92" w:rsidRDefault="00930B92" w:rsidP="00930B92">
            <w:pPr>
              <w:spacing w:before="0" w:beforeAutospacing="0" w:after="0" w:line="276" w:lineRule="auto"/>
              <w:rPr>
                <w:rFonts w:cs="Arial"/>
              </w:rPr>
            </w:pPr>
            <w:r w:rsidRPr="00930B92">
              <w:rPr>
                <w:rFonts w:cs="Arial"/>
              </w:rPr>
              <w:t>WP 5</w:t>
            </w:r>
          </w:p>
        </w:tc>
        <w:tc>
          <w:tcPr>
            <w:tcW w:w="1422" w:type="dxa"/>
          </w:tcPr>
          <w:p w14:paraId="6E3D47F6" w14:textId="77777777" w:rsidR="00930B92" w:rsidRPr="00930B92" w:rsidRDefault="00930B92" w:rsidP="00930B92">
            <w:pPr>
              <w:spacing w:before="0" w:beforeAutospacing="0" w:after="0" w:line="276" w:lineRule="auto"/>
              <w:rPr>
                <w:rFonts w:cs="Arial"/>
              </w:rPr>
            </w:pPr>
            <w:r w:rsidRPr="00930B92">
              <w:rPr>
                <w:rFonts w:cs="Arial"/>
              </w:rPr>
              <w:t>B</w:t>
            </w:r>
          </w:p>
        </w:tc>
        <w:tc>
          <w:tcPr>
            <w:tcW w:w="2688" w:type="dxa"/>
          </w:tcPr>
          <w:p w14:paraId="3FFEA1D4" w14:textId="77777777" w:rsidR="00930B92" w:rsidRPr="00930B92" w:rsidRDefault="00930B92" w:rsidP="00930B92">
            <w:pPr>
              <w:spacing w:before="0" w:beforeAutospacing="0" w:after="0" w:line="276" w:lineRule="auto"/>
              <w:rPr>
                <w:rFonts w:cs="Arial"/>
              </w:rPr>
            </w:pPr>
            <w:r w:rsidRPr="00930B92">
              <w:rPr>
                <w:rFonts w:cs="Arial"/>
              </w:rPr>
              <w:t>14</w:t>
            </w:r>
          </w:p>
        </w:tc>
        <w:tc>
          <w:tcPr>
            <w:tcW w:w="2268" w:type="dxa"/>
          </w:tcPr>
          <w:p w14:paraId="2693066D" w14:textId="77777777" w:rsidR="00930B92" w:rsidRPr="00930B92" w:rsidRDefault="00930B92" w:rsidP="00930B92">
            <w:pPr>
              <w:spacing w:before="0" w:beforeAutospacing="0" w:after="0" w:line="276" w:lineRule="auto"/>
              <w:rPr>
                <w:rFonts w:cs="Arial"/>
              </w:rPr>
            </w:pPr>
            <w:r w:rsidRPr="00930B92">
              <w:rPr>
                <w:rFonts w:cs="Arial"/>
              </w:rPr>
              <w:t>72</w:t>
            </w:r>
          </w:p>
        </w:tc>
      </w:tr>
      <w:tr w:rsidR="00930B92" w:rsidRPr="00930B92" w14:paraId="75B754A8" w14:textId="77777777" w:rsidTr="00930B92">
        <w:tc>
          <w:tcPr>
            <w:tcW w:w="2111" w:type="dxa"/>
          </w:tcPr>
          <w:p w14:paraId="17A0CE19" w14:textId="77777777" w:rsidR="00930B92" w:rsidRPr="00930B92" w:rsidRDefault="00930B92" w:rsidP="00930B92">
            <w:pPr>
              <w:spacing w:before="0" w:beforeAutospacing="0" w:after="0" w:line="276" w:lineRule="auto"/>
              <w:rPr>
                <w:rFonts w:cs="Arial"/>
              </w:rPr>
            </w:pPr>
            <w:r w:rsidRPr="00930B92">
              <w:rPr>
                <w:rFonts w:cs="Arial"/>
              </w:rPr>
              <w:t>WP 6</w:t>
            </w:r>
          </w:p>
        </w:tc>
        <w:tc>
          <w:tcPr>
            <w:tcW w:w="1422" w:type="dxa"/>
          </w:tcPr>
          <w:p w14:paraId="0F0F44F7"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57D56DD4" w14:textId="77777777" w:rsidR="00930B92" w:rsidRPr="00930B92" w:rsidRDefault="00930B92" w:rsidP="00930B92">
            <w:pPr>
              <w:spacing w:before="0" w:beforeAutospacing="0" w:after="0" w:line="276" w:lineRule="auto"/>
              <w:rPr>
                <w:rFonts w:cs="Arial"/>
              </w:rPr>
            </w:pPr>
            <w:r w:rsidRPr="00930B92">
              <w:rPr>
                <w:rFonts w:cs="Arial"/>
              </w:rPr>
              <w:t>-</w:t>
            </w:r>
          </w:p>
        </w:tc>
        <w:tc>
          <w:tcPr>
            <w:tcW w:w="2268" w:type="dxa"/>
          </w:tcPr>
          <w:p w14:paraId="31E33D67" w14:textId="77777777" w:rsidR="00930B92" w:rsidRPr="00930B92" w:rsidRDefault="00930B92" w:rsidP="00930B92">
            <w:pPr>
              <w:spacing w:before="0" w:beforeAutospacing="0" w:after="0" w:line="276" w:lineRule="auto"/>
              <w:rPr>
                <w:rFonts w:cs="Arial"/>
              </w:rPr>
            </w:pPr>
            <w:r w:rsidRPr="00930B92">
              <w:rPr>
                <w:rFonts w:cs="Arial"/>
              </w:rPr>
              <w:t>105</w:t>
            </w:r>
          </w:p>
        </w:tc>
      </w:tr>
      <w:tr w:rsidR="00930B92" w:rsidRPr="00930B92" w14:paraId="48784844" w14:textId="77777777" w:rsidTr="00930B92">
        <w:tc>
          <w:tcPr>
            <w:tcW w:w="2111" w:type="dxa"/>
          </w:tcPr>
          <w:p w14:paraId="1537B2BC" w14:textId="77777777" w:rsidR="00930B92" w:rsidRPr="00930B92" w:rsidRDefault="00930B92" w:rsidP="00930B92">
            <w:pPr>
              <w:spacing w:before="0" w:beforeAutospacing="0" w:after="0" w:line="276" w:lineRule="auto"/>
              <w:rPr>
                <w:rFonts w:cs="Arial"/>
              </w:rPr>
            </w:pPr>
            <w:r w:rsidRPr="00930B92">
              <w:rPr>
                <w:rFonts w:cs="Arial"/>
              </w:rPr>
              <w:t>SS 1</w:t>
            </w:r>
          </w:p>
        </w:tc>
        <w:tc>
          <w:tcPr>
            <w:tcW w:w="1422" w:type="dxa"/>
          </w:tcPr>
          <w:p w14:paraId="14D099F6"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21AF26AB" w14:textId="77777777" w:rsidR="00930B92" w:rsidRPr="00930B92" w:rsidRDefault="00930B92" w:rsidP="00930B92">
            <w:pPr>
              <w:spacing w:before="0" w:beforeAutospacing="0" w:after="0" w:line="276" w:lineRule="auto"/>
              <w:rPr>
                <w:rFonts w:cs="Arial"/>
              </w:rPr>
            </w:pPr>
            <w:r w:rsidRPr="00930B92">
              <w:rPr>
                <w:rFonts w:cs="Arial"/>
              </w:rPr>
              <w:t>2</w:t>
            </w:r>
          </w:p>
        </w:tc>
        <w:tc>
          <w:tcPr>
            <w:tcW w:w="2268" w:type="dxa"/>
          </w:tcPr>
          <w:p w14:paraId="576B3FB8"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67A85E47" w14:textId="77777777" w:rsidTr="00930B92">
        <w:tc>
          <w:tcPr>
            <w:tcW w:w="2111" w:type="dxa"/>
          </w:tcPr>
          <w:p w14:paraId="49792B0D" w14:textId="77777777" w:rsidR="00930B92" w:rsidRPr="00930B92" w:rsidRDefault="00930B92" w:rsidP="00930B92">
            <w:pPr>
              <w:spacing w:before="0" w:beforeAutospacing="0" w:after="0" w:line="276" w:lineRule="auto"/>
              <w:rPr>
                <w:rFonts w:cs="Arial"/>
              </w:rPr>
            </w:pPr>
            <w:r w:rsidRPr="00930B92">
              <w:rPr>
                <w:rFonts w:cs="Arial"/>
              </w:rPr>
              <w:t>SS 2</w:t>
            </w:r>
          </w:p>
        </w:tc>
        <w:tc>
          <w:tcPr>
            <w:tcW w:w="1422" w:type="dxa"/>
          </w:tcPr>
          <w:p w14:paraId="48755D1A" w14:textId="77777777" w:rsidR="00930B92" w:rsidRPr="00930B92" w:rsidRDefault="00930B92" w:rsidP="00930B92">
            <w:pPr>
              <w:spacing w:before="0" w:beforeAutospacing="0" w:after="0" w:line="276" w:lineRule="auto"/>
              <w:rPr>
                <w:rFonts w:cs="Arial"/>
              </w:rPr>
            </w:pPr>
            <w:r w:rsidRPr="00930B92">
              <w:rPr>
                <w:rFonts w:cs="Arial"/>
              </w:rPr>
              <w:t>G</w:t>
            </w:r>
          </w:p>
        </w:tc>
        <w:tc>
          <w:tcPr>
            <w:tcW w:w="2688" w:type="dxa"/>
          </w:tcPr>
          <w:p w14:paraId="59817DF1" w14:textId="77777777" w:rsidR="00930B92" w:rsidRPr="00930B92" w:rsidRDefault="00930B92" w:rsidP="00930B92">
            <w:pPr>
              <w:spacing w:before="0" w:beforeAutospacing="0" w:after="0" w:line="276" w:lineRule="auto"/>
              <w:rPr>
                <w:rFonts w:cs="Arial"/>
              </w:rPr>
            </w:pPr>
            <w:r w:rsidRPr="00930B92">
              <w:rPr>
                <w:rFonts w:cs="Arial"/>
              </w:rPr>
              <w:t>-</w:t>
            </w:r>
          </w:p>
        </w:tc>
        <w:tc>
          <w:tcPr>
            <w:tcW w:w="2268" w:type="dxa"/>
          </w:tcPr>
          <w:p w14:paraId="57C97C0A"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09ABAB16" w14:textId="77777777" w:rsidTr="00930B92">
        <w:tc>
          <w:tcPr>
            <w:tcW w:w="2111" w:type="dxa"/>
          </w:tcPr>
          <w:p w14:paraId="4135B10B" w14:textId="77777777" w:rsidR="00930B92" w:rsidRPr="00930B92" w:rsidRDefault="00930B92" w:rsidP="00930B92">
            <w:pPr>
              <w:spacing w:before="0" w:beforeAutospacing="0" w:after="0" w:line="276" w:lineRule="auto"/>
              <w:rPr>
                <w:rFonts w:cs="Arial"/>
              </w:rPr>
            </w:pPr>
            <w:r w:rsidRPr="00930B92">
              <w:rPr>
                <w:rFonts w:cs="Arial"/>
              </w:rPr>
              <w:t>SS 3</w:t>
            </w:r>
          </w:p>
        </w:tc>
        <w:tc>
          <w:tcPr>
            <w:tcW w:w="1422" w:type="dxa"/>
          </w:tcPr>
          <w:p w14:paraId="43D5D860"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7DDAAB7F" w14:textId="77777777" w:rsidR="00930B92" w:rsidRPr="00930B92" w:rsidRDefault="00930B92" w:rsidP="00930B92">
            <w:pPr>
              <w:spacing w:before="0" w:beforeAutospacing="0" w:after="0" w:line="276" w:lineRule="auto"/>
              <w:rPr>
                <w:rFonts w:cs="Arial"/>
              </w:rPr>
            </w:pPr>
            <w:r w:rsidRPr="00930B92">
              <w:rPr>
                <w:rFonts w:cs="Arial"/>
              </w:rPr>
              <w:t>8</w:t>
            </w:r>
          </w:p>
        </w:tc>
        <w:tc>
          <w:tcPr>
            <w:tcW w:w="2268" w:type="dxa"/>
          </w:tcPr>
          <w:p w14:paraId="48F2120F" w14:textId="77777777" w:rsidR="00930B92" w:rsidRPr="00930B92" w:rsidRDefault="00930B92" w:rsidP="00930B92">
            <w:pPr>
              <w:spacing w:before="0" w:beforeAutospacing="0" w:after="0" w:line="276" w:lineRule="auto"/>
              <w:rPr>
                <w:rFonts w:cs="Arial"/>
              </w:rPr>
            </w:pPr>
            <w:r w:rsidRPr="00930B92">
              <w:rPr>
                <w:rFonts w:cs="Arial"/>
              </w:rPr>
              <w:t>120</w:t>
            </w:r>
          </w:p>
        </w:tc>
      </w:tr>
      <w:tr w:rsidR="00930B92" w:rsidRPr="00930B92" w14:paraId="0D03A6CA" w14:textId="77777777" w:rsidTr="00930B92">
        <w:tc>
          <w:tcPr>
            <w:tcW w:w="2111" w:type="dxa"/>
          </w:tcPr>
          <w:p w14:paraId="19CF121B" w14:textId="77777777" w:rsidR="00930B92" w:rsidRPr="00930B92" w:rsidRDefault="00930B92" w:rsidP="00930B92">
            <w:pPr>
              <w:spacing w:before="0" w:beforeAutospacing="0" w:after="0" w:line="276" w:lineRule="auto"/>
              <w:rPr>
                <w:rFonts w:cs="Arial"/>
              </w:rPr>
            </w:pPr>
            <w:r w:rsidRPr="00930B92">
              <w:rPr>
                <w:rFonts w:cs="Arial"/>
              </w:rPr>
              <w:t>SS 4</w:t>
            </w:r>
          </w:p>
        </w:tc>
        <w:tc>
          <w:tcPr>
            <w:tcW w:w="1422" w:type="dxa"/>
          </w:tcPr>
          <w:p w14:paraId="37F6689B"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0317D123" w14:textId="77777777" w:rsidR="00930B92" w:rsidRPr="00930B92" w:rsidRDefault="00930B92" w:rsidP="00930B92">
            <w:pPr>
              <w:spacing w:before="0" w:beforeAutospacing="0" w:after="0" w:line="276" w:lineRule="auto"/>
              <w:rPr>
                <w:rFonts w:cs="Arial"/>
              </w:rPr>
            </w:pPr>
            <w:r w:rsidRPr="00930B92">
              <w:rPr>
                <w:rFonts w:cs="Arial"/>
              </w:rPr>
              <w:t>9</w:t>
            </w:r>
          </w:p>
        </w:tc>
        <w:tc>
          <w:tcPr>
            <w:tcW w:w="2268" w:type="dxa"/>
          </w:tcPr>
          <w:p w14:paraId="43BEE27D" w14:textId="77777777" w:rsidR="00930B92" w:rsidRPr="00930B92" w:rsidRDefault="00930B92" w:rsidP="00930B92">
            <w:pPr>
              <w:spacing w:before="0" w:beforeAutospacing="0" w:after="0" w:line="276" w:lineRule="auto"/>
              <w:rPr>
                <w:rFonts w:cs="Arial"/>
              </w:rPr>
            </w:pPr>
            <w:r w:rsidRPr="00930B92">
              <w:rPr>
                <w:rFonts w:cs="Arial"/>
              </w:rPr>
              <w:t>120</w:t>
            </w:r>
          </w:p>
        </w:tc>
      </w:tr>
      <w:tr w:rsidR="00930B92" w:rsidRPr="00930B92" w14:paraId="79B6F11B" w14:textId="77777777" w:rsidTr="00930B92">
        <w:tc>
          <w:tcPr>
            <w:tcW w:w="2111" w:type="dxa"/>
          </w:tcPr>
          <w:p w14:paraId="60224189" w14:textId="77777777" w:rsidR="00930B92" w:rsidRPr="00930B92" w:rsidRDefault="00930B92" w:rsidP="00930B92">
            <w:pPr>
              <w:spacing w:before="0" w:beforeAutospacing="0" w:after="0" w:line="276" w:lineRule="auto"/>
              <w:rPr>
                <w:rFonts w:cs="Arial"/>
              </w:rPr>
            </w:pPr>
            <w:r w:rsidRPr="00930B92">
              <w:rPr>
                <w:rFonts w:cs="Arial"/>
              </w:rPr>
              <w:t>SS 5</w:t>
            </w:r>
          </w:p>
        </w:tc>
        <w:tc>
          <w:tcPr>
            <w:tcW w:w="1422" w:type="dxa"/>
          </w:tcPr>
          <w:p w14:paraId="1D3920C7"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33AB3D5F" w14:textId="77777777" w:rsidR="00930B92" w:rsidRPr="00930B92" w:rsidRDefault="00930B92" w:rsidP="00930B92">
            <w:pPr>
              <w:spacing w:before="0" w:beforeAutospacing="0" w:after="0" w:line="276" w:lineRule="auto"/>
              <w:rPr>
                <w:rFonts w:cs="Arial"/>
              </w:rPr>
            </w:pPr>
            <w:r w:rsidRPr="00930B92">
              <w:rPr>
                <w:rFonts w:cs="Arial"/>
              </w:rPr>
              <w:t>12</w:t>
            </w:r>
          </w:p>
        </w:tc>
        <w:tc>
          <w:tcPr>
            <w:tcW w:w="2268" w:type="dxa"/>
          </w:tcPr>
          <w:p w14:paraId="4B5E3F80"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24FE9270" w14:textId="77777777" w:rsidTr="00930B92">
        <w:tc>
          <w:tcPr>
            <w:tcW w:w="2111" w:type="dxa"/>
          </w:tcPr>
          <w:p w14:paraId="7A4C9051" w14:textId="77777777" w:rsidR="00930B92" w:rsidRPr="00930B92" w:rsidRDefault="00930B92" w:rsidP="00930B92">
            <w:pPr>
              <w:spacing w:before="0" w:beforeAutospacing="0" w:after="0" w:line="276" w:lineRule="auto"/>
              <w:rPr>
                <w:rFonts w:cs="Arial"/>
              </w:rPr>
            </w:pPr>
            <w:r w:rsidRPr="00930B92">
              <w:rPr>
                <w:rFonts w:cs="Arial"/>
              </w:rPr>
              <w:t>SS 6</w:t>
            </w:r>
          </w:p>
        </w:tc>
        <w:tc>
          <w:tcPr>
            <w:tcW w:w="1422" w:type="dxa"/>
          </w:tcPr>
          <w:p w14:paraId="664968D6"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2947CBDC" w14:textId="77777777" w:rsidR="00930B92" w:rsidRPr="00930B92" w:rsidRDefault="00930B92" w:rsidP="00930B92">
            <w:pPr>
              <w:spacing w:before="0" w:beforeAutospacing="0" w:after="0" w:line="276" w:lineRule="auto"/>
              <w:rPr>
                <w:rFonts w:cs="Arial"/>
              </w:rPr>
            </w:pPr>
            <w:r w:rsidRPr="00930B92">
              <w:rPr>
                <w:rFonts w:cs="Arial"/>
              </w:rPr>
              <w:t>10</w:t>
            </w:r>
          </w:p>
        </w:tc>
        <w:tc>
          <w:tcPr>
            <w:tcW w:w="2268" w:type="dxa"/>
          </w:tcPr>
          <w:p w14:paraId="426482E6"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0493BEB8" w14:textId="77777777" w:rsidTr="00930B92">
        <w:tc>
          <w:tcPr>
            <w:tcW w:w="2111" w:type="dxa"/>
          </w:tcPr>
          <w:p w14:paraId="5544A735" w14:textId="77777777" w:rsidR="00930B92" w:rsidRPr="00930B92" w:rsidRDefault="00930B92" w:rsidP="00930B92">
            <w:pPr>
              <w:spacing w:before="0" w:beforeAutospacing="0" w:after="0" w:line="276" w:lineRule="auto"/>
              <w:rPr>
                <w:rFonts w:cs="Arial"/>
              </w:rPr>
            </w:pPr>
            <w:r w:rsidRPr="00930B92">
              <w:rPr>
                <w:rFonts w:cs="Arial"/>
              </w:rPr>
              <w:t>SS 7</w:t>
            </w:r>
          </w:p>
        </w:tc>
        <w:tc>
          <w:tcPr>
            <w:tcW w:w="1422" w:type="dxa"/>
          </w:tcPr>
          <w:p w14:paraId="45CF71E6" w14:textId="77777777" w:rsidR="00930B92" w:rsidRPr="00930B92" w:rsidRDefault="00930B92" w:rsidP="00930B92">
            <w:pPr>
              <w:spacing w:before="0" w:beforeAutospacing="0" w:after="0" w:line="276" w:lineRule="auto"/>
              <w:rPr>
                <w:rFonts w:cs="Arial"/>
              </w:rPr>
            </w:pPr>
            <w:r w:rsidRPr="00930B92">
              <w:rPr>
                <w:rFonts w:cs="Arial"/>
              </w:rPr>
              <w:t>G</w:t>
            </w:r>
          </w:p>
        </w:tc>
        <w:tc>
          <w:tcPr>
            <w:tcW w:w="2688" w:type="dxa"/>
          </w:tcPr>
          <w:p w14:paraId="42514FA2" w14:textId="77777777" w:rsidR="00930B92" w:rsidRPr="00930B92" w:rsidRDefault="00930B92" w:rsidP="00930B92">
            <w:pPr>
              <w:spacing w:before="0" w:beforeAutospacing="0" w:after="0" w:line="276" w:lineRule="auto"/>
              <w:rPr>
                <w:rFonts w:cs="Arial"/>
              </w:rPr>
            </w:pPr>
            <w:r w:rsidRPr="00930B92">
              <w:rPr>
                <w:rFonts w:cs="Arial"/>
              </w:rPr>
              <w:t>13</w:t>
            </w:r>
          </w:p>
        </w:tc>
        <w:tc>
          <w:tcPr>
            <w:tcW w:w="2268" w:type="dxa"/>
          </w:tcPr>
          <w:p w14:paraId="4468D3D7" w14:textId="77777777" w:rsidR="00930B92" w:rsidRPr="00930B92" w:rsidRDefault="00930B92" w:rsidP="00930B92">
            <w:pPr>
              <w:spacing w:before="0" w:beforeAutospacing="0" w:after="0" w:line="276" w:lineRule="auto"/>
              <w:rPr>
                <w:rFonts w:cs="Arial"/>
              </w:rPr>
            </w:pPr>
            <w:r w:rsidRPr="00930B92">
              <w:rPr>
                <w:rFonts w:cs="Arial"/>
              </w:rPr>
              <w:t>Various</w:t>
            </w:r>
          </w:p>
        </w:tc>
      </w:tr>
      <w:tr w:rsidR="00930B92" w:rsidRPr="00930B92" w14:paraId="032E04D8" w14:textId="77777777" w:rsidTr="00930B92">
        <w:tc>
          <w:tcPr>
            <w:tcW w:w="2111" w:type="dxa"/>
          </w:tcPr>
          <w:p w14:paraId="330843A1" w14:textId="77777777" w:rsidR="00930B92" w:rsidRPr="00930B92" w:rsidRDefault="00930B92" w:rsidP="00930B92">
            <w:pPr>
              <w:spacing w:before="0" w:beforeAutospacing="0" w:after="0" w:line="276" w:lineRule="auto"/>
              <w:rPr>
                <w:rFonts w:cs="Arial"/>
              </w:rPr>
            </w:pPr>
            <w:r w:rsidRPr="00930B92">
              <w:rPr>
                <w:rFonts w:cs="Arial"/>
              </w:rPr>
              <w:t>S 1</w:t>
            </w:r>
          </w:p>
        </w:tc>
        <w:tc>
          <w:tcPr>
            <w:tcW w:w="1422" w:type="dxa"/>
          </w:tcPr>
          <w:p w14:paraId="5F174676" w14:textId="77777777" w:rsidR="00930B92" w:rsidRPr="00930B92" w:rsidRDefault="00930B92" w:rsidP="00930B92">
            <w:pPr>
              <w:spacing w:before="0" w:beforeAutospacing="0" w:after="0" w:line="276" w:lineRule="auto"/>
              <w:rPr>
                <w:rFonts w:cs="Arial"/>
              </w:rPr>
            </w:pPr>
            <w:r w:rsidRPr="00930B92">
              <w:rPr>
                <w:rFonts w:cs="Arial"/>
              </w:rPr>
              <w:t>G</w:t>
            </w:r>
          </w:p>
        </w:tc>
        <w:tc>
          <w:tcPr>
            <w:tcW w:w="2688" w:type="dxa"/>
          </w:tcPr>
          <w:p w14:paraId="1AF707F1" w14:textId="77777777" w:rsidR="00930B92" w:rsidRPr="00930B92" w:rsidRDefault="00930B92" w:rsidP="00930B92">
            <w:pPr>
              <w:spacing w:before="0" w:beforeAutospacing="0" w:after="0" w:line="276" w:lineRule="auto"/>
              <w:rPr>
                <w:rFonts w:cs="Arial"/>
              </w:rPr>
            </w:pPr>
            <w:r w:rsidRPr="00930B92">
              <w:rPr>
                <w:rFonts w:cs="Arial"/>
              </w:rPr>
              <w:t>6</w:t>
            </w:r>
          </w:p>
        </w:tc>
        <w:tc>
          <w:tcPr>
            <w:tcW w:w="2268" w:type="dxa"/>
          </w:tcPr>
          <w:p w14:paraId="11F871AF" w14:textId="77777777" w:rsidR="00930B92" w:rsidRPr="00930B92" w:rsidRDefault="00930B92" w:rsidP="00930B92">
            <w:pPr>
              <w:spacing w:before="0" w:beforeAutospacing="0" w:after="0" w:line="276" w:lineRule="auto"/>
              <w:rPr>
                <w:rFonts w:cs="Arial"/>
              </w:rPr>
            </w:pPr>
            <w:r w:rsidRPr="00930B92">
              <w:rPr>
                <w:rFonts w:cs="Arial"/>
              </w:rPr>
              <w:t>144</w:t>
            </w:r>
          </w:p>
        </w:tc>
      </w:tr>
      <w:tr w:rsidR="00930B92" w:rsidRPr="00930B92" w14:paraId="4C5A9E00" w14:textId="77777777" w:rsidTr="00930B92">
        <w:tc>
          <w:tcPr>
            <w:tcW w:w="2111" w:type="dxa"/>
          </w:tcPr>
          <w:p w14:paraId="177C83C6" w14:textId="77777777" w:rsidR="00930B92" w:rsidRPr="00930B92" w:rsidRDefault="00930B92" w:rsidP="00930B92">
            <w:pPr>
              <w:spacing w:before="0" w:beforeAutospacing="0" w:after="0" w:line="276" w:lineRule="auto"/>
              <w:rPr>
                <w:rFonts w:cs="Arial"/>
              </w:rPr>
            </w:pPr>
            <w:r w:rsidRPr="00930B92">
              <w:rPr>
                <w:rFonts w:cs="Arial"/>
              </w:rPr>
              <w:t>S 2</w:t>
            </w:r>
          </w:p>
        </w:tc>
        <w:tc>
          <w:tcPr>
            <w:tcW w:w="1422" w:type="dxa"/>
          </w:tcPr>
          <w:p w14:paraId="1ED80A57" w14:textId="77777777" w:rsidR="00930B92" w:rsidRPr="00930B92" w:rsidRDefault="00930B92" w:rsidP="00930B92">
            <w:pPr>
              <w:spacing w:before="0" w:beforeAutospacing="0" w:after="0" w:line="276" w:lineRule="auto"/>
              <w:rPr>
                <w:rFonts w:cs="Arial"/>
              </w:rPr>
            </w:pPr>
            <w:r w:rsidRPr="00930B92">
              <w:rPr>
                <w:rFonts w:cs="Arial"/>
              </w:rPr>
              <w:t>G</w:t>
            </w:r>
          </w:p>
        </w:tc>
        <w:tc>
          <w:tcPr>
            <w:tcW w:w="2688" w:type="dxa"/>
          </w:tcPr>
          <w:p w14:paraId="61117A0E" w14:textId="77777777" w:rsidR="00930B92" w:rsidRPr="00930B92" w:rsidRDefault="00930B92" w:rsidP="00930B92">
            <w:pPr>
              <w:spacing w:before="0" w:beforeAutospacing="0" w:after="0" w:line="276" w:lineRule="auto"/>
              <w:rPr>
                <w:rFonts w:cs="Arial"/>
              </w:rPr>
            </w:pPr>
            <w:r w:rsidRPr="00930B92">
              <w:rPr>
                <w:rFonts w:cs="Arial"/>
              </w:rPr>
              <w:t>7</w:t>
            </w:r>
          </w:p>
        </w:tc>
        <w:tc>
          <w:tcPr>
            <w:tcW w:w="2268" w:type="dxa"/>
          </w:tcPr>
          <w:p w14:paraId="76844BBE" w14:textId="77777777" w:rsidR="00930B92" w:rsidRPr="00930B92" w:rsidRDefault="00930B92" w:rsidP="00930B92">
            <w:pPr>
              <w:spacing w:before="0" w:beforeAutospacing="0" w:after="0" w:line="276" w:lineRule="auto"/>
              <w:rPr>
                <w:rFonts w:cs="Arial"/>
              </w:rPr>
            </w:pPr>
            <w:r w:rsidRPr="00930B92">
              <w:rPr>
                <w:rFonts w:cs="Arial"/>
              </w:rPr>
              <w:t>136</w:t>
            </w:r>
          </w:p>
        </w:tc>
      </w:tr>
      <w:tr w:rsidR="00930B92" w:rsidRPr="00930B92" w14:paraId="28E078D1" w14:textId="77777777" w:rsidTr="00930B92">
        <w:tc>
          <w:tcPr>
            <w:tcW w:w="2111" w:type="dxa"/>
          </w:tcPr>
          <w:p w14:paraId="4B6C4815" w14:textId="77777777" w:rsidR="00930B92" w:rsidRPr="00930B92" w:rsidRDefault="00930B92" w:rsidP="00930B92">
            <w:pPr>
              <w:spacing w:before="0" w:beforeAutospacing="0" w:after="0" w:line="276" w:lineRule="auto"/>
              <w:rPr>
                <w:rFonts w:cs="Arial"/>
              </w:rPr>
            </w:pPr>
            <w:r w:rsidRPr="00930B92">
              <w:rPr>
                <w:rFonts w:cs="Arial"/>
              </w:rPr>
              <w:t>S 3</w:t>
            </w:r>
          </w:p>
        </w:tc>
        <w:tc>
          <w:tcPr>
            <w:tcW w:w="1422" w:type="dxa"/>
          </w:tcPr>
          <w:p w14:paraId="14161E8E"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2F9EE7A8" w14:textId="77777777" w:rsidR="00930B92" w:rsidRPr="00930B92" w:rsidRDefault="00930B92" w:rsidP="00930B92">
            <w:pPr>
              <w:spacing w:before="0" w:beforeAutospacing="0" w:after="0" w:line="276" w:lineRule="auto"/>
              <w:rPr>
                <w:rFonts w:cs="Arial"/>
              </w:rPr>
            </w:pPr>
            <w:r w:rsidRPr="00930B92">
              <w:rPr>
                <w:rFonts w:cs="Arial"/>
              </w:rPr>
              <w:t>4</w:t>
            </w:r>
          </w:p>
        </w:tc>
        <w:tc>
          <w:tcPr>
            <w:tcW w:w="2268" w:type="dxa"/>
          </w:tcPr>
          <w:p w14:paraId="7E29E91A"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3570DC79" w14:textId="77777777" w:rsidTr="00930B92">
        <w:tc>
          <w:tcPr>
            <w:tcW w:w="2111" w:type="dxa"/>
          </w:tcPr>
          <w:p w14:paraId="4687B2D5" w14:textId="77777777" w:rsidR="00930B92" w:rsidRPr="00930B92" w:rsidRDefault="00930B92" w:rsidP="00930B92">
            <w:pPr>
              <w:spacing w:before="0" w:beforeAutospacing="0" w:after="0" w:line="276" w:lineRule="auto"/>
              <w:rPr>
                <w:rFonts w:cs="Arial"/>
              </w:rPr>
            </w:pPr>
            <w:r w:rsidRPr="00930B92">
              <w:rPr>
                <w:rFonts w:cs="Arial"/>
              </w:rPr>
              <w:t>S 4</w:t>
            </w:r>
          </w:p>
        </w:tc>
        <w:tc>
          <w:tcPr>
            <w:tcW w:w="1422" w:type="dxa"/>
          </w:tcPr>
          <w:p w14:paraId="5EE4651A"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7B077A79" w14:textId="77777777" w:rsidR="00930B92" w:rsidRPr="00930B92" w:rsidRDefault="00930B92" w:rsidP="00930B92">
            <w:pPr>
              <w:spacing w:before="0" w:beforeAutospacing="0" w:after="0" w:line="276" w:lineRule="auto"/>
              <w:rPr>
                <w:rFonts w:cs="Arial"/>
              </w:rPr>
            </w:pPr>
            <w:r w:rsidRPr="00930B92">
              <w:rPr>
                <w:rFonts w:cs="Arial"/>
              </w:rPr>
              <w:t>3</w:t>
            </w:r>
          </w:p>
        </w:tc>
        <w:tc>
          <w:tcPr>
            <w:tcW w:w="2268" w:type="dxa"/>
          </w:tcPr>
          <w:p w14:paraId="68F2609A" w14:textId="77777777" w:rsidR="00930B92" w:rsidRPr="00930B92" w:rsidRDefault="00930B92" w:rsidP="00930B92">
            <w:pPr>
              <w:spacing w:before="0" w:beforeAutospacing="0" w:after="0" w:line="276" w:lineRule="auto"/>
              <w:rPr>
                <w:rFonts w:cs="Arial"/>
              </w:rPr>
            </w:pPr>
            <w:r w:rsidRPr="00930B92">
              <w:rPr>
                <w:rFonts w:cs="Arial"/>
              </w:rPr>
              <w:t>144</w:t>
            </w:r>
          </w:p>
        </w:tc>
      </w:tr>
      <w:tr w:rsidR="00930B92" w:rsidRPr="00930B92" w14:paraId="03D34DC1" w14:textId="77777777" w:rsidTr="00930B92">
        <w:tc>
          <w:tcPr>
            <w:tcW w:w="2111" w:type="dxa"/>
          </w:tcPr>
          <w:p w14:paraId="45C6D058" w14:textId="77777777" w:rsidR="00930B92" w:rsidRPr="00930B92" w:rsidRDefault="00930B92" w:rsidP="00930B92">
            <w:pPr>
              <w:spacing w:before="0" w:beforeAutospacing="0" w:after="0" w:line="276" w:lineRule="auto"/>
              <w:rPr>
                <w:rFonts w:cs="Arial"/>
              </w:rPr>
            </w:pPr>
            <w:r w:rsidRPr="00930B92">
              <w:rPr>
                <w:rFonts w:cs="Arial"/>
              </w:rPr>
              <w:t>S 5</w:t>
            </w:r>
          </w:p>
        </w:tc>
        <w:tc>
          <w:tcPr>
            <w:tcW w:w="1422" w:type="dxa"/>
          </w:tcPr>
          <w:p w14:paraId="77339742" w14:textId="77777777" w:rsidR="00930B92" w:rsidRPr="00930B92" w:rsidRDefault="00930B92" w:rsidP="00930B92">
            <w:pPr>
              <w:spacing w:before="0" w:beforeAutospacing="0" w:after="0" w:line="276" w:lineRule="auto"/>
              <w:rPr>
                <w:rFonts w:cs="Arial"/>
              </w:rPr>
            </w:pPr>
            <w:r w:rsidRPr="00930B92">
              <w:rPr>
                <w:rFonts w:cs="Arial"/>
              </w:rPr>
              <w:t>G</w:t>
            </w:r>
          </w:p>
        </w:tc>
        <w:tc>
          <w:tcPr>
            <w:tcW w:w="2688" w:type="dxa"/>
          </w:tcPr>
          <w:p w14:paraId="113EB045" w14:textId="77777777" w:rsidR="00930B92" w:rsidRPr="00930B92" w:rsidRDefault="00930B92" w:rsidP="00930B92">
            <w:pPr>
              <w:spacing w:before="0" w:beforeAutospacing="0" w:after="0" w:line="276" w:lineRule="auto"/>
              <w:rPr>
                <w:rFonts w:cs="Arial"/>
              </w:rPr>
            </w:pPr>
            <w:r w:rsidRPr="00930B92">
              <w:rPr>
                <w:rFonts w:cs="Arial"/>
              </w:rPr>
              <w:t>5</w:t>
            </w:r>
          </w:p>
        </w:tc>
        <w:tc>
          <w:tcPr>
            <w:tcW w:w="2268" w:type="dxa"/>
          </w:tcPr>
          <w:p w14:paraId="2CFD131F" w14:textId="77777777" w:rsidR="00930B92" w:rsidRPr="00930B92" w:rsidRDefault="00930B92" w:rsidP="00930B92">
            <w:pPr>
              <w:spacing w:before="0" w:beforeAutospacing="0" w:after="0" w:line="276" w:lineRule="auto"/>
              <w:rPr>
                <w:rFonts w:cs="Arial"/>
              </w:rPr>
            </w:pPr>
            <w:r w:rsidRPr="00930B92">
              <w:rPr>
                <w:rFonts w:cs="Arial"/>
              </w:rPr>
              <w:t>128</w:t>
            </w:r>
          </w:p>
        </w:tc>
      </w:tr>
      <w:tr w:rsidR="00930B92" w:rsidRPr="00930B92" w14:paraId="3CE5A27B" w14:textId="77777777" w:rsidTr="00930B92">
        <w:tc>
          <w:tcPr>
            <w:tcW w:w="2111" w:type="dxa"/>
          </w:tcPr>
          <w:p w14:paraId="5C5A8F26" w14:textId="77777777" w:rsidR="00930B92" w:rsidRPr="00930B92" w:rsidRDefault="00930B92" w:rsidP="00930B92">
            <w:pPr>
              <w:spacing w:before="0" w:beforeAutospacing="0" w:after="0" w:line="276" w:lineRule="auto"/>
              <w:rPr>
                <w:rFonts w:cs="Arial"/>
              </w:rPr>
            </w:pPr>
            <w:r w:rsidRPr="00930B92">
              <w:rPr>
                <w:rFonts w:cs="Arial"/>
              </w:rPr>
              <w:t>S 6</w:t>
            </w:r>
          </w:p>
        </w:tc>
        <w:tc>
          <w:tcPr>
            <w:tcW w:w="1422" w:type="dxa"/>
          </w:tcPr>
          <w:p w14:paraId="19327AD3" w14:textId="77777777" w:rsidR="00930B92" w:rsidRPr="00930B92" w:rsidRDefault="00930B92" w:rsidP="00930B92">
            <w:pPr>
              <w:spacing w:before="0" w:beforeAutospacing="0" w:after="0" w:line="276" w:lineRule="auto"/>
              <w:rPr>
                <w:rFonts w:cs="Arial"/>
              </w:rPr>
            </w:pPr>
            <w:r w:rsidRPr="00930B92">
              <w:rPr>
                <w:rFonts w:cs="Arial"/>
              </w:rPr>
              <w:t>S</w:t>
            </w:r>
          </w:p>
        </w:tc>
        <w:tc>
          <w:tcPr>
            <w:tcW w:w="2688" w:type="dxa"/>
          </w:tcPr>
          <w:p w14:paraId="409EB836" w14:textId="77777777" w:rsidR="00930B92" w:rsidRPr="00930B92" w:rsidRDefault="00930B92" w:rsidP="00930B92">
            <w:pPr>
              <w:spacing w:before="0" w:beforeAutospacing="0" w:after="0" w:line="276" w:lineRule="auto"/>
              <w:rPr>
                <w:rFonts w:cs="Arial"/>
              </w:rPr>
            </w:pPr>
            <w:r w:rsidRPr="00930B92">
              <w:rPr>
                <w:rFonts w:cs="Arial"/>
              </w:rPr>
              <w:t>1</w:t>
            </w:r>
          </w:p>
        </w:tc>
        <w:tc>
          <w:tcPr>
            <w:tcW w:w="2268" w:type="dxa"/>
          </w:tcPr>
          <w:p w14:paraId="240DB501" w14:textId="77777777" w:rsidR="00930B92" w:rsidRPr="00930B92" w:rsidRDefault="00930B92" w:rsidP="00930B92">
            <w:pPr>
              <w:spacing w:before="0" w:beforeAutospacing="0" w:after="0" w:line="276" w:lineRule="auto"/>
              <w:rPr>
                <w:rFonts w:cs="Arial"/>
              </w:rPr>
            </w:pPr>
            <w:r w:rsidRPr="00930B92">
              <w:rPr>
                <w:rFonts w:cs="Arial"/>
              </w:rPr>
              <w:t>120-136</w:t>
            </w:r>
          </w:p>
        </w:tc>
      </w:tr>
    </w:tbl>
    <w:p w14:paraId="10145E75" w14:textId="69C554CA" w:rsidR="003B4117" w:rsidRPr="00EF0E6B" w:rsidRDefault="003B4117" w:rsidP="007A419E">
      <w:pPr>
        <w:spacing w:after="100" w:afterAutospacing="1" w:line="360" w:lineRule="auto"/>
        <w:rPr>
          <w:rFonts w:cs="Arial"/>
        </w:rPr>
      </w:pPr>
    </w:p>
    <w:p w14:paraId="17CD6471" w14:textId="4AEB3A10" w:rsidR="00081421" w:rsidRPr="00157941" w:rsidRDefault="00081421" w:rsidP="00081421">
      <w:pPr>
        <w:pStyle w:val="Heading1"/>
        <w:numPr>
          <w:ilvl w:val="0"/>
          <w:numId w:val="0"/>
        </w:numPr>
        <w:spacing w:before="100" w:after="100" w:afterAutospacing="1" w:line="360" w:lineRule="auto"/>
        <w:rPr>
          <w:rFonts w:ascii="Arial" w:hAnsi="Arial" w:cs="Arial"/>
        </w:rPr>
      </w:pPr>
      <w:bookmarkStart w:id="109" w:name="_Toc223348895"/>
      <w:bookmarkStart w:id="110" w:name="_Toc208723495"/>
      <w:bookmarkStart w:id="111" w:name="_Toc4491288"/>
      <w:bookmarkStart w:id="112" w:name="_Toc4492093"/>
      <w:r w:rsidRPr="00157941">
        <w:rPr>
          <w:rFonts w:ascii="Arial" w:hAnsi="Arial" w:cs="Arial"/>
        </w:rPr>
        <w:lastRenderedPageBreak/>
        <w:t xml:space="preserve">Appendix Five: </w:t>
      </w:r>
      <w:r w:rsidR="00157941" w:rsidRPr="00157941">
        <w:rPr>
          <w:rFonts w:cs="Arial"/>
        </w:rPr>
        <w:t xml:space="preserve">How categories of </w:t>
      </w:r>
      <w:r w:rsidR="00E76CF0">
        <w:rPr>
          <w:rFonts w:cs="Arial"/>
        </w:rPr>
        <w:t>law school</w:t>
      </w:r>
      <w:r w:rsidR="00157941" w:rsidRPr="00157941">
        <w:rPr>
          <w:rFonts w:cs="Arial"/>
        </w:rPr>
        <w:t xml:space="preserve"> responded differently.</w:t>
      </w:r>
      <w:bookmarkEnd w:id="109"/>
    </w:p>
    <w:p w14:paraId="2A03C7AE" w14:textId="3D1F5240" w:rsidR="00081421" w:rsidRDefault="00081421" w:rsidP="00081421">
      <w:pPr>
        <w:spacing w:before="0" w:beforeAutospacing="0" w:after="0" w:line="240" w:lineRule="auto"/>
        <w:rPr>
          <w:b/>
          <w:bCs/>
          <w:sz w:val="28"/>
          <w:szCs w:val="28"/>
        </w:rPr>
      </w:pPr>
      <w:r w:rsidRPr="00081421">
        <w:rPr>
          <w:b/>
          <w:bCs/>
          <w:sz w:val="28"/>
          <w:szCs w:val="28"/>
        </w:rPr>
        <w:t xml:space="preserve">The ORF (Chapter </w:t>
      </w:r>
      <w:r w:rsidR="00046A61">
        <w:rPr>
          <w:b/>
          <w:bCs/>
          <w:sz w:val="28"/>
          <w:szCs w:val="28"/>
        </w:rPr>
        <w:t>Five</w:t>
      </w:r>
      <w:r w:rsidRPr="00081421">
        <w:rPr>
          <w:b/>
          <w:bCs/>
          <w:sz w:val="28"/>
          <w:szCs w:val="28"/>
        </w:rPr>
        <w:t>)</w:t>
      </w:r>
    </w:p>
    <w:p w14:paraId="79C45150" w14:textId="77777777" w:rsidR="00157941" w:rsidRPr="00081421" w:rsidRDefault="00157941" w:rsidP="00081421">
      <w:pPr>
        <w:spacing w:before="0" w:beforeAutospacing="0" w:after="0" w:line="240" w:lineRule="auto"/>
        <w:rPr>
          <w:b/>
          <w:bCs/>
          <w:sz w:val="28"/>
          <w:szCs w:val="28"/>
        </w:rPr>
      </w:pPr>
    </w:p>
    <w:p w14:paraId="6E1033A0" w14:textId="77777777" w:rsidR="00081421" w:rsidRPr="006966C0" w:rsidRDefault="00081421" w:rsidP="00081421">
      <w:pPr>
        <w:spacing w:before="0" w:beforeAutospacing="0" w:after="0" w:line="240" w:lineRule="auto"/>
        <w:rPr>
          <w:b/>
          <w:bCs/>
        </w:rPr>
      </w:pPr>
    </w:p>
    <w:p w14:paraId="7E998405" w14:textId="77777777" w:rsidR="00081421" w:rsidRDefault="00081421" w:rsidP="00081421">
      <w:pPr>
        <w:spacing w:before="0" w:beforeAutospacing="0" w:after="0" w:line="240" w:lineRule="auto"/>
        <w:rPr>
          <w:b/>
          <w:bCs/>
        </w:rPr>
      </w:pPr>
      <w:r>
        <w:rPr>
          <w:b/>
          <w:bCs/>
        </w:rPr>
        <w:t>The</w:t>
      </w:r>
      <w:r w:rsidRPr="006966C0">
        <w:rPr>
          <w:b/>
          <w:bCs/>
        </w:rPr>
        <w:t xml:space="preserve"> Professional Regulatory Bodies</w:t>
      </w:r>
    </w:p>
    <w:p w14:paraId="145746B3" w14:textId="77777777" w:rsidR="00157941" w:rsidRDefault="00157941" w:rsidP="00081421">
      <w:pPr>
        <w:spacing w:before="0" w:beforeAutospacing="0" w:after="0" w:line="240" w:lineRule="auto"/>
        <w:rPr>
          <w:b/>
          <w:bCs/>
        </w:rPr>
      </w:pPr>
    </w:p>
    <w:p w14:paraId="1DF374EB" w14:textId="77777777" w:rsidR="00157941" w:rsidRDefault="0015794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38"/>
        <w:gridCol w:w="2090"/>
        <w:gridCol w:w="2084"/>
        <w:gridCol w:w="2139"/>
      </w:tblGrid>
      <w:tr w:rsidR="00081421" w14:paraId="3FD8EFF9" w14:textId="77777777" w:rsidTr="008665B3">
        <w:tc>
          <w:tcPr>
            <w:tcW w:w="2250" w:type="dxa"/>
          </w:tcPr>
          <w:p w14:paraId="626AC09B"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346BDFD6"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2976F34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5360B3A7"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166684E6" w14:textId="77777777" w:rsidTr="008665B3">
        <w:tc>
          <w:tcPr>
            <w:tcW w:w="2250" w:type="dxa"/>
          </w:tcPr>
          <w:p w14:paraId="007B094A" w14:textId="77777777" w:rsidR="00081421" w:rsidRDefault="00081421" w:rsidP="00081421">
            <w:pPr>
              <w:spacing w:before="0" w:beforeAutospacing="0" w:after="0" w:line="240" w:lineRule="auto"/>
            </w:pPr>
            <w:r>
              <w:t xml:space="preserve">Positive </w:t>
            </w:r>
          </w:p>
        </w:tc>
        <w:tc>
          <w:tcPr>
            <w:tcW w:w="2250" w:type="dxa"/>
          </w:tcPr>
          <w:p w14:paraId="0B200998" w14:textId="77777777" w:rsidR="00081421" w:rsidRDefault="00081421" w:rsidP="00081421">
            <w:pPr>
              <w:spacing w:before="0" w:beforeAutospacing="0" w:after="0" w:line="240" w:lineRule="auto"/>
            </w:pPr>
          </w:p>
        </w:tc>
        <w:tc>
          <w:tcPr>
            <w:tcW w:w="2250" w:type="dxa"/>
          </w:tcPr>
          <w:p w14:paraId="671CB80D" w14:textId="77777777" w:rsidR="00081421" w:rsidRDefault="00081421" w:rsidP="00081421">
            <w:pPr>
              <w:spacing w:before="0" w:beforeAutospacing="0" w:after="0" w:line="240" w:lineRule="auto"/>
            </w:pPr>
          </w:p>
        </w:tc>
        <w:tc>
          <w:tcPr>
            <w:tcW w:w="2250" w:type="dxa"/>
          </w:tcPr>
          <w:p w14:paraId="53CDBA07" w14:textId="77777777" w:rsidR="00081421" w:rsidRDefault="00081421" w:rsidP="00081421">
            <w:pPr>
              <w:spacing w:before="0" w:beforeAutospacing="0" w:after="0" w:line="240" w:lineRule="auto"/>
            </w:pPr>
            <w:r>
              <w:t>2</w:t>
            </w:r>
          </w:p>
        </w:tc>
      </w:tr>
      <w:tr w:rsidR="00081421" w14:paraId="49F3051B" w14:textId="77777777" w:rsidTr="008665B3">
        <w:tc>
          <w:tcPr>
            <w:tcW w:w="2250" w:type="dxa"/>
          </w:tcPr>
          <w:p w14:paraId="760523AC" w14:textId="77777777" w:rsidR="00081421" w:rsidRDefault="00081421" w:rsidP="00081421">
            <w:pPr>
              <w:spacing w:before="0" w:beforeAutospacing="0" w:after="0" w:line="240" w:lineRule="auto"/>
            </w:pPr>
            <w:r>
              <w:t>Little impact</w:t>
            </w:r>
          </w:p>
        </w:tc>
        <w:tc>
          <w:tcPr>
            <w:tcW w:w="2250" w:type="dxa"/>
          </w:tcPr>
          <w:p w14:paraId="3E367F8F" w14:textId="77777777" w:rsidR="00081421" w:rsidRDefault="00081421" w:rsidP="00081421">
            <w:pPr>
              <w:spacing w:before="0" w:beforeAutospacing="0" w:after="0" w:line="240" w:lineRule="auto"/>
            </w:pPr>
            <w:r>
              <w:t>3</w:t>
            </w:r>
          </w:p>
        </w:tc>
        <w:tc>
          <w:tcPr>
            <w:tcW w:w="2250" w:type="dxa"/>
          </w:tcPr>
          <w:p w14:paraId="4BC87760" w14:textId="77777777" w:rsidR="00081421" w:rsidRDefault="00081421" w:rsidP="00081421">
            <w:pPr>
              <w:spacing w:before="0" w:beforeAutospacing="0" w:after="0" w:line="240" w:lineRule="auto"/>
            </w:pPr>
          </w:p>
        </w:tc>
        <w:tc>
          <w:tcPr>
            <w:tcW w:w="2250" w:type="dxa"/>
          </w:tcPr>
          <w:p w14:paraId="64988353" w14:textId="77777777" w:rsidR="00081421" w:rsidRDefault="00081421" w:rsidP="00081421">
            <w:pPr>
              <w:spacing w:before="0" w:beforeAutospacing="0" w:after="0" w:line="240" w:lineRule="auto"/>
            </w:pPr>
          </w:p>
        </w:tc>
      </w:tr>
      <w:tr w:rsidR="00081421" w14:paraId="6B9EC10E" w14:textId="77777777" w:rsidTr="008665B3">
        <w:tc>
          <w:tcPr>
            <w:tcW w:w="2250" w:type="dxa"/>
          </w:tcPr>
          <w:p w14:paraId="0B17C39D" w14:textId="77777777" w:rsidR="00081421" w:rsidRDefault="00081421" w:rsidP="00081421">
            <w:pPr>
              <w:spacing w:before="0" w:beforeAutospacing="0" w:after="0" w:line="240" w:lineRule="auto"/>
            </w:pPr>
            <w:r>
              <w:t>Regret as to impact</w:t>
            </w:r>
          </w:p>
        </w:tc>
        <w:tc>
          <w:tcPr>
            <w:tcW w:w="2250" w:type="dxa"/>
          </w:tcPr>
          <w:p w14:paraId="29B8199B" w14:textId="77777777" w:rsidR="00081421" w:rsidRDefault="00081421" w:rsidP="00081421">
            <w:pPr>
              <w:spacing w:before="0" w:beforeAutospacing="0" w:after="0" w:line="240" w:lineRule="auto"/>
            </w:pPr>
            <w:r>
              <w:t>2</w:t>
            </w:r>
          </w:p>
        </w:tc>
        <w:tc>
          <w:tcPr>
            <w:tcW w:w="2250" w:type="dxa"/>
          </w:tcPr>
          <w:p w14:paraId="16BB124C" w14:textId="77777777" w:rsidR="00081421" w:rsidRDefault="00081421" w:rsidP="00081421">
            <w:pPr>
              <w:spacing w:before="0" w:beforeAutospacing="0" w:after="0" w:line="240" w:lineRule="auto"/>
            </w:pPr>
          </w:p>
        </w:tc>
        <w:tc>
          <w:tcPr>
            <w:tcW w:w="2250" w:type="dxa"/>
          </w:tcPr>
          <w:p w14:paraId="21B9AFEC" w14:textId="77777777" w:rsidR="00081421" w:rsidRDefault="00081421" w:rsidP="00081421">
            <w:pPr>
              <w:spacing w:before="0" w:beforeAutospacing="0" w:after="0" w:line="240" w:lineRule="auto"/>
            </w:pPr>
          </w:p>
        </w:tc>
      </w:tr>
      <w:tr w:rsidR="00081421" w14:paraId="379C922E" w14:textId="77777777" w:rsidTr="008665B3">
        <w:tc>
          <w:tcPr>
            <w:tcW w:w="2250" w:type="dxa"/>
          </w:tcPr>
          <w:p w14:paraId="44612B80" w14:textId="77777777" w:rsidR="00081421" w:rsidRDefault="00081421" w:rsidP="00081421">
            <w:pPr>
              <w:spacing w:before="0" w:beforeAutospacing="0" w:after="0" w:line="240" w:lineRule="auto"/>
            </w:pPr>
            <w:r>
              <w:t>Anxiety</w:t>
            </w:r>
          </w:p>
        </w:tc>
        <w:tc>
          <w:tcPr>
            <w:tcW w:w="2250" w:type="dxa"/>
          </w:tcPr>
          <w:p w14:paraId="5ECE9940" w14:textId="77777777" w:rsidR="00081421" w:rsidRDefault="00081421" w:rsidP="00081421">
            <w:pPr>
              <w:spacing w:before="0" w:beforeAutospacing="0" w:after="0" w:line="240" w:lineRule="auto"/>
            </w:pPr>
          </w:p>
        </w:tc>
        <w:tc>
          <w:tcPr>
            <w:tcW w:w="2250" w:type="dxa"/>
          </w:tcPr>
          <w:p w14:paraId="36DA1E97" w14:textId="77777777" w:rsidR="00081421" w:rsidRDefault="00081421" w:rsidP="00081421">
            <w:pPr>
              <w:spacing w:before="0" w:beforeAutospacing="0" w:after="0" w:line="240" w:lineRule="auto"/>
            </w:pPr>
            <w:r>
              <w:t>4</w:t>
            </w:r>
          </w:p>
        </w:tc>
        <w:tc>
          <w:tcPr>
            <w:tcW w:w="2250" w:type="dxa"/>
          </w:tcPr>
          <w:p w14:paraId="68D467BC" w14:textId="77777777" w:rsidR="00081421" w:rsidRDefault="00081421" w:rsidP="00081421">
            <w:pPr>
              <w:spacing w:before="0" w:beforeAutospacing="0" w:after="0" w:line="240" w:lineRule="auto"/>
            </w:pPr>
            <w:r>
              <w:t>4</w:t>
            </w:r>
          </w:p>
        </w:tc>
      </w:tr>
      <w:tr w:rsidR="00081421" w14:paraId="3D39A826" w14:textId="77777777" w:rsidTr="008665B3">
        <w:tc>
          <w:tcPr>
            <w:tcW w:w="2250" w:type="dxa"/>
          </w:tcPr>
          <w:p w14:paraId="0CA0C45C" w14:textId="77777777" w:rsidR="00081421" w:rsidRDefault="00081421" w:rsidP="00081421">
            <w:pPr>
              <w:spacing w:before="0" w:beforeAutospacing="0" w:after="0" w:line="240" w:lineRule="auto"/>
            </w:pPr>
            <w:r>
              <w:t>Variety of implications</w:t>
            </w:r>
          </w:p>
        </w:tc>
        <w:tc>
          <w:tcPr>
            <w:tcW w:w="2250" w:type="dxa"/>
          </w:tcPr>
          <w:p w14:paraId="0E99A224" w14:textId="77777777" w:rsidR="00081421" w:rsidRDefault="00081421" w:rsidP="00081421">
            <w:pPr>
              <w:spacing w:before="0" w:beforeAutospacing="0" w:after="0" w:line="240" w:lineRule="auto"/>
            </w:pPr>
          </w:p>
        </w:tc>
        <w:tc>
          <w:tcPr>
            <w:tcW w:w="2250" w:type="dxa"/>
          </w:tcPr>
          <w:p w14:paraId="36EDF2B4" w14:textId="77777777" w:rsidR="00081421" w:rsidRDefault="00081421" w:rsidP="00081421">
            <w:pPr>
              <w:spacing w:before="0" w:beforeAutospacing="0" w:after="0" w:line="240" w:lineRule="auto"/>
            </w:pPr>
          </w:p>
        </w:tc>
        <w:tc>
          <w:tcPr>
            <w:tcW w:w="2250" w:type="dxa"/>
          </w:tcPr>
          <w:p w14:paraId="6184C2FF" w14:textId="77777777" w:rsidR="00081421" w:rsidRDefault="00081421" w:rsidP="00081421">
            <w:pPr>
              <w:spacing w:before="0" w:beforeAutospacing="0" w:after="0" w:line="240" w:lineRule="auto"/>
            </w:pPr>
            <w:r>
              <w:t>5</w:t>
            </w:r>
          </w:p>
        </w:tc>
      </w:tr>
    </w:tbl>
    <w:p w14:paraId="67F488C7" w14:textId="77777777" w:rsidR="00081421" w:rsidRPr="00081421" w:rsidRDefault="00081421" w:rsidP="00081421">
      <w:pPr>
        <w:spacing w:before="0" w:beforeAutospacing="0" w:after="0" w:line="240" w:lineRule="auto"/>
        <w:rPr>
          <w:b/>
          <w:bCs/>
        </w:rPr>
      </w:pPr>
      <w:r w:rsidRPr="00081421">
        <w:rPr>
          <w:b/>
          <w:bCs/>
        </w:rPr>
        <w:t>Table 5.1: Regulatory changes: See discussion in  S5.2.2.1</w:t>
      </w:r>
    </w:p>
    <w:p w14:paraId="2B30255E" w14:textId="77777777" w:rsidR="00081421" w:rsidRDefault="00081421" w:rsidP="00081421">
      <w:pPr>
        <w:spacing w:before="0" w:beforeAutospacing="0" w:after="0" w:line="240" w:lineRule="auto"/>
      </w:pPr>
    </w:p>
    <w:p w14:paraId="71165047" w14:textId="77777777" w:rsidR="00081421" w:rsidRDefault="0008142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15"/>
        <w:gridCol w:w="2134"/>
        <w:gridCol w:w="2082"/>
        <w:gridCol w:w="2120"/>
      </w:tblGrid>
      <w:tr w:rsidR="00081421" w:rsidRPr="00F85723" w14:paraId="1B86BBD5" w14:textId="77777777" w:rsidTr="008665B3">
        <w:tc>
          <w:tcPr>
            <w:tcW w:w="2250" w:type="dxa"/>
          </w:tcPr>
          <w:p w14:paraId="0012986D"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646E3EF9"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7472CB32"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72EA247D"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30834D6C" w14:textId="77777777" w:rsidTr="008665B3">
        <w:tc>
          <w:tcPr>
            <w:tcW w:w="2250" w:type="dxa"/>
          </w:tcPr>
          <w:p w14:paraId="1AE0ADED" w14:textId="77777777" w:rsidR="00081421" w:rsidRDefault="00081421" w:rsidP="00081421">
            <w:pPr>
              <w:spacing w:before="0" w:beforeAutospacing="0" w:after="0" w:line="240" w:lineRule="auto"/>
            </w:pPr>
            <w:r>
              <w:t>Little impact</w:t>
            </w:r>
          </w:p>
        </w:tc>
        <w:tc>
          <w:tcPr>
            <w:tcW w:w="2250" w:type="dxa"/>
          </w:tcPr>
          <w:p w14:paraId="387D24E1" w14:textId="77777777" w:rsidR="00081421" w:rsidRDefault="00081421" w:rsidP="00081421">
            <w:pPr>
              <w:spacing w:before="0" w:beforeAutospacing="0" w:after="0" w:line="240" w:lineRule="auto"/>
            </w:pPr>
            <w:r>
              <w:t>5</w:t>
            </w:r>
          </w:p>
        </w:tc>
        <w:tc>
          <w:tcPr>
            <w:tcW w:w="2250" w:type="dxa"/>
          </w:tcPr>
          <w:p w14:paraId="33FCA607" w14:textId="77777777" w:rsidR="00081421" w:rsidRDefault="00081421" w:rsidP="00081421">
            <w:pPr>
              <w:spacing w:before="0" w:beforeAutospacing="0" w:after="0" w:line="240" w:lineRule="auto"/>
            </w:pPr>
            <w:r>
              <w:t>4</w:t>
            </w:r>
          </w:p>
        </w:tc>
        <w:tc>
          <w:tcPr>
            <w:tcW w:w="2250" w:type="dxa"/>
          </w:tcPr>
          <w:p w14:paraId="7E7A2FA8" w14:textId="77777777" w:rsidR="00081421" w:rsidRDefault="00081421" w:rsidP="00081421">
            <w:pPr>
              <w:spacing w:before="0" w:beforeAutospacing="0" w:after="0" w:line="240" w:lineRule="auto"/>
            </w:pPr>
            <w:r>
              <w:t>4</w:t>
            </w:r>
          </w:p>
        </w:tc>
      </w:tr>
      <w:tr w:rsidR="00081421" w14:paraId="5BC15374" w14:textId="77777777" w:rsidTr="008665B3">
        <w:tc>
          <w:tcPr>
            <w:tcW w:w="2250" w:type="dxa"/>
          </w:tcPr>
          <w:p w14:paraId="383DF8C8" w14:textId="77777777" w:rsidR="00081421" w:rsidRDefault="00081421" w:rsidP="00081421">
            <w:pPr>
              <w:spacing w:before="0" w:beforeAutospacing="0" w:after="0" w:line="240" w:lineRule="auto"/>
            </w:pPr>
            <w:r>
              <w:t xml:space="preserve">Why? </w:t>
            </w:r>
          </w:p>
        </w:tc>
        <w:tc>
          <w:tcPr>
            <w:tcW w:w="2250" w:type="dxa"/>
          </w:tcPr>
          <w:p w14:paraId="3C7DF49C" w14:textId="77777777" w:rsidR="00081421" w:rsidRDefault="00081421" w:rsidP="00081421">
            <w:pPr>
              <w:spacing w:before="0" w:beforeAutospacing="0" w:after="0" w:line="240" w:lineRule="auto"/>
            </w:pPr>
            <w:r>
              <w:t>International students (3)</w:t>
            </w:r>
          </w:p>
        </w:tc>
        <w:tc>
          <w:tcPr>
            <w:tcW w:w="2250" w:type="dxa"/>
          </w:tcPr>
          <w:p w14:paraId="471DEA59" w14:textId="77777777" w:rsidR="00081421" w:rsidRDefault="00081421" w:rsidP="00081421">
            <w:pPr>
              <w:spacing w:before="0" w:beforeAutospacing="0" w:after="0" w:line="240" w:lineRule="auto"/>
            </w:pPr>
          </w:p>
        </w:tc>
        <w:tc>
          <w:tcPr>
            <w:tcW w:w="2250" w:type="dxa"/>
          </w:tcPr>
          <w:p w14:paraId="61B444D4" w14:textId="77777777" w:rsidR="00081421" w:rsidRDefault="00081421" w:rsidP="00081421">
            <w:pPr>
              <w:spacing w:before="0" w:beforeAutospacing="0" w:after="0" w:line="240" w:lineRule="auto"/>
            </w:pPr>
          </w:p>
        </w:tc>
      </w:tr>
      <w:tr w:rsidR="00081421" w14:paraId="773A9500" w14:textId="77777777" w:rsidTr="008665B3">
        <w:tc>
          <w:tcPr>
            <w:tcW w:w="2250" w:type="dxa"/>
          </w:tcPr>
          <w:p w14:paraId="22AB6C33" w14:textId="77777777" w:rsidR="00081421" w:rsidRDefault="00081421" w:rsidP="00081421">
            <w:pPr>
              <w:spacing w:before="0" w:beforeAutospacing="0" w:after="0" w:line="240" w:lineRule="auto"/>
            </w:pPr>
          </w:p>
        </w:tc>
        <w:tc>
          <w:tcPr>
            <w:tcW w:w="2250" w:type="dxa"/>
          </w:tcPr>
          <w:p w14:paraId="256298F3" w14:textId="77777777" w:rsidR="00081421" w:rsidRDefault="00081421" w:rsidP="00081421">
            <w:pPr>
              <w:spacing w:before="0" w:beforeAutospacing="0" w:after="0" w:line="240" w:lineRule="auto"/>
            </w:pPr>
            <w:r>
              <w:t>Bar requirements (2)</w:t>
            </w:r>
          </w:p>
        </w:tc>
        <w:tc>
          <w:tcPr>
            <w:tcW w:w="2250" w:type="dxa"/>
          </w:tcPr>
          <w:p w14:paraId="52927380" w14:textId="77777777" w:rsidR="00081421" w:rsidRDefault="00081421" w:rsidP="00081421">
            <w:pPr>
              <w:spacing w:before="0" w:beforeAutospacing="0" w:after="0" w:line="240" w:lineRule="auto"/>
            </w:pPr>
            <w:r>
              <w:t>Bar (1)</w:t>
            </w:r>
          </w:p>
        </w:tc>
        <w:tc>
          <w:tcPr>
            <w:tcW w:w="2250" w:type="dxa"/>
          </w:tcPr>
          <w:p w14:paraId="5765CB71" w14:textId="77777777" w:rsidR="00081421" w:rsidRDefault="00081421" w:rsidP="00081421">
            <w:pPr>
              <w:spacing w:before="0" w:beforeAutospacing="0" w:after="0" w:line="240" w:lineRule="auto"/>
            </w:pPr>
          </w:p>
        </w:tc>
      </w:tr>
      <w:tr w:rsidR="00081421" w14:paraId="7C833FE9" w14:textId="77777777" w:rsidTr="008665B3">
        <w:tc>
          <w:tcPr>
            <w:tcW w:w="2250" w:type="dxa"/>
          </w:tcPr>
          <w:p w14:paraId="1D7310DF" w14:textId="77777777" w:rsidR="00081421" w:rsidRDefault="00081421" w:rsidP="00081421">
            <w:pPr>
              <w:spacing w:before="0" w:beforeAutospacing="0" w:after="0" w:line="240" w:lineRule="auto"/>
            </w:pPr>
          </w:p>
        </w:tc>
        <w:tc>
          <w:tcPr>
            <w:tcW w:w="2250" w:type="dxa"/>
          </w:tcPr>
          <w:p w14:paraId="625AF5D4" w14:textId="77777777" w:rsidR="00081421" w:rsidRDefault="00081421" w:rsidP="00081421">
            <w:pPr>
              <w:spacing w:before="0" w:beforeAutospacing="0" w:after="0" w:line="240" w:lineRule="auto"/>
            </w:pPr>
            <w:r>
              <w:t>Disciplinary need</w:t>
            </w:r>
          </w:p>
        </w:tc>
        <w:tc>
          <w:tcPr>
            <w:tcW w:w="2250" w:type="dxa"/>
          </w:tcPr>
          <w:p w14:paraId="5695B668" w14:textId="77777777" w:rsidR="00081421" w:rsidRDefault="00081421" w:rsidP="00081421">
            <w:pPr>
              <w:spacing w:before="0" w:beforeAutospacing="0" w:after="0" w:line="240" w:lineRule="auto"/>
            </w:pPr>
            <w:r>
              <w:t>Traditional need</w:t>
            </w:r>
          </w:p>
        </w:tc>
        <w:tc>
          <w:tcPr>
            <w:tcW w:w="2250" w:type="dxa"/>
          </w:tcPr>
          <w:p w14:paraId="48839F4E" w14:textId="77777777" w:rsidR="00081421" w:rsidRDefault="00081421" w:rsidP="00081421">
            <w:pPr>
              <w:spacing w:before="0" w:beforeAutospacing="0" w:after="0" w:line="240" w:lineRule="auto"/>
            </w:pPr>
            <w:r>
              <w:t>Professional need</w:t>
            </w:r>
          </w:p>
        </w:tc>
      </w:tr>
      <w:tr w:rsidR="00081421" w14:paraId="65C5816D" w14:textId="77777777" w:rsidTr="008665B3">
        <w:tc>
          <w:tcPr>
            <w:tcW w:w="2250" w:type="dxa"/>
          </w:tcPr>
          <w:p w14:paraId="5237BFE9" w14:textId="77777777" w:rsidR="00081421" w:rsidRDefault="00081421" w:rsidP="00081421">
            <w:pPr>
              <w:spacing w:before="0" w:beforeAutospacing="0" w:after="0" w:line="240" w:lineRule="auto"/>
            </w:pPr>
          </w:p>
        </w:tc>
        <w:tc>
          <w:tcPr>
            <w:tcW w:w="2250" w:type="dxa"/>
          </w:tcPr>
          <w:p w14:paraId="3FCA27A2" w14:textId="77777777" w:rsidR="00081421" w:rsidRDefault="00081421" w:rsidP="00081421">
            <w:pPr>
              <w:spacing w:before="0" w:beforeAutospacing="0" w:after="0" w:line="240" w:lineRule="auto"/>
            </w:pPr>
          </w:p>
        </w:tc>
        <w:tc>
          <w:tcPr>
            <w:tcW w:w="2250" w:type="dxa"/>
          </w:tcPr>
          <w:p w14:paraId="495F5176" w14:textId="77777777" w:rsidR="00081421" w:rsidRDefault="00081421" w:rsidP="00081421">
            <w:pPr>
              <w:spacing w:before="0" w:beforeAutospacing="0" w:after="0" w:line="240" w:lineRule="auto"/>
            </w:pPr>
          </w:p>
        </w:tc>
        <w:tc>
          <w:tcPr>
            <w:tcW w:w="2250" w:type="dxa"/>
          </w:tcPr>
          <w:p w14:paraId="68C4ED03" w14:textId="77777777" w:rsidR="00081421" w:rsidRDefault="00081421" w:rsidP="00081421">
            <w:pPr>
              <w:spacing w:before="0" w:beforeAutospacing="0" w:after="0" w:line="240" w:lineRule="auto"/>
            </w:pPr>
          </w:p>
        </w:tc>
      </w:tr>
    </w:tbl>
    <w:p w14:paraId="65031DAB" w14:textId="77777777" w:rsidR="00081421" w:rsidRPr="00081421" w:rsidRDefault="00081421" w:rsidP="00081421">
      <w:pPr>
        <w:spacing w:before="0" w:beforeAutospacing="0" w:after="0" w:line="240" w:lineRule="auto"/>
        <w:rPr>
          <w:b/>
          <w:bCs/>
        </w:rPr>
      </w:pPr>
      <w:r w:rsidRPr="00081421">
        <w:rPr>
          <w:b/>
          <w:bCs/>
        </w:rPr>
        <w:t>Table 5.2: Programme content and the Foundations of Legal Knowledge (FLKs) as discussed in S5.2.2.2</w:t>
      </w:r>
    </w:p>
    <w:p w14:paraId="4396189D" w14:textId="77777777" w:rsidR="00081421" w:rsidRDefault="00081421" w:rsidP="00081421">
      <w:pPr>
        <w:spacing w:before="0" w:beforeAutospacing="0" w:after="0" w:line="240" w:lineRule="auto"/>
      </w:pPr>
    </w:p>
    <w:p w14:paraId="703B23A9" w14:textId="77777777" w:rsidR="00081421" w:rsidRDefault="00081421" w:rsidP="00081421">
      <w:pPr>
        <w:spacing w:before="0" w:beforeAutospacing="0" w:after="0" w:line="240" w:lineRule="auto"/>
        <w:rPr>
          <w:b/>
          <w:bCs/>
        </w:rPr>
      </w:pPr>
      <w:r w:rsidRPr="006966C0">
        <w:rPr>
          <w:b/>
          <w:bCs/>
        </w:rPr>
        <w:t>The State</w:t>
      </w:r>
    </w:p>
    <w:p w14:paraId="0486D3EA" w14:textId="77777777" w:rsidR="00157941" w:rsidRDefault="00157941" w:rsidP="00081421">
      <w:pPr>
        <w:spacing w:before="0" w:beforeAutospacing="0" w:after="0" w:line="240" w:lineRule="auto"/>
        <w:rPr>
          <w:b/>
          <w:bCs/>
        </w:rPr>
      </w:pPr>
    </w:p>
    <w:p w14:paraId="69E1158A" w14:textId="77777777" w:rsidR="00157941" w:rsidRPr="005B4110" w:rsidRDefault="00157941" w:rsidP="00081421">
      <w:pPr>
        <w:spacing w:before="0" w:beforeAutospacing="0" w:after="0" w:line="240" w:lineRule="auto"/>
        <w:rPr>
          <w:b/>
          <w:bCs/>
        </w:rPr>
      </w:pPr>
    </w:p>
    <w:tbl>
      <w:tblPr>
        <w:tblStyle w:val="TableGrid"/>
        <w:tblW w:w="0" w:type="auto"/>
        <w:tblInd w:w="16" w:type="dxa"/>
        <w:tblLook w:val="04A0" w:firstRow="1" w:lastRow="0" w:firstColumn="1" w:lastColumn="0" w:noHBand="0" w:noVBand="1"/>
      </w:tblPr>
      <w:tblGrid>
        <w:gridCol w:w="2138"/>
        <w:gridCol w:w="2090"/>
        <w:gridCol w:w="2084"/>
        <w:gridCol w:w="2139"/>
      </w:tblGrid>
      <w:tr w:rsidR="00081421" w:rsidRPr="00F85723" w14:paraId="32B4BF50" w14:textId="77777777" w:rsidTr="008665B3">
        <w:tc>
          <w:tcPr>
            <w:tcW w:w="2250" w:type="dxa"/>
          </w:tcPr>
          <w:p w14:paraId="27D4086D"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0C540528"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0E5694EB"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2A9BB67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2018FB32" w14:textId="77777777" w:rsidTr="008665B3">
        <w:tc>
          <w:tcPr>
            <w:tcW w:w="2250" w:type="dxa"/>
          </w:tcPr>
          <w:p w14:paraId="5B1C3B19" w14:textId="77777777" w:rsidR="00081421" w:rsidRDefault="00081421" w:rsidP="00081421">
            <w:pPr>
              <w:spacing w:before="0" w:beforeAutospacing="0" w:after="0" w:line="240" w:lineRule="auto"/>
            </w:pPr>
            <w:r>
              <w:t>Not concerned</w:t>
            </w:r>
          </w:p>
        </w:tc>
        <w:tc>
          <w:tcPr>
            <w:tcW w:w="2250" w:type="dxa"/>
          </w:tcPr>
          <w:p w14:paraId="65142285" w14:textId="77777777" w:rsidR="00081421" w:rsidRDefault="00081421" w:rsidP="00081421">
            <w:pPr>
              <w:spacing w:before="0" w:beforeAutospacing="0" w:after="0" w:line="240" w:lineRule="auto"/>
            </w:pPr>
            <w:r>
              <w:t>5</w:t>
            </w:r>
          </w:p>
        </w:tc>
        <w:tc>
          <w:tcPr>
            <w:tcW w:w="2250" w:type="dxa"/>
          </w:tcPr>
          <w:p w14:paraId="507D2C7F" w14:textId="77777777" w:rsidR="00081421" w:rsidRDefault="00081421" w:rsidP="00081421">
            <w:pPr>
              <w:spacing w:before="0" w:beforeAutospacing="0" w:after="0" w:line="240" w:lineRule="auto"/>
            </w:pPr>
          </w:p>
        </w:tc>
        <w:tc>
          <w:tcPr>
            <w:tcW w:w="2250" w:type="dxa"/>
          </w:tcPr>
          <w:p w14:paraId="6D20D85B" w14:textId="77777777" w:rsidR="00081421" w:rsidRDefault="00081421" w:rsidP="00081421">
            <w:pPr>
              <w:spacing w:before="0" w:beforeAutospacing="0" w:after="0" w:line="240" w:lineRule="auto"/>
            </w:pPr>
          </w:p>
        </w:tc>
      </w:tr>
      <w:tr w:rsidR="00081421" w14:paraId="675F3539" w14:textId="77777777" w:rsidTr="008665B3">
        <w:tc>
          <w:tcPr>
            <w:tcW w:w="2250" w:type="dxa"/>
          </w:tcPr>
          <w:p w14:paraId="7969626F" w14:textId="77777777" w:rsidR="00081421" w:rsidRDefault="00081421" w:rsidP="00081421">
            <w:pPr>
              <w:spacing w:before="0" w:beforeAutospacing="0" w:after="0" w:line="240" w:lineRule="auto"/>
            </w:pPr>
            <w:r>
              <w:t>Awareness of</w:t>
            </w:r>
          </w:p>
        </w:tc>
        <w:tc>
          <w:tcPr>
            <w:tcW w:w="2250" w:type="dxa"/>
          </w:tcPr>
          <w:p w14:paraId="5AF24225" w14:textId="77777777" w:rsidR="00081421" w:rsidRDefault="00081421" w:rsidP="00081421">
            <w:pPr>
              <w:spacing w:before="0" w:beforeAutospacing="0" w:after="0" w:line="240" w:lineRule="auto"/>
            </w:pPr>
            <w:r>
              <w:t>5</w:t>
            </w:r>
          </w:p>
        </w:tc>
        <w:tc>
          <w:tcPr>
            <w:tcW w:w="2250" w:type="dxa"/>
          </w:tcPr>
          <w:p w14:paraId="1AE06F2B" w14:textId="77777777" w:rsidR="00081421" w:rsidRDefault="00081421" w:rsidP="00081421">
            <w:pPr>
              <w:spacing w:before="0" w:beforeAutospacing="0" w:after="0" w:line="240" w:lineRule="auto"/>
            </w:pPr>
            <w:r>
              <w:t>5</w:t>
            </w:r>
          </w:p>
        </w:tc>
        <w:tc>
          <w:tcPr>
            <w:tcW w:w="2250" w:type="dxa"/>
          </w:tcPr>
          <w:p w14:paraId="2F15836A" w14:textId="77777777" w:rsidR="00081421" w:rsidRDefault="00081421" w:rsidP="00081421">
            <w:pPr>
              <w:spacing w:before="0" w:beforeAutospacing="0" w:after="0" w:line="240" w:lineRule="auto"/>
            </w:pPr>
            <w:r>
              <w:t>5</w:t>
            </w:r>
          </w:p>
        </w:tc>
      </w:tr>
      <w:tr w:rsidR="00081421" w14:paraId="20BA6A03" w14:textId="77777777" w:rsidTr="008665B3">
        <w:tc>
          <w:tcPr>
            <w:tcW w:w="2250" w:type="dxa"/>
          </w:tcPr>
          <w:p w14:paraId="4A89C2FE" w14:textId="77777777" w:rsidR="00081421" w:rsidRDefault="00081421" w:rsidP="00081421">
            <w:pPr>
              <w:spacing w:before="0" w:beforeAutospacing="0" w:after="0" w:line="240" w:lineRule="auto"/>
            </w:pPr>
            <w:r>
              <w:t>Impact on design?</w:t>
            </w:r>
          </w:p>
        </w:tc>
        <w:tc>
          <w:tcPr>
            <w:tcW w:w="2250" w:type="dxa"/>
          </w:tcPr>
          <w:p w14:paraId="220A6AB5" w14:textId="77777777" w:rsidR="00081421" w:rsidRDefault="00081421" w:rsidP="00081421">
            <w:pPr>
              <w:spacing w:before="0" w:beforeAutospacing="0" w:after="0" w:line="240" w:lineRule="auto"/>
            </w:pPr>
          </w:p>
        </w:tc>
        <w:tc>
          <w:tcPr>
            <w:tcW w:w="2250" w:type="dxa"/>
          </w:tcPr>
          <w:p w14:paraId="04AC72D5" w14:textId="77777777" w:rsidR="00081421" w:rsidRDefault="00081421" w:rsidP="00081421">
            <w:pPr>
              <w:spacing w:before="0" w:beforeAutospacing="0" w:after="0" w:line="240" w:lineRule="auto"/>
            </w:pPr>
            <w:r>
              <w:t>1</w:t>
            </w:r>
          </w:p>
        </w:tc>
        <w:tc>
          <w:tcPr>
            <w:tcW w:w="2250" w:type="dxa"/>
          </w:tcPr>
          <w:p w14:paraId="66BDF705" w14:textId="77777777" w:rsidR="00081421" w:rsidRDefault="00081421" w:rsidP="00081421">
            <w:pPr>
              <w:spacing w:before="0" w:beforeAutospacing="0" w:after="0" w:line="240" w:lineRule="auto"/>
            </w:pPr>
          </w:p>
        </w:tc>
      </w:tr>
      <w:tr w:rsidR="00081421" w14:paraId="4C1030DF" w14:textId="77777777" w:rsidTr="008665B3">
        <w:tc>
          <w:tcPr>
            <w:tcW w:w="2250" w:type="dxa"/>
          </w:tcPr>
          <w:p w14:paraId="2A81BDD9" w14:textId="77777777" w:rsidR="00081421" w:rsidRDefault="00081421" w:rsidP="00081421">
            <w:pPr>
              <w:spacing w:before="0" w:beforeAutospacing="0" w:after="0" w:line="240" w:lineRule="auto"/>
            </w:pPr>
          </w:p>
        </w:tc>
        <w:tc>
          <w:tcPr>
            <w:tcW w:w="2250" w:type="dxa"/>
          </w:tcPr>
          <w:p w14:paraId="4E5CEF9E" w14:textId="77777777" w:rsidR="00081421" w:rsidRDefault="00081421" w:rsidP="00081421">
            <w:pPr>
              <w:spacing w:before="0" w:beforeAutospacing="0" w:after="0" w:line="240" w:lineRule="auto"/>
            </w:pPr>
          </w:p>
        </w:tc>
        <w:tc>
          <w:tcPr>
            <w:tcW w:w="2250" w:type="dxa"/>
          </w:tcPr>
          <w:p w14:paraId="5E616CAB" w14:textId="77777777" w:rsidR="00081421" w:rsidRDefault="00081421" w:rsidP="00081421">
            <w:pPr>
              <w:spacing w:before="0" w:beforeAutospacing="0" w:after="0" w:line="240" w:lineRule="auto"/>
            </w:pPr>
          </w:p>
        </w:tc>
        <w:tc>
          <w:tcPr>
            <w:tcW w:w="2250" w:type="dxa"/>
          </w:tcPr>
          <w:p w14:paraId="5A92C804" w14:textId="77777777" w:rsidR="00081421" w:rsidRDefault="00081421" w:rsidP="00081421">
            <w:pPr>
              <w:spacing w:before="0" w:beforeAutospacing="0" w:after="0" w:line="240" w:lineRule="auto"/>
            </w:pPr>
          </w:p>
        </w:tc>
      </w:tr>
    </w:tbl>
    <w:p w14:paraId="242FB8AD" w14:textId="77777777" w:rsidR="00081421" w:rsidRDefault="00081421" w:rsidP="00081421">
      <w:pPr>
        <w:spacing w:before="0" w:beforeAutospacing="0" w:after="0" w:line="240" w:lineRule="auto"/>
        <w:rPr>
          <w:b/>
          <w:bCs/>
        </w:rPr>
      </w:pPr>
      <w:r w:rsidRPr="00081421">
        <w:rPr>
          <w:b/>
          <w:bCs/>
        </w:rPr>
        <w:t>Table 5.3: Impact of the TEF and metrics generally</w:t>
      </w:r>
    </w:p>
    <w:p w14:paraId="4C0EBFE7" w14:textId="77777777" w:rsidR="00081421" w:rsidRPr="00081421" w:rsidRDefault="00081421" w:rsidP="00081421">
      <w:pPr>
        <w:spacing w:before="0" w:beforeAutospacing="0" w:after="0" w:line="240" w:lineRule="auto"/>
        <w:rPr>
          <w:b/>
          <w:bCs/>
        </w:rPr>
      </w:pPr>
    </w:p>
    <w:p w14:paraId="227C0316" w14:textId="77777777" w:rsidR="00157941" w:rsidRDefault="00157941" w:rsidP="00081421">
      <w:pPr>
        <w:spacing w:before="0" w:beforeAutospacing="0" w:after="0" w:line="240" w:lineRule="auto"/>
        <w:rPr>
          <w:b/>
          <w:bCs/>
          <w:sz w:val="28"/>
          <w:szCs w:val="28"/>
        </w:rPr>
      </w:pPr>
    </w:p>
    <w:p w14:paraId="55CC7A45" w14:textId="75A3444D" w:rsidR="00081421" w:rsidRDefault="00081421" w:rsidP="00081421">
      <w:pPr>
        <w:spacing w:before="0" w:beforeAutospacing="0" w:after="0" w:line="240" w:lineRule="auto"/>
        <w:rPr>
          <w:b/>
          <w:bCs/>
          <w:sz w:val="28"/>
          <w:szCs w:val="28"/>
        </w:rPr>
      </w:pPr>
      <w:r w:rsidRPr="00081421">
        <w:rPr>
          <w:b/>
          <w:bCs/>
          <w:sz w:val="28"/>
          <w:szCs w:val="28"/>
        </w:rPr>
        <w:t xml:space="preserve">The PRF: The agents (Chapter </w:t>
      </w:r>
      <w:r w:rsidR="00046A61">
        <w:rPr>
          <w:b/>
          <w:bCs/>
          <w:sz w:val="28"/>
          <w:szCs w:val="28"/>
        </w:rPr>
        <w:t>Six</w:t>
      </w:r>
      <w:r w:rsidRPr="00081421">
        <w:rPr>
          <w:b/>
          <w:bCs/>
          <w:sz w:val="28"/>
          <w:szCs w:val="28"/>
        </w:rPr>
        <w:t>)</w:t>
      </w:r>
    </w:p>
    <w:p w14:paraId="6B903403" w14:textId="77777777" w:rsidR="00157941" w:rsidRPr="00081421" w:rsidRDefault="00157941" w:rsidP="00081421">
      <w:pPr>
        <w:spacing w:before="0" w:beforeAutospacing="0" w:after="0" w:line="240" w:lineRule="auto"/>
        <w:rPr>
          <w:b/>
          <w:bCs/>
          <w:sz w:val="28"/>
          <w:szCs w:val="28"/>
        </w:rPr>
      </w:pPr>
    </w:p>
    <w:tbl>
      <w:tblPr>
        <w:tblStyle w:val="TableGrid"/>
        <w:tblW w:w="0" w:type="auto"/>
        <w:tblInd w:w="16" w:type="dxa"/>
        <w:tblLook w:val="04A0" w:firstRow="1" w:lastRow="0" w:firstColumn="1" w:lastColumn="0" w:noHBand="0" w:noVBand="1"/>
      </w:tblPr>
      <w:tblGrid>
        <w:gridCol w:w="2246"/>
        <w:gridCol w:w="2096"/>
        <w:gridCol w:w="2016"/>
        <w:gridCol w:w="2093"/>
      </w:tblGrid>
      <w:tr w:rsidR="00081421" w:rsidRPr="00F85723" w14:paraId="29D1196A" w14:textId="77777777" w:rsidTr="008665B3">
        <w:tc>
          <w:tcPr>
            <w:tcW w:w="2250" w:type="dxa"/>
          </w:tcPr>
          <w:p w14:paraId="207B9677"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40480E33"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2755927F"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18E1CF0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6536780A" w14:textId="77777777" w:rsidTr="008665B3">
        <w:tc>
          <w:tcPr>
            <w:tcW w:w="2250" w:type="dxa"/>
          </w:tcPr>
          <w:p w14:paraId="55C8BC5E" w14:textId="77777777" w:rsidR="00081421" w:rsidRDefault="00081421" w:rsidP="00081421">
            <w:pPr>
              <w:spacing w:before="0" w:beforeAutospacing="0" w:after="0" w:line="240" w:lineRule="auto"/>
            </w:pPr>
            <w:r>
              <w:t>Research vs. teaching</w:t>
            </w:r>
          </w:p>
        </w:tc>
        <w:tc>
          <w:tcPr>
            <w:tcW w:w="2250" w:type="dxa"/>
          </w:tcPr>
          <w:p w14:paraId="10EF3938" w14:textId="77777777" w:rsidR="00081421" w:rsidRDefault="00081421" w:rsidP="00081421">
            <w:pPr>
              <w:spacing w:before="0" w:beforeAutospacing="0" w:after="0" w:line="240" w:lineRule="auto"/>
            </w:pPr>
            <w:r>
              <w:t>4</w:t>
            </w:r>
          </w:p>
        </w:tc>
        <w:tc>
          <w:tcPr>
            <w:tcW w:w="2250" w:type="dxa"/>
          </w:tcPr>
          <w:p w14:paraId="4472CF5E" w14:textId="77777777" w:rsidR="00081421" w:rsidRDefault="00081421" w:rsidP="00081421">
            <w:pPr>
              <w:spacing w:before="0" w:beforeAutospacing="0" w:after="0" w:line="240" w:lineRule="auto"/>
            </w:pPr>
            <w:r>
              <w:t>4</w:t>
            </w:r>
          </w:p>
        </w:tc>
        <w:tc>
          <w:tcPr>
            <w:tcW w:w="2250" w:type="dxa"/>
          </w:tcPr>
          <w:p w14:paraId="038A2191" w14:textId="77777777" w:rsidR="00081421" w:rsidRDefault="00081421" w:rsidP="00081421">
            <w:pPr>
              <w:spacing w:before="0" w:beforeAutospacing="0" w:after="0" w:line="240" w:lineRule="auto"/>
            </w:pPr>
            <w:r>
              <w:t>3</w:t>
            </w:r>
          </w:p>
        </w:tc>
      </w:tr>
      <w:tr w:rsidR="00081421" w14:paraId="55EB29E8" w14:textId="77777777" w:rsidTr="008665B3">
        <w:tc>
          <w:tcPr>
            <w:tcW w:w="2250" w:type="dxa"/>
          </w:tcPr>
          <w:p w14:paraId="75A7F298" w14:textId="77777777" w:rsidR="00081421" w:rsidRDefault="00081421" w:rsidP="00081421">
            <w:pPr>
              <w:spacing w:before="0" w:beforeAutospacing="0" w:after="0" w:line="240" w:lineRule="auto"/>
            </w:pPr>
            <w:r>
              <w:t>Practitioner vs. academic</w:t>
            </w:r>
          </w:p>
        </w:tc>
        <w:tc>
          <w:tcPr>
            <w:tcW w:w="2250" w:type="dxa"/>
          </w:tcPr>
          <w:p w14:paraId="47129EB0" w14:textId="77777777" w:rsidR="00081421" w:rsidRDefault="00081421" w:rsidP="00081421">
            <w:pPr>
              <w:spacing w:before="0" w:beforeAutospacing="0" w:after="0" w:line="240" w:lineRule="auto"/>
            </w:pPr>
            <w:r>
              <w:t>Prevalence of practitioners (5)</w:t>
            </w:r>
          </w:p>
        </w:tc>
        <w:tc>
          <w:tcPr>
            <w:tcW w:w="2250" w:type="dxa"/>
          </w:tcPr>
          <w:p w14:paraId="305EAE50" w14:textId="77777777" w:rsidR="00081421" w:rsidRDefault="00081421" w:rsidP="00081421">
            <w:pPr>
              <w:spacing w:before="0" w:beforeAutospacing="0" w:after="0" w:line="240" w:lineRule="auto"/>
            </w:pPr>
            <w:r>
              <w:t>6</w:t>
            </w:r>
          </w:p>
        </w:tc>
        <w:tc>
          <w:tcPr>
            <w:tcW w:w="2250" w:type="dxa"/>
          </w:tcPr>
          <w:p w14:paraId="3B520DE0" w14:textId="77777777" w:rsidR="00081421" w:rsidRDefault="00081421" w:rsidP="00081421">
            <w:pPr>
              <w:spacing w:before="0" w:beforeAutospacing="0" w:after="0" w:line="240" w:lineRule="auto"/>
            </w:pPr>
            <w:r>
              <w:t>5</w:t>
            </w:r>
          </w:p>
        </w:tc>
      </w:tr>
      <w:tr w:rsidR="00081421" w14:paraId="2962BCD0" w14:textId="77777777" w:rsidTr="008665B3">
        <w:tc>
          <w:tcPr>
            <w:tcW w:w="2250" w:type="dxa"/>
          </w:tcPr>
          <w:p w14:paraId="39B399D3" w14:textId="77777777" w:rsidR="00081421" w:rsidRDefault="00081421" w:rsidP="00081421">
            <w:pPr>
              <w:spacing w:before="0" w:beforeAutospacing="0" w:after="0" w:line="240" w:lineRule="auto"/>
            </w:pPr>
            <w:r>
              <w:t>Internationalisation</w:t>
            </w:r>
          </w:p>
        </w:tc>
        <w:tc>
          <w:tcPr>
            <w:tcW w:w="2250" w:type="dxa"/>
          </w:tcPr>
          <w:p w14:paraId="3A2106C0" w14:textId="77777777" w:rsidR="00081421" w:rsidRDefault="00081421" w:rsidP="00081421">
            <w:pPr>
              <w:spacing w:before="0" w:beforeAutospacing="0" w:after="0" w:line="240" w:lineRule="auto"/>
            </w:pPr>
            <w:r>
              <w:t>1</w:t>
            </w:r>
          </w:p>
        </w:tc>
        <w:tc>
          <w:tcPr>
            <w:tcW w:w="2250" w:type="dxa"/>
          </w:tcPr>
          <w:p w14:paraId="200CB816" w14:textId="77777777" w:rsidR="00081421" w:rsidRDefault="00081421" w:rsidP="00081421">
            <w:pPr>
              <w:spacing w:before="0" w:beforeAutospacing="0" w:after="0" w:line="240" w:lineRule="auto"/>
            </w:pPr>
            <w:r>
              <w:t>1</w:t>
            </w:r>
          </w:p>
        </w:tc>
        <w:tc>
          <w:tcPr>
            <w:tcW w:w="2250" w:type="dxa"/>
          </w:tcPr>
          <w:p w14:paraId="22FEF0A5" w14:textId="77777777" w:rsidR="00081421" w:rsidRDefault="00081421" w:rsidP="00081421">
            <w:pPr>
              <w:spacing w:before="0" w:beforeAutospacing="0" w:after="0" w:line="240" w:lineRule="auto"/>
            </w:pPr>
          </w:p>
        </w:tc>
      </w:tr>
    </w:tbl>
    <w:p w14:paraId="4BF24D5B" w14:textId="77777777" w:rsidR="00081421" w:rsidRDefault="00081421" w:rsidP="00081421">
      <w:pPr>
        <w:spacing w:before="0" w:beforeAutospacing="0" w:after="0" w:line="240" w:lineRule="auto"/>
      </w:pPr>
      <w:r>
        <w:t>Table 6.1: The academic community identities as discussed in S6.2.2</w:t>
      </w:r>
    </w:p>
    <w:tbl>
      <w:tblPr>
        <w:tblStyle w:val="TableGrid"/>
        <w:tblW w:w="0" w:type="auto"/>
        <w:tblInd w:w="16" w:type="dxa"/>
        <w:tblLook w:val="04A0" w:firstRow="1" w:lastRow="0" w:firstColumn="1" w:lastColumn="0" w:noHBand="0" w:noVBand="1"/>
      </w:tblPr>
      <w:tblGrid>
        <w:gridCol w:w="2138"/>
        <w:gridCol w:w="2090"/>
        <w:gridCol w:w="2084"/>
        <w:gridCol w:w="2139"/>
      </w:tblGrid>
      <w:tr w:rsidR="00081421" w:rsidRPr="00F85723" w14:paraId="55E8D869" w14:textId="77777777" w:rsidTr="008665B3">
        <w:tc>
          <w:tcPr>
            <w:tcW w:w="2250" w:type="dxa"/>
          </w:tcPr>
          <w:p w14:paraId="298E7513"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592E2BA6"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5B4D5FA9"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425BC6DD"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379EACC0" w14:textId="77777777" w:rsidTr="008665B3">
        <w:tc>
          <w:tcPr>
            <w:tcW w:w="2250" w:type="dxa"/>
          </w:tcPr>
          <w:p w14:paraId="60C322F6" w14:textId="77777777" w:rsidR="00081421" w:rsidRDefault="00081421" w:rsidP="00081421">
            <w:pPr>
              <w:spacing w:before="0" w:beforeAutospacing="0" w:after="0" w:line="240" w:lineRule="auto"/>
            </w:pPr>
            <w:r>
              <w:t>Present</w:t>
            </w:r>
          </w:p>
        </w:tc>
        <w:tc>
          <w:tcPr>
            <w:tcW w:w="2250" w:type="dxa"/>
          </w:tcPr>
          <w:p w14:paraId="39212A02" w14:textId="77777777" w:rsidR="00081421" w:rsidRDefault="00081421" w:rsidP="00081421">
            <w:pPr>
              <w:spacing w:before="0" w:beforeAutospacing="0" w:after="0" w:line="240" w:lineRule="auto"/>
            </w:pPr>
            <w:r>
              <w:t>4</w:t>
            </w:r>
          </w:p>
        </w:tc>
        <w:tc>
          <w:tcPr>
            <w:tcW w:w="2250" w:type="dxa"/>
          </w:tcPr>
          <w:p w14:paraId="4855651E" w14:textId="77777777" w:rsidR="00081421" w:rsidRDefault="00081421" w:rsidP="00081421">
            <w:pPr>
              <w:spacing w:before="0" w:beforeAutospacing="0" w:after="0" w:line="240" w:lineRule="auto"/>
            </w:pPr>
            <w:r>
              <w:t>5</w:t>
            </w:r>
          </w:p>
        </w:tc>
        <w:tc>
          <w:tcPr>
            <w:tcW w:w="2250" w:type="dxa"/>
          </w:tcPr>
          <w:p w14:paraId="0F151A4D" w14:textId="77777777" w:rsidR="00081421" w:rsidRDefault="00081421" w:rsidP="00081421">
            <w:pPr>
              <w:spacing w:before="0" w:beforeAutospacing="0" w:after="0" w:line="240" w:lineRule="auto"/>
            </w:pPr>
            <w:r>
              <w:t>5</w:t>
            </w:r>
          </w:p>
        </w:tc>
      </w:tr>
    </w:tbl>
    <w:p w14:paraId="5D56251A" w14:textId="71C14B53" w:rsidR="00081421" w:rsidRPr="00081421" w:rsidRDefault="00081421" w:rsidP="00081421">
      <w:pPr>
        <w:spacing w:before="0" w:beforeAutospacing="0" w:after="0" w:line="240" w:lineRule="auto"/>
        <w:rPr>
          <w:b/>
          <w:bCs/>
        </w:rPr>
      </w:pPr>
      <w:r w:rsidRPr="00081421">
        <w:rPr>
          <w:b/>
          <w:bCs/>
        </w:rPr>
        <w:t>Table 6.</w:t>
      </w:r>
      <w:r w:rsidR="00157941">
        <w:rPr>
          <w:b/>
          <w:bCs/>
        </w:rPr>
        <w:t>1</w:t>
      </w:r>
      <w:r w:rsidRPr="00081421">
        <w:rPr>
          <w:b/>
          <w:bCs/>
        </w:rPr>
        <w:t>: Increasing engagement of the university in design</w:t>
      </w:r>
    </w:p>
    <w:p w14:paraId="4CDA511A" w14:textId="77777777" w:rsidR="00081421" w:rsidRDefault="00081421" w:rsidP="00081421">
      <w:pPr>
        <w:spacing w:before="0" w:beforeAutospacing="0" w:after="0" w:line="240" w:lineRule="auto"/>
      </w:pPr>
    </w:p>
    <w:p w14:paraId="09EBFCF6" w14:textId="77777777" w:rsidR="00157941" w:rsidRDefault="00157941" w:rsidP="00081421">
      <w:pPr>
        <w:spacing w:before="0" w:beforeAutospacing="0" w:after="0" w:line="240" w:lineRule="auto"/>
      </w:pPr>
    </w:p>
    <w:p w14:paraId="6E66398B" w14:textId="13804320" w:rsidR="00081421" w:rsidRDefault="00081421" w:rsidP="00081421">
      <w:pPr>
        <w:spacing w:before="0" w:beforeAutospacing="0" w:after="0" w:line="240" w:lineRule="auto"/>
        <w:rPr>
          <w:b/>
          <w:bCs/>
          <w:sz w:val="28"/>
          <w:szCs w:val="28"/>
        </w:rPr>
      </w:pPr>
      <w:r w:rsidRPr="00081421">
        <w:rPr>
          <w:b/>
          <w:bCs/>
          <w:sz w:val="28"/>
          <w:szCs w:val="28"/>
        </w:rPr>
        <w:t xml:space="preserve">The PRF: Disciplinary impact (Chapter </w:t>
      </w:r>
      <w:r w:rsidR="00046A61">
        <w:rPr>
          <w:b/>
          <w:bCs/>
          <w:sz w:val="28"/>
          <w:szCs w:val="28"/>
        </w:rPr>
        <w:t>Seven</w:t>
      </w:r>
      <w:r w:rsidRPr="00081421">
        <w:rPr>
          <w:b/>
          <w:bCs/>
          <w:sz w:val="28"/>
          <w:szCs w:val="28"/>
        </w:rPr>
        <w:t>)</w:t>
      </w:r>
    </w:p>
    <w:p w14:paraId="1AC69D12" w14:textId="77777777" w:rsidR="00157941" w:rsidRDefault="00157941" w:rsidP="00081421">
      <w:pPr>
        <w:spacing w:before="0" w:beforeAutospacing="0" w:after="0" w:line="240" w:lineRule="auto"/>
        <w:rPr>
          <w:b/>
          <w:bCs/>
          <w:sz w:val="28"/>
          <w:szCs w:val="28"/>
        </w:rPr>
      </w:pPr>
    </w:p>
    <w:p w14:paraId="2E6C2A9F" w14:textId="77777777" w:rsidR="00157941" w:rsidRPr="00081421" w:rsidRDefault="00157941" w:rsidP="00081421">
      <w:pPr>
        <w:spacing w:before="0" w:beforeAutospacing="0" w:after="0" w:line="240" w:lineRule="auto"/>
        <w:rPr>
          <w:b/>
          <w:bCs/>
          <w:sz w:val="28"/>
          <w:szCs w:val="28"/>
        </w:rPr>
      </w:pPr>
    </w:p>
    <w:tbl>
      <w:tblPr>
        <w:tblStyle w:val="TableGrid"/>
        <w:tblW w:w="0" w:type="auto"/>
        <w:tblInd w:w="16" w:type="dxa"/>
        <w:tblLook w:val="04A0" w:firstRow="1" w:lastRow="0" w:firstColumn="1" w:lastColumn="0" w:noHBand="0" w:noVBand="1"/>
      </w:tblPr>
      <w:tblGrid>
        <w:gridCol w:w="2138"/>
        <w:gridCol w:w="2090"/>
        <w:gridCol w:w="2084"/>
        <w:gridCol w:w="2139"/>
      </w:tblGrid>
      <w:tr w:rsidR="00081421" w:rsidRPr="00F85723" w14:paraId="4F17233B" w14:textId="77777777" w:rsidTr="008665B3">
        <w:tc>
          <w:tcPr>
            <w:tcW w:w="2250" w:type="dxa"/>
          </w:tcPr>
          <w:p w14:paraId="62BA874D"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28E56DEA"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04B674CA"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66AB277F"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4DCD0F88" w14:textId="77777777" w:rsidTr="008665B3">
        <w:tc>
          <w:tcPr>
            <w:tcW w:w="2250" w:type="dxa"/>
          </w:tcPr>
          <w:p w14:paraId="45AF5E15" w14:textId="77777777" w:rsidR="00081421" w:rsidRDefault="00081421" w:rsidP="00081421">
            <w:pPr>
              <w:spacing w:before="0" w:beforeAutospacing="0" w:after="0" w:line="240" w:lineRule="auto"/>
            </w:pPr>
            <w:r>
              <w:t>Existence of inter-disciplinary initiatives</w:t>
            </w:r>
          </w:p>
        </w:tc>
        <w:tc>
          <w:tcPr>
            <w:tcW w:w="2250" w:type="dxa"/>
          </w:tcPr>
          <w:p w14:paraId="73B928B0" w14:textId="77777777" w:rsidR="00081421" w:rsidRDefault="00081421" w:rsidP="00081421">
            <w:pPr>
              <w:spacing w:before="0" w:beforeAutospacing="0" w:after="0" w:line="240" w:lineRule="auto"/>
            </w:pPr>
            <w:r>
              <w:t>2</w:t>
            </w:r>
          </w:p>
        </w:tc>
        <w:tc>
          <w:tcPr>
            <w:tcW w:w="2250" w:type="dxa"/>
          </w:tcPr>
          <w:p w14:paraId="215AD8B5" w14:textId="77777777" w:rsidR="00081421" w:rsidRDefault="00081421" w:rsidP="00081421">
            <w:pPr>
              <w:spacing w:before="0" w:beforeAutospacing="0" w:after="0" w:line="240" w:lineRule="auto"/>
            </w:pPr>
            <w:r>
              <w:t>3</w:t>
            </w:r>
          </w:p>
        </w:tc>
        <w:tc>
          <w:tcPr>
            <w:tcW w:w="2250" w:type="dxa"/>
          </w:tcPr>
          <w:p w14:paraId="35385978" w14:textId="77777777" w:rsidR="00081421" w:rsidRDefault="00081421" w:rsidP="00081421">
            <w:pPr>
              <w:spacing w:before="0" w:beforeAutospacing="0" w:after="0" w:line="240" w:lineRule="auto"/>
            </w:pPr>
            <w:r>
              <w:t>3</w:t>
            </w:r>
          </w:p>
        </w:tc>
      </w:tr>
      <w:tr w:rsidR="00081421" w14:paraId="0E7FEE5C" w14:textId="77777777" w:rsidTr="008665B3">
        <w:tc>
          <w:tcPr>
            <w:tcW w:w="2250" w:type="dxa"/>
          </w:tcPr>
          <w:p w14:paraId="4ED9C46C" w14:textId="77777777" w:rsidR="00081421" w:rsidRDefault="00081421" w:rsidP="00081421">
            <w:pPr>
              <w:spacing w:before="0" w:beforeAutospacing="0" w:after="0" w:line="240" w:lineRule="auto"/>
            </w:pPr>
            <w:r>
              <w:t>Impact</w:t>
            </w:r>
          </w:p>
        </w:tc>
        <w:tc>
          <w:tcPr>
            <w:tcW w:w="2250" w:type="dxa"/>
          </w:tcPr>
          <w:p w14:paraId="13515248" w14:textId="77777777" w:rsidR="00081421" w:rsidRDefault="00081421" w:rsidP="00081421">
            <w:pPr>
              <w:spacing w:before="0" w:beforeAutospacing="0" w:after="0" w:line="240" w:lineRule="auto"/>
            </w:pPr>
            <w:r>
              <w:t>Minor</w:t>
            </w:r>
          </w:p>
        </w:tc>
        <w:tc>
          <w:tcPr>
            <w:tcW w:w="2250" w:type="dxa"/>
          </w:tcPr>
          <w:p w14:paraId="31CE4EFA" w14:textId="77777777" w:rsidR="00081421" w:rsidRDefault="00081421" w:rsidP="00081421">
            <w:pPr>
              <w:spacing w:before="0" w:beforeAutospacing="0" w:after="0" w:line="240" w:lineRule="auto"/>
            </w:pPr>
            <w:r>
              <w:t>Minor</w:t>
            </w:r>
          </w:p>
        </w:tc>
        <w:tc>
          <w:tcPr>
            <w:tcW w:w="2250" w:type="dxa"/>
          </w:tcPr>
          <w:p w14:paraId="52B896D9" w14:textId="77777777" w:rsidR="00081421" w:rsidRDefault="00081421" w:rsidP="00081421">
            <w:pPr>
              <w:spacing w:before="0" w:beforeAutospacing="0" w:after="0" w:line="240" w:lineRule="auto"/>
            </w:pPr>
            <w:r>
              <w:t>Minor</w:t>
            </w:r>
          </w:p>
        </w:tc>
      </w:tr>
    </w:tbl>
    <w:p w14:paraId="5CE7E5A2" w14:textId="77777777" w:rsidR="00081421" w:rsidRDefault="00081421" w:rsidP="00081421">
      <w:pPr>
        <w:spacing w:before="0" w:beforeAutospacing="0" w:after="0" w:line="240" w:lineRule="auto"/>
        <w:rPr>
          <w:b/>
          <w:bCs/>
        </w:rPr>
      </w:pPr>
      <w:r w:rsidRPr="00157941">
        <w:rPr>
          <w:b/>
          <w:bCs/>
        </w:rPr>
        <w:t>Table 7.1: Inter-disciplinarity</w:t>
      </w:r>
    </w:p>
    <w:p w14:paraId="4C703216" w14:textId="77777777" w:rsidR="00157941" w:rsidRPr="00157941" w:rsidRDefault="00157941" w:rsidP="00081421">
      <w:pPr>
        <w:spacing w:before="0" w:beforeAutospacing="0" w:after="0" w:line="240" w:lineRule="auto"/>
        <w:rPr>
          <w:b/>
          <w:bCs/>
        </w:rPr>
      </w:pPr>
    </w:p>
    <w:p w14:paraId="47616A1E" w14:textId="77777777" w:rsidR="00081421" w:rsidRDefault="0008142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37"/>
        <w:gridCol w:w="2097"/>
        <w:gridCol w:w="2081"/>
        <w:gridCol w:w="2136"/>
      </w:tblGrid>
      <w:tr w:rsidR="00081421" w:rsidRPr="00F85723" w14:paraId="02402F43" w14:textId="77777777" w:rsidTr="008665B3">
        <w:tc>
          <w:tcPr>
            <w:tcW w:w="2250" w:type="dxa"/>
          </w:tcPr>
          <w:p w14:paraId="7F30DACF"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10473635"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16F73E3D"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261B595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6B0695F2" w14:textId="77777777" w:rsidTr="008665B3">
        <w:tc>
          <w:tcPr>
            <w:tcW w:w="2250" w:type="dxa"/>
          </w:tcPr>
          <w:p w14:paraId="7361D515" w14:textId="77777777" w:rsidR="00081421" w:rsidRDefault="00081421" w:rsidP="00081421">
            <w:pPr>
              <w:spacing w:before="0" w:beforeAutospacing="0" w:after="0" w:line="240" w:lineRule="auto"/>
            </w:pPr>
            <w:r>
              <w:t>Mentioned</w:t>
            </w:r>
          </w:p>
        </w:tc>
        <w:tc>
          <w:tcPr>
            <w:tcW w:w="2250" w:type="dxa"/>
          </w:tcPr>
          <w:p w14:paraId="0B388C3B" w14:textId="77777777" w:rsidR="00081421" w:rsidRDefault="00081421" w:rsidP="00081421">
            <w:pPr>
              <w:spacing w:before="0" w:beforeAutospacing="0" w:after="0" w:line="240" w:lineRule="auto"/>
            </w:pPr>
            <w:r>
              <w:t>Social justice(2); socio-legal (2); Critical legal (1)</w:t>
            </w:r>
          </w:p>
        </w:tc>
        <w:tc>
          <w:tcPr>
            <w:tcW w:w="2250" w:type="dxa"/>
          </w:tcPr>
          <w:p w14:paraId="136878BF" w14:textId="77777777" w:rsidR="00081421" w:rsidRDefault="00081421" w:rsidP="00081421">
            <w:pPr>
              <w:spacing w:before="0" w:beforeAutospacing="0" w:after="0" w:line="240" w:lineRule="auto"/>
            </w:pPr>
            <w:r>
              <w:t>Socio-legal (4);</w:t>
            </w:r>
          </w:p>
          <w:p w14:paraId="29ECEB8A" w14:textId="77777777" w:rsidR="00081421" w:rsidRDefault="00081421" w:rsidP="00081421">
            <w:pPr>
              <w:spacing w:before="0" w:beforeAutospacing="0" w:after="0" w:line="240" w:lineRule="auto"/>
            </w:pPr>
            <w:r>
              <w:t>Social justice (1);</w:t>
            </w:r>
          </w:p>
          <w:p w14:paraId="0114D0CC" w14:textId="77777777" w:rsidR="00081421" w:rsidRDefault="00081421" w:rsidP="00081421">
            <w:pPr>
              <w:spacing w:before="0" w:beforeAutospacing="0" w:after="0" w:line="240" w:lineRule="auto"/>
            </w:pPr>
            <w:r>
              <w:t>Liberal arts (2)</w:t>
            </w:r>
          </w:p>
        </w:tc>
        <w:tc>
          <w:tcPr>
            <w:tcW w:w="2250" w:type="dxa"/>
          </w:tcPr>
          <w:p w14:paraId="169AD66A" w14:textId="77777777" w:rsidR="00081421" w:rsidRDefault="00081421" w:rsidP="00081421">
            <w:pPr>
              <w:spacing w:before="0" w:beforeAutospacing="0" w:after="0" w:line="240" w:lineRule="auto"/>
            </w:pPr>
            <w:r>
              <w:t xml:space="preserve">Liberal arts(2); </w:t>
            </w:r>
          </w:p>
          <w:p w14:paraId="4D204BBE" w14:textId="77777777" w:rsidR="00081421" w:rsidRDefault="00081421" w:rsidP="00081421">
            <w:pPr>
              <w:spacing w:before="0" w:beforeAutospacing="0" w:after="0" w:line="240" w:lineRule="auto"/>
            </w:pPr>
            <w:r>
              <w:t>Socio-legal (3)</w:t>
            </w:r>
          </w:p>
        </w:tc>
      </w:tr>
      <w:tr w:rsidR="00081421" w14:paraId="6219279D" w14:textId="77777777" w:rsidTr="008665B3">
        <w:tc>
          <w:tcPr>
            <w:tcW w:w="2250" w:type="dxa"/>
          </w:tcPr>
          <w:p w14:paraId="76B345DE" w14:textId="77777777" w:rsidR="00081421" w:rsidRDefault="00081421" w:rsidP="00081421">
            <w:pPr>
              <w:spacing w:before="0" w:beforeAutospacing="0" w:after="0" w:line="240" w:lineRule="auto"/>
            </w:pPr>
            <w:r>
              <w:t>Impact on design</w:t>
            </w:r>
          </w:p>
        </w:tc>
        <w:tc>
          <w:tcPr>
            <w:tcW w:w="2250" w:type="dxa"/>
          </w:tcPr>
          <w:p w14:paraId="568C57A6" w14:textId="77777777" w:rsidR="00081421" w:rsidRDefault="00081421" w:rsidP="00081421">
            <w:pPr>
              <w:spacing w:before="0" w:beforeAutospacing="0" w:after="0" w:line="240" w:lineRule="auto"/>
            </w:pPr>
            <w:r>
              <w:t>Not clear</w:t>
            </w:r>
          </w:p>
        </w:tc>
        <w:tc>
          <w:tcPr>
            <w:tcW w:w="2250" w:type="dxa"/>
          </w:tcPr>
          <w:p w14:paraId="610B5AD6" w14:textId="77777777" w:rsidR="00081421" w:rsidRDefault="00081421" w:rsidP="00081421">
            <w:pPr>
              <w:spacing w:before="0" w:beforeAutospacing="0" w:after="0" w:line="240" w:lineRule="auto"/>
            </w:pPr>
            <w:r>
              <w:t>Not clear</w:t>
            </w:r>
          </w:p>
        </w:tc>
        <w:tc>
          <w:tcPr>
            <w:tcW w:w="2250" w:type="dxa"/>
          </w:tcPr>
          <w:p w14:paraId="0BA8B44A" w14:textId="77777777" w:rsidR="00081421" w:rsidRDefault="00081421" w:rsidP="00081421">
            <w:pPr>
              <w:spacing w:before="0" w:beforeAutospacing="0" w:after="0" w:line="240" w:lineRule="auto"/>
            </w:pPr>
            <w:r>
              <w:t>Not clear</w:t>
            </w:r>
          </w:p>
        </w:tc>
      </w:tr>
    </w:tbl>
    <w:p w14:paraId="7A119CBB" w14:textId="77777777" w:rsidR="00081421" w:rsidRDefault="00081421" w:rsidP="00081421">
      <w:pPr>
        <w:spacing w:before="0" w:beforeAutospacing="0" w:after="0" w:line="240" w:lineRule="auto"/>
        <w:rPr>
          <w:b/>
          <w:bCs/>
        </w:rPr>
      </w:pPr>
      <w:r w:rsidRPr="00081421">
        <w:rPr>
          <w:b/>
          <w:bCs/>
        </w:rPr>
        <w:t>Table 7.2: A Liberal arts law degree (Section 7.2.3)</w:t>
      </w:r>
    </w:p>
    <w:p w14:paraId="7DFC3F5D" w14:textId="77777777" w:rsidR="00157941" w:rsidRPr="00081421" w:rsidRDefault="00157941" w:rsidP="00081421">
      <w:pPr>
        <w:spacing w:before="0" w:beforeAutospacing="0" w:after="0" w:line="240" w:lineRule="auto"/>
        <w:rPr>
          <w:b/>
          <w:bCs/>
        </w:rPr>
      </w:pPr>
    </w:p>
    <w:p w14:paraId="10B6A4F4" w14:textId="77777777" w:rsidR="00081421" w:rsidRDefault="0008142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38"/>
        <w:gridCol w:w="2090"/>
        <w:gridCol w:w="2084"/>
        <w:gridCol w:w="2139"/>
      </w:tblGrid>
      <w:tr w:rsidR="00081421" w:rsidRPr="00F85723" w14:paraId="386D6B3E" w14:textId="77777777" w:rsidTr="008665B3">
        <w:tc>
          <w:tcPr>
            <w:tcW w:w="2250" w:type="dxa"/>
          </w:tcPr>
          <w:p w14:paraId="49E2D139"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1D815478"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0592547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59C01188"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1D002F97" w14:textId="77777777" w:rsidTr="008665B3">
        <w:tc>
          <w:tcPr>
            <w:tcW w:w="2250" w:type="dxa"/>
          </w:tcPr>
          <w:p w14:paraId="58B80562" w14:textId="77777777" w:rsidR="00081421" w:rsidRDefault="00081421" w:rsidP="00081421">
            <w:pPr>
              <w:spacing w:before="0" w:beforeAutospacing="0" w:after="0" w:line="240" w:lineRule="auto"/>
            </w:pPr>
            <w:r>
              <w:t>Mentioned</w:t>
            </w:r>
          </w:p>
        </w:tc>
        <w:tc>
          <w:tcPr>
            <w:tcW w:w="2250" w:type="dxa"/>
          </w:tcPr>
          <w:p w14:paraId="26B374F8" w14:textId="77777777" w:rsidR="00081421" w:rsidRDefault="00081421" w:rsidP="00081421">
            <w:pPr>
              <w:spacing w:before="0" w:beforeAutospacing="0" w:after="0" w:line="240" w:lineRule="auto"/>
            </w:pPr>
            <w:r>
              <w:t>4</w:t>
            </w:r>
          </w:p>
        </w:tc>
        <w:tc>
          <w:tcPr>
            <w:tcW w:w="2250" w:type="dxa"/>
          </w:tcPr>
          <w:p w14:paraId="4D9B04F1" w14:textId="77777777" w:rsidR="00081421" w:rsidRDefault="00081421" w:rsidP="00081421">
            <w:pPr>
              <w:spacing w:before="0" w:beforeAutospacing="0" w:after="0" w:line="240" w:lineRule="auto"/>
            </w:pPr>
            <w:r>
              <w:t>5</w:t>
            </w:r>
          </w:p>
        </w:tc>
        <w:tc>
          <w:tcPr>
            <w:tcW w:w="2250" w:type="dxa"/>
          </w:tcPr>
          <w:p w14:paraId="4F1969E4" w14:textId="77777777" w:rsidR="00081421" w:rsidRDefault="00081421" w:rsidP="00081421">
            <w:pPr>
              <w:spacing w:before="0" w:beforeAutospacing="0" w:after="0" w:line="240" w:lineRule="auto"/>
            </w:pPr>
            <w:r>
              <w:t>6</w:t>
            </w:r>
          </w:p>
        </w:tc>
      </w:tr>
      <w:tr w:rsidR="00081421" w14:paraId="69E4C1EB" w14:textId="77777777" w:rsidTr="008665B3">
        <w:tc>
          <w:tcPr>
            <w:tcW w:w="2250" w:type="dxa"/>
          </w:tcPr>
          <w:p w14:paraId="2B2E6C94" w14:textId="77777777" w:rsidR="00081421" w:rsidRDefault="00081421" w:rsidP="00081421">
            <w:pPr>
              <w:spacing w:before="0" w:beforeAutospacing="0" w:after="0" w:line="240" w:lineRule="auto"/>
            </w:pPr>
            <w:r>
              <w:t>Experiential learning</w:t>
            </w:r>
          </w:p>
        </w:tc>
        <w:tc>
          <w:tcPr>
            <w:tcW w:w="2250" w:type="dxa"/>
          </w:tcPr>
          <w:p w14:paraId="2F083080" w14:textId="77777777" w:rsidR="00081421" w:rsidRDefault="00081421" w:rsidP="00081421">
            <w:pPr>
              <w:spacing w:before="0" w:beforeAutospacing="0" w:after="0" w:line="240" w:lineRule="auto"/>
            </w:pPr>
            <w:r>
              <w:t>4</w:t>
            </w:r>
          </w:p>
        </w:tc>
        <w:tc>
          <w:tcPr>
            <w:tcW w:w="2250" w:type="dxa"/>
          </w:tcPr>
          <w:p w14:paraId="683963F5" w14:textId="77777777" w:rsidR="00081421" w:rsidRDefault="00081421" w:rsidP="00081421">
            <w:pPr>
              <w:spacing w:before="0" w:beforeAutospacing="0" w:after="0" w:line="240" w:lineRule="auto"/>
            </w:pPr>
            <w:r>
              <w:t>5</w:t>
            </w:r>
          </w:p>
        </w:tc>
        <w:tc>
          <w:tcPr>
            <w:tcW w:w="2250" w:type="dxa"/>
          </w:tcPr>
          <w:p w14:paraId="7CBC9673" w14:textId="77777777" w:rsidR="00081421" w:rsidRDefault="00081421" w:rsidP="00081421">
            <w:pPr>
              <w:spacing w:before="0" w:beforeAutospacing="0" w:after="0" w:line="240" w:lineRule="auto"/>
            </w:pPr>
            <w:r>
              <w:t>5</w:t>
            </w:r>
          </w:p>
        </w:tc>
      </w:tr>
      <w:tr w:rsidR="00081421" w14:paraId="034301FB" w14:textId="77777777" w:rsidTr="008665B3">
        <w:tc>
          <w:tcPr>
            <w:tcW w:w="2250" w:type="dxa"/>
          </w:tcPr>
          <w:p w14:paraId="07F0563A" w14:textId="77777777" w:rsidR="00081421" w:rsidRDefault="00081421" w:rsidP="00081421">
            <w:pPr>
              <w:spacing w:before="0" w:beforeAutospacing="0" w:after="0" w:line="240" w:lineRule="auto"/>
            </w:pPr>
            <w:r>
              <w:t>Importance of legal skills</w:t>
            </w:r>
          </w:p>
        </w:tc>
        <w:tc>
          <w:tcPr>
            <w:tcW w:w="2250" w:type="dxa"/>
          </w:tcPr>
          <w:p w14:paraId="2A289A3B" w14:textId="77777777" w:rsidR="00081421" w:rsidRDefault="00081421" w:rsidP="00081421">
            <w:pPr>
              <w:spacing w:before="0" w:beforeAutospacing="0" w:after="0" w:line="240" w:lineRule="auto"/>
            </w:pPr>
            <w:r>
              <w:t>3</w:t>
            </w:r>
          </w:p>
        </w:tc>
        <w:tc>
          <w:tcPr>
            <w:tcW w:w="2250" w:type="dxa"/>
          </w:tcPr>
          <w:p w14:paraId="72B194E2" w14:textId="77777777" w:rsidR="00081421" w:rsidRDefault="00081421" w:rsidP="00081421">
            <w:pPr>
              <w:spacing w:before="0" w:beforeAutospacing="0" w:after="0" w:line="240" w:lineRule="auto"/>
            </w:pPr>
            <w:r>
              <w:t>5</w:t>
            </w:r>
          </w:p>
        </w:tc>
        <w:tc>
          <w:tcPr>
            <w:tcW w:w="2250" w:type="dxa"/>
          </w:tcPr>
          <w:p w14:paraId="21A99EEF" w14:textId="77777777" w:rsidR="00081421" w:rsidRDefault="00081421" w:rsidP="00081421">
            <w:pPr>
              <w:spacing w:before="0" w:beforeAutospacing="0" w:after="0" w:line="240" w:lineRule="auto"/>
            </w:pPr>
            <w:r>
              <w:t>6</w:t>
            </w:r>
          </w:p>
        </w:tc>
      </w:tr>
    </w:tbl>
    <w:p w14:paraId="3CAFB4C7" w14:textId="77777777" w:rsidR="00081421" w:rsidRPr="00081421" w:rsidRDefault="00081421" w:rsidP="00081421">
      <w:pPr>
        <w:spacing w:before="0" w:beforeAutospacing="0" w:after="0" w:line="240" w:lineRule="auto"/>
        <w:rPr>
          <w:b/>
          <w:bCs/>
        </w:rPr>
      </w:pPr>
      <w:r w:rsidRPr="00081421">
        <w:rPr>
          <w:b/>
          <w:bCs/>
        </w:rPr>
        <w:t>Table 7.3: A vocational degree (Section 7.2.2)</w:t>
      </w:r>
    </w:p>
    <w:p w14:paraId="3BB711C9" w14:textId="77777777" w:rsidR="00081421" w:rsidRDefault="00081421" w:rsidP="00081421">
      <w:pPr>
        <w:spacing w:before="0" w:beforeAutospacing="0" w:after="0" w:line="240" w:lineRule="auto"/>
      </w:pPr>
    </w:p>
    <w:p w14:paraId="40310BCF" w14:textId="77777777" w:rsidR="00157941" w:rsidRDefault="0015794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63"/>
        <w:gridCol w:w="2081"/>
        <w:gridCol w:w="2075"/>
        <w:gridCol w:w="2132"/>
      </w:tblGrid>
      <w:tr w:rsidR="00081421" w:rsidRPr="00F85723" w14:paraId="3703B6A3" w14:textId="77777777" w:rsidTr="008665B3">
        <w:tc>
          <w:tcPr>
            <w:tcW w:w="2250" w:type="dxa"/>
          </w:tcPr>
          <w:p w14:paraId="79320E2E"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1056E377"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7060FD4E"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53E29890"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0724EA88" w14:textId="77777777" w:rsidTr="008665B3">
        <w:tc>
          <w:tcPr>
            <w:tcW w:w="2250" w:type="dxa"/>
          </w:tcPr>
          <w:p w14:paraId="24825B64" w14:textId="77777777" w:rsidR="00081421" w:rsidRDefault="00081421" w:rsidP="00081421">
            <w:pPr>
              <w:spacing w:before="0" w:beforeAutospacing="0" w:after="0" w:line="240" w:lineRule="auto"/>
            </w:pPr>
            <w:r>
              <w:t>FLKs (need)</w:t>
            </w:r>
          </w:p>
        </w:tc>
        <w:tc>
          <w:tcPr>
            <w:tcW w:w="2250" w:type="dxa"/>
          </w:tcPr>
          <w:p w14:paraId="37F8CC71" w14:textId="77777777" w:rsidR="00081421" w:rsidRDefault="00081421" w:rsidP="00081421">
            <w:pPr>
              <w:spacing w:before="0" w:beforeAutospacing="0" w:after="0" w:line="240" w:lineRule="auto"/>
            </w:pPr>
            <w:r>
              <w:t>5</w:t>
            </w:r>
          </w:p>
        </w:tc>
        <w:tc>
          <w:tcPr>
            <w:tcW w:w="2250" w:type="dxa"/>
          </w:tcPr>
          <w:p w14:paraId="5EC7DEF8" w14:textId="77777777" w:rsidR="00081421" w:rsidRDefault="00081421" w:rsidP="00081421">
            <w:pPr>
              <w:spacing w:before="0" w:beforeAutospacing="0" w:after="0" w:line="240" w:lineRule="auto"/>
            </w:pPr>
            <w:r>
              <w:t>5</w:t>
            </w:r>
          </w:p>
        </w:tc>
        <w:tc>
          <w:tcPr>
            <w:tcW w:w="2250" w:type="dxa"/>
          </w:tcPr>
          <w:p w14:paraId="34C1BAB8" w14:textId="77777777" w:rsidR="00081421" w:rsidRDefault="00081421" w:rsidP="00081421">
            <w:pPr>
              <w:spacing w:before="0" w:beforeAutospacing="0" w:after="0" w:line="240" w:lineRule="auto"/>
            </w:pPr>
            <w:r>
              <w:t>6</w:t>
            </w:r>
          </w:p>
        </w:tc>
      </w:tr>
      <w:tr w:rsidR="00081421" w14:paraId="1C21F330" w14:textId="77777777" w:rsidTr="008665B3">
        <w:tc>
          <w:tcPr>
            <w:tcW w:w="2250" w:type="dxa"/>
          </w:tcPr>
          <w:p w14:paraId="2E461409" w14:textId="77777777" w:rsidR="00081421" w:rsidRDefault="00081421" w:rsidP="00081421">
            <w:pPr>
              <w:spacing w:before="0" w:beforeAutospacing="0" w:after="0" w:line="240" w:lineRule="auto"/>
            </w:pPr>
            <w:r>
              <w:t>Optionality increase</w:t>
            </w:r>
          </w:p>
        </w:tc>
        <w:tc>
          <w:tcPr>
            <w:tcW w:w="2250" w:type="dxa"/>
          </w:tcPr>
          <w:p w14:paraId="517B72B0" w14:textId="77777777" w:rsidR="00081421" w:rsidRDefault="00081421" w:rsidP="00081421">
            <w:pPr>
              <w:spacing w:before="0" w:beforeAutospacing="0" w:after="0" w:line="240" w:lineRule="auto"/>
            </w:pPr>
          </w:p>
        </w:tc>
        <w:tc>
          <w:tcPr>
            <w:tcW w:w="2250" w:type="dxa"/>
          </w:tcPr>
          <w:p w14:paraId="07EBA67A" w14:textId="77777777" w:rsidR="00081421" w:rsidRDefault="00081421" w:rsidP="00081421">
            <w:pPr>
              <w:spacing w:before="0" w:beforeAutospacing="0" w:after="0" w:line="240" w:lineRule="auto"/>
            </w:pPr>
            <w:r>
              <w:t>1</w:t>
            </w:r>
          </w:p>
        </w:tc>
        <w:tc>
          <w:tcPr>
            <w:tcW w:w="2250" w:type="dxa"/>
          </w:tcPr>
          <w:p w14:paraId="765E564E" w14:textId="77777777" w:rsidR="00081421" w:rsidRDefault="00081421" w:rsidP="00081421">
            <w:pPr>
              <w:spacing w:before="0" w:beforeAutospacing="0" w:after="0" w:line="240" w:lineRule="auto"/>
            </w:pPr>
          </w:p>
        </w:tc>
      </w:tr>
      <w:tr w:rsidR="00081421" w14:paraId="0F242E56" w14:textId="77777777" w:rsidTr="008665B3">
        <w:tc>
          <w:tcPr>
            <w:tcW w:w="2250" w:type="dxa"/>
          </w:tcPr>
          <w:p w14:paraId="5D7B2DDC" w14:textId="77777777" w:rsidR="00081421" w:rsidRDefault="00081421" w:rsidP="00081421">
            <w:pPr>
              <w:spacing w:before="0" w:beforeAutospacing="0" w:after="0" w:line="240" w:lineRule="auto"/>
            </w:pPr>
            <w:r>
              <w:t>Optionality rationalisation</w:t>
            </w:r>
          </w:p>
        </w:tc>
        <w:tc>
          <w:tcPr>
            <w:tcW w:w="2250" w:type="dxa"/>
          </w:tcPr>
          <w:p w14:paraId="599B3E51" w14:textId="77777777" w:rsidR="00081421" w:rsidRDefault="00081421" w:rsidP="00081421">
            <w:pPr>
              <w:spacing w:before="0" w:beforeAutospacing="0" w:after="0" w:line="240" w:lineRule="auto"/>
            </w:pPr>
            <w:r>
              <w:t>5</w:t>
            </w:r>
          </w:p>
        </w:tc>
        <w:tc>
          <w:tcPr>
            <w:tcW w:w="2250" w:type="dxa"/>
          </w:tcPr>
          <w:p w14:paraId="33B28AC2" w14:textId="77777777" w:rsidR="00081421" w:rsidRDefault="00081421" w:rsidP="00081421">
            <w:pPr>
              <w:spacing w:before="0" w:beforeAutospacing="0" w:after="0" w:line="240" w:lineRule="auto"/>
            </w:pPr>
            <w:r>
              <w:t>4</w:t>
            </w:r>
          </w:p>
        </w:tc>
        <w:tc>
          <w:tcPr>
            <w:tcW w:w="2250" w:type="dxa"/>
          </w:tcPr>
          <w:p w14:paraId="63820C71" w14:textId="77777777" w:rsidR="00081421" w:rsidRDefault="00081421" w:rsidP="00081421">
            <w:pPr>
              <w:spacing w:before="0" w:beforeAutospacing="0" w:after="0" w:line="240" w:lineRule="auto"/>
            </w:pPr>
            <w:r>
              <w:t>4</w:t>
            </w:r>
          </w:p>
        </w:tc>
      </w:tr>
      <w:tr w:rsidR="00081421" w14:paraId="747CE42F" w14:textId="77777777" w:rsidTr="008665B3">
        <w:tc>
          <w:tcPr>
            <w:tcW w:w="2250" w:type="dxa"/>
          </w:tcPr>
          <w:p w14:paraId="7A124034" w14:textId="77777777" w:rsidR="00081421" w:rsidRDefault="00081421" w:rsidP="00081421">
            <w:pPr>
              <w:spacing w:before="0" w:beforeAutospacing="0" w:after="0" w:line="240" w:lineRule="auto"/>
            </w:pPr>
            <w:r>
              <w:t>Impact of SQE</w:t>
            </w:r>
          </w:p>
        </w:tc>
        <w:tc>
          <w:tcPr>
            <w:tcW w:w="2250" w:type="dxa"/>
          </w:tcPr>
          <w:p w14:paraId="2935F61D" w14:textId="77777777" w:rsidR="00081421" w:rsidRDefault="00081421" w:rsidP="00081421">
            <w:pPr>
              <w:spacing w:before="0" w:beforeAutospacing="0" w:after="0" w:line="240" w:lineRule="auto"/>
            </w:pPr>
            <w:r>
              <w:t>Very little (some MCQ)</w:t>
            </w:r>
          </w:p>
        </w:tc>
        <w:tc>
          <w:tcPr>
            <w:tcW w:w="2250" w:type="dxa"/>
          </w:tcPr>
          <w:p w14:paraId="162F8DAE" w14:textId="77777777" w:rsidR="00081421" w:rsidRDefault="00081421" w:rsidP="00081421">
            <w:pPr>
              <w:spacing w:before="0" w:beforeAutospacing="0" w:after="0" w:line="240" w:lineRule="auto"/>
            </w:pPr>
            <w:r>
              <w:t>Minor beyond MCQs</w:t>
            </w:r>
          </w:p>
        </w:tc>
        <w:tc>
          <w:tcPr>
            <w:tcW w:w="2250" w:type="dxa"/>
          </w:tcPr>
          <w:p w14:paraId="395B0934" w14:textId="77777777" w:rsidR="00081421" w:rsidRDefault="00081421" w:rsidP="00081421">
            <w:pPr>
              <w:spacing w:before="0" w:beforeAutospacing="0" w:after="0" w:line="240" w:lineRule="auto"/>
            </w:pPr>
            <w:r>
              <w:t>Inclusion of MCQs</w:t>
            </w:r>
          </w:p>
        </w:tc>
      </w:tr>
      <w:tr w:rsidR="00081421" w14:paraId="4976BDF1" w14:textId="77777777" w:rsidTr="008665B3">
        <w:tc>
          <w:tcPr>
            <w:tcW w:w="2250" w:type="dxa"/>
          </w:tcPr>
          <w:p w14:paraId="764AC62C" w14:textId="77777777" w:rsidR="00081421" w:rsidRDefault="00081421" w:rsidP="00081421">
            <w:pPr>
              <w:spacing w:before="0" w:beforeAutospacing="0" w:after="0" w:line="240" w:lineRule="auto"/>
            </w:pPr>
          </w:p>
        </w:tc>
        <w:tc>
          <w:tcPr>
            <w:tcW w:w="2250" w:type="dxa"/>
          </w:tcPr>
          <w:p w14:paraId="2DA183CA" w14:textId="77777777" w:rsidR="00081421" w:rsidRDefault="00081421" w:rsidP="00081421">
            <w:pPr>
              <w:spacing w:before="0" w:beforeAutospacing="0" w:after="0" w:line="240" w:lineRule="auto"/>
            </w:pPr>
          </w:p>
        </w:tc>
        <w:tc>
          <w:tcPr>
            <w:tcW w:w="2250" w:type="dxa"/>
          </w:tcPr>
          <w:p w14:paraId="2849B553" w14:textId="77777777" w:rsidR="00081421" w:rsidRDefault="00081421" w:rsidP="00081421">
            <w:pPr>
              <w:spacing w:before="0" w:beforeAutospacing="0" w:after="0" w:line="240" w:lineRule="auto"/>
            </w:pPr>
          </w:p>
        </w:tc>
        <w:tc>
          <w:tcPr>
            <w:tcW w:w="2250" w:type="dxa"/>
          </w:tcPr>
          <w:p w14:paraId="2EBDFBEF" w14:textId="77777777" w:rsidR="00081421" w:rsidRDefault="00081421" w:rsidP="00081421">
            <w:pPr>
              <w:spacing w:before="0" w:beforeAutospacing="0" w:after="0" w:line="240" w:lineRule="auto"/>
            </w:pPr>
          </w:p>
        </w:tc>
      </w:tr>
    </w:tbl>
    <w:p w14:paraId="6B619047" w14:textId="77777777" w:rsidR="00081421" w:rsidRPr="00081421" w:rsidRDefault="00081421" w:rsidP="00081421">
      <w:pPr>
        <w:spacing w:before="0" w:beforeAutospacing="0" w:after="0" w:line="240" w:lineRule="auto"/>
        <w:rPr>
          <w:b/>
          <w:bCs/>
        </w:rPr>
      </w:pPr>
      <w:r w:rsidRPr="00081421">
        <w:rPr>
          <w:b/>
          <w:bCs/>
        </w:rPr>
        <w:t>Table 7.4: Foundations of Legal knowledge and optionality; SQE (Section 7.3; 4)</w:t>
      </w:r>
    </w:p>
    <w:p w14:paraId="18E8E9CF" w14:textId="77777777" w:rsidR="00081421" w:rsidRDefault="00081421" w:rsidP="00081421">
      <w:pPr>
        <w:spacing w:before="0" w:beforeAutospacing="0" w:after="0" w:line="240" w:lineRule="auto"/>
      </w:pPr>
    </w:p>
    <w:p w14:paraId="5FE330A1" w14:textId="77777777" w:rsidR="00157941" w:rsidRDefault="00157941" w:rsidP="00081421">
      <w:pPr>
        <w:spacing w:before="0" w:beforeAutospacing="0" w:after="0" w:line="240" w:lineRule="auto"/>
        <w:rPr>
          <w:b/>
          <w:bCs/>
          <w:sz w:val="28"/>
          <w:szCs w:val="28"/>
        </w:rPr>
      </w:pPr>
    </w:p>
    <w:p w14:paraId="3A5E60F9" w14:textId="3A9BCD8F" w:rsidR="00081421" w:rsidRDefault="00081421" w:rsidP="00081421">
      <w:pPr>
        <w:spacing w:before="0" w:beforeAutospacing="0" w:after="0" w:line="240" w:lineRule="auto"/>
        <w:rPr>
          <w:b/>
          <w:bCs/>
          <w:sz w:val="28"/>
          <w:szCs w:val="28"/>
        </w:rPr>
      </w:pPr>
      <w:r w:rsidRPr="00081421">
        <w:rPr>
          <w:b/>
          <w:bCs/>
          <w:sz w:val="28"/>
          <w:szCs w:val="28"/>
        </w:rPr>
        <w:t>The PRF: The non</w:t>
      </w:r>
      <w:r w:rsidR="00157941">
        <w:rPr>
          <w:b/>
          <w:bCs/>
          <w:sz w:val="28"/>
          <w:szCs w:val="28"/>
        </w:rPr>
        <w:t>/</w:t>
      </w:r>
      <w:r w:rsidRPr="00081421">
        <w:rPr>
          <w:b/>
          <w:bCs/>
          <w:sz w:val="28"/>
          <w:szCs w:val="28"/>
        </w:rPr>
        <w:t xml:space="preserve">cross-disciplinary impact (Chapter </w:t>
      </w:r>
      <w:r w:rsidR="00046A61">
        <w:rPr>
          <w:b/>
          <w:bCs/>
          <w:sz w:val="28"/>
          <w:szCs w:val="28"/>
        </w:rPr>
        <w:t>E</w:t>
      </w:r>
      <w:r w:rsidRPr="00081421">
        <w:rPr>
          <w:b/>
          <w:bCs/>
          <w:sz w:val="28"/>
          <w:szCs w:val="28"/>
        </w:rPr>
        <w:t>ig</w:t>
      </w:r>
      <w:r w:rsidR="00157941">
        <w:rPr>
          <w:b/>
          <w:bCs/>
          <w:sz w:val="28"/>
          <w:szCs w:val="28"/>
        </w:rPr>
        <w:t>ht)</w:t>
      </w:r>
    </w:p>
    <w:p w14:paraId="4AEA6DDD" w14:textId="77777777" w:rsidR="00157941" w:rsidRDefault="00157941" w:rsidP="00081421">
      <w:pPr>
        <w:spacing w:before="0" w:beforeAutospacing="0" w:after="0" w:line="240" w:lineRule="auto"/>
        <w:rPr>
          <w:b/>
          <w:bCs/>
          <w:sz w:val="28"/>
          <w:szCs w:val="28"/>
        </w:rPr>
      </w:pPr>
    </w:p>
    <w:p w14:paraId="0002C076" w14:textId="77777777" w:rsidR="00157941" w:rsidRPr="00081421" w:rsidRDefault="00157941" w:rsidP="00081421">
      <w:pPr>
        <w:spacing w:before="0" w:beforeAutospacing="0" w:after="0" w:line="240" w:lineRule="auto"/>
        <w:rPr>
          <w:b/>
          <w:bCs/>
          <w:sz w:val="28"/>
          <w:szCs w:val="28"/>
        </w:rPr>
      </w:pPr>
    </w:p>
    <w:tbl>
      <w:tblPr>
        <w:tblStyle w:val="TableGrid"/>
        <w:tblW w:w="0" w:type="auto"/>
        <w:tblInd w:w="16" w:type="dxa"/>
        <w:tblLook w:val="04A0" w:firstRow="1" w:lastRow="0" w:firstColumn="1" w:lastColumn="0" w:noHBand="0" w:noVBand="1"/>
      </w:tblPr>
      <w:tblGrid>
        <w:gridCol w:w="2124"/>
        <w:gridCol w:w="2083"/>
        <w:gridCol w:w="2145"/>
        <w:gridCol w:w="2099"/>
      </w:tblGrid>
      <w:tr w:rsidR="00081421" w:rsidRPr="00F85723" w14:paraId="3DAD3A0C" w14:textId="77777777" w:rsidTr="00081421">
        <w:tc>
          <w:tcPr>
            <w:tcW w:w="2124" w:type="dxa"/>
          </w:tcPr>
          <w:p w14:paraId="51BB01D4"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083" w:type="dxa"/>
          </w:tcPr>
          <w:p w14:paraId="0E4205E6"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145" w:type="dxa"/>
          </w:tcPr>
          <w:p w14:paraId="15E900E7"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099" w:type="dxa"/>
          </w:tcPr>
          <w:p w14:paraId="26D4682C"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109C1E0F" w14:textId="77777777" w:rsidTr="00081421">
        <w:tc>
          <w:tcPr>
            <w:tcW w:w="2124" w:type="dxa"/>
          </w:tcPr>
          <w:p w14:paraId="3998C4F0" w14:textId="77777777" w:rsidR="00081421" w:rsidRDefault="00081421" w:rsidP="00081421">
            <w:pPr>
              <w:spacing w:before="0" w:beforeAutospacing="0" w:after="0" w:line="240" w:lineRule="auto"/>
            </w:pPr>
            <w:r>
              <w:t>Regarded as necessary due to:</w:t>
            </w:r>
          </w:p>
        </w:tc>
        <w:tc>
          <w:tcPr>
            <w:tcW w:w="2083" w:type="dxa"/>
          </w:tcPr>
          <w:p w14:paraId="34C7F837" w14:textId="77777777" w:rsidR="00081421" w:rsidRDefault="00081421" w:rsidP="00081421">
            <w:pPr>
              <w:spacing w:before="0" w:beforeAutospacing="0" w:after="0" w:line="240" w:lineRule="auto"/>
            </w:pPr>
            <w:r>
              <w:t>Some mapping</w:t>
            </w:r>
          </w:p>
          <w:p w14:paraId="768A2554" w14:textId="77777777" w:rsidR="00081421" w:rsidRDefault="00081421" w:rsidP="00081421">
            <w:pPr>
              <w:spacing w:before="0" w:beforeAutospacing="0" w:after="0" w:line="240" w:lineRule="auto"/>
            </w:pPr>
            <w:r>
              <w:t>Due to increasing diversity of students</w:t>
            </w:r>
          </w:p>
        </w:tc>
        <w:tc>
          <w:tcPr>
            <w:tcW w:w="2145" w:type="dxa"/>
          </w:tcPr>
          <w:p w14:paraId="2CC6EF11" w14:textId="77777777" w:rsidR="00081421" w:rsidRDefault="00081421" w:rsidP="00081421">
            <w:pPr>
              <w:spacing w:before="0" w:beforeAutospacing="0" w:after="0" w:line="240" w:lineRule="auto"/>
            </w:pPr>
            <w:r>
              <w:t>To support students</w:t>
            </w:r>
          </w:p>
        </w:tc>
        <w:tc>
          <w:tcPr>
            <w:tcW w:w="2099" w:type="dxa"/>
          </w:tcPr>
          <w:p w14:paraId="66CE3A36" w14:textId="77777777" w:rsidR="00081421" w:rsidRDefault="00081421" w:rsidP="00081421">
            <w:pPr>
              <w:spacing w:before="0" w:beforeAutospacing="0" w:after="0" w:line="240" w:lineRule="auto"/>
            </w:pPr>
            <w:r>
              <w:t>To support students</w:t>
            </w:r>
          </w:p>
        </w:tc>
      </w:tr>
      <w:tr w:rsidR="00081421" w14:paraId="7E2EB84F" w14:textId="77777777" w:rsidTr="00081421">
        <w:tc>
          <w:tcPr>
            <w:tcW w:w="2124" w:type="dxa"/>
          </w:tcPr>
          <w:p w14:paraId="5039E344" w14:textId="77777777" w:rsidR="00081421" w:rsidRDefault="00081421" w:rsidP="00081421">
            <w:pPr>
              <w:spacing w:before="0" w:beforeAutospacing="0" w:after="0" w:line="240" w:lineRule="auto"/>
            </w:pPr>
            <w:r>
              <w:t>Specifics</w:t>
            </w:r>
          </w:p>
        </w:tc>
        <w:tc>
          <w:tcPr>
            <w:tcW w:w="2083" w:type="dxa"/>
          </w:tcPr>
          <w:p w14:paraId="57D07BEC" w14:textId="77777777" w:rsidR="00081421" w:rsidRDefault="00081421" w:rsidP="00081421">
            <w:pPr>
              <w:spacing w:before="0" w:beforeAutospacing="0" w:after="0" w:line="240" w:lineRule="auto"/>
            </w:pPr>
            <w:r>
              <w:t>Changing cohort</w:t>
            </w:r>
          </w:p>
          <w:p w14:paraId="742EECDD" w14:textId="77777777" w:rsidR="00081421" w:rsidRDefault="00081421" w:rsidP="00081421">
            <w:pPr>
              <w:spacing w:before="0" w:beforeAutospacing="0" w:after="0" w:line="240" w:lineRule="auto"/>
            </w:pPr>
            <w:r>
              <w:t>Technology</w:t>
            </w:r>
          </w:p>
        </w:tc>
        <w:tc>
          <w:tcPr>
            <w:tcW w:w="2145" w:type="dxa"/>
          </w:tcPr>
          <w:p w14:paraId="4741DC36" w14:textId="77777777" w:rsidR="00081421" w:rsidRDefault="00081421" w:rsidP="00081421">
            <w:pPr>
              <w:spacing w:before="0" w:beforeAutospacing="0" w:after="0" w:line="240" w:lineRule="auto"/>
            </w:pPr>
            <w:r>
              <w:t>Diversity/entry tariffs/ time poor students</w:t>
            </w:r>
          </w:p>
          <w:p w14:paraId="44A9DC42" w14:textId="77777777" w:rsidR="00081421" w:rsidRDefault="00081421" w:rsidP="00081421">
            <w:pPr>
              <w:spacing w:before="0" w:beforeAutospacing="0" w:after="0" w:line="240" w:lineRule="auto"/>
            </w:pPr>
            <w:r>
              <w:t>Technology</w:t>
            </w:r>
          </w:p>
        </w:tc>
        <w:tc>
          <w:tcPr>
            <w:tcW w:w="2099" w:type="dxa"/>
          </w:tcPr>
          <w:p w14:paraId="4373A53F" w14:textId="77777777" w:rsidR="00081421" w:rsidRDefault="00081421" w:rsidP="00081421">
            <w:pPr>
              <w:spacing w:before="0" w:beforeAutospacing="0" w:after="0" w:line="240" w:lineRule="auto"/>
            </w:pPr>
            <w:r>
              <w:t>Pressures: financial, travel and disability</w:t>
            </w:r>
          </w:p>
          <w:p w14:paraId="4697307D" w14:textId="77777777" w:rsidR="00081421" w:rsidRDefault="00081421" w:rsidP="00081421">
            <w:pPr>
              <w:spacing w:before="0" w:beforeAutospacing="0" w:after="0" w:line="240" w:lineRule="auto"/>
            </w:pPr>
            <w:r>
              <w:t>Diversity in cohort</w:t>
            </w:r>
          </w:p>
          <w:p w14:paraId="312BF3A4" w14:textId="77777777" w:rsidR="00081421" w:rsidRDefault="00081421" w:rsidP="00081421">
            <w:pPr>
              <w:spacing w:before="0" w:beforeAutospacing="0" w:after="0" w:line="240" w:lineRule="auto"/>
            </w:pPr>
            <w:r>
              <w:t>Technology</w:t>
            </w:r>
          </w:p>
        </w:tc>
      </w:tr>
      <w:tr w:rsidR="00081421" w14:paraId="5A962165" w14:textId="77777777" w:rsidTr="00081421">
        <w:tc>
          <w:tcPr>
            <w:tcW w:w="2124" w:type="dxa"/>
          </w:tcPr>
          <w:p w14:paraId="6161B7D1" w14:textId="77777777" w:rsidR="00081421" w:rsidRDefault="00081421" w:rsidP="00081421">
            <w:pPr>
              <w:spacing w:before="0" w:beforeAutospacing="0" w:after="0" w:line="240" w:lineRule="auto"/>
            </w:pPr>
            <w:r>
              <w:t>Employability agenda impact</w:t>
            </w:r>
          </w:p>
        </w:tc>
        <w:tc>
          <w:tcPr>
            <w:tcW w:w="2083" w:type="dxa"/>
          </w:tcPr>
          <w:p w14:paraId="7CD5B659" w14:textId="77777777" w:rsidR="00081421" w:rsidRDefault="00081421" w:rsidP="00081421">
            <w:pPr>
              <w:spacing w:before="0" w:beforeAutospacing="0" w:after="0" w:line="240" w:lineRule="auto"/>
            </w:pPr>
            <w:r>
              <w:t>Here but more implicit (2)</w:t>
            </w:r>
          </w:p>
          <w:p w14:paraId="2DC163FA" w14:textId="77777777" w:rsidR="00081421" w:rsidRDefault="00081421" w:rsidP="00081421">
            <w:pPr>
              <w:spacing w:before="0" w:beforeAutospacing="0" w:after="0" w:line="240" w:lineRule="auto"/>
            </w:pPr>
          </w:p>
        </w:tc>
        <w:tc>
          <w:tcPr>
            <w:tcW w:w="2145" w:type="dxa"/>
          </w:tcPr>
          <w:p w14:paraId="6F253A2B" w14:textId="77777777" w:rsidR="00081421" w:rsidRDefault="00081421" w:rsidP="00081421">
            <w:pPr>
              <w:spacing w:before="0" w:beforeAutospacing="0" w:after="0" w:line="240" w:lineRule="auto"/>
            </w:pPr>
            <w:r>
              <w:t>Embedded (5)</w:t>
            </w:r>
          </w:p>
        </w:tc>
        <w:tc>
          <w:tcPr>
            <w:tcW w:w="2099" w:type="dxa"/>
          </w:tcPr>
          <w:p w14:paraId="02358759" w14:textId="77777777" w:rsidR="00081421" w:rsidRDefault="00081421" w:rsidP="00081421">
            <w:pPr>
              <w:spacing w:before="0" w:beforeAutospacing="0" w:after="0" w:line="240" w:lineRule="auto"/>
            </w:pPr>
            <w:r>
              <w:t>Explicit (6)</w:t>
            </w:r>
          </w:p>
        </w:tc>
      </w:tr>
    </w:tbl>
    <w:p w14:paraId="05BC186E" w14:textId="77777777" w:rsidR="00081421" w:rsidRPr="00081421" w:rsidRDefault="00081421" w:rsidP="00081421">
      <w:pPr>
        <w:spacing w:before="0" w:beforeAutospacing="0" w:after="0" w:line="240" w:lineRule="auto"/>
        <w:rPr>
          <w:b/>
          <w:bCs/>
        </w:rPr>
      </w:pPr>
      <w:r w:rsidRPr="00081421">
        <w:rPr>
          <w:b/>
          <w:bCs/>
        </w:rPr>
        <w:t>Table 8.1: The skills agenda (Section 8.1); Employability (Section 8.2.)</w:t>
      </w:r>
    </w:p>
    <w:p w14:paraId="1C01F53A" w14:textId="77777777" w:rsidR="00081421" w:rsidRDefault="00081421" w:rsidP="00081421">
      <w:pPr>
        <w:spacing w:before="0" w:beforeAutospacing="0" w:after="0" w:line="240" w:lineRule="auto"/>
      </w:pPr>
    </w:p>
    <w:p w14:paraId="73305147" w14:textId="77777777" w:rsidR="00157941" w:rsidRDefault="00157941" w:rsidP="00081421">
      <w:pPr>
        <w:spacing w:before="0" w:beforeAutospacing="0" w:after="0" w:line="240" w:lineRule="auto"/>
      </w:pPr>
    </w:p>
    <w:tbl>
      <w:tblPr>
        <w:tblStyle w:val="TableGrid"/>
        <w:tblW w:w="0" w:type="auto"/>
        <w:tblInd w:w="16" w:type="dxa"/>
        <w:tblLook w:val="04A0" w:firstRow="1" w:lastRow="0" w:firstColumn="1" w:lastColumn="0" w:noHBand="0" w:noVBand="1"/>
      </w:tblPr>
      <w:tblGrid>
        <w:gridCol w:w="2120"/>
        <w:gridCol w:w="2126"/>
        <w:gridCol w:w="2084"/>
        <w:gridCol w:w="2121"/>
      </w:tblGrid>
      <w:tr w:rsidR="00081421" w:rsidRPr="00F85723" w14:paraId="78B58E79" w14:textId="77777777" w:rsidTr="008665B3">
        <w:tc>
          <w:tcPr>
            <w:tcW w:w="2250" w:type="dxa"/>
          </w:tcPr>
          <w:p w14:paraId="12296D91" w14:textId="77777777" w:rsidR="00081421" w:rsidRPr="00F85723" w:rsidRDefault="00081421" w:rsidP="00081421">
            <w:pPr>
              <w:spacing w:before="0" w:beforeAutospacing="0" w:after="0" w:line="240" w:lineRule="auto"/>
              <w:rPr>
                <w:color w:val="000000" w:themeColor="text1"/>
              </w:rPr>
            </w:pPr>
            <w:r>
              <w:rPr>
                <w:color w:val="000000" w:themeColor="text1"/>
              </w:rPr>
              <w:t>Observation</w:t>
            </w:r>
          </w:p>
        </w:tc>
        <w:tc>
          <w:tcPr>
            <w:tcW w:w="2250" w:type="dxa"/>
          </w:tcPr>
          <w:p w14:paraId="5A5D0FB1"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Selective</w:t>
            </w:r>
          </w:p>
        </w:tc>
        <w:tc>
          <w:tcPr>
            <w:tcW w:w="2250" w:type="dxa"/>
          </w:tcPr>
          <w:p w14:paraId="3F2FE619" w14:textId="77777777" w:rsidR="00081421" w:rsidRPr="00F85723" w:rsidRDefault="00081421" w:rsidP="00081421">
            <w:pPr>
              <w:spacing w:before="0" w:beforeAutospacing="0" w:after="0" w:line="240" w:lineRule="auto"/>
              <w:rPr>
                <w:color w:val="000000" w:themeColor="text1"/>
              </w:rPr>
            </w:pPr>
            <w:r w:rsidRPr="00F85723">
              <w:rPr>
                <w:color w:val="000000" w:themeColor="text1"/>
              </w:rPr>
              <w:t>Semi-selective</w:t>
            </w:r>
          </w:p>
        </w:tc>
        <w:tc>
          <w:tcPr>
            <w:tcW w:w="2250" w:type="dxa"/>
          </w:tcPr>
          <w:p w14:paraId="2B9B1D08" w14:textId="77777777" w:rsidR="00081421" w:rsidRPr="00F85723" w:rsidRDefault="00081421" w:rsidP="00081421">
            <w:pPr>
              <w:spacing w:before="0" w:beforeAutospacing="0" w:after="0" w:line="240" w:lineRule="auto"/>
              <w:rPr>
                <w:color w:val="000000" w:themeColor="text1"/>
              </w:rPr>
            </w:pPr>
            <w:r w:rsidRPr="00F85723">
              <w:rPr>
                <w:color w:val="000000" w:themeColor="text1"/>
              </w:rPr>
              <w:t>Widening participation</w:t>
            </w:r>
          </w:p>
        </w:tc>
      </w:tr>
      <w:tr w:rsidR="00081421" w14:paraId="18012471" w14:textId="77777777" w:rsidTr="008665B3">
        <w:tc>
          <w:tcPr>
            <w:tcW w:w="2250" w:type="dxa"/>
          </w:tcPr>
          <w:p w14:paraId="6827BE9A" w14:textId="77777777" w:rsidR="00081421" w:rsidRDefault="00081421" w:rsidP="00081421">
            <w:pPr>
              <w:spacing w:before="0" w:beforeAutospacing="0" w:after="0" w:line="240" w:lineRule="auto"/>
            </w:pPr>
            <w:r>
              <w:t>Pathways or groupings</w:t>
            </w:r>
          </w:p>
        </w:tc>
        <w:tc>
          <w:tcPr>
            <w:tcW w:w="2250" w:type="dxa"/>
          </w:tcPr>
          <w:p w14:paraId="57C80385" w14:textId="77777777" w:rsidR="00081421" w:rsidRDefault="00081421" w:rsidP="00081421">
            <w:pPr>
              <w:spacing w:before="0" w:beforeAutospacing="0" w:after="0" w:line="240" w:lineRule="auto"/>
            </w:pPr>
            <w:r>
              <w:t>2 based on discipline</w:t>
            </w:r>
          </w:p>
        </w:tc>
        <w:tc>
          <w:tcPr>
            <w:tcW w:w="2250" w:type="dxa"/>
          </w:tcPr>
          <w:p w14:paraId="2F3BDC89" w14:textId="77777777" w:rsidR="00081421" w:rsidRDefault="00081421" w:rsidP="00081421">
            <w:pPr>
              <w:spacing w:before="0" w:beforeAutospacing="0" w:after="0" w:line="240" w:lineRule="auto"/>
            </w:pPr>
            <w:r>
              <w:t>Theory vs practical (3)</w:t>
            </w:r>
          </w:p>
          <w:p w14:paraId="268837BB" w14:textId="77777777" w:rsidR="00081421" w:rsidRDefault="00081421" w:rsidP="00081421">
            <w:pPr>
              <w:spacing w:before="0" w:beforeAutospacing="0" w:after="0" w:line="240" w:lineRule="auto"/>
            </w:pPr>
            <w:r>
              <w:t>Three routes</w:t>
            </w:r>
          </w:p>
        </w:tc>
        <w:tc>
          <w:tcPr>
            <w:tcW w:w="2250" w:type="dxa"/>
          </w:tcPr>
          <w:p w14:paraId="52CED11B" w14:textId="77777777" w:rsidR="00081421" w:rsidRDefault="00081421" w:rsidP="00081421">
            <w:pPr>
              <w:spacing w:before="0" w:beforeAutospacing="0" w:after="0" w:line="240" w:lineRule="auto"/>
            </w:pPr>
            <w:r>
              <w:t>Pathways (2)</w:t>
            </w:r>
          </w:p>
          <w:p w14:paraId="6338E048" w14:textId="77777777" w:rsidR="00081421" w:rsidRDefault="00081421" w:rsidP="00081421">
            <w:pPr>
              <w:spacing w:before="0" w:beforeAutospacing="0" w:after="0" w:line="240" w:lineRule="auto"/>
            </w:pPr>
            <w:r>
              <w:t>Level 7 (2)</w:t>
            </w:r>
          </w:p>
        </w:tc>
      </w:tr>
      <w:tr w:rsidR="00081421" w14:paraId="1D61B917" w14:textId="77777777" w:rsidTr="008665B3">
        <w:tc>
          <w:tcPr>
            <w:tcW w:w="2250" w:type="dxa"/>
          </w:tcPr>
          <w:p w14:paraId="7EDFC74F" w14:textId="77777777" w:rsidR="00081421" w:rsidRDefault="00081421" w:rsidP="00081421">
            <w:pPr>
              <w:spacing w:before="0" w:beforeAutospacing="0" w:after="0" w:line="240" w:lineRule="auto"/>
            </w:pPr>
            <w:r>
              <w:t>Holistic</w:t>
            </w:r>
          </w:p>
        </w:tc>
        <w:tc>
          <w:tcPr>
            <w:tcW w:w="2250" w:type="dxa"/>
          </w:tcPr>
          <w:p w14:paraId="69EE0DBE" w14:textId="77777777" w:rsidR="00081421" w:rsidRDefault="00081421" w:rsidP="00081421">
            <w:pPr>
              <w:spacing w:before="0" w:beforeAutospacing="0" w:after="0" w:line="240" w:lineRule="auto"/>
            </w:pPr>
            <w:r>
              <w:t>Decolonised (1)</w:t>
            </w:r>
          </w:p>
          <w:p w14:paraId="6C922F87" w14:textId="77777777" w:rsidR="00081421" w:rsidRDefault="00081421" w:rsidP="00081421">
            <w:pPr>
              <w:spacing w:before="0" w:beforeAutospacing="0" w:after="0" w:line="240" w:lineRule="auto"/>
            </w:pPr>
            <w:r>
              <w:t>Value led (1)</w:t>
            </w:r>
          </w:p>
        </w:tc>
        <w:tc>
          <w:tcPr>
            <w:tcW w:w="2250" w:type="dxa"/>
          </w:tcPr>
          <w:p w14:paraId="3F363166" w14:textId="77777777" w:rsidR="00081421" w:rsidRDefault="00081421" w:rsidP="00081421">
            <w:pPr>
              <w:spacing w:before="0" w:beforeAutospacing="0" w:after="0" w:line="240" w:lineRule="auto"/>
            </w:pPr>
            <w:r>
              <w:t>Integrated applied core(1)</w:t>
            </w:r>
          </w:p>
          <w:p w14:paraId="1D11EA80" w14:textId="77777777" w:rsidR="00081421" w:rsidRDefault="00081421" w:rsidP="00081421">
            <w:pPr>
              <w:spacing w:before="0" w:beforeAutospacing="0" w:after="0" w:line="240" w:lineRule="auto"/>
            </w:pPr>
            <w:r>
              <w:t>Liberal arts law (1)</w:t>
            </w:r>
          </w:p>
          <w:p w14:paraId="535DFF2D" w14:textId="77777777" w:rsidR="00081421" w:rsidRDefault="00081421" w:rsidP="00081421">
            <w:pPr>
              <w:spacing w:before="0" w:beforeAutospacing="0" w:after="0" w:line="240" w:lineRule="auto"/>
            </w:pPr>
            <w:r>
              <w:t>Inquiry based (1)</w:t>
            </w:r>
          </w:p>
        </w:tc>
        <w:tc>
          <w:tcPr>
            <w:tcW w:w="2250" w:type="dxa"/>
          </w:tcPr>
          <w:p w14:paraId="5813308C" w14:textId="77777777" w:rsidR="00081421" w:rsidRDefault="00081421" w:rsidP="00081421">
            <w:pPr>
              <w:spacing w:before="0" w:beforeAutospacing="0" w:after="0" w:line="240" w:lineRule="auto"/>
            </w:pPr>
            <w:r>
              <w:t>Applied (2)</w:t>
            </w:r>
          </w:p>
          <w:p w14:paraId="733A4479" w14:textId="77777777" w:rsidR="00081421" w:rsidRDefault="00081421" w:rsidP="00081421">
            <w:pPr>
              <w:spacing w:before="0" w:beforeAutospacing="0" w:after="0" w:line="240" w:lineRule="auto"/>
            </w:pPr>
            <w:r>
              <w:t>Problem based (1)</w:t>
            </w:r>
          </w:p>
        </w:tc>
      </w:tr>
    </w:tbl>
    <w:p w14:paraId="490666D2" w14:textId="77777777" w:rsidR="00081421" w:rsidRPr="00081421" w:rsidRDefault="00081421" w:rsidP="00081421">
      <w:pPr>
        <w:spacing w:before="0" w:beforeAutospacing="0" w:after="0" w:line="240" w:lineRule="auto"/>
        <w:rPr>
          <w:b/>
          <w:bCs/>
        </w:rPr>
      </w:pPr>
      <w:r w:rsidRPr="00081421">
        <w:rPr>
          <w:b/>
          <w:bCs/>
        </w:rPr>
        <w:t>Table 8.2: Responses in design</w:t>
      </w:r>
    </w:p>
    <w:p w14:paraId="787863B3" w14:textId="184802C4" w:rsidR="003B4117" w:rsidRPr="00EF0E6B" w:rsidRDefault="003B4117" w:rsidP="007A419E">
      <w:pPr>
        <w:pStyle w:val="Heading1"/>
        <w:numPr>
          <w:ilvl w:val="0"/>
          <w:numId w:val="0"/>
        </w:numPr>
        <w:spacing w:before="100" w:after="100" w:afterAutospacing="1" w:line="360" w:lineRule="auto"/>
        <w:rPr>
          <w:rFonts w:ascii="Arial" w:hAnsi="Arial" w:cs="Arial"/>
        </w:rPr>
      </w:pPr>
      <w:bookmarkStart w:id="113" w:name="_Toc223348896"/>
      <w:r w:rsidRPr="00EF0E6B">
        <w:rPr>
          <w:rFonts w:ascii="Arial" w:hAnsi="Arial" w:cs="Arial"/>
        </w:rPr>
        <w:lastRenderedPageBreak/>
        <w:t>List of abbreviations</w:t>
      </w:r>
      <w:bookmarkEnd w:id="113"/>
      <w:r w:rsidRPr="00EF0E6B">
        <w:rPr>
          <w:rFonts w:ascii="Arial" w:hAnsi="Arial" w:cs="Arial"/>
        </w:rPr>
        <w:t xml:space="preserve"> </w:t>
      </w:r>
      <w:bookmarkEnd w:id="110"/>
      <w:bookmarkEnd w:id="111"/>
      <w:bookmarkEnd w:id="112"/>
    </w:p>
    <w:p w14:paraId="22C34795" w14:textId="6D13B64B" w:rsidR="005D091E" w:rsidRDefault="005D091E" w:rsidP="007A419E">
      <w:pPr>
        <w:spacing w:after="100" w:afterAutospacing="1" w:line="360" w:lineRule="auto"/>
        <w:rPr>
          <w:rFonts w:cs="Arial"/>
        </w:rPr>
      </w:pPr>
      <w:r>
        <w:rPr>
          <w:rFonts w:cs="Arial"/>
        </w:rPr>
        <w:t>BSB</w:t>
      </w:r>
      <w:r w:rsidR="00BC793F">
        <w:rPr>
          <w:rFonts w:cs="Arial"/>
        </w:rPr>
        <w:t xml:space="preserve"> </w:t>
      </w:r>
      <w:r w:rsidR="00BC793F">
        <w:rPr>
          <w:rFonts w:cs="Arial"/>
        </w:rPr>
        <w:tab/>
      </w:r>
      <w:r w:rsidR="00BC793F">
        <w:rPr>
          <w:rFonts w:cs="Arial"/>
        </w:rPr>
        <w:tab/>
        <w:t>Bar Standards Board</w:t>
      </w:r>
    </w:p>
    <w:p w14:paraId="78BA41F1" w14:textId="46E03FE0" w:rsidR="005D091E" w:rsidRDefault="005D091E" w:rsidP="007A419E">
      <w:pPr>
        <w:spacing w:after="100" w:afterAutospacing="1" w:line="360" w:lineRule="auto"/>
        <w:rPr>
          <w:rFonts w:cs="Arial"/>
        </w:rPr>
      </w:pPr>
      <w:r>
        <w:rPr>
          <w:rFonts w:cs="Arial"/>
        </w:rPr>
        <w:t>ESRC</w:t>
      </w:r>
      <w:r w:rsidR="00BC793F">
        <w:rPr>
          <w:rFonts w:cs="Arial"/>
        </w:rPr>
        <w:tab/>
      </w:r>
      <w:r w:rsidR="00BC793F">
        <w:rPr>
          <w:rFonts w:cs="Arial"/>
        </w:rPr>
        <w:tab/>
        <w:t>Economic and Social Research Council</w:t>
      </w:r>
    </w:p>
    <w:p w14:paraId="116021D6" w14:textId="40DCEF38" w:rsidR="005D091E" w:rsidRDefault="005D091E" w:rsidP="007A419E">
      <w:pPr>
        <w:spacing w:after="100" w:afterAutospacing="1" w:line="360" w:lineRule="auto"/>
        <w:rPr>
          <w:rFonts w:cs="Arial"/>
        </w:rPr>
      </w:pPr>
      <w:r>
        <w:rPr>
          <w:rFonts w:cs="Arial"/>
        </w:rPr>
        <w:t>FLK</w:t>
      </w:r>
      <w:r w:rsidR="00BC793F">
        <w:rPr>
          <w:rFonts w:cs="Arial"/>
        </w:rPr>
        <w:tab/>
      </w:r>
      <w:r w:rsidR="00BC793F">
        <w:rPr>
          <w:rFonts w:cs="Arial"/>
        </w:rPr>
        <w:tab/>
        <w:t>Foundations of Legal Knowledge</w:t>
      </w:r>
    </w:p>
    <w:p w14:paraId="1118CC06" w14:textId="1823023C" w:rsidR="005D091E" w:rsidRDefault="005D091E" w:rsidP="007A419E">
      <w:pPr>
        <w:spacing w:after="100" w:afterAutospacing="1" w:line="360" w:lineRule="auto"/>
        <w:rPr>
          <w:rFonts w:cs="Arial"/>
        </w:rPr>
      </w:pPr>
      <w:r>
        <w:rPr>
          <w:rFonts w:cs="Arial"/>
        </w:rPr>
        <w:t>LPC</w:t>
      </w:r>
      <w:r w:rsidR="00BC793F">
        <w:rPr>
          <w:rFonts w:cs="Arial"/>
        </w:rPr>
        <w:tab/>
      </w:r>
      <w:r w:rsidR="00BC793F">
        <w:rPr>
          <w:rFonts w:cs="Arial"/>
        </w:rPr>
        <w:tab/>
        <w:t>Legal Practice Course</w:t>
      </w:r>
    </w:p>
    <w:p w14:paraId="2893CDFD" w14:textId="598FC765" w:rsidR="005D091E" w:rsidRDefault="005D091E" w:rsidP="007A419E">
      <w:pPr>
        <w:spacing w:after="100" w:afterAutospacing="1" w:line="360" w:lineRule="auto"/>
        <w:rPr>
          <w:rFonts w:cs="Arial"/>
        </w:rPr>
      </w:pPr>
      <w:r>
        <w:rPr>
          <w:rFonts w:cs="Arial"/>
        </w:rPr>
        <w:t>OfS</w:t>
      </w:r>
      <w:r w:rsidR="00BC793F">
        <w:rPr>
          <w:rFonts w:cs="Arial"/>
        </w:rPr>
        <w:tab/>
      </w:r>
      <w:r w:rsidR="00BC793F">
        <w:rPr>
          <w:rFonts w:cs="Arial"/>
        </w:rPr>
        <w:tab/>
        <w:t>Office for Students</w:t>
      </w:r>
    </w:p>
    <w:p w14:paraId="171E3190" w14:textId="5D9BE6E4" w:rsidR="005D091E" w:rsidRDefault="00BC793F" w:rsidP="007A419E">
      <w:pPr>
        <w:spacing w:after="100" w:afterAutospacing="1" w:line="360" w:lineRule="auto"/>
        <w:rPr>
          <w:rFonts w:cs="Arial"/>
        </w:rPr>
      </w:pPr>
      <w:r>
        <w:rPr>
          <w:rFonts w:cs="Arial"/>
        </w:rPr>
        <w:t>ORF</w:t>
      </w:r>
      <w:r>
        <w:rPr>
          <w:rFonts w:cs="Arial"/>
        </w:rPr>
        <w:tab/>
      </w:r>
      <w:r>
        <w:rPr>
          <w:rFonts w:cs="Arial"/>
        </w:rPr>
        <w:tab/>
        <w:t>Official Recontextualising Field</w:t>
      </w:r>
    </w:p>
    <w:p w14:paraId="0644B2B5" w14:textId="7836F589" w:rsidR="005D091E" w:rsidRDefault="005D091E" w:rsidP="007A419E">
      <w:pPr>
        <w:spacing w:after="100" w:afterAutospacing="1" w:line="360" w:lineRule="auto"/>
        <w:rPr>
          <w:rFonts w:cs="Arial"/>
        </w:rPr>
      </w:pPr>
      <w:r>
        <w:rPr>
          <w:rFonts w:cs="Arial"/>
        </w:rPr>
        <w:t>PRF</w:t>
      </w:r>
      <w:r w:rsidR="00BC793F">
        <w:rPr>
          <w:rFonts w:cs="Arial"/>
        </w:rPr>
        <w:tab/>
      </w:r>
      <w:r w:rsidR="00BC793F">
        <w:rPr>
          <w:rFonts w:cs="Arial"/>
        </w:rPr>
        <w:tab/>
        <w:t>Professional Recontextualising Field</w:t>
      </w:r>
    </w:p>
    <w:p w14:paraId="276ED1BB" w14:textId="1BFA1DE6" w:rsidR="005D091E" w:rsidRDefault="005D091E" w:rsidP="007A419E">
      <w:pPr>
        <w:spacing w:after="100" w:afterAutospacing="1" w:line="360" w:lineRule="auto"/>
        <w:rPr>
          <w:rFonts w:cs="Arial"/>
        </w:rPr>
      </w:pPr>
      <w:r>
        <w:rPr>
          <w:rFonts w:cs="Arial"/>
        </w:rPr>
        <w:t>QAA</w:t>
      </w:r>
      <w:r w:rsidR="00BC793F">
        <w:rPr>
          <w:rFonts w:cs="Arial"/>
        </w:rPr>
        <w:tab/>
      </w:r>
      <w:r w:rsidR="00BC793F">
        <w:rPr>
          <w:rFonts w:cs="Arial"/>
        </w:rPr>
        <w:tab/>
        <w:t>Quality Assurance Agency</w:t>
      </w:r>
    </w:p>
    <w:p w14:paraId="37DB15E5" w14:textId="14ED8764" w:rsidR="005D091E" w:rsidRDefault="005D091E" w:rsidP="007A419E">
      <w:pPr>
        <w:spacing w:after="100" w:afterAutospacing="1" w:line="360" w:lineRule="auto"/>
        <w:rPr>
          <w:rFonts w:cs="Arial"/>
        </w:rPr>
      </w:pPr>
      <w:r>
        <w:rPr>
          <w:rFonts w:cs="Arial"/>
        </w:rPr>
        <w:t>REF</w:t>
      </w:r>
      <w:r w:rsidR="00BC793F">
        <w:rPr>
          <w:rFonts w:cs="Arial"/>
        </w:rPr>
        <w:tab/>
      </w:r>
      <w:r w:rsidR="00BC793F">
        <w:rPr>
          <w:rFonts w:cs="Arial"/>
        </w:rPr>
        <w:tab/>
        <w:t>Research Excellence Framework</w:t>
      </w:r>
    </w:p>
    <w:p w14:paraId="4F207FFA" w14:textId="3C810748" w:rsidR="005D091E" w:rsidRDefault="005D091E" w:rsidP="007A419E">
      <w:pPr>
        <w:spacing w:after="100" w:afterAutospacing="1" w:line="360" w:lineRule="auto"/>
        <w:rPr>
          <w:rFonts w:cs="Arial"/>
        </w:rPr>
      </w:pPr>
      <w:r>
        <w:rPr>
          <w:rFonts w:cs="Arial"/>
        </w:rPr>
        <w:t>SQE</w:t>
      </w:r>
      <w:r w:rsidR="00BC793F">
        <w:rPr>
          <w:rFonts w:cs="Arial"/>
        </w:rPr>
        <w:tab/>
      </w:r>
      <w:r w:rsidR="00BC793F">
        <w:rPr>
          <w:rFonts w:cs="Arial"/>
        </w:rPr>
        <w:tab/>
        <w:t>Solicitors Qualifying Examination</w:t>
      </w:r>
    </w:p>
    <w:p w14:paraId="38E66E23" w14:textId="12632BC0" w:rsidR="005D091E" w:rsidRDefault="005D091E" w:rsidP="007A419E">
      <w:pPr>
        <w:spacing w:after="100" w:afterAutospacing="1" w:line="360" w:lineRule="auto"/>
        <w:rPr>
          <w:rFonts w:cs="Arial"/>
        </w:rPr>
      </w:pPr>
      <w:r>
        <w:rPr>
          <w:rFonts w:cs="Arial"/>
        </w:rPr>
        <w:t>SRA</w:t>
      </w:r>
      <w:r w:rsidR="00BC793F">
        <w:rPr>
          <w:rFonts w:cs="Arial"/>
        </w:rPr>
        <w:tab/>
      </w:r>
      <w:r w:rsidR="00BC793F">
        <w:rPr>
          <w:rFonts w:cs="Arial"/>
        </w:rPr>
        <w:tab/>
        <w:t>Solicitors Regulatory Authority</w:t>
      </w:r>
    </w:p>
    <w:p w14:paraId="34E9F64D" w14:textId="58CB52F4" w:rsidR="005D091E" w:rsidRDefault="005D091E" w:rsidP="007A419E">
      <w:pPr>
        <w:spacing w:after="100" w:afterAutospacing="1" w:line="360" w:lineRule="auto"/>
        <w:rPr>
          <w:rFonts w:cs="Arial"/>
        </w:rPr>
      </w:pPr>
      <w:r>
        <w:rPr>
          <w:rFonts w:cs="Arial"/>
        </w:rPr>
        <w:t>TEF</w:t>
      </w:r>
      <w:r w:rsidR="00BC793F">
        <w:rPr>
          <w:rFonts w:cs="Arial"/>
        </w:rPr>
        <w:tab/>
      </w:r>
      <w:r w:rsidR="00BC793F">
        <w:rPr>
          <w:rFonts w:cs="Arial"/>
        </w:rPr>
        <w:tab/>
        <w:t>Teaching Excellence Framework</w:t>
      </w:r>
    </w:p>
    <w:p w14:paraId="23DAC2DE" w14:textId="77777777" w:rsidR="005D091E" w:rsidRDefault="005D091E" w:rsidP="007A419E">
      <w:pPr>
        <w:spacing w:after="100" w:afterAutospacing="1" w:line="360" w:lineRule="auto"/>
        <w:rPr>
          <w:rFonts w:cs="Arial"/>
        </w:rPr>
      </w:pPr>
    </w:p>
    <w:p w14:paraId="1D0C4ECC" w14:textId="77777777" w:rsidR="005D091E" w:rsidRDefault="005D091E" w:rsidP="007A419E">
      <w:pPr>
        <w:spacing w:after="100" w:afterAutospacing="1" w:line="360" w:lineRule="auto"/>
        <w:rPr>
          <w:rFonts w:cs="Arial"/>
        </w:rPr>
      </w:pPr>
    </w:p>
    <w:p w14:paraId="0ED2520A" w14:textId="77777777" w:rsidR="003424E3" w:rsidRPr="00EF0E6B" w:rsidRDefault="003424E3" w:rsidP="007A419E">
      <w:pPr>
        <w:spacing w:after="100" w:afterAutospacing="1" w:line="360" w:lineRule="auto"/>
        <w:rPr>
          <w:rFonts w:cs="Arial"/>
          <w:b/>
          <w:sz w:val="28"/>
        </w:rPr>
      </w:pPr>
    </w:p>
    <w:p w14:paraId="35A20CFF" w14:textId="77777777" w:rsidR="003424E3" w:rsidRPr="00EF0E6B" w:rsidRDefault="003424E3" w:rsidP="007A419E">
      <w:pPr>
        <w:spacing w:after="100" w:afterAutospacing="1" w:line="360" w:lineRule="auto"/>
        <w:rPr>
          <w:rFonts w:cs="Arial"/>
          <w:b/>
          <w:sz w:val="28"/>
        </w:rPr>
      </w:pPr>
      <w:r w:rsidRPr="00EF0E6B">
        <w:rPr>
          <w:rFonts w:cs="Arial"/>
          <w:b/>
          <w:sz w:val="28"/>
        </w:rPr>
        <w:br w:type="page"/>
      </w:r>
    </w:p>
    <w:p w14:paraId="24D9516E" w14:textId="77777777" w:rsidR="003424E3" w:rsidRDefault="003424E3" w:rsidP="006370E7">
      <w:pPr>
        <w:pStyle w:val="Heading1"/>
        <w:numPr>
          <w:ilvl w:val="0"/>
          <w:numId w:val="0"/>
        </w:numPr>
        <w:spacing w:before="100" w:after="100" w:afterAutospacing="1" w:line="360" w:lineRule="auto"/>
        <w:rPr>
          <w:rFonts w:ascii="Arial" w:hAnsi="Arial" w:cs="Arial"/>
        </w:rPr>
      </w:pPr>
      <w:bookmarkStart w:id="114" w:name="_Toc4491304"/>
      <w:bookmarkStart w:id="115" w:name="_Toc4492109"/>
      <w:bookmarkStart w:id="116" w:name="_Toc223348897"/>
      <w:r w:rsidRPr="00EF0E6B">
        <w:rPr>
          <w:rFonts w:ascii="Arial" w:hAnsi="Arial" w:cs="Arial"/>
        </w:rPr>
        <w:lastRenderedPageBreak/>
        <w:t>References</w:t>
      </w:r>
      <w:bookmarkEnd w:id="114"/>
      <w:bookmarkEnd w:id="115"/>
      <w:bookmarkEnd w:id="116"/>
    </w:p>
    <w:p w14:paraId="6758E7F1" w14:textId="77777777" w:rsidR="00AE67DC" w:rsidRPr="0072740E" w:rsidRDefault="00AE67DC" w:rsidP="006370E7">
      <w:pPr>
        <w:spacing w:after="100" w:afterAutospacing="1" w:line="360" w:lineRule="auto"/>
        <w:jc w:val="both"/>
        <w:rPr>
          <w:rFonts w:cs="Arial"/>
          <w:color w:val="000000" w:themeColor="text1"/>
        </w:rPr>
      </w:pPr>
      <w:r w:rsidRPr="008D2FCF">
        <w:rPr>
          <w:rFonts w:cs="Arial"/>
          <w:color w:val="000000" w:themeColor="text1"/>
        </w:rPr>
        <w:t>Abrams, J. R. (2015)</w:t>
      </w:r>
      <w:r>
        <w:rPr>
          <w:rFonts w:cs="Arial"/>
          <w:color w:val="000000" w:themeColor="text1"/>
        </w:rPr>
        <w:t>,</w:t>
      </w:r>
      <w:r w:rsidRPr="008D2FCF">
        <w:rPr>
          <w:rFonts w:cs="Arial"/>
          <w:color w:val="000000" w:themeColor="text1"/>
        </w:rPr>
        <w:t xml:space="preserve"> Reframing the Socratic Method. Journal of Legal Education, 64</w:t>
      </w:r>
      <w:r>
        <w:rPr>
          <w:rFonts w:cs="Arial"/>
          <w:color w:val="000000" w:themeColor="text1"/>
        </w:rPr>
        <w:t>:4</w:t>
      </w:r>
      <w:r w:rsidRPr="008D2FCF">
        <w:rPr>
          <w:rFonts w:cs="Arial"/>
          <w:color w:val="000000" w:themeColor="text1"/>
        </w:rPr>
        <w:t>, 562–585.</w:t>
      </w:r>
    </w:p>
    <w:p w14:paraId="58C6FEC9" w14:textId="4FEABB04"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Adebisi, F.I., &amp; Bales K., (2022), </w:t>
      </w:r>
      <w:r>
        <w:rPr>
          <w:rFonts w:cs="Arial"/>
          <w:color w:val="000000" w:themeColor="text1"/>
        </w:rPr>
        <w:t>‘</w:t>
      </w:r>
      <w:r w:rsidRPr="0072740E">
        <w:rPr>
          <w:rFonts w:cs="Arial"/>
          <w:color w:val="000000" w:themeColor="text1"/>
        </w:rPr>
        <w:t>Reinventing possibility, a reflection on law, race and decolonial discourse in legal education.’ In Dunn et al. (ed)</w:t>
      </w:r>
      <w:r w:rsidR="00DA25BB">
        <w:rPr>
          <w:rFonts w:cs="Arial"/>
          <w:color w:val="000000" w:themeColor="text1"/>
        </w:rPr>
        <w:t>,</w:t>
      </w:r>
      <w:r w:rsidRPr="0072740E">
        <w:rPr>
          <w:rFonts w:cs="Arial"/>
          <w:color w:val="000000" w:themeColor="text1"/>
        </w:rPr>
        <w:t xml:space="preserve"> What is legal education for? </w:t>
      </w:r>
      <w:r>
        <w:rPr>
          <w:rFonts w:cs="Arial"/>
          <w:color w:val="000000" w:themeColor="text1"/>
        </w:rPr>
        <w:t>R</w:t>
      </w:r>
      <w:r w:rsidRPr="0072740E">
        <w:rPr>
          <w:rFonts w:cs="Arial"/>
          <w:color w:val="000000" w:themeColor="text1"/>
        </w:rPr>
        <w:t xml:space="preserve">e-assessing the purposes of early twenty-first century learning and law schools. Abingdon; Routledge. </w:t>
      </w:r>
    </w:p>
    <w:p w14:paraId="652956F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Annala, J. (2022)</w:t>
      </w:r>
      <w:r>
        <w:rPr>
          <w:rFonts w:cs="Arial"/>
          <w:color w:val="000000" w:themeColor="text1"/>
        </w:rPr>
        <w:t xml:space="preserve">, </w:t>
      </w:r>
      <w:r w:rsidRPr="0072740E">
        <w:rPr>
          <w:rFonts w:cs="Arial"/>
          <w:color w:val="000000" w:themeColor="text1"/>
        </w:rPr>
        <w:t xml:space="preserve">Disciplinary knowledge practices and powerful knowledge: a study on knowledge and curriculum structures in regions, Teaching in </w:t>
      </w:r>
      <w:r>
        <w:rPr>
          <w:rFonts w:cs="Arial"/>
          <w:color w:val="000000" w:themeColor="text1"/>
        </w:rPr>
        <w:t>H</w:t>
      </w:r>
      <w:r w:rsidRPr="0072740E">
        <w:rPr>
          <w:rFonts w:cs="Arial"/>
          <w:color w:val="000000" w:themeColor="text1"/>
        </w:rPr>
        <w:t xml:space="preserve">igher </w:t>
      </w:r>
      <w:r>
        <w:rPr>
          <w:rFonts w:cs="Arial"/>
          <w:color w:val="000000" w:themeColor="text1"/>
        </w:rPr>
        <w:t>E</w:t>
      </w:r>
      <w:r w:rsidRPr="0072740E">
        <w:rPr>
          <w:rFonts w:cs="Arial"/>
          <w:color w:val="000000" w:themeColor="text1"/>
        </w:rPr>
        <w:t>ducation, 27</w:t>
      </w:r>
      <w:r>
        <w:rPr>
          <w:rFonts w:cs="Arial"/>
          <w:color w:val="000000" w:themeColor="text1"/>
        </w:rPr>
        <w:t>:8</w:t>
      </w:r>
      <w:r w:rsidRPr="0072740E">
        <w:rPr>
          <w:rFonts w:cs="Arial"/>
          <w:color w:val="000000" w:themeColor="text1"/>
        </w:rPr>
        <w:t xml:space="preserve">, 1084–1102. </w:t>
      </w:r>
    </w:p>
    <w:p w14:paraId="7DFAE5F3" w14:textId="28D41F2E"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Annala, J. et al. (2023</w:t>
      </w:r>
      <w:r w:rsidR="00DA25BB" w:rsidRPr="0072740E">
        <w:rPr>
          <w:rFonts w:cs="Arial"/>
          <w:color w:val="000000" w:themeColor="text1"/>
        </w:rPr>
        <w:t>)</w:t>
      </w:r>
      <w:r w:rsidR="00DA25BB">
        <w:rPr>
          <w:rFonts w:cs="Arial"/>
          <w:color w:val="000000" w:themeColor="text1"/>
        </w:rPr>
        <w:t>,</w:t>
      </w:r>
      <w:r w:rsidR="00DA25BB" w:rsidRPr="0072740E">
        <w:rPr>
          <w:rFonts w:cs="Arial"/>
          <w:color w:val="000000" w:themeColor="text1"/>
        </w:rPr>
        <w:t xml:space="preserve"> </w:t>
      </w:r>
      <w:r w:rsidRPr="0072740E">
        <w:rPr>
          <w:rFonts w:cs="Arial"/>
          <w:color w:val="000000" w:themeColor="text1"/>
        </w:rPr>
        <w:t>Understanding academic agency in curriculum change in higher education, Teaching in higher education, 28</w:t>
      </w:r>
      <w:r>
        <w:rPr>
          <w:rFonts w:cs="Arial"/>
          <w:color w:val="000000" w:themeColor="text1"/>
        </w:rPr>
        <w:t>:6</w:t>
      </w:r>
      <w:r w:rsidRPr="0072740E">
        <w:rPr>
          <w:rFonts w:cs="Arial"/>
          <w:color w:val="000000" w:themeColor="text1"/>
        </w:rPr>
        <w:t>, 1310–1327.</w:t>
      </w:r>
      <w:r w:rsidRPr="00CE386D">
        <w:rPr>
          <w:rFonts w:cs="Arial"/>
          <w:color w:val="000000" w:themeColor="text1"/>
        </w:rPr>
        <w:t xml:space="preserve"> </w:t>
      </w:r>
    </w:p>
    <w:p w14:paraId="1D54846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Ashford, C. (2024)</w:t>
      </w:r>
      <w:r>
        <w:rPr>
          <w:rFonts w:cs="Arial"/>
          <w:color w:val="000000" w:themeColor="text1"/>
        </w:rPr>
        <w:t>,</w:t>
      </w:r>
      <w:r w:rsidRPr="0072740E">
        <w:rPr>
          <w:rFonts w:cs="Arial"/>
          <w:color w:val="000000" w:themeColor="text1"/>
        </w:rPr>
        <w:t xml:space="preserve"> The Quality Assurance Agency Law Subject Benchmark Statement 2023. The Law Teacher, 58</w:t>
      </w:r>
      <w:r>
        <w:rPr>
          <w:rFonts w:cs="Arial"/>
          <w:color w:val="000000" w:themeColor="text1"/>
        </w:rPr>
        <w:t>:3</w:t>
      </w:r>
      <w:r w:rsidRPr="0072740E">
        <w:rPr>
          <w:rFonts w:cs="Arial"/>
          <w:color w:val="000000" w:themeColor="text1"/>
        </w:rPr>
        <w:t>, 421–427.</w:t>
      </w:r>
      <w:r w:rsidRPr="008778F1">
        <w:rPr>
          <w:rFonts w:cs="Arial"/>
          <w:color w:val="000000" w:themeColor="text1"/>
        </w:rPr>
        <w:t xml:space="preserve"> </w:t>
      </w:r>
    </w:p>
    <w:p w14:paraId="4E683743" w14:textId="77777777" w:rsidR="00AE67DC" w:rsidRPr="0072740E" w:rsidRDefault="00AE67DC" w:rsidP="006370E7">
      <w:pPr>
        <w:spacing w:after="100" w:afterAutospacing="1" w:line="360" w:lineRule="auto"/>
        <w:jc w:val="both"/>
        <w:rPr>
          <w:rFonts w:cs="Arial"/>
          <w:color w:val="000000" w:themeColor="text1"/>
        </w:rPr>
      </w:pPr>
      <w:r w:rsidRPr="008D2FCF">
        <w:rPr>
          <w:rFonts w:cs="Arial"/>
          <w:color w:val="000000" w:themeColor="text1"/>
        </w:rPr>
        <w:t>Ashford, C. and Guth, J. (2014)</w:t>
      </w:r>
      <w:r>
        <w:rPr>
          <w:rFonts w:cs="Arial"/>
          <w:color w:val="000000" w:themeColor="text1"/>
        </w:rPr>
        <w:t>,</w:t>
      </w:r>
      <w:r w:rsidRPr="008D2FCF">
        <w:rPr>
          <w:rFonts w:cs="Arial"/>
          <w:color w:val="000000" w:themeColor="text1"/>
        </w:rPr>
        <w:t xml:space="preserve"> The Legal Education and Training Review: Regulating Socio-Legal and Liberal Legal Education? 48, 10</w:t>
      </w:r>
    </w:p>
    <w:p w14:paraId="63234870" w14:textId="10C9BBA8"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Ashwin, P. (2009)</w:t>
      </w:r>
      <w:r>
        <w:rPr>
          <w:rFonts w:cs="Arial"/>
          <w:color w:val="000000" w:themeColor="text1"/>
        </w:rPr>
        <w:t>,</w:t>
      </w:r>
      <w:r w:rsidRPr="0072740E">
        <w:rPr>
          <w:rFonts w:cs="Arial"/>
          <w:color w:val="000000" w:themeColor="text1"/>
        </w:rPr>
        <w:t xml:space="preserve"> </w:t>
      </w:r>
      <w:r w:rsidRPr="008D2FCF">
        <w:rPr>
          <w:rFonts w:cs="Arial"/>
          <w:color w:val="000000" w:themeColor="text1"/>
        </w:rPr>
        <w:t>Analysing teaching-learning interactions in higher education: Accounting for structure and agency. Continuum Internat. Publ.</w:t>
      </w:r>
    </w:p>
    <w:p w14:paraId="5B9EEDAB"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Ashwin, P. (2014)</w:t>
      </w:r>
      <w:r>
        <w:rPr>
          <w:rFonts w:cs="Arial"/>
          <w:color w:val="000000" w:themeColor="text1"/>
        </w:rPr>
        <w:t xml:space="preserve">, </w:t>
      </w:r>
      <w:r w:rsidRPr="0072740E">
        <w:rPr>
          <w:rFonts w:cs="Arial"/>
          <w:color w:val="000000" w:themeColor="text1"/>
        </w:rPr>
        <w:t>Knowledge, Curriculum and Student Understanding in Higher Education. Higher Education 67, 123-26.</w:t>
      </w:r>
    </w:p>
    <w:p w14:paraId="7B10920F" w14:textId="77777777" w:rsidR="00AE67DC" w:rsidRPr="00A81DEB" w:rsidRDefault="00AE67DC" w:rsidP="006370E7">
      <w:pPr>
        <w:spacing w:after="100" w:afterAutospacing="1" w:line="360" w:lineRule="auto"/>
        <w:jc w:val="both"/>
        <w:rPr>
          <w:rFonts w:cs="Arial"/>
          <w:color w:val="000000" w:themeColor="text1"/>
        </w:rPr>
      </w:pPr>
      <w:r w:rsidRPr="00A81DEB">
        <w:rPr>
          <w:rFonts w:cs="Arial"/>
          <w:color w:val="000000" w:themeColor="text1"/>
        </w:rPr>
        <w:t>Arthurs, S. (2025), ‘Clinical Legal Education’, In Cownie, F., Bradney, A. and Jones, E. (Eds.) Elgar concise encyclopaedia of legal education, Edward Elgar Publishing. Pg. 84</w:t>
      </w:r>
    </w:p>
    <w:p w14:paraId="45C03A97" w14:textId="77777777" w:rsidR="00AE67DC" w:rsidRPr="0072740E" w:rsidRDefault="00AE67DC" w:rsidP="006370E7">
      <w:pPr>
        <w:spacing w:after="100" w:afterAutospacing="1" w:line="360" w:lineRule="auto"/>
        <w:jc w:val="both"/>
        <w:rPr>
          <w:rFonts w:cs="Arial"/>
          <w:color w:val="000000" w:themeColor="text1"/>
        </w:rPr>
      </w:pPr>
      <w:r w:rsidRPr="00006260">
        <w:rPr>
          <w:rFonts w:cs="Arial"/>
          <w:color w:val="000000" w:themeColor="text1"/>
        </w:rPr>
        <w:t>Association of Law Teachers accessed at:</w:t>
      </w:r>
      <w:r w:rsidRPr="00006260">
        <w:t xml:space="preserve"> </w:t>
      </w:r>
      <w:hyperlink r:id="rId13" w:history="1">
        <w:r w:rsidRPr="00B34598">
          <w:rPr>
            <w:rStyle w:val="Hyperlink"/>
            <w:rFonts w:cs="Arial"/>
          </w:rPr>
          <w:t>https://lawteacher.ac.uk/home/</w:t>
        </w:r>
      </w:hyperlink>
      <w:r>
        <w:rPr>
          <w:rFonts w:cs="Arial"/>
          <w:color w:val="000000" w:themeColor="text1"/>
        </w:rPr>
        <w:t xml:space="preserve"> September 2025</w:t>
      </w:r>
    </w:p>
    <w:p w14:paraId="7A94977B"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Baca, E., &amp; Moise, A., Titei. (2016), Mastering the Content: The Challenges of an Academic Course Design.</w:t>
      </w:r>
      <w:r>
        <w:rPr>
          <w:rFonts w:cs="Arial"/>
          <w:color w:val="000000" w:themeColor="text1"/>
        </w:rPr>
        <w:t xml:space="preserve"> </w:t>
      </w:r>
      <w:r w:rsidRPr="0072740E">
        <w:rPr>
          <w:rFonts w:cs="Arial"/>
          <w:color w:val="000000" w:themeColor="text1"/>
        </w:rPr>
        <w:t>"Ovidius" University Annals. Economic Sciences Series</w:t>
      </w:r>
      <w:r>
        <w:rPr>
          <w:rFonts w:cs="Arial"/>
          <w:color w:val="000000" w:themeColor="text1"/>
        </w:rPr>
        <w:t xml:space="preserve"> </w:t>
      </w:r>
      <w:r w:rsidRPr="0072740E">
        <w:rPr>
          <w:rFonts w:cs="Arial"/>
          <w:color w:val="000000" w:themeColor="text1"/>
        </w:rPr>
        <w:t xml:space="preserve">XVI, no. 1 </w:t>
      </w:r>
    </w:p>
    <w:p w14:paraId="318447B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Bailey, S. (2025), </w:t>
      </w:r>
      <w:r>
        <w:rPr>
          <w:rFonts w:cs="Arial"/>
          <w:color w:val="000000" w:themeColor="text1"/>
        </w:rPr>
        <w:t>‘</w:t>
      </w:r>
      <w:r w:rsidRPr="0072740E">
        <w:rPr>
          <w:rFonts w:cs="Arial"/>
          <w:color w:val="000000" w:themeColor="text1"/>
        </w:rPr>
        <w:t xml:space="preserve">Doctrinal </w:t>
      </w:r>
      <w:r w:rsidRPr="00BB59B2">
        <w:rPr>
          <w:rFonts w:cs="Arial"/>
          <w:color w:val="000000" w:themeColor="text1"/>
        </w:rPr>
        <w:t>Legal education</w:t>
      </w:r>
      <w:r>
        <w:rPr>
          <w:rFonts w:cs="Arial"/>
          <w:color w:val="000000" w:themeColor="text1"/>
        </w:rPr>
        <w:t>’</w:t>
      </w:r>
      <w:r w:rsidRPr="00BB59B2">
        <w:rPr>
          <w:rFonts w:cs="Arial"/>
          <w:color w:val="000000" w:themeColor="text1"/>
        </w:rPr>
        <w:t xml:space="preserve">, In </w:t>
      </w:r>
      <w:r w:rsidRPr="00A81DEB">
        <w:rPr>
          <w:rFonts w:cs="Arial"/>
          <w:color w:val="000000" w:themeColor="text1"/>
        </w:rPr>
        <w:t>Cownie, F., Bradney, A. and Jones, E. (Eds.) Elgar concise encyclopaedia of legal education, Edward Elgar Publishing. Pg. 130</w:t>
      </w:r>
    </w:p>
    <w:p w14:paraId="3ABFFF0A" w14:textId="27594DC5"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Baker, J. (2013). Collected papers on English legal history</w:t>
      </w:r>
      <w:r w:rsidR="00DA25BB">
        <w:rPr>
          <w:rFonts w:cs="Arial"/>
          <w:color w:val="000000" w:themeColor="text1"/>
        </w:rPr>
        <w:t>:</w:t>
      </w:r>
      <w:r w:rsidR="00DA25BB" w:rsidRPr="0072740E">
        <w:rPr>
          <w:rFonts w:cs="Arial"/>
          <w:color w:val="000000" w:themeColor="text1"/>
        </w:rPr>
        <w:t xml:space="preserve"> </w:t>
      </w:r>
      <w:r w:rsidR="00DA25BB">
        <w:rPr>
          <w:rFonts w:cs="Arial"/>
          <w:color w:val="000000" w:themeColor="text1"/>
        </w:rPr>
        <w:t>l</w:t>
      </w:r>
      <w:r w:rsidR="00DA25BB" w:rsidRPr="0072740E">
        <w:rPr>
          <w:rFonts w:cs="Arial"/>
          <w:color w:val="000000" w:themeColor="text1"/>
        </w:rPr>
        <w:t xml:space="preserve">egal </w:t>
      </w:r>
      <w:r w:rsidRPr="0072740E">
        <w:rPr>
          <w:rFonts w:cs="Arial"/>
          <w:color w:val="000000" w:themeColor="text1"/>
        </w:rPr>
        <w:t>Education, Part III (First edition)</w:t>
      </w:r>
      <w:r w:rsidR="00DA25BB">
        <w:rPr>
          <w:rFonts w:cs="Arial"/>
          <w:color w:val="000000" w:themeColor="text1"/>
        </w:rPr>
        <w:t>,</w:t>
      </w:r>
      <w:r w:rsidRPr="0072740E">
        <w:rPr>
          <w:rFonts w:cs="Arial"/>
          <w:color w:val="000000" w:themeColor="text1"/>
        </w:rPr>
        <w:t xml:space="preserve"> Cambridge University Press. </w:t>
      </w:r>
    </w:p>
    <w:p w14:paraId="72A7E803" w14:textId="77777777" w:rsidR="00AE67DC" w:rsidRPr="0072740E" w:rsidRDefault="00AE67DC" w:rsidP="006370E7">
      <w:pPr>
        <w:spacing w:after="100" w:afterAutospacing="1" w:line="360" w:lineRule="auto"/>
        <w:jc w:val="both"/>
        <w:rPr>
          <w:rFonts w:cs="Arial"/>
          <w:color w:val="000000" w:themeColor="text1"/>
        </w:rPr>
      </w:pPr>
      <w:r w:rsidRPr="007C4A83">
        <w:rPr>
          <w:rFonts w:cs="Arial"/>
          <w:color w:val="000000" w:themeColor="text1"/>
        </w:rPr>
        <w:t>Barnett, R. (</w:t>
      </w:r>
      <w:r w:rsidRPr="008778F1">
        <w:rPr>
          <w:rFonts w:cs="Arial"/>
          <w:color w:val="000000" w:themeColor="text1"/>
        </w:rPr>
        <w:t>1999). Realising the</w:t>
      </w:r>
      <w:r w:rsidRPr="007C4A83">
        <w:rPr>
          <w:rFonts w:cs="Arial"/>
          <w:color w:val="000000" w:themeColor="text1"/>
        </w:rPr>
        <w:t xml:space="preserve"> university in an age of supercomplexity. Society for Research into Higher Education &amp; Open University Press.</w:t>
      </w:r>
    </w:p>
    <w:p w14:paraId="2E7CC2F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Barnett, R.  (2009) Knowing and becoming in the higher education curriculum, Studies in Higher Education, 34:4, 429</w:t>
      </w:r>
    </w:p>
    <w:p w14:paraId="034F30CE" w14:textId="280950EA"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Barradell, S., </w:t>
      </w:r>
      <w:r w:rsidR="00DA25BB">
        <w:rPr>
          <w:rFonts w:cs="Arial"/>
          <w:color w:val="000000" w:themeColor="text1"/>
        </w:rPr>
        <w:t>and</w:t>
      </w:r>
      <w:r w:rsidRPr="0072740E">
        <w:rPr>
          <w:rFonts w:cs="Arial"/>
          <w:color w:val="000000" w:themeColor="text1"/>
        </w:rPr>
        <w:t xml:space="preserve"> Kennedy-Jones, M., (2015), Threshold Concepts, Student Learning and Curriculum: Making Connections between Theory and Practice. Innovations in education and teaching international 52</w:t>
      </w:r>
      <w:r>
        <w:rPr>
          <w:rFonts w:cs="Arial"/>
          <w:color w:val="000000" w:themeColor="text1"/>
        </w:rPr>
        <w:t>:5.</w:t>
      </w:r>
      <w:r w:rsidRPr="00CE386D">
        <w:rPr>
          <w:rFonts w:cs="Arial"/>
          <w:color w:val="000000" w:themeColor="text1"/>
        </w:rPr>
        <w:t xml:space="preserve"> </w:t>
      </w:r>
    </w:p>
    <w:p w14:paraId="10100A7B"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Barrett, B. D. (2012)</w:t>
      </w:r>
      <w:r>
        <w:rPr>
          <w:rFonts w:cs="Arial"/>
          <w:color w:val="000000" w:themeColor="text1"/>
        </w:rPr>
        <w:t>,</w:t>
      </w:r>
      <w:r w:rsidRPr="0072740E">
        <w:rPr>
          <w:rFonts w:cs="Arial"/>
          <w:color w:val="000000" w:themeColor="text1"/>
        </w:rPr>
        <w:t xml:space="preserve"> Is interdisciplinarity old news? A disciplined consideration of interdisciplinarity. British Journal of Sociology of Education, 33</w:t>
      </w:r>
      <w:r>
        <w:rPr>
          <w:rFonts w:cs="Arial"/>
          <w:color w:val="000000" w:themeColor="text1"/>
        </w:rPr>
        <w:t>:1</w:t>
      </w:r>
      <w:r w:rsidRPr="0072740E">
        <w:rPr>
          <w:rFonts w:cs="Arial"/>
          <w:color w:val="000000" w:themeColor="text1"/>
        </w:rPr>
        <w:t xml:space="preserve">, 97–114. </w:t>
      </w:r>
    </w:p>
    <w:p w14:paraId="526EDAA4" w14:textId="5F55E15A" w:rsidR="00AE67DC" w:rsidRPr="0072740E" w:rsidRDefault="00AE67DC" w:rsidP="006370E7">
      <w:pPr>
        <w:spacing w:after="100" w:afterAutospacing="1" w:line="360" w:lineRule="auto"/>
        <w:jc w:val="both"/>
        <w:rPr>
          <w:rFonts w:cs="Arial"/>
          <w:color w:val="000000" w:themeColor="text1"/>
        </w:rPr>
      </w:pPr>
      <w:r w:rsidRPr="004605E0">
        <w:rPr>
          <w:rFonts w:cs="Arial"/>
          <w:color w:val="000000" w:themeColor="text1"/>
        </w:rPr>
        <w:t>Barry, M.M</w:t>
      </w:r>
      <w:r w:rsidR="00DA25BB">
        <w:rPr>
          <w:rFonts w:cs="Arial"/>
          <w:color w:val="000000" w:themeColor="text1"/>
        </w:rPr>
        <w:t>.</w:t>
      </w:r>
      <w:r w:rsidRPr="004605E0">
        <w:rPr>
          <w:rFonts w:cs="Arial"/>
          <w:color w:val="000000" w:themeColor="text1"/>
        </w:rPr>
        <w:t xml:space="preserve">, Dubin, J.C. </w:t>
      </w:r>
      <w:r w:rsidR="00DA25BB">
        <w:rPr>
          <w:rFonts w:cs="Arial"/>
          <w:color w:val="000000" w:themeColor="text1"/>
        </w:rPr>
        <w:t>and</w:t>
      </w:r>
      <w:r w:rsidR="00DA25BB" w:rsidRPr="004605E0">
        <w:rPr>
          <w:rFonts w:cs="Arial"/>
          <w:color w:val="000000" w:themeColor="text1"/>
        </w:rPr>
        <w:t xml:space="preserve"> </w:t>
      </w:r>
      <w:r w:rsidRPr="004605E0">
        <w:rPr>
          <w:rFonts w:cs="Arial"/>
          <w:color w:val="000000" w:themeColor="text1"/>
        </w:rPr>
        <w:t>Joy, P.A. (200</w:t>
      </w:r>
      <w:r w:rsidR="00DA25BB">
        <w:rPr>
          <w:rFonts w:cs="Arial"/>
          <w:color w:val="000000" w:themeColor="text1"/>
        </w:rPr>
        <w:t>7)</w:t>
      </w:r>
      <w:r w:rsidRPr="004605E0">
        <w:rPr>
          <w:rFonts w:cs="Arial"/>
          <w:color w:val="000000" w:themeColor="text1"/>
        </w:rPr>
        <w:t>. Clinical Education for This Millen</w:t>
      </w:r>
      <w:r w:rsidR="00DA25BB">
        <w:rPr>
          <w:rFonts w:cs="Arial"/>
          <w:color w:val="000000" w:themeColor="text1"/>
        </w:rPr>
        <w:t>n</w:t>
      </w:r>
      <w:r w:rsidRPr="004605E0">
        <w:rPr>
          <w:rFonts w:cs="Arial"/>
          <w:color w:val="000000" w:themeColor="text1"/>
        </w:rPr>
        <w:t>ium: The Third Wave, Clinical L. Rev, 7, 2.</w:t>
      </w:r>
      <w:r w:rsidRPr="0072740E">
        <w:rPr>
          <w:rFonts w:cs="Arial"/>
          <w:color w:val="000000" w:themeColor="text1"/>
        </w:rPr>
        <w:t xml:space="preserve"> </w:t>
      </w:r>
    </w:p>
    <w:p w14:paraId="01C69AC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Becher, T. and Trowler, P. (2001) Academic Tribes and Territories: Intellectual Enquiry and the Cultures of Disciplines. 2nd ed. Open U.P.</w:t>
      </w:r>
    </w:p>
    <w:p w14:paraId="3B2C659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Bell, A. R., &amp; Brooks, C. (2017). What makes students satisfied? A discussion and analysis of the UK’s national student survey. Journal of Further and Higher Education, 42</w:t>
      </w:r>
      <w:r>
        <w:rPr>
          <w:rFonts w:cs="Arial"/>
          <w:color w:val="000000" w:themeColor="text1"/>
        </w:rPr>
        <w:t>:8</w:t>
      </w:r>
      <w:r w:rsidRPr="0072740E">
        <w:rPr>
          <w:rFonts w:cs="Arial"/>
          <w:color w:val="000000" w:themeColor="text1"/>
        </w:rPr>
        <w:t xml:space="preserve">, 1118–1142. </w:t>
      </w:r>
    </w:p>
    <w:p w14:paraId="314111AB" w14:textId="667E1B1B"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 xml:space="preserve">Bernstein (1975), </w:t>
      </w:r>
      <w:r>
        <w:rPr>
          <w:rFonts w:cs="Arial"/>
          <w:color w:val="000000" w:themeColor="text1"/>
        </w:rPr>
        <w:t>‘</w:t>
      </w:r>
      <w:r w:rsidRPr="0072740E">
        <w:rPr>
          <w:rFonts w:cs="Arial"/>
          <w:color w:val="000000" w:themeColor="text1"/>
        </w:rPr>
        <w:t>On the classification and framing of educational knowledge</w:t>
      </w:r>
      <w:r>
        <w:rPr>
          <w:rFonts w:cs="Arial"/>
          <w:color w:val="000000" w:themeColor="text1"/>
        </w:rPr>
        <w:t>’</w:t>
      </w:r>
      <w:r w:rsidRPr="0072740E">
        <w:rPr>
          <w:rFonts w:cs="Arial"/>
          <w:color w:val="000000" w:themeColor="text1"/>
        </w:rPr>
        <w:t xml:space="preserve">, In Class, </w:t>
      </w:r>
      <w:r w:rsidR="00DA25BB">
        <w:rPr>
          <w:rFonts w:cs="Arial"/>
          <w:color w:val="000000" w:themeColor="text1"/>
        </w:rPr>
        <w:t>C</w:t>
      </w:r>
      <w:r w:rsidR="00DA25BB" w:rsidRPr="0072740E">
        <w:rPr>
          <w:rFonts w:cs="Arial"/>
          <w:color w:val="000000" w:themeColor="text1"/>
        </w:rPr>
        <w:t xml:space="preserve">odes </w:t>
      </w:r>
      <w:r w:rsidRPr="0072740E">
        <w:rPr>
          <w:rFonts w:cs="Arial"/>
          <w:color w:val="000000" w:themeColor="text1"/>
        </w:rPr>
        <w:t xml:space="preserve">and </w:t>
      </w:r>
      <w:r w:rsidR="00DA25BB">
        <w:rPr>
          <w:rFonts w:cs="Arial"/>
          <w:color w:val="000000" w:themeColor="text1"/>
        </w:rPr>
        <w:t>C</w:t>
      </w:r>
      <w:r w:rsidR="00DA25BB" w:rsidRPr="0072740E">
        <w:rPr>
          <w:rFonts w:cs="Arial"/>
          <w:color w:val="000000" w:themeColor="text1"/>
        </w:rPr>
        <w:t xml:space="preserve">ontrol </w:t>
      </w:r>
      <w:r w:rsidRPr="0072740E">
        <w:rPr>
          <w:rFonts w:cs="Arial"/>
          <w:color w:val="000000" w:themeColor="text1"/>
        </w:rPr>
        <w:t>(vol</w:t>
      </w:r>
      <w:r w:rsidR="00DA25BB">
        <w:rPr>
          <w:rFonts w:cs="Arial"/>
          <w:color w:val="000000" w:themeColor="text1"/>
        </w:rPr>
        <w:t>.</w:t>
      </w:r>
      <w:r w:rsidR="00DA25BB" w:rsidRPr="0072740E">
        <w:rPr>
          <w:rFonts w:cs="Arial"/>
          <w:color w:val="000000" w:themeColor="text1"/>
        </w:rPr>
        <w:t xml:space="preserve"> </w:t>
      </w:r>
      <w:r w:rsidRPr="0072740E">
        <w:rPr>
          <w:rFonts w:cs="Arial"/>
          <w:color w:val="000000" w:themeColor="text1"/>
        </w:rPr>
        <w:t>3): Towards a theory of educational transmissions. London Routledge</w:t>
      </w:r>
    </w:p>
    <w:p w14:paraId="284F9B20" w14:textId="77777777" w:rsidR="00AE67DC" w:rsidRPr="004605E0" w:rsidRDefault="00AE67DC" w:rsidP="006370E7">
      <w:pPr>
        <w:spacing w:after="100" w:afterAutospacing="1" w:line="360" w:lineRule="auto"/>
        <w:jc w:val="both"/>
        <w:rPr>
          <w:rFonts w:cs="Arial"/>
          <w:color w:val="000000" w:themeColor="text1"/>
        </w:rPr>
      </w:pPr>
      <w:r w:rsidRPr="004605E0">
        <w:rPr>
          <w:rFonts w:cs="Arial"/>
          <w:color w:val="000000" w:themeColor="text1"/>
        </w:rPr>
        <w:t xml:space="preserve">Bernstein, B. (1990). The structuring of pedagogic discourse. London: Routledge. </w:t>
      </w:r>
    </w:p>
    <w:p w14:paraId="10FED17A" w14:textId="77777777" w:rsidR="00AE67DC" w:rsidRPr="0072740E" w:rsidRDefault="00AE67DC" w:rsidP="006370E7">
      <w:pPr>
        <w:spacing w:after="100" w:afterAutospacing="1" w:line="360" w:lineRule="auto"/>
        <w:jc w:val="both"/>
        <w:rPr>
          <w:rFonts w:cs="Arial"/>
          <w:color w:val="000000" w:themeColor="text1"/>
        </w:rPr>
      </w:pPr>
      <w:r w:rsidRPr="004605E0">
        <w:rPr>
          <w:rFonts w:cs="Arial"/>
          <w:color w:val="000000" w:themeColor="text1"/>
        </w:rPr>
        <w:t>Bernstein, B. (1996). Pedagogy, Symbolic Control and Identity. Theory, Research, Critique. London and New York: Taylor and Francis</w:t>
      </w:r>
    </w:p>
    <w:p w14:paraId="1AB6E74D"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Bernstein, B. (2000) Pedagogy, Symbolic Control, and Identity: Theory, Research, Critic. Oxford: Rowman and Littlefield. </w:t>
      </w:r>
    </w:p>
    <w:p w14:paraId="75D42E5D"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Biggs, J. (1999). Teaching for Quality Learning at University. Buckingham: Open University Press.</w:t>
      </w:r>
    </w:p>
    <w:p w14:paraId="6803AB3B" w14:textId="77777777" w:rsidR="00AE67DC" w:rsidRPr="0072740E" w:rsidRDefault="00AE67DC" w:rsidP="006370E7">
      <w:pPr>
        <w:spacing w:after="100" w:afterAutospacing="1" w:line="360" w:lineRule="auto"/>
        <w:jc w:val="both"/>
        <w:rPr>
          <w:rFonts w:cs="Arial"/>
          <w:color w:val="000000" w:themeColor="text1"/>
        </w:rPr>
      </w:pPr>
      <w:r w:rsidRPr="005225B5">
        <w:rPr>
          <w:rFonts w:cs="Arial"/>
          <w:color w:val="000000" w:themeColor="text1"/>
        </w:rPr>
        <w:t>Billing, D. (1996), Review of Modular Implementation in a University. Higher Education Quarterly, 50: 1-21.</w:t>
      </w:r>
      <w:r w:rsidRPr="0072740E">
        <w:rPr>
          <w:rFonts w:cs="Arial"/>
          <w:color w:val="000000" w:themeColor="text1"/>
        </w:rPr>
        <w:t xml:space="preserve"> </w:t>
      </w:r>
    </w:p>
    <w:p w14:paraId="6FCCE39A"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Birks, P. (1996) Pressing problems in the law. Volume 2, What are law schools for? Oxford [England]: Oxford University Press.</w:t>
      </w:r>
    </w:p>
    <w:p w14:paraId="22447DBD"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w:t>
      </w:r>
      <w:r>
        <w:rPr>
          <w:rFonts w:cs="Arial"/>
          <w:color w:val="000000" w:themeColor="text1"/>
        </w:rPr>
        <w:t>oon</w:t>
      </w:r>
      <w:r w:rsidRPr="0072740E">
        <w:rPr>
          <w:rFonts w:cs="Arial"/>
          <w:color w:val="000000" w:themeColor="text1"/>
        </w:rPr>
        <w:t xml:space="preserve">, A. (2012). </w:t>
      </w:r>
      <w:r>
        <w:rPr>
          <w:rFonts w:cs="Arial"/>
          <w:color w:val="000000" w:themeColor="text1"/>
        </w:rPr>
        <w:t xml:space="preserve">Review of ‘Integrating socio-legal studies into the law curriculum edited’ by Caroline Hunter, </w:t>
      </w:r>
      <w:r w:rsidRPr="0072740E">
        <w:rPr>
          <w:rFonts w:cs="Arial"/>
          <w:color w:val="000000" w:themeColor="text1"/>
        </w:rPr>
        <w:t>Journal of Law and Society, 39</w:t>
      </w:r>
      <w:r>
        <w:rPr>
          <w:rFonts w:cs="Arial"/>
          <w:color w:val="000000" w:themeColor="text1"/>
        </w:rPr>
        <w:t>:4</w:t>
      </w:r>
      <w:r w:rsidRPr="0072740E">
        <w:rPr>
          <w:rFonts w:cs="Arial"/>
          <w:color w:val="000000" w:themeColor="text1"/>
        </w:rPr>
        <w:t xml:space="preserve">, 616–624. </w:t>
      </w:r>
    </w:p>
    <w:p w14:paraId="389879A0" w14:textId="0EE2B960" w:rsidR="00AE67DC" w:rsidRPr="0072740E" w:rsidRDefault="00AE67DC" w:rsidP="006370E7">
      <w:pPr>
        <w:spacing w:after="100" w:afterAutospacing="1" w:line="360" w:lineRule="auto"/>
        <w:jc w:val="both"/>
        <w:rPr>
          <w:rFonts w:cs="Arial"/>
          <w:color w:val="000000" w:themeColor="text1"/>
        </w:rPr>
      </w:pPr>
      <w:r w:rsidRPr="004605E0">
        <w:rPr>
          <w:rFonts w:cs="Arial"/>
          <w:color w:val="000000" w:themeColor="text1"/>
        </w:rPr>
        <w:t>Boon, A., and Webb, J. (2008)</w:t>
      </w:r>
      <w:r w:rsidR="00DA25BB">
        <w:rPr>
          <w:rFonts w:cs="Arial"/>
          <w:color w:val="000000" w:themeColor="text1"/>
        </w:rPr>
        <w:t>.</w:t>
      </w:r>
      <w:r w:rsidRPr="004605E0">
        <w:rPr>
          <w:rFonts w:cs="Arial"/>
          <w:color w:val="000000" w:themeColor="text1"/>
        </w:rPr>
        <w:t xml:space="preserve"> Legal Education and Training in England and Wales: Back to the Future? Journal of Legal Education 58, 79.</w:t>
      </w:r>
    </w:p>
    <w:p w14:paraId="4C7ED148" w14:textId="11D3789F"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Bovill, C., Cook-Sather, A., &amp; Felten, P. (2011</w:t>
      </w:r>
      <w:r w:rsidR="00DA25BB" w:rsidRPr="0072740E">
        <w:rPr>
          <w:rFonts w:cs="Arial"/>
          <w:color w:val="000000" w:themeColor="text1"/>
        </w:rPr>
        <w:t>)</w:t>
      </w:r>
      <w:r w:rsidR="00DA25BB">
        <w:rPr>
          <w:rFonts w:cs="Arial"/>
          <w:color w:val="000000" w:themeColor="text1"/>
        </w:rPr>
        <w:t>.</w:t>
      </w:r>
      <w:r w:rsidR="00DA25BB" w:rsidRPr="0072740E">
        <w:rPr>
          <w:rFonts w:cs="Arial"/>
          <w:color w:val="000000" w:themeColor="text1"/>
        </w:rPr>
        <w:t xml:space="preserve"> </w:t>
      </w:r>
      <w:r w:rsidRPr="0072740E">
        <w:rPr>
          <w:rFonts w:cs="Arial"/>
          <w:color w:val="000000" w:themeColor="text1"/>
        </w:rPr>
        <w:t xml:space="preserve">Students as Co-Creators of Teaching Approaches, Course Design, and Curricula: Implications for Academic Developers.    The </w:t>
      </w:r>
      <w:r>
        <w:rPr>
          <w:rFonts w:cs="Arial"/>
          <w:color w:val="000000" w:themeColor="text1"/>
        </w:rPr>
        <w:t>I</w:t>
      </w:r>
      <w:r w:rsidRPr="0072740E">
        <w:rPr>
          <w:rFonts w:cs="Arial"/>
          <w:color w:val="000000" w:themeColor="text1"/>
        </w:rPr>
        <w:t xml:space="preserve">nternational </w:t>
      </w:r>
      <w:r>
        <w:rPr>
          <w:rFonts w:cs="Arial"/>
          <w:color w:val="000000" w:themeColor="text1"/>
        </w:rPr>
        <w:t>J</w:t>
      </w:r>
      <w:r w:rsidRPr="0072740E">
        <w:rPr>
          <w:rFonts w:cs="Arial"/>
          <w:color w:val="000000" w:themeColor="text1"/>
        </w:rPr>
        <w:t xml:space="preserve">ournal for </w:t>
      </w:r>
      <w:r>
        <w:rPr>
          <w:rFonts w:cs="Arial"/>
          <w:color w:val="000000" w:themeColor="text1"/>
        </w:rPr>
        <w:t>A</w:t>
      </w:r>
      <w:r w:rsidRPr="0072740E">
        <w:rPr>
          <w:rFonts w:cs="Arial"/>
          <w:color w:val="000000" w:themeColor="text1"/>
        </w:rPr>
        <w:t xml:space="preserve">cademic </w:t>
      </w:r>
      <w:r>
        <w:rPr>
          <w:rFonts w:cs="Arial"/>
          <w:color w:val="000000" w:themeColor="text1"/>
        </w:rPr>
        <w:t>D</w:t>
      </w:r>
      <w:r w:rsidRPr="0072740E">
        <w:rPr>
          <w:rFonts w:cs="Arial"/>
          <w:color w:val="000000" w:themeColor="text1"/>
        </w:rPr>
        <w:t>evelopment 16</w:t>
      </w:r>
      <w:r>
        <w:rPr>
          <w:rFonts w:cs="Arial"/>
          <w:color w:val="000000" w:themeColor="text1"/>
        </w:rPr>
        <w:t xml:space="preserve"> (2).</w:t>
      </w:r>
    </w:p>
    <w:p w14:paraId="382F8F0C" w14:textId="690F52A6"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Bowyer, R. (2019)</w:t>
      </w:r>
      <w:r w:rsidR="00DA25BB">
        <w:rPr>
          <w:rFonts w:cs="Arial"/>
          <w:color w:val="000000" w:themeColor="text1"/>
        </w:rPr>
        <w:t>.</w:t>
      </w:r>
      <w:r w:rsidRPr="0072740E">
        <w:rPr>
          <w:rFonts w:cs="Arial"/>
          <w:color w:val="000000" w:themeColor="text1"/>
        </w:rPr>
        <w:t xml:space="preserve"> Regulatory Threats to the Law Degree: The Solicitors Qualifying Examination and the Purpose of Law Schools. Law and Critique 30</w:t>
      </w:r>
      <w:r>
        <w:rPr>
          <w:rFonts w:cs="Arial"/>
          <w:color w:val="000000" w:themeColor="text1"/>
        </w:rPr>
        <w:t>:2</w:t>
      </w:r>
      <w:r w:rsidRPr="0072740E">
        <w:rPr>
          <w:rFonts w:cs="Arial"/>
          <w:color w:val="000000" w:themeColor="text1"/>
        </w:rPr>
        <w:t>, 117-21.</w:t>
      </w:r>
      <w:r w:rsidRPr="004605E0">
        <w:rPr>
          <w:rFonts w:cs="Arial"/>
          <w:color w:val="000000" w:themeColor="text1"/>
        </w:rPr>
        <w:t xml:space="preserve"> </w:t>
      </w:r>
    </w:p>
    <w:p w14:paraId="138F9BAD" w14:textId="78C72C0C" w:rsidR="00AE67DC" w:rsidRDefault="00AE67DC" w:rsidP="006370E7">
      <w:pPr>
        <w:spacing w:after="100" w:afterAutospacing="1" w:line="360" w:lineRule="auto"/>
        <w:jc w:val="both"/>
        <w:rPr>
          <w:rFonts w:cs="Arial"/>
          <w:color w:val="000000" w:themeColor="text1"/>
        </w:rPr>
      </w:pPr>
      <w:r w:rsidRPr="004605E0">
        <w:rPr>
          <w:rFonts w:cs="Arial"/>
          <w:color w:val="000000" w:themeColor="text1"/>
        </w:rPr>
        <w:lastRenderedPageBreak/>
        <w:t>Bradney, A. (1999)</w:t>
      </w:r>
      <w:r w:rsidR="00DA25BB">
        <w:rPr>
          <w:rFonts w:cs="Arial"/>
          <w:color w:val="000000" w:themeColor="text1"/>
        </w:rPr>
        <w:t>.</w:t>
      </w:r>
      <w:r w:rsidRPr="004605E0">
        <w:rPr>
          <w:rFonts w:cs="Arial"/>
          <w:color w:val="000000" w:themeColor="text1"/>
        </w:rPr>
        <w:t xml:space="preserve"> ‘Liberalising Legal Education’ in Cownie</w:t>
      </w:r>
      <w:r>
        <w:rPr>
          <w:rFonts w:cs="Arial"/>
          <w:color w:val="000000" w:themeColor="text1"/>
        </w:rPr>
        <w:t>, F.</w:t>
      </w:r>
      <w:r w:rsidRPr="004605E0">
        <w:rPr>
          <w:rFonts w:cs="Arial"/>
          <w:color w:val="000000" w:themeColor="text1"/>
        </w:rPr>
        <w:t xml:space="preserve"> (ed), The Law School – Global Issues, Local Questions 18</w:t>
      </w:r>
    </w:p>
    <w:p w14:paraId="496FB862" w14:textId="7F899682" w:rsidR="005B4D23" w:rsidRPr="0072740E" w:rsidRDefault="005B4D23" w:rsidP="005B4D23">
      <w:pPr>
        <w:spacing w:after="100" w:afterAutospacing="1" w:line="360" w:lineRule="auto"/>
        <w:jc w:val="both"/>
        <w:rPr>
          <w:rFonts w:cs="Arial"/>
          <w:color w:val="000000" w:themeColor="text1"/>
        </w:rPr>
      </w:pPr>
      <w:r w:rsidRPr="005B4D23">
        <w:rPr>
          <w:rFonts w:cs="Arial"/>
          <w:color w:val="000000" w:themeColor="text1"/>
        </w:rPr>
        <w:t>Bradney, A., Nehme, M., Steel, A., Golder, B., &amp; Vines, P. (2020). Who controls university legal education? The case of England and Wales. In Imperatives for Legal Education Research. Routledge. 143–158.</w:t>
      </w:r>
    </w:p>
    <w:p w14:paraId="0753E6EF" w14:textId="67471635"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Braun, V. and Clarke, V. (2021)</w:t>
      </w:r>
      <w:r w:rsidR="00DA25BB">
        <w:rPr>
          <w:rFonts w:cs="Arial"/>
          <w:color w:val="000000" w:themeColor="text1"/>
        </w:rPr>
        <w:t>.</w:t>
      </w:r>
      <w:r w:rsidRPr="0072740E">
        <w:rPr>
          <w:rFonts w:cs="Arial"/>
          <w:color w:val="000000" w:themeColor="text1"/>
        </w:rPr>
        <w:t xml:space="preserve"> Thematic Analysis: A Practical Guide. London: SAGE Publications.</w:t>
      </w:r>
    </w:p>
    <w:p w14:paraId="38CF234F" w14:textId="54C7D825"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Breier, M. </w:t>
      </w:r>
      <w:r>
        <w:rPr>
          <w:rFonts w:cs="Arial"/>
          <w:color w:val="000000" w:themeColor="text1"/>
        </w:rPr>
        <w:t>(2004</w:t>
      </w:r>
      <w:r w:rsidR="0008159C">
        <w:rPr>
          <w:rFonts w:cs="Arial"/>
          <w:color w:val="000000" w:themeColor="text1"/>
        </w:rPr>
        <w:t xml:space="preserve">). </w:t>
      </w:r>
      <w:r>
        <w:rPr>
          <w:rFonts w:cs="Arial"/>
          <w:color w:val="000000" w:themeColor="text1"/>
        </w:rPr>
        <w:t>‘</w:t>
      </w:r>
      <w:r w:rsidRPr="0072740E">
        <w:rPr>
          <w:rFonts w:cs="Arial"/>
          <w:color w:val="000000" w:themeColor="text1"/>
        </w:rPr>
        <w:t xml:space="preserve">Horizontal </w:t>
      </w:r>
      <w:r w:rsidRPr="002674AD">
        <w:rPr>
          <w:rFonts w:cs="Arial"/>
          <w:color w:val="000000" w:themeColor="text1"/>
        </w:rPr>
        <w:t>discourses in law and labour law</w:t>
      </w:r>
      <w:r>
        <w:rPr>
          <w:rFonts w:cs="Arial"/>
          <w:color w:val="000000" w:themeColor="text1"/>
        </w:rPr>
        <w:t>’</w:t>
      </w:r>
      <w:r w:rsidRPr="002674AD">
        <w:rPr>
          <w:rFonts w:cs="Arial"/>
          <w:color w:val="000000" w:themeColor="text1"/>
        </w:rPr>
        <w:t xml:space="preserve"> in Davies, B. et al. (eds.) Reading Bernstein, researching Bernstein, Routledge.</w:t>
      </w:r>
      <w:r w:rsidRPr="0072740E">
        <w:rPr>
          <w:rFonts w:cs="Arial"/>
          <w:color w:val="000000" w:themeColor="text1"/>
        </w:rPr>
        <w:t xml:space="preserve"> </w:t>
      </w:r>
    </w:p>
    <w:p w14:paraId="7D8A6849" w14:textId="578E42E3" w:rsidR="00AE67DC" w:rsidRPr="0072740E" w:rsidRDefault="00AE67DC" w:rsidP="006370E7">
      <w:pPr>
        <w:spacing w:after="100" w:afterAutospacing="1" w:line="360" w:lineRule="auto"/>
        <w:jc w:val="both"/>
        <w:rPr>
          <w:rFonts w:cs="Arial"/>
          <w:color w:val="000000" w:themeColor="text1"/>
        </w:rPr>
      </w:pPr>
      <w:r w:rsidRPr="005450A2">
        <w:rPr>
          <w:rFonts w:cs="Arial"/>
          <w:color w:val="000000" w:themeColor="text1"/>
        </w:rPr>
        <w:t>Brownsword, R. (1999)</w:t>
      </w:r>
      <w:r w:rsidR="00DA25BB">
        <w:rPr>
          <w:rFonts w:cs="Arial"/>
          <w:color w:val="000000" w:themeColor="text1"/>
        </w:rPr>
        <w:t>.</w:t>
      </w:r>
      <w:r w:rsidRPr="005450A2">
        <w:rPr>
          <w:rFonts w:cs="Arial"/>
          <w:color w:val="000000" w:themeColor="text1"/>
        </w:rPr>
        <w:t xml:space="preserve"> ‘Law Schools for Lawyers, Citizens, and People’, in Cownie, F. (ed). The Law School – Global Issues, Local Questions, Routledge. </w:t>
      </w:r>
    </w:p>
    <w:p w14:paraId="41CFA983" w14:textId="044E14EA"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Buchanan, D., Boddy, D. and </w:t>
      </w:r>
      <w:r w:rsidR="00DA25BB" w:rsidRPr="0072740E">
        <w:rPr>
          <w:rFonts w:cs="Arial"/>
          <w:color w:val="000000" w:themeColor="text1"/>
        </w:rPr>
        <w:t>Mc</w:t>
      </w:r>
      <w:r w:rsidR="00DA25BB">
        <w:rPr>
          <w:rFonts w:cs="Arial"/>
          <w:color w:val="000000" w:themeColor="text1"/>
        </w:rPr>
        <w:t>C</w:t>
      </w:r>
      <w:r w:rsidR="00DA25BB" w:rsidRPr="0072740E">
        <w:rPr>
          <w:rFonts w:cs="Arial"/>
          <w:color w:val="000000" w:themeColor="text1"/>
        </w:rPr>
        <w:t>lman</w:t>
      </w:r>
      <w:r w:rsidRPr="0072740E">
        <w:rPr>
          <w:rFonts w:cs="Arial"/>
          <w:color w:val="000000" w:themeColor="text1"/>
        </w:rPr>
        <w:t>, J. (2013</w:t>
      </w:r>
      <w:r w:rsidR="00DA25BB" w:rsidRPr="0072740E">
        <w:rPr>
          <w:rFonts w:cs="Arial"/>
          <w:color w:val="000000" w:themeColor="text1"/>
        </w:rPr>
        <w:t>)</w:t>
      </w:r>
      <w:r w:rsidR="00DA25BB">
        <w:rPr>
          <w:rFonts w:cs="Arial"/>
          <w:color w:val="000000" w:themeColor="text1"/>
        </w:rPr>
        <w:t>.</w:t>
      </w:r>
      <w:r w:rsidR="00DA25BB" w:rsidRPr="0072740E">
        <w:rPr>
          <w:rFonts w:cs="Arial"/>
          <w:color w:val="000000" w:themeColor="text1"/>
        </w:rPr>
        <w:t xml:space="preserve"> </w:t>
      </w:r>
      <w:r>
        <w:rPr>
          <w:rFonts w:cs="Arial"/>
          <w:color w:val="000000" w:themeColor="text1"/>
        </w:rPr>
        <w:t>‘</w:t>
      </w:r>
      <w:r w:rsidRPr="0072740E">
        <w:rPr>
          <w:rFonts w:cs="Arial"/>
          <w:color w:val="000000" w:themeColor="text1"/>
        </w:rPr>
        <w:t>Getting in, getting on, getting out and getting back</w:t>
      </w:r>
      <w:r>
        <w:rPr>
          <w:rFonts w:cs="Arial"/>
          <w:color w:val="000000" w:themeColor="text1"/>
        </w:rPr>
        <w:t>’</w:t>
      </w:r>
      <w:r w:rsidRPr="0072740E">
        <w:rPr>
          <w:rFonts w:cs="Arial"/>
          <w:color w:val="000000" w:themeColor="text1"/>
        </w:rPr>
        <w:t xml:space="preserve">, in A. Brymer (ed), Doing Research in </w:t>
      </w:r>
      <w:r w:rsidR="00DA25BB" w:rsidRPr="0072740E">
        <w:rPr>
          <w:rFonts w:cs="Arial"/>
          <w:color w:val="000000" w:themeColor="text1"/>
        </w:rPr>
        <w:t>Organi</w:t>
      </w:r>
      <w:r w:rsidR="00DA25BB">
        <w:rPr>
          <w:rFonts w:cs="Arial"/>
          <w:color w:val="000000" w:themeColor="text1"/>
        </w:rPr>
        <w:t>s</w:t>
      </w:r>
      <w:r w:rsidR="00DA25BB" w:rsidRPr="0072740E">
        <w:rPr>
          <w:rFonts w:cs="Arial"/>
          <w:color w:val="000000" w:themeColor="text1"/>
        </w:rPr>
        <w:t>ations</w:t>
      </w:r>
      <w:r w:rsidRPr="0072740E">
        <w:rPr>
          <w:rFonts w:cs="Arial"/>
          <w:color w:val="000000" w:themeColor="text1"/>
        </w:rPr>
        <w:t xml:space="preserve">. (Routledge, London) </w:t>
      </w:r>
    </w:p>
    <w:p w14:paraId="4D0DCDA9" w14:textId="4285009E" w:rsidR="009B1E13" w:rsidRPr="008446AA" w:rsidRDefault="009B1E13" w:rsidP="008446AA">
      <w:pPr>
        <w:spacing w:after="100" w:afterAutospacing="1" w:line="360" w:lineRule="auto"/>
        <w:jc w:val="both"/>
        <w:rPr>
          <w:rFonts w:cs="Arial"/>
          <w:color w:val="000000" w:themeColor="text1"/>
        </w:rPr>
      </w:pPr>
      <w:r w:rsidRPr="008446AA">
        <w:rPr>
          <w:rFonts w:cs="Arial"/>
          <w:color w:val="000000" w:themeColor="text1"/>
        </w:rPr>
        <w:t>Burdon, P.D. (2020)</w:t>
      </w:r>
      <w:r w:rsidR="00DA25BB">
        <w:rPr>
          <w:rFonts w:cs="Arial"/>
          <w:color w:val="000000" w:themeColor="text1"/>
        </w:rPr>
        <w:t>.</w:t>
      </w:r>
      <w:r w:rsidRPr="008446AA">
        <w:rPr>
          <w:rFonts w:cs="Arial"/>
          <w:color w:val="000000" w:themeColor="text1"/>
        </w:rPr>
        <w:t xml:space="preserve"> ‘Neoliberalism in legal education research’, in M. Nehme et al. (eds.) Imperatives for Legal Education Research. 1st ed. Routledge, pp. 31–48. </w:t>
      </w:r>
    </w:p>
    <w:p w14:paraId="56A6DD22" w14:textId="03757C4D"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BSB (2024), Bar Standards Board Public Consultation. Accessed </w:t>
      </w:r>
      <w:r w:rsidR="00DA25BB">
        <w:rPr>
          <w:rFonts w:cs="Arial"/>
          <w:color w:val="000000" w:themeColor="text1"/>
        </w:rPr>
        <w:t>on</w:t>
      </w:r>
      <w:r w:rsidRPr="0072740E">
        <w:rPr>
          <w:rFonts w:cs="Arial"/>
          <w:color w:val="000000" w:themeColor="text1"/>
        </w:rPr>
        <w:t xml:space="preserve"> </w:t>
      </w:r>
      <w:r>
        <w:rPr>
          <w:rFonts w:cs="Arial"/>
          <w:color w:val="000000" w:themeColor="text1"/>
        </w:rPr>
        <w:t>Jul 25)</w:t>
      </w:r>
      <w:hyperlink r:id="rId14" w:history="1">
        <w:r w:rsidRPr="00F22CA3">
          <w:rPr>
            <w:rStyle w:val="Hyperlink"/>
            <w:rFonts w:cs="Arial"/>
          </w:rPr>
          <w:t>https://www.barstandardsboard.org.uk/news-publications/consultations/definition-of-academic-legal-training-faqs.html (10</w:t>
        </w:r>
      </w:hyperlink>
      <w:r>
        <w:rPr>
          <w:rFonts w:cs="Arial"/>
        </w:rPr>
        <w:t xml:space="preserve"> </w:t>
      </w:r>
    </w:p>
    <w:p w14:paraId="5A7E335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BSB (2024a), Bar Training 2024, Statistics on enrolment, results and student progression by course provider. Bar Standards Board. Access</w:t>
      </w:r>
      <w:r>
        <w:rPr>
          <w:rFonts w:cs="Arial"/>
          <w:color w:val="000000" w:themeColor="text1"/>
        </w:rPr>
        <w:t>ed</w:t>
      </w:r>
      <w:r w:rsidRPr="0072740E">
        <w:rPr>
          <w:rFonts w:cs="Arial"/>
          <w:color w:val="000000" w:themeColor="text1"/>
        </w:rPr>
        <w:t xml:space="preserve"> at  </w:t>
      </w:r>
      <w:hyperlink r:id="rId15" w:history="1">
        <w:r w:rsidRPr="002674AD">
          <w:rPr>
            <w:rFonts w:cs="Arial"/>
            <w:color w:val="000000" w:themeColor="text1"/>
          </w:rPr>
          <w:t>https://www.barstandardsboard.org.uk/static/d3f657bd-3eb7-4984-903da4d6824fdd02/Bar-Training-2024-Statistics-by-course-provider-FINAL.pdf</w:t>
        </w:r>
      </w:hyperlink>
      <w:r w:rsidRPr="002674AD">
        <w:rPr>
          <w:rFonts w:cs="Arial"/>
          <w:color w:val="000000" w:themeColor="text1"/>
        </w:rPr>
        <w:t xml:space="preserve"> (10 Jul 25)</w:t>
      </w:r>
    </w:p>
    <w:p w14:paraId="3683C60E"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BSB (2025), Bar Standards Board</w:t>
      </w:r>
      <w:r>
        <w:rPr>
          <w:rFonts w:cs="Arial"/>
          <w:color w:val="000000" w:themeColor="text1"/>
        </w:rPr>
        <w:t>,</w:t>
      </w:r>
      <w:r w:rsidRPr="0072740E">
        <w:rPr>
          <w:rFonts w:cs="Arial"/>
          <w:color w:val="000000" w:themeColor="text1"/>
        </w:rPr>
        <w:t xml:space="preserve"> FAQs relating to public consultation on amending the definition of academic legal training. Accessed at: </w:t>
      </w:r>
      <w:hyperlink r:id="rId16" w:history="1">
        <w:r w:rsidRPr="002674AD">
          <w:rPr>
            <w:rFonts w:cs="Arial"/>
            <w:color w:val="000000" w:themeColor="text1"/>
          </w:rPr>
          <w:t>https://www.barstandardsboard.org.uk/news-publications/consultations/definition-of-academic-legal-training-faqs.html</w:t>
        </w:r>
      </w:hyperlink>
      <w:r w:rsidRPr="002674AD">
        <w:rPr>
          <w:rFonts w:cs="Arial"/>
          <w:color w:val="000000" w:themeColor="text1"/>
        </w:rPr>
        <w:t xml:space="preserve"> (10th Jul 25)</w:t>
      </w:r>
    </w:p>
    <w:p w14:paraId="7851C4D3" w14:textId="5A1E9346"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Buys T</w:t>
      </w:r>
      <w:r>
        <w:rPr>
          <w:rFonts w:cs="Arial"/>
          <w:color w:val="000000" w:themeColor="text1"/>
        </w:rPr>
        <w:t>.</w:t>
      </w:r>
      <w:r w:rsidRPr="0072740E">
        <w:rPr>
          <w:rFonts w:cs="Arial"/>
          <w:color w:val="000000" w:themeColor="text1"/>
        </w:rPr>
        <w:t>, Casteleijn D</w:t>
      </w:r>
      <w:r>
        <w:rPr>
          <w:rFonts w:cs="Arial"/>
          <w:color w:val="000000" w:themeColor="text1"/>
        </w:rPr>
        <w:t>.</w:t>
      </w:r>
      <w:r w:rsidRPr="0072740E">
        <w:rPr>
          <w:rFonts w:cs="Arial"/>
          <w:color w:val="000000" w:themeColor="text1"/>
        </w:rPr>
        <w:t>, Heyns</w:t>
      </w:r>
      <w:r>
        <w:rPr>
          <w:rFonts w:cs="Arial"/>
          <w:color w:val="000000" w:themeColor="text1"/>
        </w:rPr>
        <w:t>,</w:t>
      </w:r>
      <w:r w:rsidRPr="0072740E">
        <w:rPr>
          <w:rFonts w:cs="Arial"/>
          <w:color w:val="000000" w:themeColor="text1"/>
        </w:rPr>
        <w:t xml:space="preserve"> T</w:t>
      </w:r>
      <w:r>
        <w:rPr>
          <w:rFonts w:cs="Arial"/>
          <w:color w:val="000000" w:themeColor="text1"/>
        </w:rPr>
        <w:t>.</w:t>
      </w:r>
      <w:r w:rsidRPr="0072740E">
        <w:rPr>
          <w:rFonts w:cs="Arial"/>
          <w:color w:val="000000" w:themeColor="text1"/>
        </w:rPr>
        <w:t>,</w:t>
      </w:r>
      <w:r>
        <w:rPr>
          <w:rFonts w:cs="Arial"/>
          <w:color w:val="000000" w:themeColor="text1"/>
        </w:rPr>
        <w:t xml:space="preserve"> and</w:t>
      </w:r>
      <w:r w:rsidRPr="0072740E">
        <w:rPr>
          <w:rFonts w:cs="Arial"/>
          <w:color w:val="000000" w:themeColor="text1"/>
        </w:rPr>
        <w:t xml:space="preserve"> Untiedt</w:t>
      </w:r>
      <w:r>
        <w:rPr>
          <w:rFonts w:cs="Arial"/>
          <w:color w:val="000000" w:themeColor="text1"/>
        </w:rPr>
        <w:t>,</w:t>
      </w:r>
      <w:r w:rsidRPr="0072740E">
        <w:rPr>
          <w:rFonts w:cs="Arial"/>
          <w:color w:val="000000" w:themeColor="text1"/>
        </w:rPr>
        <w:t xml:space="preserve"> H. (2022)</w:t>
      </w:r>
      <w:r w:rsidR="0008159C">
        <w:rPr>
          <w:rFonts w:cs="Arial"/>
          <w:color w:val="000000" w:themeColor="text1"/>
        </w:rPr>
        <w:t>.</w:t>
      </w:r>
      <w:r w:rsidRPr="0072740E">
        <w:rPr>
          <w:rFonts w:cs="Arial"/>
          <w:color w:val="000000" w:themeColor="text1"/>
        </w:rPr>
        <w:t xml:space="preserve"> A Reflexive Lens on Preparing and Conducting Semi-structured Interviews with Academic Colleagues. Qualitative Health Research. 32</w:t>
      </w:r>
      <w:r>
        <w:rPr>
          <w:rFonts w:cs="Arial"/>
          <w:color w:val="000000" w:themeColor="text1"/>
        </w:rPr>
        <w:t>:13</w:t>
      </w:r>
    </w:p>
    <w:p w14:paraId="29DB0309" w14:textId="054E60BC" w:rsidR="00AE67DC" w:rsidRPr="0072740E" w:rsidRDefault="00AE67DC" w:rsidP="006370E7">
      <w:pPr>
        <w:spacing w:after="100" w:afterAutospacing="1" w:line="360" w:lineRule="auto"/>
        <w:jc w:val="both"/>
        <w:rPr>
          <w:rFonts w:cs="Arial"/>
          <w:color w:val="000000" w:themeColor="text1"/>
        </w:rPr>
      </w:pPr>
      <w:r w:rsidRPr="004E2F24">
        <w:rPr>
          <w:rFonts w:cs="Arial"/>
          <w:color w:val="000000" w:themeColor="text1"/>
        </w:rPr>
        <w:t xml:space="preserve">Campbell, E. (2015), </w:t>
      </w:r>
      <w:r w:rsidR="0008159C" w:rsidRPr="004E2F24">
        <w:rPr>
          <w:rFonts w:cs="Arial"/>
          <w:color w:val="000000" w:themeColor="text1"/>
        </w:rPr>
        <w:t>Recogni</w:t>
      </w:r>
      <w:r w:rsidR="0008159C">
        <w:rPr>
          <w:rFonts w:cs="Arial"/>
          <w:color w:val="000000" w:themeColor="text1"/>
        </w:rPr>
        <w:t>s</w:t>
      </w:r>
      <w:r w:rsidR="0008159C" w:rsidRPr="004E2F24">
        <w:rPr>
          <w:rFonts w:cs="Arial"/>
          <w:color w:val="000000" w:themeColor="text1"/>
        </w:rPr>
        <w:t xml:space="preserve">ing </w:t>
      </w:r>
      <w:r w:rsidRPr="004E2F24">
        <w:rPr>
          <w:rFonts w:cs="Arial"/>
          <w:color w:val="000000" w:themeColor="text1"/>
        </w:rPr>
        <w:t>the Social and Economic Value of Transactional Law Clinics: A View from the United Kingdom, Journal of Legal Education 65, 580</w:t>
      </w:r>
    </w:p>
    <w:p w14:paraId="52102C23" w14:textId="77777777" w:rsidR="00AE67DC" w:rsidRDefault="00AE67DC" w:rsidP="006370E7">
      <w:pPr>
        <w:spacing w:after="100" w:afterAutospacing="1" w:line="360" w:lineRule="auto"/>
        <w:jc w:val="both"/>
        <w:rPr>
          <w:rFonts w:cs="Arial"/>
          <w:color w:val="000000" w:themeColor="text1"/>
        </w:rPr>
      </w:pPr>
      <w:r>
        <w:rPr>
          <w:rFonts w:cs="Arial"/>
          <w:color w:val="000000" w:themeColor="text1"/>
        </w:rPr>
        <w:t xml:space="preserve">Centre for Legal Education Conference, 2024. Accessed at: </w:t>
      </w:r>
      <w:hyperlink r:id="rId17" w:history="1">
        <w:r w:rsidRPr="002674AD">
          <w:rPr>
            <w:rStyle w:val="Hyperlink"/>
            <w:rFonts w:cs="Arial"/>
          </w:rPr>
          <w:t>https://www.ntu.ac.uk/about-us/events/events/2024/6/centre-for-legal-education-conference-2024</w:t>
        </w:r>
      </w:hyperlink>
      <w:r w:rsidRPr="002674AD">
        <w:rPr>
          <w:rFonts w:cs="Arial"/>
        </w:rPr>
        <w:t xml:space="preserve">   (13 August 25)</w:t>
      </w:r>
      <w:r w:rsidRPr="00CE386D">
        <w:rPr>
          <w:rFonts w:cs="Arial"/>
          <w:color w:val="000000" w:themeColor="text1"/>
        </w:rPr>
        <w:t xml:space="preserve"> </w:t>
      </w:r>
    </w:p>
    <w:p w14:paraId="517A1993" w14:textId="77777777" w:rsidR="00AE67DC" w:rsidRDefault="00AE67DC" w:rsidP="006370E7">
      <w:pPr>
        <w:spacing w:after="100" w:afterAutospacing="1" w:line="360" w:lineRule="auto"/>
        <w:jc w:val="both"/>
        <w:rPr>
          <w:rFonts w:cs="Arial"/>
          <w:color w:val="000000" w:themeColor="text1"/>
        </w:rPr>
      </w:pPr>
      <w:r w:rsidRPr="00E4793E">
        <w:rPr>
          <w:rFonts w:cs="Arial"/>
          <w:color w:val="000000" w:themeColor="text1"/>
        </w:rPr>
        <w:t>Charmaz, K. (2014). Grounded Theory in Global Perspective: Reviews by International Researchers. Qualitative Inquiry, 20</w:t>
      </w:r>
      <w:r>
        <w:rPr>
          <w:rFonts w:cs="Arial"/>
          <w:color w:val="000000" w:themeColor="text1"/>
        </w:rPr>
        <w:t>:9</w:t>
      </w:r>
      <w:r w:rsidRPr="00E4793E">
        <w:rPr>
          <w:rFonts w:cs="Arial"/>
          <w:color w:val="000000" w:themeColor="text1"/>
        </w:rPr>
        <w:t xml:space="preserve">, 1074-1084. </w:t>
      </w:r>
    </w:p>
    <w:p w14:paraId="5433F498" w14:textId="2AE1CA30" w:rsidR="00AE67DC" w:rsidRPr="002A5D37" w:rsidRDefault="00AE67DC" w:rsidP="006370E7">
      <w:pPr>
        <w:spacing w:after="100" w:afterAutospacing="1" w:line="360" w:lineRule="auto"/>
        <w:jc w:val="both"/>
        <w:rPr>
          <w:rFonts w:cs="Arial"/>
          <w:color w:val="000000" w:themeColor="text1"/>
        </w:rPr>
      </w:pPr>
      <w:r w:rsidRPr="002674AD">
        <w:rPr>
          <w:rFonts w:cs="Arial"/>
          <w:color w:val="000000" w:themeColor="text1"/>
        </w:rPr>
        <w:t>Clear, S., and Parker, M. (2019), A Model for Responding to UK and International Law Students’ Great(</w:t>
      </w:r>
      <w:r>
        <w:rPr>
          <w:rFonts w:cs="Arial"/>
          <w:color w:val="000000" w:themeColor="text1"/>
        </w:rPr>
        <w:t>e</w:t>
      </w:r>
      <w:r w:rsidRPr="002674AD">
        <w:rPr>
          <w:rFonts w:cs="Arial"/>
          <w:color w:val="000000" w:themeColor="text1"/>
        </w:rPr>
        <w:t>r) Expectations in Wales’ Internationalised Learning Environment, The Journal of Commonwealth Law and Legal Education, 13</w:t>
      </w:r>
    </w:p>
    <w:p w14:paraId="683B3D0A" w14:textId="1DC3EB2B"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Clegg, S. &amp; McAuley, J. (2005)</w:t>
      </w:r>
      <w:r w:rsidR="0008159C">
        <w:rPr>
          <w:rFonts w:cs="Arial"/>
          <w:color w:val="000000" w:themeColor="text1"/>
        </w:rPr>
        <w:t>.</w:t>
      </w:r>
      <w:r w:rsidRPr="0072740E">
        <w:rPr>
          <w:rFonts w:cs="Arial"/>
          <w:color w:val="000000" w:themeColor="text1"/>
        </w:rPr>
        <w:t xml:space="preserve"> Conceptualising Middle Management in Higher Education: A Multifaceted Discourse. Journal of Higher Education Policy and Management 27</w:t>
      </w:r>
      <w:r>
        <w:rPr>
          <w:rFonts w:cs="Arial"/>
          <w:color w:val="000000" w:themeColor="text1"/>
        </w:rPr>
        <w:t>:1</w:t>
      </w:r>
      <w:r w:rsidRPr="0072740E">
        <w:rPr>
          <w:rFonts w:cs="Arial"/>
          <w:color w:val="000000" w:themeColor="text1"/>
        </w:rPr>
        <w:t>, 19-34.</w:t>
      </w:r>
    </w:p>
    <w:p w14:paraId="43A18FF6" w14:textId="7E9ECC22"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Clegg</w:t>
      </w:r>
      <w:r>
        <w:rPr>
          <w:rFonts w:cs="Arial"/>
          <w:color w:val="000000" w:themeColor="text1"/>
        </w:rPr>
        <w:t>, S.</w:t>
      </w:r>
      <w:r w:rsidRPr="0072740E">
        <w:rPr>
          <w:rFonts w:cs="Arial"/>
          <w:color w:val="000000" w:themeColor="text1"/>
        </w:rPr>
        <w:t xml:space="preserve"> (2016)</w:t>
      </w:r>
      <w:r w:rsidR="0008159C">
        <w:rPr>
          <w:rFonts w:cs="Arial"/>
          <w:color w:val="000000" w:themeColor="text1"/>
        </w:rPr>
        <w:t>.</w:t>
      </w:r>
      <w:r w:rsidRPr="0072740E">
        <w:rPr>
          <w:rFonts w:cs="Arial"/>
          <w:color w:val="000000" w:themeColor="text1"/>
        </w:rPr>
        <w:t xml:space="preserve"> The necessity and possibility of powerful “regional” knowledge: curriculum change and renewal</w:t>
      </w:r>
      <w:r>
        <w:rPr>
          <w:rFonts w:cs="Arial"/>
          <w:color w:val="000000" w:themeColor="text1"/>
        </w:rPr>
        <w:t xml:space="preserve">, </w:t>
      </w:r>
      <w:r w:rsidRPr="0072740E">
        <w:rPr>
          <w:rFonts w:cs="Arial"/>
          <w:color w:val="000000" w:themeColor="text1"/>
        </w:rPr>
        <w:t xml:space="preserve">Teaching in </w:t>
      </w:r>
      <w:r w:rsidR="0008159C">
        <w:rPr>
          <w:rFonts w:cs="Arial"/>
          <w:color w:val="000000" w:themeColor="text1"/>
        </w:rPr>
        <w:t>H</w:t>
      </w:r>
      <w:r w:rsidR="0008159C" w:rsidRPr="0072740E">
        <w:rPr>
          <w:rFonts w:cs="Arial"/>
          <w:color w:val="000000" w:themeColor="text1"/>
        </w:rPr>
        <w:t xml:space="preserve">igher </w:t>
      </w:r>
      <w:r w:rsidR="0008159C">
        <w:rPr>
          <w:rFonts w:cs="Arial"/>
          <w:color w:val="000000" w:themeColor="text1"/>
        </w:rPr>
        <w:t>Education</w:t>
      </w:r>
      <w:r w:rsidRPr="0072740E">
        <w:rPr>
          <w:rFonts w:cs="Arial"/>
          <w:color w:val="000000" w:themeColor="text1"/>
        </w:rPr>
        <w:t>, 21</w:t>
      </w:r>
      <w:r>
        <w:rPr>
          <w:rFonts w:cs="Arial"/>
          <w:color w:val="000000" w:themeColor="text1"/>
        </w:rPr>
        <w:t>:4</w:t>
      </w:r>
      <w:r w:rsidRPr="0072740E">
        <w:rPr>
          <w:rFonts w:cs="Arial"/>
          <w:color w:val="000000" w:themeColor="text1"/>
        </w:rPr>
        <w:t xml:space="preserve">, 457–470. </w:t>
      </w:r>
    </w:p>
    <w:p w14:paraId="281C965A" w14:textId="77777777" w:rsidR="00AE67DC" w:rsidRDefault="00AE67DC" w:rsidP="006370E7">
      <w:pPr>
        <w:spacing w:after="100" w:afterAutospacing="1" w:line="360" w:lineRule="auto"/>
        <w:jc w:val="both"/>
        <w:rPr>
          <w:rFonts w:cs="Arial"/>
          <w:color w:val="000000" w:themeColor="text1"/>
        </w:rPr>
      </w:pPr>
      <w:r>
        <w:rPr>
          <w:rFonts w:cs="Arial"/>
          <w:color w:val="000000" w:themeColor="text1"/>
        </w:rPr>
        <w:t>Collier</w:t>
      </w:r>
      <w:r w:rsidRPr="0072740E">
        <w:rPr>
          <w:rFonts w:cs="Arial"/>
          <w:color w:val="000000" w:themeColor="text1"/>
        </w:rPr>
        <w:t>, R. (2004)</w:t>
      </w:r>
      <w:r>
        <w:rPr>
          <w:rFonts w:cs="Arial"/>
          <w:color w:val="000000" w:themeColor="text1"/>
        </w:rPr>
        <w:t>,</w:t>
      </w:r>
      <w:r w:rsidRPr="0072740E">
        <w:rPr>
          <w:rFonts w:cs="Arial"/>
          <w:color w:val="000000" w:themeColor="text1"/>
        </w:rPr>
        <w:t xml:space="preserve"> “We’re all socio-legal now?”: legal education, scholarship and the </w:t>
      </w:r>
      <w:r>
        <w:rPr>
          <w:rFonts w:cs="Arial"/>
          <w:color w:val="000000" w:themeColor="text1"/>
        </w:rPr>
        <w:t>‘</w:t>
      </w:r>
      <w:r w:rsidRPr="0072740E">
        <w:rPr>
          <w:rFonts w:cs="Arial"/>
          <w:color w:val="000000" w:themeColor="text1"/>
        </w:rPr>
        <w:t>global knowledge economy</w:t>
      </w:r>
      <w:r>
        <w:rPr>
          <w:rFonts w:cs="Arial"/>
          <w:color w:val="000000" w:themeColor="text1"/>
        </w:rPr>
        <w:t>’</w:t>
      </w:r>
      <w:r w:rsidRPr="0072740E">
        <w:rPr>
          <w:rFonts w:cs="Arial"/>
          <w:color w:val="000000" w:themeColor="text1"/>
        </w:rPr>
        <w:t xml:space="preserve"> - reflections on the UK experience</w:t>
      </w:r>
      <w:r>
        <w:rPr>
          <w:rFonts w:cs="Arial"/>
          <w:color w:val="000000" w:themeColor="text1"/>
        </w:rPr>
        <w:t xml:space="preserve">, </w:t>
      </w:r>
      <w:r w:rsidRPr="0072740E">
        <w:rPr>
          <w:rFonts w:cs="Arial"/>
          <w:color w:val="000000" w:themeColor="text1"/>
        </w:rPr>
        <w:t>The Sydney Law Review, 26</w:t>
      </w:r>
      <w:r>
        <w:rPr>
          <w:rFonts w:cs="Arial"/>
          <w:color w:val="000000" w:themeColor="text1"/>
        </w:rPr>
        <w:t>:4</w:t>
      </w:r>
      <w:r w:rsidRPr="0072740E">
        <w:rPr>
          <w:rFonts w:cs="Arial"/>
          <w:color w:val="000000" w:themeColor="text1"/>
        </w:rPr>
        <w:t>, 503–536.</w:t>
      </w:r>
    </w:p>
    <w:p w14:paraId="6BC0C732" w14:textId="77777777" w:rsidR="00AE67DC" w:rsidRPr="0072740E" w:rsidRDefault="00AE67DC" w:rsidP="006370E7">
      <w:pPr>
        <w:spacing w:after="100" w:afterAutospacing="1" w:line="360" w:lineRule="auto"/>
        <w:jc w:val="both"/>
        <w:rPr>
          <w:rFonts w:cs="Arial"/>
          <w:color w:val="000000" w:themeColor="text1"/>
        </w:rPr>
      </w:pPr>
      <w:r w:rsidRPr="00F5581F">
        <w:rPr>
          <w:rFonts w:cs="Arial"/>
          <w:color w:val="000000" w:themeColor="text1"/>
        </w:rPr>
        <w:t>Collier, R. (2005), The Liberal Law School, the Restructured University and the Paradox of Socio-Legal Studies, Modern Law Review 68, 475.</w:t>
      </w:r>
    </w:p>
    <w:p w14:paraId="5DA6B476" w14:textId="77777777" w:rsidR="00AE67DC" w:rsidRPr="0072740E" w:rsidRDefault="00AE67DC" w:rsidP="006370E7">
      <w:pPr>
        <w:spacing w:after="100" w:afterAutospacing="1" w:line="360" w:lineRule="auto"/>
        <w:jc w:val="both"/>
        <w:rPr>
          <w:rFonts w:cs="Arial"/>
          <w:color w:val="000000" w:themeColor="text1"/>
        </w:rPr>
      </w:pPr>
      <w:r>
        <w:rPr>
          <w:rFonts w:cs="Arial"/>
          <w:color w:val="000000" w:themeColor="text1"/>
        </w:rPr>
        <w:lastRenderedPageBreak/>
        <w:t>Collier</w:t>
      </w:r>
      <w:r w:rsidRPr="0072740E">
        <w:rPr>
          <w:rFonts w:cs="Arial"/>
          <w:color w:val="000000" w:themeColor="text1"/>
        </w:rPr>
        <w:t xml:space="preserve">, R. (2020). </w:t>
      </w:r>
      <w:r>
        <w:rPr>
          <w:rFonts w:cs="Arial"/>
          <w:color w:val="000000" w:themeColor="text1"/>
        </w:rPr>
        <w:t>‘</w:t>
      </w:r>
      <w:r w:rsidRPr="0072740E">
        <w:rPr>
          <w:rFonts w:cs="Arial"/>
          <w:color w:val="000000" w:themeColor="text1"/>
        </w:rPr>
        <w:t>Left Pessimists’ in ‘Rose Coloured Glasses’? Reflections on the Political Economy of Socio</w:t>
      </w:r>
      <w:r w:rsidRPr="0072740E">
        <w:rPr>
          <w:rFonts w:ascii="Cambria Math" w:hAnsi="Cambria Math" w:cs="Cambria Math"/>
          <w:color w:val="000000" w:themeColor="text1"/>
        </w:rPr>
        <w:t>‐</w:t>
      </w:r>
      <w:r w:rsidRPr="0072740E">
        <w:rPr>
          <w:rFonts w:cs="Arial"/>
          <w:color w:val="000000" w:themeColor="text1"/>
        </w:rPr>
        <w:t>Legal Studies and (Legal) Academic Well</w:t>
      </w:r>
      <w:r w:rsidRPr="0072740E">
        <w:rPr>
          <w:rFonts w:ascii="Cambria Math" w:hAnsi="Cambria Math" w:cs="Cambria Math"/>
          <w:color w:val="000000" w:themeColor="text1"/>
        </w:rPr>
        <w:t>‐</w:t>
      </w:r>
      <w:r w:rsidRPr="0072740E">
        <w:rPr>
          <w:rFonts w:cs="Arial"/>
          <w:color w:val="000000" w:themeColor="text1"/>
        </w:rPr>
        <w:t>Being. Journal of Law and Society, 4</w:t>
      </w:r>
      <w:r>
        <w:rPr>
          <w:rFonts w:cs="Arial"/>
          <w:color w:val="000000" w:themeColor="text1"/>
        </w:rPr>
        <w:t>7:S2</w:t>
      </w:r>
      <w:r w:rsidRPr="0072740E">
        <w:rPr>
          <w:rFonts w:cs="Arial"/>
          <w:color w:val="000000" w:themeColor="text1"/>
        </w:rPr>
        <w:t xml:space="preserve">, </w:t>
      </w:r>
      <w:r>
        <w:rPr>
          <w:rFonts w:cs="Arial"/>
          <w:color w:val="000000" w:themeColor="text1"/>
        </w:rPr>
        <w:t>S</w:t>
      </w:r>
      <w:r w:rsidRPr="0072740E">
        <w:rPr>
          <w:rFonts w:cs="Arial"/>
          <w:color w:val="000000" w:themeColor="text1"/>
        </w:rPr>
        <w:t xml:space="preserve">244–S261. </w:t>
      </w:r>
    </w:p>
    <w:p w14:paraId="5F65F0E7" w14:textId="664785B9"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Cownie, F. (2000)</w:t>
      </w:r>
      <w:r w:rsidR="0008159C">
        <w:rPr>
          <w:rFonts w:cs="Arial"/>
          <w:color w:val="000000" w:themeColor="text1"/>
        </w:rPr>
        <w:t>.</w:t>
      </w:r>
      <w:r w:rsidRPr="0072740E">
        <w:rPr>
          <w:rFonts w:cs="Arial"/>
          <w:color w:val="000000" w:themeColor="text1"/>
        </w:rPr>
        <w:t xml:space="preserve"> The importance of theory in law teaching, International Journal of the Legal Profession, 7:3, 225-238.</w:t>
      </w:r>
    </w:p>
    <w:p w14:paraId="64D7A62E" w14:textId="68AEBB90"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Cownie, F. (2004)</w:t>
      </w:r>
      <w:r w:rsidR="0008159C">
        <w:rPr>
          <w:rFonts w:cs="Arial"/>
          <w:color w:val="000000" w:themeColor="text1"/>
        </w:rPr>
        <w:t>.</w:t>
      </w:r>
      <w:r w:rsidRPr="0072740E">
        <w:rPr>
          <w:rFonts w:cs="Arial"/>
          <w:color w:val="000000" w:themeColor="text1"/>
        </w:rPr>
        <w:t xml:space="preserve"> Legal Academics: Culture and Identities. 1st ed. Oxford; Portland, Oregon: Hart Publishing. </w:t>
      </w:r>
    </w:p>
    <w:p w14:paraId="400F31DD" w14:textId="0AE21BF5" w:rsidR="00AE67DC" w:rsidRDefault="00AE67DC" w:rsidP="006370E7">
      <w:pPr>
        <w:spacing w:after="100" w:afterAutospacing="1" w:line="360" w:lineRule="auto"/>
        <w:jc w:val="both"/>
        <w:rPr>
          <w:rFonts w:cs="Arial"/>
          <w:color w:val="000000" w:themeColor="text1"/>
        </w:rPr>
      </w:pPr>
      <w:r w:rsidRPr="00A81DEB">
        <w:rPr>
          <w:rFonts w:cs="Arial"/>
          <w:color w:val="000000" w:themeColor="text1"/>
        </w:rPr>
        <w:t>Cownie, F (2025), ‘Comparative legal education’</w:t>
      </w:r>
      <w:r w:rsidR="0008159C">
        <w:rPr>
          <w:rFonts w:cs="Arial"/>
          <w:color w:val="000000" w:themeColor="text1"/>
        </w:rPr>
        <w:t>.</w:t>
      </w:r>
      <w:r w:rsidRPr="00A81DEB">
        <w:rPr>
          <w:rFonts w:cs="Arial"/>
          <w:color w:val="000000" w:themeColor="text1"/>
        </w:rPr>
        <w:t xml:space="preserve"> In Cownie, F., Bradney, A. and Jones, E. (Eds.) Elgar concise encyclopaedia of legal education, Edward Elgar Publishing. Pg. 91</w:t>
      </w:r>
    </w:p>
    <w:p w14:paraId="6367BB8B" w14:textId="7EB4D917" w:rsidR="00E048DE" w:rsidRDefault="00E048DE" w:rsidP="006370E7">
      <w:pPr>
        <w:spacing w:after="100" w:afterAutospacing="1" w:line="360" w:lineRule="auto"/>
        <w:jc w:val="both"/>
        <w:rPr>
          <w:rFonts w:cs="Arial"/>
          <w:color w:val="000000" w:themeColor="text1"/>
        </w:rPr>
      </w:pPr>
      <w:r w:rsidRPr="00BD5A18">
        <w:rPr>
          <w:rFonts w:cs="Arial"/>
          <w:color w:val="000000" w:themeColor="text1"/>
        </w:rPr>
        <w:t xml:space="preserve">Cownie, F., Bradney, A. and Jones, E. (Eds.) (2025), Elgar </w:t>
      </w:r>
      <w:r>
        <w:rPr>
          <w:rFonts w:cs="Arial"/>
          <w:color w:val="000000" w:themeColor="text1"/>
        </w:rPr>
        <w:t>c</w:t>
      </w:r>
      <w:r w:rsidRPr="00BD5A18">
        <w:rPr>
          <w:rFonts w:cs="Arial"/>
          <w:color w:val="000000" w:themeColor="text1"/>
        </w:rPr>
        <w:t>oncise encyclopaedia of legal education, Edward Elgar Publishing.</w:t>
      </w:r>
    </w:p>
    <w:p w14:paraId="21F8CE7E" w14:textId="68C399F5" w:rsidR="00AE67DC" w:rsidRDefault="00AE67DC" w:rsidP="006370E7">
      <w:pPr>
        <w:spacing w:after="100" w:afterAutospacing="1" w:line="360" w:lineRule="auto"/>
        <w:jc w:val="both"/>
        <w:rPr>
          <w:rFonts w:cs="Arial"/>
          <w:color w:val="000000" w:themeColor="text1"/>
        </w:rPr>
      </w:pPr>
      <w:r w:rsidRPr="00006260">
        <w:rPr>
          <w:rFonts w:cs="Arial"/>
          <w:color w:val="000000" w:themeColor="text1"/>
        </w:rPr>
        <w:t>Creswell, J.W. (201</w:t>
      </w:r>
      <w:r>
        <w:rPr>
          <w:rFonts w:cs="Arial"/>
          <w:color w:val="000000" w:themeColor="text1"/>
        </w:rPr>
        <w:t>8</w:t>
      </w:r>
      <w:r w:rsidRPr="00006260">
        <w:rPr>
          <w:rFonts w:cs="Arial"/>
          <w:color w:val="000000" w:themeColor="text1"/>
        </w:rPr>
        <w:t>)</w:t>
      </w:r>
      <w:r w:rsidR="0008159C">
        <w:rPr>
          <w:rFonts w:cs="Arial"/>
          <w:color w:val="000000" w:themeColor="text1"/>
        </w:rPr>
        <w:t>.</w:t>
      </w:r>
      <w:r w:rsidRPr="00006260">
        <w:rPr>
          <w:rFonts w:cs="Arial"/>
          <w:color w:val="000000" w:themeColor="text1"/>
        </w:rPr>
        <w:t xml:space="preserve"> Educational research planning, conducting, and evaluating quantitative and qualitative research. </w:t>
      </w:r>
      <w:r>
        <w:rPr>
          <w:rFonts w:cs="Arial"/>
          <w:color w:val="000000" w:themeColor="text1"/>
        </w:rPr>
        <w:t>Sixth</w:t>
      </w:r>
      <w:r w:rsidRPr="00006260">
        <w:rPr>
          <w:rFonts w:cs="Arial"/>
          <w:color w:val="000000" w:themeColor="text1"/>
        </w:rPr>
        <w:t xml:space="preserve"> edition. Harlow, Essex: Pearson.</w:t>
      </w:r>
    </w:p>
    <w:p w14:paraId="61167E21" w14:textId="2D0A36A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Croxford, L., &amp; Raffe, D. (2015)</w:t>
      </w:r>
      <w:r w:rsidR="0008159C">
        <w:rPr>
          <w:rFonts w:cs="Arial"/>
          <w:color w:val="000000" w:themeColor="text1"/>
        </w:rPr>
        <w:t>.</w:t>
      </w:r>
      <w:r w:rsidRPr="0072740E">
        <w:rPr>
          <w:rFonts w:cs="Arial"/>
          <w:color w:val="000000" w:themeColor="text1"/>
        </w:rPr>
        <w:t xml:space="preserve"> The Iron Law of Hierarchy? Institutional Differentiation in UK Higher Education. Studies in </w:t>
      </w:r>
      <w:r>
        <w:rPr>
          <w:rFonts w:cs="Arial"/>
          <w:color w:val="000000" w:themeColor="text1"/>
        </w:rPr>
        <w:t>H</w:t>
      </w:r>
      <w:r w:rsidRPr="0072740E">
        <w:rPr>
          <w:rFonts w:cs="Arial"/>
          <w:color w:val="000000" w:themeColor="text1"/>
        </w:rPr>
        <w:t xml:space="preserve">igher </w:t>
      </w:r>
      <w:r>
        <w:rPr>
          <w:rFonts w:cs="Arial"/>
          <w:color w:val="000000" w:themeColor="text1"/>
        </w:rPr>
        <w:t>E</w:t>
      </w:r>
      <w:r w:rsidRPr="0072740E">
        <w:rPr>
          <w:rFonts w:cs="Arial"/>
          <w:color w:val="000000" w:themeColor="text1"/>
        </w:rPr>
        <w:t>ducation 40</w:t>
      </w:r>
      <w:r>
        <w:rPr>
          <w:rFonts w:cs="Arial"/>
          <w:color w:val="000000" w:themeColor="text1"/>
        </w:rPr>
        <w:t>:9</w:t>
      </w:r>
    </w:p>
    <w:p w14:paraId="36F1A755" w14:textId="77777777" w:rsidR="00AE67DC" w:rsidRPr="00AD7FBD" w:rsidRDefault="00AE67DC" w:rsidP="006370E7">
      <w:pPr>
        <w:spacing w:after="100" w:afterAutospacing="1" w:line="360" w:lineRule="auto"/>
        <w:jc w:val="both"/>
        <w:rPr>
          <w:rFonts w:cs="Arial"/>
          <w:color w:val="000000" w:themeColor="text1"/>
        </w:rPr>
      </w:pPr>
      <w:r w:rsidRPr="0072740E">
        <w:rPr>
          <w:rFonts w:cs="Arial"/>
          <w:color w:val="000000" w:themeColor="text1"/>
        </w:rPr>
        <w:t>Daniel, B. K., &amp; Harland, T. (2017). Higher Education Research Methodology: A Step-</w:t>
      </w:r>
      <w:r w:rsidRPr="00AD7FBD">
        <w:rPr>
          <w:rFonts w:cs="Arial"/>
          <w:color w:val="000000" w:themeColor="text1"/>
        </w:rPr>
        <w:t>By-Step Guide to the Research Process. (1st ed.). Routledge.</w:t>
      </w:r>
    </w:p>
    <w:p w14:paraId="6FAD3E91" w14:textId="77777777" w:rsidR="00AE67DC" w:rsidRPr="0072740E" w:rsidRDefault="00AE67DC" w:rsidP="006370E7">
      <w:pPr>
        <w:spacing w:after="100" w:afterAutospacing="1" w:line="360" w:lineRule="auto"/>
        <w:jc w:val="both"/>
        <w:rPr>
          <w:rFonts w:cs="Arial"/>
          <w:color w:val="000000" w:themeColor="text1"/>
        </w:rPr>
      </w:pPr>
      <w:r w:rsidRPr="00AD7FBD">
        <w:rPr>
          <w:rFonts w:cs="Arial"/>
          <w:color w:val="000000" w:themeColor="text1"/>
        </w:rPr>
        <w:t xml:space="preserve">Dickinson, J., Fowler, A., &amp; Griffiths, T.-L. (2022). Pracademics? Exploring transitions and professional identities in higher education. Studies in Higher Education 47:2, 290–304. </w:t>
      </w:r>
    </w:p>
    <w:p w14:paraId="644646F2" w14:textId="7DED0BD9"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Donald, J. (2008)</w:t>
      </w:r>
      <w:r w:rsidR="0008159C">
        <w:rPr>
          <w:rFonts w:cs="Arial"/>
          <w:color w:val="000000" w:themeColor="text1"/>
        </w:rPr>
        <w:t>.</w:t>
      </w:r>
      <w:r w:rsidRPr="0072740E">
        <w:rPr>
          <w:rFonts w:cs="Arial"/>
          <w:color w:val="000000" w:themeColor="text1"/>
        </w:rPr>
        <w:t xml:space="preserve"> ‘The Commons: Disciplinary and Interdisciplinary Encounters.’ in Kreber, C (ed). The university and its disciplines teaching and learning within and beyond disciplinary boundaries. London: Routledge.</w:t>
      </w:r>
    </w:p>
    <w:p w14:paraId="771C9EEF"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Donnelly, M., Abbas, A., Huisman, J., &amp; Tight, M. (2018). Using the Sociology of Basil Bernstein in Higher Education Research. In Theory and Method in Higher Education Research (Vol. 4, pp. 1–17). Emerald Publishing Limited. </w:t>
      </w:r>
    </w:p>
    <w:p w14:paraId="200A1BAE"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Driessen, E., &amp; Van Der Vleuten, C. (2000). Matching Student Assessment to Problem-based Learning: Lessons from experience in a law faculty. Studies in Continuing Education, 22</w:t>
      </w:r>
      <w:r>
        <w:rPr>
          <w:rFonts w:cs="Arial"/>
          <w:color w:val="000000" w:themeColor="text1"/>
        </w:rPr>
        <w:t>:2</w:t>
      </w:r>
      <w:r w:rsidRPr="0072740E">
        <w:rPr>
          <w:rFonts w:cs="Arial"/>
          <w:color w:val="000000" w:themeColor="text1"/>
        </w:rPr>
        <w:t xml:space="preserve">, 235–248. </w:t>
      </w:r>
    </w:p>
    <w:p w14:paraId="3ED4A892" w14:textId="774CB11D"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Duffin, M. (2025)</w:t>
      </w:r>
      <w:r w:rsidR="0008159C">
        <w:rPr>
          <w:rFonts w:cs="Arial"/>
          <w:color w:val="000000" w:themeColor="text1"/>
        </w:rPr>
        <w:t>.</w:t>
      </w:r>
      <w:r w:rsidRPr="0072740E">
        <w:rPr>
          <w:rFonts w:cs="Arial"/>
          <w:color w:val="000000" w:themeColor="text1"/>
        </w:rPr>
        <w:t xml:space="preserve"> Is the SQE passing the diversity test? Legal Cheek 28/5/25 Accessed: </w:t>
      </w:r>
      <w:hyperlink r:id="rId18" w:history="1">
        <w:r w:rsidRPr="00A25045">
          <w:rPr>
            <w:rStyle w:val="Hyperlink"/>
            <w:rFonts w:cs="Arial"/>
          </w:rPr>
          <w:t>https://www.legalcheek.com/lc-careers-posts/is-sqe-passing-the-diversity-test/</w:t>
        </w:r>
      </w:hyperlink>
    </w:p>
    <w:p w14:paraId="7F53B204" w14:textId="344919B4" w:rsidR="00AE67DC" w:rsidRPr="0072740E" w:rsidRDefault="00AE67DC" w:rsidP="006370E7">
      <w:pPr>
        <w:spacing w:after="100" w:afterAutospacing="1" w:line="360" w:lineRule="auto"/>
        <w:jc w:val="both"/>
        <w:rPr>
          <w:rFonts w:cs="Arial"/>
          <w:color w:val="000000" w:themeColor="text1"/>
        </w:rPr>
      </w:pPr>
      <w:r w:rsidRPr="0084718F">
        <w:rPr>
          <w:rFonts w:cs="Arial"/>
          <w:color w:val="000000" w:themeColor="text1"/>
        </w:rPr>
        <w:t>Dunn, R.A., Maharg, P. and Roper, V. (2022)</w:t>
      </w:r>
      <w:r w:rsidR="0008159C">
        <w:rPr>
          <w:rFonts w:cs="Arial"/>
          <w:color w:val="000000" w:themeColor="text1"/>
        </w:rPr>
        <w:t>.</w:t>
      </w:r>
      <w:r w:rsidRPr="0084718F">
        <w:rPr>
          <w:rFonts w:cs="Arial"/>
          <w:color w:val="000000" w:themeColor="text1"/>
        </w:rPr>
        <w:t> What is legal education for? Re-assessing the purposes of early twenty-first century learning and law schools. Abingdon; Routledge.</w:t>
      </w:r>
    </w:p>
    <w:p w14:paraId="48E14082" w14:textId="600F984C"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Durkheim, E. (1977). The evolution of pedagogic thought, London</w:t>
      </w:r>
      <w:r w:rsidR="0008159C">
        <w:rPr>
          <w:rFonts w:cs="Arial"/>
          <w:color w:val="000000" w:themeColor="text1"/>
        </w:rPr>
        <w:t>:</w:t>
      </w:r>
      <w:r w:rsidRPr="0072740E">
        <w:rPr>
          <w:rFonts w:cs="Arial"/>
          <w:color w:val="000000" w:themeColor="text1"/>
        </w:rPr>
        <w:t xml:space="preserve"> Routledge.</w:t>
      </w:r>
    </w:p>
    <w:p w14:paraId="04749B37" w14:textId="0E2074F9"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Dutt, D. D.C.S., Carr, S.E., Scott, T.M., Petsoglou, C., Grigg, J., and Razavi, H., (2023)</w:t>
      </w:r>
      <w:r w:rsidR="0008159C">
        <w:rPr>
          <w:rFonts w:cs="Arial"/>
          <w:color w:val="000000" w:themeColor="text1"/>
        </w:rPr>
        <w:t>.</w:t>
      </w:r>
      <w:r w:rsidRPr="0072740E">
        <w:rPr>
          <w:rFonts w:cs="Arial"/>
          <w:color w:val="000000" w:themeColor="text1"/>
        </w:rPr>
        <w:t xml:space="preserve"> Educators’ Consideration of Learner Motivation in Ophthalmology Education in Medical School: Influen</w:t>
      </w:r>
      <w:r w:rsidRPr="002E1B1B">
        <w:rPr>
          <w:rFonts w:cs="Arial"/>
          <w:color w:val="000000" w:themeColor="text1"/>
        </w:rPr>
        <w:t>ces on Teaching Practice and Course Design.</w:t>
      </w:r>
      <w:r>
        <w:rPr>
          <w:rFonts w:cs="Arial"/>
          <w:color w:val="000000" w:themeColor="text1"/>
        </w:rPr>
        <w:t xml:space="preserve"> Medical Teacher, 46:3, 387-398 </w:t>
      </w:r>
      <w:r w:rsidRPr="002E1B1B">
        <w:rPr>
          <w:rFonts w:cs="Arial"/>
          <w:color w:val="000000" w:themeColor="text1"/>
        </w:rPr>
        <w:t xml:space="preserve"> </w:t>
      </w:r>
    </w:p>
    <w:p w14:paraId="0873343F" w14:textId="2E80EF01"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Ferris, G. </w:t>
      </w:r>
      <w:r>
        <w:rPr>
          <w:rFonts w:cs="Arial"/>
          <w:color w:val="000000" w:themeColor="text1"/>
        </w:rPr>
        <w:t>(2015)</w:t>
      </w:r>
      <w:r w:rsidR="0008159C">
        <w:rPr>
          <w:rFonts w:cs="Arial"/>
          <w:color w:val="000000" w:themeColor="text1"/>
        </w:rPr>
        <w:t>.</w:t>
      </w:r>
      <w:r>
        <w:rPr>
          <w:rFonts w:cs="Arial"/>
          <w:color w:val="000000" w:themeColor="text1"/>
        </w:rPr>
        <w:t xml:space="preserve"> </w:t>
      </w:r>
      <w:r w:rsidRPr="0072740E">
        <w:rPr>
          <w:rFonts w:cs="Arial"/>
          <w:color w:val="000000" w:themeColor="text1"/>
        </w:rPr>
        <w:t>Uses of Values in Legal Education, Cambridge, United Kingdom</w:t>
      </w:r>
      <w:r>
        <w:rPr>
          <w:rFonts w:cs="Arial"/>
          <w:color w:val="000000" w:themeColor="text1"/>
        </w:rPr>
        <w:t>.</w:t>
      </w:r>
    </w:p>
    <w:p w14:paraId="46A80F41" w14:textId="3189814E"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Flick, U. (2022)</w:t>
      </w:r>
      <w:r w:rsidR="0008159C">
        <w:rPr>
          <w:rFonts w:cs="Arial"/>
          <w:color w:val="000000" w:themeColor="text1"/>
        </w:rPr>
        <w:t>.</w:t>
      </w:r>
      <w:r w:rsidRPr="0072740E">
        <w:rPr>
          <w:rFonts w:cs="Arial"/>
          <w:color w:val="000000" w:themeColor="text1"/>
        </w:rPr>
        <w:t xml:space="preserve"> The SAGE Handbook of Qualitative Research Design. 1st ed. London: SAGE Publications, Limited.</w:t>
      </w:r>
    </w:p>
    <w:p w14:paraId="385E1D8F" w14:textId="77777777" w:rsidR="00AE67DC" w:rsidRDefault="00AE67DC" w:rsidP="006370E7">
      <w:pPr>
        <w:spacing w:after="100" w:afterAutospacing="1" w:line="360" w:lineRule="auto"/>
        <w:jc w:val="both"/>
        <w:rPr>
          <w:rFonts w:cs="Arial"/>
          <w:color w:val="000000" w:themeColor="text1"/>
        </w:rPr>
      </w:pPr>
      <w:r w:rsidRPr="00AD7FBD">
        <w:rPr>
          <w:rFonts w:cs="Arial"/>
          <w:color w:val="000000" w:themeColor="text1"/>
        </w:rPr>
        <w:t>Feenan, D. (2013</w:t>
      </w:r>
      <w:r w:rsidRPr="003E4A97">
        <w:rPr>
          <w:rFonts w:cs="Arial"/>
          <w:b/>
          <w:bCs/>
          <w:color w:val="000000" w:themeColor="text1"/>
        </w:rPr>
        <w:t xml:space="preserve"> </w:t>
      </w:r>
      <w:r w:rsidRPr="00AD7FBD">
        <w:rPr>
          <w:rFonts w:cs="Arial"/>
          <w:color w:val="000000" w:themeColor="text1"/>
        </w:rPr>
        <w:t xml:space="preserve">Exploring the “Socio” of Socio-Legal Studies (1st ed.). Palgrave Macmillan Limited. </w:t>
      </w:r>
    </w:p>
    <w:p w14:paraId="0DA0D4D6" w14:textId="640FC49C"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Fielding, M. (2004)</w:t>
      </w:r>
      <w:r w:rsidR="0008159C">
        <w:rPr>
          <w:rFonts w:cs="Arial"/>
          <w:color w:val="000000" w:themeColor="text1"/>
        </w:rPr>
        <w:t>.</w:t>
      </w:r>
      <w:r w:rsidRPr="0072740E">
        <w:rPr>
          <w:rFonts w:cs="Arial"/>
          <w:color w:val="000000" w:themeColor="text1"/>
        </w:rPr>
        <w:t xml:space="preserve"> Transformative Approaches to Student Voice: Theoretical Underpinnings, Recalcitrant Realities. British Educational Research Journal 30:</w:t>
      </w:r>
      <w:r>
        <w:rPr>
          <w:rFonts w:cs="Arial"/>
          <w:color w:val="000000" w:themeColor="text1"/>
        </w:rPr>
        <w:t>2,</w:t>
      </w:r>
      <w:r w:rsidRPr="0072740E">
        <w:rPr>
          <w:rFonts w:cs="Arial"/>
          <w:color w:val="000000" w:themeColor="text1"/>
        </w:rPr>
        <w:t xml:space="preserve"> 295.</w:t>
      </w:r>
    </w:p>
    <w:p w14:paraId="6E11E01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Fielding, M. (2011). </w:t>
      </w:r>
      <w:r>
        <w:rPr>
          <w:rFonts w:cs="Arial"/>
          <w:color w:val="000000" w:themeColor="text1"/>
        </w:rPr>
        <w:t>‘</w:t>
      </w:r>
      <w:r w:rsidRPr="0072740E">
        <w:rPr>
          <w:rFonts w:cs="Arial"/>
          <w:color w:val="000000" w:themeColor="text1"/>
        </w:rPr>
        <w:t>Patterns of partnership: Student voice, intergenerational learning and democratic fellowship</w:t>
      </w:r>
      <w:r>
        <w:rPr>
          <w:rFonts w:cs="Arial"/>
          <w:color w:val="000000" w:themeColor="text1"/>
        </w:rPr>
        <w:t>’</w:t>
      </w:r>
      <w:r w:rsidRPr="0072740E">
        <w:rPr>
          <w:rFonts w:cs="Arial"/>
          <w:color w:val="000000" w:themeColor="text1"/>
        </w:rPr>
        <w:t>. In N. Mockler &amp; J. Sachs (Eds.), Rethinking educational practice through reflexive inquiry (pp. 61–75). Dordrecht: Springer Netherlands</w:t>
      </w:r>
      <w:r w:rsidRPr="00CE386D">
        <w:rPr>
          <w:rFonts w:cs="Arial"/>
          <w:color w:val="000000" w:themeColor="text1"/>
        </w:rPr>
        <w:t xml:space="preserve"> </w:t>
      </w:r>
    </w:p>
    <w:p w14:paraId="3ECDF392" w14:textId="7BDF79B5"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Flood, J. </w:t>
      </w:r>
      <w:r>
        <w:rPr>
          <w:rFonts w:cs="Arial"/>
          <w:color w:val="000000" w:themeColor="text1"/>
        </w:rPr>
        <w:t>(</w:t>
      </w:r>
      <w:r w:rsidRPr="0072740E">
        <w:rPr>
          <w:rFonts w:cs="Arial"/>
          <w:color w:val="000000" w:themeColor="text1"/>
        </w:rPr>
        <w:t>2011</w:t>
      </w:r>
      <w:r>
        <w:rPr>
          <w:rFonts w:cs="Arial"/>
          <w:color w:val="000000" w:themeColor="text1"/>
        </w:rPr>
        <w:t>)</w:t>
      </w:r>
      <w:r w:rsidRPr="0072740E">
        <w:rPr>
          <w:rFonts w:cs="Arial"/>
          <w:color w:val="000000" w:themeColor="text1"/>
        </w:rPr>
        <w:t xml:space="preserve">. Legal education in the global context: challenges from </w:t>
      </w:r>
      <w:r w:rsidR="0008159C" w:rsidRPr="0072740E">
        <w:rPr>
          <w:rFonts w:cs="Arial"/>
          <w:color w:val="000000" w:themeColor="text1"/>
        </w:rPr>
        <w:t>globali</w:t>
      </w:r>
      <w:r w:rsidR="0008159C">
        <w:rPr>
          <w:rFonts w:cs="Arial"/>
          <w:color w:val="000000" w:themeColor="text1"/>
        </w:rPr>
        <w:t>s</w:t>
      </w:r>
      <w:r w:rsidR="0008159C" w:rsidRPr="0072740E">
        <w:rPr>
          <w:rFonts w:cs="Arial"/>
          <w:color w:val="000000" w:themeColor="text1"/>
        </w:rPr>
        <w:t>ation</w:t>
      </w:r>
      <w:r w:rsidRPr="0072740E">
        <w:rPr>
          <w:rFonts w:cs="Arial"/>
          <w:color w:val="000000" w:themeColor="text1"/>
        </w:rPr>
        <w:t xml:space="preserve">, technology and changes in government regulation. Legal Services Board. Accessed </w:t>
      </w:r>
      <w:r w:rsidRPr="00AD7FBD">
        <w:rPr>
          <w:rFonts w:cs="Arial"/>
          <w:color w:val="000000" w:themeColor="text1"/>
        </w:rPr>
        <w:t xml:space="preserve">at: </w:t>
      </w:r>
      <w:hyperlink r:id="rId19" w:history="1">
        <w:r w:rsidRPr="00AD7FBD">
          <w:rPr>
            <w:rFonts w:cs="Arial"/>
            <w:color w:val="000000" w:themeColor="text1"/>
          </w:rPr>
          <w:t>https://www.legalservicesboard.org.uk/wp-content/media/International-legal-education.pdf (10</w:t>
        </w:r>
      </w:hyperlink>
      <w:r w:rsidRPr="00AD7FBD">
        <w:rPr>
          <w:rFonts w:cs="Arial"/>
          <w:color w:val="000000" w:themeColor="text1"/>
        </w:rPr>
        <w:t xml:space="preserve"> Jul 25)</w:t>
      </w:r>
    </w:p>
    <w:p w14:paraId="7E060A91" w14:textId="77777777" w:rsidR="00AE67DC" w:rsidRPr="00CE386D" w:rsidRDefault="00AE67DC" w:rsidP="006370E7">
      <w:pPr>
        <w:spacing w:after="100" w:afterAutospacing="1" w:line="360" w:lineRule="auto"/>
        <w:jc w:val="both"/>
        <w:rPr>
          <w:rFonts w:cs="Arial"/>
          <w:color w:val="000000" w:themeColor="text1"/>
        </w:rPr>
      </w:pPr>
      <w:r w:rsidRPr="003E4A97">
        <w:rPr>
          <w:rFonts w:cs="Arial"/>
          <w:b/>
          <w:bCs/>
          <w:color w:val="000000" w:themeColor="text1"/>
        </w:rPr>
        <w:t xml:space="preserve"> </w:t>
      </w:r>
      <w:r w:rsidRPr="0072740E">
        <w:rPr>
          <w:rFonts w:cs="Arial"/>
          <w:color w:val="000000" w:themeColor="text1"/>
        </w:rPr>
        <w:t>Frank, J. (1933). Why not a clinical lawyer-school? University of Pennsylvania Law Review, 8</w:t>
      </w:r>
      <w:r>
        <w:rPr>
          <w:rFonts w:cs="Arial"/>
          <w:color w:val="000000" w:themeColor="text1"/>
        </w:rPr>
        <w:t>1:8,</w:t>
      </w:r>
      <w:r w:rsidRPr="0072740E">
        <w:rPr>
          <w:rFonts w:cs="Arial"/>
          <w:color w:val="000000" w:themeColor="text1"/>
        </w:rPr>
        <w:t xml:space="preserve"> 907.</w:t>
      </w:r>
      <w:r w:rsidRPr="00DE4B06">
        <w:rPr>
          <w:rFonts w:cs="Arial"/>
          <w:b/>
          <w:bCs/>
          <w:color w:val="000000" w:themeColor="text1"/>
        </w:rPr>
        <w:t xml:space="preserve"> </w:t>
      </w:r>
    </w:p>
    <w:p w14:paraId="48D05768" w14:textId="32F0530B" w:rsidR="00AE67DC" w:rsidRPr="003E4A97" w:rsidRDefault="00AE67DC" w:rsidP="006370E7">
      <w:pPr>
        <w:spacing w:after="100" w:afterAutospacing="1" w:line="360" w:lineRule="auto"/>
        <w:rPr>
          <w:rFonts w:cs="Arial"/>
          <w:color w:val="000000" w:themeColor="text1"/>
        </w:rPr>
      </w:pPr>
      <w:r w:rsidRPr="003E4A97">
        <w:rPr>
          <w:rFonts w:cs="Arial"/>
          <w:color w:val="000000" w:themeColor="text1"/>
        </w:rPr>
        <w:t>Freire, P., Shor, I., Macedo,</w:t>
      </w:r>
      <w:r w:rsidR="0008159C">
        <w:rPr>
          <w:rFonts w:cs="Arial"/>
          <w:color w:val="000000" w:themeColor="text1"/>
        </w:rPr>
        <w:t xml:space="preserve"> </w:t>
      </w:r>
      <w:r w:rsidRPr="003E4A97">
        <w:rPr>
          <w:rFonts w:cs="Arial"/>
          <w:color w:val="000000" w:themeColor="text1"/>
        </w:rPr>
        <w:t>D.P., and Ramos, M.B. (2018)</w:t>
      </w:r>
      <w:r w:rsidR="0008159C">
        <w:rPr>
          <w:rFonts w:cs="Arial"/>
          <w:color w:val="000000" w:themeColor="text1"/>
        </w:rPr>
        <w:t>.</w:t>
      </w:r>
      <w:r w:rsidRPr="003E4A97">
        <w:rPr>
          <w:rFonts w:cs="Arial"/>
          <w:color w:val="000000" w:themeColor="text1"/>
        </w:rPr>
        <w:t xml:space="preserve"> Pedagogy of the Oppressed. Fiftieth Anniversary ed. </w:t>
      </w:r>
      <w:r>
        <w:rPr>
          <w:rFonts w:cs="Arial"/>
          <w:color w:val="000000" w:themeColor="text1"/>
        </w:rPr>
        <w:t>(</w:t>
      </w:r>
      <w:r w:rsidRPr="003E4A97">
        <w:rPr>
          <w:rFonts w:cs="Arial"/>
          <w:color w:val="000000" w:themeColor="text1"/>
        </w:rPr>
        <w:t>New York: Bloomsbury Academic).</w:t>
      </w:r>
    </w:p>
    <w:p w14:paraId="7BB61EFF"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Gibbons, J. (2018). Reflection, realignment and refraction: Bernstein’s evaluative rules and the summative assessment of reflective practice in a problem-based learning programme. Teaching in Higher Education, 24</w:t>
      </w:r>
      <w:r>
        <w:rPr>
          <w:rFonts w:cs="Arial"/>
          <w:color w:val="000000" w:themeColor="text1"/>
        </w:rPr>
        <w:t>:7</w:t>
      </w:r>
      <w:r w:rsidRPr="0072740E">
        <w:rPr>
          <w:rFonts w:cs="Arial"/>
          <w:color w:val="000000" w:themeColor="text1"/>
        </w:rPr>
        <w:t xml:space="preserve">, 834–849. </w:t>
      </w:r>
    </w:p>
    <w:p w14:paraId="14D0244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Gibbons, J</w:t>
      </w:r>
      <w:r>
        <w:rPr>
          <w:rFonts w:cs="Arial"/>
          <w:color w:val="000000" w:themeColor="text1"/>
        </w:rPr>
        <w:t>.</w:t>
      </w:r>
      <w:r w:rsidRPr="0072740E">
        <w:rPr>
          <w:rFonts w:cs="Arial"/>
          <w:color w:val="000000" w:themeColor="text1"/>
        </w:rPr>
        <w:t xml:space="preserve"> </w:t>
      </w:r>
      <w:r>
        <w:rPr>
          <w:rFonts w:cs="Arial"/>
          <w:color w:val="000000" w:themeColor="text1"/>
        </w:rPr>
        <w:t>(</w:t>
      </w:r>
      <w:r w:rsidRPr="0072740E">
        <w:rPr>
          <w:rFonts w:cs="Arial"/>
          <w:color w:val="000000" w:themeColor="text1"/>
        </w:rPr>
        <w:t>2020</w:t>
      </w:r>
      <w:r>
        <w:rPr>
          <w:rFonts w:cs="Arial"/>
          <w:color w:val="000000" w:themeColor="text1"/>
        </w:rPr>
        <w:t>)</w:t>
      </w:r>
      <w:r w:rsidRPr="0072740E">
        <w:rPr>
          <w:rFonts w:cs="Arial"/>
          <w:color w:val="000000" w:themeColor="text1"/>
        </w:rPr>
        <w:t>, '</w:t>
      </w:r>
      <w:hyperlink r:id="rId20" w:history="1">
        <w:r w:rsidRPr="0072740E">
          <w:rPr>
            <w:rFonts w:cs="Arial"/>
            <w:color w:val="000000" w:themeColor="text1"/>
          </w:rPr>
          <w:t>A Bernsteinian analysis of the interplay between legal knowledge and the legal professional in university law schools in Yorkshire and Alberta: rule of Law or Rule of Lawyers?</w:t>
        </w:r>
      </w:hyperlink>
      <w:r w:rsidRPr="0072740E">
        <w:rPr>
          <w:rFonts w:cs="Arial"/>
          <w:color w:val="000000" w:themeColor="text1"/>
        </w:rPr>
        <w:t xml:space="preserve">', PhD, Lancaster University.  </w:t>
      </w:r>
    </w:p>
    <w:p w14:paraId="100BC921"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Giles, C., &amp; Ang, Y. (2025). What qualifies a law degree: surveying elective module provision in undergraduate legal education across England, Wales and Northern Ireland in 2023-2024. Law Teacher, 59</w:t>
      </w:r>
      <w:r>
        <w:rPr>
          <w:rFonts w:cs="Arial"/>
          <w:color w:val="000000" w:themeColor="text1"/>
        </w:rPr>
        <w:t>:1</w:t>
      </w:r>
      <w:r w:rsidRPr="0072740E">
        <w:rPr>
          <w:rFonts w:cs="Arial"/>
          <w:color w:val="000000" w:themeColor="text1"/>
        </w:rPr>
        <w:t xml:space="preserve">, 2–21. </w:t>
      </w:r>
    </w:p>
    <w:p w14:paraId="2F2F9F9A" w14:textId="77777777" w:rsidR="00AE67DC" w:rsidRPr="0072740E" w:rsidRDefault="00AE67DC" w:rsidP="006370E7">
      <w:pPr>
        <w:spacing w:after="100" w:afterAutospacing="1" w:line="360" w:lineRule="auto"/>
        <w:jc w:val="both"/>
        <w:rPr>
          <w:rFonts w:cs="Arial"/>
          <w:color w:val="000000" w:themeColor="text1"/>
        </w:rPr>
      </w:pPr>
      <w:r w:rsidRPr="00A226BB">
        <w:rPr>
          <w:rFonts w:cs="Arial"/>
          <w:color w:val="000000" w:themeColor="text1"/>
        </w:rPr>
        <w:t>Goldfarb, P. (2012). Back to the Future of Clinical Legal Education, Boston College Journal of Law and Social Justice, 32, 279</w:t>
      </w:r>
    </w:p>
    <w:p w14:paraId="510A9BA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Grimes, R. and Gibbons, J. (2016)</w:t>
      </w:r>
      <w:r>
        <w:rPr>
          <w:rFonts w:cs="Arial"/>
          <w:color w:val="000000" w:themeColor="text1"/>
        </w:rPr>
        <w:t>.</w:t>
      </w:r>
      <w:r w:rsidRPr="0072740E">
        <w:rPr>
          <w:rFonts w:cs="Arial"/>
          <w:color w:val="000000" w:themeColor="text1"/>
        </w:rPr>
        <w:t xml:space="preserve"> Assessing experiential learning – us, them and the others, International Journal of Clinical Legal Education, 23</w:t>
      </w:r>
      <w:r>
        <w:rPr>
          <w:rFonts w:cs="Arial"/>
          <w:color w:val="000000" w:themeColor="text1"/>
        </w:rPr>
        <w:t>:1</w:t>
      </w:r>
      <w:r w:rsidRPr="0072740E">
        <w:rPr>
          <w:rFonts w:cs="Arial"/>
          <w:color w:val="000000" w:themeColor="text1"/>
        </w:rPr>
        <w:t xml:space="preserve"> 492</w:t>
      </w:r>
    </w:p>
    <w:p w14:paraId="1F02452A"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Guth, J. and Ashford, C. (2014), The Legal Education and Training Review: regulating socio-legal and liberal legal education? Law teacher, 48</w:t>
      </w:r>
      <w:r>
        <w:rPr>
          <w:rFonts w:cs="Arial"/>
          <w:color w:val="000000" w:themeColor="text1"/>
        </w:rPr>
        <w:t xml:space="preserve">:1, </w:t>
      </w:r>
      <w:r w:rsidRPr="0072740E">
        <w:rPr>
          <w:rFonts w:cs="Arial"/>
          <w:color w:val="000000" w:themeColor="text1"/>
        </w:rPr>
        <w:t>5–19.</w:t>
      </w:r>
    </w:p>
    <w:p w14:paraId="35241A86" w14:textId="474D1B2D" w:rsidR="00AE67DC" w:rsidRDefault="00AE67DC" w:rsidP="006370E7">
      <w:pPr>
        <w:spacing w:after="100" w:afterAutospacing="1" w:line="360" w:lineRule="auto"/>
        <w:jc w:val="both"/>
        <w:rPr>
          <w:rFonts w:cs="Arial"/>
          <w:color w:val="000000" w:themeColor="text1"/>
        </w:rPr>
      </w:pPr>
      <w:r w:rsidRPr="00A226BB">
        <w:rPr>
          <w:rFonts w:cs="Arial"/>
          <w:color w:val="000000" w:themeColor="text1"/>
        </w:rPr>
        <w:lastRenderedPageBreak/>
        <w:t>Guth, J. and Dutton, K. (2018)</w:t>
      </w:r>
      <w:r w:rsidR="0008159C">
        <w:rPr>
          <w:rFonts w:cs="Arial"/>
          <w:color w:val="000000" w:themeColor="text1"/>
        </w:rPr>
        <w:t>.</w:t>
      </w:r>
      <w:r w:rsidRPr="00A226BB">
        <w:rPr>
          <w:rFonts w:cs="Arial"/>
          <w:color w:val="000000" w:themeColor="text1"/>
        </w:rPr>
        <w:t xml:space="preserve"> SQE-Ezed out: SRA, Status and Stasis, The Law Teacher 52, 425</w:t>
      </w:r>
      <w:r w:rsidRPr="00CE386D">
        <w:rPr>
          <w:rFonts w:cs="Arial"/>
          <w:color w:val="000000" w:themeColor="text1"/>
        </w:rPr>
        <w:t xml:space="preserve"> </w:t>
      </w:r>
    </w:p>
    <w:p w14:paraId="451A5E59" w14:textId="77777777" w:rsidR="00AE67DC" w:rsidRPr="00A226BB"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Guth, J. (2020), ‘The past and futures of legal skills in English Law Schools’. In Jones, E. </w:t>
      </w:r>
      <w:r w:rsidRPr="00A226BB">
        <w:rPr>
          <w:rFonts w:cs="Arial"/>
          <w:color w:val="000000" w:themeColor="text1"/>
        </w:rPr>
        <w:t>and Cownie, F. (eds) Key Directions in Legal Education: National and International Perspectives, Routledge</w:t>
      </w:r>
    </w:p>
    <w:p w14:paraId="1FA243BE" w14:textId="77777777" w:rsidR="00AE67DC" w:rsidRPr="00BB59B2" w:rsidRDefault="00AE67DC" w:rsidP="006370E7">
      <w:pPr>
        <w:spacing w:after="100" w:afterAutospacing="1" w:line="360" w:lineRule="auto"/>
        <w:jc w:val="both"/>
        <w:rPr>
          <w:rFonts w:cs="Arial"/>
          <w:color w:val="000000" w:themeColor="text1"/>
        </w:rPr>
      </w:pPr>
      <w:r w:rsidRPr="00BB59B2">
        <w:rPr>
          <w:rFonts w:cs="Arial"/>
          <w:color w:val="000000" w:themeColor="text1"/>
        </w:rPr>
        <w:t xml:space="preserve">Guth, J., (2025), </w:t>
      </w:r>
      <w:r>
        <w:rPr>
          <w:rFonts w:cs="Arial"/>
          <w:color w:val="000000" w:themeColor="text1"/>
        </w:rPr>
        <w:t>‘</w:t>
      </w:r>
      <w:r w:rsidRPr="00BB59B2">
        <w:rPr>
          <w:rFonts w:cs="Arial"/>
          <w:color w:val="000000" w:themeColor="text1"/>
        </w:rPr>
        <w:t>Class in legal education</w:t>
      </w:r>
      <w:r>
        <w:rPr>
          <w:rFonts w:cs="Arial"/>
          <w:color w:val="000000" w:themeColor="text1"/>
        </w:rPr>
        <w:t>’</w:t>
      </w:r>
      <w:r w:rsidRPr="00BB59B2">
        <w:rPr>
          <w:rFonts w:cs="Arial"/>
          <w:color w:val="000000" w:themeColor="text1"/>
        </w:rPr>
        <w:t>, In Cownie, F., Bradney, A. and Jones, E. (Eds.) Elgar concise encyclopaedia of legal education, Edward Elgar Publishing. Pg. 71.</w:t>
      </w:r>
    </w:p>
    <w:p w14:paraId="2F0D8779"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Future of Legal Education and Training Conference from 2018-2020: </w:t>
      </w:r>
      <w:hyperlink r:id="rId21" w:history="1">
        <w:r w:rsidRPr="0072740E">
          <w:rPr>
            <w:rFonts w:cs="Arial"/>
            <w:color w:val="000000" w:themeColor="text1"/>
          </w:rPr>
          <w:t>https://www.legalcheek.com/the-future-of-legal-education-and-training-conference/</w:t>
        </w:r>
      </w:hyperlink>
    </w:p>
    <w:p w14:paraId="3512F05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Hall, E. &amp; Rasiah, S. (2022), </w:t>
      </w:r>
      <w:r>
        <w:rPr>
          <w:rFonts w:cs="Arial"/>
          <w:color w:val="000000" w:themeColor="text1"/>
        </w:rPr>
        <w:t>‘</w:t>
      </w:r>
      <w:r w:rsidRPr="0072740E">
        <w:rPr>
          <w:rFonts w:cs="Arial"/>
          <w:color w:val="000000" w:themeColor="text1"/>
        </w:rPr>
        <w:t>The unitary idea of ‘the’ law school and other issues when defining ‘problems’ in legal education</w:t>
      </w:r>
      <w:r>
        <w:rPr>
          <w:rFonts w:cs="Arial"/>
          <w:color w:val="000000" w:themeColor="text1"/>
        </w:rPr>
        <w:t>’</w:t>
      </w:r>
      <w:r w:rsidRPr="0072740E">
        <w:rPr>
          <w:rFonts w:cs="Arial"/>
          <w:color w:val="000000" w:themeColor="text1"/>
        </w:rPr>
        <w:t xml:space="preserve">, In Dunn et al. (ed) What is legal education for? </w:t>
      </w:r>
      <w:r>
        <w:rPr>
          <w:rFonts w:cs="Arial"/>
          <w:color w:val="000000" w:themeColor="text1"/>
        </w:rPr>
        <w:t>R</w:t>
      </w:r>
      <w:r w:rsidRPr="0072740E">
        <w:rPr>
          <w:rFonts w:cs="Arial"/>
          <w:color w:val="000000" w:themeColor="text1"/>
        </w:rPr>
        <w:t>e-assessing the purposes of early twenty-first century learning and law schools. Abingdon; Routledge.</w:t>
      </w:r>
    </w:p>
    <w:p w14:paraId="329A3895" w14:textId="36137E33" w:rsidR="00AE67DC" w:rsidRPr="00A226BB" w:rsidRDefault="00AE67DC" w:rsidP="006370E7">
      <w:pPr>
        <w:spacing w:after="100" w:afterAutospacing="1" w:line="360" w:lineRule="auto"/>
        <w:jc w:val="both"/>
        <w:rPr>
          <w:rFonts w:cs="Arial"/>
          <w:color w:val="000000" w:themeColor="text1"/>
        </w:rPr>
      </w:pPr>
      <w:r w:rsidRPr="00A226BB">
        <w:rPr>
          <w:rFonts w:cs="Arial"/>
          <w:color w:val="000000" w:themeColor="text1"/>
        </w:rPr>
        <w:t>Hand, J., and Sparrow, C., (2015)</w:t>
      </w:r>
      <w:r w:rsidR="0008159C">
        <w:rPr>
          <w:rFonts w:cs="Arial"/>
          <w:color w:val="000000" w:themeColor="text1"/>
        </w:rPr>
        <w:t>.</w:t>
      </w:r>
      <w:r w:rsidRPr="00A226BB">
        <w:rPr>
          <w:rFonts w:cs="Arial"/>
          <w:color w:val="000000" w:themeColor="text1"/>
        </w:rPr>
        <w:t xml:space="preserve"> Crumbling, Creeping or Enduring – The Foundations of Legal Knowledge at a Time of Training Reform, Amicus Curiae 104:10, 10.</w:t>
      </w:r>
    </w:p>
    <w:p w14:paraId="617967D8" w14:textId="77777777" w:rsidR="00AE67DC" w:rsidRDefault="00AE67DC" w:rsidP="006370E7">
      <w:pPr>
        <w:spacing w:after="100" w:afterAutospacing="1" w:line="360" w:lineRule="auto"/>
        <w:jc w:val="both"/>
        <w:rPr>
          <w:rFonts w:cs="Arial"/>
          <w:color w:val="000000" w:themeColor="text1"/>
        </w:rPr>
      </w:pPr>
      <w:r w:rsidRPr="00A226BB">
        <w:rPr>
          <w:rFonts w:cs="Arial"/>
          <w:color w:val="000000" w:themeColor="text1"/>
        </w:rPr>
        <w:t>Hardee, M. (2012) Career Expectations of Students on Qualifying Law Degrees in England and Wales, (The Higher Education Academy) .</w:t>
      </w:r>
      <w:r w:rsidRPr="0072740E">
        <w:rPr>
          <w:rFonts w:cs="Arial"/>
          <w:color w:val="000000" w:themeColor="text1"/>
        </w:rPr>
        <w:t xml:space="preserve"> </w:t>
      </w:r>
    </w:p>
    <w:p w14:paraId="4EFDBA7B" w14:textId="74186217" w:rsidR="00FE7861" w:rsidRPr="00782640" w:rsidRDefault="00FE7861" w:rsidP="00782640">
      <w:pPr>
        <w:spacing w:after="100" w:afterAutospacing="1" w:line="360" w:lineRule="auto"/>
        <w:jc w:val="both"/>
        <w:rPr>
          <w:rFonts w:cs="Arial"/>
          <w:color w:val="000000" w:themeColor="text1"/>
        </w:rPr>
      </w:pPr>
      <w:r>
        <w:rPr>
          <w:rFonts w:cs="Arial"/>
          <w:color w:val="000000" w:themeColor="text1"/>
        </w:rPr>
        <w:t>H</w:t>
      </w:r>
      <w:r w:rsidR="00782640">
        <w:rPr>
          <w:rFonts w:cs="Arial"/>
          <w:color w:val="000000" w:themeColor="text1"/>
        </w:rPr>
        <w:t>o</w:t>
      </w:r>
      <w:r>
        <w:rPr>
          <w:rFonts w:cs="Arial"/>
          <w:color w:val="000000" w:themeColor="text1"/>
        </w:rPr>
        <w:t>rrod</w:t>
      </w:r>
      <w:r w:rsidR="00FE2281">
        <w:rPr>
          <w:rFonts w:cs="Arial"/>
          <w:color w:val="000000" w:themeColor="text1"/>
        </w:rPr>
        <w:t>, S.</w:t>
      </w:r>
      <w:r>
        <w:rPr>
          <w:rFonts w:cs="Arial"/>
          <w:color w:val="000000" w:themeColor="text1"/>
        </w:rPr>
        <w:t xml:space="preserve"> (2023)</w:t>
      </w:r>
      <w:r w:rsidR="0008159C">
        <w:rPr>
          <w:rFonts w:cs="Arial"/>
          <w:color w:val="000000" w:themeColor="text1"/>
        </w:rPr>
        <w:t xml:space="preserve">. </w:t>
      </w:r>
      <w:r w:rsidR="00FE2281" w:rsidRPr="008446AA">
        <w:rPr>
          <w:rFonts w:cs="Arial"/>
          <w:color w:val="000000" w:themeColor="text1"/>
        </w:rPr>
        <w:t>Learning and teaching in higher education: Policy discourses and the illusion of best</w:t>
      </w:r>
      <w:r w:rsidR="00782640" w:rsidRPr="008446AA">
        <w:rPr>
          <w:rFonts w:cs="Arial"/>
          <w:color w:val="000000" w:themeColor="text1"/>
        </w:rPr>
        <w:t xml:space="preserve"> </w:t>
      </w:r>
      <w:r w:rsidR="00FE2281" w:rsidRPr="008446AA">
        <w:rPr>
          <w:rFonts w:cs="Arial"/>
          <w:color w:val="000000" w:themeColor="text1"/>
        </w:rPr>
        <w:t>practice. Springer.</w:t>
      </w:r>
    </w:p>
    <w:p w14:paraId="0991C0C2" w14:textId="78856BB6"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Henkel, M. (2000)</w:t>
      </w:r>
      <w:r w:rsidR="0008159C">
        <w:rPr>
          <w:rFonts w:cs="Arial"/>
          <w:color w:val="000000" w:themeColor="text1"/>
        </w:rPr>
        <w:t>.</w:t>
      </w:r>
      <w:r w:rsidRPr="0072740E">
        <w:rPr>
          <w:rFonts w:cs="Arial"/>
          <w:color w:val="000000" w:themeColor="text1"/>
        </w:rPr>
        <w:t xml:space="preserve"> Academic identities and policy change in higher education. London: Kingsley.</w:t>
      </w:r>
      <w:r w:rsidRPr="00006260">
        <w:rPr>
          <w:rFonts w:cs="Arial"/>
          <w:color w:val="000000" w:themeColor="text1"/>
        </w:rPr>
        <w:t xml:space="preserve"> </w:t>
      </w:r>
    </w:p>
    <w:p w14:paraId="379C8C8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Holvast &amp;</w:t>
      </w:r>
      <w:r>
        <w:rPr>
          <w:rFonts w:cs="Arial"/>
          <w:color w:val="000000" w:themeColor="text1"/>
        </w:rPr>
        <w:t xml:space="preserve"> </w:t>
      </w:r>
      <w:r w:rsidRPr="00BB59B2">
        <w:rPr>
          <w:rFonts w:cs="Arial"/>
          <w:color w:val="000000" w:themeColor="text1"/>
        </w:rPr>
        <w:t>Kortleven, (</w:t>
      </w:r>
      <w:r w:rsidRPr="00A81DEB">
        <w:rPr>
          <w:rFonts w:cs="Arial"/>
          <w:color w:val="000000" w:themeColor="text1"/>
        </w:rPr>
        <w:t>2025), ‘Professional identity formation of law students.’ In Cownie, F., Bradney, A. and Jones, E. (Eds.) Elgar concise encyclopaedia of legal education, Edward Elgar Publishing. Pg. 306</w:t>
      </w:r>
    </w:p>
    <w:p w14:paraId="0BC8A7EF" w14:textId="6677F6E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HL (2023): Industry and Regulators Committee, Must do better: the Office for Students and the looming crisis facing higher education. House of Lords (HL), session 2022-23 Paper 246</w:t>
      </w:r>
    </w:p>
    <w:p w14:paraId="2BDF43D5" w14:textId="77777777" w:rsidR="00AE67DC" w:rsidRPr="0072740E" w:rsidRDefault="00AE67DC" w:rsidP="006370E7">
      <w:pPr>
        <w:spacing w:after="100" w:afterAutospacing="1" w:line="360" w:lineRule="auto"/>
        <w:jc w:val="both"/>
        <w:rPr>
          <w:rFonts w:cs="Arial"/>
          <w:color w:val="000000" w:themeColor="text1"/>
        </w:rPr>
      </w:pPr>
      <w:r w:rsidRPr="00A226BB">
        <w:rPr>
          <w:rFonts w:cs="Arial"/>
          <w:color w:val="000000" w:themeColor="text1"/>
        </w:rPr>
        <w:t>Houghton, J. (2023). Learning modules: problem-based learning, blended learning and flipping the classroom, The Law Teacher, 57:3, 271.</w:t>
      </w:r>
      <w:r w:rsidRPr="0072740E">
        <w:rPr>
          <w:rFonts w:cs="Arial"/>
          <w:color w:val="000000" w:themeColor="text1"/>
        </w:rPr>
        <w:t xml:space="preserve"> </w:t>
      </w:r>
    </w:p>
    <w:p w14:paraId="2F3A0B36"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House of Commons (2024), International students in UK higher education. Research Briefing. 20 Sept 2024.</w:t>
      </w:r>
    </w:p>
    <w:p w14:paraId="60CCDF5F"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Hunt, A. (1987). Conservatism and vocationalism in legal education: A case study. The Law Teacher, 21</w:t>
      </w:r>
      <w:r>
        <w:rPr>
          <w:rFonts w:cs="Arial"/>
          <w:color w:val="000000" w:themeColor="text1"/>
        </w:rPr>
        <w:t xml:space="preserve">:1, </w:t>
      </w:r>
      <w:r w:rsidRPr="0072740E">
        <w:rPr>
          <w:rFonts w:cs="Arial"/>
          <w:color w:val="000000" w:themeColor="text1"/>
        </w:rPr>
        <w:t xml:space="preserve">72–80. </w:t>
      </w:r>
    </w:p>
    <w:p w14:paraId="2EA227AA"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Hunter, C. (2012). Integrating Socio-Legal Studies into the </w:t>
      </w:r>
      <w:r w:rsidRPr="00A226BB">
        <w:rPr>
          <w:rFonts w:cs="Arial"/>
          <w:color w:val="000000" w:themeColor="text1"/>
        </w:rPr>
        <w:t>Law Curriculum. Palgrave</w:t>
      </w:r>
      <w:r w:rsidRPr="0072740E">
        <w:rPr>
          <w:rFonts w:cs="Arial"/>
          <w:color w:val="000000" w:themeColor="text1"/>
        </w:rPr>
        <w:t xml:space="preserve"> Macmillan. </w:t>
      </w:r>
    </w:p>
    <w:p w14:paraId="1DD86AAB" w14:textId="67779908"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Jenkins, A. (200</w:t>
      </w:r>
      <w:r>
        <w:rPr>
          <w:rFonts w:cs="Arial"/>
          <w:color w:val="000000" w:themeColor="text1"/>
        </w:rPr>
        <w:t>9</w:t>
      </w:r>
      <w:r w:rsidRPr="0072740E">
        <w:rPr>
          <w:rFonts w:cs="Arial"/>
          <w:color w:val="000000" w:themeColor="text1"/>
        </w:rPr>
        <w:t>)</w:t>
      </w:r>
      <w:r w:rsidR="00424F6F">
        <w:rPr>
          <w:rFonts w:cs="Arial"/>
          <w:color w:val="000000" w:themeColor="text1"/>
        </w:rPr>
        <w:t>.</w:t>
      </w:r>
      <w:r w:rsidRPr="0072740E">
        <w:rPr>
          <w:rFonts w:cs="Arial"/>
          <w:color w:val="000000" w:themeColor="text1"/>
        </w:rPr>
        <w:t xml:space="preserve"> </w:t>
      </w:r>
      <w:r w:rsidR="00424F6F">
        <w:rPr>
          <w:rFonts w:cs="Arial"/>
          <w:color w:val="000000" w:themeColor="text1"/>
        </w:rPr>
        <w:t>.</w:t>
      </w:r>
      <w:r w:rsidRPr="0072740E">
        <w:rPr>
          <w:rFonts w:cs="Arial"/>
          <w:color w:val="000000" w:themeColor="text1"/>
        </w:rPr>
        <w:t>‘Supporting Student Development In and Beyond the disciplines: The role of the curriculum.’ in Kreber, C (ed). The university and its disciplines teaching and learning within and beyond disciplinary boundaries. London: Routledge.</w:t>
      </w:r>
    </w:p>
    <w:p w14:paraId="1280E7A8" w14:textId="3AA0B6C3"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Jones, E. (2018)</w:t>
      </w:r>
      <w:r w:rsidR="00424F6F">
        <w:rPr>
          <w:rFonts w:cs="Arial"/>
          <w:color w:val="000000" w:themeColor="text1"/>
        </w:rPr>
        <w:t>.</w:t>
      </w:r>
      <w:r w:rsidRPr="0072740E">
        <w:rPr>
          <w:rFonts w:cs="Arial"/>
          <w:color w:val="000000" w:themeColor="text1"/>
        </w:rPr>
        <w:t xml:space="preserve"> Transforming Legal Education through Emotions, Legal Studies, 38, 450–479</w:t>
      </w:r>
    </w:p>
    <w:p w14:paraId="7643E11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Kennedy, D. (1982). Legal Education and the Reproduction of Hierarchy. Journal of Legal Education, 32</w:t>
      </w:r>
      <w:r>
        <w:rPr>
          <w:rFonts w:cs="Arial"/>
          <w:color w:val="000000" w:themeColor="text1"/>
        </w:rPr>
        <w:t>:4,</w:t>
      </w:r>
      <w:r w:rsidRPr="0072740E">
        <w:rPr>
          <w:rFonts w:cs="Arial"/>
          <w:color w:val="000000" w:themeColor="text1"/>
        </w:rPr>
        <w:t xml:space="preserve"> 591–615.</w:t>
      </w:r>
    </w:p>
    <w:p w14:paraId="251EE6A8" w14:textId="225DC680"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Kinchin, I. M., &amp; Gravett, K. (2022). </w:t>
      </w:r>
      <w:r>
        <w:rPr>
          <w:rFonts w:cs="Arial"/>
          <w:color w:val="000000" w:themeColor="text1"/>
        </w:rPr>
        <w:t>‘</w:t>
      </w:r>
      <w:r w:rsidRPr="0072740E">
        <w:rPr>
          <w:rFonts w:cs="Arial"/>
          <w:color w:val="000000" w:themeColor="text1"/>
        </w:rPr>
        <w:t>Part 1</w:t>
      </w:r>
      <w:r w:rsidR="00424F6F">
        <w:rPr>
          <w:rFonts w:cs="Arial"/>
          <w:color w:val="000000" w:themeColor="text1"/>
        </w:rPr>
        <w:t>:</w:t>
      </w:r>
      <w:r w:rsidRPr="0072740E">
        <w:rPr>
          <w:rFonts w:cs="Arial"/>
          <w:color w:val="000000" w:themeColor="text1"/>
        </w:rPr>
        <w:t xml:space="preserve"> Considering the Landscape</w:t>
      </w:r>
      <w:r>
        <w:rPr>
          <w:rFonts w:cs="Arial"/>
          <w:color w:val="000000" w:themeColor="text1"/>
        </w:rPr>
        <w:t>’</w:t>
      </w:r>
      <w:r w:rsidRPr="0072740E">
        <w:rPr>
          <w:rFonts w:cs="Arial"/>
          <w:color w:val="000000" w:themeColor="text1"/>
        </w:rPr>
        <w:t>. In Dominant Discourses in Higher Education. Bloomsbury Publishing Plc.</w:t>
      </w:r>
    </w:p>
    <w:p w14:paraId="2177FF1B" w14:textId="58B88F1E" w:rsidR="00E048DE" w:rsidRPr="0072740E" w:rsidRDefault="00E048DE" w:rsidP="00E048DE">
      <w:pPr>
        <w:spacing w:after="100" w:afterAutospacing="1"/>
        <w:jc w:val="both"/>
        <w:rPr>
          <w:rFonts w:cs="Arial"/>
          <w:color w:val="000000" w:themeColor="text1"/>
        </w:rPr>
      </w:pPr>
      <w:r w:rsidRPr="00E048DE">
        <w:rPr>
          <w:rFonts w:cs="Arial"/>
          <w:color w:val="000000" w:themeColor="text1"/>
        </w:rPr>
        <w:t>Kreber, C. (2008). The university and its disciplines teaching and learning within and beyond disciplinary boundaries. London: Routledge.</w:t>
      </w:r>
    </w:p>
    <w:p w14:paraId="2D83709B" w14:textId="1795317E" w:rsidR="00AE67DC" w:rsidRPr="0072740E" w:rsidRDefault="00AE67DC" w:rsidP="006370E7">
      <w:pPr>
        <w:spacing w:after="100" w:afterAutospacing="1" w:line="360" w:lineRule="auto"/>
        <w:jc w:val="both"/>
        <w:rPr>
          <w:rFonts w:cs="Arial"/>
          <w:color w:val="000000" w:themeColor="text1"/>
        </w:rPr>
      </w:pPr>
      <w:r>
        <w:rPr>
          <w:rFonts w:cs="Arial"/>
          <w:color w:val="000000" w:themeColor="text1"/>
        </w:rPr>
        <w:t>Krengel, R., Yau, M.Y., and Graf, A., (2004)</w:t>
      </w:r>
      <w:r w:rsidR="00424F6F">
        <w:rPr>
          <w:rFonts w:cs="Arial"/>
          <w:color w:val="000000" w:themeColor="text1"/>
        </w:rPr>
        <w:t xml:space="preserve">. </w:t>
      </w:r>
      <w:r>
        <w:rPr>
          <w:rFonts w:cs="Arial"/>
          <w:color w:val="000000" w:themeColor="text1"/>
        </w:rPr>
        <w:t>Mapping systemic barriers to equality</w:t>
      </w:r>
      <w:r w:rsidR="00424F6F">
        <w:rPr>
          <w:rFonts w:cs="Arial"/>
          <w:color w:val="000000" w:themeColor="text1"/>
        </w:rPr>
        <w:t>,</w:t>
      </w:r>
      <w:r>
        <w:rPr>
          <w:rFonts w:cs="Arial"/>
          <w:color w:val="000000" w:themeColor="text1"/>
        </w:rPr>
        <w:t xml:space="preserve"> diversity</w:t>
      </w:r>
      <w:r w:rsidR="00424F6F">
        <w:rPr>
          <w:rFonts w:cs="Arial"/>
          <w:color w:val="000000" w:themeColor="text1"/>
        </w:rPr>
        <w:t>,</w:t>
      </w:r>
      <w:r>
        <w:rPr>
          <w:rFonts w:cs="Arial"/>
          <w:color w:val="000000" w:themeColor="text1"/>
        </w:rPr>
        <w:t xml:space="preserve"> and inclusion in the legal professions. Legal Services Board. Accessed at: </w:t>
      </w:r>
      <w:hyperlink r:id="rId22" w:history="1">
        <w:r w:rsidRPr="00F22CA3">
          <w:rPr>
            <w:rStyle w:val="Hyperlink"/>
            <w:rFonts w:cs="Arial"/>
          </w:rPr>
          <w:t>https://legalservicesboard.org.uk/wp-</w:t>
        </w:r>
        <w:r w:rsidRPr="00F22CA3">
          <w:rPr>
            <w:rStyle w:val="Hyperlink"/>
            <w:rFonts w:cs="Arial"/>
          </w:rPr>
          <w:lastRenderedPageBreak/>
          <w:t>content/uploads/2024/08/Mapping-Systemic-Barriers-to-EDI-in-the-Legal-Professions-Final-1.pdf</w:t>
        </w:r>
      </w:hyperlink>
      <w:r>
        <w:rPr>
          <w:rFonts w:cs="Arial"/>
          <w:color w:val="000000" w:themeColor="text1"/>
        </w:rPr>
        <w:t xml:space="preserve"> September 2025.</w:t>
      </w:r>
    </w:p>
    <w:p w14:paraId="2683BF47" w14:textId="77777777" w:rsidR="00AE67DC" w:rsidRPr="0072740E" w:rsidRDefault="00AE67DC" w:rsidP="006370E7">
      <w:pPr>
        <w:spacing w:after="100" w:afterAutospacing="1" w:line="360" w:lineRule="auto"/>
        <w:rPr>
          <w:rFonts w:cs="Arial"/>
          <w:color w:val="000000" w:themeColor="text1"/>
        </w:rPr>
      </w:pPr>
      <w:r w:rsidRPr="0072740E">
        <w:rPr>
          <w:rFonts w:cs="Arial"/>
          <w:color w:val="000000" w:themeColor="text1"/>
        </w:rPr>
        <w:t>Law in context Series: https://www.cambridge.org/core/series/law-in-context/387EA14AA111E65AB0120DA893AFAFCB</w:t>
      </w:r>
    </w:p>
    <w:p w14:paraId="274DDFE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The Law Society Annual Statistical report (2022), Entry trends accessed: </w:t>
      </w:r>
      <w:hyperlink r:id="rId23" w:history="1">
        <w:r w:rsidRPr="00A226BB">
          <w:rPr>
            <w:rFonts w:cs="Arial"/>
            <w:color w:val="000000" w:themeColor="text1"/>
          </w:rPr>
          <w:t>https://www.lawsociety.org.uk/topics/research/annual-statistics-report-2022</w:t>
        </w:r>
      </w:hyperlink>
      <w:r w:rsidRPr="00A226BB">
        <w:rPr>
          <w:rFonts w:cs="Arial"/>
          <w:color w:val="000000" w:themeColor="text1"/>
        </w:rPr>
        <w:t xml:space="preserve"> (on 29th May 2025)</w:t>
      </w:r>
    </w:p>
    <w:p w14:paraId="7192B9D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The Law Gazette, (2013), SRA responds to educational review with ‘Bonfire of Regulations’, 8th October, 2013. Accessed 31st May 2026: </w:t>
      </w:r>
      <w:hyperlink r:id="rId24" w:anchor=":~:text=I%20appreciate%20that%20current%20thinking,say%20about%20the%20Law%20Society" w:history="1">
        <w:r w:rsidRPr="007C497D">
          <w:rPr>
            <w:rFonts w:cs="Arial"/>
            <w:color w:val="000000" w:themeColor="text1"/>
          </w:rPr>
          <w:t>https://www.lawgazette.co.uk/practice/sra-responds-to-education-review-with-bonfire-of-regulations/5038071.article#:~:text=I%20appreciate%20that%20current%20thinking,say%20about%20the%20Law%20Society</w:t>
        </w:r>
      </w:hyperlink>
      <w:r w:rsidRPr="007C497D">
        <w:rPr>
          <w:rFonts w:cs="Arial"/>
          <w:color w:val="000000" w:themeColor="text1"/>
        </w:rPr>
        <w:t>.</w:t>
      </w:r>
    </w:p>
    <w:p w14:paraId="24EF632A" w14:textId="77777777" w:rsidR="00AE67DC" w:rsidRPr="007C497D" w:rsidRDefault="00AE67DC" w:rsidP="006370E7">
      <w:pPr>
        <w:spacing w:after="100" w:afterAutospacing="1" w:line="360" w:lineRule="auto"/>
        <w:jc w:val="both"/>
        <w:rPr>
          <w:rFonts w:cs="Arial"/>
          <w:color w:val="000000" w:themeColor="text1"/>
        </w:rPr>
      </w:pPr>
      <w:r w:rsidRPr="007C497D">
        <w:rPr>
          <w:rFonts w:cs="Arial"/>
          <w:color w:val="000000" w:themeColor="text1"/>
        </w:rPr>
        <w:t xml:space="preserve">The Legal Education and Training Review (2013) (LETR) available at: </w:t>
      </w:r>
      <w:hyperlink r:id="rId25" w:history="1">
        <w:r w:rsidRPr="007C497D">
          <w:rPr>
            <w:rFonts w:cs="Arial"/>
            <w:color w:val="000000" w:themeColor="text1"/>
          </w:rPr>
          <w:t>https://letr.org.uk/</w:t>
        </w:r>
      </w:hyperlink>
    </w:p>
    <w:p w14:paraId="0EBC0CD1"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Leighton, P. (1998) New Wine in Old Bottles or New Wine in New Bottles? Journal of law and society, 25</w:t>
      </w:r>
      <w:r>
        <w:rPr>
          <w:rFonts w:cs="Arial"/>
          <w:color w:val="000000" w:themeColor="text1"/>
        </w:rPr>
        <w:t xml:space="preserve">:1, </w:t>
      </w:r>
      <w:r w:rsidRPr="0072740E">
        <w:rPr>
          <w:rFonts w:cs="Arial"/>
          <w:color w:val="000000" w:themeColor="text1"/>
        </w:rPr>
        <w:t xml:space="preserve">85–101. </w:t>
      </w:r>
    </w:p>
    <w:p w14:paraId="5F445722"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Leighton, P., Mortimer, T., &amp; Whatley, N. (1995). Today’s law teachers: lawyers or academics? Cavendish Pub.</w:t>
      </w:r>
    </w:p>
    <w:p w14:paraId="5BCFAFCE" w14:textId="77777777" w:rsidR="00AE67DC" w:rsidRDefault="00AE67DC" w:rsidP="006370E7">
      <w:pPr>
        <w:spacing w:after="100" w:afterAutospacing="1" w:line="360" w:lineRule="auto"/>
        <w:jc w:val="both"/>
        <w:rPr>
          <w:rFonts w:cs="Arial"/>
          <w:color w:val="000000" w:themeColor="text1"/>
        </w:rPr>
      </w:pPr>
      <w:r w:rsidRPr="005B70D4">
        <w:rPr>
          <w:rFonts w:cs="Arial"/>
          <w:color w:val="000000" w:themeColor="text1"/>
        </w:rPr>
        <w:t>Lindblom-Ylänne, S., Trigwell, K., Nevgi, S., and Ashwin, P., (2006) How Approaches to Teaching Are Affected by Discipline and Teaching Context. Studies in Higher Education, 31:3, 285.</w:t>
      </w:r>
    </w:p>
    <w:p w14:paraId="1EF0E45B" w14:textId="56B6BFDB" w:rsidR="00E048DE" w:rsidRPr="0072740E" w:rsidRDefault="00E048DE" w:rsidP="00E048DE">
      <w:pPr>
        <w:spacing w:after="100" w:afterAutospacing="1"/>
        <w:jc w:val="both"/>
        <w:rPr>
          <w:rFonts w:cs="Arial"/>
          <w:color w:val="000000" w:themeColor="text1"/>
        </w:rPr>
      </w:pPr>
      <w:r w:rsidRPr="00E048DE">
        <w:rPr>
          <w:rFonts w:cs="Arial"/>
          <w:color w:val="000000" w:themeColor="text1"/>
        </w:rPr>
        <w:t>Lilliedahl, J. (2015) The recontextualisation of knowledge: towards a social realist approach to curriculum and didactics, Nordic journal of studies in educational policy, 2015:1, 27008.</w:t>
      </w:r>
    </w:p>
    <w:p w14:paraId="499866B9"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Macfarlane, B. (2015). Dualisms in higher education: A critique of their influence and effect. Higher Education Quarterly, 69</w:t>
      </w:r>
      <w:r>
        <w:rPr>
          <w:rFonts w:cs="Arial"/>
          <w:color w:val="000000" w:themeColor="text1"/>
        </w:rPr>
        <w:t>:1</w:t>
      </w:r>
    </w:p>
    <w:p w14:paraId="76A9AED4" w14:textId="77777777" w:rsidR="00AE67DC" w:rsidRPr="0072740E" w:rsidRDefault="00AE67DC" w:rsidP="006370E7">
      <w:pPr>
        <w:spacing w:after="100" w:afterAutospacing="1" w:line="360" w:lineRule="auto"/>
        <w:jc w:val="both"/>
        <w:rPr>
          <w:rFonts w:cs="Arial"/>
          <w:color w:val="000000" w:themeColor="text1"/>
        </w:rPr>
      </w:pPr>
      <w:r w:rsidRPr="007C497D">
        <w:rPr>
          <w:rFonts w:cs="Arial"/>
          <w:color w:val="000000" w:themeColor="text1"/>
        </w:rPr>
        <w:t>Maharg, P. (2015). “Democracy begins in conversation”: the phenomenology of problem-based learning and legal education. Nottingham Law Journal, 24, 94</w:t>
      </w:r>
    </w:p>
    <w:p w14:paraId="66A5033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Malcolm, J., and Zukas, M., (2001), Bridging Pedagogic Gaps: Conceptual Discontinuities in Higher Education. Teaching in higher education 6</w:t>
      </w:r>
      <w:r>
        <w:rPr>
          <w:rFonts w:cs="Arial"/>
          <w:color w:val="000000" w:themeColor="text1"/>
        </w:rPr>
        <w:t>:1,</w:t>
      </w:r>
      <w:r w:rsidRPr="0072740E">
        <w:rPr>
          <w:rFonts w:cs="Arial"/>
          <w:color w:val="000000" w:themeColor="text1"/>
        </w:rPr>
        <w:t xml:space="preserve"> 33</w:t>
      </w:r>
    </w:p>
    <w:p w14:paraId="6379F75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Mason, L. and Guth, G. (2018) Re-claiming our discipline, The Law Teacher, 52:4, 379-383</w:t>
      </w:r>
    </w:p>
    <w:p w14:paraId="591225E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Maton, K., (2004) ‘The wrong kind of knower: Education, expansion and the epistemic device’ in Reading Bernstein, Researching Bernstein. Routledge, pp. 236–249. </w:t>
      </w:r>
    </w:p>
    <w:p w14:paraId="28443D2C"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Mayson, S., (2020) Independent Review of Legal Services Regulation, Centre for Ethics and Law, ULC   </w:t>
      </w:r>
      <w:r w:rsidRPr="007C497D">
        <w:rPr>
          <w:rFonts w:cs="Arial"/>
          <w:color w:val="000000" w:themeColor="text1"/>
        </w:rPr>
        <w:t xml:space="preserve">Accessed at : </w:t>
      </w:r>
      <w:hyperlink r:id="rId26" w:history="1">
        <w:r w:rsidRPr="007C497D">
          <w:rPr>
            <w:rFonts w:cs="Arial"/>
            <w:color w:val="000000" w:themeColor="text1"/>
          </w:rPr>
          <w:t>https://www.ucl.ac.uk/ethics-law/sites/ethics_law/files/irlsr_final_report_final_0.pdf</w:t>
        </w:r>
      </w:hyperlink>
      <w:r w:rsidRPr="007C497D">
        <w:rPr>
          <w:rFonts w:cs="Arial"/>
          <w:color w:val="000000" w:themeColor="text1"/>
        </w:rPr>
        <w:t xml:space="preserve"> Access at 10 Jul</w:t>
      </w:r>
      <w:r w:rsidRPr="0072740E">
        <w:rPr>
          <w:rFonts w:cs="Arial"/>
          <w:color w:val="000000" w:themeColor="text1"/>
        </w:rPr>
        <w:t xml:space="preserve"> 25</w:t>
      </w:r>
    </w:p>
    <w:p w14:paraId="5CEB944E" w14:textId="77777777" w:rsidR="00AE67DC" w:rsidRDefault="00AE67DC" w:rsidP="006370E7">
      <w:pPr>
        <w:spacing w:after="100" w:afterAutospacing="1" w:line="360" w:lineRule="auto"/>
        <w:jc w:val="both"/>
        <w:rPr>
          <w:rFonts w:cs="Arial"/>
          <w:color w:val="000000" w:themeColor="text1"/>
        </w:rPr>
      </w:pPr>
      <w:r w:rsidRPr="005B70D4">
        <w:rPr>
          <w:rFonts w:cs="Arial"/>
          <w:color w:val="000000" w:themeColor="text1"/>
        </w:rPr>
        <w:t>Menis, S., (2020).  The Liberal, the Vocational and Legal Education: A Legal History Review – from Blackstone to a Law Degree (1972), The Law Teacher 54, 285.</w:t>
      </w:r>
    </w:p>
    <w:p w14:paraId="649DE70D" w14:textId="77777777" w:rsidR="00AE67DC" w:rsidRPr="0072740E" w:rsidRDefault="00AE67DC" w:rsidP="006370E7">
      <w:pPr>
        <w:spacing w:after="100" w:afterAutospacing="1" w:line="360" w:lineRule="auto"/>
        <w:jc w:val="both"/>
        <w:rPr>
          <w:rFonts w:cs="Arial"/>
          <w:color w:val="000000" w:themeColor="text1"/>
        </w:rPr>
      </w:pPr>
      <w:r w:rsidRPr="007C497D">
        <w:rPr>
          <w:rFonts w:cs="Arial"/>
          <w:color w:val="000000" w:themeColor="text1"/>
        </w:rPr>
        <w:t>McArthur, J., (2011). Reconsidering the Social and Economic Purposes of Higher Education, Higher Education Research &amp; Development 30, 737.</w:t>
      </w:r>
    </w:p>
    <w:p w14:paraId="18B5D81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McArthur, J., and Ashwin, P. (2020) Locating social justice in higher education research. First ed. London, England]: Bloomsbury Academic.</w:t>
      </w:r>
    </w:p>
    <w:p w14:paraId="132F68DC" w14:textId="51987B93" w:rsidR="00AE67DC" w:rsidRPr="005157C0" w:rsidRDefault="00AE67DC" w:rsidP="006370E7">
      <w:pPr>
        <w:spacing w:after="100" w:afterAutospacing="1" w:line="360" w:lineRule="auto"/>
        <w:jc w:val="both"/>
        <w:rPr>
          <w:rFonts w:cs="Arial"/>
          <w:color w:val="000000" w:themeColor="text1"/>
        </w:rPr>
      </w:pPr>
      <w:r w:rsidRPr="005157C0">
        <w:rPr>
          <w:rFonts w:cs="Arial"/>
          <w:color w:val="000000" w:themeColor="text1"/>
        </w:rPr>
        <w:t>Mc</w:t>
      </w:r>
      <w:r w:rsidR="00424F6F">
        <w:rPr>
          <w:rFonts w:cs="Arial"/>
          <w:color w:val="000000" w:themeColor="text1"/>
        </w:rPr>
        <w:t>L</w:t>
      </w:r>
      <w:r w:rsidRPr="005157C0">
        <w:rPr>
          <w:rFonts w:cs="Arial"/>
          <w:color w:val="000000" w:themeColor="text1"/>
        </w:rPr>
        <w:t xml:space="preserve">ean, M., Abbas, A. &amp; Ashwin, P. (2012). The use and value of Bernstein’s work in studying (in)equalities in undergraduate social science education. British Journal of Sociology of Education, 34, 262-280. </w:t>
      </w:r>
    </w:p>
    <w:p w14:paraId="1CD6817D" w14:textId="61C99735" w:rsidR="00AE67DC" w:rsidRDefault="00AE67DC" w:rsidP="006370E7">
      <w:pPr>
        <w:spacing w:after="100" w:afterAutospacing="1" w:line="360" w:lineRule="auto"/>
        <w:jc w:val="both"/>
        <w:rPr>
          <w:rFonts w:cs="Arial"/>
          <w:color w:val="000000" w:themeColor="text1"/>
        </w:rPr>
      </w:pPr>
      <w:r w:rsidRPr="005157C0">
        <w:rPr>
          <w:rFonts w:cs="Arial"/>
          <w:color w:val="000000" w:themeColor="text1"/>
        </w:rPr>
        <w:t>Mc</w:t>
      </w:r>
      <w:r w:rsidR="00424F6F">
        <w:rPr>
          <w:rFonts w:cs="Arial"/>
          <w:color w:val="000000" w:themeColor="text1"/>
        </w:rPr>
        <w:t>L</w:t>
      </w:r>
      <w:r w:rsidRPr="005157C0">
        <w:rPr>
          <w:rFonts w:cs="Arial"/>
          <w:color w:val="000000" w:themeColor="text1"/>
        </w:rPr>
        <w:t>ean, M., Abbas, A. &amp; Ashwin, P. (2012</w:t>
      </w:r>
      <w:r w:rsidR="00900765" w:rsidRPr="005157C0">
        <w:rPr>
          <w:rFonts w:cs="Arial"/>
          <w:color w:val="000000" w:themeColor="text1"/>
        </w:rPr>
        <w:t>a</w:t>
      </w:r>
      <w:r w:rsidRPr="005157C0">
        <w:rPr>
          <w:rFonts w:cs="Arial"/>
          <w:color w:val="000000" w:themeColor="text1"/>
        </w:rPr>
        <w:t xml:space="preserve">), ‘The pedagogic device: Sociology, knowledge practice and teaching-learning processes.’ In P. Trowler, M. </w:t>
      </w:r>
      <w:r w:rsidRPr="005157C0">
        <w:rPr>
          <w:rFonts w:cs="Arial"/>
          <w:color w:val="000000" w:themeColor="text1"/>
        </w:rPr>
        <w:lastRenderedPageBreak/>
        <w:t>Saunders, &amp; V. Bamber (Eds.), Tribes and Territories in the 21st century: rethinking the significance of disciplines in higher education (118-129). Routledge.</w:t>
      </w:r>
      <w:r w:rsidRPr="002972A9">
        <w:rPr>
          <w:rFonts w:cs="Arial"/>
          <w:color w:val="000000" w:themeColor="text1"/>
        </w:rPr>
        <w:t xml:space="preserve"> </w:t>
      </w:r>
    </w:p>
    <w:p w14:paraId="6C324969" w14:textId="0DBAC02C"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Mc</w:t>
      </w:r>
      <w:r w:rsidR="00424F6F">
        <w:rPr>
          <w:rFonts w:cs="Arial"/>
          <w:color w:val="000000" w:themeColor="text1"/>
        </w:rPr>
        <w:t>L</w:t>
      </w:r>
      <w:r w:rsidRPr="0072740E">
        <w:rPr>
          <w:rFonts w:cs="Arial"/>
          <w:color w:val="000000" w:themeColor="text1"/>
        </w:rPr>
        <w:t xml:space="preserve">ean, M., Abbas, A. &amp; Ashwin, P. (2013). A Bernsteinian view of learning and teaching undergraduate sociology-based social science. Enhancing Learning in the Social Sciences, 5, 32-44. </w:t>
      </w:r>
    </w:p>
    <w:p w14:paraId="60373967" w14:textId="506B0B62"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Mc</w:t>
      </w:r>
      <w:r w:rsidR="00424F6F">
        <w:rPr>
          <w:rFonts w:cs="Arial"/>
          <w:color w:val="000000" w:themeColor="text1"/>
        </w:rPr>
        <w:t>L</w:t>
      </w:r>
      <w:r w:rsidRPr="0072740E">
        <w:rPr>
          <w:rFonts w:cs="Arial"/>
          <w:color w:val="000000" w:themeColor="text1"/>
        </w:rPr>
        <w:t xml:space="preserve">ean, M., Abbas, A. &amp; Ashwin, P. </w:t>
      </w:r>
      <w:r w:rsidRPr="002972A9">
        <w:rPr>
          <w:rFonts w:cs="Arial"/>
          <w:color w:val="000000" w:themeColor="text1"/>
        </w:rPr>
        <w:t>(2014), How do students’ accounts of sociology change over the course of their undergraduate degrees? Higher Education 67, 219–234.</w:t>
      </w:r>
    </w:p>
    <w:p w14:paraId="41A212CA" w14:textId="35A09FAB"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Mc</w:t>
      </w:r>
      <w:r w:rsidR="00424F6F">
        <w:rPr>
          <w:rFonts w:cs="Arial"/>
          <w:color w:val="000000" w:themeColor="text1"/>
        </w:rPr>
        <w:t>L</w:t>
      </w:r>
      <w:r w:rsidRPr="0072740E">
        <w:rPr>
          <w:rFonts w:cs="Arial"/>
          <w:color w:val="000000" w:themeColor="text1"/>
        </w:rPr>
        <w:t>ean, M., Abbas, A. &amp; Ashwin, P. (2015). Not everybody walks around and thinks “That’s an example of othering or stigmatisation”’: Identity, pedagogic rights and the acquisition of undergraduate sociology-based social science knowledge. Theory and Research in Education, 13, 180-197.</w:t>
      </w:r>
    </w:p>
    <w:p w14:paraId="01B79838" w14:textId="77777777" w:rsidR="00AE67DC" w:rsidRPr="0072740E" w:rsidRDefault="00AE67DC" w:rsidP="006370E7">
      <w:pPr>
        <w:spacing w:after="100" w:afterAutospacing="1" w:line="360" w:lineRule="auto"/>
        <w:jc w:val="both"/>
        <w:rPr>
          <w:rFonts w:cs="Arial"/>
          <w:color w:val="000000" w:themeColor="text1"/>
        </w:rPr>
      </w:pPr>
      <w:r w:rsidRPr="00E2647A">
        <w:rPr>
          <w:rFonts w:cs="Arial"/>
          <w:color w:val="000000" w:themeColor="text1"/>
        </w:rPr>
        <w:t>McLean, M., Abbas, A., &amp; Ashwin, P. (2018). Quality in undergraduate education: How powerful knowledge disrupts inequality. Bloomsbury Academic.</w:t>
      </w:r>
    </w:p>
    <w:p w14:paraId="7B573EB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Meyer, J.H.F., Ward, S.C. and Latreille, P. (2009) Threshold concepts and metalearning capacity, International review of economics education, 8</w:t>
      </w:r>
      <w:r>
        <w:rPr>
          <w:rFonts w:cs="Arial"/>
          <w:color w:val="000000" w:themeColor="text1"/>
        </w:rPr>
        <w:t xml:space="preserve">:1, </w:t>
      </w:r>
      <w:r w:rsidRPr="0072740E">
        <w:rPr>
          <w:rFonts w:cs="Arial"/>
          <w:color w:val="000000" w:themeColor="text1"/>
        </w:rPr>
        <w:t xml:space="preserve">132–154. </w:t>
      </w:r>
    </w:p>
    <w:p w14:paraId="5D0E9A7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Miles, M.B., Huberman, A. M. and Saldaña, J.  (2020) Qualitative data analysis: a methods sourcebook. Fourth edition, International student edition. Thousand Oaks, California: Sage.</w:t>
      </w:r>
    </w:p>
    <w:p w14:paraId="14480AC4"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Moore, R. and Maton, K. (2001) </w:t>
      </w:r>
      <w:r>
        <w:rPr>
          <w:rFonts w:cs="Arial"/>
          <w:color w:val="000000" w:themeColor="text1"/>
        </w:rPr>
        <w:t>‘</w:t>
      </w:r>
      <w:r w:rsidRPr="0072740E">
        <w:rPr>
          <w:rFonts w:cs="Arial"/>
          <w:color w:val="000000" w:themeColor="text1"/>
        </w:rPr>
        <w:t>Founding the sociology of knowledge: Basil Berstein, intellectual fields and the epistemic device'. in A. Morais, I.Neves, B. Davies and H.</w:t>
      </w:r>
      <w:r>
        <w:rPr>
          <w:rFonts w:cs="Arial"/>
          <w:color w:val="000000" w:themeColor="text1"/>
        </w:rPr>
        <w:t xml:space="preserve"> </w:t>
      </w:r>
      <w:r w:rsidRPr="0072740E">
        <w:rPr>
          <w:rFonts w:cs="Arial"/>
          <w:color w:val="000000" w:themeColor="text1"/>
        </w:rPr>
        <w:t>Daniels (eds) Towards a Sociology of Pedagogy: The Contribution of Basil Berstein to Research, New York: Pater Lang</w:t>
      </w:r>
    </w:p>
    <w:p w14:paraId="560D84AA" w14:textId="2B03A5EA" w:rsidR="00900765" w:rsidRPr="0072740E" w:rsidRDefault="00900765" w:rsidP="006370E7">
      <w:pPr>
        <w:spacing w:after="100" w:afterAutospacing="1" w:line="360" w:lineRule="auto"/>
        <w:jc w:val="both"/>
        <w:rPr>
          <w:rFonts w:cs="Arial"/>
          <w:color w:val="000000" w:themeColor="text1"/>
        </w:rPr>
      </w:pPr>
      <w:r w:rsidRPr="007C497D">
        <w:rPr>
          <w:rFonts w:cs="Arial"/>
          <w:color w:val="000000" w:themeColor="text1"/>
        </w:rPr>
        <w:t>Morrison, D., and Guth, J., (2021), Rethinking the Neoliberal University: Embracing Vulnerability in English Law Schools? Online The Law Teacher. 7</w:t>
      </w:r>
    </w:p>
    <w:p w14:paraId="2AD1C4A4"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Muller, J. (2000) Reclaiming Knowledge: social theory, curriculum and education policy (New York &amp; London, Falmer). </w:t>
      </w:r>
    </w:p>
    <w:p w14:paraId="4C718D56"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Muller, J. and Young, M. (2014) Disciplines, skills and the university, Higher education, 67</w:t>
      </w:r>
      <w:r>
        <w:rPr>
          <w:rFonts w:cs="Arial"/>
          <w:color w:val="000000" w:themeColor="text1"/>
        </w:rPr>
        <w:t xml:space="preserve">:2, </w:t>
      </w:r>
      <w:r w:rsidRPr="0072740E">
        <w:rPr>
          <w:rFonts w:cs="Arial"/>
          <w:color w:val="000000" w:themeColor="text1"/>
        </w:rPr>
        <w:t xml:space="preserve">127–140. </w:t>
      </w:r>
    </w:p>
    <w:p w14:paraId="3B47FA34"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Muller, J. (2023)</w:t>
      </w:r>
      <w:r>
        <w:rPr>
          <w:rFonts w:cs="Arial"/>
          <w:color w:val="000000" w:themeColor="text1"/>
        </w:rPr>
        <w:t xml:space="preserve">, </w:t>
      </w:r>
      <w:r w:rsidRPr="0072740E">
        <w:rPr>
          <w:rFonts w:cs="Arial"/>
          <w:color w:val="000000" w:themeColor="text1"/>
        </w:rPr>
        <w:t>Powerful knowledge, disciplinary knowledge, curriculum knowledge: educational knowledge in question, International research in geographical and environmental education, 32</w:t>
      </w:r>
      <w:r>
        <w:rPr>
          <w:rFonts w:cs="Arial"/>
          <w:color w:val="000000" w:themeColor="text1"/>
        </w:rPr>
        <w:t xml:space="preserve">:1, </w:t>
      </w:r>
      <w:r w:rsidRPr="0072740E">
        <w:rPr>
          <w:rFonts w:cs="Arial"/>
          <w:color w:val="000000" w:themeColor="text1"/>
        </w:rPr>
        <w:t>20–34.</w:t>
      </w:r>
    </w:p>
    <w:p w14:paraId="53566E3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Newell, C., &amp; Bain, A.</w:t>
      </w:r>
      <w:r>
        <w:rPr>
          <w:rFonts w:cs="Arial"/>
          <w:color w:val="000000" w:themeColor="text1"/>
        </w:rPr>
        <w:t>,</w:t>
      </w:r>
      <w:r w:rsidRPr="0072740E">
        <w:rPr>
          <w:rFonts w:cs="Arial"/>
          <w:color w:val="000000" w:themeColor="text1"/>
        </w:rPr>
        <w:t xml:space="preserve"> (2020) Academics' Perceptions of Collaboration in Higher Education Course Design. Higher education research and development 39</w:t>
      </w:r>
      <w:r>
        <w:rPr>
          <w:rFonts w:cs="Arial"/>
          <w:color w:val="000000" w:themeColor="text1"/>
        </w:rPr>
        <w:t xml:space="preserve">:4, </w:t>
      </w:r>
      <w:r w:rsidRPr="0072740E">
        <w:rPr>
          <w:rFonts w:cs="Arial"/>
          <w:color w:val="000000" w:themeColor="text1"/>
        </w:rPr>
        <w:t>748</w:t>
      </w:r>
    </w:p>
    <w:p w14:paraId="28E51DF7" w14:textId="45FBF8C4" w:rsidR="005157C0" w:rsidRPr="005157C0" w:rsidRDefault="005157C0" w:rsidP="006370E7">
      <w:pPr>
        <w:spacing w:after="100" w:afterAutospacing="1" w:line="360" w:lineRule="auto"/>
        <w:jc w:val="both"/>
        <w:rPr>
          <w:rFonts w:cs="Arial"/>
          <w:color w:val="000000" w:themeColor="text1"/>
        </w:rPr>
      </w:pPr>
      <w:r w:rsidRPr="005157C0">
        <w:rPr>
          <w:rFonts w:cs="Arial"/>
          <w:color w:val="000000" w:themeColor="text1"/>
        </w:rPr>
        <w:t>Nicholson, A. (2019). The value of a law degree. The Law Teacher, 54</w:t>
      </w:r>
      <w:r>
        <w:rPr>
          <w:rFonts w:cs="Arial"/>
          <w:color w:val="000000" w:themeColor="text1"/>
        </w:rPr>
        <w:t>:2</w:t>
      </w:r>
      <w:r w:rsidRPr="005157C0">
        <w:rPr>
          <w:rFonts w:cs="Arial"/>
          <w:color w:val="000000" w:themeColor="text1"/>
        </w:rPr>
        <w:t xml:space="preserve">, 194–208. </w:t>
      </w:r>
    </w:p>
    <w:p w14:paraId="7AF70F4A" w14:textId="04A0D3AC" w:rsidR="005157C0" w:rsidRPr="005157C0" w:rsidRDefault="005157C0" w:rsidP="006370E7">
      <w:pPr>
        <w:spacing w:after="100" w:afterAutospacing="1" w:line="360" w:lineRule="auto"/>
        <w:jc w:val="both"/>
        <w:rPr>
          <w:rFonts w:cs="Arial"/>
          <w:color w:val="000000" w:themeColor="text1"/>
        </w:rPr>
      </w:pPr>
      <w:r w:rsidRPr="005157C0">
        <w:rPr>
          <w:rFonts w:cs="Arial"/>
          <w:color w:val="000000" w:themeColor="text1"/>
        </w:rPr>
        <w:t xml:space="preserve">Nicholson, A., &amp; Johnston, P. (2020). The value of a law degree – part 3: a student perspective. The Law Teacher, 55:4, 431–447. </w:t>
      </w:r>
    </w:p>
    <w:p w14:paraId="2BC4EE23" w14:textId="31B4AA53" w:rsidR="00AE67DC" w:rsidRPr="0072740E" w:rsidRDefault="00AE67DC" w:rsidP="006370E7">
      <w:pPr>
        <w:spacing w:after="100" w:afterAutospacing="1" w:line="360" w:lineRule="auto"/>
        <w:jc w:val="both"/>
        <w:rPr>
          <w:rFonts w:cs="Arial"/>
          <w:color w:val="000000" w:themeColor="text1"/>
        </w:rPr>
      </w:pPr>
      <w:r w:rsidRPr="00736AE4">
        <w:rPr>
          <w:rFonts w:cs="Arial"/>
          <w:color w:val="000000" w:themeColor="text1"/>
        </w:rPr>
        <w:t xml:space="preserve">Nixon, J. (Ed.). (2017). Higher education in austerity Europe. Bloomsbury Academic. </w:t>
      </w:r>
    </w:p>
    <w:p w14:paraId="3CF0924D"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Northedge, A. &amp; McArthur, J. (2008), in Kreber, C (ed). The university and its disciplines teaching and learning within and beyond disciplinary boundaries. London: Routledge.</w:t>
      </w:r>
    </w:p>
    <w:p w14:paraId="742968CA"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Nottingham Trent’s Centre for Legal Education Conference 2024: </w:t>
      </w:r>
      <w:hyperlink r:id="rId27" w:history="1">
        <w:r w:rsidRPr="0072740E">
          <w:rPr>
            <w:rFonts w:cs="Arial"/>
            <w:color w:val="000000" w:themeColor="text1"/>
          </w:rPr>
          <w:t>https://www.ntu.ac.uk/about-us/events/events/2024/6/centre-for-legal-education-conference-2024</w:t>
        </w:r>
      </w:hyperlink>
    </w:p>
    <w:p w14:paraId="73A5FEE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Nuffield Inquiry (2006), leading to Report: H. Genn, M. Partington, and S. Wheeler, Law in the Real World: Improving our Understanding of How Law Works, Final Report and Recommendations </w:t>
      </w:r>
    </w:p>
    <w:p w14:paraId="42309E96" w14:textId="77777777" w:rsidR="00AE67DC" w:rsidRDefault="00AE67DC" w:rsidP="006370E7">
      <w:pPr>
        <w:spacing w:after="100" w:afterAutospacing="1" w:line="360" w:lineRule="auto"/>
        <w:jc w:val="both"/>
        <w:rPr>
          <w:rFonts w:cs="Arial"/>
          <w:color w:val="000000" w:themeColor="text1"/>
        </w:rPr>
      </w:pPr>
      <w:r w:rsidRPr="00736AE4">
        <w:rPr>
          <w:rFonts w:cs="Arial"/>
          <w:color w:val="000000" w:themeColor="text1"/>
        </w:rPr>
        <w:lastRenderedPageBreak/>
        <w:t xml:space="preserve">OECD (2019) Education and Skills Policy Programme, accessed at </w:t>
      </w:r>
      <w:hyperlink r:id="rId28" w:history="1">
        <w:r w:rsidRPr="00A25045">
          <w:rPr>
            <w:rStyle w:val="Hyperlink"/>
            <w:rFonts w:cs="Arial"/>
          </w:rPr>
          <w:t>https://www.oecd.org/en/about/programmes/education-and-skills-policy-programmes.html</w:t>
        </w:r>
      </w:hyperlink>
      <w:r w:rsidRPr="003E4A97">
        <w:rPr>
          <w:rFonts w:cs="Arial"/>
          <w:color w:val="000000" w:themeColor="text1"/>
        </w:rPr>
        <w:t xml:space="preserve"> </w:t>
      </w:r>
    </w:p>
    <w:p w14:paraId="5E40C305"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Olson, K. (2016) Essentials of qualitative interviewing. London: Routledge.</w:t>
      </w:r>
    </w:p>
    <w:p w14:paraId="7586918C" w14:textId="77777777" w:rsidR="00AE67DC" w:rsidRPr="00736AE4" w:rsidRDefault="00AE67DC" w:rsidP="006370E7">
      <w:pPr>
        <w:spacing w:after="100" w:afterAutospacing="1" w:line="360" w:lineRule="auto"/>
        <w:jc w:val="both"/>
        <w:rPr>
          <w:rFonts w:cs="Arial"/>
          <w:color w:val="000000" w:themeColor="text1"/>
        </w:rPr>
      </w:pPr>
      <w:r w:rsidRPr="0072740E">
        <w:rPr>
          <w:rFonts w:cs="Arial"/>
          <w:color w:val="000000" w:themeColor="text1"/>
        </w:rPr>
        <w:t>Olson, J. S., &amp; Kenahan, R., (2021) “An Overwhelming Cloud of Inertia”: Evaluating the Impact of Course Design Changes Following the COVID-19 Pandemic. Online learning</w:t>
      </w:r>
      <w:r>
        <w:rPr>
          <w:rFonts w:cs="Arial"/>
          <w:color w:val="000000" w:themeColor="text1"/>
        </w:rPr>
        <w:t xml:space="preserve">, </w:t>
      </w:r>
      <w:r w:rsidRPr="0072740E">
        <w:rPr>
          <w:rFonts w:cs="Arial"/>
          <w:color w:val="000000" w:themeColor="text1"/>
        </w:rPr>
        <w:t>25</w:t>
      </w:r>
      <w:r>
        <w:rPr>
          <w:rFonts w:cs="Arial"/>
          <w:color w:val="000000" w:themeColor="text1"/>
        </w:rPr>
        <w:t xml:space="preserve">:4, </w:t>
      </w:r>
      <w:r w:rsidRPr="0072740E">
        <w:rPr>
          <w:rFonts w:cs="Arial"/>
          <w:color w:val="000000" w:themeColor="text1"/>
        </w:rPr>
        <w:t>264</w:t>
      </w:r>
    </w:p>
    <w:p w14:paraId="468A95EE"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Ordoyno, H. (2016) (PhD Thesis) Access to knowledge and the formation of lawyer-identity: a Bernsteinian comparison of undergraduate law degrees at two UK universities of different status. University of Nottingham. Accessed at: </w:t>
      </w:r>
      <w:hyperlink r:id="rId29" w:history="1">
        <w:r w:rsidRPr="00736AE4">
          <w:rPr>
            <w:rFonts w:cs="Arial"/>
            <w:color w:val="000000" w:themeColor="text1"/>
          </w:rPr>
          <w:t>https://eprints.nottingham.ac.uk/31342/1/Full%20draft%20Hannah%20Ordoyno%20FINAL%20FOR%20PRINT%202016.pdf</w:t>
        </w:r>
      </w:hyperlink>
    </w:p>
    <w:p w14:paraId="4DA69EDB" w14:textId="17145B8D" w:rsidR="00AE67DC" w:rsidRDefault="00AE67DC" w:rsidP="006370E7">
      <w:pPr>
        <w:spacing w:after="100" w:afterAutospacing="1" w:line="360" w:lineRule="auto"/>
        <w:jc w:val="both"/>
        <w:rPr>
          <w:rFonts w:cs="Arial"/>
          <w:color w:val="000000" w:themeColor="text1"/>
        </w:rPr>
      </w:pPr>
      <w:r w:rsidRPr="005157C0">
        <w:rPr>
          <w:rFonts w:cs="Arial"/>
          <w:color w:val="000000" w:themeColor="text1"/>
        </w:rPr>
        <w:t>Ormrod (1971): Report of the Committee on Legal Education (Ormrod Report</w:t>
      </w:r>
      <w:r w:rsidR="005157C0">
        <w:rPr>
          <w:rFonts w:cs="Arial"/>
          <w:color w:val="000000" w:themeColor="text1"/>
        </w:rPr>
        <w:t>,</w:t>
      </w:r>
      <w:r w:rsidR="005157C0" w:rsidRPr="005157C0">
        <w:rPr>
          <w:rFonts w:cs="Arial"/>
          <w:color w:val="000000" w:themeColor="text1"/>
        </w:rPr>
        <w:t xml:space="preserve"> CMND 4595</w:t>
      </w:r>
      <w:r w:rsidRPr="005157C0">
        <w:rPr>
          <w:rFonts w:cs="Arial"/>
          <w:color w:val="000000" w:themeColor="text1"/>
        </w:rPr>
        <w:t xml:space="preserve">). </w:t>
      </w:r>
    </w:p>
    <w:p w14:paraId="0C2917C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Patton, M.Q. (2015)</w:t>
      </w:r>
      <w:r>
        <w:rPr>
          <w:rFonts w:cs="Arial"/>
          <w:color w:val="000000" w:themeColor="text1"/>
        </w:rPr>
        <w:t>.</w:t>
      </w:r>
      <w:r w:rsidRPr="0072740E">
        <w:rPr>
          <w:rFonts w:cs="Arial"/>
          <w:color w:val="000000" w:themeColor="text1"/>
        </w:rPr>
        <w:t xml:space="preserve"> Qualitative research and evaluation methods: integrating theory and practice. Fourth edition. Washington, D.C: SAGE Publications, Inc.</w:t>
      </w:r>
    </w:p>
    <w:p w14:paraId="1F819CB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Paxton, M., &amp; Frith, V</w:t>
      </w:r>
      <w:r>
        <w:rPr>
          <w:rFonts w:cs="Arial"/>
          <w:color w:val="000000" w:themeColor="text1"/>
        </w:rPr>
        <w:t>.,</w:t>
      </w:r>
      <w:r w:rsidRPr="0072740E">
        <w:rPr>
          <w:rFonts w:cs="Arial"/>
          <w:color w:val="000000" w:themeColor="text1"/>
        </w:rPr>
        <w:t xml:space="preserve"> (2014) Implications of Academic Literacies Research for Knowledge Making and Curriculum Design. Higher Education 67</w:t>
      </w:r>
      <w:r>
        <w:rPr>
          <w:rFonts w:cs="Arial"/>
          <w:color w:val="000000" w:themeColor="text1"/>
        </w:rPr>
        <w:t>:2,</w:t>
      </w:r>
      <w:r w:rsidRPr="0072740E">
        <w:rPr>
          <w:rFonts w:cs="Arial"/>
          <w:color w:val="000000" w:themeColor="text1"/>
        </w:rPr>
        <w:t xml:space="preserve"> 171.</w:t>
      </w:r>
    </w:p>
    <w:p w14:paraId="4A66ACAA"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Ponnaiah, M., Bhatnagar, T., Ganeshkumar, P., Bhar, D., Elumalai, R., Vijayageetha, M., Suliankatchi Abdulkader, R., Chaudhuri, S., Sharma, U., and Murhekar, M.V., (2022) Design and Implementation Challenges of Massive Open Online Course on Research Methods for Indian Medical Postgraduates and Teachers -Descriptive Analysis of Inaugural Cycle</w:t>
      </w:r>
      <w:r>
        <w:rPr>
          <w:rFonts w:cs="Arial"/>
          <w:color w:val="000000" w:themeColor="text1"/>
        </w:rPr>
        <w:t>,</w:t>
      </w:r>
      <w:r w:rsidRPr="0072740E">
        <w:rPr>
          <w:rFonts w:cs="Arial"/>
          <w:color w:val="000000" w:themeColor="text1"/>
        </w:rPr>
        <w:t xml:space="preserve"> BMC </w:t>
      </w:r>
      <w:r>
        <w:rPr>
          <w:rFonts w:cs="Arial"/>
          <w:color w:val="000000" w:themeColor="text1"/>
        </w:rPr>
        <w:t>M</w:t>
      </w:r>
      <w:r w:rsidRPr="0072740E">
        <w:rPr>
          <w:rFonts w:cs="Arial"/>
          <w:color w:val="000000" w:themeColor="text1"/>
        </w:rPr>
        <w:t xml:space="preserve">edical </w:t>
      </w:r>
      <w:r>
        <w:rPr>
          <w:rFonts w:cs="Arial"/>
          <w:color w:val="000000" w:themeColor="text1"/>
        </w:rPr>
        <w:t>E</w:t>
      </w:r>
      <w:r w:rsidRPr="0072740E">
        <w:rPr>
          <w:rFonts w:cs="Arial"/>
          <w:color w:val="000000" w:themeColor="text1"/>
        </w:rPr>
        <w:t>ducation 22</w:t>
      </w:r>
      <w:r>
        <w:rPr>
          <w:rFonts w:cs="Arial"/>
          <w:color w:val="000000" w:themeColor="text1"/>
        </w:rPr>
        <w:t xml:space="preserve">:1, </w:t>
      </w:r>
      <w:r w:rsidRPr="0072740E">
        <w:rPr>
          <w:rFonts w:cs="Arial"/>
          <w:color w:val="000000" w:themeColor="text1"/>
        </w:rPr>
        <w:t>369.</w:t>
      </w:r>
    </w:p>
    <w:p w14:paraId="5FFAE3D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Poole, G. (2008) ‘Academic Disciplines: Homes or Barricades?’ in Kreber, C (ed). The university and its disciplines teaching and learning within and beyond disciplinary boundaries. London: Routledge.</w:t>
      </w:r>
    </w:p>
    <w:p w14:paraId="37030F56"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 xml:space="preserve">Potter, J. and Robles, J., (2022) Constructionism and qualitative research design, </w:t>
      </w:r>
      <w:r>
        <w:rPr>
          <w:rFonts w:cs="Arial"/>
          <w:color w:val="000000" w:themeColor="text1"/>
        </w:rPr>
        <w:t xml:space="preserve">In </w:t>
      </w:r>
      <w:r w:rsidRPr="0072740E">
        <w:rPr>
          <w:rFonts w:cs="Arial"/>
          <w:color w:val="000000" w:themeColor="text1"/>
        </w:rPr>
        <w:t xml:space="preserve">Flick, U. </w:t>
      </w:r>
      <w:r>
        <w:rPr>
          <w:rFonts w:cs="Arial"/>
          <w:color w:val="000000" w:themeColor="text1"/>
        </w:rPr>
        <w:t xml:space="preserve">(ed), </w:t>
      </w:r>
      <w:r w:rsidRPr="0072740E">
        <w:rPr>
          <w:rFonts w:cs="Arial"/>
          <w:color w:val="000000" w:themeColor="text1"/>
        </w:rPr>
        <w:t xml:space="preserve">The SAGE Handbook of Qualitative Research Design. </w:t>
      </w:r>
      <w:r>
        <w:rPr>
          <w:rFonts w:cs="Arial"/>
          <w:color w:val="000000" w:themeColor="text1"/>
        </w:rPr>
        <w:t xml:space="preserve">Chapter 6, </w:t>
      </w:r>
      <w:r w:rsidRPr="0072740E">
        <w:rPr>
          <w:rFonts w:cs="Arial"/>
          <w:color w:val="000000" w:themeColor="text1"/>
        </w:rPr>
        <w:t>1st ed. London: SAGE Publications, Limited.</w:t>
      </w:r>
    </w:p>
    <w:p w14:paraId="0B702F7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Quality Assurance Agency Law Benchmark Statement (2023) Accessed at: </w:t>
      </w:r>
      <w:hyperlink r:id="rId30" w:history="1">
        <w:r w:rsidRPr="00736AE4">
          <w:rPr>
            <w:rFonts w:cs="Arial"/>
            <w:color w:val="000000" w:themeColor="text1"/>
          </w:rPr>
          <w:t>https://www.qaa.ac.uk/docs/qaa/sbs/sbs-law-23.pdf?sfvrsn=c271a881_6</w:t>
        </w:r>
      </w:hyperlink>
    </w:p>
    <w:p w14:paraId="69DA6855" w14:textId="77777777" w:rsidR="00AE67DC" w:rsidRPr="0082431F" w:rsidRDefault="00AE67DC" w:rsidP="006370E7">
      <w:pPr>
        <w:spacing w:after="100" w:afterAutospacing="1" w:line="360" w:lineRule="auto"/>
        <w:jc w:val="both"/>
      </w:pPr>
      <w:r w:rsidRPr="0072740E">
        <w:rPr>
          <w:rFonts w:cs="Arial"/>
          <w:color w:val="000000" w:themeColor="text1"/>
        </w:rPr>
        <w:t xml:space="preserve">Rasiah, S. (2022) A stakeholder analysis of the purpose, content and currency of LLB degrees in England and Wales in relation to transferable skills for employment.  Doctoral Thesis, Northumbria University. Accessed at </w:t>
      </w:r>
      <w:hyperlink r:id="rId31" w:history="1">
        <w:r w:rsidRPr="0082431F">
          <w:rPr>
            <w:rFonts w:cs="Arial"/>
            <w:color w:val="000000" w:themeColor="text1"/>
          </w:rPr>
          <w:t>https://researchportal.northumbria.ac.uk/ws/portalfiles/portal/177385843/SamanthaRasiahThesisUNN</w:t>
        </w:r>
      </w:hyperlink>
    </w:p>
    <w:p w14:paraId="37DB1264" w14:textId="0308E547" w:rsidR="00AE67DC" w:rsidRPr="0072740E" w:rsidRDefault="00AE67DC" w:rsidP="006370E7">
      <w:pPr>
        <w:spacing w:after="100" w:afterAutospacing="1" w:line="360" w:lineRule="auto"/>
        <w:jc w:val="both"/>
        <w:rPr>
          <w:rFonts w:cs="Arial"/>
          <w:color w:val="000000" w:themeColor="text1"/>
        </w:rPr>
      </w:pPr>
      <w:r w:rsidRPr="0082431F">
        <w:rPr>
          <w:rFonts w:cs="Arial"/>
          <w:color w:val="000000" w:themeColor="text1"/>
        </w:rPr>
        <w:t>Reay, D. (2021). The working classes and higher education: Meritocratic fallacies of upward mobility in the United Kingdom. European Journal of Education, 56:1, 53–64.</w:t>
      </w:r>
      <w:r w:rsidRPr="0072740E">
        <w:rPr>
          <w:rFonts w:cs="Arial"/>
          <w:color w:val="000000" w:themeColor="text1"/>
        </w:rPr>
        <w:t xml:space="preserve"> </w:t>
      </w:r>
    </w:p>
    <w:p w14:paraId="6A5D47E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Reid, A., Nagarajan, V., &amp; Dortins, E. (2006). The experience of becoming a legal professional. Higher Education Research and Development, 25</w:t>
      </w:r>
      <w:r>
        <w:rPr>
          <w:rFonts w:cs="Arial"/>
          <w:color w:val="000000" w:themeColor="text1"/>
        </w:rPr>
        <w:t xml:space="preserve">:1, </w:t>
      </w:r>
      <w:r w:rsidRPr="0072740E">
        <w:rPr>
          <w:rFonts w:cs="Arial"/>
          <w:color w:val="000000" w:themeColor="text1"/>
        </w:rPr>
        <w:t xml:space="preserve">85–99. </w:t>
      </w:r>
    </w:p>
    <w:p w14:paraId="179BCD3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Roper, V., Dunn, D.R. and Rasiah, S. (2020) Revisiting "Pressing problems in the law: what is the law school for?" 20 years on, Law Teacher, 54</w:t>
      </w:r>
      <w:r>
        <w:rPr>
          <w:rFonts w:cs="Arial"/>
          <w:color w:val="000000" w:themeColor="text1"/>
        </w:rPr>
        <w:t xml:space="preserve">:3, </w:t>
      </w:r>
      <w:r w:rsidRPr="0072740E">
        <w:rPr>
          <w:rFonts w:cs="Arial"/>
          <w:color w:val="000000" w:themeColor="text1"/>
        </w:rPr>
        <w:t xml:space="preserve">455. </w:t>
      </w:r>
    </w:p>
    <w:p w14:paraId="4F1BC90F"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Roulston, K. and Haplin, S., (2022) Designing qualitative research using interview data, </w:t>
      </w:r>
      <w:r>
        <w:rPr>
          <w:rFonts w:cs="Arial"/>
          <w:color w:val="000000" w:themeColor="text1"/>
        </w:rPr>
        <w:t>In</w:t>
      </w:r>
      <w:r w:rsidRPr="0072740E">
        <w:rPr>
          <w:rFonts w:cs="Arial"/>
          <w:color w:val="000000" w:themeColor="text1"/>
        </w:rPr>
        <w:t xml:space="preserve"> Flick, U. </w:t>
      </w:r>
      <w:r>
        <w:rPr>
          <w:rFonts w:cs="Arial"/>
          <w:color w:val="000000" w:themeColor="text1"/>
        </w:rPr>
        <w:t xml:space="preserve">(ed.) </w:t>
      </w:r>
      <w:r w:rsidRPr="0072740E">
        <w:rPr>
          <w:rFonts w:cs="Arial"/>
          <w:color w:val="000000" w:themeColor="text1"/>
        </w:rPr>
        <w:t xml:space="preserve"> The SAGE Handbook of Qualitative Research Design. </w:t>
      </w:r>
      <w:r>
        <w:rPr>
          <w:rFonts w:cs="Arial"/>
          <w:color w:val="000000" w:themeColor="text1"/>
        </w:rPr>
        <w:t xml:space="preserve">Chpater 40, </w:t>
      </w:r>
      <w:r w:rsidRPr="0072740E">
        <w:rPr>
          <w:rFonts w:cs="Arial"/>
          <w:color w:val="000000" w:themeColor="text1"/>
        </w:rPr>
        <w:t>1st ed. London: SAGE Publications, Limited.</w:t>
      </w:r>
    </w:p>
    <w:p w14:paraId="77FD32BE" w14:textId="77777777" w:rsidR="00AE67DC" w:rsidRPr="0072740E" w:rsidRDefault="00AE67DC" w:rsidP="006370E7">
      <w:pPr>
        <w:spacing w:after="100" w:afterAutospacing="1" w:line="360" w:lineRule="auto"/>
        <w:jc w:val="both"/>
        <w:rPr>
          <w:rFonts w:cs="Arial"/>
          <w:color w:val="000000" w:themeColor="text1"/>
        </w:rPr>
      </w:pPr>
      <w:r w:rsidRPr="00736AE4">
        <w:rPr>
          <w:rFonts w:cs="Arial"/>
          <w:color w:val="000000" w:themeColor="text1"/>
        </w:rPr>
        <w:t xml:space="preserve">Rowbottom, D. (2007) Demystifying threshold </w:t>
      </w:r>
      <w:r w:rsidRPr="002E1B1B">
        <w:rPr>
          <w:rFonts w:cs="Arial"/>
          <w:color w:val="000000" w:themeColor="text1"/>
        </w:rPr>
        <w:t>Concepts, Journal of Philosophy</w:t>
      </w:r>
      <w:r>
        <w:rPr>
          <w:rFonts w:cs="Arial"/>
          <w:color w:val="000000" w:themeColor="text1"/>
        </w:rPr>
        <w:t xml:space="preserve"> of Education</w:t>
      </w:r>
      <w:r w:rsidRPr="00736AE4">
        <w:rPr>
          <w:rFonts w:cs="Arial"/>
          <w:color w:val="000000" w:themeColor="text1"/>
        </w:rPr>
        <w:t>, 41:1, 263-70</w:t>
      </w:r>
    </w:p>
    <w:p w14:paraId="47908B4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Rowsell, J. (2024), Is it time to reintroduce caps on student numbers in England, The Times Higher, 21</w:t>
      </w:r>
      <w:r>
        <w:rPr>
          <w:rFonts w:cs="Arial"/>
          <w:color w:val="000000" w:themeColor="text1"/>
        </w:rPr>
        <w:t xml:space="preserve"> </w:t>
      </w:r>
      <w:r w:rsidRPr="0072740E">
        <w:rPr>
          <w:rFonts w:cs="Arial"/>
          <w:color w:val="000000" w:themeColor="text1"/>
        </w:rPr>
        <w:t>Nov 2024</w:t>
      </w:r>
    </w:p>
    <w:p w14:paraId="0F3AE334"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Saldaña, J. (2021) The coding manual for qualitative researchers. Fourth edition. Washington, D.C.]: SAGE Publications Ltd.</w:t>
      </w:r>
    </w:p>
    <w:p w14:paraId="612B0A45"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Saunders, M. &amp; Sin, C. (2015)</w:t>
      </w:r>
      <w:r>
        <w:rPr>
          <w:rFonts w:cs="Arial"/>
          <w:color w:val="000000" w:themeColor="text1"/>
        </w:rPr>
        <w:t>.</w:t>
      </w:r>
      <w:r w:rsidRPr="0072740E">
        <w:rPr>
          <w:rFonts w:cs="Arial"/>
          <w:color w:val="000000" w:themeColor="text1"/>
        </w:rPr>
        <w:t> Middle managers’ experience of policy implementation and mediation in the context of the Scottish quality enhancement framework, Assessment &amp; Evaluation in Higher Education, 40</w:t>
      </w:r>
      <w:r>
        <w:rPr>
          <w:rFonts w:cs="Arial"/>
          <w:color w:val="000000" w:themeColor="text1"/>
        </w:rPr>
        <w:t xml:space="preserve">:1, </w:t>
      </w:r>
      <w:r w:rsidRPr="0072740E">
        <w:rPr>
          <w:rFonts w:cs="Arial"/>
          <w:color w:val="000000" w:themeColor="text1"/>
        </w:rPr>
        <w:t>135-150.</w:t>
      </w:r>
    </w:p>
    <w:p w14:paraId="318A465F" w14:textId="73F20EC0" w:rsidR="006C6EF7" w:rsidRDefault="006C6EF7" w:rsidP="005157C0">
      <w:pPr>
        <w:spacing w:after="100" w:afterAutospacing="1" w:line="360" w:lineRule="auto"/>
        <w:jc w:val="both"/>
        <w:rPr>
          <w:rFonts w:cs="Arial"/>
          <w:color w:val="000000" w:themeColor="text1"/>
        </w:rPr>
      </w:pPr>
      <w:r w:rsidRPr="006C6EF7">
        <w:rPr>
          <w:rFonts w:cs="Arial"/>
          <w:color w:val="000000" w:themeColor="text1"/>
        </w:rPr>
        <w:t>Sanders, A., (2015).  Poor Thinking, Poor Outcome? The Future of the Law Degree after the Legal Education and Training Review and the Case for Socio-Legalism, The Futures of Legal Education and the Legal Profession (Bloomsbury).</w:t>
      </w:r>
    </w:p>
    <w:p w14:paraId="4B35E4BD" w14:textId="77777777" w:rsidR="00AE67DC" w:rsidRPr="00A97421" w:rsidRDefault="00AE67DC" w:rsidP="006370E7">
      <w:pPr>
        <w:spacing w:after="100" w:afterAutospacing="1" w:line="360" w:lineRule="auto"/>
        <w:jc w:val="both"/>
        <w:rPr>
          <w:rFonts w:cs="Arial"/>
          <w:color w:val="000000" w:themeColor="text1"/>
        </w:rPr>
      </w:pPr>
      <w:r w:rsidRPr="005157C0">
        <w:rPr>
          <w:rFonts w:cs="Arial"/>
          <w:color w:val="000000" w:themeColor="text1"/>
        </w:rPr>
        <w:t>Sardashti, S., M. Shafaie, and Mozaffar, F., (2019), Critical Pedagogy in Architectural Design Course (Case Study: Postgraduate Design Course (1) of Islamic Azad University of Gorgan). Nashrīyah-i ʻIlmī pizhūhishī-i fannāvarī-i āmūzish 13, no. 3  550</w:t>
      </w:r>
    </w:p>
    <w:p w14:paraId="6D95012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Schultze, U., &amp; Avital, M. (2011). Designing interviews to generate rich data for information systems research. Information and Organization, 21</w:t>
      </w:r>
      <w:r>
        <w:rPr>
          <w:rFonts w:cs="Arial"/>
          <w:color w:val="000000" w:themeColor="text1"/>
        </w:rPr>
        <w:t>:1</w:t>
      </w:r>
      <w:r w:rsidRPr="0072740E">
        <w:rPr>
          <w:rFonts w:cs="Arial"/>
          <w:color w:val="000000" w:themeColor="text1"/>
        </w:rPr>
        <w:t>, 1–16.</w:t>
      </w:r>
    </w:p>
    <w:p w14:paraId="085ADF0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Scott, P. (1995) The Meanings of Mass Higher Education (Open University Press, Buckingham)</w:t>
      </w:r>
    </w:p>
    <w:p w14:paraId="212A2A78"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Shay, S. (2008)</w:t>
      </w:r>
      <w:r>
        <w:rPr>
          <w:rFonts w:cs="Arial"/>
          <w:color w:val="000000" w:themeColor="text1"/>
        </w:rPr>
        <w:t xml:space="preserve">, </w:t>
      </w:r>
      <w:r w:rsidRPr="0072740E">
        <w:rPr>
          <w:rFonts w:cs="Arial"/>
          <w:color w:val="000000" w:themeColor="text1"/>
        </w:rPr>
        <w:t>Beyond social constructivist perspectives on assessment: the centring of knowledge, Teaching in higher education, 13</w:t>
      </w:r>
      <w:r>
        <w:rPr>
          <w:rFonts w:cs="Arial"/>
          <w:color w:val="000000" w:themeColor="text1"/>
        </w:rPr>
        <w:t xml:space="preserve">:5, </w:t>
      </w:r>
      <w:r w:rsidRPr="0072740E">
        <w:rPr>
          <w:rFonts w:cs="Arial"/>
          <w:color w:val="000000" w:themeColor="text1"/>
        </w:rPr>
        <w:t>595–605.</w:t>
      </w:r>
    </w:p>
    <w:p w14:paraId="69ABEFCB" w14:textId="00C352B5" w:rsidR="00AE67DC" w:rsidRPr="0072740E" w:rsidRDefault="00AE67DC" w:rsidP="006370E7">
      <w:pPr>
        <w:spacing w:after="100" w:afterAutospacing="1" w:line="360" w:lineRule="auto"/>
        <w:jc w:val="both"/>
        <w:rPr>
          <w:rFonts w:cs="Arial"/>
          <w:color w:val="000000" w:themeColor="text1"/>
        </w:rPr>
      </w:pPr>
      <w:r w:rsidRPr="00C37407">
        <w:rPr>
          <w:rFonts w:cs="Arial"/>
          <w:color w:val="000000" w:themeColor="text1"/>
        </w:rPr>
        <w:t>Shay, S. and Steyn, D., (201</w:t>
      </w:r>
      <w:r w:rsidR="00C37407">
        <w:rPr>
          <w:rFonts w:cs="Arial"/>
          <w:color w:val="000000" w:themeColor="text1"/>
        </w:rPr>
        <w:t>6</w:t>
      </w:r>
      <w:r w:rsidRPr="00C37407">
        <w:rPr>
          <w:rFonts w:cs="Arial"/>
          <w:color w:val="000000" w:themeColor="text1"/>
        </w:rPr>
        <w:t>). Enabling knowledge progression in vocational curricula: Design as a case study. Knowledge-building: Educational studies in legitimation code theory, pp.138-157. In Maton, K., Hood, S. and Shay, S. (eds) (2015) Knowledge-building: educational studies in legitimation code theory. London: Routledge.</w:t>
      </w:r>
    </w:p>
    <w:p w14:paraId="041B336A"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Sherr, A. and Sugarman, D. (2000) Theory in legal education, International journal of phytoremediation, 7</w:t>
      </w:r>
      <w:r>
        <w:rPr>
          <w:rFonts w:cs="Arial"/>
          <w:color w:val="000000" w:themeColor="text1"/>
        </w:rPr>
        <w:t xml:space="preserve">:3, </w:t>
      </w:r>
      <w:r w:rsidRPr="0072740E">
        <w:rPr>
          <w:rFonts w:cs="Arial"/>
          <w:color w:val="000000" w:themeColor="text1"/>
        </w:rPr>
        <w:t>165–177.</w:t>
      </w:r>
    </w:p>
    <w:p w14:paraId="229015DE" w14:textId="77777777" w:rsidR="00AE67DC" w:rsidRPr="0072740E" w:rsidRDefault="00AE67DC" w:rsidP="006370E7">
      <w:pPr>
        <w:spacing w:after="100" w:afterAutospacing="1" w:line="360" w:lineRule="auto"/>
        <w:jc w:val="both"/>
        <w:rPr>
          <w:rFonts w:cs="Arial"/>
          <w:color w:val="000000" w:themeColor="text1"/>
        </w:rPr>
      </w:pPr>
      <w:r w:rsidRPr="00E56D1E">
        <w:rPr>
          <w:rFonts w:cs="Arial"/>
          <w:color w:val="000000" w:themeColor="text1"/>
        </w:rPr>
        <w:t xml:space="preserve">Silbey, S. (2013). ‘What Makes </w:t>
      </w:r>
      <w:r>
        <w:rPr>
          <w:rFonts w:cs="Arial"/>
          <w:color w:val="000000" w:themeColor="text1"/>
        </w:rPr>
        <w:t>a</w:t>
      </w:r>
      <w:r w:rsidRPr="00E56D1E">
        <w:rPr>
          <w:rFonts w:cs="Arial"/>
          <w:color w:val="000000" w:themeColor="text1"/>
        </w:rPr>
        <w:t xml:space="preserve"> Social Science of Law: Doubling the Social in Socio-Legal Studies’, In Feenan, D. (ed), Exploring the ‘socio’ of socio-legal studies, Palgrave Macmillan</w:t>
      </w:r>
    </w:p>
    <w:p w14:paraId="0CA3AD8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Singh, P. (2002)</w:t>
      </w:r>
      <w:r>
        <w:rPr>
          <w:rFonts w:cs="Arial"/>
          <w:color w:val="000000" w:themeColor="text1"/>
        </w:rPr>
        <w:t>.</w:t>
      </w:r>
      <w:r w:rsidRPr="0072740E">
        <w:rPr>
          <w:rFonts w:cs="Arial"/>
          <w:color w:val="000000" w:themeColor="text1"/>
        </w:rPr>
        <w:t xml:space="preserve"> Pedagogising Knowledge: Bernstein’s theory of the pedagogic device, British journal of sociology of education, 23</w:t>
      </w:r>
      <w:r>
        <w:rPr>
          <w:rFonts w:cs="Arial"/>
          <w:color w:val="000000" w:themeColor="text1"/>
        </w:rPr>
        <w:t xml:space="preserve">:4, </w:t>
      </w:r>
      <w:r w:rsidRPr="0072740E">
        <w:rPr>
          <w:rFonts w:cs="Arial"/>
          <w:color w:val="000000" w:themeColor="text1"/>
        </w:rPr>
        <w:t xml:space="preserve">571–582. </w:t>
      </w:r>
    </w:p>
    <w:p w14:paraId="7E440F1E"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Society of Legal Scholars accessed at </w:t>
      </w:r>
      <w:hyperlink r:id="rId32" w:history="1">
        <w:r w:rsidRPr="0072740E">
          <w:rPr>
            <w:rFonts w:cs="Arial"/>
            <w:color w:val="000000" w:themeColor="text1"/>
          </w:rPr>
          <w:t>https://www.slsconference.com/</w:t>
        </w:r>
      </w:hyperlink>
    </w:p>
    <w:p w14:paraId="1404E943" w14:textId="77777777" w:rsidR="00AE67DC" w:rsidRDefault="00AE67DC" w:rsidP="00C37407">
      <w:pPr>
        <w:spacing w:after="100" w:afterAutospacing="1" w:line="360" w:lineRule="auto"/>
        <w:rPr>
          <w:rFonts w:cs="Arial"/>
          <w:color w:val="000000" w:themeColor="text1"/>
        </w:rPr>
      </w:pPr>
      <w:r w:rsidRPr="0072740E">
        <w:rPr>
          <w:rFonts w:cs="Arial"/>
          <w:color w:val="000000" w:themeColor="text1"/>
        </w:rPr>
        <w:t xml:space="preserve">Socio-Legal Scholars Association accessed at: </w:t>
      </w:r>
      <w:hyperlink r:id="rId33" w:history="1">
        <w:r w:rsidRPr="0072740E">
          <w:rPr>
            <w:rFonts w:cs="Arial"/>
            <w:color w:val="000000" w:themeColor="text1"/>
          </w:rPr>
          <w:t>https://www.slsa.ac.uk/index.php/annual-conference</w:t>
        </w:r>
      </w:hyperlink>
      <w:r w:rsidRPr="00F37DF2">
        <w:rPr>
          <w:rFonts w:cs="Arial"/>
          <w:color w:val="000000" w:themeColor="text1"/>
        </w:rPr>
        <w:t xml:space="preserve"> </w:t>
      </w:r>
    </w:p>
    <w:p w14:paraId="1B75707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SRA (2002) Joint statement on the Academic Stage of Training. Accessed at </w:t>
      </w:r>
      <w:hyperlink r:id="rId34" w:history="1">
        <w:r w:rsidRPr="0072740E">
          <w:rPr>
            <w:rFonts w:cs="Arial"/>
            <w:color w:val="000000" w:themeColor="text1"/>
          </w:rPr>
          <w:t>https://www.sra.org.uk/become-solicitor/legal-practice-course-route/qualifying-law-degree-common-professional-examination/academic-stage-joint-statement-bsb-law-society/</w:t>
        </w:r>
      </w:hyperlink>
    </w:p>
    <w:p w14:paraId="0367E61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SRA (2017)</w:t>
      </w:r>
      <w:r>
        <w:rPr>
          <w:rFonts w:cs="Arial"/>
          <w:color w:val="000000" w:themeColor="text1"/>
        </w:rPr>
        <w:t>.</w:t>
      </w:r>
      <w:r w:rsidRPr="0072740E">
        <w:rPr>
          <w:rFonts w:cs="Arial"/>
          <w:color w:val="000000" w:themeColor="text1"/>
        </w:rPr>
        <w:t xml:space="preserve"> Introduction of the Solicitors Qualifying Examination: Monitoring and Maximising Diversity, March 2017. Accessed at: https://www.sra.org.uk/sra/research-publications/introduction-sqe-monitoring-maximising-diversity/</w:t>
      </w:r>
    </w:p>
    <w:p w14:paraId="43F1B81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SRA (2023) Becoming a solicitor. Accessed at </w:t>
      </w:r>
      <w:hyperlink r:id="rId35" w:history="1">
        <w:r w:rsidRPr="0072740E">
          <w:rPr>
            <w:rFonts w:cs="Arial"/>
            <w:color w:val="000000" w:themeColor="text1"/>
          </w:rPr>
          <w:t>https://www.sra.org.uk/become-solicitor/admission/pathways-qualification/solicitors-qualifying-examination/</w:t>
        </w:r>
      </w:hyperlink>
    </w:p>
    <w:p w14:paraId="2B2F7696" w14:textId="77777777" w:rsidR="00AE67DC" w:rsidRDefault="00AE67DC" w:rsidP="006370E7">
      <w:pPr>
        <w:spacing w:after="100" w:afterAutospacing="1" w:line="360" w:lineRule="auto"/>
        <w:jc w:val="both"/>
        <w:rPr>
          <w:rFonts w:cs="Arial"/>
          <w:color w:val="000000" w:themeColor="text1"/>
        </w:rPr>
      </w:pPr>
      <w:r w:rsidRPr="00E56D1E">
        <w:rPr>
          <w:rFonts w:cs="Arial"/>
          <w:color w:val="000000" w:themeColor="text1"/>
        </w:rPr>
        <w:t>Stoten, D. (2018). Employability: A contested concept in higher education. Journal of Pedagogic Development, 7:1, 9–17.</w:t>
      </w:r>
    </w:p>
    <w:p w14:paraId="56E52F7C" w14:textId="77777777" w:rsidR="00AE67DC" w:rsidRPr="0072740E" w:rsidRDefault="00AE67DC" w:rsidP="006370E7">
      <w:pPr>
        <w:spacing w:after="100" w:afterAutospacing="1" w:line="360" w:lineRule="auto"/>
        <w:jc w:val="both"/>
        <w:rPr>
          <w:rFonts w:cs="Arial"/>
          <w:color w:val="000000" w:themeColor="text1"/>
        </w:rPr>
      </w:pPr>
      <w:r w:rsidRPr="004E2F24">
        <w:rPr>
          <w:rFonts w:cs="Arial"/>
          <w:color w:val="000000" w:themeColor="text1"/>
        </w:rPr>
        <w:t>Strevens, C., et al. (2014). Legal Education: Simulation in Theory and Practice, Ashgate.</w:t>
      </w:r>
    </w:p>
    <w:p w14:paraId="315B7D7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Strevens, C., &amp; Field, R. (2020). </w:t>
      </w:r>
      <w:r>
        <w:rPr>
          <w:rFonts w:cs="Arial"/>
          <w:color w:val="000000" w:themeColor="text1"/>
        </w:rPr>
        <w:t xml:space="preserve">(Eds.) </w:t>
      </w:r>
      <w:r w:rsidRPr="0072740E">
        <w:rPr>
          <w:rFonts w:cs="Arial"/>
          <w:color w:val="000000" w:themeColor="text1"/>
        </w:rPr>
        <w:t>Educating for well-being in law: positive professional identities and practice (1st ed.). Routledge.</w:t>
      </w:r>
    </w:p>
    <w:p w14:paraId="1DE91AC5"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Sugarman, D. (2025) </w:t>
      </w:r>
      <w:r>
        <w:rPr>
          <w:rFonts w:cs="Arial"/>
          <w:color w:val="000000" w:themeColor="text1"/>
        </w:rPr>
        <w:t>‘</w:t>
      </w:r>
      <w:r w:rsidRPr="00BD5A18">
        <w:rPr>
          <w:rFonts w:cs="Arial"/>
          <w:color w:val="000000" w:themeColor="text1"/>
        </w:rPr>
        <w:t xml:space="preserve">England (History of Legal Education)’ In </w:t>
      </w:r>
      <w:r w:rsidRPr="00A81DEB">
        <w:rPr>
          <w:rFonts w:cs="Arial"/>
          <w:color w:val="000000" w:themeColor="text1"/>
        </w:rPr>
        <w:t>Cownie, F., Bradney, A. and Jones, E. (Eds.) Elgar concise encyclopaedia of legal education, Edward Elgar Publishing. Pg. 148</w:t>
      </w:r>
    </w:p>
    <w:p w14:paraId="12B4B78F" w14:textId="36B488CC" w:rsidR="00AE67DC" w:rsidRPr="0072740E" w:rsidRDefault="00AE67DC" w:rsidP="006370E7">
      <w:pPr>
        <w:spacing w:after="100" w:afterAutospacing="1" w:line="360" w:lineRule="auto"/>
        <w:jc w:val="both"/>
        <w:rPr>
          <w:rFonts w:cs="Arial"/>
          <w:color w:val="000000" w:themeColor="text1"/>
        </w:rPr>
      </w:pPr>
      <w:r w:rsidRPr="00A81DEB">
        <w:rPr>
          <w:rFonts w:cs="Arial"/>
          <w:color w:val="000000" w:themeColor="text1"/>
        </w:rPr>
        <w:t xml:space="preserve">Snyder, B.R. (1971) The Hidden </w:t>
      </w:r>
      <w:r w:rsidR="00C37407" w:rsidRPr="00A81DEB">
        <w:rPr>
          <w:rFonts w:cs="Arial"/>
          <w:color w:val="000000" w:themeColor="text1"/>
        </w:rPr>
        <w:t>Curriculum,</w:t>
      </w:r>
      <w:r w:rsidRPr="00A81DEB">
        <w:rPr>
          <w:rFonts w:cs="Arial"/>
          <w:color w:val="000000" w:themeColor="text1"/>
        </w:rPr>
        <w:t xml:space="preserve"> New York </w:t>
      </w:r>
    </w:p>
    <w:p w14:paraId="39F2A112"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Tapp, J. (2015)</w:t>
      </w:r>
      <w:r>
        <w:rPr>
          <w:rFonts w:cs="Arial"/>
          <w:color w:val="000000" w:themeColor="text1"/>
        </w:rPr>
        <w:t>.</w:t>
      </w:r>
      <w:r w:rsidRPr="0072740E">
        <w:rPr>
          <w:rFonts w:cs="Arial"/>
          <w:color w:val="000000" w:themeColor="text1"/>
        </w:rPr>
        <w:t xml:space="preserve"> Framing the Curriculum for Participation: A Bersteinian Perspective on Academic Literacies. Teaching in Higher Education 20</w:t>
      </w:r>
      <w:r>
        <w:rPr>
          <w:rFonts w:cs="Arial"/>
          <w:color w:val="000000" w:themeColor="text1"/>
        </w:rPr>
        <w:t>:7,</w:t>
      </w:r>
      <w:r w:rsidRPr="0072740E">
        <w:rPr>
          <w:rFonts w:cs="Arial"/>
          <w:color w:val="000000" w:themeColor="text1"/>
        </w:rPr>
        <w:t xml:space="preserve"> 711</w:t>
      </w:r>
    </w:p>
    <w:p w14:paraId="2C1A0B41"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The Conversation (2022): Why the ‘interdisciplinary’ push in universities is actually a dangerous anti</w:t>
      </w:r>
      <w:r>
        <w:rPr>
          <w:rFonts w:cs="Arial"/>
          <w:color w:val="000000" w:themeColor="text1"/>
        </w:rPr>
        <w:t>-</w:t>
      </w:r>
      <w:r w:rsidRPr="00E56D1E">
        <w:rPr>
          <w:rFonts w:cs="Arial"/>
          <w:color w:val="000000" w:themeColor="text1"/>
        </w:rPr>
        <w:t xml:space="preserve">disciplinary trend. Accessed at: </w:t>
      </w:r>
      <w:hyperlink r:id="rId36" w:anchor=":~:text=If%20an%20%E2%80%9Cinterdisciplinary%E2%80%9D%20initiative%20encourages,That%20is%20antidisciplinarity%20in%20action" w:history="1">
        <w:r w:rsidRPr="00E56D1E">
          <w:rPr>
            <w:rFonts w:cs="Arial"/>
            <w:color w:val="000000" w:themeColor="text1"/>
          </w:rPr>
          <w:t>https://theconversation.com/why-the-interdisciplinary-push-in-universities-is-actually-a-dangerous-antidisciplinary-trend-175511#:~:text=If%20an%20%E2%80%9Cinterdisciplinary%E2%80%9D%20initiative%20encourages,That%20is%20antidisciplinarity%20in%20action</w:t>
        </w:r>
      </w:hyperlink>
      <w:r w:rsidRPr="00E56D1E">
        <w:rPr>
          <w:rFonts w:cs="Arial"/>
          <w:color w:val="000000" w:themeColor="text1"/>
        </w:rPr>
        <w:t>. 11Jul 2025</w:t>
      </w:r>
    </w:p>
    <w:p w14:paraId="7E2E7CA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Thornton, </w:t>
      </w:r>
      <w:r>
        <w:rPr>
          <w:rFonts w:cs="Arial"/>
          <w:color w:val="000000" w:themeColor="text1"/>
        </w:rPr>
        <w:t>M</w:t>
      </w:r>
      <w:r w:rsidRPr="0072740E">
        <w:rPr>
          <w:rFonts w:cs="Arial"/>
          <w:color w:val="000000" w:themeColor="text1"/>
        </w:rPr>
        <w:t>. (2007). The law school, the market and the new knowledge economy. Legal Education Review, 17</w:t>
      </w:r>
      <w:r>
        <w:rPr>
          <w:rFonts w:cs="Arial"/>
          <w:color w:val="000000" w:themeColor="text1"/>
        </w:rPr>
        <w:t>:2,</w:t>
      </w:r>
      <w:r w:rsidRPr="0072740E">
        <w:rPr>
          <w:rFonts w:cs="Arial"/>
          <w:color w:val="000000" w:themeColor="text1"/>
        </w:rPr>
        <w:t>1-26.</w:t>
      </w:r>
    </w:p>
    <w:p w14:paraId="5871DE4D" w14:textId="77777777" w:rsidR="00AE67DC" w:rsidRPr="00F37DF2" w:rsidRDefault="00AE67DC" w:rsidP="006370E7">
      <w:pPr>
        <w:spacing w:after="100" w:afterAutospacing="1" w:line="360" w:lineRule="auto"/>
        <w:jc w:val="both"/>
        <w:rPr>
          <w:rFonts w:cs="Arial"/>
          <w:color w:val="000000" w:themeColor="text1"/>
        </w:rPr>
      </w:pPr>
      <w:r w:rsidRPr="00F37DF2">
        <w:rPr>
          <w:rFonts w:cs="Arial"/>
          <w:color w:val="000000" w:themeColor="text1"/>
        </w:rPr>
        <w:t>Thornton, M. (202</w:t>
      </w:r>
      <w:r>
        <w:rPr>
          <w:rFonts w:cs="Arial"/>
          <w:color w:val="000000" w:themeColor="text1"/>
        </w:rPr>
        <w:t>2</w:t>
      </w:r>
      <w:r w:rsidRPr="00F37DF2">
        <w:rPr>
          <w:rFonts w:cs="Arial"/>
          <w:color w:val="000000" w:themeColor="text1"/>
        </w:rPr>
        <w:t>), ‘What are law schools for in a post-pandemic world?’ In Dunn, R.A., Maharg, P. and Roper, V. (eds.), What is legal education for? Re-assessing the purposes of early twenty-first century learning and law schools. Chapter 9. Abingdon; Routledge.</w:t>
      </w:r>
    </w:p>
    <w:p w14:paraId="236A07B7"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Tight, M. (2019)</w:t>
      </w:r>
      <w:r>
        <w:rPr>
          <w:rFonts w:cs="Arial"/>
          <w:color w:val="000000" w:themeColor="text1"/>
        </w:rPr>
        <w:t xml:space="preserve">. </w:t>
      </w:r>
      <w:r w:rsidRPr="0072740E">
        <w:rPr>
          <w:rFonts w:cs="Arial"/>
          <w:color w:val="000000" w:themeColor="text1"/>
        </w:rPr>
        <w:t xml:space="preserve"> Higher education research: the developing field. London: Bloomsbury Academic.</w:t>
      </w:r>
    </w:p>
    <w:p w14:paraId="35B6C5DB"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Toma, J.D. (1997) Alternative Inquiry Paradigms, Faculty Cultures, and the Definition of Academic Lives, The Journal of Higher Education, 68</w:t>
      </w:r>
      <w:r>
        <w:rPr>
          <w:rFonts w:cs="Arial"/>
          <w:color w:val="000000" w:themeColor="text1"/>
        </w:rPr>
        <w:t xml:space="preserve">:6, </w:t>
      </w:r>
      <w:r w:rsidRPr="0072740E">
        <w:rPr>
          <w:rFonts w:cs="Arial"/>
          <w:color w:val="000000" w:themeColor="text1"/>
        </w:rPr>
        <w:t>679–705.</w:t>
      </w:r>
    </w:p>
    <w:p w14:paraId="3FD13C40"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Trigwell, K.</w:t>
      </w:r>
      <w:r>
        <w:rPr>
          <w:rFonts w:cs="Arial"/>
          <w:color w:val="000000" w:themeColor="text1"/>
        </w:rPr>
        <w:t xml:space="preserve"> and</w:t>
      </w:r>
      <w:r w:rsidRPr="0072740E">
        <w:rPr>
          <w:rFonts w:cs="Arial"/>
          <w:color w:val="000000" w:themeColor="text1"/>
        </w:rPr>
        <w:t xml:space="preserve"> Prosser, M. (2014) Qualitative variation in constructive alignment in curriculum design. High</w:t>
      </w:r>
      <w:r>
        <w:rPr>
          <w:rFonts w:cs="Arial"/>
          <w:color w:val="000000" w:themeColor="text1"/>
        </w:rPr>
        <w:t>er</w:t>
      </w:r>
      <w:r w:rsidRPr="0072740E">
        <w:rPr>
          <w:rFonts w:cs="Arial"/>
          <w:color w:val="000000" w:themeColor="text1"/>
        </w:rPr>
        <w:t xml:space="preserve"> Educ</w:t>
      </w:r>
      <w:r>
        <w:rPr>
          <w:rFonts w:cs="Arial"/>
          <w:color w:val="000000" w:themeColor="text1"/>
        </w:rPr>
        <w:t>ation</w:t>
      </w:r>
      <w:r w:rsidRPr="0072740E">
        <w:rPr>
          <w:rFonts w:cs="Arial"/>
          <w:color w:val="000000" w:themeColor="text1"/>
        </w:rPr>
        <w:t xml:space="preserve"> 67, 141–154. </w:t>
      </w:r>
    </w:p>
    <w:p w14:paraId="590126FC"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Trowler, P., Saunders, M., Bamber, V., &amp; ProQuest. (2012). Tribes and territories in the 21st century rethinking the significance of disciplines in higher education. Routledge.</w:t>
      </w:r>
    </w:p>
    <w:p w14:paraId="1C41732E"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Trowler, P. (2014) Doctoral research into higher education: thesis structure, content and completion. Lancaster, England. </w:t>
      </w:r>
    </w:p>
    <w:p w14:paraId="15EC7931"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Twining, W. (1988). Legal skills and legal education. The Law Teacher, 22</w:t>
      </w:r>
      <w:r>
        <w:rPr>
          <w:rFonts w:cs="Arial"/>
          <w:color w:val="000000" w:themeColor="text1"/>
        </w:rPr>
        <w:t>:1</w:t>
      </w:r>
      <w:r w:rsidRPr="0072740E">
        <w:rPr>
          <w:rFonts w:cs="Arial"/>
          <w:color w:val="000000" w:themeColor="text1"/>
        </w:rPr>
        <w:t>, 4–13.</w:t>
      </w:r>
    </w:p>
    <w:p w14:paraId="2BF1F93C" w14:textId="77777777" w:rsidR="00AE67DC" w:rsidRPr="00EA418D" w:rsidRDefault="00AE67DC" w:rsidP="006370E7">
      <w:pPr>
        <w:spacing w:after="100" w:afterAutospacing="1" w:line="360" w:lineRule="auto"/>
        <w:jc w:val="both"/>
        <w:rPr>
          <w:rFonts w:cs="Arial"/>
          <w:color w:val="000000" w:themeColor="text1"/>
        </w:rPr>
      </w:pPr>
      <w:r>
        <w:rPr>
          <w:rFonts w:cs="Arial"/>
        </w:rPr>
        <w:t xml:space="preserve">Twining, W. (1991). Developments in Legal Education: Beyond the Primary School Model, Legal Education Review </w:t>
      </w:r>
      <w:r w:rsidRPr="00EA418D">
        <w:rPr>
          <w:rFonts w:cs="Arial"/>
        </w:rPr>
        <w:t>2:1, 35</w:t>
      </w:r>
    </w:p>
    <w:p w14:paraId="7CF3419E"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Twining, W. and Hamlyn Trust (1994) Blackstone's </w:t>
      </w:r>
      <w:r>
        <w:rPr>
          <w:rFonts w:cs="Arial"/>
          <w:color w:val="000000" w:themeColor="text1"/>
        </w:rPr>
        <w:t>T</w:t>
      </w:r>
      <w:r w:rsidRPr="0072740E">
        <w:rPr>
          <w:rFonts w:cs="Arial"/>
          <w:color w:val="000000" w:themeColor="text1"/>
        </w:rPr>
        <w:t xml:space="preserve">ower: </w:t>
      </w:r>
      <w:r>
        <w:rPr>
          <w:rFonts w:cs="Arial"/>
          <w:color w:val="000000" w:themeColor="text1"/>
        </w:rPr>
        <w:t>T</w:t>
      </w:r>
      <w:r w:rsidRPr="0072740E">
        <w:rPr>
          <w:rFonts w:cs="Arial"/>
          <w:color w:val="000000" w:themeColor="text1"/>
        </w:rPr>
        <w:t>he English law school. London: Stevens &amp; Sons/Sweet &amp; Maxwell.</w:t>
      </w:r>
    </w:p>
    <w:p w14:paraId="1B294DE6"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UKCISA (2025), UKCISA responds to Home Office Immigration white paper, May 2025</w:t>
      </w:r>
      <w:r w:rsidRPr="00EA418D">
        <w:rPr>
          <w:rFonts w:cs="Arial"/>
          <w:color w:val="000000" w:themeColor="text1"/>
        </w:rPr>
        <w:t xml:space="preserve">.  Accessed at </w:t>
      </w:r>
      <w:hyperlink r:id="rId37" w:anchor=":~:text=If%20enacted%2C%20they%20will%20negatively,bring%20to%20the%20UK%20economy" w:history="1">
        <w:r w:rsidRPr="00EA418D">
          <w:rPr>
            <w:rFonts w:cs="Arial"/>
            <w:color w:val="000000" w:themeColor="text1"/>
          </w:rPr>
          <w:t>https://www.ukcisa.org.uk/news/ukcisa-responds-to-home-office-immigration-white-paper-may-2025/#:~:text=If%20enacted%2C%20they%20will%20negatively,bring%20to%20the%20UK%20economy</w:t>
        </w:r>
      </w:hyperlink>
      <w:r w:rsidRPr="00EA418D">
        <w:rPr>
          <w:rFonts w:cs="Arial"/>
          <w:color w:val="000000" w:themeColor="text1"/>
        </w:rPr>
        <w:t>.</w:t>
      </w:r>
    </w:p>
    <w:p w14:paraId="1A9E4201"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United Nations Department of Economic and Social Affairs: </w:t>
      </w:r>
      <w:r>
        <w:rPr>
          <w:rFonts w:cs="Arial"/>
          <w:color w:val="000000" w:themeColor="text1"/>
        </w:rPr>
        <w:t>(2</w:t>
      </w:r>
      <w:r w:rsidRPr="0072740E">
        <w:rPr>
          <w:rFonts w:cs="Arial"/>
          <w:color w:val="000000" w:themeColor="text1"/>
        </w:rPr>
        <w:t>030</w:t>
      </w:r>
      <w:r>
        <w:rPr>
          <w:rFonts w:cs="Arial"/>
          <w:color w:val="000000" w:themeColor="text1"/>
        </w:rPr>
        <w:t>)</w:t>
      </w:r>
      <w:r w:rsidRPr="0072740E">
        <w:rPr>
          <w:rFonts w:cs="Arial"/>
          <w:color w:val="000000" w:themeColor="text1"/>
        </w:rPr>
        <w:t xml:space="preserve"> Agenda for Sustainable Development. Accessed at https://sdgs.un.org/2030agenda</w:t>
      </w:r>
    </w:p>
    <w:p w14:paraId="4456E4D9"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Vanfretti, L., &amp; Farrokhabadi, M., (2015), Consensus-Based Course Design and Implementation of Constructive Alignment Theory in a Power System Analysis Course. European journal of engineering education 40</w:t>
      </w:r>
      <w:r>
        <w:rPr>
          <w:rFonts w:cs="Arial"/>
          <w:color w:val="000000" w:themeColor="text1"/>
        </w:rPr>
        <w:t xml:space="preserve">:2, </w:t>
      </w:r>
      <w:r w:rsidRPr="0072740E">
        <w:rPr>
          <w:rFonts w:cs="Arial"/>
          <w:color w:val="000000" w:themeColor="text1"/>
        </w:rPr>
        <w:t>206</w:t>
      </w:r>
    </w:p>
    <w:p w14:paraId="5496336B" w14:textId="77777777" w:rsidR="00AE67DC" w:rsidRPr="0072740E" w:rsidRDefault="00AE67DC" w:rsidP="006370E7">
      <w:pPr>
        <w:spacing w:after="100" w:afterAutospacing="1" w:line="360" w:lineRule="auto"/>
        <w:jc w:val="both"/>
        <w:rPr>
          <w:rFonts w:cs="Arial"/>
          <w:color w:val="000000" w:themeColor="text1"/>
        </w:rPr>
      </w:pPr>
      <w:r>
        <w:rPr>
          <w:rFonts w:cs="Arial"/>
          <w:color w:val="000000" w:themeColor="text1"/>
        </w:rPr>
        <w:t>Vaughan</w:t>
      </w:r>
      <w:r w:rsidRPr="00EA418D">
        <w:rPr>
          <w:rFonts w:cs="Arial"/>
          <w:color w:val="000000" w:themeColor="text1"/>
        </w:rPr>
        <w:t>,</w:t>
      </w:r>
      <w:r>
        <w:rPr>
          <w:rFonts w:cs="Arial"/>
          <w:color w:val="000000" w:themeColor="text1"/>
        </w:rPr>
        <w:t xml:space="preserve"> S.</w:t>
      </w:r>
      <w:r w:rsidRPr="00EA418D">
        <w:rPr>
          <w:rFonts w:cs="Arial"/>
          <w:color w:val="000000" w:themeColor="text1"/>
        </w:rPr>
        <w:t xml:space="preserve"> (2020), Pressing Problems keynote “The lies we tell ourselves: problematising the (s)hallow foundations of the core of legal education”, cited in Victoria Roper, Rachel Dunn and Samantha Rasiah, ‘Revisiting “Pressing Problems in the Law: What Is the Law School For?” 20 years on’, The Law Teacher, 54:3, 455–464.</w:t>
      </w:r>
    </w:p>
    <w:p w14:paraId="213F80DD"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Vaughan, S. (2025), </w:t>
      </w:r>
      <w:r>
        <w:rPr>
          <w:rFonts w:cs="Arial"/>
          <w:color w:val="000000" w:themeColor="text1"/>
        </w:rPr>
        <w:t>‘</w:t>
      </w:r>
      <w:r w:rsidRPr="0072740E">
        <w:rPr>
          <w:rFonts w:cs="Arial"/>
          <w:color w:val="000000" w:themeColor="text1"/>
        </w:rPr>
        <w:t>England (Regulation of Legal Education)</w:t>
      </w:r>
      <w:r>
        <w:rPr>
          <w:rFonts w:cs="Arial"/>
          <w:color w:val="000000" w:themeColor="text1"/>
        </w:rPr>
        <w:t>’</w:t>
      </w:r>
      <w:r w:rsidRPr="0072740E">
        <w:rPr>
          <w:rFonts w:cs="Arial"/>
          <w:color w:val="000000" w:themeColor="text1"/>
        </w:rPr>
        <w:t xml:space="preserve"> </w:t>
      </w:r>
      <w:r>
        <w:rPr>
          <w:rFonts w:cs="Arial"/>
          <w:color w:val="000000" w:themeColor="text1"/>
        </w:rPr>
        <w:t xml:space="preserve">In </w:t>
      </w:r>
      <w:r w:rsidRPr="00BD5A18">
        <w:rPr>
          <w:rFonts w:cs="Arial"/>
          <w:color w:val="000000" w:themeColor="text1"/>
        </w:rPr>
        <w:t>Cownie, F., Bradney, A. and Jones, E. (Eds.) Elgar concise encyclopaedia of legal education, Edward Elgar Publishing. Pg. 152</w:t>
      </w:r>
    </w:p>
    <w:p w14:paraId="1C3F74D4" w14:textId="77777777" w:rsidR="00AE67DC" w:rsidRPr="00EA418D" w:rsidRDefault="00AE67DC" w:rsidP="006370E7">
      <w:pPr>
        <w:spacing w:after="100" w:afterAutospacing="1" w:line="360" w:lineRule="auto"/>
        <w:jc w:val="both"/>
        <w:rPr>
          <w:rFonts w:cs="Arial"/>
          <w:color w:val="000000" w:themeColor="text1"/>
        </w:rPr>
      </w:pPr>
      <w:r w:rsidRPr="00EA418D">
        <w:rPr>
          <w:rFonts w:cs="Arial"/>
          <w:color w:val="000000" w:themeColor="text1"/>
        </w:rPr>
        <w:t>Wallace, C., (2022), ‘Beyond the Jurisdiction: Law Schools, the LLB and ‘Global’ Education’ in Dunn, R., Maharg, P. and Roper, V. (eds), What Is Legal Education For: Reassessing the Purposes of Early Twenty-First Century Learning and Law Schools (1st edn, Routledge) 64–65.</w:t>
      </w:r>
    </w:p>
    <w:p w14:paraId="4971BAFD"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Wang, X., Su, Y., Cheung, S., Wong, E., &amp; Kwong, Y., (2013), An Exploration of Biggs' Constructive Alignment in Course Design and Its Impact on Students' Learning Approaches. Assessment and evaluation in higher education 38</w:t>
      </w:r>
      <w:r>
        <w:rPr>
          <w:rFonts w:cs="Arial"/>
          <w:color w:val="000000" w:themeColor="text1"/>
        </w:rPr>
        <w:t>:4,</w:t>
      </w:r>
      <w:r w:rsidRPr="0072740E">
        <w:rPr>
          <w:rFonts w:cs="Arial"/>
          <w:color w:val="000000" w:themeColor="text1"/>
        </w:rPr>
        <w:t xml:space="preserve"> 477</w:t>
      </w:r>
    </w:p>
    <w:p w14:paraId="2B1F4AD0" w14:textId="77777777" w:rsidR="00AE67DC" w:rsidRDefault="00AE67DC" w:rsidP="006370E7">
      <w:pPr>
        <w:spacing w:after="100" w:afterAutospacing="1" w:line="360" w:lineRule="auto"/>
        <w:jc w:val="both"/>
        <w:rPr>
          <w:rFonts w:cs="Arial"/>
          <w:color w:val="000000" w:themeColor="text1"/>
          <w:highlight w:val="yellow"/>
        </w:rPr>
      </w:pPr>
      <w:r w:rsidRPr="00EA418D">
        <w:rPr>
          <w:rFonts w:cs="Arial"/>
          <w:color w:val="000000" w:themeColor="text1"/>
        </w:rPr>
        <w:t>Waters, B., (2018), The Solicitors Qualification Examination: Something for All? Some Challenges Facing Law Schools in England and Wales, The Law Teacher 52, 519.</w:t>
      </w:r>
      <w:r w:rsidRPr="00006260">
        <w:rPr>
          <w:rFonts w:cs="Arial"/>
          <w:color w:val="000000" w:themeColor="text1"/>
          <w:highlight w:val="yellow"/>
        </w:rPr>
        <w:t xml:space="preserve"> </w:t>
      </w:r>
    </w:p>
    <w:p w14:paraId="6A85CB4D" w14:textId="77777777" w:rsidR="00AE67DC" w:rsidRDefault="00AE67DC" w:rsidP="006370E7">
      <w:pPr>
        <w:spacing w:after="100" w:afterAutospacing="1" w:line="360" w:lineRule="auto"/>
        <w:jc w:val="both"/>
        <w:rPr>
          <w:rFonts w:cs="Arial"/>
          <w:color w:val="000000" w:themeColor="text1"/>
        </w:rPr>
      </w:pPr>
      <w:r w:rsidRPr="00BD5A18">
        <w:rPr>
          <w:rFonts w:cs="Arial"/>
          <w:color w:val="000000" w:themeColor="text1"/>
        </w:rPr>
        <w:t xml:space="preserve">Webb, J. (1996). Inventing the good: A prospectus for clinical education and the teaching of legal ethics in England. The Law Teacher, 30(3), 270–294. </w:t>
      </w:r>
    </w:p>
    <w:p w14:paraId="29D53C97" w14:textId="77777777" w:rsidR="00AE67DC" w:rsidRPr="00EA418D" w:rsidRDefault="00AE67DC" w:rsidP="006370E7">
      <w:pPr>
        <w:spacing w:after="100" w:afterAutospacing="1" w:line="360" w:lineRule="auto"/>
        <w:jc w:val="both"/>
        <w:rPr>
          <w:rFonts w:cs="Arial"/>
          <w:color w:val="000000" w:themeColor="text1"/>
        </w:rPr>
      </w:pPr>
      <w:r w:rsidRPr="0072740E">
        <w:rPr>
          <w:rFonts w:cs="Arial"/>
          <w:color w:val="000000" w:themeColor="text1"/>
        </w:rPr>
        <w:t xml:space="preserve">Webb, J. (2025), </w:t>
      </w:r>
      <w:r>
        <w:rPr>
          <w:rFonts w:cs="Arial"/>
          <w:color w:val="000000" w:themeColor="text1"/>
        </w:rPr>
        <w:t>‘</w:t>
      </w:r>
      <w:r w:rsidRPr="00BD5A18">
        <w:rPr>
          <w:rFonts w:cs="Arial"/>
          <w:color w:val="000000" w:themeColor="text1"/>
        </w:rPr>
        <w:t>Higher Education</w:t>
      </w:r>
      <w:r>
        <w:rPr>
          <w:rFonts w:cs="Arial"/>
          <w:color w:val="000000" w:themeColor="text1"/>
        </w:rPr>
        <w:t>’</w:t>
      </w:r>
      <w:r w:rsidRPr="00BD5A18">
        <w:rPr>
          <w:rFonts w:cs="Arial"/>
          <w:color w:val="000000" w:themeColor="text1"/>
        </w:rPr>
        <w:t xml:space="preserve">, In </w:t>
      </w:r>
      <w:r w:rsidRPr="00A81DEB">
        <w:rPr>
          <w:rFonts w:cs="Arial"/>
          <w:color w:val="000000" w:themeColor="text1"/>
        </w:rPr>
        <w:t>Cownie, F., Bradney, A. and Jones, E. (Eds.) Elgar concise encyclopaedia of legal education, Edward Elgar Publishing. Pg. 201</w:t>
      </w:r>
    </w:p>
    <w:p w14:paraId="74822ABE"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Webb, M., &amp; Doman, E., (2020) Impacts of Flipped Classrooms on Learner Attitudes towards Technology-Enhanced Language Learning. Computer assisted language learning 33</w:t>
      </w:r>
      <w:r>
        <w:rPr>
          <w:rFonts w:cs="Arial"/>
          <w:color w:val="000000" w:themeColor="text1"/>
        </w:rPr>
        <w:t xml:space="preserve">:3, </w:t>
      </w:r>
      <w:r w:rsidRPr="0072740E">
        <w:rPr>
          <w:rFonts w:cs="Arial"/>
          <w:color w:val="000000" w:themeColor="text1"/>
        </w:rPr>
        <w:t>240</w:t>
      </w:r>
    </w:p>
    <w:p w14:paraId="40AEBC9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Weller, S. (2017)</w:t>
      </w:r>
      <w:r>
        <w:rPr>
          <w:rFonts w:cs="Arial"/>
          <w:color w:val="000000" w:themeColor="text1"/>
        </w:rPr>
        <w:t xml:space="preserve">, </w:t>
      </w:r>
      <w:r w:rsidRPr="0072740E">
        <w:rPr>
          <w:rFonts w:cs="Arial"/>
          <w:color w:val="000000" w:themeColor="text1"/>
        </w:rPr>
        <w:t xml:space="preserve">Using internet video calls in qualitative (longitudinal) interviews: some implications for rapport, International </w:t>
      </w:r>
      <w:r>
        <w:rPr>
          <w:rFonts w:cs="Arial"/>
          <w:color w:val="000000" w:themeColor="text1"/>
        </w:rPr>
        <w:t>J</w:t>
      </w:r>
      <w:r w:rsidRPr="0072740E">
        <w:rPr>
          <w:rFonts w:cs="Arial"/>
          <w:color w:val="000000" w:themeColor="text1"/>
        </w:rPr>
        <w:t xml:space="preserve">ournal of </w:t>
      </w:r>
      <w:r>
        <w:rPr>
          <w:rFonts w:cs="Arial"/>
          <w:color w:val="000000" w:themeColor="text1"/>
        </w:rPr>
        <w:t>S</w:t>
      </w:r>
      <w:r w:rsidRPr="0072740E">
        <w:rPr>
          <w:rFonts w:cs="Arial"/>
          <w:color w:val="000000" w:themeColor="text1"/>
        </w:rPr>
        <w:t xml:space="preserve">ocial </w:t>
      </w:r>
      <w:r>
        <w:rPr>
          <w:rFonts w:cs="Arial"/>
          <w:color w:val="000000" w:themeColor="text1"/>
        </w:rPr>
        <w:t>R</w:t>
      </w:r>
      <w:r w:rsidRPr="0072740E">
        <w:rPr>
          <w:rFonts w:cs="Arial"/>
          <w:color w:val="000000" w:themeColor="text1"/>
        </w:rPr>
        <w:t xml:space="preserve">esearch </w:t>
      </w:r>
      <w:r>
        <w:rPr>
          <w:rFonts w:cs="Arial"/>
          <w:color w:val="000000" w:themeColor="text1"/>
        </w:rPr>
        <w:t>M</w:t>
      </w:r>
      <w:r w:rsidRPr="0072740E">
        <w:rPr>
          <w:rFonts w:cs="Arial"/>
          <w:color w:val="000000" w:themeColor="text1"/>
        </w:rPr>
        <w:t>ethodology, 20</w:t>
      </w:r>
      <w:r>
        <w:rPr>
          <w:rFonts w:cs="Arial"/>
          <w:color w:val="000000" w:themeColor="text1"/>
        </w:rPr>
        <w:t xml:space="preserve">:6, </w:t>
      </w:r>
      <w:r w:rsidRPr="0072740E">
        <w:rPr>
          <w:rFonts w:cs="Arial"/>
          <w:color w:val="000000" w:themeColor="text1"/>
        </w:rPr>
        <w:t xml:space="preserve">613–625. </w:t>
      </w:r>
    </w:p>
    <w:p w14:paraId="0A852F7E"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Wheelahan, L. (2007)</w:t>
      </w:r>
      <w:r>
        <w:rPr>
          <w:rFonts w:cs="Arial"/>
          <w:color w:val="000000" w:themeColor="text1"/>
        </w:rPr>
        <w:t xml:space="preserve">. </w:t>
      </w:r>
      <w:r w:rsidRPr="0072740E">
        <w:rPr>
          <w:rFonts w:cs="Arial"/>
          <w:color w:val="000000" w:themeColor="text1"/>
        </w:rPr>
        <w:t>How Competency-Based Training Locks the Working Class Out of Powerful Knowledge: A Modified Bernsteinian Analysis.</w:t>
      </w:r>
      <w:r>
        <w:rPr>
          <w:rFonts w:cs="Arial"/>
          <w:color w:val="000000" w:themeColor="text1"/>
        </w:rPr>
        <w:t xml:space="preserve"> </w:t>
      </w:r>
      <w:r w:rsidRPr="0072740E">
        <w:rPr>
          <w:rFonts w:cs="Arial"/>
          <w:color w:val="000000" w:themeColor="text1"/>
        </w:rPr>
        <w:t>British Journal of Sociology of Education 28</w:t>
      </w:r>
      <w:r>
        <w:rPr>
          <w:rFonts w:cs="Arial"/>
          <w:color w:val="000000" w:themeColor="text1"/>
        </w:rPr>
        <w:t xml:space="preserve">, </w:t>
      </w:r>
      <w:r w:rsidRPr="0072740E">
        <w:rPr>
          <w:rFonts w:cs="Arial"/>
          <w:color w:val="000000" w:themeColor="text1"/>
        </w:rPr>
        <w:t>637–651.</w:t>
      </w:r>
    </w:p>
    <w:p w14:paraId="327BB151" w14:textId="77777777" w:rsidR="00AE67DC" w:rsidRDefault="00AE67DC" w:rsidP="006370E7">
      <w:pPr>
        <w:spacing w:after="100" w:afterAutospacing="1" w:line="360" w:lineRule="auto"/>
        <w:jc w:val="both"/>
        <w:rPr>
          <w:rFonts w:cs="Arial"/>
          <w:color w:val="000000" w:themeColor="text1"/>
        </w:rPr>
      </w:pPr>
      <w:r w:rsidRPr="0072740E">
        <w:rPr>
          <w:rFonts w:cs="Arial"/>
          <w:color w:val="000000" w:themeColor="text1"/>
        </w:rPr>
        <w:t>Wheel</w:t>
      </w:r>
      <w:r>
        <w:rPr>
          <w:rFonts w:cs="Arial"/>
          <w:color w:val="000000" w:themeColor="text1"/>
        </w:rPr>
        <w:t>a</w:t>
      </w:r>
      <w:r w:rsidRPr="0072740E">
        <w:rPr>
          <w:rFonts w:cs="Arial"/>
          <w:color w:val="000000" w:themeColor="text1"/>
        </w:rPr>
        <w:t>han, L. (2010) Why Knowledge Matters in the Curriculum. A Social Realist Argument. London, Routledge</w:t>
      </w:r>
    </w:p>
    <w:p w14:paraId="4E4E4146" w14:textId="77777777" w:rsidR="00AE67DC" w:rsidRDefault="00AE67DC" w:rsidP="006370E7">
      <w:pPr>
        <w:spacing w:after="100" w:afterAutospacing="1" w:line="360" w:lineRule="auto"/>
        <w:jc w:val="both"/>
        <w:rPr>
          <w:rFonts w:cs="Arial"/>
          <w:color w:val="000000" w:themeColor="text1"/>
        </w:rPr>
      </w:pPr>
      <w:r w:rsidRPr="001211BE">
        <w:rPr>
          <w:rFonts w:cs="Arial"/>
          <w:color w:val="000000" w:themeColor="text1"/>
        </w:rPr>
        <w:t>Wheelahan, L</w:t>
      </w:r>
      <w:r>
        <w:rPr>
          <w:rFonts w:cs="Arial"/>
          <w:color w:val="000000" w:themeColor="text1"/>
        </w:rPr>
        <w:t>.</w:t>
      </w:r>
      <w:r w:rsidRPr="001211BE">
        <w:rPr>
          <w:rFonts w:cs="Arial"/>
          <w:color w:val="000000" w:themeColor="text1"/>
        </w:rPr>
        <w:t xml:space="preserve"> (2013) Towards a model for professionalising VET teaching. in Marginson, Simon (ed), Tertiary Education Policy in Australia. </w:t>
      </w:r>
    </w:p>
    <w:p w14:paraId="3DB4B863" w14:textId="2C2DCA07" w:rsidR="006C6EF7" w:rsidRDefault="006C6EF7" w:rsidP="006C6EF7">
      <w:pPr>
        <w:spacing w:after="100" w:afterAutospacing="1"/>
        <w:jc w:val="both"/>
        <w:rPr>
          <w:rFonts w:cs="Arial"/>
          <w:color w:val="000000" w:themeColor="text1"/>
        </w:rPr>
      </w:pPr>
      <w:r w:rsidRPr="006C6EF7">
        <w:rPr>
          <w:rFonts w:cs="Arial"/>
          <w:color w:val="000000" w:themeColor="text1"/>
        </w:rPr>
        <w:t>Wilson, G.P. (1971). Reflections on the Ormrod Committee Report, The Modern Law Review 34, 635.</w:t>
      </w:r>
    </w:p>
    <w:p w14:paraId="2B2AF3E5"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lastRenderedPageBreak/>
        <w:t>Wingfield, S. S., &amp; Black, G., (2005), Active versus Passive Course Designs: The Impact on Student Outcomes.    Journal of education for business 81</w:t>
      </w:r>
      <w:r>
        <w:rPr>
          <w:rFonts w:cs="Arial"/>
          <w:color w:val="000000" w:themeColor="text1"/>
        </w:rPr>
        <w:t xml:space="preserve">:2, </w:t>
      </w:r>
      <w:r w:rsidRPr="0072740E">
        <w:rPr>
          <w:rFonts w:cs="Arial"/>
          <w:color w:val="000000" w:themeColor="text1"/>
        </w:rPr>
        <w:t xml:space="preserve">119   </w:t>
      </w:r>
    </w:p>
    <w:p w14:paraId="29DB6D63"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Wong, Y.J. (2003). Harnessing the Potential of Problem-Based Learning in Legal Education, The Law Teacher, 3</w:t>
      </w:r>
      <w:r>
        <w:rPr>
          <w:rFonts w:cs="Arial"/>
          <w:color w:val="000000" w:themeColor="text1"/>
        </w:rPr>
        <w:t xml:space="preserve">7:2, </w:t>
      </w:r>
      <w:r w:rsidRPr="0072740E">
        <w:rPr>
          <w:rFonts w:cs="Arial"/>
          <w:color w:val="000000" w:themeColor="text1"/>
        </w:rPr>
        <w:t>157.</w:t>
      </w:r>
    </w:p>
    <w:p w14:paraId="62003698" w14:textId="77777777" w:rsidR="00AE67DC" w:rsidRDefault="00AE67DC" w:rsidP="006370E7">
      <w:pPr>
        <w:spacing w:after="100" w:afterAutospacing="1" w:line="360" w:lineRule="auto"/>
        <w:rPr>
          <w:rFonts w:cs="Arial"/>
          <w:color w:val="000000" w:themeColor="text1"/>
        </w:rPr>
      </w:pPr>
      <w:r w:rsidRPr="0072740E">
        <w:rPr>
          <w:rFonts w:cs="Arial"/>
          <w:color w:val="000000" w:themeColor="text1"/>
        </w:rPr>
        <w:t>Wonkhe (2022), The truth about the QAA subject benchmarks, Comment 17/11/22. Accessed at:https://wonkhe.com/blogs/the-truth-about-the-qaa-subject-benchmarks/#:~:text=J%20McVey%20says:,2022%20at%2011:16%20am</w:t>
      </w:r>
    </w:p>
    <w:p w14:paraId="3D3B57EF" w14:textId="77777777" w:rsidR="00AE67DC" w:rsidRDefault="00AE67DC" w:rsidP="006370E7">
      <w:pPr>
        <w:spacing w:after="100" w:afterAutospacing="1" w:line="360" w:lineRule="auto"/>
        <w:rPr>
          <w:rFonts w:cs="Arial"/>
          <w:color w:val="000000" w:themeColor="text1"/>
        </w:rPr>
      </w:pPr>
      <w:r w:rsidRPr="001211BE">
        <w:rPr>
          <w:rFonts w:cs="Arial"/>
          <w:color w:val="000000" w:themeColor="text1"/>
        </w:rPr>
        <w:t>Woodgates, P. (2023), Change</w:t>
      </w:r>
      <w:r w:rsidRPr="0072740E">
        <w:rPr>
          <w:rFonts w:cs="Arial"/>
          <w:color w:val="000000" w:themeColor="text1"/>
        </w:rPr>
        <w:t xml:space="preserve"> by Design: How universities should design change initiatives for success, </w:t>
      </w:r>
      <w:r>
        <w:rPr>
          <w:rFonts w:cs="Arial"/>
          <w:color w:val="000000" w:themeColor="text1"/>
        </w:rPr>
        <w:t xml:space="preserve">HEPI, </w:t>
      </w:r>
      <w:r w:rsidRPr="0072740E">
        <w:rPr>
          <w:rFonts w:cs="Arial"/>
          <w:color w:val="000000" w:themeColor="text1"/>
        </w:rPr>
        <w:t xml:space="preserve">Nov 2023. Accessed at: </w:t>
      </w:r>
      <w:hyperlink r:id="rId38" w:anchor=":~:text=Change%20by%20Design%3A%20How%20universities%20should%20design%20change%20initiatives%20for%20success,-9%20November%202023&amp;text=This%20report%20by%20Paul%20Woodgates,they%20are%20difficult%20to%20deliver" w:history="1">
        <w:r w:rsidRPr="00A226BB">
          <w:rPr>
            <w:rFonts w:cs="Arial"/>
            <w:color w:val="000000" w:themeColor="text1"/>
          </w:rPr>
          <w:t>https://www.hepi.ac.uk/2023/11/09/change-by-design-how-universities-should-design-change-initiatives-for-success/#:~:text=Change%20by%20Design%3A%20How%20universities%20should%20design%20change%20initiatives%20for%20success,-9%20November%202023&amp;text=This%20report%20by%20Paul%20Woodgates,they%20are%20difficult%20to%20deliver</w:t>
        </w:r>
      </w:hyperlink>
      <w:r w:rsidRPr="00A226BB">
        <w:rPr>
          <w:rFonts w:cs="Arial"/>
          <w:color w:val="000000" w:themeColor="text1"/>
        </w:rPr>
        <w:t>. 11th July 2025</w:t>
      </w:r>
    </w:p>
    <w:p w14:paraId="019C1AB5" w14:textId="73ADA86C" w:rsidR="006370E7" w:rsidRPr="006370E7" w:rsidRDefault="006370E7" w:rsidP="006370E7">
      <w:pPr>
        <w:pStyle w:val="NormalWeb"/>
        <w:spacing w:line="360" w:lineRule="auto"/>
        <w:rPr>
          <w:rFonts w:ascii="Arial" w:hAnsi="Arial" w:cs="Arial"/>
          <w:color w:val="000000" w:themeColor="text1"/>
        </w:rPr>
      </w:pPr>
      <w:r w:rsidRPr="006370E7">
        <w:rPr>
          <w:rFonts w:ascii="Arial" w:hAnsi="Arial" w:cs="Arial"/>
          <w:color w:val="000000" w:themeColor="text1"/>
        </w:rPr>
        <w:t>Yorke, M. and Knight, P.T. (2006) Embedding Employability into the Curriculum: Learning &amp; Employability Series 1. The Higher Education Academy, York.</w:t>
      </w:r>
    </w:p>
    <w:p w14:paraId="28A94930" w14:textId="77777777" w:rsidR="00AE67DC" w:rsidRDefault="00AE67DC" w:rsidP="006370E7">
      <w:pPr>
        <w:pStyle w:val="NormalWeb"/>
        <w:spacing w:line="360" w:lineRule="auto"/>
        <w:rPr>
          <w:rFonts w:ascii="Arial" w:hAnsi="Arial" w:cs="Arial"/>
          <w:color w:val="000000" w:themeColor="text1"/>
        </w:rPr>
      </w:pPr>
      <w:r w:rsidRPr="001211BE">
        <w:rPr>
          <w:rFonts w:ascii="Arial" w:hAnsi="Arial" w:cs="Arial"/>
          <w:color w:val="000000" w:themeColor="text1"/>
        </w:rPr>
        <w:t>Young, M. (2008) Bringing Knowledge Back In (London: Routledge).</w:t>
      </w:r>
    </w:p>
    <w:p w14:paraId="4743D835" w14:textId="30C311E5" w:rsidR="006C6EF7" w:rsidRDefault="006C6EF7" w:rsidP="006C6EF7">
      <w:pPr>
        <w:spacing w:after="100" w:afterAutospacing="1"/>
        <w:jc w:val="both"/>
        <w:rPr>
          <w:rFonts w:cs="Arial"/>
          <w:color w:val="000000" w:themeColor="text1"/>
        </w:rPr>
      </w:pPr>
      <w:r w:rsidRPr="006C6EF7">
        <w:rPr>
          <w:rFonts w:cs="Arial"/>
          <w:color w:val="000000" w:themeColor="text1"/>
        </w:rPr>
        <w:t>Young</w:t>
      </w:r>
      <w:r>
        <w:rPr>
          <w:rFonts w:cs="Arial"/>
          <w:color w:val="000000" w:themeColor="text1"/>
        </w:rPr>
        <w:t>, M.</w:t>
      </w:r>
      <w:r w:rsidRPr="006C6EF7">
        <w:rPr>
          <w:rFonts w:cs="Arial"/>
          <w:color w:val="000000" w:themeColor="text1"/>
        </w:rPr>
        <w:t xml:space="preserve"> (2013), Overcoming the crisis in curriculum theory: a knowledge-based approach, Journal of Curriculum Studies, 45:2, 101–118.</w:t>
      </w:r>
      <w:r w:rsidRPr="0072740E">
        <w:rPr>
          <w:rFonts w:cs="Arial"/>
          <w:color w:val="000000" w:themeColor="text1"/>
        </w:rPr>
        <w:t xml:space="preserve"> </w:t>
      </w:r>
    </w:p>
    <w:p w14:paraId="32B7CCF5" w14:textId="6DE9A347" w:rsidR="006C6EF7" w:rsidRPr="001211BE" w:rsidRDefault="006C6EF7" w:rsidP="006C6EF7">
      <w:pPr>
        <w:spacing w:after="100" w:afterAutospacing="1"/>
        <w:jc w:val="both"/>
        <w:rPr>
          <w:rFonts w:cs="Arial"/>
          <w:color w:val="000000" w:themeColor="text1"/>
        </w:rPr>
      </w:pPr>
      <w:r w:rsidRPr="006C6EF7">
        <w:rPr>
          <w:rFonts w:cs="Arial"/>
          <w:color w:val="000000" w:themeColor="text1"/>
        </w:rPr>
        <w:t xml:space="preserve">Young, M., &amp; Muller, J. (2016). Introduction. In Curriculum and the Specialisation of Knowledge (1st ed., pp. 3–10). Routledge. </w:t>
      </w:r>
    </w:p>
    <w:p w14:paraId="0169765B" w14:textId="77777777" w:rsidR="00AE67DC" w:rsidRPr="0072740E" w:rsidRDefault="00AE67DC" w:rsidP="006370E7">
      <w:pPr>
        <w:spacing w:after="100" w:afterAutospacing="1" w:line="360" w:lineRule="auto"/>
        <w:jc w:val="both"/>
        <w:rPr>
          <w:rFonts w:cs="Arial"/>
          <w:color w:val="000000" w:themeColor="text1"/>
        </w:rPr>
      </w:pPr>
      <w:r w:rsidRPr="004E467B">
        <w:rPr>
          <w:rFonts w:cs="Arial"/>
          <w:color w:val="000000" w:themeColor="text1"/>
        </w:rPr>
        <w:lastRenderedPageBreak/>
        <w:t xml:space="preserve">Zhu, X., &amp; Evans, C. (2024). Enhancing the development and understanding of assessment literacy in higher education. European Journal of Higher Education, 14:1, 80–100. </w:t>
      </w:r>
    </w:p>
    <w:p w14:paraId="45EE3236" w14:textId="77777777" w:rsidR="00AE67DC" w:rsidRPr="0072740E" w:rsidRDefault="00AE67DC" w:rsidP="006370E7">
      <w:pPr>
        <w:spacing w:after="100" w:afterAutospacing="1" w:line="360" w:lineRule="auto"/>
        <w:jc w:val="both"/>
        <w:rPr>
          <w:rFonts w:cs="Arial"/>
          <w:color w:val="000000" w:themeColor="text1"/>
        </w:rPr>
      </w:pPr>
      <w:r w:rsidRPr="0072740E">
        <w:rPr>
          <w:rFonts w:cs="Arial"/>
          <w:color w:val="000000" w:themeColor="text1"/>
        </w:rPr>
        <w:t>Zundans-Fraser, L., &amp; Bain, A., (2016), How Do Institutional Practices for Course Design and Review Address Areas of Need in Higher Education. Higher Education Research and Development 35</w:t>
      </w:r>
      <w:r>
        <w:rPr>
          <w:rFonts w:cs="Arial"/>
          <w:color w:val="000000" w:themeColor="text1"/>
        </w:rPr>
        <w:t xml:space="preserve">:4, </w:t>
      </w:r>
      <w:r w:rsidRPr="0072740E">
        <w:rPr>
          <w:rFonts w:cs="Arial"/>
          <w:color w:val="000000" w:themeColor="text1"/>
        </w:rPr>
        <w:t>841-53.</w:t>
      </w:r>
    </w:p>
    <w:p w14:paraId="5E092173" w14:textId="77777777" w:rsidR="00AE67DC" w:rsidRPr="0072740E" w:rsidRDefault="00AE67DC" w:rsidP="006370E7">
      <w:pPr>
        <w:spacing w:after="100" w:afterAutospacing="1" w:line="360" w:lineRule="auto"/>
        <w:jc w:val="both"/>
        <w:rPr>
          <w:rFonts w:cs="Arial"/>
          <w:color w:val="000000" w:themeColor="text1"/>
        </w:rPr>
      </w:pPr>
    </w:p>
    <w:p w14:paraId="1F552A4C" w14:textId="77777777" w:rsidR="00AE67DC" w:rsidRPr="0072740E" w:rsidRDefault="00AE67DC" w:rsidP="006370E7">
      <w:pPr>
        <w:spacing w:after="100" w:afterAutospacing="1" w:line="360" w:lineRule="auto"/>
        <w:jc w:val="both"/>
        <w:rPr>
          <w:rFonts w:cs="Arial"/>
          <w:color w:val="000000" w:themeColor="text1"/>
        </w:rPr>
      </w:pPr>
    </w:p>
    <w:p w14:paraId="206D731C" w14:textId="77777777" w:rsidR="00AE67DC" w:rsidRPr="00AE67DC" w:rsidRDefault="00AE67DC" w:rsidP="006370E7">
      <w:pPr>
        <w:spacing w:line="360" w:lineRule="auto"/>
      </w:pPr>
    </w:p>
    <w:p w14:paraId="55CDA3E5" w14:textId="77777777" w:rsidR="00BC793F" w:rsidRPr="00BC793F" w:rsidRDefault="00BC793F" w:rsidP="006370E7">
      <w:pPr>
        <w:spacing w:line="360" w:lineRule="auto"/>
      </w:pPr>
    </w:p>
    <w:p w14:paraId="195B7823" w14:textId="77777777" w:rsidR="000F692F" w:rsidRDefault="000F692F" w:rsidP="006370E7">
      <w:pPr>
        <w:spacing w:line="360" w:lineRule="auto"/>
        <w:rPr>
          <w:rFonts w:cs="Arial"/>
          <w:szCs w:val="24"/>
        </w:rPr>
      </w:pPr>
    </w:p>
    <w:p w14:paraId="5303DD6D" w14:textId="77777777" w:rsidR="00F00429" w:rsidRPr="00EF0E6B" w:rsidRDefault="00F00429" w:rsidP="006370E7">
      <w:pPr>
        <w:spacing w:line="360" w:lineRule="auto"/>
        <w:rPr>
          <w:rFonts w:cs="Arial"/>
          <w:sz w:val="28"/>
        </w:rPr>
      </w:pPr>
    </w:p>
    <w:sectPr w:rsidR="00F00429" w:rsidRPr="00EF0E6B" w:rsidSect="007A419E">
      <w:pgSz w:w="11880" w:h="16800"/>
      <w:pgMar w:top="1418" w:right="1418" w:bottom="1418"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24FC" w14:textId="77777777" w:rsidR="00FE06BB" w:rsidRDefault="00FE06BB" w:rsidP="00584475">
      <w:r>
        <w:separator/>
      </w:r>
    </w:p>
  </w:endnote>
  <w:endnote w:type="continuationSeparator" w:id="0">
    <w:p w14:paraId="1106A5E6" w14:textId="77777777" w:rsidR="00FE06BB" w:rsidRDefault="00FE06BB" w:rsidP="0058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ew York">
    <w:altName w:val="Times New Roman"/>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Century Schlbk">
    <w:altName w:val="Century Schoolbook"/>
    <w:panose1 w:val="020B0604020202020204"/>
    <w:charset w:val="4D"/>
    <w:family w:val="auto"/>
    <w:notTrueType/>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07CE" w14:textId="0A0C07F2" w:rsidR="001E1788" w:rsidRDefault="001E1788" w:rsidP="0058447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854CA">
      <w:rPr>
        <w:rStyle w:val="PageNumber"/>
        <w:noProof/>
      </w:rPr>
      <w:t>205</w:t>
    </w:r>
    <w:r>
      <w:rPr>
        <w:rStyle w:val="PageNumber"/>
      </w:rPr>
      <w:fldChar w:fldCharType="end"/>
    </w:r>
  </w:p>
  <w:p w14:paraId="42A95775" w14:textId="77777777" w:rsidR="001E1788" w:rsidRDefault="001E1788" w:rsidP="0058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96371"/>
      <w:docPartObj>
        <w:docPartGallery w:val="Page Numbers (Bottom of Page)"/>
        <w:docPartUnique/>
      </w:docPartObj>
    </w:sdtPr>
    <w:sdtEndPr>
      <w:rPr>
        <w:noProof/>
      </w:rPr>
    </w:sdtEndPr>
    <w:sdtContent>
      <w:p w14:paraId="3B619BD7" w14:textId="77777777" w:rsidR="001E1788" w:rsidRDefault="001E1788" w:rsidP="007E2CC3">
        <w:pPr>
          <w:pStyle w:val="Footer"/>
          <w:jc w:val="right"/>
        </w:pPr>
        <w:r>
          <w:fldChar w:fldCharType="begin"/>
        </w:r>
        <w:r>
          <w:instrText xml:space="preserve"> PAGE   \* MERGEFORMAT </w:instrText>
        </w:r>
        <w:r>
          <w:fldChar w:fldCharType="separate"/>
        </w:r>
        <w:r w:rsidR="00DE29F3">
          <w:rPr>
            <w:noProof/>
          </w:rPr>
          <w:t>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536358"/>
      <w:docPartObj>
        <w:docPartGallery w:val="Page Numbers (Bottom of Page)"/>
        <w:docPartUnique/>
      </w:docPartObj>
    </w:sdtPr>
    <w:sdtEndPr>
      <w:rPr>
        <w:noProof/>
      </w:rPr>
    </w:sdtEndPr>
    <w:sdtContent>
      <w:p w14:paraId="47F6FF15" w14:textId="77777777" w:rsidR="00B819EC" w:rsidRDefault="00B819EC" w:rsidP="003424E3">
        <w:pPr>
          <w:pStyle w:val="Footer"/>
          <w:jc w:val="center"/>
        </w:pPr>
        <w:r>
          <w:fldChar w:fldCharType="begin"/>
        </w:r>
        <w:r>
          <w:instrText xml:space="preserve"> PAGE   \* MERGEFORMAT </w:instrText>
        </w:r>
        <w:r>
          <w:fldChar w:fldCharType="separate"/>
        </w:r>
        <w:r w:rsidR="00DE29F3">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58CE3" w14:textId="77777777" w:rsidR="00FE06BB" w:rsidRDefault="00FE06BB" w:rsidP="00584475">
      <w:r>
        <w:separator/>
      </w:r>
    </w:p>
  </w:footnote>
  <w:footnote w:type="continuationSeparator" w:id="0">
    <w:p w14:paraId="2DEA5A7A" w14:textId="77777777" w:rsidR="00FE06BB" w:rsidRDefault="00FE06BB" w:rsidP="00584475">
      <w:r>
        <w:continuationSeparator/>
      </w:r>
    </w:p>
  </w:footnote>
  <w:footnote w:id="1">
    <w:p w14:paraId="1E6A2235" w14:textId="7F4D08E4" w:rsidR="000A1712" w:rsidRDefault="000A1712">
      <w:pPr>
        <w:pStyle w:val="FootnoteText"/>
      </w:pPr>
      <w:r>
        <w:rPr>
          <w:rStyle w:val="FootnoteReference"/>
        </w:rPr>
        <w:footnoteRef/>
      </w:r>
      <w:r>
        <w:t xml:space="preserve"> ‘Law school’ is used here and throughout the thesis</w:t>
      </w:r>
      <w:r w:rsidR="0077535E">
        <w:t xml:space="preserve"> for ease</w:t>
      </w:r>
      <w:r>
        <w:t xml:space="preserve"> </w:t>
      </w:r>
      <w:r w:rsidR="00937F78">
        <w:t>of</w:t>
      </w:r>
      <w:r>
        <w:t xml:space="preserve"> reference to </w:t>
      </w:r>
      <w:r w:rsidR="0077535E">
        <w:t xml:space="preserve">law schools, </w:t>
      </w:r>
      <w:r>
        <w:t>law departments, and law teams</w:t>
      </w:r>
      <w:r w:rsidR="0077535E">
        <w:t>,</w:t>
      </w:r>
      <w:r>
        <w:t xml:space="preserve"> and so represents a body of people </w:t>
      </w:r>
      <w:r w:rsidR="0077535E">
        <w:t>rather than being limited</w:t>
      </w:r>
      <w:r>
        <w:t xml:space="preserve"> to a structural form within an institution.</w:t>
      </w:r>
    </w:p>
  </w:footnote>
  <w:footnote w:id="2">
    <w:p w14:paraId="40D6D818" w14:textId="4C79048A" w:rsidR="00F622ED" w:rsidRPr="00F622ED" w:rsidRDefault="00F622ED" w:rsidP="00F622ED">
      <w:pPr>
        <w:pStyle w:val="Heading4"/>
        <w:numPr>
          <w:ilvl w:val="0"/>
          <w:numId w:val="0"/>
        </w:numPr>
        <w:spacing w:line="240" w:lineRule="auto"/>
        <w:jc w:val="both"/>
        <w:rPr>
          <w:rFonts w:ascii="Arial" w:hAnsi="Arial" w:cs="Arial"/>
          <w:b w:val="0"/>
          <w:bCs/>
          <w:i/>
          <w:iCs/>
          <w:color w:val="000000" w:themeColor="text1"/>
        </w:rPr>
      </w:pPr>
      <w:r>
        <w:rPr>
          <w:rStyle w:val="FootnoteReference"/>
        </w:rPr>
        <w:footnoteRef/>
      </w:r>
      <w:r>
        <w:t xml:space="preserve"> </w:t>
      </w:r>
      <w:r w:rsidRPr="00F622ED">
        <w:rPr>
          <w:rFonts w:ascii="Arial" w:hAnsi="Arial" w:cs="Arial"/>
          <w:b w:val="0"/>
          <w:bCs/>
          <w:color w:val="000000" w:themeColor="text1"/>
          <w:sz w:val="21"/>
          <w:szCs w:val="21"/>
        </w:rPr>
        <w:t xml:space="preserve">My </w:t>
      </w:r>
      <w:r w:rsidR="00225E93">
        <w:rPr>
          <w:rFonts w:ascii="Arial" w:hAnsi="Arial" w:cs="Arial"/>
          <w:b w:val="0"/>
          <w:bCs/>
          <w:color w:val="000000" w:themeColor="text1"/>
          <w:sz w:val="21"/>
          <w:szCs w:val="21"/>
        </w:rPr>
        <w:t xml:space="preserve">use of the term </w:t>
      </w:r>
      <w:r w:rsidRPr="00F622ED">
        <w:rPr>
          <w:rFonts w:ascii="Arial" w:hAnsi="Arial" w:cs="Arial"/>
          <w:b w:val="0"/>
          <w:bCs/>
          <w:color w:val="000000" w:themeColor="text1"/>
          <w:sz w:val="21"/>
          <w:szCs w:val="21"/>
        </w:rPr>
        <w:t xml:space="preserve">metrics </w:t>
      </w:r>
      <w:r w:rsidR="00225E93">
        <w:rPr>
          <w:rFonts w:ascii="Arial" w:hAnsi="Arial" w:cs="Arial"/>
          <w:b w:val="0"/>
          <w:bCs/>
          <w:color w:val="000000" w:themeColor="text1"/>
          <w:sz w:val="21"/>
          <w:szCs w:val="21"/>
        </w:rPr>
        <w:t>in this project (unless otherwise stated)</w:t>
      </w:r>
      <w:r w:rsidRPr="00F622ED">
        <w:rPr>
          <w:rFonts w:ascii="Arial" w:hAnsi="Arial" w:cs="Arial"/>
          <w:b w:val="0"/>
          <w:bCs/>
          <w:color w:val="000000" w:themeColor="text1"/>
          <w:sz w:val="21"/>
          <w:szCs w:val="21"/>
        </w:rPr>
        <w:t xml:space="preserve"> is specifically with reference to the</w:t>
      </w:r>
      <w:r>
        <w:rPr>
          <w:rFonts w:ascii="Arial" w:hAnsi="Arial" w:cs="Arial"/>
          <w:b w:val="0"/>
          <w:bCs/>
          <w:color w:val="000000" w:themeColor="text1"/>
          <w:sz w:val="21"/>
          <w:szCs w:val="21"/>
        </w:rPr>
        <w:t xml:space="preserve"> </w:t>
      </w:r>
      <w:r w:rsidRPr="00F622ED">
        <w:rPr>
          <w:rFonts w:ascii="Arial" w:hAnsi="Arial" w:cs="Arial"/>
          <w:b w:val="0"/>
          <w:bCs/>
          <w:color w:val="000000" w:themeColor="text1"/>
          <w:sz w:val="21"/>
          <w:szCs w:val="21"/>
        </w:rPr>
        <w:t>Teaching Excellence Framework, accepting that there is also an impact on course design</w:t>
      </w:r>
      <w:r>
        <w:rPr>
          <w:rFonts w:ascii="Arial" w:hAnsi="Arial" w:cs="Arial"/>
          <w:b w:val="0"/>
          <w:bCs/>
          <w:color w:val="000000" w:themeColor="text1"/>
          <w:sz w:val="21"/>
          <w:szCs w:val="21"/>
        </w:rPr>
        <w:t xml:space="preserve"> other metrics, and different league tables. </w:t>
      </w:r>
      <w:r w:rsidRPr="00F622ED">
        <w:rPr>
          <w:rFonts w:ascii="Arial" w:hAnsi="Arial" w:cs="Arial"/>
          <w:b w:val="0"/>
          <w:bCs/>
          <w:color w:val="000000" w:themeColor="text1"/>
          <w:sz w:val="21"/>
          <w:szCs w:val="21"/>
        </w:rPr>
        <w:t xml:space="preserve"> </w:t>
      </w:r>
      <w:r>
        <w:rPr>
          <w:rFonts w:ascii="Arial" w:hAnsi="Arial" w:cs="Arial"/>
          <w:b w:val="0"/>
          <w:bCs/>
          <w:color w:val="000000" w:themeColor="text1"/>
          <w:sz w:val="21"/>
          <w:szCs w:val="21"/>
        </w:rPr>
        <w:t>The Research Excellence Framework has some relevance later</w:t>
      </w:r>
      <w:r w:rsidR="00225E93">
        <w:rPr>
          <w:rFonts w:ascii="Arial" w:hAnsi="Arial" w:cs="Arial"/>
          <w:b w:val="0"/>
          <w:bCs/>
          <w:color w:val="000000" w:themeColor="text1"/>
          <w:sz w:val="21"/>
          <w:szCs w:val="21"/>
        </w:rPr>
        <w:t xml:space="preserve"> in the discussion. </w:t>
      </w:r>
    </w:p>
    <w:p w14:paraId="5F153A7E" w14:textId="0D2CEE3C" w:rsidR="00F622ED" w:rsidRDefault="00F622ED">
      <w:pPr>
        <w:pStyle w:val="FootnoteText"/>
      </w:pPr>
    </w:p>
  </w:footnote>
  <w:footnote w:id="3">
    <w:p w14:paraId="3A18BC07" w14:textId="74D6DB2E" w:rsidR="008854CA" w:rsidRDefault="00393736" w:rsidP="008854CA">
      <w:pPr>
        <w:spacing w:line="240" w:lineRule="auto"/>
      </w:pPr>
      <w:r>
        <w:rPr>
          <w:rStyle w:val="FootnoteReference"/>
        </w:rPr>
        <w:footnoteRef/>
      </w:r>
      <w:r>
        <w:t xml:space="preserve"> </w:t>
      </w:r>
      <w:r w:rsidRPr="009068CD">
        <w:rPr>
          <w:sz w:val="20"/>
        </w:rPr>
        <w:t xml:space="preserve">As this thesis is focusing on the undergraduate law </w:t>
      </w:r>
      <w:r w:rsidR="000B4AC7" w:rsidRPr="009068CD">
        <w:rPr>
          <w:sz w:val="20"/>
        </w:rPr>
        <w:t>degree,</w:t>
      </w:r>
      <w:r w:rsidRPr="009068CD">
        <w:rPr>
          <w:sz w:val="20"/>
        </w:rPr>
        <w:t xml:space="preserve"> I have not included other equally important, alternative routes to the profession through Cilex or solicitor and paralegal apprenticeships.</w:t>
      </w:r>
    </w:p>
    <w:p w14:paraId="73DA3258" w14:textId="77777777" w:rsidR="008854CA" w:rsidRDefault="008854CA" w:rsidP="008854CA">
      <w:pPr>
        <w:spacing w:line="240" w:lineRule="auto"/>
      </w:pPr>
    </w:p>
  </w:footnote>
  <w:footnote w:id="4">
    <w:p w14:paraId="7291F0D3" w14:textId="57646718" w:rsidR="00393736" w:rsidRDefault="00393736" w:rsidP="00393736">
      <w:pPr>
        <w:spacing w:line="240" w:lineRule="auto"/>
        <w:jc w:val="both"/>
      </w:pPr>
      <w:r>
        <w:rPr>
          <w:rStyle w:val="FootnoteReference"/>
        </w:rPr>
        <w:footnoteRef/>
      </w:r>
      <w:r>
        <w:t xml:space="preserve"> </w:t>
      </w:r>
      <w:r w:rsidRPr="009449D4">
        <w:rPr>
          <w:sz w:val="20"/>
        </w:rPr>
        <w:t>The figures in the final two columns need to be treated with some care. The analysis in this thesis is based on the qualitative data that exists behind these figures rather than the number of incidents in the sources or references. Many references also were relevant to more than one category, so it was not a quantitative assessment in any way. Instead, the code book allowed me to refer to qualitative statements and references together and consider their relevance. The codes were stored in N</w:t>
      </w:r>
      <w:r w:rsidR="009068CD">
        <w:rPr>
          <w:sz w:val="20"/>
        </w:rPr>
        <w:t>V</w:t>
      </w:r>
      <w:r w:rsidRPr="009449D4">
        <w:rPr>
          <w:sz w:val="20"/>
        </w:rPr>
        <w:t>ivo and allowed further analysis into categories of</w:t>
      </w:r>
      <w:r w:rsidR="00E76CF0">
        <w:rPr>
          <w:sz w:val="20"/>
        </w:rPr>
        <w:t xml:space="preserve"> school</w:t>
      </w:r>
      <w:r w:rsidRPr="009449D4">
        <w:rPr>
          <w:sz w:val="20"/>
        </w:rPr>
        <w:t xml:space="preserve"> within each section.</w:t>
      </w:r>
      <w:r>
        <w:t xml:space="preserve"> </w:t>
      </w:r>
    </w:p>
    <w:p w14:paraId="63D0D60C" w14:textId="77777777" w:rsidR="00393736" w:rsidRDefault="00393736" w:rsidP="00393736">
      <w:pPr>
        <w:pStyle w:val="FootnoteText"/>
      </w:pPr>
    </w:p>
  </w:footnote>
  <w:footnote w:id="5">
    <w:p w14:paraId="6B3E2E7B" w14:textId="41D3D77D" w:rsidR="00930B92" w:rsidRPr="005A1850" w:rsidRDefault="00930B92" w:rsidP="001F1489">
      <w:pPr>
        <w:pStyle w:val="FootnoteText"/>
        <w:spacing w:line="360" w:lineRule="auto"/>
        <w:rPr>
          <w:rFonts w:cs="Arial"/>
        </w:rPr>
      </w:pPr>
      <w:r>
        <w:rPr>
          <w:rStyle w:val="FootnoteReference"/>
        </w:rPr>
        <w:footnoteRef/>
      </w:r>
      <w:r>
        <w:t xml:space="preserve"> </w:t>
      </w:r>
      <w:r>
        <w:rPr>
          <w:rFonts w:cs="Arial"/>
        </w:rPr>
        <w:t xml:space="preserve">There is limited information here as there is a need to protect the anonymity of the </w:t>
      </w:r>
      <w:r w:rsidR="00E76CF0">
        <w:rPr>
          <w:rFonts w:cs="Arial"/>
        </w:rPr>
        <w:t>law school</w:t>
      </w:r>
      <w:r>
        <w:rPr>
          <w:rFonts w:cs="Arial"/>
        </w:rPr>
        <w:t>s that the participants were talking about, and the participants themselves.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5422" w14:textId="77777777" w:rsidR="001E1788" w:rsidRPr="00A131A7" w:rsidRDefault="001E1788" w:rsidP="0058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020D5"/>
    <w:multiLevelType w:val="hybridMultilevel"/>
    <w:tmpl w:val="2370022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271E36"/>
    <w:multiLevelType w:val="hybridMultilevel"/>
    <w:tmpl w:val="F83CA5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5274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06E2A20"/>
    <w:multiLevelType w:val="hybridMultilevel"/>
    <w:tmpl w:val="75DC106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62D68"/>
    <w:multiLevelType w:val="hybridMultilevel"/>
    <w:tmpl w:val="645C8002"/>
    <w:lvl w:ilvl="0" w:tplc="619E7024">
      <w:start w:val="1"/>
      <w:numFmt w:val="bullet"/>
      <w:pStyle w:val="bodytext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1380D"/>
    <w:multiLevelType w:val="hybridMultilevel"/>
    <w:tmpl w:val="8A64A488"/>
    <w:lvl w:ilvl="0" w:tplc="28EAF6D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55C2A"/>
    <w:multiLevelType w:val="hybridMultilevel"/>
    <w:tmpl w:val="889ADF74"/>
    <w:lvl w:ilvl="0" w:tplc="70F60AC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7D4FDF"/>
    <w:multiLevelType w:val="hybridMultilevel"/>
    <w:tmpl w:val="893EA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5540AA"/>
    <w:multiLevelType w:val="hybridMultilevel"/>
    <w:tmpl w:val="8BD85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E67734"/>
    <w:multiLevelType w:val="hybridMultilevel"/>
    <w:tmpl w:val="A9CEB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81C95"/>
    <w:multiLevelType w:val="multilevel"/>
    <w:tmpl w:val="602E233C"/>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AB3166D"/>
    <w:multiLevelType w:val="hybridMultilevel"/>
    <w:tmpl w:val="040A68C2"/>
    <w:lvl w:ilvl="0" w:tplc="82928D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70661"/>
    <w:multiLevelType w:val="hybridMultilevel"/>
    <w:tmpl w:val="BE58E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7511A9"/>
    <w:multiLevelType w:val="hybridMultilevel"/>
    <w:tmpl w:val="FE6E4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324921">
    <w:abstractNumId w:val="4"/>
  </w:num>
  <w:num w:numId="2" w16cid:durableId="646251751">
    <w:abstractNumId w:val="2"/>
  </w:num>
  <w:num w:numId="3" w16cid:durableId="963314965">
    <w:abstractNumId w:val="10"/>
  </w:num>
  <w:num w:numId="4" w16cid:durableId="257298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868733">
    <w:abstractNumId w:val="0"/>
  </w:num>
  <w:num w:numId="6" w16cid:durableId="729109971">
    <w:abstractNumId w:val="1"/>
  </w:num>
  <w:num w:numId="7" w16cid:durableId="1769035442">
    <w:abstractNumId w:val="9"/>
  </w:num>
  <w:num w:numId="8" w16cid:durableId="1545214665">
    <w:abstractNumId w:val="6"/>
  </w:num>
  <w:num w:numId="9" w16cid:durableId="1246836563">
    <w:abstractNumId w:val="3"/>
  </w:num>
  <w:num w:numId="10" w16cid:durableId="1361542105">
    <w:abstractNumId w:val="5"/>
  </w:num>
  <w:num w:numId="11" w16cid:durableId="762535590">
    <w:abstractNumId w:val="12"/>
  </w:num>
  <w:num w:numId="12" w16cid:durableId="1244754255">
    <w:abstractNumId w:val="7"/>
  </w:num>
  <w:num w:numId="13" w16cid:durableId="199126071">
    <w:abstractNumId w:val="8"/>
  </w:num>
  <w:num w:numId="14" w16cid:durableId="718672918">
    <w:abstractNumId w:val="11"/>
  </w:num>
  <w:num w:numId="15" w16cid:durableId="100147711">
    <w:abstractNumId w:val="13"/>
  </w:num>
  <w:num w:numId="16" w16cid:durableId="1842306261">
    <w:abstractNumId w:val="10"/>
    <w:lvlOverride w:ilvl="0">
      <w:startOverride w:val="9"/>
    </w:lvlOverride>
    <w:lvlOverride w:ilvl="1">
      <w:startOverride w:val="5"/>
    </w:lvlOverride>
  </w:num>
  <w:num w:numId="17" w16cid:durableId="1766921444">
    <w:abstractNumId w:val="10"/>
    <w:lvlOverride w:ilvl="0">
      <w:startOverride w:val="9"/>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45"/>
    <w:rsid w:val="00015683"/>
    <w:rsid w:val="00022108"/>
    <w:rsid w:val="0002287D"/>
    <w:rsid w:val="0002331E"/>
    <w:rsid w:val="00026FC1"/>
    <w:rsid w:val="000278ED"/>
    <w:rsid w:val="00035D03"/>
    <w:rsid w:val="0003652C"/>
    <w:rsid w:val="00036F7B"/>
    <w:rsid w:val="000409A0"/>
    <w:rsid w:val="000424FC"/>
    <w:rsid w:val="00044CDF"/>
    <w:rsid w:val="00046A61"/>
    <w:rsid w:val="00054BE9"/>
    <w:rsid w:val="0005689B"/>
    <w:rsid w:val="00063441"/>
    <w:rsid w:val="000670CF"/>
    <w:rsid w:val="0007541A"/>
    <w:rsid w:val="00075C8C"/>
    <w:rsid w:val="00076305"/>
    <w:rsid w:val="00077A32"/>
    <w:rsid w:val="00081421"/>
    <w:rsid w:val="0008159C"/>
    <w:rsid w:val="00092033"/>
    <w:rsid w:val="000963FE"/>
    <w:rsid w:val="000A1712"/>
    <w:rsid w:val="000A7B3F"/>
    <w:rsid w:val="000B0C91"/>
    <w:rsid w:val="000B4AC7"/>
    <w:rsid w:val="000B5B3C"/>
    <w:rsid w:val="000C3A93"/>
    <w:rsid w:val="000C45F4"/>
    <w:rsid w:val="000D2565"/>
    <w:rsid w:val="000D63F5"/>
    <w:rsid w:val="000D705A"/>
    <w:rsid w:val="000E07C5"/>
    <w:rsid w:val="000E4A21"/>
    <w:rsid w:val="000F2798"/>
    <w:rsid w:val="000F5D64"/>
    <w:rsid w:val="000F692F"/>
    <w:rsid w:val="000F6E09"/>
    <w:rsid w:val="001000C5"/>
    <w:rsid w:val="001078AA"/>
    <w:rsid w:val="00112DE6"/>
    <w:rsid w:val="00114AD8"/>
    <w:rsid w:val="0012184D"/>
    <w:rsid w:val="00140742"/>
    <w:rsid w:val="00141828"/>
    <w:rsid w:val="0014423D"/>
    <w:rsid w:val="0014492D"/>
    <w:rsid w:val="001476A3"/>
    <w:rsid w:val="00150728"/>
    <w:rsid w:val="00157941"/>
    <w:rsid w:val="00163C10"/>
    <w:rsid w:val="00164A9E"/>
    <w:rsid w:val="001659B5"/>
    <w:rsid w:val="00165D64"/>
    <w:rsid w:val="00170CB2"/>
    <w:rsid w:val="001820A4"/>
    <w:rsid w:val="001838AC"/>
    <w:rsid w:val="00195289"/>
    <w:rsid w:val="001A02F7"/>
    <w:rsid w:val="001A2D91"/>
    <w:rsid w:val="001A3C47"/>
    <w:rsid w:val="001A4558"/>
    <w:rsid w:val="001B006D"/>
    <w:rsid w:val="001B0FDF"/>
    <w:rsid w:val="001B1BB0"/>
    <w:rsid w:val="001B637C"/>
    <w:rsid w:val="001C17B7"/>
    <w:rsid w:val="001C1933"/>
    <w:rsid w:val="001C478B"/>
    <w:rsid w:val="001C57A6"/>
    <w:rsid w:val="001C5E51"/>
    <w:rsid w:val="001C694F"/>
    <w:rsid w:val="001D1671"/>
    <w:rsid w:val="001D2E2C"/>
    <w:rsid w:val="001D3092"/>
    <w:rsid w:val="001D50F3"/>
    <w:rsid w:val="001D765D"/>
    <w:rsid w:val="001E1788"/>
    <w:rsid w:val="001E3894"/>
    <w:rsid w:val="001E3BCF"/>
    <w:rsid w:val="001E4478"/>
    <w:rsid w:val="001E7C3E"/>
    <w:rsid w:val="001F1489"/>
    <w:rsid w:val="001F2187"/>
    <w:rsid w:val="00202A85"/>
    <w:rsid w:val="00211F89"/>
    <w:rsid w:val="00217136"/>
    <w:rsid w:val="002253DC"/>
    <w:rsid w:val="00225AEF"/>
    <w:rsid w:val="00225E93"/>
    <w:rsid w:val="00233993"/>
    <w:rsid w:val="00236C7C"/>
    <w:rsid w:val="00237084"/>
    <w:rsid w:val="00237C9B"/>
    <w:rsid w:val="00243DFD"/>
    <w:rsid w:val="00244F52"/>
    <w:rsid w:val="0025659A"/>
    <w:rsid w:val="00256606"/>
    <w:rsid w:val="00262C58"/>
    <w:rsid w:val="00263258"/>
    <w:rsid w:val="00272A5D"/>
    <w:rsid w:val="00274D54"/>
    <w:rsid w:val="002843BB"/>
    <w:rsid w:val="00284B83"/>
    <w:rsid w:val="002A04E8"/>
    <w:rsid w:val="002A05A3"/>
    <w:rsid w:val="002A15F5"/>
    <w:rsid w:val="002A269E"/>
    <w:rsid w:val="002A635A"/>
    <w:rsid w:val="002A72CA"/>
    <w:rsid w:val="002B461B"/>
    <w:rsid w:val="002B7F2E"/>
    <w:rsid w:val="002C01C2"/>
    <w:rsid w:val="002C2C14"/>
    <w:rsid w:val="002D1AEE"/>
    <w:rsid w:val="002E3EB5"/>
    <w:rsid w:val="002E6888"/>
    <w:rsid w:val="003026EF"/>
    <w:rsid w:val="00306A4F"/>
    <w:rsid w:val="00314F17"/>
    <w:rsid w:val="003176D1"/>
    <w:rsid w:val="00320660"/>
    <w:rsid w:val="003216A7"/>
    <w:rsid w:val="00330084"/>
    <w:rsid w:val="003424E3"/>
    <w:rsid w:val="00347F9A"/>
    <w:rsid w:val="0035550C"/>
    <w:rsid w:val="00356245"/>
    <w:rsid w:val="003615EA"/>
    <w:rsid w:val="00366A06"/>
    <w:rsid w:val="00374960"/>
    <w:rsid w:val="003760A0"/>
    <w:rsid w:val="00380A2B"/>
    <w:rsid w:val="003824E3"/>
    <w:rsid w:val="003848B2"/>
    <w:rsid w:val="0038724E"/>
    <w:rsid w:val="003876BC"/>
    <w:rsid w:val="00390788"/>
    <w:rsid w:val="00393736"/>
    <w:rsid w:val="0039457C"/>
    <w:rsid w:val="00395A3B"/>
    <w:rsid w:val="00397C07"/>
    <w:rsid w:val="003A2A9B"/>
    <w:rsid w:val="003A6FA1"/>
    <w:rsid w:val="003B2245"/>
    <w:rsid w:val="003B4117"/>
    <w:rsid w:val="003B4FE1"/>
    <w:rsid w:val="003C25F0"/>
    <w:rsid w:val="003E0AE1"/>
    <w:rsid w:val="003E6D41"/>
    <w:rsid w:val="003E7030"/>
    <w:rsid w:val="003F1AF4"/>
    <w:rsid w:val="003F4401"/>
    <w:rsid w:val="003F7353"/>
    <w:rsid w:val="00405409"/>
    <w:rsid w:val="00410D95"/>
    <w:rsid w:val="00411A99"/>
    <w:rsid w:val="00412B04"/>
    <w:rsid w:val="00420065"/>
    <w:rsid w:val="00424F6F"/>
    <w:rsid w:val="004264C5"/>
    <w:rsid w:val="00437BBE"/>
    <w:rsid w:val="00445015"/>
    <w:rsid w:val="00447335"/>
    <w:rsid w:val="004549A4"/>
    <w:rsid w:val="00455E45"/>
    <w:rsid w:val="00457EE4"/>
    <w:rsid w:val="00464720"/>
    <w:rsid w:val="00470AF8"/>
    <w:rsid w:val="00470B79"/>
    <w:rsid w:val="00476C1F"/>
    <w:rsid w:val="00482198"/>
    <w:rsid w:val="00492F0C"/>
    <w:rsid w:val="00493214"/>
    <w:rsid w:val="004950F3"/>
    <w:rsid w:val="004A5F24"/>
    <w:rsid w:val="004A63BF"/>
    <w:rsid w:val="004C2377"/>
    <w:rsid w:val="004C24C5"/>
    <w:rsid w:val="004C6419"/>
    <w:rsid w:val="004D4CA7"/>
    <w:rsid w:val="004E1052"/>
    <w:rsid w:val="004E49F4"/>
    <w:rsid w:val="004E52D7"/>
    <w:rsid w:val="004E60D9"/>
    <w:rsid w:val="0050222A"/>
    <w:rsid w:val="00505970"/>
    <w:rsid w:val="00505C53"/>
    <w:rsid w:val="0050675D"/>
    <w:rsid w:val="005132D4"/>
    <w:rsid w:val="005157C0"/>
    <w:rsid w:val="00517614"/>
    <w:rsid w:val="00517EE9"/>
    <w:rsid w:val="00523DAB"/>
    <w:rsid w:val="00523F3B"/>
    <w:rsid w:val="00533E00"/>
    <w:rsid w:val="00536878"/>
    <w:rsid w:val="00543202"/>
    <w:rsid w:val="00544A29"/>
    <w:rsid w:val="005516A8"/>
    <w:rsid w:val="005519C7"/>
    <w:rsid w:val="00556FCB"/>
    <w:rsid w:val="005638D5"/>
    <w:rsid w:val="0057480B"/>
    <w:rsid w:val="00576060"/>
    <w:rsid w:val="00576414"/>
    <w:rsid w:val="00576659"/>
    <w:rsid w:val="005768AA"/>
    <w:rsid w:val="00577BDF"/>
    <w:rsid w:val="005802C8"/>
    <w:rsid w:val="00584475"/>
    <w:rsid w:val="0058532F"/>
    <w:rsid w:val="005A1F63"/>
    <w:rsid w:val="005A5ACF"/>
    <w:rsid w:val="005A5F98"/>
    <w:rsid w:val="005B4D23"/>
    <w:rsid w:val="005C1A7F"/>
    <w:rsid w:val="005C27AB"/>
    <w:rsid w:val="005C2EEB"/>
    <w:rsid w:val="005D00B3"/>
    <w:rsid w:val="005D091E"/>
    <w:rsid w:val="005D4923"/>
    <w:rsid w:val="005D4E8E"/>
    <w:rsid w:val="005D5179"/>
    <w:rsid w:val="005E5C72"/>
    <w:rsid w:val="005E6949"/>
    <w:rsid w:val="005E7EA6"/>
    <w:rsid w:val="005F0FAE"/>
    <w:rsid w:val="005F7586"/>
    <w:rsid w:val="00601DB6"/>
    <w:rsid w:val="00601EBA"/>
    <w:rsid w:val="00603221"/>
    <w:rsid w:val="006146D0"/>
    <w:rsid w:val="00617197"/>
    <w:rsid w:val="006370E7"/>
    <w:rsid w:val="006424F0"/>
    <w:rsid w:val="00642721"/>
    <w:rsid w:val="0064283C"/>
    <w:rsid w:val="00642B50"/>
    <w:rsid w:val="00644959"/>
    <w:rsid w:val="00645CF1"/>
    <w:rsid w:val="00647B0C"/>
    <w:rsid w:val="006613BB"/>
    <w:rsid w:val="00664559"/>
    <w:rsid w:val="00666844"/>
    <w:rsid w:val="006750FB"/>
    <w:rsid w:val="0067602D"/>
    <w:rsid w:val="00676E4D"/>
    <w:rsid w:val="00680A6D"/>
    <w:rsid w:val="0068173C"/>
    <w:rsid w:val="00694850"/>
    <w:rsid w:val="00696895"/>
    <w:rsid w:val="006A409E"/>
    <w:rsid w:val="006A6B01"/>
    <w:rsid w:val="006A7DCB"/>
    <w:rsid w:val="006B3732"/>
    <w:rsid w:val="006C1F26"/>
    <w:rsid w:val="006C1FF1"/>
    <w:rsid w:val="006C6CF1"/>
    <w:rsid w:val="006C6EF7"/>
    <w:rsid w:val="006D40BD"/>
    <w:rsid w:val="006E628C"/>
    <w:rsid w:val="006F3BFC"/>
    <w:rsid w:val="00711052"/>
    <w:rsid w:val="007121BB"/>
    <w:rsid w:val="00721DC3"/>
    <w:rsid w:val="007504B5"/>
    <w:rsid w:val="0075156B"/>
    <w:rsid w:val="00752CB2"/>
    <w:rsid w:val="00762AD6"/>
    <w:rsid w:val="00765137"/>
    <w:rsid w:val="00765E64"/>
    <w:rsid w:val="007674C5"/>
    <w:rsid w:val="00774D0C"/>
    <w:rsid w:val="00774F35"/>
    <w:rsid w:val="0077535E"/>
    <w:rsid w:val="00776946"/>
    <w:rsid w:val="00782640"/>
    <w:rsid w:val="00787286"/>
    <w:rsid w:val="00787DF9"/>
    <w:rsid w:val="00791F6A"/>
    <w:rsid w:val="007938E2"/>
    <w:rsid w:val="00795FF9"/>
    <w:rsid w:val="0079612D"/>
    <w:rsid w:val="007A2B66"/>
    <w:rsid w:val="007A419E"/>
    <w:rsid w:val="007A66A0"/>
    <w:rsid w:val="007B5A4D"/>
    <w:rsid w:val="007C4BF9"/>
    <w:rsid w:val="007D12E4"/>
    <w:rsid w:val="007D3B5D"/>
    <w:rsid w:val="007D5ABD"/>
    <w:rsid w:val="007D5E3F"/>
    <w:rsid w:val="007E2CC3"/>
    <w:rsid w:val="007E510A"/>
    <w:rsid w:val="007E56A0"/>
    <w:rsid w:val="007E5C6B"/>
    <w:rsid w:val="007F0DDF"/>
    <w:rsid w:val="007F2755"/>
    <w:rsid w:val="007F5735"/>
    <w:rsid w:val="007F6408"/>
    <w:rsid w:val="007F77FA"/>
    <w:rsid w:val="008015DF"/>
    <w:rsid w:val="00803C8B"/>
    <w:rsid w:val="0080415E"/>
    <w:rsid w:val="0080424A"/>
    <w:rsid w:val="00804B61"/>
    <w:rsid w:val="008145D9"/>
    <w:rsid w:val="00824269"/>
    <w:rsid w:val="008309DE"/>
    <w:rsid w:val="0083145E"/>
    <w:rsid w:val="00833640"/>
    <w:rsid w:val="008446AA"/>
    <w:rsid w:val="00852DC0"/>
    <w:rsid w:val="0085489A"/>
    <w:rsid w:val="0085504F"/>
    <w:rsid w:val="008569D2"/>
    <w:rsid w:val="00856F11"/>
    <w:rsid w:val="0086103D"/>
    <w:rsid w:val="00863BBD"/>
    <w:rsid w:val="00864084"/>
    <w:rsid w:val="00864D3C"/>
    <w:rsid w:val="008703CD"/>
    <w:rsid w:val="008704FE"/>
    <w:rsid w:val="00870D89"/>
    <w:rsid w:val="008854CA"/>
    <w:rsid w:val="008A0585"/>
    <w:rsid w:val="008A2367"/>
    <w:rsid w:val="008A4F29"/>
    <w:rsid w:val="008B1F96"/>
    <w:rsid w:val="008B48C5"/>
    <w:rsid w:val="008C07CE"/>
    <w:rsid w:val="008C3524"/>
    <w:rsid w:val="008C60AD"/>
    <w:rsid w:val="008C6112"/>
    <w:rsid w:val="008D753D"/>
    <w:rsid w:val="008E253F"/>
    <w:rsid w:val="008E37C4"/>
    <w:rsid w:val="008E3FE6"/>
    <w:rsid w:val="00900765"/>
    <w:rsid w:val="0090413C"/>
    <w:rsid w:val="009065AC"/>
    <w:rsid w:val="009068CD"/>
    <w:rsid w:val="00911F74"/>
    <w:rsid w:val="00914CA5"/>
    <w:rsid w:val="0091778B"/>
    <w:rsid w:val="0092059D"/>
    <w:rsid w:val="00920F57"/>
    <w:rsid w:val="009244DC"/>
    <w:rsid w:val="009304AA"/>
    <w:rsid w:val="00930B92"/>
    <w:rsid w:val="00935660"/>
    <w:rsid w:val="00937018"/>
    <w:rsid w:val="00937F78"/>
    <w:rsid w:val="00944C13"/>
    <w:rsid w:val="00954EE2"/>
    <w:rsid w:val="00964379"/>
    <w:rsid w:val="00966112"/>
    <w:rsid w:val="00976FDC"/>
    <w:rsid w:val="009779C0"/>
    <w:rsid w:val="00980823"/>
    <w:rsid w:val="00984BAE"/>
    <w:rsid w:val="00985AB5"/>
    <w:rsid w:val="00986D16"/>
    <w:rsid w:val="00992F48"/>
    <w:rsid w:val="00995211"/>
    <w:rsid w:val="009A26A6"/>
    <w:rsid w:val="009A630C"/>
    <w:rsid w:val="009A654A"/>
    <w:rsid w:val="009A6D5C"/>
    <w:rsid w:val="009B1E13"/>
    <w:rsid w:val="009B71D2"/>
    <w:rsid w:val="009C3946"/>
    <w:rsid w:val="009C67F9"/>
    <w:rsid w:val="009D18CB"/>
    <w:rsid w:val="009D3DE7"/>
    <w:rsid w:val="009D5113"/>
    <w:rsid w:val="009F0A47"/>
    <w:rsid w:val="009F2538"/>
    <w:rsid w:val="009F3F92"/>
    <w:rsid w:val="009F42AC"/>
    <w:rsid w:val="00A07855"/>
    <w:rsid w:val="00A116A9"/>
    <w:rsid w:val="00A127F4"/>
    <w:rsid w:val="00A16385"/>
    <w:rsid w:val="00A16AFC"/>
    <w:rsid w:val="00A20C6E"/>
    <w:rsid w:val="00A2597D"/>
    <w:rsid w:val="00A37957"/>
    <w:rsid w:val="00A446E0"/>
    <w:rsid w:val="00A475E5"/>
    <w:rsid w:val="00A508FD"/>
    <w:rsid w:val="00A50B24"/>
    <w:rsid w:val="00A54CEF"/>
    <w:rsid w:val="00A54F20"/>
    <w:rsid w:val="00A6216D"/>
    <w:rsid w:val="00A67BF2"/>
    <w:rsid w:val="00A70C32"/>
    <w:rsid w:val="00A73582"/>
    <w:rsid w:val="00A74FA5"/>
    <w:rsid w:val="00A77B2C"/>
    <w:rsid w:val="00A81AB3"/>
    <w:rsid w:val="00A82A71"/>
    <w:rsid w:val="00A85119"/>
    <w:rsid w:val="00A91483"/>
    <w:rsid w:val="00A94F24"/>
    <w:rsid w:val="00A9673C"/>
    <w:rsid w:val="00AA03EE"/>
    <w:rsid w:val="00AA17FD"/>
    <w:rsid w:val="00AA19D2"/>
    <w:rsid w:val="00AA1A8D"/>
    <w:rsid w:val="00AA571E"/>
    <w:rsid w:val="00AA5DB8"/>
    <w:rsid w:val="00AA60E6"/>
    <w:rsid w:val="00AA70FC"/>
    <w:rsid w:val="00AA72B7"/>
    <w:rsid w:val="00AB0099"/>
    <w:rsid w:val="00AB4DE6"/>
    <w:rsid w:val="00AB5206"/>
    <w:rsid w:val="00AC1557"/>
    <w:rsid w:val="00AC1CBE"/>
    <w:rsid w:val="00AC24AF"/>
    <w:rsid w:val="00AC3D05"/>
    <w:rsid w:val="00AC7EB6"/>
    <w:rsid w:val="00AD1B46"/>
    <w:rsid w:val="00AD389B"/>
    <w:rsid w:val="00AE29FD"/>
    <w:rsid w:val="00AE67DC"/>
    <w:rsid w:val="00AE7446"/>
    <w:rsid w:val="00AF2A6B"/>
    <w:rsid w:val="00B2098A"/>
    <w:rsid w:val="00B27C3F"/>
    <w:rsid w:val="00B30FB3"/>
    <w:rsid w:val="00B33BE4"/>
    <w:rsid w:val="00B34905"/>
    <w:rsid w:val="00B35D0D"/>
    <w:rsid w:val="00B42713"/>
    <w:rsid w:val="00B43084"/>
    <w:rsid w:val="00B54569"/>
    <w:rsid w:val="00B61872"/>
    <w:rsid w:val="00B61D46"/>
    <w:rsid w:val="00B62656"/>
    <w:rsid w:val="00B67524"/>
    <w:rsid w:val="00B71178"/>
    <w:rsid w:val="00B73E9F"/>
    <w:rsid w:val="00B76F1E"/>
    <w:rsid w:val="00B80AC9"/>
    <w:rsid w:val="00B819EC"/>
    <w:rsid w:val="00B9145F"/>
    <w:rsid w:val="00B92293"/>
    <w:rsid w:val="00B92A81"/>
    <w:rsid w:val="00B93F9D"/>
    <w:rsid w:val="00B96AB4"/>
    <w:rsid w:val="00B975A2"/>
    <w:rsid w:val="00B97CA4"/>
    <w:rsid w:val="00BA2CF7"/>
    <w:rsid w:val="00BA4FAA"/>
    <w:rsid w:val="00BB1611"/>
    <w:rsid w:val="00BB5E28"/>
    <w:rsid w:val="00BB631B"/>
    <w:rsid w:val="00BB71CC"/>
    <w:rsid w:val="00BC0C25"/>
    <w:rsid w:val="00BC56C4"/>
    <w:rsid w:val="00BC5AFC"/>
    <w:rsid w:val="00BC793F"/>
    <w:rsid w:val="00BD13B8"/>
    <w:rsid w:val="00BD30D2"/>
    <w:rsid w:val="00BD31EF"/>
    <w:rsid w:val="00BD4ABD"/>
    <w:rsid w:val="00BD749C"/>
    <w:rsid w:val="00BE092B"/>
    <w:rsid w:val="00BE2C10"/>
    <w:rsid w:val="00BE2D52"/>
    <w:rsid w:val="00BF1D25"/>
    <w:rsid w:val="00BF34BC"/>
    <w:rsid w:val="00BF7094"/>
    <w:rsid w:val="00C04804"/>
    <w:rsid w:val="00C179E6"/>
    <w:rsid w:val="00C30E79"/>
    <w:rsid w:val="00C37407"/>
    <w:rsid w:val="00C40ED1"/>
    <w:rsid w:val="00C461B3"/>
    <w:rsid w:val="00C46463"/>
    <w:rsid w:val="00C47615"/>
    <w:rsid w:val="00C57FB6"/>
    <w:rsid w:val="00C608E0"/>
    <w:rsid w:val="00C60FD6"/>
    <w:rsid w:val="00C622FE"/>
    <w:rsid w:val="00C63E98"/>
    <w:rsid w:val="00C7075B"/>
    <w:rsid w:val="00C745DA"/>
    <w:rsid w:val="00C75828"/>
    <w:rsid w:val="00C81252"/>
    <w:rsid w:val="00C85BF8"/>
    <w:rsid w:val="00C96373"/>
    <w:rsid w:val="00CA2C86"/>
    <w:rsid w:val="00CA4832"/>
    <w:rsid w:val="00CA5AC4"/>
    <w:rsid w:val="00CA5E56"/>
    <w:rsid w:val="00CA67D1"/>
    <w:rsid w:val="00CB161E"/>
    <w:rsid w:val="00CB26AA"/>
    <w:rsid w:val="00CB5E41"/>
    <w:rsid w:val="00CB6911"/>
    <w:rsid w:val="00CC0FB9"/>
    <w:rsid w:val="00CC2A62"/>
    <w:rsid w:val="00CC4495"/>
    <w:rsid w:val="00CD1D23"/>
    <w:rsid w:val="00CD22BF"/>
    <w:rsid w:val="00CD5819"/>
    <w:rsid w:val="00CD582E"/>
    <w:rsid w:val="00CD6E72"/>
    <w:rsid w:val="00CE1672"/>
    <w:rsid w:val="00CF33EE"/>
    <w:rsid w:val="00CF34CC"/>
    <w:rsid w:val="00D04827"/>
    <w:rsid w:val="00D0589F"/>
    <w:rsid w:val="00D05EF7"/>
    <w:rsid w:val="00D13A5D"/>
    <w:rsid w:val="00D1518F"/>
    <w:rsid w:val="00D1606E"/>
    <w:rsid w:val="00D21F20"/>
    <w:rsid w:val="00D252DE"/>
    <w:rsid w:val="00D262F4"/>
    <w:rsid w:val="00D3395A"/>
    <w:rsid w:val="00D37F79"/>
    <w:rsid w:val="00D40C53"/>
    <w:rsid w:val="00D44895"/>
    <w:rsid w:val="00D46465"/>
    <w:rsid w:val="00D471AA"/>
    <w:rsid w:val="00D56078"/>
    <w:rsid w:val="00D62DF5"/>
    <w:rsid w:val="00D6518F"/>
    <w:rsid w:val="00D75293"/>
    <w:rsid w:val="00D773E0"/>
    <w:rsid w:val="00D80A3C"/>
    <w:rsid w:val="00D812AC"/>
    <w:rsid w:val="00D81D36"/>
    <w:rsid w:val="00D83239"/>
    <w:rsid w:val="00D87F81"/>
    <w:rsid w:val="00DA25BB"/>
    <w:rsid w:val="00DB2480"/>
    <w:rsid w:val="00DB32E4"/>
    <w:rsid w:val="00DB5880"/>
    <w:rsid w:val="00DC1F2A"/>
    <w:rsid w:val="00DC57B1"/>
    <w:rsid w:val="00DC5A50"/>
    <w:rsid w:val="00DC6D8F"/>
    <w:rsid w:val="00DD1B26"/>
    <w:rsid w:val="00DD24D3"/>
    <w:rsid w:val="00DD2AE5"/>
    <w:rsid w:val="00DE16D1"/>
    <w:rsid w:val="00DE29F3"/>
    <w:rsid w:val="00DE69AA"/>
    <w:rsid w:val="00DE6B7D"/>
    <w:rsid w:val="00E03FDE"/>
    <w:rsid w:val="00E048DE"/>
    <w:rsid w:val="00E051E3"/>
    <w:rsid w:val="00E20D7B"/>
    <w:rsid w:val="00E2445E"/>
    <w:rsid w:val="00E2689D"/>
    <w:rsid w:val="00E50173"/>
    <w:rsid w:val="00E53D79"/>
    <w:rsid w:val="00E70FE5"/>
    <w:rsid w:val="00E71AF8"/>
    <w:rsid w:val="00E74ED4"/>
    <w:rsid w:val="00E75CE9"/>
    <w:rsid w:val="00E76CF0"/>
    <w:rsid w:val="00E77F9B"/>
    <w:rsid w:val="00E847DF"/>
    <w:rsid w:val="00E85EC1"/>
    <w:rsid w:val="00E91D9F"/>
    <w:rsid w:val="00E94B96"/>
    <w:rsid w:val="00EA50F1"/>
    <w:rsid w:val="00EA7E92"/>
    <w:rsid w:val="00EB75DE"/>
    <w:rsid w:val="00EB7FBF"/>
    <w:rsid w:val="00EC06B3"/>
    <w:rsid w:val="00EC40F2"/>
    <w:rsid w:val="00ED292E"/>
    <w:rsid w:val="00ED5CC2"/>
    <w:rsid w:val="00EE2A2D"/>
    <w:rsid w:val="00EE4AED"/>
    <w:rsid w:val="00EE68C9"/>
    <w:rsid w:val="00EE7AB8"/>
    <w:rsid w:val="00EF0D82"/>
    <w:rsid w:val="00EF0E6B"/>
    <w:rsid w:val="00EF1F37"/>
    <w:rsid w:val="00F000A5"/>
    <w:rsid w:val="00F00429"/>
    <w:rsid w:val="00F01C2C"/>
    <w:rsid w:val="00F05913"/>
    <w:rsid w:val="00F15F54"/>
    <w:rsid w:val="00F21032"/>
    <w:rsid w:val="00F25D72"/>
    <w:rsid w:val="00F33D40"/>
    <w:rsid w:val="00F43964"/>
    <w:rsid w:val="00F44061"/>
    <w:rsid w:val="00F477CC"/>
    <w:rsid w:val="00F622ED"/>
    <w:rsid w:val="00F63B36"/>
    <w:rsid w:val="00F653A6"/>
    <w:rsid w:val="00F72961"/>
    <w:rsid w:val="00F81F7F"/>
    <w:rsid w:val="00F83DDA"/>
    <w:rsid w:val="00F95997"/>
    <w:rsid w:val="00FA0BFB"/>
    <w:rsid w:val="00FA7103"/>
    <w:rsid w:val="00FB1EA8"/>
    <w:rsid w:val="00FB2A36"/>
    <w:rsid w:val="00FB2A5A"/>
    <w:rsid w:val="00FC3188"/>
    <w:rsid w:val="00FC32BB"/>
    <w:rsid w:val="00FD3D20"/>
    <w:rsid w:val="00FD7BFA"/>
    <w:rsid w:val="00FE06BB"/>
    <w:rsid w:val="00FE2281"/>
    <w:rsid w:val="00FE4407"/>
    <w:rsid w:val="00FE7861"/>
    <w:rsid w:val="00FF3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CF361"/>
  <w15:docId w15:val="{0E2E6DA5-F96E-406B-B9F1-CEA76A6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788"/>
    <w:pPr>
      <w:spacing w:before="100" w:beforeAutospacing="1" w:after="240" w:line="480" w:lineRule="auto"/>
    </w:pPr>
    <w:rPr>
      <w:rFonts w:ascii="Arial" w:hAnsi="Arial"/>
      <w:sz w:val="24"/>
    </w:rPr>
  </w:style>
  <w:style w:type="paragraph" w:styleId="Heading1">
    <w:name w:val="heading 1"/>
    <w:basedOn w:val="Normal"/>
    <w:next w:val="Normal"/>
    <w:link w:val="Heading1Char"/>
    <w:uiPriority w:val="9"/>
    <w:qFormat/>
    <w:rsid w:val="00AD1B46"/>
    <w:pPr>
      <w:numPr>
        <w:numId w:val="3"/>
      </w:numPr>
      <w:spacing w:before="120" w:after="360" w:line="240" w:lineRule="auto"/>
      <w:jc w:val="both"/>
      <w:outlineLvl w:val="0"/>
    </w:pPr>
    <w:rPr>
      <w:rFonts w:ascii="Helvetica" w:hAnsi="Helvetica"/>
      <w:b/>
      <w:sz w:val="28"/>
    </w:rPr>
  </w:style>
  <w:style w:type="paragraph" w:styleId="Heading2">
    <w:name w:val="heading 2"/>
    <w:basedOn w:val="Normal"/>
    <w:next w:val="Normal"/>
    <w:link w:val="Heading2Char"/>
    <w:uiPriority w:val="9"/>
    <w:qFormat/>
    <w:rsid w:val="00AD1B46"/>
    <w:pPr>
      <w:numPr>
        <w:ilvl w:val="1"/>
        <w:numId w:val="3"/>
      </w:numPr>
      <w:spacing w:before="240"/>
      <w:outlineLvl w:val="1"/>
    </w:pPr>
    <w:rPr>
      <w:rFonts w:ascii="Helvetica" w:hAnsi="Helvetica"/>
      <w:b/>
    </w:rPr>
  </w:style>
  <w:style w:type="paragraph" w:styleId="Heading3">
    <w:name w:val="heading 3"/>
    <w:basedOn w:val="Normal"/>
    <w:next w:val="Normal"/>
    <w:link w:val="Heading3Char"/>
    <w:uiPriority w:val="9"/>
    <w:qFormat/>
    <w:rsid w:val="00AD1B46"/>
    <w:pPr>
      <w:numPr>
        <w:ilvl w:val="2"/>
        <w:numId w:val="3"/>
      </w:numPr>
      <w:outlineLvl w:val="2"/>
    </w:pPr>
    <w:rPr>
      <w:rFonts w:ascii="Helvetica" w:hAnsi="Helvetica"/>
      <w:b/>
    </w:rPr>
  </w:style>
  <w:style w:type="paragraph" w:styleId="Heading4">
    <w:name w:val="heading 4"/>
    <w:basedOn w:val="Normal"/>
    <w:next w:val="Normal"/>
    <w:link w:val="Heading4Char"/>
    <w:uiPriority w:val="9"/>
    <w:qFormat/>
    <w:pPr>
      <w:numPr>
        <w:ilvl w:val="3"/>
        <w:numId w:val="3"/>
      </w:numPr>
      <w:outlineLvl w:val="3"/>
    </w:pPr>
    <w:rPr>
      <w:rFonts w:ascii="New Century Schlbk" w:hAnsi="New Century Schlbk"/>
      <w:b/>
    </w:rPr>
  </w:style>
  <w:style w:type="paragraph" w:styleId="Heading5">
    <w:name w:val="heading 5"/>
    <w:basedOn w:val="Normal"/>
    <w:next w:val="Normal"/>
    <w:link w:val="Heading5Char"/>
    <w:uiPriority w:val="9"/>
    <w:qFormat/>
    <w:pPr>
      <w:numPr>
        <w:ilvl w:val="4"/>
        <w:numId w:val="3"/>
      </w:numPr>
      <w:outlineLvl w:val="4"/>
    </w:pPr>
    <w:rPr>
      <w:rFonts w:ascii="New Century Schlbk" w:hAnsi="New Century Schlbk"/>
      <w:b/>
    </w:rPr>
  </w:style>
  <w:style w:type="paragraph" w:styleId="Heading6">
    <w:name w:val="heading 6"/>
    <w:basedOn w:val="Normal"/>
    <w:next w:val="Normal"/>
    <w:link w:val="Heading6Char"/>
    <w:uiPriority w:val="9"/>
    <w:qFormat/>
    <w:pPr>
      <w:numPr>
        <w:ilvl w:val="5"/>
        <w:numId w:val="3"/>
      </w:numPr>
      <w:outlineLvl w:val="5"/>
    </w:pPr>
    <w:rPr>
      <w:rFonts w:ascii="New Century Schlbk" w:hAnsi="New Century Schlbk"/>
    </w:rPr>
  </w:style>
  <w:style w:type="paragraph" w:styleId="Heading7">
    <w:name w:val="heading 7"/>
    <w:basedOn w:val="Normal"/>
    <w:next w:val="Normal"/>
    <w:link w:val="Heading7Char"/>
    <w:uiPriority w:val="9"/>
    <w:qFormat/>
    <w:pPr>
      <w:numPr>
        <w:ilvl w:val="6"/>
        <w:numId w:val="3"/>
      </w:numPr>
      <w:outlineLvl w:val="6"/>
    </w:pPr>
    <w:rPr>
      <w:rFonts w:ascii="New Century Schlbk" w:hAnsi="New Century Schlbk"/>
    </w:rPr>
  </w:style>
  <w:style w:type="paragraph" w:styleId="Heading8">
    <w:name w:val="heading 8"/>
    <w:basedOn w:val="Normal"/>
    <w:next w:val="Normal"/>
    <w:link w:val="Heading8Char"/>
    <w:uiPriority w:val="9"/>
    <w:qFormat/>
    <w:pPr>
      <w:numPr>
        <w:ilvl w:val="7"/>
        <w:numId w:val="3"/>
      </w:numPr>
      <w:outlineLvl w:val="7"/>
    </w:pPr>
    <w:rPr>
      <w:rFonts w:ascii="New Century Schlbk" w:hAnsi="New Century Schlbk"/>
    </w:rPr>
  </w:style>
  <w:style w:type="paragraph" w:styleId="Heading9">
    <w:name w:val="heading 9"/>
    <w:basedOn w:val="Normal"/>
    <w:next w:val="Normal"/>
    <w:link w:val="Heading9Char"/>
    <w:uiPriority w:val="9"/>
    <w:qFormat/>
    <w:pPr>
      <w:numPr>
        <w:ilvl w:val="8"/>
        <w:numId w:val="3"/>
      </w:numPr>
      <w:outlineLvl w:val="8"/>
    </w:pPr>
    <w:rPr>
      <w:rFonts w:ascii="New Century Schlbk" w:hAnsi="New Century Schlb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TOC5">
    <w:name w:val="toc 5"/>
    <w:basedOn w:val="Normal"/>
    <w:next w:val="Normal"/>
    <w:uiPriority w:val="39"/>
    <w:pPr>
      <w:ind w:left="960"/>
    </w:pPr>
    <w:rPr>
      <w:rFonts w:ascii="Cambria" w:hAnsi="Cambria"/>
      <w:sz w:val="20"/>
    </w:rPr>
  </w:style>
  <w:style w:type="paragraph" w:styleId="TOC4">
    <w:name w:val="toc 4"/>
    <w:basedOn w:val="Normal"/>
    <w:next w:val="Normal"/>
    <w:uiPriority w:val="39"/>
    <w:pPr>
      <w:ind w:left="720"/>
    </w:pPr>
    <w:rPr>
      <w:rFonts w:ascii="Cambria" w:hAnsi="Cambria"/>
      <w:sz w:val="20"/>
    </w:rPr>
  </w:style>
  <w:style w:type="paragraph" w:styleId="TOC3">
    <w:name w:val="toc 3"/>
    <w:basedOn w:val="Normal"/>
    <w:next w:val="Normal"/>
    <w:uiPriority w:val="39"/>
    <w:qFormat/>
    <w:pPr>
      <w:ind w:left="480"/>
    </w:pPr>
    <w:rPr>
      <w:rFonts w:ascii="Cambria" w:hAnsi="Cambria"/>
      <w:sz w:val="22"/>
      <w:szCs w:val="22"/>
    </w:rPr>
  </w:style>
  <w:style w:type="paragraph" w:styleId="TOC2">
    <w:name w:val="toc 2"/>
    <w:basedOn w:val="Normal"/>
    <w:next w:val="Normal"/>
    <w:uiPriority w:val="39"/>
    <w:qFormat/>
    <w:pPr>
      <w:ind w:left="240"/>
    </w:pPr>
    <w:rPr>
      <w:rFonts w:ascii="Cambria" w:hAnsi="Cambria"/>
      <w:b/>
      <w:sz w:val="22"/>
      <w:szCs w:val="22"/>
    </w:rPr>
  </w:style>
  <w:style w:type="paragraph" w:styleId="TOC1">
    <w:name w:val="toc 1"/>
    <w:basedOn w:val="Normal"/>
    <w:next w:val="Normal"/>
    <w:uiPriority w:val="39"/>
    <w:qFormat/>
    <w:rsid w:val="004C2377"/>
    <w:pPr>
      <w:spacing w:before="120"/>
    </w:pPr>
    <w:rPr>
      <w:b/>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pBdr>
        <w:bottom w:val="double" w:sz="6" w:space="0" w:color="auto"/>
      </w:pBdr>
      <w:tabs>
        <w:tab w:val="center" w:pos="4320"/>
        <w:tab w:val="right" w:pos="8280"/>
      </w:tabs>
    </w:pPr>
  </w:style>
  <w:style w:type="character" w:styleId="FootnoteReference">
    <w:name w:val="footnote reference"/>
    <w:uiPriority w:val="99"/>
    <w:semiHidden/>
    <w:rPr>
      <w:position w:val="6"/>
      <w:sz w:val="16"/>
    </w:rPr>
  </w:style>
  <w:style w:type="paragraph" w:styleId="FootnoteText">
    <w:name w:val="footnote text"/>
    <w:basedOn w:val="Normal"/>
    <w:link w:val="FootnoteTextChar"/>
    <w:uiPriority w:val="99"/>
    <w:semiHidden/>
    <w:rPr>
      <w:sz w:val="20"/>
    </w:rPr>
  </w:style>
  <w:style w:type="paragraph" w:customStyle="1" w:styleId="Leftindent">
    <w:name w:val="Left indent"/>
    <w:basedOn w:val="Normal"/>
    <w:pPr>
      <w:ind w:left="720"/>
    </w:pPr>
  </w:style>
  <w:style w:type="paragraph" w:customStyle="1" w:styleId="Referenceentry">
    <w:name w:val="Reference entry"/>
    <w:basedOn w:val="Normal"/>
    <w:pPr>
      <w:ind w:left="360" w:hanging="360"/>
    </w:pPr>
  </w:style>
  <w:style w:type="paragraph" w:customStyle="1" w:styleId="HeadingWorkingPaper">
    <w:name w:val="Heading Working Paper"/>
    <w:basedOn w:val="Normal"/>
    <w:rPr>
      <w:rFonts w:ascii="Helvetica" w:hAnsi="Helvetica"/>
      <w:sz w:val="28"/>
      <w:u w:val="single"/>
    </w:rPr>
  </w:style>
  <w:style w:type="paragraph" w:customStyle="1" w:styleId="WorkingPaper">
    <w:name w:val="Working Paper"/>
    <w:basedOn w:val="HeadingWorkingPaper"/>
    <w:rPr>
      <w:rFonts w:ascii="New Century Schlbk" w:hAnsi="New Century Schlbk"/>
      <w:sz w:val="24"/>
      <w:u w:val="none"/>
    </w:rPr>
  </w:style>
  <w:style w:type="paragraph" w:customStyle="1" w:styleId="indent">
    <w:name w:val="indent"/>
    <w:basedOn w:val="WorkingPaper"/>
    <w:pPr>
      <w:ind w:left="1160" w:right="720" w:hanging="460"/>
    </w:pPr>
  </w:style>
  <w:style w:type="paragraph" w:customStyle="1" w:styleId="h1">
    <w:name w:val="h1"/>
    <w:basedOn w:val="Heading1"/>
    <w:rPr>
      <w:caps/>
    </w:rPr>
  </w:style>
  <w:style w:type="paragraph" w:styleId="BodyText">
    <w:name w:val="Body Text"/>
    <w:basedOn w:val="Normal"/>
    <w:link w:val="BodyTextChar"/>
    <w:rsid w:val="00F96514"/>
    <w:pPr>
      <w:overflowPunct w:val="0"/>
      <w:autoSpaceDE w:val="0"/>
      <w:autoSpaceDN w:val="0"/>
      <w:adjustRightInd w:val="0"/>
      <w:spacing w:line="240" w:lineRule="atLeast"/>
      <w:textAlignment w:val="baseline"/>
    </w:pPr>
    <w:rPr>
      <w:b/>
      <w:lang w:eastAsia="en-US"/>
    </w:rPr>
  </w:style>
  <w:style w:type="character" w:customStyle="1" w:styleId="BodyTextChar">
    <w:name w:val="Body Text Char"/>
    <w:link w:val="BodyText"/>
    <w:rsid w:val="00F96514"/>
    <w:rPr>
      <w:rFonts w:ascii="Arial" w:hAnsi="Arial"/>
      <w:b/>
      <w:sz w:val="24"/>
      <w:lang w:eastAsia="en-US"/>
    </w:rPr>
  </w:style>
  <w:style w:type="character" w:styleId="Hyperlink">
    <w:name w:val="Hyperlink"/>
    <w:uiPriority w:val="99"/>
    <w:rsid w:val="00F96514"/>
    <w:rPr>
      <w:color w:val="0000FF"/>
      <w:u w:val="single"/>
    </w:rPr>
  </w:style>
  <w:style w:type="paragraph" w:customStyle="1" w:styleId="BodyText1">
    <w:name w:val="Body Text1"/>
    <w:basedOn w:val="Normal"/>
    <w:rsid w:val="00F96514"/>
    <w:pPr>
      <w:spacing w:before="60" w:after="60" w:line="240" w:lineRule="auto"/>
    </w:pPr>
    <w:rPr>
      <w:rFonts w:ascii="Comic Sans MS" w:hAnsi="Comic Sans MS"/>
      <w:sz w:val="22"/>
      <w:lang w:eastAsia="en-US"/>
    </w:rPr>
  </w:style>
  <w:style w:type="paragraph" w:customStyle="1" w:styleId="bodytextbullet">
    <w:name w:val="body text bullet"/>
    <w:basedOn w:val="BodyText1"/>
    <w:rsid w:val="00F96514"/>
    <w:pPr>
      <w:numPr>
        <w:numId w:val="1"/>
      </w:numPr>
    </w:pPr>
  </w:style>
  <w:style w:type="character" w:customStyle="1" w:styleId="FooterChar">
    <w:name w:val="Footer Char"/>
    <w:link w:val="Footer"/>
    <w:uiPriority w:val="99"/>
    <w:rsid w:val="008A2A3E"/>
    <w:rPr>
      <w:rFonts w:ascii="Palatino" w:hAnsi="Palatino"/>
      <w:sz w:val="24"/>
    </w:rPr>
  </w:style>
  <w:style w:type="character" w:styleId="Emphasis">
    <w:name w:val="Emphasis"/>
    <w:qFormat/>
    <w:rsid w:val="00B41000"/>
    <w:rPr>
      <w:i/>
      <w:iCs/>
    </w:rPr>
  </w:style>
  <w:style w:type="paragraph" w:customStyle="1" w:styleId="TOCHeading1">
    <w:name w:val="TOC Heading1"/>
    <w:basedOn w:val="Heading1"/>
    <w:next w:val="Normal"/>
    <w:uiPriority w:val="39"/>
    <w:semiHidden/>
    <w:unhideWhenUsed/>
    <w:qFormat/>
    <w:rsid w:val="008314AD"/>
    <w:pPr>
      <w:keepNext/>
      <w:keepLines/>
      <w:spacing w:before="480" w:line="276" w:lineRule="auto"/>
      <w:jc w:val="left"/>
      <w:outlineLvl w:val="9"/>
    </w:pPr>
    <w:rPr>
      <w:rFonts w:ascii="Cambria" w:hAnsi="Cambria"/>
      <w:bCs/>
      <w:color w:val="365F91"/>
      <w:szCs w:val="28"/>
      <w:lang w:val="en-US" w:eastAsia="en-US"/>
    </w:rPr>
  </w:style>
  <w:style w:type="character" w:customStyle="1" w:styleId="HeaderChar">
    <w:name w:val="Header Char"/>
    <w:link w:val="Header"/>
    <w:uiPriority w:val="99"/>
    <w:rsid w:val="00BE7409"/>
    <w:rPr>
      <w:rFonts w:ascii="Palatino" w:hAnsi="Palatino"/>
      <w:sz w:val="24"/>
    </w:rPr>
  </w:style>
  <w:style w:type="paragraph" w:styleId="BalloonText">
    <w:name w:val="Balloon Text"/>
    <w:basedOn w:val="Normal"/>
    <w:link w:val="BalloonTextChar"/>
    <w:rsid w:val="00E0248E"/>
    <w:pPr>
      <w:spacing w:line="240" w:lineRule="auto"/>
    </w:pPr>
    <w:rPr>
      <w:rFonts w:ascii="Tahoma" w:hAnsi="Tahoma" w:cs="Tahoma"/>
      <w:sz w:val="16"/>
      <w:szCs w:val="16"/>
    </w:rPr>
  </w:style>
  <w:style w:type="character" w:customStyle="1" w:styleId="BalloonTextChar">
    <w:name w:val="Balloon Text Char"/>
    <w:link w:val="BalloonText"/>
    <w:rsid w:val="00E0248E"/>
    <w:rPr>
      <w:rFonts w:ascii="Tahoma" w:hAnsi="Tahoma" w:cs="Tahoma"/>
      <w:sz w:val="16"/>
      <w:szCs w:val="16"/>
    </w:rPr>
  </w:style>
  <w:style w:type="character" w:styleId="PageNumber">
    <w:name w:val="page number"/>
    <w:basedOn w:val="DefaultParagraphFont"/>
    <w:rsid w:val="008D698C"/>
  </w:style>
  <w:style w:type="character" w:styleId="FollowedHyperlink">
    <w:name w:val="FollowedHyperlink"/>
    <w:rsid w:val="003C1BC6"/>
    <w:rPr>
      <w:color w:val="800080"/>
      <w:u w:val="single"/>
    </w:rPr>
  </w:style>
  <w:style w:type="paragraph" w:styleId="TOC6">
    <w:name w:val="toc 6"/>
    <w:basedOn w:val="Normal"/>
    <w:next w:val="Normal"/>
    <w:autoRedefine/>
    <w:uiPriority w:val="39"/>
    <w:rsid w:val="00996139"/>
    <w:pPr>
      <w:ind w:left="1200"/>
    </w:pPr>
    <w:rPr>
      <w:rFonts w:ascii="Cambria" w:hAnsi="Cambria"/>
      <w:sz w:val="20"/>
    </w:rPr>
  </w:style>
  <w:style w:type="paragraph" w:styleId="TOC7">
    <w:name w:val="toc 7"/>
    <w:basedOn w:val="Normal"/>
    <w:next w:val="Normal"/>
    <w:autoRedefine/>
    <w:uiPriority w:val="39"/>
    <w:rsid w:val="00996139"/>
    <w:pPr>
      <w:ind w:left="1440"/>
    </w:pPr>
    <w:rPr>
      <w:rFonts w:ascii="Cambria" w:hAnsi="Cambria"/>
      <w:sz w:val="20"/>
    </w:rPr>
  </w:style>
  <w:style w:type="paragraph" w:styleId="TOC8">
    <w:name w:val="toc 8"/>
    <w:basedOn w:val="Normal"/>
    <w:next w:val="Normal"/>
    <w:autoRedefine/>
    <w:uiPriority w:val="39"/>
    <w:rsid w:val="00996139"/>
    <w:pPr>
      <w:ind w:left="1680"/>
    </w:pPr>
    <w:rPr>
      <w:rFonts w:ascii="Cambria" w:hAnsi="Cambria"/>
      <w:sz w:val="20"/>
    </w:rPr>
  </w:style>
  <w:style w:type="paragraph" w:styleId="TOC9">
    <w:name w:val="toc 9"/>
    <w:basedOn w:val="Normal"/>
    <w:next w:val="Normal"/>
    <w:autoRedefine/>
    <w:uiPriority w:val="39"/>
    <w:rsid w:val="00996139"/>
    <w:pPr>
      <w:ind w:left="1920"/>
    </w:pPr>
    <w:rPr>
      <w:rFonts w:ascii="Cambria" w:hAnsi="Cambria"/>
      <w:sz w:val="20"/>
    </w:rPr>
  </w:style>
  <w:style w:type="paragraph" w:styleId="NormalWeb">
    <w:name w:val="Normal (Web)"/>
    <w:basedOn w:val="Normal"/>
    <w:rsid w:val="005E6949"/>
    <w:pPr>
      <w:spacing w:after="100" w:afterAutospacing="1" w:line="240" w:lineRule="auto"/>
    </w:pPr>
    <w:rPr>
      <w:rFonts w:ascii="Times New Roman" w:hAnsi="Times New Roman"/>
      <w:szCs w:val="24"/>
    </w:rPr>
  </w:style>
  <w:style w:type="paragraph" w:customStyle="1" w:styleId="Default">
    <w:name w:val="Default"/>
    <w:rsid w:val="009D18CB"/>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4C2377"/>
    <w:pPr>
      <w:keepNext/>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character" w:customStyle="1" w:styleId="Heading1Char">
    <w:name w:val="Heading 1 Char"/>
    <w:basedOn w:val="DefaultParagraphFont"/>
    <w:link w:val="Heading1"/>
    <w:uiPriority w:val="9"/>
    <w:rsid w:val="003B4117"/>
    <w:rPr>
      <w:rFonts w:ascii="Helvetica" w:hAnsi="Helvetica"/>
      <w:b/>
      <w:sz w:val="28"/>
    </w:rPr>
  </w:style>
  <w:style w:type="paragraph" w:styleId="ListParagraph">
    <w:name w:val="List Paragraph"/>
    <w:basedOn w:val="Normal"/>
    <w:uiPriority w:val="34"/>
    <w:qFormat/>
    <w:rsid w:val="009F0A47"/>
    <w:pPr>
      <w:spacing w:before="0" w:beforeAutospacing="0" w:after="160" w:line="256" w:lineRule="auto"/>
      <w:ind w:left="720"/>
      <w:contextualSpacing/>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C179E6"/>
    <w:rPr>
      <w:color w:val="605E5C"/>
      <w:shd w:val="clear" w:color="auto" w:fill="E1DFDD"/>
    </w:rPr>
  </w:style>
  <w:style w:type="character" w:styleId="CommentReference">
    <w:name w:val="annotation reference"/>
    <w:basedOn w:val="DefaultParagraphFont"/>
    <w:uiPriority w:val="99"/>
    <w:semiHidden/>
    <w:unhideWhenUsed/>
    <w:rsid w:val="00D773E0"/>
    <w:rPr>
      <w:sz w:val="16"/>
      <w:szCs w:val="16"/>
    </w:rPr>
  </w:style>
  <w:style w:type="paragraph" w:styleId="CommentText">
    <w:name w:val="annotation text"/>
    <w:basedOn w:val="Normal"/>
    <w:link w:val="CommentTextChar"/>
    <w:semiHidden/>
    <w:unhideWhenUsed/>
    <w:pPr>
      <w:spacing w:line="240" w:lineRule="auto"/>
    </w:pPr>
    <w:rPr>
      <w:sz w:val="20"/>
    </w:rPr>
  </w:style>
  <w:style w:type="character" w:customStyle="1" w:styleId="CommentTextChar">
    <w:name w:val="Comment Text Char"/>
    <w:basedOn w:val="DefaultParagraphFont"/>
    <w:link w:val="CommentText"/>
    <w:semiHidden/>
    <w:rPr>
      <w:rFonts w:ascii="Arial" w:hAnsi="Arial"/>
    </w:rPr>
  </w:style>
  <w:style w:type="paragraph" w:styleId="CommentSubject">
    <w:name w:val="annotation subject"/>
    <w:basedOn w:val="CommentText"/>
    <w:next w:val="CommentText"/>
    <w:link w:val="CommentSubjectChar"/>
    <w:semiHidden/>
    <w:unhideWhenUsed/>
    <w:rsid w:val="00B54569"/>
    <w:rPr>
      <w:b/>
      <w:bCs/>
    </w:rPr>
  </w:style>
  <w:style w:type="character" w:customStyle="1" w:styleId="CommentSubjectChar">
    <w:name w:val="Comment Subject Char"/>
    <w:basedOn w:val="CommentTextChar"/>
    <w:link w:val="CommentSubject"/>
    <w:semiHidden/>
    <w:rsid w:val="00B54569"/>
    <w:rPr>
      <w:rFonts w:ascii="Arial" w:hAnsi="Arial"/>
      <w:b/>
      <w:bCs/>
    </w:rPr>
  </w:style>
  <w:style w:type="table" w:styleId="TableGrid">
    <w:name w:val="Table Grid"/>
    <w:basedOn w:val="TableNormal"/>
    <w:uiPriority w:val="39"/>
    <w:rsid w:val="00AE29FD"/>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E29FD"/>
    <w:rPr>
      <w:rFonts w:ascii="Arial" w:hAnsi="Arial"/>
    </w:rPr>
  </w:style>
  <w:style w:type="character" w:customStyle="1" w:styleId="Heading2Char">
    <w:name w:val="Heading 2 Char"/>
    <w:basedOn w:val="DefaultParagraphFont"/>
    <w:link w:val="Heading2"/>
    <w:uiPriority w:val="9"/>
    <w:rsid w:val="00393736"/>
    <w:rPr>
      <w:rFonts w:ascii="Helvetica" w:hAnsi="Helvetica"/>
      <w:b/>
      <w:sz w:val="24"/>
    </w:rPr>
  </w:style>
  <w:style w:type="character" w:customStyle="1" w:styleId="Heading3Char">
    <w:name w:val="Heading 3 Char"/>
    <w:basedOn w:val="DefaultParagraphFont"/>
    <w:link w:val="Heading3"/>
    <w:uiPriority w:val="9"/>
    <w:rsid w:val="00393736"/>
    <w:rPr>
      <w:rFonts w:ascii="Helvetica" w:hAnsi="Helvetica"/>
      <w:b/>
      <w:sz w:val="24"/>
    </w:rPr>
  </w:style>
  <w:style w:type="character" w:customStyle="1" w:styleId="Heading4Char">
    <w:name w:val="Heading 4 Char"/>
    <w:basedOn w:val="DefaultParagraphFont"/>
    <w:link w:val="Heading4"/>
    <w:uiPriority w:val="9"/>
    <w:rsid w:val="00393736"/>
    <w:rPr>
      <w:rFonts w:ascii="New Century Schlbk" w:hAnsi="New Century Schlbk"/>
      <w:b/>
      <w:sz w:val="24"/>
    </w:rPr>
  </w:style>
  <w:style w:type="character" w:customStyle="1" w:styleId="Heading5Char">
    <w:name w:val="Heading 5 Char"/>
    <w:basedOn w:val="DefaultParagraphFont"/>
    <w:link w:val="Heading5"/>
    <w:uiPriority w:val="9"/>
    <w:rsid w:val="00393736"/>
    <w:rPr>
      <w:rFonts w:ascii="New Century Schlbk" w:hAnsi="New Century Schlbk"/>
      <w:b/>
      <w:sz w:val="24"/>
    </w:rPr>
  </w:style>
  <w:style w:type="character" w:customStyle="1" w:styleId="Heading6Char">
    <w:name w:val="Heading 6 Char"/>
    <w:basedOn w:val="DefaultParagraphFont"/>
    <w:link w:val="Heading6"/>
    <w:uiPriority w:val="9"/>
    <w:rsid w:val="00393736"/>
    <w:rPr>
      <w:rFonts w:ascii="New Century Schlbk" w:hAnsi="New Century Schlbk"/>
      <w:sz w:val="24"/>
    </w:rPr>
  </w:style>
  <w:style w:type="character" w:customStyle="1" w:styleId="Heading7Char">
    <w:name w:val="Heading 7 Char"/>
    <w:basedOn w:val="DefaultParagraphFont"/>
    <w:link w:val="Heading7"/>
    <w:uiPriority w:val="9"/>
    <w:rsid w:val="00393736"/>
    <w:rPr>
      <w:rFonts w:ascii="New Century Schlbk" w:hAnsi="New Century Schlbk"/>
      <w:sz w:val="24"/>
    </w:rPr>
  </w:style>
  <w:style w:type="character" w:customStyle="1" w:styleId="Heading8Char">
    <w:name w:val="Heading 8 Char"/>
    <w:basedOn w:val="DefaultParagraphFont"/>
    <w:link w:val="Heading8"/>
    <w:uiPriority w:val="9"/>
    <w:rsid w:val="00393736"/>
    <w:rPr>
      <w:rFonts w:ascii="New Century Schlbk" w:hAnsi="New Century Schlbk"/>
      <w:sz w:val="24"/>
    </w:rPr>
  </w:style>
  <w:style w:type="character" w:customStyle="1" w:styleId="Heading9Char">
    <w:name w:val="Heading 9 Char"/>
    <w:basedOn w:val="DefaultParagraphFont"/>
    <w:link w:val="Heading9"/>
    <w:uiPriority w:val="9"/>
    <w:rsid w:val="00393736"/>
    <w:rPr>
      <w:rFonts w:ascii="New Century Schlbk" w:hAnsi="New Century Schlbk"/>
      <w:sz w:val="24"/>
    </w:rPr>
  </w:style>
  <w:style w:type="paragraph" w:styleId="Title">
    <w:name w:val="Title"/>
    <w:basedOn w:val="Normal"/>
    <w:next w:val="Normal"/>
    <w:link w:val="TitleChar"/>
    <w:uiPriority w:val="10"/>
    <w:qFormat/>
    <w:rsid w:val="00393736"/>
    <w:pPr>
      <w:spacing w:before="0" w:beforeAutospacing="0"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93736"/>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393736"/>
    <w:pPr>
      <w:numPr>
        <w:ilvl w:val="1"/>
      </w:numPr>
      <w:spacing w:before="0" w:beforeAutospacing="0"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93736"/>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393736"/>
    <w:pPr>
      <w:spacing w:before="160" w:beforeAutospacing="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QuoteChar">
    <w:name w:val="Quote Char"/>
    <w:basedOn w:val="DefaultParagraphFont"/>
    <w:link w:val="Quote"/>
    <w:uiPriority w:val="29"/>
    <w:rsid w:val="00393736"/>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393736"/>
    <w:rPr>
      <w:i/>
      <w:iCs/>
      <w:color w:val="365F91" w:themeColor="accent1" w:themeShade="BF"/>
    </w:rPr>
  </w:style>
  <w:style w:type="paragraph" w:styleId="IntenseQuote">
    <w:name w:val="Intense Quote"/>
    <w:basedOn w:val="Normal"/>
    <w:next w:val="Normal"/>
    <w:link w:val="IntenseQuoteChar"/>
    <w:uiPriority w:val="30"/>
    <w:qFormat/>
    <w:rsid w:val="00393736"/>
    <w:pPr>
      <w:pBdr>
        <w:top w:val="single" w:sz="4" w:space="10" w:color="365F91" w:themeColor="accent1" w:themeShade="BF"/>
        <w:bottom w:val="single" w:sz="4" w:space="10" w:color="365F91" w:themeColor="accent1" w:themeShade="BF"/>
      </w:pBdr>
      <w:spacing w:before="360" w:beforeAutospacing="0" w:after="360" w:line="278" w:lineRule="auto"/>
      <w:ind w:left="864" w:right="864"/>
      <w:jc w:val="center"/>
    </w:pPr>
    <w:rPr>
      <w:rFonts w:asciiTheme="minorHAnsi" w:eastAsiaTheme="minorHAnsi" w:hAnsiTheme="minorHAnsi" w:cstheme="minorBidi"/>
      <w:i/>
      <w:iCs/>
      <w:color w:val="365F91" w:themeColor="accent1" w:themeShade="BF"/>
      <w:kern w:val="2"/>
      <w:szCs w:val="24"/>
      <w:lang w:eastAsia="en-US"/>
      <w14:ligatures w14:val="standardContextual"/>
    </w:rPr>
  </w:style>
  <w:style w:type="character" w:customStyle="1" w:styleId="IntenseQuoteChar">
    <w:name w:val="Intense Quote Char"/>
    <w:basedOn w:val="DefaultParagraphFont"/>
    <w:link w:val="IntenseQuote"/>
    <w:uiPriority w:val="30"/>
    <w:rsid w:val="00393736"/>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393736"/>
    <w:rPr>
      <w:b/>
      <w:bCs/>
      <w:smallCaps/>
      <w:color w:val="365F91" w:themeColor="accent1" w:themeShade="BF"/>
      <w:spacing w:val="5"/>
    </w:rPr>
  </w:style>
  <w:style w:type="paragraph" w:customStyle="1" w:styleId="TableContents">
    <w:name w:val="Table Contents"/>
    <w:basedOn w:val="Normal"/>
    <w:qFormat/>
    <w:rsid w:val="00393736"/>
    <w:pPr>
      <w:widowControl w:val="0"/>
      <w:suppressLineNumbers/>
      <w:suppressAutoHyphens/>
      <w:spacing w:before="0" w:beforeAutospacing="0" w:after="0" w:line="240" w:lineRule="auto"/>
    </w:pPr>
    <w:rPr>
      <w:rFonts w:ascii="Liberation Serif" w:eastAsia="Arial Unicode MS" w:hAnsi="Liberation Serif" w:cs="Arial Unicode MS"/>
      <w:kern w:val="2"/>
      <w:szCs w:val="24"/>
      <w:lang w:val="en-US" w:eastAsia="zh-CN" w:bidi="hi-IN"/>
    </w:rPr>
  </w:style>
  <w:style w:type="paragraph" w:customStyle="1" w:styleId="TableHeading">
    <w:name w:val="Table Heading"/>
    <w:basedOn w:val="TableContents"/>
    <w:qFormat/>
    <w:rsid w:val="00393736"/>
    <w:pPr>
      <w:jc w:val="center"/>
    </w:pPr>
    <w:rPr>
      <w:b/>
      <w:bCs/>
    </w:rPr>
  </w:style>
  <w:style w:type="paragraph" w:styleId="Revision">
    <w:name w:val="Revision"/>
    <w:hidden/>
    <w:semiHidden/>
    <w:rsid w:val="00803C8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2806">
      <w:bodyDiv w:val="1"/>
      <w:marLeft w:val="0"/>
      <w:marRight w:val="0"/>
      <w:marTop w:val="0"/>
      <w:marBottom w:val="0"/>
      <w:divBdr>
        <w:top w:val="none" w:sz="0" w:space="0" w:color="auto"/>
        <w:left w:val="none" w:sz="0" w:space="0" w:color="auto"/>
        <w:bottom w:val="none" w:sz="0" w:space="0" w:color="auto"/>
        <w:right w:val="none" w:sz="0" w:space="0" w:color="auto"/>
      </w:divBdr>
    </w:div>
    <w:div w:id="520513175">
      <w:bodyDiv w:val="1"/>
      <w:marLeft w:val="0"/>
      <w:marRight w:val="0"/>
      <w:marTop w:val="0"/>
      <w:marBottom w:val="0"/>
      <w:divBdr>
        <w:top w:val="none" w:sz="0" w:space="0" w:color="auto"/>
        <w:left w:val="none" w:sz="0" w:space="0" w:color="auto"/>
        <w:bottom w:val="none" w:sz="0" w:space="0" w:color="auto"/>
        <w:right w:val="none" w:sz="0" w:space="0" w:color="auto"/>
      </w:divBdr>
    </w:div>
    <w:div w:id="1219780120">
      <w:bodyDiv w:val="1"/>
      <w:marLeft w:val="0"/>
      <w:marRight w:val="0"/>
      <w:marTop w:val="0"/>
      <w:marBottom w:val="0"/>
      <w:divBdr>
        <w:top w:val="none" w:sz="0" w:space="0" w:color="auto"/>
        <w:left w:val="none" w:sz="0" w:space="0" w:color="auto"/>
        <w:bottom w:val="none" w:sz="0" w:space="0" w:color="auto"/>
        <w:right w:val="none" w:sz="0" w:space="0" w:color="auto"/>
      </w:divBdr>
    </w:div>
    <w:div w:id="1504474562">
      <w:bodyDiv w:val="1"/>
      <w:marLeft w:val="0"/>
      <w:marRight w:val="0"/>
      <w:marTop w:val="0"/>
      <w:marBottom w:val="0"/>
      <w:divBdr>
        <w:top w:val="none" w:sz="0" w:space="0" w:color="auto"/>
        <w:left w:val="none" w:sz="0" w:space="0" w:color="auto"/>
        <w:bottom w:val="none" w:sz="0" w:space="0" w:color="auto"/>
        <w:right w:val="none" w:sz="0" w:space="0" w:color="auto"/>
      </w:divBdr>
    </w:div>
    <w:div w:id="1706056143">
      <w:bodyDiv w:val="1"/>
      <w:marLeft w:val="0"/>
      <w:marRight w:val="0"/>
      <w:marTop w:val="0"/>
      <w:marBottom w:val="0"/>
      <w:divBdr>
        <w:top w:val="none" w:sz="0" w:space="0" w:color="auto"/>
        <w:left w:val="none" w:sz="0" w:space="0" w:color="auto"/>
        <w:bottom w:val="none" w:sz="0" w:space="0" w:color="auto"/>
        <w:right w:val="none" w:sz="0" w:space="0" w:color="auto"/>
      </w:divBdr>
      <w:divsChild>
        <w:div w:id="2096199301">
          <w:marLeft w:val="0"/>
          <w:marRight w:val="0"/>
          <w:marTop w:val="0"/>
          <w:marBottom w:val="0"/>
          <w:divBdr>
            <w:top w:val="none" w:sz="0" w:space="0" w:color="auto"/>
            <w:left w:val="none" w:sz="0" w:space="0" w:color="auto"/>
            <w:bottom w:val="none" w:sz="0" w:space="0" w:color="auto"/>
            <w:right w:val="none" w:sz="0" w:space="0" w:color="auto"/>
          </w:divBdr>
          <w:divsChild>
            <w:div w:id="3334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teacher.ac.uk/home/" TargetMode="External"/><Relationship Id="rId18" Type="http://schemas.openxmlformats.org/officeDocument/2006/relationships/hyperlink" Target="https://www.legalcheek.com/lc-careers-posts/is-sqe-passing-the-diversity-test/" TargetMode="External"/><Relationship Id="rId26" Type="http://schemas.openxmlformats.org/officeDocument/2006/relationships/hyperlink" Target="https://www.ucl.ac.uk/ethics-law/sites/ethics_law/files/irlsr_final_report_final_0.pdf" TargetMode="External"/><Relationship Id="rId39" Type="http://schemas.openxmlformats.org/officeDocument/2006/relationships/fontTable" Target="fontTable.xml"/><Relationship Id="rId21" Type="http://schemas.openxmlformats.org/officeDocument/2006/relationships/hyperlink" Target="https://www.legalcheek.com/the-future-of-legal-education-and-training-conference/" TargetMode="External"/><Relationship Id="rId34" Type="http://schemas.openxmlformats.org/officeDocument/2006/relationships/hyperlink" Target="https://www.sra.org.uk/become-solicitor/legal-practice-course-route/qualifying-law-degree-common-professional-examination/academic-stage-joint-statement-bsb-law-society/"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ntu.ac.uk/about-us/events/events/2024/6/centre-for-legal-education-conference-2024" TargetMode="External"/><Relationship Id="rId25" Type="http://schemas.openxmlformats.org/officeDocument/2006/relationships/hyperlink" Target="https://letr.org.uk/" TargetMode="External"/><Relationship Id="rId33" Type="http://schemas.openxmlformats.org/officeDocument/2006/relationships/hyperlink" Target="https://www.slsa.ac.uk/index.php/annual-conference" TargetMode="External"/><Relationship Id="rId38" Type="http://schemas.openxmlformats.org/officeDocument/2006/relationships/hyperlink" Target="https://www.hepi.ac.uk/2023/11/09/change-by-design-how-universities-should-design-change-initiatives-for-success/" TargetMode="External"/><Relationship Id="rId2" Type="http://schemas.openxmlformats.org/officeDocument/2006/relationships/numbering" Target="numbering.xml"/><Relationship Id="rId16" Type="http://schemas.openxmlformats.org/officeDocument/2006/relationships/hyperlink" Target="https://www.barstandardsboard.org.uk/news-publications/consultations/definition-of-academic-legal-training-faqs.html" TargetMode="External"/><Relationship Id="rId20" Type="http://schemas.openxmlformats.org/officeDocument/2006/relationships/hyperlink" Target="https://www.research.lancs.ac.uk/portal/en/publications/a-bernsteinian-analysis-of-the-interplay-between-legal-knowledge-and-the-legal-professional-in-university-law-schools-in-yorkshire-and-alberta(5b2035c0-5d85-46d0-9d35-3ebdf84ced3b).html" TargetMode="External"/><Relationship Id="rId29" Type="http://schemas.openxmlformats.org/officeDocument/2006/relationships/hyperlink" Target="https://eprints.nottingham.ac.uk/31342/1/Full%20draft%20Hannah%20Ordoyno%20FINAL%20FOR%20PRINT%20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www.lawgazette.co.uk/practice/sra-responds-to-education-review-with-bonfire-of-regulations/5038071.article" TargetMode="External"/><Relationship Id="rId32" Type="http://schemas.openxmlformats.org/officeDocument/2006/relationships/hyperlink" Target="https://www.slsconference.com/" TargetMode="External"/><Relationship Id="rId37" Type="http://schemas.openxmlformats.org/officeDocument/2006/relationships/hyperlink" Target="https://www.ukcisa.org.uk/news/ukcisa-responds-to-home-office-immigration-white-paper-may-2025/"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arstandardsboard.org.uk/static/d3f657bd-3eb7-4984-903da4d6824fdd02/Bar-Training-2024-Statistics-by-course-provider-FINAL.pdf" TargetMode="External"/><Relationship Id="rId23" Type="http://schemas.openxmlformats.org/officeDocument/2006/relationships/hyperlink" Target="https://www.lawsociety.org.uk/topics/research/annual-statistics-report-2022" TargetMode="External"/><Relationship Id="rId28" Type="http://schemas.openxmlformats.org/officeDocument/2006/relationships/hyperlink" Target="https://www.oecd.org/en/about/programmes/education-and-skills-policy-programmes.html" TargetMode="External"/><Relationship Id="rId36" Type="http://schemas.openxmlformats.org/officeDocument/2006/relationships/hyperlink" Target="https://theconversation.com/why-the-interdisciplinary-push-in-universities-is-actually-a-dangerous-antidisciplinary-trend-175511" TargetMode="External"/><Relationship Id="rId10" Type="http://schemas.openxmlformats.org/officeDocument/2006/relationships/header" Target="header1.xml"/><Relationship Id="rId19" Type="http://schemas.openxmlformats.org/officeDocument/2006/relationships/hyperlink" Target="https://www.legalservicesboard.org.uk/wp-content/media/International-legal-education.pdf%20(10" TargetMode="External"/><Relationship Id="rId31" Type="http://schemas.openxmlformats.org/officeDocument/2006/relationships/hyperlink" Target="https://researchportal.northumbria.ac.uk/ws/portalfiles/portal/177385843/SamanthaRasiahThesisUN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barstandardsboard.org.uk/news-publications/consultations/definition-of-academic-legal-training-faqs.html%20(10" TargetMode="External"/><Relationship Id="rId22" Type="http://schemas.openxmlformats.org/officeDocument/2006/relationships/hyperlink" Target="https://legalservicesboard.org.uk/wp-content/uploads/2024/08/Mapping-Systemic-Barriers-to-EDI-in-the-Legal-Professions-Final-1.pdf" TargetMode="External"/><Relationship Id="rId27" Type="http://schemas.openxmlformats.org/officeDocument/2006/relationships/hyperlink" Target="https://www.ntu.ac.uk/about-us/events/events/2024/6/centre-for-legal-education-conference-2024" TargetMode="External"/><Relationship Id="rId30" Type="http://schemas.openxmlformats.org/officeDocument/2006/relationships/hyperlink" Target="https://www.qaa.ac.uk/docs/qaa/sbs/sbs-law-23.pdf?sfvrsn=c271a881_6" TargetMode="External"/><Relationship Id="rId35" Type="http://schemas.openxmlformats.org/officeDocument/2006/relationships/hyperlink" Target="https://www.sra.org.uk/become-solicitor/admission/pathways-qualification/solicitors-qualifying-examination/"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8BEB-CF60-4573-838D-295F99DC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197</Pages>
  <Words>53498</Words>
  <Characters>304943</Characters>
  <Application>Microsoft Office Word</Application>
  <DocSecurity>0</DocSecurity>
  <Lines>2541</Lines>
  <Paragraphs>715</Paragraphs>
  <ScaleCrop>false</ScaleCrop>
  <HeadingPairs>
    <vt:vector size="2" baseType="variant">
      <vt:variant>
        <vt:lpstr>Title</vt:lpstr>
      </vt:variant>
      <vt:variant>
        <vt:i4>1</vt:i4>
      </vt:variant>
    </vt:vector>
  </HeadingPairs>
  <TitlesOfParts>
    <vt:vector size="1" baseType="lpstr">
      <vt:lpstr>PhD Thesis Template</vt:lpstr>
    </vt:vector>
  </TitlesOfParts>
  <Company>Lancaster University</Company>
  <LinksUpToDate>false</LinksUpToDate>
  <CharactersWithSpaces>357726</CharactersWithSpaces>
  <SharedDoc>false</SharedDoc>
  <HLinks>
    <vt:vector size="24" baseType="variant">
      <vt:variant>
        <vt:i4>1310801</vt:i4>
      </vt:variant>
      <vt:variant>
        <vt:i4>78</vt:i4>
      </vt:variant>
      <vt:variant>
        <vt:i4>0</vt:i4>
      </vt:variant>
      <vt:variant>
        <vt:i4>5</vt:i4>
      </vt:variant>
      <vt:variant>
        <vt:lpwstr>http://www.lancs.ac.uk/celt/celtweb/marp</vt:lpwstr>
      </vt:variant>
      <vt:variant>
        <vt:lpwstr/>
      </vt:variant>
      <vt:variant>
        <vt:i4>5242891</vt:i4>
      </vt:variant>
      <vt:variant>
        <vt:i4>75</vt:i4>
      </vt:variant>
      <vt:variant>
        <vt:i4>0</vt:i4>
      </vt:variant>
      <vt:variant>
        <vt:i4>5</vt:i4>
      </vt:variant>
      <vt:variant>
        <vt:lpwstr>http://www.iln.org.uk/bindery/bookbinder.htm</vt:lpwstr>
      </vt:variant>
      <vt:variant>
        <vt:lpwstr/>
      </vt:variant>
      <vt:variant>
        <vt:i4>3997784</vt:i4>
      </vt:variant>
      <vt:variant>
        <vt:i4>72</vt:i4>
      </vt:variant>
      <vt:variant>
        <vt:i4>0</vt:i4>
      </vt:variant>
      <vt:variant>
        <vt:i4>5</vt:i4>
      </vt:variant>
      <vt:variant>
        <vt:lpwstr>http://www.lancs.ac.uk/iss/remote_access/vpn/</vt:lpwstr>
      </vt:variant>
      <vt:variant>
        <vt:lpwstr/>
      </vt:variant>
      <vt:variant>
        <vt:i4>6619184</vt:i4>
      </vt:variant>
      <vt:variant>
        <vt:i4>69</vt:i4>
      </vt:variant>
      <vt:variant>
        <vt:i4>0</vt:i4>
      </vt:variant>
      <vt:variant>
        <vt:i4>5</vt:i4>
      </vt:variant>
      <vt:variant>
        <vt:lpwstr>http://www.lancs.ac.uk/depts/research/lancaster/ethics.html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Thesis Template</dc:title>
  <dc:creator>Jesmont, Alice</dc:creator>
  <cp:lastModifiedBy>Jane Stonestreet</cp:lastModifiedBy>
  <cp:revision>2</cp:revision>
  <cp:lastPrinted>2026-03-11T19:12:00Z</cp:lastPrinted>
  <dcterms:created xsi:type="dcterms:W3CDTF">2026-03-11T19:17:00Z</dcterms:created>
  <dcterms:modified xsi:type="dcterms:W3CDTF">2026-03-11T19:17:00Z</dcterms:modified>
</cp:coreProperties>
</file>