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E5ED6" w14:textId="3772B247" w:rsidR="00054BC5" w:rsidRPr="006B0BC6" w:rsidRDefault="005B40E9">
      <w:pPr>
        <w:pStyle w:val="Heading2"/>
        <w:rPr>
          <w:rFonts w:ascii="Times New Roman" w:hAnsi="Times New Roman" w:cs="Times New Roman"/>
        </w:rPr>
      </w:pPr>
      <w:r w:rsidRPr="006B0BC6">
        <w:rPr>
          <w:rFonts w:ascii="Times New Roman" w:hAnsi="Times New Roman" w:cs="Times New Roman"/>
        </w:rPr>
        <w:t xml:space="preserve">Improving mobility data for infectious disease </w:t>
      </w:r>
      <w:r w:rsidR="002A5934" w:rsidRPr="006B0BC6">
        <w:rPr>
          <w:rFonts w:ascii="Times New Roman" w:hAnsi="Times New Roman" w:cs="Times New Roman"/>
        </w:rPr>
        <w:t>research</w:t>
      </w:r>
    </w:p>
    <w:p w14:paraId="1BD8F868" w14:textId="39B9E009" w:rsidR="00054BC5" w:rsidRPr="00023995" w:rsidRDefault="00965448">
      <w:r w:rsidRPr="00023995">
        <w:t>Natalya Kostandova</w:t>
      </w:r>
      <w:r w:rsidR="00971721" w:rsidRPr="00023995">
        <w:rPr>
          <w:vertAlign w:val="superscript"/>
        </w:rPr>
        <w:t>+</w:t>
      </w:r>
      <w:r w:rsidR="00203462" w:rsidRPr="00023995">
        <w:t xml:space="preserve"> (1)</w:t>
      </w:r>
      <w:r w:rsidRPr="00023995">
        <w:t xml:space="preserve">, Ronan </w:t>
      </w:r>
      <w:proofErr w:type="spellStart"/>
      <w:r w:rsidRPr="00023995">
        <w:t>Corgel</w:t>
      </w:r>
      <w:proofErr w:type="spellEnd"/>
      <w:r w:rsidR="00B75341" w:rsidRPr="00023995">
        <w:t xml:space="preserve"> (1)</w:t>
      </w:r>
      <w:r w:rsidRPr="00023995">
        <w:t>, Shweta Bansal</w:t>
      </w:r>
      <w:r w:rsidR="00B75341" w:rsidRPr="00023995">
        <w:t xml:space="preserve"> (2)</w:t>
      </w:r>
      <w:r w:rsidRPr="00023995">
        <w:t>, Sophie Bérubé</w:t>
      </w:r>
      <w:r w:rsidR="00C04242" w:rsidRPr="00023995">
        <w:t xml:space="preserve"> (1)</w:t>
      </w:r>
      <w:r w:rsidRPr="00023995">
        <w:t>, Eimear Cleary</w:t>
      </w:r>
      <w:r w:rsidR="00FB1164" w:rsidRPr="00023995">
        <w:t xml:space="preserve"> (3)</w:t>
      </w:r>
      <w:r w:rsidRPr="00023995">
        <w:t>,</w:t>
      </w:r>
      <w:r w:rsidR="00F741FA" w:rsidRPr="00023995">
        <w:t xml:space="preserve"> Chelsea Hansen</w:t>
      </w:r>
      <w:r w:rsidR="00D55D74" w:rsidRPr="00023995">
        <w:t xml:space="preserve"> (4, 5)</w:t>
      </w:r>
      <w:r w:rsidR="00F741FA" w:rsidRPr="00023995">
        <w:t>, Matt D.T. Hitchings</w:t>
      </w:r>
      <w:r w:rsidR="00482A3D" w:rsidRPr="00023995">
        <w:t xml:space="preserve"> (6</w:t>
      </w:r>
      <w:r w:rsidR="00D81047" w:rsidRPr="00023995">
        <w:t>, 7</w:t>
      </w:r>
      <w:r w:rsidR="00482A3D" w:rsidRPr="00023995">
        <w:t>)</w:t>
      </w:r>
      <w:r w:rsidR="00F741FA" w:rsidRPr="00023995">
        <w:t xml:space="preserve">, </w:t>
      </w:r>
      <w:r w:rsidR="004A40B9" w:rsidRPr="00023995">
        <w:t>Bernardo</w:t>
      </w:r>
      <w:r w:rsidR="007C4268" w:rsidRPr="00023995">
        <w:t xml:space="preserve"> García-Carreras</w:t>
      </w:r>
      <w:r w:rsidR="002543B3" w:rsidRPr="00023995">
        <w:t xml:space="preserve"> (8)</w:t>
      </w:r>
      <w:r w:rsidR="007C4268" w:rsidRPr="00023995">
        <w:t xml:space="preserve">, </w:t>
      </w:r>
      <w:r w:rsidR="002A155E" w:rsidRPr="00023995">
        <w:t>Lauren Gardner</w:t>
      </w:r>
      <w:r w:rsidR="00C27611" w:rsidRPr="00023995">
        <w:t xml:space="preserve"> (9</w:t>
      </w:r>
      <w:r w:rsidR="003546D4" w:rsidRPr="00023995">
        <w:t>, 1</w:t>
      </w:r>
      <w:r w:rsidR="00C27611" w:rsidRPr="00023995">
        <w:t>)</w:t>
      </w:r>
      <w:r w:rsidR="002A155E" w:rsidRPr="00023995">
        <w:t>, Moritz U G Kraemer</w:t>
      </w:r>
      <w:r w:rsidR="00625C82" w:rsidRPr="00023995">
        <w:t xml:space="preserve"> (10</w:t>
      </w:r>
      <w:r w:rsidR="00BE6C41" w:rsidRPr="00023995">
        <w:t>, 11</w:t>
      </w:r>
      <w:r w:rsidR="00625C82" w:rsidRPr="00023995">
        <w:t>)</w:t>
      </w:r>
      <w:r w:rsidR="002A155E" w:rsidRPr="00023995">
        <w:t xml:space="preserve">, </w:t>
      </w:r>
      <w:proofErr w:type="spellStart"/>
      <w:r w:rsidR="002A155E" w:rsidRPr="00023995">
        <w:t>Shengjie</w:t>
      </w:r>
      <w:proofErr w:type="spellEnd"/>
      <w:r w:rsidR="002A155E" w:rsidRPr="00023995">
        <w:t xml:space="preserve"> Lai</w:t>
      </w:r>
      <w:r w:rsidR="00AD0314" w:rsidRPr="00023995">
        <w:t xml:space="preserve"> (3)</w:t>
      </w:r>
      <w:r w:rsidR="002A155E" w:rsidRPr="00023995">
        <w:t>, Yao Li</w:t>
      </w:r>
      <w:r w:rsidR="00AD0314" w:rsidRPr="00023995">
        <w:t xml:space="preserve"> (1)</w:t>
      </w:r>
      <w:r w:rsidR="002A155E" w:rsidRPr="00023995">
        <w:t xml:space="preserve">, Amanda C. </w:t>
      </w:r>
      <w:proofErr w:type="spellStart"/>
      <w:r w:rsidR="002A155E" w:rsidRPr="00023995">
        <w:t>Perofsky</w:t>
      </w:r>
      <w:proofErr w:type="spellEnd"/>
      <w:r w:rsidR="00AD0314" w:rsidRPr="00023995">
        <w:t xml:space="preserve"> (4, 5)</w:t>
      </w:r>
      <w:r w:rsidR="002A155E" w:rsidRPr="00023995">
        <w:t>, Giulia Pullano</w:t>
      </w:r>
      <w:r w:rsidR="00E31F81" w:rsidRPr="00023995">
        <w:t xml:space="preserve"> (2)</w:t>
      </w:r>
      <w:r w:rsidR="002A155E" w:rsidRPr="00023995">
        <w:t>, Jonathan M Read</w:t>
      </w:r>
      <w:r w:rsidR="00CB56EA" w:rsidRPr="00023995">
        <w:t xml:space="preserve"> (12)</w:t>
      </w:r>
      <w:r w:rsidR="002A155E" w:rsidRPr="00023995">
        <w:t>, Gabriel Ribeiro dos Santos</w:t>
      </w:r>
      <w:r w:rsidR="00112ADD" w:rsidRPr="00023995">
        <w:t xml:space="preserve"> (13)</w:t>
      </w:r>
      <w:r w:rsidR="002A155E" w:rsidRPr="00023995">
        <w:t xml:space="preserve">, </w:t>
      </w:r>
      <w:r w:rsidR="001569C2" w:rsidRPr="00023995">
        <w:t>Henrik Salje</w:t>
      </w:r>
      <w:r w:rsidR="00B63844" w:rsidRPr="00023995">
        <w:t xml:space="preserve"> (13)</w:t>
      </w:r>
      <w:r w:rsidR="001569C2" w:rsidRPr="00023995">
        <w:t>, Saki Takahashi</w:t>
      </w:r>
      <w:r w:rsidR="00FE0318" w:rsidRPr="00023995">
        <w:t xml:space="preserve"> (1)</w:t>
      </w:r>
      <w:r w:rsidR="001569C2" w:rsidRPr="00023995">
        <w:t xml:space="preserve">, Cécile </w:t>
      </w:r>
      <w:proofErr w:type="spellStart"/>
      <w:r w:rsidR="001569C2" w:rsidRPr="00023995">
        <w:t>Viboud</w:t>
      </w:r>
      <w:proofErr w:type="spellEnd"/>
      <w:r w:rsidR="00D22FCB" w:rsidRPr="00023995">
        <w:t xml:space="preserve"> (4)</w:t>
      </w:r>
      <w:r w:rsidR="001569C2" w:rsidRPr="00023995">
        <w:t>, Jasmine Wang</w:t>
      </w:r>
      <w:r w:rsidR="00D22FCB" w:rsidRPr="00023995">
        <w:t xml:space="preserve"> (1)</w:t>
      </w:r>
      <w:r w:rsidR="001569C2" w:rsidRPr="00023995">
        <w:t>, Derek AT Cummings*</w:t>
      </w:r>
      <w:r w:rsidR="00805F94" w:rsidRPr="00023995">
        <w:t xml:space="preserve"> (</w:t>
      </w:r>
      <w:r w:rsidR="000A4BE4" w:rsidRPr="00023995">
        <w:t>6, 7)</w:t>
      </w:r>
      <w:r w:rsidR="001569C2" w:rsidRPr="00023995">
        <w:t>, Amy Wesolowski*</w:t>
      </w:r>
      <w:r w:rsidR="000A4BE4" w:rsidRPr="00023995">
        <w:t xml:space="preserve"> (1)</w:t>
      </w:r>
    </w:p>
    <w:p w14:paraId="2001A3FD" w14:textId="77777777" w:rsidR="00965448" w:rsidRPr="00023995" w:rsidRDefault="00965448"/>
    <w:p w14:paraId="66F2E022" w14:textId="09C8CD4B" w:rsidR="00596230" w:rsidRPr="00023995" w:rsidRDefault="00295918" w:rsidP="00596230">
      <w:pPr>
        <w:widowControl w:val="0"/>
        <w:pBdr>
          <w:top w:val="nil"/>
          <w:left w:val="nil"/>
          <w:bottom w:val="nil"/>
          <w:right w:val="nil"/>
          <w:between w:val="nil"/>
        </w:pBdr>
      </w:pPr>
      <w:r w:rsidRPr="00023995">
        <w:t xml:space="preserve">(1) </w:t>
      </w:r>
      <w:r w:rsidR="00596230" w:rsidRPr="00023995">
        <w:t xml:space="preserve">Department of Epidemiology, Johns Hopkins Bloomberg School of Public Health, Baltimore, MD, USA, </w:t>
      </w:r>
      <w:r w:rsidR="000E7D52" w:rsidRPr="00023995">
        <w:t xml:space="preserve">(2) Department of Biology, Georgetown University, Washington, District of Columbia, USA, </w:t>
      </w:r>
      <w:r w:rsidR="00FB1164" w:rsidRPr="00023995">
        <w:t xml:space="preserve">(3) </w:t>
      </w:r>
      <w:proofErr w:type="spellStart"/>
      <w:r w:rsidR="00FB1164" w:rsidRPr="00023995">
        <w:t>WorldPop</w:t>
      </w:r>
      <w:proofErr w:type="spellEnd"/>
      <w:r w:rsidR="00FB1164" w:rsidRPr="00023995">
        <w:t>, School of Geography and Environmental Science, University of Southampton, Southampton SO17 1BJ, UK</w:t>
      </w:r>
      <w:r w:rsidR="00D55D74" w:rsidRPr="00023995">
        <w:t xml:space="preserve">, (4) Fogarty International Center, National Institutes of Health, Bethesda, MD, USA, (5) </w:t>
      </w:r>
      <w:r w:rsidR="0097207B" w:rsidRPr="00023995">
        <w:t xml:space="preserve">Brotman Baty Institute, University of Washington, Seattle, Washington, USA, </w:t>
      </w:r>
      <w:r w:rsidR="00482A3D" w:rsidRPr="00023995">
        <w:t>(6) Department of Biostatistics, University of Florida, Gainesville, USA</w:t>
      </w:r>
      <w:r w:rsidR="00D81047" w:rsidRPr="00023995">
        <w:t xml:space="preserve">, (7) Emerging Pathogens Institute, University of Florida, Gainesville, USA, </w:t>
      </w:r>
      <w:r w:rsidR="002543B3" w:rsidRPr="00023995">
        <w:t>(8) Department of Biology, University of Florida, Gainesville, FL, USA</w:t>
      </w:r>
      <w:r w:rsidR="00C27611" w:rsidRPr="00023995">
        <w:t>, (9) Department of Civil and Systems Engineering, Johns Hopkins University, Baltimore, MD, 21218, USA</w:t>
      </w:r>
      <w:r w:rsidR="00625C82" w:rsidRPr="00023995">
        <w:t>, (10) Department of Biology, University of Oxford, Oxford, United Kingdom</w:t>
      </w:r>
      <w:r w:rsidR="00BE6C41" w:rsidRPr="00023995">
        <w:t>, (11) Pandemic Sciences Institute, University of Oxford, Oxford, United Kingdom</w:t>
      </w:r>
      <w:r w:rsidR="00CB56EA" w:rsidRPr="00023995">
        <w:t>, (12) Centre for Health Information Computation and Statistics, Lancaster Medical School, Lancaster University, Lancaster, United Kingdom</w:t>
      </w:r>
      <w:r w:rsidR="00112ADD" w:rsidRPr="00023995">
        <w:t>, (13) Department of Genetics, University of Cambridge, Cambridge CB2 3EH, UK</w:t>
      </w:r>
    </w:p>
    <w:p w14:paraId="36DD5933" w14:textId="77777777" w:rsidR="00971721" w:rsidRPr="00023995" w:rsidRDefault="00971721" w:rsidP="00596230">
      <w:pPr>
        <w:widowControl w:val="0"/>
        <w:pBdr>
          <w:top w:val="nil"/>
          <w:left w:val="nil"/>
          <w:bottom w:val="nil"/>
          <w:right w:val="nil"/>
          <w:between w:val="nil"/>
        </w:pBdr>
      </w:pPr>
    </w:p>
    <w:p w14:paraId="613F34A3" w14:textId="56131403" w:rsidR="00971721" w:rsidRPr="00023995" w:rsidRDefault="00971721" w:rsidP="00596230">
      <w:pPr>
        <w:widowControl w:val="0"/>
        <w:pBdr>
          <w:top w:val="nil"/>
          <w:left w:val="nil"/>
          <w:bottom w:val="nil"/>
          <w:right w:val="nil"/>
          <w:between w:val="nil"/>
        </w:pBdr>
      </w:pPr>
      <w:r w:rsidRPr="00023995">
        <w:rPr>
          <w:vertAlign w:val="superscript"/>
        </w:rPr>
        <w:t>+</w:t>
      </w:r>
      <w:r w:rsidRPr="00023995">
        <w:t xml:space="preserve">Corresponding author: Natalya Kostandova, </w:t>
      </w:r>
      <w:hyperlink r:id="rId8" w:history="1">
        <w:r w:rsidRPr="00023995">
          <w:rPr>
            <w:rStyle w:val="Hyperlink"/>
          </w:rPr>
          <w:t>nkostan1@jh.edu</w:t>
        </w:r>
      </w:hyperlink>
      <w:r w:rsidRPr="00023995">
        <w:t xml:space="preserve"> </w:t>
      </w:r>
    </w:p>
    <w:p w14:paraId="476299DB" w14:textId="37E07DBD" w:rsidR="00295918" w:rsidRPr="00023995" w:rsidRDefault="00295918"/>
    <w:p w14:paraId="3D2B2A56" w14:textId="772FF65B" w:rsidR="001362E8" w:rsidRPr="006B0BC6" w:rsidRDefault="001362E8" w:rsidP="001362E8">
      <w:pPr>
        <w:pStyle w:val="Heading4"/>
        <w:rPr>
          <w:rFonts w:ascii="Times New Roman" w:hAnsi="Times New Roman" w:cs="Times New Roman"/>
        </w:rPr>
      </w:pPr>
      <w:bookmarkStart w:id="0" w:name="_dj2wtvbexvwi" w:colFirst="0" w:colLast="0"/>
      <w:bookmarkStart w:id="1" w:name="_4r8lbh48is3m" w:colFirst="0" w:colLast="0"/>
      <w:bookmarkEnd w:id="0"/>
      <w:bookmarkEnd w:id="1"/>
      <w:r w:rsidRPr="006B0BC6">
        <w:rPr>
          <w:rFonts w:ascii="Times New Roman" w:hAnsi="Times New Roman" w:cs="Times New Roman"/>
        </w:rPr>
        <w:t>Standfirst</w:t>
      </w:r>
    </w:p>
    <w:p w14:paraId="4A253F50" w14:textId="3AB898F4" w:rsidR="00C916DB" w:rsidRPr="00023995" w:rsidRDefault="00C916DB" w:rsidP="006B0BC6">
      <w:r w:rsidRPr="00023995">
        <w:t xml:space="preserve">Mobility data can help reconstruct infectious disease dynamics and tailor control and elimination measures. We describe three challenges and opportunities to </w:t>
      </w:r>
      <w:r w:rsidR="00646304" w:rsidRPr="00023995">
        <w:t>improv</w:t>
      </w:r>
      <w:r w:rsidR="00646304">
        <w:t>e</w:t>
      </w:r>
      <w:r w:rsidR="00646304" w:rsidRPr="00023995">
        <w:t xml:space="preserve"> </w:t>
      </w:r>
      <w:r w:rsidRPr="00023995">
        <w:t>our understanding of human mobility for infectious disease research. We call for simulation and modeling, reporting guidelines, and investment in data repositories.</w:t>
      </w:r>
    </w:p>
    <w:p w14:paraId="5D700129" w14:textId="70A2E1C1" w:rsidR="00EC4C0D" w:rsidRPr="006B0BC6" w:rsidRDefault="00EC4C0D" w:rsidP="00EC4C0D">
      <w:pPr>
        <w:pStyle w:val="Heading4"/>
        <w:rPr>
          <w:rFonts w:ascii="Times New Roman" w:hAnsi="Times New Roman" w:cs="Times New Roman"/>
        </w:rPr>
      </w:pPr>
      <w:r w:rsidRPr="006B0BC6">
        <w:rPr>
          <w:rFonts w:ascii="Times New Roman" w:hAnsi="Times New Roman" w:cs="Times New Roman"/>
        </w:rPr>
        <w:t>Main Text</w:t>
      </w:r>
    </w:p>
    <w:p w14:paraId="535638E8" w14:textId="1469D639" w:rsidR="00EC4C0D" w:rsidRPr="00D62B90" w:rsidRDefault="00DF690E" w:rsidP="00EC4C0D">
      <w:pPr>
        <w:rPr>
          <w:rFonts w:eastAsiaTheme="minorEastAsia"/>
          <w:lang w:eastAsia="zh-CN"/>
        </w:rPr>
      </w:pPr>
      <w:r w:rsidRPr="00023995">
        <w:t>Q</w:t>
      </w:r>
      <w:r w:rsidR="00E70C58" w:rsidRPr="00023995">
        <w:t xml:space="preserve">uantifying </w:t>
      </w:r>
      <w:r w:rsidR="003E3410" w:rsidRPr="00023995">
        <w:t xml:space="preserve">human mobility </w:t>
      </w:r>
      <w:r w:rsidR="00E70C58" w:rsidRPr="00023995">
        <w:t xml:space="preserve">is </w:t>
      </w:r>
      <w:r w:rsidR="009308AC" w:rsidRPr="00023995">
        <w:t>critical</w:t>
      </w:r>
      <w:r w:rsidR="00E70C58" w:rsidRPr="00023995">
        <w:t xml:space="preserve"> to develop a more complete understanding of how travel </w:t>
      </w:r>
      <w:r w:rsidR="0023292E" w:rsidRPr="00023995">
        <w:t>and contacts</w:t>
      </w:r>
      <w:r w:rsidR="00313282" w:rsidRPr="00023995">
        <w:t xml:space="preserve"> between populations</w:t>
      </w:r>
      <w:r w:rsidR="0023292E" w:rsidRPr="00023995">
        <w:t xml:space="preserve"> </w:t>
      </w:r>
      <w:r w:rsidR="003E3410" w:rsidRPr="00023995">
        <w:t>facili</w:t>
      </w:r>
      <w:r w:rsidR="00B84EE3" w:rsidRPr="00023995">
        <w:t>t</w:t>
      </w:r>
      <w:r w:rsidR="003E3410" w:rsidRPr="00023995">
        <w:t xml:space="preserve">ate the spread of infectious pathogens. </w:t>
      </w:r>
      <w:r w:rsidR="00451917" w:rsidRPr="00023995">
        <w:t>Information about human mobility</w:t>
      </w:r>
      <w:r w:rsidR="00371738" w:rsidRPr="00023995">
        <w:t>, which can include both presence and absence of travel on a wide range of temporal and spatial scales,</w:t>
      </w:r>
      <w:r w:rsidR="00451917" w:rsidRPr="00023995">
        <w:t xml:space="preserve"> has been used in reconstructing and predicting transmission dynamics, and determining the effectiveness of control strategies for a wide range of diseases, including influenza</w:t>
      </w:r>
      <w:r w:rsidR="00B302BA" w:rsidRPr="00023995">
        <w:t>,</w:t>
      </w:r>
      <w:r w:rsidR="00451917" w:rsidRPr="00023995">
        <w:t xml:space="preserve"> malaria</w:t>
      </w:r>
      <w:r w:rsidR="003E3410" w:rsidRPr="00023995">
        <w:t>,</w:t>
      </w:r>
      <w:r w:rsidR="00451917" w:rsidRPr="00023995">
        <w:t xml:space="preserve"> Ebola</w:t>
      </w:r>
      <w:r w:rsidR="00C17980" w:rsidRPr="00023995">
        <w:t xml:space="preserve">, </w:t>
      </w:r>
      <w:r w:rsidR="00451917" w:rsidRPr="00023995">
        <w:t>cholera, and SARS-CoV-2</w:t>
      </w:r>
      <w:r w:rsidR="00E70C58" w:rsidRPr="00023995">
        <w:t xml:space="preserve">. </w:t>
      </w:r>
      <w:r w:rsidR="00451917" w:rsidRPr="00023995">
        <w:t>Since the beginning of the COVID-19 pandemic, there has been an increased availability of data describing different aspects of human mobility.</w:t>
      </w:r>
      <w:r w:rsidR="00395A65">
        <w:t xml:space="preserve"> These data are used in modeling (</w:t>
      </w:r>
      <w:r w:rsidR="004B6974">
        <w:t>theoretical representations of the transmission system</w:t>
      </w:r>
      <w:r w:rsidR="00395A65">
        <w:t>) and simulations (</w:t>
      </w:r>
      <w:r w:rsidR="004B6974">
        <w:t xml:space="preserve">multiple iterations of </w:t>
      </w:r>
      <w:r w:rsidR="00A62DB4">
        <w:t xml:space="preserve">representations of a </w:t>
      </w:r>
      <w:r w:rsidR="004B6974">
        <w:t>transmission system</w:t>
      </w:r>
      <w:r w:rsidR="00847333">
        <w:t>)</w:t>
      </w:r>
      <w:r w:rsidR="00395A65">
        <w:t>.</w:t>
      </w:r>
      <w:r w:rsidR="00451917" w:rsidRPr="00023995">
        <w:t xml:space="preserve"> </w:t>
      </w:r>
      <w:r w:rsidR="00311A9B" w:rsidRPr="00023995">
        <w:t xml:space="preserve">However, </w:t>
      </w:r>
      <w:r w:rsidR="00AB54E9" w:rsidRPr="00023995">
        <w:t xml:space="preserve">more work </w:t>
      </w:r>
      <w:r w:rsidR="00100264" w:rsidRPr="00023995">
        <w:t>is needed</w:t>
      </w:r>
      <w:r w:rsidR="003E3410" w:rsidRPr="00023995">
        <w:t xml:space="preserve"> to address the challenges and opportunities of evaluating</w:t>
      </w:r>
      <w:r w:rsidR="00311A9B" w:rsidRPr="00023995">
        <w:t xml:space="preserve"> how, when, where, and for </w:t>
      </w:r>
      <w:r w:rsidR="00F73A8A" w:rsidRPr="00023995">
        <w:t xml:space="preserve">which </w:t>
      </w:r>
      <w:r w:rsidR="00311A9B" w:rsidRPr="00023995">
        <w:t xml:space="preserve">populations generalizable insights on mobility can be applied </w:t>
      </w:r>
      <w:r w:rsidR="00D03537" w:rsidRPr="00023995">
        <w:t>to</w:t>
      </w:r>
      <w:r w:rsidR="00311A9B" w:rsidRPr="00023995">
        <w:t xml:space="preserve"> various epidemiological scenarios</w:t>
      </w:r>
      <w:r w:rsidR="003E3410" w:rsidRPr="00023995">
        <w:t xml:space="preserve"> to prepare for </w:t>
      </w:r>
      <w:r w:rsidR="00EC4C0D" w:rsidRPr="00023995">
        <w:t>future pandemic</w:t>
      </w:r>
      <w:r w:rsidR="00F73A8A" w:rsidRPr="00023995">
        <w:t xml:space="preserve"> and epidemic</w:t>
      </w:r>
      <w:r w:rsidR="00EC4C0D" w:rsidRPr="00023995">
        <w:t xml:space="preserve"> threats. </w:t>
      </w:r>
    </w:p>
    <w:p w14:paraId="65DB9C3F" w14:textId="77777777" w:rsidR="00D47510" w:rsidRPr="00023995" w:rsidRDefault="00D47510" w:rsidP="00EC4C0D"/>
    <w:p w14:paraId="2F3B24E4" w14:textId="6D855CA6" w:rsidR="008D7DF7" w:rsidRPr="006B0BC6" w:rsidRDefault="008D7DF7" w:rsidP="00EC4C0D">
      <w:pPr>
        <w:rPr>
          <w:b/>
          <w:bCs/>
          <w:u w:val="single"/>
        </w:rPr>
      </w:pPr>
      <w:r w:rsidRPr="00023995">
        <w:rPr>
          <w:b/>
          <w:bCs/>
          <w:u w:val="single"/>
        </w:rPr>
        <w:t xml:space="preserve">Challenges in use of </w:t>
      </w:r>
      <w:r w:rsidR="002F2C33" w:rsidRPr="00023995">
        <w:rPr>
          <w:b/>
          <w:bCs/>
          <w:u w:val="single"/>
        </w:rPr>
        <w:t>mobility data</w:t>
      </w:r>
    </w:p>
    <w:p w14:paraId="6C86CBF3" w14:textId="7EF5079B" w:rsidR="00C57929" w:rsidRPr="00023995" w:rsidRDefault="00733421" w:rsidP="00685071">
      <w:r w:rsidRPr="00023995">
        <w:rPr>
          <w:b/>
          <w:bCs/>
        </w:rPr>
        <w:t>Challenge 1</w:t>
      </w:r>
      <w:r w:rsidR="008F0EA4" w:rsidRPr="00023995">
        <w:rPr>
          <w:b/>
          <w:bCs/>
        </w:rPr>
        <w:t>:</w:t>
      </w:r>
      <w:r w:rsidRPr="00023995">
        <w:rPr>
          <w:b/>
          <w:bCs/>
        </w:rPr>
        <w:t xml:space="preserve"> </w:t>
      </w:r>
      <w:r w:rsidR="00897B39" w:rsidRPr="00023995">
        <w:rPr>
          <w:b/>
          <w:bCs/>
        </w:rPr>
        <w:t>Identifying</w:t>
      </w:r>
      <w:r w:rsidR="008035E2" w:rsidRPr="00023995">
        <w:rPr>
          <w:b/>
          <w:bCs/>
        </w:rPr>
        <w:t xml:space="preserve"> </w:t>
      </w:r>
      <w:r w:rsidR="00DE1D63">
        <w:rPr>
          <w:b/>
          <w:bCs/>
        </w:rPr>
        <w:t xml:space="preserve">which type of mobility data and metric are the best proxies </w:t>
      </w:r>
      <w:r w:rsidR="00897B39" w:rsidRPr="00023995">
        <w:rPr>
          <w:b/>
          <w:bCs/>
        </w:rPr>
        <w:t>of potentially infectious interactions and risk</w:t>
      </w:r>
      <w:r w:rsidR="00E35652" w:rsidRPr="00023995">
        <w:rPr>
          <w:b/>
          <w:bCs/>
        </w:rPr>
        <w:t xml:space="preserve">. </w:t>
      </w:r>
      <w:r w:rsidR="00D47510" w:rsidRPr="00023995">
        <w:rPr>
          <w:b/>
          <w:bCs/>
        </w:rPr>
        <w:t xml:space="preserve"> </w:t>
      </w:r>
      <w:r w:rsidR="00C57929" w:rsidRPr="00023995">
        <w:t xml:space="preserve">Along the spectrum of </w:t>
      </w:r>
      <w:r w:rsidR="00122808" w:rsidRPr="00023995">
        <w:t xml:space="preserve">pathogen </w:t>
      </w:r>
      <w:r w:rsidR="00C57929" w:rsidRPr="00023995">
        <w:t xml:space="preserve">transmission states from pre-emergence to elimination, mobility data can provide </w:t>
      </w:r>
      <w:r w:rsidR="001979DA" w:rsidRPr="00023995">
        <w:t xml:space="preserve">valuable </w:t>
      </w:r>
      <w:r w:rsidR="00C57929" w:rsidRPr="00023995">
        <w:t>information about how</w:t>
      </w:r>
      <w:r w:rsidR="00A06E9C" w:rsidRPr="00023995">
        <w:t xml:space="preserve"> and where</w:t>
      </w:r>
      <w:r w:rsidR="00C57929" w:rsidRPr="00023995">
        <w:t xml:space="preserve"> contact</w:t>
      </w:r>
      <w:r w:rsidR="00E12B33" w:rsidRPr="00023995">
        <w:t xml:space="preserve"> </w:t>
      </w:r>
      <w:r w:rsidR="009239AF" w:rsidRPr="00023995">
        <w:t xml:space="preserve">potentially </w:t>
      </w:r>
      <w:r w:rsidR="00122808" w:rsidRPr="00023995">
        <w:t>occur</w:t>
      </w:r>
      <w:r w:rsidR="00E12B33" w:rsidRPr="00023995">
        <w:t>s</w:t>
      </w:r>
      <w:r w:rsidR="00122808" w:rsidRPr="00023995">
        <w:t xml:space="preserve"> </w:t>
      </w:r>
      <w:r w:rsidR="00C57929" w:rsidRPr="00023995">
        <w:t>between susceptible and infected individuals</w:t>
      </w:r>
      <w:r w:rsidR="004C7328" w:rsidRPr="00023995">
        <w:t xml:space="preserve"> (</w:t>
      </w:r>
      <w:r w:rsidR="00BE0F00" w:rsidRPr="00023995">
        <w:t xml:space="preserve">Table </w:t>
      </w:r>
      <w:r w:rsidR="004C7328" w:rsidRPr="00023995">
        <w:t>1)</w:t>
      </w:r>
      <w:r w:rsidR="00C57929" w:rsidRPr="00023995">
        <w:t xml:space="preserve">. </w:t>
      </w:r>
      <w:r w:rsidR="00DE1D63">
        <w:t xml:space="preserve">Ideally, we would be able to quantify all interactions between susceptible and infected individuals, however in reality we often use proxy measures that describe </w:t>
      </w:r>
      <w:r w:rsidR="00DE1D63">
        <w:lastRenderedPageBreak/>
        <w:t xml:space="preserve">travel or mixing patterns between individuals from different locations without knowing their disease status. </w:t>
      </w:r>
      <w:r w:rsidR="00BE6A05" w:rsidRPr="00023995">
        <w:t>T</w:t>
      </w:r>
      <w:r w:rsidR="00C57929" w:rsidRPr="00023995">
        <w:t>hese data</w:t>
      </w:r>
      <w:r w:rsidR="00BE6A05" w:rsidRPr="00023995">
        <w:t xml:space="preserve"> have been applied</w:t>
      </w:r>
      <w:r w:rsidR="00C57929" w:rsidRPr="00023995">
        <w:t xml:space="preserve"> </w:t>
      </w:r>
      <w:r w:rsidR="00122808" w:rsidRPr="00023995">
        <w:t>for multiple purposes</w:t>
      </w:r>
      <w:r w:rsidR="00C57929" w:rsidRPr="00023995">
        <w:t xml:space="preserve">, such as </w:t>
      </w:r>
      <w:r w:rsidR="007D3C52" w:rsidRPr="00023995">
        <w:t xml:space="preserve">using population commuting information </w:t>
      </w:r>
      <w:r w:rsidR="00122808" w:rsidRPr="00023995">
        <w:t>to refine</w:t>
      </w:r>
      <w:r w:rsidR="00CF0370" w:rsidRPr="00023995">
        <w:t xml:space="preserve"> estimat</w:t>
      </w:r>
      <w:r w:rsidR="00122808" w:rsidRPr="00023995">
        <w:t>es of</w:t>
      </w:r>
      <w:r w:rsidR="007D3C52" w:rsidRPr="00023995">
        <w:t xml:space="preserve"> communit</w:t>
      </w:r>
      <w:r w:rsidR="00807C21" w:rsidRPr="00023995">
        <w:t>y</w:t>
      </w:r>
      <w:r w:rsidR="007D3C52" w:rsidRPr="00023995">
        <w:t>-level vaccine coverage</w:t>
      </w:r>
      <w:r w:rsidR="007D3C52" w:rsidRPr="00023995">
        <w:fldChar w:fldCharType="begin"/>
      </w:r>
      <w:r w:rsidR="00DD0ECD" w:rsidRPr="00023995">
        <w:instrText xml:space="preserve"> ADDIN ZOTERO_ITEM CSL_CITATION {"citationID":"AlLZLNSw","properties":{"formattedCitation":"\\super 1\\nosupersub{}","plainCitation":"1","noteIndex":0},"citationItems":[{"id":547,"uris":["http://zotero.org/users/8711921/items/V5IGISIF"],"itemData":{"id":547,"type":"article-journal","abstract":"Childhood vaccination data are made available at a school level in some U.S. states. These data can be geocoded and may be considered as having a high spatial resolution. However, a school only represents the destination location for the set of students that actually reside and interact within some larger areal region, creating a spatial mismatch. Public school districts are often used to represent these regions, but fail to account for private schools and school of choice programs. We offer a new approach to estimate childhood vaccination coverage rates at a community level by integrating school level data with population commuting information. The resulting mobility-adjusted vaccine coverage estimates resolve the spatial mismatch problem and are more aligned with the geographic scale at which public health policies are implemented. We illustrate the utility of our approach using a case study on diphtheria, tetanus, and pertussis (DTP) vaccination coverage for kindergarten students in California. The modeled community-level DTP coverage estimates yield a statewide coverage of 92.37%, which is highly similar to the 92.44% coverage rate calculated from the original school-level data.","container-title":"Applied Geography (Sevenoaks, England)","DOI":"10.1016/j.apgeog.2016.04.008","ISSN":"0143-6228","journalAbbreviation":"Appl Geogr","language":"eng","note":"PMID: 31327881\nPMCID: PMC6641576","page":"123-132","source":"PubMed","title":"An approach for estimating vaccination coverage for communities using school-level data and population mobility information","volume":"71","author":[{"family":"Delamater","given":"Paul L."},{"family":"Leslie","given":"Timothy F."},{"family":"Yang","given":"Y. Tony"},{"family":"Jacobsen","given":"Kathryn H."}],"issued":{"date-parts":[["2016",6]]}}}],"schema":"https://github.com/citation-style-language/schema/raw/master/csl-citation.json"} </w:instrText>
      </w:r>
      <w:r w:rsidR="007D3C52" w:rsidRPr="00023995">
        <w:fldChar w:fldCharType="separate"/>
      </w:r>
      <w:r w:rsidR="00DD0ECD" w:rsidRPr="00023995">
        <w:rPr>
          <w:vertAlign w:val="superscript"/>
        </w:rPr>
        <w:t>1</w:t>
      </w:r>
      <w:r w:rsidR="007D3C52" w:rsidRPr="00023995">
        <w:fldChar w:fldCharType="end"/>
      </w:r>
      <w:r w:rsidR="007D3C52" w:rsidRPr="00023995">
        <w:t xml:space="preserve">, </w:t>
      </w:r>
      <w:r w:rsidR="00807C21" w:rsidRPr="00023995">
        <w:t xml:space="preserve">or using mobile phone data </w:t>
      </w:r>
      <w:r w:rsidR="002C4561" w:rsidRPr="00023995">
        <w:t>to</w:t>
      </w:r>
      <w:r w:rsidR="00BE0F00" w:rsidRPr="00023995">
        <w:t xml:space="preserve"> quantify mobility between administrative units in Brazil in a metapopulation model used to</w:t>
      </w:r>
      <w:r w:rsidR="002C4561" w:rsidRPr="00023995">
        <w:t xml:space="preserve"> calculate</w:t>
      </w:r>
      <w:r w:rsidR="00807C21" w:rsidRPr="00023995">
        <w:t xml:space="preserve"> schistosomiasis prevalence</w:t>
      </w:r>
      <w:r w:rsidR="00807C21" w:rsidRPr="00023995">
        <w:fldChar w:fldCharType="begin"/>
      </w:r>
      <w:r w:rsidR="00DD0ECD" w:rsidRPr="00023995">
        <w:instrText xml:space="preserve"> ADDIN ZOTERO_ITEM CSL_CITATION {"citationID":"yOQjZZFM","properties":{"formattedCitation":"\\super 2\\nosupersub{}","plainCitation":"2","noteIndex":0},"citationItems":[{"id":383,"uris":["http://zotero.org/users/8711921/items/MUQRF6NE"],"itemData":{"id":383,"type":"article-journal","abstract":"Schistosomiasis is a parasitic infection that is widespread in sub-Saharan Africa, where it represents a major health problem. We study the drivers of its geographical distribution in Senegal via a spatially explicit network model accounting for epidemiological dynamics driven by local socioeconomic and environmental conditions, and human mobility. The model is parameterized by tapping several available geodatabases and a large dataset of mobile phone traces. It reliably reproduces the observed spatial patterns of regional schistosomiasis prevalence throughout the country, provided that spatial heterogeneity and human mobility are suitably accounted for. Specifically, a fine-grained description of the socioeconomic and environmental heterogeneities involved in local disease transmission is crucial to capturing the spatial variability of disease prevalence, while the inclusion of human mobility significantly improves the explanatory power of the model. Concerning human movement, we find that moderate mobility may reduce disease prevalence, whereas either high or low mobility may result in increased prevalence of infection. The effects of control strategies based on exposure and contamination reduction via improved access to safe water or educational campaigns are also analyzed. To our knowledge, this represents the first application of an integrative schistosomiasis transmission model at a whole-country scale.","container-title":"Scientific Reports","DOI":"10.1038/s41598-017-00493-1","ISSN":"2045-2322","issue":"1","journalAbbreviation":"Sci Rep","language":"en","license":"2017 The Author(s)","note":"number: 1\npublisher: Nature Publishing Group","page":"489","source":"www.nature.com","title":"Big-data-driven modeling unveils country-wide drivers of endemic schistosomiasis","volume":"7","author":[{"family":"Mari","given":"Lorenzo"},{"family":"Gatto","given":"Marino"},{"family":"Ciddio","given":"Manuela"},{"family":"Dia","given":"Elhadji D."},{"family":"Sokolow","given":"Susanne H."},{"family":"De Leo","given":"Giulio A."},{"family":"Casagrandi","given":"Renato"}],"issued":{"date-parts":[["2017",3,28]]}}}],"schema":"https://github.com/citation-style-language/schema/raw/master/csl-citation.json"} </w:instrText>
      </w:r>
      <w:r w:rsidR="00807C21" w:rsidRPr="00023995">
        <w:fldChar w:fldCharType="separate"/>
      </w:r>
      <w:r w:rsidR="00DD0ECD" w:rsidRPr="00023995">
        <w:rPr>
          <w:vertAlign w:val="superscript"/>
        </w:rPr>
        <w:t>2</w:t>
      </w:r>
      <w:r w:rsidR="00807C21" w:rsidRPr="00023995">
        <w:fldChar w:fldCharType="end"/>
      </w:r>
      <w:r w:rsidR="00BE6A05" w:rsidRPr="00023995">
        <w:t xml:space="preserve">. </w:t>
      </w:r>
      <w:r w:rsidR="00DE1D63">
        <w:t>Given the wide range of applications, different transmission processes, and</w:t>
      </w:r>
      <w:r w:rsidR="00DE1D63" w:rsidRPr="00023995">
        <w:t xml:space="preserve"> </w:t>
      </w:r>
      <w:r w:rsidR="0025034D" w:rsidRPr="00023995">
        <w:t xml:space="preserve">specific </w:t>
      </w:r>
      <w:r w:rsidR="00D20B9C" w:rsidRPr="00023995">
        <w:t xml:space="preserve">modeling </w:t>
      </w:r>
      <w:proofErr w:type="gramStart"/>
      <w:r w:rsidR="0025034D" w:rsidRPr="00023995">
        <w:t>purpose</w:t>
      </w:r>
      <w:proofErr w:type="gramEnd"/>
      <w:r w:rsidR="00BE6A05" w:rsidRPr="00023995">
        <w:t xml:space="preserve"> </w:t>
      </w:r>
      <w:r w:rsidR="00DE1D63">
        <w:t>there may not be a single source of mobility data or metric that can capture the relevant infectious interactions. There is no single source ‘gold standard’ data set that will be universally relevant. U</w:t>
      </w:r>
      <w:r w:rsidR="00C57929" w:rsidRPr="00023995">
        <w:t>nderstanding when</w:t>
      </w:r>
      <w:r w:rsidR="0025261B" w:rsidRPr="00023995">
        <w:t xml:space="preserve">, </w:t>
      </w:r>
      <w:r w:rsidR="00C57929" w:rsidRPr="00023995">
        <w:t>where</w:t>
      </w:r>
      <w:r w:rsidR="0025261B" w:rsidRPr="00023995">
        <w:t xml:space="preserve">, </w:t>
      </w:r>
      <w:r w:rsidR="00C57929" w:rsidRPr="00023995">
        <w:t>and for whom mobility data</w:t>
      </w:r>
      <w:r w:rsidR="0025261B" w:rsidRPr="00023995">
        <w:t xml:space="preserve"> are available</w:t>
      </w:r>
      <w:r w:rsidR="00C57929" w:rsidRPr="00023995">
        <w:t xml:space="preserve"> will be </w:t>
      </w:r>
      <w:r w:rsidR="002C4561" w:rsidRPr="00023995">
        <w:t>context-</w:t>
      </w:r>
      <w:r w:rsidR="00C57929" w:rsidRPr="00023995">
        <w:t>specific and difficult to general</w:t>
      </w:r>
      <w:r w:rsidR="00657B21" w:rsidRPr="00023995">
        <w:t>ize</w:t>
      </w:r>
      <w:r w:rsidR="00E808A9">
        <w:t>,</w:t>
      </w:r>
      <w:r w:rsidR="00DE1D63">
        <w:t xml:space="preserve"> and hence there is no standard guidance.  Ideally, each mobility data set and a range of mobility metrics would be compared against</w:t>
      </w:r>
      <w:r w:rsidR="00387828" w:rsidRPr="00023995">
        <w:t xml:space="preserve"> measures of disease transmission</w:t>
      </w:r>
      <w:r w:rsidR="00DE1D63">
        <w:t xml:space="preserve"> across a wide range of settings and for various pathogens. However, often the disease transmission data are sparse, biased, or unavailable</w:t>
      </w:r>
      <w:r w:rsidR="00AD5345">
        <w:t>,</w:t>
      </w:r>
      <w:r w:rsidR="00DE1D63">
        <w:t xml:space="preserve"> making these analyses not possible. Further, many analyses are ecological where a general, population-level metric of mobility is used. This can further complicate our ability to associate disease and mobility and potentially result in</w:t>
      </w:r>
      <w:r w:rsidR="00313282" w:rsidRPr="00023995">
        <w:t xml:space="preserve"> ecological bias</w:t>
      </w:r>
      <w:r w:rsidR="00313282" w:rsidRPr="00023995">
        <w:fldChar w:fldCharType="begin"/>
      </w:r>
      <w:r w:rsidR="00DD0ECD" w:rsidRPr="00023995">
        <w:instrText xml:space="preserve"> ADDIN ZOTERO_ITEM CSL_CITATION {"citationID":"6w8lkAvf","properties":{"formattedCitation":"\\super 3\\nosupersub{}","plainCitation":"3","noteIndex":0},"citationItems":[{"id":529,"uris":["http://zotero.org/users/8711921/items/H92TADY7"],"itemData":{"id":529,"type":"article-journal","abstract":"Ecologic studies use data aggregated over groups rather than data on individuals. Such studies are popular because they use existing databases and can offer large exposure variation if the data arise from broad geographical areas. Unfortunately, the aggregation of data that define ecologic studies results in an information loss that can lead to ecologic bias. Specifically, ecologic bias arises from the inability of ecologic data to characterize within-area variability in exposures and confounders. We describe in detail particular forms of ecologic bias so that their potential impact on any particular study may be assessed. The only way to overcome such bias, while avoiding uncheckable assumptions concerning the missing information, is to supplement the ecologic with individual-level information, and we outline a number of proposals that may achieve this aim.","container-title":"Annual Review of Public Health","DOI":"10.1146/annurev.publhealth.29.020907.090821","ISSN":"0163-7525","journalAbbreviation":"Annu Rev Public Health","language":"eng","note":"PMID: 17914933","page":"75-90","source":"PubMed","title":"Ecologic studies revisited","volume":"29","author":[{"family":"Wakefield","given":"Jonathan"}],"issued":{"date-parts":[["2008"]]}}}],"schema":"https://github.com/citation-style-language/schema/raw/master/csl-citation.json"} </w:instrText>
      </w:r>
      <w:r w:rsidR="00313282" w:rsidRPr="00023995">
        <w:fldChar w:fldCharType="separate"/>
      </w:r>
      <w:r w:rsidR="00DD0ECD" w:rsidRPr="00023995">
        <w:rPr>
          <w:vertAlign w:val="superscript"/>
        </w:rPr>
        <w:t>3</w:t>
      </w:r>
      <w:r w:rsidR="00313282" w:rsidRPr="00023995">
        <w:fldChar w:fldCharType="end"/>
      </w:r>
      <w:r w:rsidR="00313282" w:rsidRPr="00023995">
        <w:t xml:space="preserve">. </w:t>
      </w:r>
      <w:r w:rsidR="00C57929" w:rsidRPr="00023995">
        <w:t>Whil</w:t>
      </w:r>
      <w:r w:rsidR="009239AF" w:rsidRPr="00023995">
        <w:t>e</w:t>
      </w:r>
      <w:r w:rsidR="00C57929" w:rsidRPr="00023995">
        <w:t xml:space="preserve"> ideal </w:t>
      </w:r>
      <w:proofErr w:type="gramStart"/>
      <w:r w:rsidR="00C57929" w:rsidRPr="00023995">
        <w:t>data</w:t>
      </w:r>
      <w:r w:rsidR="009239AF" w:rsidRPr="00023995">
        <w:t>sets</w:t>
      </w:r>
      <w:proofErr w:type="gramEnd"/>
      <w:r w:rsidR="009239AF" w:rsidRPr="00023995">
        <w:t xml:space="preserve"> used in analyses</w:t>
      </w:r>
      <w:r w:rsidR="00C57929" w:rsidRPr="00023995">
        <w:t xml:space="preserve"> depend on the question</w:t>
      </w:r>
      <w:r w:rsidR="009239AF" w:rsidRPr="00023995">
        <w:t>s being asked</w:t>
      </w:r>
      <w:r w:rsidR="00C57929" w:rsidRPr="00023995">
        <w:t xml:space="preserve"> and </w:t>
      </w:r>
      <w:r w:rsidR="009239AF" w:rsidRPr="00023995">
        <w:t xml:space="preserve">the </w:t>
      </w:r>
      <w:r w:rsidR="00C57929" w:rsidRPr="00023995">
        <w:t>population</w:t>
      </w:r>
      <w:r w:rsidR="009239AF" w:rsidRPr="00023995">
        <w:t>s</w:t>
      </w:r>
      <w:r w:rsidR="00C57929" w:rsidRPr="00023995">
        <w:t xml:space="preserve"> of interest, a better understanding of how to map mobility data to </w:t>
      </w:r>
      <w:r w:rsidR="00DE1D63">
        <w:t xml:space="preserve">a wide range of </w:t>
      </w:r>
      <w:r w:rsidR="00C57929" w:rsidRPr="00023995">
        <w:t>transmission-relevant behaviors</w:t>
      </w:r>
      <w:r w:rsidR="00DE1D63">
        <w:t xml:space="preserve"> in more diverse populations and geographies</w:t>
      </w:r>
      <w:r w:rsidR="00C57929" w:rsidRPr="00023995">
        <w:t xml:space="preserve"> is needed.</w:t>
      </w:r>
    </w:p>
    <w:p w14:paraId="45012755" w14:textId="77777777" w:rsidR="00184215" w:rsidRPr="00023995" w:rsidRDefault="00184215" w:rsidP="008D4B9E"/>
    <w:p w14:paraId="19946C93" w14:textId="60413EF0" w:rsidR="00E408B0" w:rsidRPr="00023995" w:rsidRDefault="00184215" w:rsidP="008D4B9E">
      <w:r w:rsidRPr="00023995">
        <w:rPr>
          <w:b/>
          <w:bCs/>
        </w:rPr>
        <w:t>Challenge 2</w:t>
      </w:r>
      <w:r w:rsidR="005A77CD" w:rsidRPr="00023995">
        <w:rPr>
          <w:b/>
          <w:bCs/>
        </w:rPr>
        <w:t>:</w:t>
      </w:r>
      <w:r w:rsidRPr="00023995">
        <w:rPr>
          <w:b/>
          <w:bCs/>
        </w:rPr>
        <w:t xml:space="preserve"> </w:t>
      </w:r>
      <w:r w:rsidR="00897B39" w:rsidRPr="00023995">
        <w:rPr>
          <w:b/>
          <w:bCs/>
        </w:rPr>
        <w:t>Harmonization</w:t>
      </w:r>
      <w:r w:rsidR="00554AA6" w:rsidRPr="00023995">
        <w:rPr>
          <w:b/>
          <w:bCs/>
        </w:rPr>
        <w:t xml:space="preserve">, </w:t>
      </w:r>
      <w:r w:rsidR="00897B39" w:rsidRPr="00023995">
        <w:rPr>
          <w:b/>
          <w:bCs/>
        </w:rPr>
        <w:t>integration</w:t>
      </w:r>
      <w:r w:rsidR="00554AA6" w:rsidRPr="00023995">
        <w:rPr>
          <w:b/>
          <w:bCs/>
        </w:rPr>
        <w:t>, and availability</w:t>
      </w:r>
      <w:r w:rsidR="00897B39" w:rsidRPr="00023995">
        <w:rPr>
          <w:b/>
          <w:bCs/>
        </w:rPr>
        <w:t xml:space="preserve"> of multiple data sources</w:t>
      </w:r>
      <w:r w:rsidR="006976DE" w:rsidRPr="00023995">
        <w:rPr>
          <w:b/>
          <w:bCs/>
        </w:rPr>
        <w:t>.</w:t>
      </w:r>
      <w:r w:rsidR="00906A15" w:rsidRPr="00023995">
        <w:t xml:space="preserve"> </w:t>
      </w:r>
      <w:proofErr w:type="gramStart"/>
      <w:r w:rsidR="004800C3" w:rsidRPr="00023995">
        <w:t>Often, ‘</w:t>
      </w:r>
      <w:proofErr w:type="gramEnd"/>
      <w:r w:rsidR="004800C3" w:rsidRPr="00023995">
        <w:t xml:space="preserve">mobility’ is considered a catch-all term and </w:t>
      </w:r>
      <w:r w:rsidR="009239AF" w:rsidRPr="00023995">
        <w:t xml:space="preserve">is </w:t>
      </w:r>
      <w:r w:rsidR="004800C3" w:rsidRPr="00023995">
        <w:t>used as a proxy measure for the connectivity between locations</w:t>
      </w:r>
      <w:r w:rsidR="009239AF" w:rsidRPr="00023995">
        <w:t>,</w:t>
      </w:r>
      <w:r w:rsidR="004800C3" w:rsidRPr="00023995">
        <w:t xml:space="preserve"> or </w:t>
      </w:r>
      <w:r w:rsidR="009239AF" w:rsidRPr="00023995">
        <w:t xml:space="preserve">to encompass </w:t>
      </w:r>
      <w:r w:rsidR="004800C3" w:rsidRPr="00023995">
        <w:t>behaviors that may expose a susceptible individual to an infectio</w:t>
      </w:r>
      <w:r w:rsidR="00B36C13" w:rsidRPr="00023995">
        <w:t>us individual</w:t>
      </w:r>
      <w:r w:rsidR="004800C3" w:rsidRPr="00023995">
        <w:t xml:space="preserve">. However, </w:t>
      </w:r>
      <w:r w:rsidR="00DB5CF3" w:rsidRPr="00023995">
        <w:t xml:space="preserve">different mobility </w:t>
      </w:r>
      <w:r w:rsidR="002C4561" w:rsidRPr="00023995">
        <w:t xml:space="preserve">datasets </w:t>
      </w:r>
      <w:r w:rsidR="00246DB7" w:rsidRPr="00023995">
        <w:t xml:space="preserve">report </w:t>
      </w:r>
      <w:r w:rsidR="00F303B8" w:rsidRPr="00023995">
        <w:t xml:space="preserve">a </w:t>
      </w:r>
      <w:r w:rsidR="004800C3" w:rsidRPr="00023995">
        <w:t>wide range of mobility</w:t>
      </w:r>
      <w:r w:rsidR="00613E58" w:rsidRPr="00023995">
        <w:t>-</w:t>
      </w:r>
      <w:r w:rsidR="004800C3" w:rsidRPr="00023995">
        <w:t>related behaviors</w:t>
      </w:r>
      <w:r w:rsidR="002C4561" w:rsidRPr="00023995">
        <w:t xml:space="preserve">, including </w:t>
      </w:r>
      <w:r w:rsidR="000C19D3" w:rsidRPr="00023995">
        <w:t xml:space="preserve">the </w:t>
      </w:r>
      <w:r w:rsidR="002C4561" w:rsidRPr="00023995">
        <w:t xml:space="preserve">number of trips between pairs of locations, </w:t>
      </w:r>
      <w:r w:rsidR="004800C3" w:rsidRPr="00023995">
        <w:t xml:space="preserve">clustering of </w:t>
      </w:r>
      <w:r w:rsidR="004B6948" w:rsidRPr="00023995">
        <w:t>individuals</w:t>
      </w:r>
      <w:r w:rsidR="00100264" w:rsidRPr="00023995">
        <w:t xml:space="preserve"> in a specific location</w:t>
      </w:r>
      <w:r w:rsidR="00FE2B5D" w:rsidRPr="00023995">
        <w:t>,</w:t>
      </w:r>
      <w:r w:rsidR="0055114A" w:rsidRPr="00023995">
        <w:t xml:space="preserve"> </w:t>
      </w:r>
      <w:r w:rsidR="00851F1D" w:rsidRPr="00023995">
        <w:t xml:space="preserve">percentage of devices staying home, </w:t>
      </w:r>
      <w:r w:rsidR="004B6948" w:rsidRPr="00023995">
        <w:t>and</w:t>
      </w:r>
      <w:r w:rsidR="004800C3" w:rsidRPr="00023995">
        <w:t xml:space="preserve"> contact rates</w:t>
      </w:r>
      <w:r w:rsidR="00246DB7" w:rsidRPr="00023995">
        <w:t>, among others</w:t>
      </w:r>
      <w:r w:rsidR="004800C3" w:rsidRPr="00023995">
        <w:t xml:space="preserve">. </w:t>
      </w:r>
      <w:r w:rsidR="00821A9D" w:rsidRPr="00023995">
        <w:t xml:space="preserve">The way data are collected (e.g., self-response on a questionnaire, tracking GPS location on a mobile phone) also varies across data sets. </w:t>
      </w:r>
      <w:r w:rsidR="00DB5CF3" w:rsidRPr="00023995">
        <w:t>O</w:t>
      </w:r>
      <w:r w:rsidR="00246DB7" w:rsidRPr="00023995">
        <w:t>ften</w:t>
      </w:r>
      <w:r w:rsidR="00DB5CF3" w:rsidRPr="00023995">
        <w:t xml:space="preserve">, the </w:t>
      </w:r>
      <w:r w:rsidR="00821A9D" w:rsidRPr="00023995">
        <w:t>temporal and spatial aggregation processes</w:t>
      </w:r>
      <w:r w:rsidR="00DB5CF3" w:rsidRPr="00023995">
        <w:t xml:space="preserve"> used for different datasets vary in their approach, and many datasets</w:t>
      </w:r>
      <w:r w:rsidR="00246DB7" w:rsidRPr="00023995">
        <w:t xml:space="preserve"> a</w:t>
      </w:r>
      <w:r w:rsidR="00DB5CF3" w:rsidRPr="00023995">
        <w:t>re</w:t>
      </w:r>
      <w:r w:rsidR="00246DB7" w:rsidRPr="00023995">
        <w:t xml:space="preserve"> </w:t>
      </w:r>
      <w:r w:rsidR="0092711D" w:rsidRPr="00023995">
        <w:t>censo</w:t>
      </w:r>
      <w:r w:rsidR="00DB5CF3" w:rsidRPr="00023995">
        <w:t xml:space="preserve">red based on a minimum population number </w:t>
      </w:r>
      <w:r w:rsidR="00D0496F" w:rsidRPr="00023995">
        <w:t>for a particular</w:t>
      </w:r>
      <w:r w:rsidR="00DB5CF3" w:rsidRPr="00023995">
        <w:t xml:space="preserve"> spatial resolution</w:t>
      </w:r>
      <w:r w:rsidR="0018413A" w:rsidRPr="00023995">
        <w:t xml:space="preserve"> to minimize privacy concerns.</w:t>
      </w:r>
      <w:r w:rsidR="004B6974">
        <w:t xml:space="preserve"> </w:t>
      </w:r>
      <w:r w:rsidR="00246DB7" w:rsidRPr="00023995">
        <w:t xml:space="preserve">These differences make it challenging to </w:t>
      </w:r>
      <w:r w:rsidR="005F3B85" w:rsidRPr="00023995">
        <w:t>harmonize</w:t>
      </w:r>
      <w:r w:rsidR="00897B39" w:rsidRPr="00023995">
        <w:t xml:space="preserve"> </w:t>
      </w:r>
      <w:r w:rsidR="005F3B85" w:rsidRPr="00023995">
        <w:t>and compare across data types</w:t>
      </w:r>
      <w:r w:rsidR="00544ABD" w:rsidRPr="00023995">
        <w:t xml:space="preserve">, while the choice of appropriate data source </w:t>
      </w:r>
      <w:r w:rsidR="00E0597C" w:rsidRPr="00023995">
        <w:t xml:space="preserve">should be determined by research </w:t>
      </w:r>
      <w:proofErr w:type="gramStart"/>
      <w:r w:rsidR="00E0597C" w:rsidRPr="00023995">
        <w:t>objective</w:t>
      </w:r>
      <w:proofErr w:type="gramEnd"/>
      <w:r w:rsidR="00246DB7" w:rsidRPr="00023995">
        <w:t>.</w:t>
      </w:r>
      <w:r w:rsidR="003B6E52" w:rsidRPr="00023995">
        <w:t xml:space="preserve"> For </w:t>
      </w:r>
      <w:r w:rsidR="00023995" w:rsidRPr="00023995">
        <w:t>many</w:t>
      </w:r>
      <w:r w:rsidR="003B6E52" w:rsidRPr="00023995">
        <w:t xml:space="preserve"> purposes, </w:t>
      </w:r>
      <w:r w:rsidR="00023995" w:rsidRPr="00023995">
        <w:t xml:space="preserve">however, </w:t>
      </w:r>
      <w:r w:rsidR="003B6E52" w:rsidRPr="00023995">
        <w:t xml:space="preserve">no single dataset </w:t>
      </w:r>
      <w:r w:rsidR="00023995" w:rsidRPr="00023995">
        <w:t>may be able to</w:t>
      </w:r>
      <w:r w:rsidR="003B6E52" w:rsidRPr="00023995">
        <w:t xml:space="preserve"> provide appropriate level of coverage or granularity of population mobility data</w:t>
      </w:r>
      <w:r w:rsidR="00E449AF">
        <w:t xml:space="preserve">. </w:t>
      </w:r>
      <w:r w:rsidR="00644CFA">
        <w:t>However, with</w:t>
      </w:r>
      <w:r w:rsidR="00644CFA" w:rsidRPr="00023995">
        <w:t xml:space="preserve"> </w:t>
      </w:r>
      <w:r w:rsidR="00246DB7" w:rsidRPr="00023995">
        <w:t>growing</w:t>
      </w:r>
      <w:r w:rsidR="00DB5CF3" w:rsidRPr="00023995">
        <w:t xml:space="preserve"> </w:t>
      </w:r>
      <w:r w:rsidR="00100264" w:rsidRPr="00023995">
        <w:t>data availability</w:t>
      </w:r>
      <w:r w:rsidR="001A1FCD" w:rsidRPr="00023995">
        <w:t xml:space="preserve"> in the public domain</w:t>
      </w:r>
      <w:r w:rsidR="00246DB7" w:rsidRPr="00023995">
        <w:t>,</w:t>
      </w:r>
      <w:r w:rsidR="00A82F8D" w:rsidRPr="00023995">
        <w:t xml:space="preserve"> </w:t>
      </w:r>
      <w:r w:rsidR="005F3B85" w:rsidRPr="00023995">
        <w:t xml:space="preserve">it may be possible to </w:t>
      </w:r>
      <w:r w:rsidR="00A82F8D" w:rsidRPr="00023995">
        <w:t>combine</w:t>
      </w:r>
      <w:r w:rsidR="00DB5CF3" w:rsidRPr="00023995">
        <w:t xml:space="preserve"> different</w:t>
      </w:r>
      <w:r w:rsidR="00A82F8D" w:rsidRPr="00023995">
        <w:t xml:space="preserve"> </w:t>
      </w:r>
      <w:r w:rsidR="005F3B85" w:rsidRPr="00023995">
        <w:t>data</w:t>
      </w:r>
      <w:r w:rsidR="00DB5CF3" w:rsidRPr="00023995">
        <w:t>sets</w:t>
      </w:r>
      <w:r w:rsidR="00A82F8D" w:rsidRPr="00023995">
        <w:t xml:space="preserve"> to create single estimates of mobility</w:t>
      </w:r>
      <w:r w:rsidR="00100264" w:rsidRPr="00023995">
        <w:t xml:space="preserve"> or for example translate estimates from contact data to flows</w:t>
      </w:r>
      <w:r w:rsidR="00A82F8D" w:rsidRPr="00023995">
        <w:t xml:space="preserve">. </w:t>
      </w:r>
      <w:r w:rsidR="000E3483">
        <w:t>Nevertheless</w:t>
      </w:r>
      <w:r w:rsidR="008134DF" w:rsidRPr="00023995">
        <w:t>, t</w:t>
      </w:r>
      <w:r w:rsidR="00387828" w:rsidRPr="00023995">
        <w:t>o date</w:t>
      </w:r>
      <w:r w:rsidR="00A82F8D" w:rsidRPr="00023995">
        <w:t>, there has been limited research and evaluation of wh</w:t>
      </w:r>
      <w:r w:rsidR="00DB5CF3" w:rsidRPr="00023995">
        <w:t xml:space="preserve">ich </w:t>
      </w:r>
      <w:r w:rsidR="00A82F8D" w:rsidRPr="00023995">
        <w:t xml:space="preserve">statistical </w:t>
      </w:r>
      <w:r w:rsidR="00100264" w:rsidRPr="00023995">
        <w:t xml:space="preserve">and mathematical </w:t>
      </w:r>
      <w:r w:rsidR="00A82F8D" w:rsidRPr="00023995">
        <w:t>approaches</w:t>
      </w:r>
      <w:r w:rsidR="004A6840" w:rsidRPr="00023995">
        <w:t>, including simulation,</w:t>
      </w:r>
      <w:r w:rsidR="00A82F8D" w:rsidRPr="00023995">
        <w:t xml:space="preserve"> should be used to integrate </w:t>
      </w:r>
      <w:r w:rsidR="004A6840" w:rsidRPr="00023995">
        <w:t xml:space="preserve">and evaluate </w:t>
      </w:r>
      <w:r w:rsidR="00A82F8D" w:rsidRPr="00023995">
        <w:t>disparate data sets.</w:t>
      </w:r>
    </w:p>
    <w:p w14:paraId="2868EAC9" w14:textId="77777777" w:rsidR="008D4B9E" w:rsidRPr="00023995" w:rsidRDefault="008D4B9E" w:rsidP="00C664DF">
      <w:pPr>
        <w:rPr>
          <w:b/>
          <w:bCs/>
        </w:rPr>
      </w:pPr>
    </w:p>
    <w:p w14:paraId="262FD643" w14:textId="69D113D8" w:rsidR="00E23C51" w:rsidRPr="00023995" w:rsidRDefault="00184215" w:rsidP="00E23C51">
      <w:r w:rsidRPr="00023995">
        <w:rPr>
          <w:b/>
          <w:bCs/>
        </w:rPr>
        <w:t>Challenge 3</w:t>
      </w:r>
      <w:r w:rsidR="004E62B1" w:rsidRPr="00023995">
        <w:rPr>
          <w:b/>
          <w:bCs/>
        </w:rPr>
        <w:t>:</w:t>
      </w:r>
      <w:r w:rsidRPr="00023995">
        <w:rPr>
          <w:b/>
          <w:bCs/>
        </w:rPr>
        <w:t xml:space="preserve"> </w:t>
      </w:r>
      <w:r w:rsidR="00897B39" w:rsidRPr="00023995">
        <w:rPr>
          <w:b/>
          <w:bCs/>
        </w:rPr>
        <w:t>Accounting for sampling and measurement bias.</w:t>
      </w:r>
      <w:r w:rsidR="00274E0C" w:rsidRPr="00023995">
        <w:t xml:space="preserve"> </w:t>
      </w:r>
      <w:r w:rsidR="00D50CF9">
        <w:t xml:space="preserve">There </w:t>
      </w:r>
      <w:r w:rsidR="00427ADB" w:rsidRPr="00023995">
        <w:t xml:space="preserve">remain gaps in our understanding of mobility </w:t>
      </w:r>
      <w:r w:rsidR="00274E0C" w:rsidRPr="00023995">
        <w:t>across</w:t>
      </w:r>
      <w:r w:rsidR="00427ADB" w:rsidRPr="00023995">
        <w:t xml:space="preserve"> locations and populations. </w:t>
      </w:r>
      <w:r w:rsidR="003E19CF">
        <w:t xml:space="preserve">The data collection and aggregation processes may result in datasets that are not representative of the population of interest, as underscored by many recent studies that quantify the representativeness of different data sources and the impact of spatiotemporal sampling accuracy on type of mobility captured. </w:t>
      </w:r>
      <w:r w:rsidR="00427ADB" w:rsidRPr="00023995">
        <w:t>For example, few data sets include</w:t>
      </w:r>
      <w:r w:rsidR="00DB5CF3" w:rsidRPr="00023995">
        <w:t xml:space="preserve"> information on the</w:t>
      </w:r>
      <w:r w:rsidR="00427ADB" w:rsidRPr="00023995">
        <w:t xml:space="preserve"> movement of </w:t>
      </w:r>
      <w:r w:rsidR="004A62CC" w:rsidRPr="00023995">
        <w:t>children</w:t>
      </w:r>
      <w:r w:rsidR="002B2C80" w:rsidRPr="00023995">
        <w:t xml:space="preserve"> or the very elderly</w:t>
      </w:r>
      <w:r w:rsidR="004A62CC" w:rsidRPr="00023995">
        <w:t xml:space="preserve"> or describe patterns in many low- and middle-income settings</w:t>
      </w:r>
      <w:r w:rsidR="00246DB7" w:rsidRPr="00023995">
        <w:fldChar w:fldCharType="begin"/>
      </w:r>
      <w:r w:rsidR="00DD0ECD" w:rsidRPr="00023995">
        <w:instrText xml:space="preserve"> ADDIN ZOTERO_ITEM CSL_CITATION {"citationID":"AXkoqOqf","properties":{"formattedCitation":"\\super 4\\nosupersub{}","plainCitation":"4","noteIndex":0},"citationItems":[{"id":493,"uris":["http://zotero.org/users/8711921/items/2JAH4PQX"],"itemData":{"id":493,"type":"article-journal","abstract":"Reliable estimates of human mobility are important for understanding the spatial spread of infectious diseases and the effective targeting of control measures. However, when modelling infectious disease dynamics, data on human mobility at an appropriate temporal or spatial resolution are not always available, leading to the common use of model-derived mobility proxies. In this study we reviewed the different data sources and mobility models that have been used to characterise human movement in Africa. We then conducted a simulation study to better understand the implications of using human mobility proxies when predicting the spatial spread and dynamics of infectious diseases. We found major gaps in the availability of empirical measures of human mobility in Africa, leading to mobility proxies being used in place of data. Empirical data on subnational mobility were only available for 17/54 countries, and in most instances, these data characterised long-term movement patterns, which were unsuitable for modelling the spread of pathogens with short generation times (time between infection of a case and their infector). Results from our simulation study demonstrated that using mobility proxies can have a substantial impact on the predicted epidemic dynamics, with complex and non-intuitive biases. In particular, the predicted times and order of epidemic invasion, and the time of epidemic peak in different locations can be underestimated or overestimated, depending on the types of proxies used and the country of interest. Our work underscores the need for regularly updated empirical measures of population movement within and between countries to aid the prevention and control of infectious disease outbreaks. At the same time, there is a need to establish an evidence base to help understand which types of mobility data are most appropriate for describing the spread of emerging infectious diseases in different settings.","container-title":"Epidemics","DOI":"10.1016/j.epidem.2023.100666","ISSN":"1755-4365","journalAbbreviation":"Epidemics","page":"100666","source":"ScienceDirect","title":"Gaps in mobility data and implications for modelling epidemic spread: A scoping review and simulation study","title-short":"Gaps in mobility data and implications for modelling epidemic spread","volume":"42","author":[{"family":"Wardle","given":"Jack"},{"family":"Bhatia","given":"Sangeeta"},{"family":"Kraemer","given":"Moritz U. G."},{"family":"Nouvellet","given":"Pierre"},{"family":"Cori","given":"Anne"}],"issued":{"date-parts":[["2023",3,1]]}}}],"schema":"https://github.com/citation-style-language/schema/raw/master/csl-citation.json"} </w:instrText>
      </w:r>
      <w:r w:rsidR="00246DB7" w:rsidRPr="00023995">
        <w:fldChar w:fldCharType="separate"/>
      </w:r>
      <w:r w:rsidR="00DD0ECD" w:rsidRPr="00023995">
        <w:rPr>
          <w:vertAlign w:val="superscript"/>
        </w:rPr>
        <w:t>4</w:t>
      </w:r>
      <w:r w:rsidR="00246DB7" w:rsidRPr="00023995">
        <w:fldChar w:fldCharType="end"/>
      </w:r>
      <w:r w:rsidR="004A62CC" w:rsidRPr="00023995">
        <w:t xml:space="preserve">. </w:t>
      </w:r>
      <w:r w:rsidR="008C757D" w:rsidRPr="00023995">
        <w:t>Data collected by mobile phone providers require mobile phone ownership and use, while network penetration rates vary by geographical location. Some mobility data obtained via social media applications rely on a combination of internet use, smartphone access, and opting in to share location information. These may result in sampling bias</w:t>
      </w:r>
      <w:r w:rsidR="004B6974">
        <w:t xml:space="preserve"> and issues of representativeness</w:t>
      </w:r>
      <w:r w:rsidR="008C757D" w:rsidRPr="00023995">
        <w:t xml:space="preserve">, when access to and use of technologies used to create the data sets is associated with mobility patterns. </w:t>
      </w:r>
      <w:r w:rsidR="006E4F09">
        <w:t xml:space="preserve">Often there is limited accompanying metadata </w:t>
      </w:r>
      <w:r w:rsidR="004A62CC" w:rsidRPr="00023995">
        <w:t xml:space="preserve">to describe differences in mobility across groups or individuals, </w:t>
      </w:r>
      <w:r w:rsidR="000240CE" w:rsidRPr="00023995">
        <w:t>such as by age</w:t>
      </w:r>
      <w:r w:rsidR="00720023" w:rsidRPr="00023995">
        <w:t xml:space="preserve"> or socio-economic status</w:t>
      </w:r>
      <w:r w:rsidR="00720023" w:rsidRPr="00023995">
        <w:fldChar w:fldCharType="begin"/>
      </w:r>
      <w:r w:rsidR="00DD0ECD" w:rsidRPr="00023995">
        <w:instrText xml:space="preserve"> ADDIN ZOTERO_ITEM CSL_CITATION {"citationID":"FOqZcRcf","properties":{"formattedCitation":"\\super 5\\nosupersub{}","plainCitation":"5","noteIndex":0},"citationItems":[{"id":523,"uris":["http://zotero.org/users/8711921/items/2CLE7S95"],"itemData":{"id":523,"type":"article-journal","abstract":"Human mobility has been traditionally studied using surveys that deliver snapshots of population displacement patterns. The growing accessibility to ICT information from portable digital media has recently opened the possibility of exploring human behavior at high spatio-temporal resolutions. Mobile phone records, geolocated tweets, check-ins from Foursquare or geotagged photos, have contributed to this purpose at different scales, from cities to countries, in different world areas. Many previous works lacked, however, details on the individuals’ attributes such as age or gender. In this work, we analyze credit-card records from Barcelona and Madrid and by examining the geolocated credit-card transactions of individuals living in the two provinces, we find that the mobility patterns vary according to gender, age and occupation. Differences in distance traveled and travel purpose are observed between younger and older people, but, curiously, either between males and females of similar age. While mobility displays some generic features, here we show that sociodemographic characteristics play a relevant role and must be taken into account for mobility and epidemiological modelization.","container-title":"Scientific Reports","DOI":"10.1038/srep10075","ISSN":"2045-2322","issue":"1","journalAbbreviation":"Sci Rep","language":"en","license":"2015 The Author(s)","note":"number: 1\npublisher: Nature Publishing Group","page":"10075","source":"www.nature.com","title":"Influence of sociodemographic characteristics on human mobility","volume":"5","author":[{"family":"Lenormand","given":"Maxime"},{"family":"Louail","given":"Thomas"},{"family":"Cantú-Ros","given":"Oliva G."},{"family":"Picornell","given":"Miguel"},{"family":"Herranz","given":"Ricardo"},{"family":"Arias","given":"Juan Murillo"},{"family":"Barthelemy","given":"Marc"},{"family":"Miguel","given":"Maxi San"},{"family":"Ramasco","given":"José J."}],"issued":{"date-parts":[["2015",5,20]]}}}],"schema":"https://github.com/citation-style-language/schema/raw/master/csl-citation.json"} </w:instrText>
      </w:r>
      <w:r w:rsidR="00720023" w:rsidRPr="00023995">
        <w:fldChar w:fldCharType="separate"/>
      </w:r>
      <w:r w:rsidR="00DD0ECD" w:rsidRPr="00023995">
        <w:rPr>
          <w:vertAlign w:val="superscript"/>
        </w:rPr>
        <w:t>5</w:t>
      </w:r>
      <w:r w:rsidR="00720023" w:rsidRPr="00023995">
        <w:fldChar w:fldCharType="end"/>
      </w:r>
      <w:r w:rsidR="006E4F09">
        <w:t>, which prevents correcting these biases</w:t>
      </w:r>
      <w:r w:rsidR="004A62CC" w:rsidRPr="00023995">
        <w:t>.</w:t>
      </w:r>
      <w:r w:rsidR="00A71E57">
        <w:t xml:space="preserve"> </w:t>
      </w:r>
      <w:r w:rsidR="004B6974">
        <w:t xml:space="preserve">However, these concerns need to be balanced with data protection measures to preserve the privacy of individuals. </w:t>
      </w:r>
      <w:r w:rsidR="00313282" w:rsidRPr="00023995">
        <w:t>F</w:t>
      </w:r>
      <w:r w:rsidR="00AA6D9C" w:rsidRPr="00023995">
        <w:t>inally, data may only capture one aspect of travel, such as trip counts, and ignore other aspects, such as</w:t>
      </w:r>
      <w:r w:rsidR="00752835" w:rsidRPr="00023995">
        <w:t xml:space="preserve"> trip</w:t>
      </w:r>
      <w:r w:rsidR="00AA6D9C" w:rsidRPr="00023995">
        <w:t xml:space="preserve"> frequency or duration. </w:t>
      </w:r>
    </w:p>
    <w:p w14:paraId="1735DF0C" w14:textId="60D614AA" w:rsidR="00427ADB" w:rsidRPr="00023995" w:rsidRDefault="00427ADB" w:rsidP="00C664DF"/>
    <w:p w14:paraId="65406EBB" w14:textId="06694167" w:rsidR="002F2C33" w:rsidRPr="006B0BC6" w:rsidRDefault="002F2C33" w:rsidP="00C664DF">
      <w:pPr>
        <w:rPr>
          <w:b/>
          <w:bCs/>
          <w:u w:val="single"/>
        </w:rPr>
      </w:pPr>
      <w:r w:rsidRPr="00023995">
        <w:rPr>
          <w:b/>
          <w:bCs/>
          <w:u w:val="single"/>
        </w:rPr>
        <w:lastRenderedPageBreak/>
        <w:t>Opportunities</w:t>
      </w:r>
      <w:r w:rsidR="00023995" w:rsidRPr="00023995">
        <w:rPr>
          <w:b/>
          <w:bCs/>
          <w:u w:val="single"/>
        </w:rPr>
        <w:t xml:space="preserve"> for future </w:t>
      </w:r>
      <w:r w:rsidR="003803EF">
        <w:rPr>
          <w:b/>
          <w:bCs/>
          <w:u w:val="single"/>
        </w:rPr>
        <w:t>uses</w:t>
      </w:r>
    </w:p>
    <w:p w14:paraId="49DF8614" w14:textId="5C880B6A" w:rsidR="00732B23" w:rsidRPr="00023995" w:rsidRDefault="00614F5F" w:rsidP="00026FCE">
      <w:r w:rsidRPr="00023995">
        <w:t xml:space="preserve">Despite these challenges, </w:t>
      </w:r>
      <w:r w:rsidR="00752835" w:rsidRPr="00023995">
        <w:t xml:space="preserve">researchers have multiple opportunities to leverage existing resources to provide a step change </w:t>
      </w:r>
      <w:r w:rsidR="00732B23">
        <w:t xml:space="preserve">connecting mobility and transmission. </w:t>
      </w:r>
    </w:p>
    <w:p w14:paraId="4A184EF7" w14:textId="77777777" w:rsidR="00FF4035" w:rsidRPr="00023995" w:rsidRDefault="00FF4035" w:rsidP="00026FCE"/>
    <w:p w14:paraId="3D4CCCA7" w14:textId="362F8FC0" w:rsidR="00054BC5" w:rsidRPr="00023995" w:rsidRDefault="006D6DFF">
      <w:r w:rsidRPr="00023995">
        <w:rPr>
          <w:b/>
          <w:bCs/>
        </w:rPr>
        <w:t>Opportunity 1</w:t>
      </w:r>
      <w:r w:rsidR="004E62B1" w:rsidRPr="00023995">
        <w:rPr>
          <w:b/>
          <w:bCs/>
        </w:rPr>
        <w:t>:</w:t>
      </w:r>
      <w:r w:rsidRPr="00023995">
        <w:rPr>
          <w:b/>
          <w:bCs/>
        </w:rPr>
        <w:t xml:space="preserve"> </w:t>
      </w:r>
      <w:r w:rsidR="00254C19" w:rsidRPr="00023995">
        <w:rPr>
          <w:b/>
          <w:bCs/>
        </w:rPr>
        <w:t>Use s</w:t>
      </w:r>
      <w:r w:rsidR="00C65C89" w:rsidRPr="00023995">
        <w:rPr>
          <w:b/>
          <w:bCs/>
        </w:rPr>
        <w:t>imulation and modeling</w:t>
      </w:r>
      <w:r w:rsidR="00254C19" w:rsidRPr="00023995">
        <w:rPr>
          <w:b/>
          <w:bCs/>
        </w:rPr>
        <w:t xml:space="preserve"> to better understand data needs and uses across pathogens</w:t>
      </w:r>
      <w:r w:rsidR="00B2092A" w:rsidRPr="00023995">
        <w:rPr>
          <w:b/>
          <w:bCs/>
        </w:rPr>
        <w:t>.</w:t>
      </w:r>
      <w:r w:rsidR="00C65C89" w:rsidRPr="00023995">
        <w:rPr>
          <w:b/>
          <w:bCs/>
        </w:rPr>
        <w:t xml:space="preserve"> </w:t>
      </w:r>
      <w:r w:rsidR="00DC0846" w:rsidRPr="00023995">
        <w:t xml:space="preserve">Simulation and modeling can </w:t>
      </w:r>
      <w:r w:rsidRPr="00023995">
        <w:t>help</w:t>
      </w:r>
      <w:r w:rsidR="00DC0846" w:rsidRPr="00023995">
        <w:t xml:space="preserve"> us</w:t>
      </w:r>
      <w:r w:rsidRPr="00023995">
        <w:t xml:space="preserve"> </w:t>
      </w:r>
      <w:r w:rsidR="00DB5CF3" w:rsidRPr="00023995">
        <w:t xml:space="preserve">to better </w:t>
      </w:r>
      <w:r w:rsidRPr="00023995">
        <w:t xml:space="preserve">understand how various mobility data sets may result in different </w:t>
      </w:r>
      <w:proofErr w:type="spellStart"/>
      <w:r w:rsidRPr="00023995">
        <w:t>spatio</w:t>
      </w:r>
      <w:proofErr w:type="spellEnd"/>
      <w:r w:rsidRPr="00023995">
        <w:t xml:space="preserve">-temporal </w:t>
      </w:r>
      <w:r w:rsidR="00527893" w:rsidRPr="00023995">
        <w:t xml:space="preserve">disease dynamics. </w:t>
      </w:r>
      <w:r w:rsidR="00897B39" w:rsidRPr="00023995">
        <w:t xml:space="preserve">Assessing multiple competing models of </w:t>
      </w:r>
      <w:r w:rsidR="00527893" w:rsidRPr="00023995">
        <w:t>mobility</w:t>
      </w:r>
      <w:r w:rsidR="00897B39" w:rsidRPr="00023995">
        <w:t xml:space="preserve"> in infectious disease models</w:t>
      </w:r>
      <w:r w:rsidR="00527893" w:rsidRPr="00023995">
        <w:t xml:space="preserve"> can help evaluate the utility of data over a null model or assumption,</w:t>
      </w:r>
      <w:r w:rsidRPr="00023995">
        <w:t xml:space="preserve"> i.e.</w:t>
      </w:r>
      <w:r w:rsidR="00246DB7" w:rsidRPr="00023995">
        <w:t>,</w:t>
      </w:r>
      <w:r w:rsidRPr="00023995">
        <w:t xml:space="preserve"> including no connectivity between populations or a basic spatial interaction model</w:t>
      </w:r>
      <w:r w:rsidR="00AB612D">
        <w:t xml:space="preserve"> [preprint</w:t>
      </w:r>
      <w:r w:rsidR="008C0704" w:rsidRPr="00023995">
        <w:fldChar w:fldCharType="begin"/>
      </w:r>
      <w:r w:rsidR="00DD0ECD" w:rsidRPr="00023995">
        <w:instrText xml:space="preserve"> ADDIN ZOTERO_ITEM CSL_CITATION {"citationID":"fUEQvhQ4","properties":{"formattedCitation":"\\super 6\\nosupersub{}","plainCitation":"6","noteIndex":0},"citationItems":[{"id":6,"uris":["http://zotero.org/users/8711921/items/9YE4AW2Z"],"itemData":{"id":6,"type":"article","abstract":"Background Human mobility is expected to be a critical factor in the geographic diffusion of infectious diseases, and this assumption led to the implementation of social distancing policies during the early fight against the COVID-19 emergency in the United States. Yet, because of substantial data gaps in the past, what still eludes our understanding are the following questions: 1) How does mobility contribute to the spread of infection within the United States at local, regional, and national scales? 2) How do seasonality and shifts in behavior affect mobility over time? 3) At what geographic level is mobility homogeneous across the United States? Addressing these questions is critical to developing accurate transmission models, predicting the spatial propagation of disease across scales, and understanding the optimal geographical and temporal scale for the implementation of control policies.\nMethods We address this problem using high-resolution human mobility data measured via mobile app usage. We compute the daily coupling network between US counties, and we integrate our mobility data into a spatially explicit transmission model to reproduce the national invasion of the first wave of SARS-CoV-2 in the US.\nFindings Temporally, we observe that intercounty connectivity is largely seasonal and was unperturbed by mobility restrictions during the early phase of the COVID-19 pandemic. Spatially, we identify 104 geographic clusters of US counties that are highly connected by mobility within the cluster and more sparsely connected to counties outside the cluster. These clusters are stable across time and highly overlap with US state boundaries. Together, these results suggest that intercounty connectivity in the US is relatively static across time and is homogeneous at the sub-state level. We also find that while having access to county-level, daily mobility data best captures the spatial invasion of disease, static mobility data aggregated to the scale of our mobility data-based clusters also performs well in capturing spatial diffusion of infection.\nInterpretation Our work demonstrates that intercounty mobility was negligibly affected outside the lockdown period of Spring 2020, explaining the broad spatial distribution of COVID-19 outbreaks in the US during the early phase of the pandemic. Such geographically dispersed outbreaks place a significant strain on national public health resources and necessitate complex metapopulation modeling approaches for predicting disease dynamics and control design. We thus inform the design of such metapopulation models to balance high disease predictability with low data requirements.\nBackground Human mobility is expected to be a critical factor in the geographic diffusion of infectious diseases, and this assumption led to the implementation of social distancing policies during the early fight against the COVID-19 emergency in the United States. Yet, because of substantial data gaps in the past, what still eludes our understanding are the following questions: 1) How does mobility contribute to the spread of infection within the United States at local, regional, and national scales? 2) How do seasonality and shifts in behavior affect mobility over time? 3) At what geographic level is mobility homogeneous across the United States? Addressing these questions is critical to developing accurate transmission models, predicting the spatial propagation of disease across scales, and understanding the optimal geographical and temporal scale for the implementation of control policies.\nMethods We address this problem using high-resolution human mobility data measured via mobile app usage. We compute the daily coupling network between US counties, and we integrate our mobility data into a spatially explicit transmission model to reproduce the national invasion of the first wave of SARS-CoV-2 in the US.\nFindings Temporally, we observe that intercounty connectivity is largely seasonal and was unperturbed by mobility restrictions during the early phase of the COVID-19 pandemic. Spatially, we identify 104 geographic clusters of US counties that are highly connected by mobility within the cluster and more sparsely connected to counties outside the cluster. These clusters are stable across time and highly overlap with US state boundaries. Together, these results suggest that intercounty connectivity in the US is relatively static across time and is homogeneous at the sub-state level. We also find that while having access to county-level, daily mobility data best captures the spatial invasion of disease, static mobility data aggregated to the scale of our mobility data-based clusters also performs well in capturing spatial diffusion of infection.\nInterpretation Our work demonstrates that intercounty mobility was negligibly affected outside the lockdown period of Spring 2020, explaining the broad spatial distribution of COVID-19 outbreaks in the US during the early phase of the pandemic. Such geographically dispersed outbreaks place a significant strain on national public health resources and necessitate complex metapopulation modeling approaches for predicting disease dynamics and control design. We thus inform the design of such metapopulation models to balance high disease predictability with low data requirements.","DOI":"10.1101/2023.11.22.23298916","language":"en","license":"© 2023, Posted by Cold Spring Harbor Laboratory. This pre-print is available under a Creative Commons License (Attribution-NonCommercial 4.0 International), CC BY-NC 4.0, as described at http://creativecommons.org/licenses/by-nc/4.0/","note":"page: 2023.11.22.23298916","publisher":"medRxiv","source":"medRxiv","title":"Characterizing US spatial connectivity: implications for geographical disease dynamics and metapopulation modeling","title-short":"Characterizing US spatial connectivity","URL":"https://www.medrxiv.org/content/10.1101/2023.11.22.23298916v1","author":[{"family":"Pullano","given":"Giulia"},{"family":"Alvarez-Zuzek","given":"Lucila G."},{"family":"Colizza","given":"Vittoria"},{"family":"Bansal","given":"Shweta"}],"accessed":{"date-parts":[["2024",5,13]]},"issued":{"date-parts":[["2023",11,23]]}}}],"schema":"https://github.com/citation-style-language/schema/raw/master/csl-citation.json"} </w:instrText>
      </w:r>
      <w:r w:rsidR="008C0704" w:rsidRPr="00023995">
        <w:fldChar w:fldCharType="separate"/>
      </w:r>
      <w:r w:rsidR="00DD0ECD" w:rsidRPr="00023995">
        <w:rPr>
          <w:vertAlign w:val="superscript"/>
        </w:rPr>
        <w:t>6</w:t>
      </w:r>
      <w:r w:rsidR="008C0704" w:rsidRPr="00023995">
        <w:fldChar w:fldCharType="end"/>
      </w:r>
      <w:r w:rsidR="00AB612D">
        <w:t>]</w:t>
      </w:r>
      <w:r w:rsidR="00533F2F" w:rsidRPr="00023995">
        <w:t xml:space="preserve">. </w:t>
      </w:r>
      <w:r w:rsidR="00616ED0" w:rsidRPr="00023995">
        <w:t>Further e</w:t>
      </w:r>
      <w:r w:rsidR="00527893" w:rsidRPr="00023995">
        <w:t>valuati</w:t>
      </w:r>
      <w:r w:rsidR="00416D4B" w:rsidRPr="00023995">
        <w:t>on of</w:t>
      </w:r>
      <w:r w:rsidR="00527893" w:rsidRPr="00023995">
        <w:t xml:space="preserve"> a hierarchy of model complexity, i.e.</w:t>
      </w:r>
      <w:r w:rsidR="00372B05" w:rsidRPr="00023995">
        <w:t>,</w:t>
      </w:r>
      <w:r w:rsidR="00527893" w:rsidRPr="00023995">
        <w:t xml:space="preserve"> </w:t>
      </w:r>
      <w:r w:rsidRPr="00023995">
        <w:t>from basic assumptions of no mixing to simple non-parameterized spatial interaction models to parameterized mobility models</w:t>
      </w:r>
      <w:r w:rsidR="00CB1F45" w:rsidRPr="00023995">
        <w:t>,</w:t>
      </w:r>
      <w:r w:rsidRPr="00023995">
        <w:t xml:space="preserve"> can </w:t>
      </w:r>
      <w:r w:rsidR="001C5B99" w:rsidRPr="00023995">
        <w:t>provide insight into</w:t>
      </w:r>
      <w:r w:rsidR="00372B05" w:rsidRPr="00023995">
        <w:t xml:space="preserve"> how and what aspects of human behavior drive</w:t>
      </w:r>
      <w:r w:rsidRPr="00023995">
        <w:t xml:space="preserve"> transmission. </w:t>
      </w:r>
      <w:r w:rsidR="00445F77" w:rsidRPr="00023995">
        <w:t xml:space="preserve">Finally, </w:t>
      </w:r>
      <w:r w:rsidR="00DB5CF3" w:rsidRPr="00023995">
        <w:t xml:space="preserve">this approach </w:t>
      </w:r>
      <w:r w:rsidR="00445F77" w:rsidRPr="00023995">
        <w:t>can serve as an additional</w:t>
      </w:r>
      <w:r w:rsidR="00DB5CF3" w:rsidRPr="00023995">
        <w:t xml:space="preserve"> methodology for</w:t>
      </w:r>
      <w:r w:rsidR="00445F77" w:rsidRPr="00023995">
        <w:t xml:space="preserve"> propagat</w:t>
      </w:r>
      <w:r w:rsidR="00DB5CF3" w:rsidRPr="00023995">
        <w:t>ing</w:t>
      </w:r>
      <w:r w:rsidR="00445F77" w:rsidRPr="00023995">
        <w:t xml:space="preserve"> uncertainty</w:t>
      </w:r>
      <w:r w:rsidR="00DB5CF3" w:rsidRPr="00023995">
        <w:t xml:space="preserve"> </w:t>
      </w:r>
      <w:proofErr w:type="gramStart"/>
      <w:r w:rsidR="00445F77" w:rsidRPr="00023995">
        <w:t>throughout</w:t>
      </w:r>
      <w:proofErr w:type="gramEnd"/>
      <w:r w:rsidR="00445F77" w:rsidRPr="00023995">
        <w:t xml:space="preserve"> </w:t>
      </w:r>
      <w:r w:rsidR="00372B05" w:rsidRPr="00023995">
        <w:t>transmission-</w:t>
      </w:r>
      <w:r w:rsidR="00445F77" w:rsidRPr="00023995">
        <w:t xml:space="preserve">modeled simulations </w:t>
      </w:r>
      <w:r w:rsidR="00A81B52" w:rsidRPr="00023995">
        <w:t xml:space="preserve">by allowing for </w:t>
      </w:r>
      <w:r w:rsidR="005C6BD4" w:rsidRPr="00023995">
        <w:t xml:space="preserve">the </w:t>
      </w:r>
      <w:r w:rsidR="00416D4B" w:rsidRPr="00023995">
        <w:t>evaluation of uncertainty due to model misspecification</w:t>
      </w:r>
      <w:r w:rsidR="00A81B52" w:rsidRPr="00023995">
        <w:t>.</w:t>
      </w:r>
      <w:r w:rsidR="00445F77" w:rsidRPr="00023995">
        <w:t xml:space="preserve"> </w:t>
      </w:r>
      <w:r w:rsidR="00A81B52" w:rsidRPr="00023995">
        <w:t>Using</w:t>
      </w:r>
      <w:r w:rsidRPr="00023995">
        <w:t xml:space="preserve"> simulation to road</w:t>
      </w:r>
      <w:r w:rsidR="006162C9" w:rsidRPr="00023995">
        <w:t>-</w:t>
      </w:r>
      <w:r w:rsidRPr="00023995">
        <w:t xml:space="preserve">test mobility data and develop </w:t>
      </w:r>
      <w:r w:rsidR="00B240FA" w:rsidRPr="00023995">
        <w:t>better-</w:t>
      </w:r>
      <w:r w:rsidRPr="00023995">
        <w:t xml:space="preserve">informed estimates of connectivity driving disease transmission can help </w:t>
      </w:r>
      <w:r w:rsidR="00372B05" w:rsidRPr="00023995">
        <w:t>build</w:t>
      </w:r>
      <w:r w:rsidRPr="00023995">
        <w:t xml:space="preserve"> a more generalized understanding of human mobility for future applications. </w:t>
      </w:r>
      <w:r w:rsidR="00307B89" w:rsidRPr="00023995">
        <w:t xml:space="preserve">For example, </w:t>
      </w:r>
      <w:r w:rsidR="00540FA8" w:rsidRPr="00023995">
        <w:t xml:space="preserve">simulations can be used to explore the impact of </w:t>
      </w:r>
      <w:r w:rsidR="00B90388" w:rsidRPr="00023995">
        <w:t xml:space="preserve">data </w:t>
      </w:r>
      <w:r w:rsidR="00540FA8" w:rsidRPr="00023995">
        <w:t>censoring and aggregation on modeled transmission dynamics</w:t>
      </w:r>
      <w:r w:rsidR="00372B05" w:rsidRPr="00023995">
        <w:t>,</w:t>
      </w:r>
      <w:r w:rsidR="00540FA8" w:rsidRPr="00023995">
        <w:t xml:space="preserve"> guiding data needs and requirements for particular use cases. </w:t>
      </w:r>
      <w:r w:rsidR="00752835" w:rsidRPr="00023995">
        <w:t>As an illustration</w:t>
      </w:r>
      <w:r w:rsidR="00703DB5" w:rsidRPr="00023995">
        <w:t xml:space="preserve">, </w:t>
      </w:r>
      <w:r w:rsidR="00372B05" w:rsidRPr="00023995">
        <w:t xml:space="preserve">in Figure </w:t>
      </w:r>
      <w:r w:rsidR="00BE0F00" w:rsidRPr="00023995">
        <w:t>1</w:t>
      </w:r>
      <w:r w:rsidR="00372B05" w:rsidRPr="00023995">
        <w:t xml:space="preserve">, </w:t>
      </w:r>
      <w:r w:rsidR="00703DB5" w:rsidRPr="00023995">
        <w:t xml:space="preserve">we display the results from </w:t>
      </w:r>
      <w:r w:rsidR="00540FA8" w:rsidRPr="00023995">
        <w:t>a simple model</w:t>
      </w:r>
      <w:r w:rsidR="006162C9" w:rsidRPr="00023995">
        <w:t>,</w:t>
      </w:r>
      <w:r w:rsidR="00540FA8" w:rsidRPr="00023995">
        <w:t xml:space="preserve"> </w:t>
      </w:r>
      <w:r w:rsidR="00703DB5" w:rsidRPr="00023995">
        <w:t xml:space="preserve">where </w:t>
      </w:r>
      <w:r w:rsidR="00540FA8" w:rsidRPr="00023995">
        <w:t>we explored the impact of demographic bias</w:t>
      </w:r>
      <w:r w:rsidR="0025034D" w:rsidRPr="00023995">
        <w:t>, censoring</w:t>
      </w:r>
      <w:r w:rsidR="00540FA8" w:rsidRPr="00023995">
        <w:t xml:space="preserve">, </w:t>
      </w:r>
      <w:r w:rsidR="00372B05" w:rsidRPr="00023995">
        <w:t xml:space="preserve">and </w:t>
      </w:r>
      <w:r w:rsidR="0025034D" w:rsidRPr="00023995">
        <w:t xml:space="preserve">temporal and </w:t>
      </w:r>
      <w:r w:rsidR="00540FA8" w:rsidRPr="00023995">
        <w:t>spatial aggregation</w:t>
      </w:r>
      <w:r w:rsidR="0025034D" w:rsidRPr="00023995">
        <w:t xml:space="preserve"> on </w:t>
      </w:r>
      <w:r w:rsidR="00732B23">
        <w:t>estimated arrival times in a simulation (see</w:t>
      </w:r>
      <w:r w:rsidR="00486523" w:rsidRPr="00023995">
        <w:t xml:space="preserve"> </w:t>
      </w:r>
      <w:hyperlink r:id="rId9">
        <w:proofErr w:type="spellStart"/>
        <w:r w:rsidR="00486523" w:rsidRPr="00023995">
          <w:rPr>
            <w:color w:val="1155CC"/>
            <w:u w:val="single"/>
          </w:rPr>
          <w:t>Github</w:t>
        </w:r>
        <w:proofErr w:type="spellEnd"/>
      </w:hyperlink>
      <w:r w:rsidR="00732B23">
        <w:rPr>
          <w:color w:val="1155CC"/>
          <w:u w:val="single"/>
        </w:rPr>
        <w:t xml:space="preserve"> for details)</w:t>
      </w:r>
      <w:r w:rsidR="00486523" w:rsidRPr="00023995">
        <w:t>.</w:t>
      </w:r>
      <w:r w:rsidR="00F612A8" w:rsidRPr="00023995">
        <w:t xml:space="preserve"> Explorations can be conducted to examine how these factors would impact disease inference using simulation as a guiding principle.</w:t>
      </w:r>
    </w:p>
    <w:p w14:paraId="4653E607" w14:textId="77777777" w:rsidR="00054BC5" w:rsidRPr="00023995" w:rsidRDefault="00054BC5"/>
    <w:p w14:paraId="1BAC7FB3" w14:textId="34AC6B95" w:rsidR="00054BC5" w:rsidRPr="00023995" w:rsidRDefault="006D6DFF">
      <w:r w:rsidRPr="00023995">
        <w:rPr>
          <w:b/>
          <w:bCs/>
        </w:rPr>
        <w:t>Opportunity 2</w:t>
      </w:r>
      <w:r w:rsidR="004E62B1" w:rsidRPr="00023995">
        <w:rPr>
          <w:b/>
          <w:bCs/>
        </w:rPr>
        <w:t>:</w:t>
      </w:r>
      <w:r w:rsidRPr="00023995">
        <w:rPr>
          <w:b/>
          <w:bCs/>
        </w:rPr>
        <w:t xml:space="preserve"> </w:t>
      </w:r>
      <w:r w:rsidR="00D97BBF" w:rsidRPr="00023995">
        <w:rPr>
          <w:b/>
          <w:bCs/>
        </w:rPr>
        <w:t>Reporting</w:t>
      </w:r>
      <w:r w:rsidRPr="00023995">
        <w:rPr>
          <w:b/>
          <w:bCs/>
        </w:rPr>
        <w:t xml:space="preserve"> guidelines</w:t>
      </w:r>
      <w:r w:rsidR="00AB1525" w:rsidRPr="00023995">
        <w:rPr>
          <w:b/>
          <w:bCs/>
        </w:rPr>
        <w:t xml:space="preserve"> to </w:t>
      </w:r>
      <w:r w:rsidR="00AC5A82" w:rsidRPr="00023995">
        <w:rPr>
          <w:b/>
          <w:bCs/>
        </w:rPr>
        <w:t>incr</w:t>
      </w:r>
      <w:r w:rsidR="00AB1525" w:rsidRPr="00023995">
        <w:rPr>
          <w:b/>
          <w:bCs/>
        </w:rPr>
        <w:t>ease the interpretation</w:t>
      </w:r>
      <w:r w:rsidR="00B96237" w:rsidRPr="00023995">
        <w:rPr>
          <w:b/>
          <w:bCs/>
        </w:rPr>
        <w:t>, standardization,</w:t>
      </w:r>
      <w:r w:rsidR="00AB1525" w:rsidRPr="00023995">
        <w:rPr>
          <w:b/>
          <w:bCs/>
        </w:rPr>
        <w:t xml:space="preserve"> and reuse of existing mobility data sets</w:t>
      </w:r>
      <w:r w:rsidR="00752835" w:rsidRPr="00023995">
        <w:rPr>
          <w:b/>
          <w:bCs/>
        </w:rPr>
        <w:t>.</w:t>
      </w:r>
      <w:r w:rsidRPr="00023995">
        <w:rPr>
          <w:b/>
          <w:bCs/>
        </w:rPr>
        <w:t xml:space="preserve"> </w:t>
      </w:r>
      <w:r w:rsidR="00626B3B" w:rsidRPr="00023995">
        <w:t xml:space="preserve">Interpreting results </w:t>
      </w:r>
      <w:r w:rsidR="00A74393" w:rsidRPr="00023995">
        <w:t xml:space="preserve">from models </w:t>
      </w:r>
      <w:r w:rsidR="00626B3B" w:rsidRPr="00023995">
        <w:t>that integrate mobility data</w:t>
      </w:r>
      <w:r w:rsidR="00A74393" w:rsidRPr="00023995">
        <w:t>,</w:t>
      </w:r>
      <w:r w:rsidR="00626B3B" w:rsidRPr="00023995">
        <w:t xml:space="preserve"> and determining how these data may be relevant for future applications</w:t>
      </w:r>
      <w:r w:rsidR="00A74393" w:rsidRPr="00023995">
        <w:t>,</w:t>
      </w:r>
      <w:r w:rsidR="00626B3B" w:rsidRPr="00023995">
        <w:t xml:space="preserve"> can benefit from a framework that makes it easy to understand how and what type of data were used. However, there </w:t>
      </w:r>
      <w:r w:rsidR="003C5BC9" w:rsidRPr="00023995">
        <w:t>are</w:t>
      </w:r>
      <w:r w:rsidR="00626B3B" w:rsidRPr="00023995">
        <w:t xml:space="preserve"> no </w:t>
      </w:r>
      <w:r w:rsidR="003C5BC9" w:rsidRPr="00023995">
        <w:t xml:space="preserve">established guidelines </w:t>
      </w:r>
      <w:r w:rsidR="008A2235" w:rsidRPr="00023995">
        <w:t xml:space="preserve">or </w:t>
      </w:r>
      <w:r w:rsidR="00626B3B" w:rsidRPr="00023995">
        <w:t xml:space="preserve">systematic structure </w:t>
      </w:r>
      <w:r w:rsidR="00A74393" w:rsidRPr="00023995">
        <w:t>f</w:t>
      </w:r>
      <w:r w:rsidR="00626B3B" w:rsidRPr="00023995">
        <w:t>o</w:t>
      </w:r>
      <w:r w:rsidR="00A74393" w:rsidRPr="00023995">
        <w:t>r</w:t>
      </w:r>
      <w:r w:rsidR="008A38F7" w:rsidRPr="00023995">
        <w:t xml:space="preserve"> reporting how</w:t>
      </w:r>
      <w:r w:rsidR="00A74393" w:rsidRPr="00023995">
        <w:t xml:space="preserve"> mobility data </w:t>
      </w:r>
      <w:r w:rsidR="00C76F4C" w:rsidRPr="00023995">
        <w:t>a</w:t>
      </w:r>
      <w:r w:rsidR="005D39EC" w:rsidRPr="00023995">
        <w:t xml:space="preserve">re </w:t>
      </w:r>
      <w:r w:rsidR="006C5D3D" w:rsidRPr="00023995">
        <w:t>pre-</w:t>
      </w:r>
      <w:r w:rsidR="005D39EC" w:rsidRPr="00023995">
        <w:t>processed</w:t>
      </w:r>
      <w:r w:rsidR="00280532" w:rsidRPr="00023995">
        <w:t>,</w:t>
      </w:r>
      <w:r w:rsidR="005D39EC" w:rsidRPr="00023995">
        <w:t xml:space="preserve"> incorporated</w:t>
      </w:r>
      <w:r w:rsidR="00A74393" w:rsidRPr="00023995">
        <w:t xml:space="preserve"> </w:t>
      </w:r>
      <w:r w:rsidR="006C5D3D" w:rsidRPr="00023995">
        <w:t xml:space="preserve">into </w:t>
      </w:r>
      <w:r w:rsidR="00280532" w:rsidRPr="00023995">
        <w:t xml:space="preserve">infectious </w:t>
      </w:r>
      <w:r w:rsidR="00C76F4C" w:rsidRPr="00023995">
        <w:t>disease</w:t>
      </w:r>
      <w:r w:rsidR="00A74393" w:rsidRPr="00023995">
        <w:t xml:space="preserve"> model</w:t>
      </w:r>
      <w:r w:rsidR="00C76F4C" w:rsidRPr="00023995">
        <w:t>s,</w:t>
      </w:r>
      <w:r w:rsidR="00A74393" w:rsidRPr="00023995">
        <w:t xml:space="preserve"> and </w:t>
      </w:r>
      <w:r w:rsidR="00626B3B" w:rsidRPr="00023995">
        <w:t>repor</w:t>
      </w:r>
      <w:r w:rsidR="00C76F4C" w:rsidRPr="00023995">
        <w:t>ted in the</w:t>
      </w:r>
      <w:r w:rsidR="00626B3B" w:rsidRPr="00023995">
        <w:t xml:space="preserve"> </w:t>
      </w:r>
      <w:r w:rsidR="00A74393" w:rsidRPr="00023995">
        <w:t>results of analyses. This</w:t>
      </w:r>
      <w:r w:rsidR="00FC33C4" w:rsidRPr="00023995">
        <w:t xml:space="preserve"> </w:t>
      </w:r>
      <w:r w:rsidR="00626B3B" w:rsidRPr="00023995">
        <w:t>mak</w:t>
      </w:r>
      <w:r w:rsidR="00A74393" w:rsidRPr="00023995">
        <w:t>es</w:t>
      </w:r>
      <w:r w:rsidR="00626B3B" w:rsidRPr="00023995">
        <w:t xml:space="preserve"> it </w:t>
      </w:r>
      <w:r w:rsidR="00752835" w:rsidRPr="00023995">
        <w:t xml:space="preserve">difficult </w:t>
      </w:r>
      <w:r w:rsidR="00411944" w:rsidRPr="00023995">
        <w:t xml:space="preserve">not only </w:t>
      </w:r>
      <w:r w:rsidR="00752835" w:rsidRPr="00023995">
        <w:t>to understand the way mobility data were used</w:t>
      </w:r>
      <w:r w:rsidR="00A74393" w:rsidRPr="00023995">
        <w:t xml:space="preserve"> and to</w:t>
      </w:r>
      <w:r w:rsidR="008B0675" w:rsidRPr="00023995">
        <w:t xml:space="preserve"> </w:t>
      </w:r>
      <w:r w:rsidR="00A74393" w:rsidRPr="00023995">
        <w:t>compare results across published research,</w:t>
      </w:r>
      <w:r w:rsidR="00752835" w:rsidRPr="00023995">
        <w:t xml:space="preserve"> but also </w:t>
      </w:r>
      <w:r w:rsidR="0025034D" w:rsidRPr="00023995">
        <w:t>to reproduce results</w:t>
      </w:r>
      <w:r w:rsidR="00C205CD" w:rsidRPr="00023995">
        <w:t>. Here, w</w:t>
      </w:r>
      <w:r w:rsidR="00626B3B" w:rsidRPr="00023995">
        <w:t>e propose a specific set of reporting</w:t>
      </w:r>
      <w:r w:rsidR="00A74393" w:rsidRPr="00023995">
        <w:t xml:space="preserve"> guidelines</w:t>
      </w:r>
      <w:r w:rsidR="00626B3B" w:rsidRPr="00023995">
        <w:t xml:space="preserve"> to be included by researchers us</w:t>
      </w:r>
      <w:r w:rsidR="00A74393" w:rsidRPr="00023995">
        <w:t>ing</w:t>
      </w:r>
      <w:r w:rsidR="00626B3B" w:rsidRPr="00023995">
        <w:t xml:space="preserve"> mobility data</w:t>
      </w:r>
      <w:r w:rsidR="00372B05" w:rsidRPr="00023995">
        <w:t xml:space="preserve"> (Supplement</w:t>
      </w:r>
      <w:r w:rsidR="00A43EBF">
        <w:t>ary materials</w:t>
      </w:r>
      <w:r w:rsidR="00372B05" w:rsidRPr="00023995">
        <w:t>)</w:t>
      </w:r>
      <w:r w:rsidR="00626B3B" w:rsidRPr="00023995">
        <w:t xml:space="preserve">. </w:t>
      </w:r>
      <w:r w:rsidR="00EE3F42" w:rsidRPr="00023995">
        <w:t xml:space="preserve">These guidelines cover </w:t>
      </w:r>
      <w:r w:rsidR="007B56B0" w:rsidRPr="00023995">
        <w:t>key components of</w:t>
      </w:r>
      <w:r w:rsidR="008A5996" w:rsidRPr="00023995">
        <w:t xml:space="preserve"> mobility</w:t>
      </w:r>
      <w:r w:rsidR="007B56B0" w:rsidRPr="00023995">
        <w:t xml:space="preserve"> </w:t>
      </w:r>
      <w:r w:rsidR="008A5996" w:rsidRPr="00023995">
        <w:t xml:space="preserve">data origin, analysis, and use, including </w:t>
      </w:r>
      <w:r w:rsidR="00372B05" w:rsidRPr="00023995">
        <w:t xml:space="preserve">a </w:t>
      </w:r>
      <w:r w:rsidR="008A5996" w:rsidRPr="00023995">
        <w:t xml:space="preserve">description of raw mobility data, pre-processing by </w:t>
      </w:r>
      <w:r w:rsidR="00752835" w:rsidRPr="00023995">
        <w:t xml:space="preserve">the </w:t>
      </w:r>
      <w:r w:rsidR="008A5996" w:rsidRPr="00023995">
        <w:t xml:space="preserve">data provider, processing </w:t>
      </w:r>
      <w:r w:rsidR="007534B3" w:rsidRPr="00023995">
        <w:t xml:space="preserve">of the data </w:t>
      </w:r>
      <w:r w:rsidR="00A74393" w:rsidRPr="00023995">
        <w:t>carried out</w:t>
      </w:r>
      <w:r w:rsidR="008A5996" w:rsidRPr="00023995">
        <w:t xml:space="preserve"> by the researcher</w:t>
      </w:r>
      <w:r w:rsidR="00E82A62" w:rsidRPr="00023995">
        <w:t xml:space="preserve">, </w:t>
      </w:r>
      <w:r w:rsidR="00372B05" w:rsidRPr="00023995">
        <w:t>how</w:t>
      </w:r>
      <w:r w:rsidR="00E82A62" w:rsidRPr="00023995">
        <w:t xml:space="preserve"> mobility data were integrated into transmission analys</w:t>
      </w:r>
      <w:r w:rsidR="00212801" w:rsidRPr="00023995">
        <w:t>e</w:t>
      </w:r>
      <w:r w:rsidR="00E82A62" w:rsidRPr="00023995">
        <w:t xml:space="preserve">s, and </w:t>
      </w:r>
      <w:r w:rsidR="00752835" w:rsidRPr="00023995">
        <w:t xml:space="preserve">the </w:t>
      </w:r>
      <w:r w:rsidR="00E82A62" w:rsidRPr="00023995">
        <w:t xml:space="preserve">results </w:t>
      </w:r>
      <w:r w:rsidR="00212801" w:rsidRPr="00023995">
        <w:t xml:space="preserve">that </w:t>
      </w:r>
      <w:r w:rsidR="00A74393" w:rsidRPr="00023995">
        <w:t xml:space="preserve">should be </w:t>
      </w:r>
      <w:r w:rsidR="00E82A62" w:rsidRPr="00023995">
        <w:t>presented.</w:t>
      </w:r>
      <w:r w:rsidR="008A5996" w:rsidRPr="00023995">
        <w:t xml:space="preserve"> </w:t>
      </w:r>
      <w:r w:rsidR="00372B05" w:rsidRPr="00023995">
        <w:t>Use of these guidelines</w:t>
      </w:r>
      <w:r w:rsidR="00380C0D" w:rsidRPr="00023995">
        <w:t xml:space="preserve"> will </w:t>
      </w:r>
      <w:r w:rsidR="00AE1C15" w:rsidRPr="00023995">
        <w:t xml:space="preserve">allow for </w:t>
      </w:r>
      <w:r w:rsidR="003B15DF" w:rsidRPr="00023995">
        <w:t xml:space="preserve">consistency in presenting mobility data, </w:t>
      </w:r>
      <w:r w:rsidR="00AE1C15" w:rsidRPr="00023995">
        <w:t>easier communication</w:t>
      </w:r>
      <w:r w:rsidR="00A74393" w:rsidRPr="00023995">
        <w:t xml:space="preserve"> of results</w:t>
      </w:r>
      <w:r w:rsidR="00752835" w:rsidRPr="00023995">
        <w:t>,</w:t>
      </w:r>
      <w:r w:rsidR="00AE1C15" w:rsidRPr="00023995">
        <w:t xml:space="preserve"> and </w:t>
      </w:r>
      <w:r w:rsidR="00A74393" w:rsidRPr="00023995">
        <w:t xml:space="preserve">improved </w:t>
      </w:r>
      <w:r w:rsidR="00AE1C15" w:rsidRPr="00023995">
        <w:t xml:space="preserve">understanding of </w:t>
      </w:r>
      <w:r w:rsidR="00277A4B" w:rsidRPr="00023995">
        <w:t>the quality and scope of mobility data used</w:t>
      </w:r>
      <w:r w:rsidR="0025034D" w:rsidRPr="00023995">
        <w:t xml:space="preserve">. Guidelines </w:t>
      </w:r>
      <w:r w:rsidR="00277A4B" w:rsidRPr="00023995">
        <w:t xml:space="preserve">can </w:t>
      </w:r>
      <w:r w:rsidR="0025034D" w:rsidRPr="00023995">
        <w:t xml:space="preserve">also increase reproducibility </w:t>
      </w:r>
      <w:r w:rsidR="00AE3201" w:rsidRPr="00023995">
        <w:t xml:space="preserve">and </w:t>
      </w:r>
      <w:r w:rsidR="00277A4B" w:rsidRPr="00023995">
        <w:t>enable th</w:t>
      </w:r>
      <w:r w:rsidR="00380C0D" w:rsidRPr="00023995">
        <w:t>e integrat</w:t>
      </w:r>
      <w:r w:rsidR="00332BFD" w:rsidRPr="00023995">
        <w:t>ion of</w:t>
      </w:r>
      <w:r w:rsidR="00AE3201" w:rsidRPr="00023995">
        <w:t xml:space="preserve"> multiple</w:t>
      </w:r>
      <w:r w:rsidR="00380C0D" w:rsidRPr="00023995">
        <w:t xml:space="preserve"> data sets</w:t>
      </w:r>
      <w:r w:rsidR="000711B2" w:rsidRPr="00023995">
        <w:t>, which can</w:t>
      </w:r>
      <w:r w:rsidR="00411944" w:rsidRPr="00023995">
        <w:t>, in turn,</w:t>
      </w:r>
      <w:r w:rsidR="000711B2" w:rsidRPr="00023995">
        <w:t xml:space="preserve"> </w:t>
      </w:r>
      <w:r w:rsidR="00411944" w:rsidRPr="00023995">
        <w:t>provide</w:t>
      </w:r>
      <w:r w:rsidR="000711B2" w:rsidRPr="00023995">
        <w:t xml:space="preserve"> opportunities for</w:t>
      </w:r>
      <w:r w:rsidR="00A64D77" w:rsidRPr="00023995">
        <w:t xml:space="preserve"> identify</w:t>
      </w:r>
      <w:r w:rsidR="000711B2" w:rsidRPr="00023995">
        <w:t>ing and accounting for</w:t>
      </w:r>
      <w:r w:rsidR="00A64D77" w:rsidRPr="00023995">
        <w:t xml:space="preserve"> bias due to sampling or measurement between datasets.</w:t>
      </w:r>
      <w:r w:rsidR="001F4BE5" w:rsidRPr="00023995">
        <w:t xml:space="preserve"> Building a framework off the </w:t>
      </w:r>
      <w:hyperlink r:id="rId10" w:history="1">
        <w:r w:rsidR="001F4BE5" w:rsidRPr="00023995">
          <w:rPr>
            <w:rStyle w:val="Hyperlink"/>
          </w:rPr>
          <w:t>FAIR principles</w:t>
        </w:r>
      </w:hyperlink>
      <w:r w:rsidR="008D0843" w:rsidRPr="00023995">
        <w:t xml:space="preserve"> </w:t>
      </w:r>
      <w:r w:rsidR="001F4BE5" w:rsidRPr="00023995">
        <w:t xml:space="preserve">could further help mitigate future problems. </w:t>
      </w:r>
    </w:p>
    <w:p w14:paraId="43ABB1BF" w14:textId="77777777" w:rsidR="00054BC5" w:rsidRPr="00023995" w:rsidRDefault="00054BC5"/>
    <w:p w14:paraId="47471BAA" w14:textId="09C9706A" w:rsidR="008D0843" w:rsidRPr="00023995" w:rsidRDefault="006D6DFF" w:rsidP="008D0843">
      <w:r w:rsidRPr="00023995">
        <w:rPr>
          <w:b/>
          <w:bCs/>
        </w:rPr>
        <w:t xml:space="preserve">Opportunity </w:t>
      </w:r>
      <w:r w:rsidR="008E2191" w:rsidRPr="00023995">
        <w:rPr>
          <w:b/>
          <w:bCs/>
        </w:rPr>
        <w:t>3</w:t>
      </w:r>
      <w:r w:rsidR="004E62B1" w:rsidRPr="00023995">
        <w:rPr>
          <w:b/>
          <w:bCs/>
        </w:rPr>
        <w:t>:</w:t>
      </w:r>
      <w:r w:rsidRPr="00023995">
        <w:rPr>
          <w:b/>
          <w:bCs/>
        </w:rPr>
        <w:t xml:space="preserve"> </w:t>
      </w:r>
      <w:r w:rsidR="00BE1517" w:rsidRPr="00023995">
        <w:rPr>
          <w:b/>
          <w:bCs/>
        </w:rPr>
        <w:t>I</w:t>
      </w:r>
      <w:r w:rsidRPr="00023995">
        <w:rPr>
          <w:b/>
          <w:bCs/>
        </w:rPr>
        <w:t>nvestment in data repositories</w:t>
      </w:r>
      <w:r w:rsidR="00BE1517" w:rsidRPr="00023995">
        <w:rPr>
          <w:b/>
          <w:bCs/>
        </w:rPr>
        <w:t xml:space="preserve"> to ensure continuity of data access</w:t>
      </w:r>
      <w:r w:rsidR="00752835" w:rsidRPr="00023995">
        <w:rPr>
          <w:b/>
          <w:bCs/>
        </w:rPr>
        <w:t>.</w:t>
      </w:r>
      <w:r w:rsidRPr="00023995">
        <w:rPr>
          <w:b/>
          <w:bCs/>
        </w:rPr>
        <w:t xml:space="preserve"> </w:t>
      </w:r>
      <w:r w:rsidR="00411944" w:rsidRPr="00023995">
        <w:t>Following</w:t>
      </w:r>
      <w:r w:rsidR="00AE3201" w:rsidRPr="00023995">
        <w:t xml:space="preserve"> a dramatic increase</w:t>
      </w:r>
      <w:r w:rsidR="00A74393" w:rsidRPr="00023995">
        <w:t xml:space="preserve"> in availability of infection and mobility data from various sources</w:t>
      </w:r>
      <w:r w:rsidR="00AE3201" w:rsidRPr="00023995">
        <w:t xml:space="preserve"> during the SARS-CoV-2</w:t>
      </w:r>
      <w:r w:rsidR="00411944" w:rsidRPr="00023995">
        <w:t xml:space="preserve"> pandemic</w:t>
      </w:r>
      <w:r w:rsidR="00372B05" w:rsidRPr="00023995">
        <w:t>,</w:t>
      </w:r>
      <w:r w:rsidR="00234C08" w:rsidRPr="00023995">
        <w:t xml:space="preserve"> data access </w:t>
      </w:r>
      <w:r w:rsidR="008D0843" w:rsidRPr="00023995">
        <w:t>has since become increasingly limited or costly</w:t>
      </w:r>
      <w:r w:rsidR="00CA30EB" w:rsidRPr="00023995">
        <w:t>.</w:t>
      </w:r>
      <w:r w:rsidR="008D0843" w:rsidRPr="00023995">
        <w:t xml:space="preserve"> </w:t>
      </w:r>
      <w:r w:rsidR="00234C08" w:rsidRPr="00023995">
        <w:t xml:space="preserve">For example, </w:t>
      </w:r>
      <w:r w:rsidR="006C2C43" w:rsidRPr="00023995">
        <w:t xml:space="preserve">updates to </w:t>
      </w:r>
      <w:r w:rsidR="00686246" w:rsidRPr="00023995">
        <w:t xml:space="preserve">Data </w:t>
      </w:r>
      <w:r w:rsidR="006C2C43" w:rsidRPr="00023995">
        <w:t>for Good</w:t>
      </w:r>
      <w:r w:rsidR="00686246" w:rsidRPr="00023995">
        <w:t xml:space="preserve"> at Meta</w:t>
      </w:r>
      <w:r w:rsidR="006C2C43" w:rsidRPr="00023995">
        <w:t>: Mobility Data</w:t>
      </w:r>
      <w:r w:rsidR="000E65F5" w:rsidRPr="00023995">
        <w:t xml:space="preserve">, a public data source providing </w:t>
      </w:r>
      <w:r w:rsidR="00D04FAD" w:rsidRPr="00023995">
        <w:t>county-level</w:t>
      </w:r>
      <w:r w:rsidR="000E65F5" w:rsidRPr="00023995">
        <w:t xml:space="preserve"> </w:t>
      </w:r>
      <w:r w:rsidR="00D04FAD" w:rsidRPr="00023995">
        <w:t xml:space="preserve">information on </w:t>
      </w:r>
      <w:r w:rsidR="000E65F5" w:rsidRPr="00023995">
        <w:t>relative travel</w:t>
      </w:r>
      <w:r w:rsidR="00D04FAD" w:rsidRPr="00023995">
        <w:t xml:space="preserve">, </w:t>
      </w:r>
      <w:r w:rsidR="00372B05" w:rsidRPr="00023995">
        <w:t>were</w:t>
      </w:r>
      <w:r w:rsidR="00910063" w:rsidRPr="00023995">
        <w:t xml:space="preserve"> </w:t>
      </w:r>
      <w:hyperlink r:id="rId11" w:history="1">
        <w:r w:rsidR="00910063" w:rsidRPr="00023995">
          <w:rPr>
            <w:rStyle w:val="Hyperlink"/>
          </w:rPr>
          <w:t>discontinued</w:t>
        </w:r>
      </w:hyperlink>
      <w:r w:rsidR="00372B05" w:rsidRPr="00023995">
        <w:t xml:space="preserve"> </w:t>
      </w:r>
      <w:r w:rsidR="00D04FAD" w:rsidRPr="00023995">
        <w:t>as of December 31, 2020</w:t>
      </w:r>
      <w:r w:rsidR="00234C08" w:rsidRPr="00023995">
        <w:t xml:space="preserve">. </w:t>
      </w:r>
      <w:r w:rsidR="006272D7" w:rsidRPr="00023995">
        <w:t xml:space="preserve">Similarly, </w:t>
      </w:r>
      <w:r w:rsidR="005239FB" w:rsidRPr="006B0BC6">
        <w:t>Google COVID-19 Mobility Reports</w:t>
      </w:r>
      <w:r w:rsidR="006272D7" w:rsidRPr="00023995">
        <w:t xml:space="preserve"> are no longer </w:t>
      </w:r>
      <w:hyperlink r:id="rId12" w:history="1">
        <w:r w:rsidR="006272D7" w:rsidRPr="00023995">
          <w:rPr>
            <w:rStyle w:val="Hyperlink"/>
          </w:rPr>
          <w:t>updated</w:t>
        </w:r>
      </w:hyperlink>
      <w:r w:rsidR="006272D7" w:rsidRPr="00023995">
        <w:t xml:space="preserve"> as of October 15, 2022, while </w:t>
      </w:r>
      <w:hyperlink r:id="rId13" w:history="1">
        <w:proofErr w:type="spellStart"/>
        <w:r w:rsidR="006272D7" w:rsidRPr="00023995">
          <w:rPr>
            <w:rStyle w:val="Hyperlink"/>
          </w:rPr>
          <w:t>SafeGraph</w:t>
        </w:r>
        <w:proofErr w:type="spellEnd"/>
      </w:hyperlink>
      <w:r w:rsidR="006272D7" w:rsidRPr="00023995">
        <w:t xml:space="preserve"> stopped providing </w:t>
      </w:r>
      <w:r w:rsidR="001E0A14" w:rsidRPr="00023995">
        <w:t xml:space="preserve">social distancing metrics, including percent time staying at home, in April 2021. </w:t>
      </w:r>
      <w:r w:rsidR="00D04FAD" w:rsidRPr="00023995">
        <w:t>There is a n</w:t>
      </w:r>
      <w:r w:rsidR="00201F88" w:rsidRPr="00023995">
        <w:t>eed</w:t>
      </w:r>
      <w:r w:rsidR="00D03BF0" w:rsidRPr="00023995" w:rsidDel="00D03BF0">
        <w:t xml:space="preserve"> </w:t>
      </w:r>
      <w:r w:rsidR="00CA30EB" w:rsidRPr="00023995">
        <w:t>to maintain the availability and ease of access to</w:t>
      </w:r>
      <w:r w:rsidR="00910063" w:rsidRPr="00023995">
        <w:t xml:space="preserve"> </w:t>
      </w:r>
      <w:r w:rsidR="00201F88" w:rsidRPr="00023995">
        <w:t>historic</w:t>
      </w:r>
      <w:r w:rsidR="00372B05" w:rsidRPr="00023995">
        <w:t>al</w:t>
      </w:r>
      <w:r w:rsidR="00201F88" w:rsidRPr="00023995">
        <w:t xml:space="preserve"> data</w:t>
      </w:r>
      <w:r w:rsidR="004C350A" w:rsidRPr="00023995">
        <w:t xml:space="preserve">, especially as new opportunities and developments </w:t>
      </w:r>
      <w:r w:rsidR="00F85B25" w:rsidRPr="00023995">
        <w:t>in data generation, synthesis, and analysis emerge</w:t>
      </w:r>
      <w:r w:rsidR="00D04FAD" w:rsidRPr="00023995">
        <w:t>.</w:t>
      </w:r>
      <w:r w:rsidR="00F85B25" w:rsidRPr="00023995">
        <w:t xml:space="preserve"> </w:t>
      </w:r>
      <w:r w:rsidR="004C699A" w:rsidRPr="00023995">
        <w:t>This may be of particular importance with further development of machine learning approaches</w:t>
      </w:r>
      <w:r w:rsidR="00781FAF" w:rsidRPr="00023995">
        <w:t xml:space="preserve">, which may </w:t>
      </w:r>
      <w:r w:rsidR="002332E7" w:rsidRPr="00023995">
        <w:t xml:space="preserve">provide opportunities for creation and availability of large-scale synthetic trajectory datasets without the costs and risks to privacy </w:t>
      </w:r>
      <w:r w:rsidR="008541A9" w:rsidRPr="00023995">
        <w:t>associated with more conventional sources of data</w:t>
      </w:r>
      <w:r w:rsidR="002332E7" w:rsidRPr="00023995">
        <w:t xml:space="preserve">. </w:t>
      </w:r>
      <w:r w:rsidR="00034611" w:rsidRPr="00023995">
        <w:t>The u</w:t>
      </w:r>
      <w:r w:rsidR="00201F88" w:rsidRPr="00023995">
        <w:t>se</w:t>
      </w:r>
      <w:r w:rsidR="00D04FAD" w:rsidRPr="00023995">
        <w:t xml:space="preserve"> of</w:t>
      </w:r>
      <w:r w:rsidR="00201F88" w:rsidRPr="00023995">
        <w:t xml:space="preserve"> repositories</w:t>
      </w:r>
      <w:r w:rsidR="00D04FAD" w:rsidRPr="00023995">
        <w:t xml:space="preserve"> and specialized</w:t>
      </w:r>
      <w:r w:rsidR="00201F88" w:rsidRPr="00023995">
        <w:t xml:space="preserve"> R packages could </w:t>
      </w:r>
      <w:r w:rsidR="00D03BF0">
        <w:lastRenderedPageBreak/>
        <w:t>facilitate easy</w:t>
      </w:r>
      <w:r w:rsidR="00910063" w:rsidRPr="00023995">
        <w:t xml:space="preserve"> access</w:t>
      </w:r>
      <w:r w:rsidR="00201F88" w:rsidRPr="00023995">
        <w:t xml:space="preserve">. </w:t>
      </w:r>
      <w:r w:rsidR="00E4646F" w:rsidRPr="00023995">
        <w:t>However, continued access requires advocacy with governments and other decision-makers.</w:t>
      </w:r>
      <w:r w:rsidR="00A73C73" w:rsidRPr="00023995">
        <w:t xml:space="preserve"> This must address the barriers to making the data available, </w:t>
      </w:r>
      <w:r w:rsidR="001612A5" w:rsidRPr="00023995">
        <w:t xml:space="preserve">such as funding human resources necessary to collect, maintain, and manage the data, and should use evidence to make the case </w:t>
      </w:r>
      <w:r w:rsidR="00C12331" w:rsidRPr="00023995">
        <w:t xml:space="preserve">for </w:t>
      </w:r>
      <w:r w:rsidR="001612A5" w:rsidRPr="00023995">
        <w:t xml:space="preserve">why </w:t>
      </w:r>
      <w:r w:rsidR="009336DC" w:rsidRPr="00023995">
        <w:t xml:space="preserve">data should continue to be collected. </w:t>
      </w:r>
      <w:r w:rsidR="008406B7" w:rsidRPr="00023995">
        <w:t>To avoid inappropriate allocation of resources, we must identify the most important data to collect</w:t>
      </w:r>
      <w:r w:rsidR="00D03BF0">
        <w:t xml:space="preserve"> to prioritize</w:t>
      </w:r>
      <w:r w:rsidR="008406B7" w:rsidRPr="00023995">
        <w:t>.</w:t>
      </w:r>
      <w:r w:rsidR="00A64D77" w:rsidRPr="00023995">
        <w:t xml:space="preserve"> Investment in data repositories would allow for better assessment of data gaps to target empirical resources to populations that are under-represented in datasets but key to understanding transmission dynamics.</w:t>
      </w:r>
      <w:r w:rsidR="00D04163" w:rsidRPr="00023995">
        <w:t xml:space="preserve"> Central repositories could also </w:t>
      </w:r>
      <w:r w:rsidR="00D97BBF" w:rsidRPr="00023995">
        <w:t xml:space="preserve">pave </w:t>
      </w:r>
      <w:r w:rsidR="003F58F8" w:rsidRPr="00023995">
        <w:t xml:space="preserve">the </w:t>
      </w:r>
      <w:r w:rsidR="00D97BBF" w:rsidRPr="00023995">
        <w:t xml:space="preserve">way to expanding data and resource access beyond a select set of research groups, which has historically been the case due to </w:t>
      </w:r>
      <w:r w:rsidR="00D04163" w:rsidRPr="00023995">
        <w:t>proprietary access.</w:t>
      </w:r>
      <w:r w:rsidR="008406B7" w:rsidRPr="00023995">
        <w:t xml:space="preserve"> </w:t>
      </w:r>
      <w:r w:rsidR="002D468B" w:rsidRPr="00023995" w:rsidDel="002D468B">
        <w:t xml:space="preserve"> </w:t>
      </w:r>
    </w:p>
    <w:p w14:paraId="6D2EF58E" w14:textId="0DFD1CAF" w:rsidR="00201F88" w:rsidRPr="00023995" w:rsidRDefault="00201F88" w:rsidP="00586BEA"/>
    <w:p w14:paraId="23B4F181" w14:textId="77777777" w:rsidR="00586BEA" w:rsidRPr="00023995" w:rsidRDefault="00586BEA" w:rsidP="00586BEA"/>
    <w:p w14:paraId="597C40DB" w14:textId="3C721B41" w:rsidR="002F2C33" w:rsidRPr="006B0BC6" w:rsidRDefault="002F2C33" w:rsidP="00586BEA">
      <w:pPr>
        <w:rPr>
          <w:b/>
          <w:bCs/>
          <w:u w:val="single"/>
        </w:rPr>
      </w:pPr>
      <w:r w:rsidRPr="00023995">
        <w:rPr>
          <w:b/>
          <w:bCs/>
          <w:u w:val="single"/>
        </w:rPr>
        <w:t>Conclusion</w:t>
      </w:r>
    </w:p>
    <w:p w14:paraId="2857B4D6" w14:textId="575520E3" w:rsidR="00586BEA" w:rsidRPr="00023995" w:rsidRDefault="00BE0F00" w:rsidP="00586BEA">
      <w:r w:rsidRPr="00023995">
        <w:t>Since the beginning of the</w:t>
      </w:r>
      <w:r w:rsidR="00586BEA" w:rsidRPr="00023995">
        <w:t xml:space="preserve"> COVID-19 pandemic, there was </w:t>
      </w:r>
      <w:r w:rsidR="00372B05" w:rsidRPr="00023995">
        <w:t xml:space="preserve">an </w:t>
      </w:r>
      <w:r w:rsidR="00586BEA" w:rsidRPr="00023995">
        <w:t>unprecedented</w:t>
      </w:r>
      <w:r w:rsidR="00CC1ED9" w:rsidRPr="00023995">
        <w:t xml:space="preserve"> increase in</w:t>
      </w:r>
      <w:r w:rsidR="00586BEA" w:rsidRPr="00023995">
        <w:t xml:space="preserve"> access to</w:t>
      </w:r>
      <w:r w:rsidR="00910063" w:rsidRPr="00023995">
        <w:t>,</w:t>
      </w:r>
      <w:r w:rsidR="00586BEA" w:rsidRPr="00023995">
        <w:t xml:space="preserve"> and use of</w:t>
      </w:r>
      <w:r w:rsidR="00910063" w:rsidRPr="00023995">
        <w:t>,</w:t>
      </w:r>
      <w:r w:rsidR="00586BEA" w:rsidRPr="00023995">
        <w:t xml:space="preserve"> data </w:t>
      </w:r>
      <w:r w:rsidR="006802C5" w:rsidRPr="00023995">
        <w:t>describing</w:t>
      </w:r>
      <w:r w:rsidR="00586BEA" w:rsidRPr="00023995">
        <w:t xml:space="preserve"> hum</w:t>
      </w:r>
      <w:r w:rsidR="006802C5" w:rsidRPr="00023995">
        <w:t>an mobility patterns</w:t>
      </w:r>
      <w:r w:rsidR="003E3410" w:rsidRPr="00023995">
        <w:t xml:space="preserve"> to evaluate and guide public health interventions</w:t>
      </w:r>
      <w:r w:rsidR="006802C5" w:rsidRPr="00023995">
        <w:t xml:space="preserve">. </w:t>
      </w:r>
      <w:r w:rsidR="00D50CF9">
        <w:t>Leveraging these resources requires addressing c</w:t>
      </w:r>
      <w:r w:rsidR="00AE3201" w:rsidRPr="00023995">
        <w:t>hallenges of access, transparency</w:t>
      </w:r>
      <w:r w:rsidR="002D468B" w:rsidRPr="00023995">
        <w:t>,</w:t>
      </w:r>
      <w:r w:rsidR="00AE3201" w:rsidRPr="00023995">
        <w:t xml:space="preserve"> and reproducibility</w:t>
      </w:r>
      <w:r w:rsidR="00D50CF9">
        <w:t xml:space="preserve">, </w:t>
      </w:r>
      <w:r w:rsidR="003E3410" w:rsidRPr="00023995">
        <w:t xml:space="preserve">as in genomic data </w:t>
      </w:r>
      <w:proofErr w:type="gramStart"/>
      <w:r w:rsidR="003E3410" w:rsidRPr="00023995">
        <w:t>analyses</w:t>
      </w:r>
      <w:proofErr w:type="gramEnd"/>
      <w:r w:rsidR="003E3410" w:rsidRPr="00023995">
        <w:t xml:space="preserve"> and the push for open and easily accessible </w:t>
      </w:r>
      <w:hyperlink r:id="rId14" w:history="1">
        <w:r w:rsidR="003E3410" w:rsidRPr="00023995">
          <w:rPr>
            <w:rStyle w:val="Hyperlink"/>
          </w:rPr>
          <w:t>data</w:t>
        </w:r>
      </w:hyperlink>
      <w:r w:rsidR="003E3410" w:rsidRPr="00023995">
        <w:t xml:space="preserve">. </w:t>
      </w:r>
      <w:r w:rsidR="00D50CF9">
        <w:t xml:space="preserve">Further </w:t>
      </w:r>
      <w:r w:rsidR="003E3410" w:rsidRPr="00023995">
        <w:t xml:space="preserve">methodological challenges to concretely tie together mobility and transmission that could be strengthened using simulation, reporting guidelines to improve standardization, </w:t>
      </w:r>
      <w:r w:rsidR="008D0843" w:rsidRPr="00023995">
        <w:t xml:space="preserve">and sustainable data repositories. </w:t>
      </w:r>
      <w:r w:rsidR="001C781E" w:rsidRPr="00023995">
        <w:t xml:space="preserve">These steps </w:t>
      </w:r>
      <w:r w:rsidR="00BE1517" w:rsidRPr="00023995">
        <w:t>are c</w:t>
      </w:r>
      <w:r w:rsidR="00442144" w:rsidRPr="00023995">
        <w:t xml:space="preserve">rucial in leveraging the </w:t>
      </w:r>
      <w:r w:rsidR="0066235F" w:rsidRPr="00023995">
        <w:t xml:space="preserve">exciting promise of mobility data </w:t>
      </w:r>
      <w:r w:rsidR="001C781E" w:rsidRPr="00023995">
        <w:t>to better understand and mitigate</w:t>
      </w:r>
      <w:r w:rsidR="0066235F" w:rsidRPr="00023995">
        <w:t xml:space="preserve"> </w:t>
      </w:r>
      <w:r w:rsidR="001C781E" w:rsidRPr="00023995">
        <w:t xml:space="preserve">future </w:t>
      </w:r>
      <w:r w:rsidR="0066235F" w:rsidRPr="00023995">
        <w:t>disease outbreaks</w:t>
      </w:r>
      <w:r w:rsidR="001C781E" w:rsidRPr="00023995">
        <w:t xml:space="preserve"> and epidemics</w:t>
      </w:r>
      <w:r w:rsidR="00221773" w:rsidRPr="00023995">
        <w:t xml:space="preserve"> in an increasingly connected world</w:t>
      </w:r>
      <w:r w:rsidR="001C781E" w:rsidRPr="00023995">
        <w:t xml:space="preserve">. </w:t>
      </w:r>
    </w:p>
    <w:p w14:paraId="4A56AF7D" w14:textId="77777777" w:rsidR="0073738A" w:rsidRPr="00023995" w:rsidRDefault="0073738A">
      <w:pPr>
        <w:rPr>
          <w:b/>
          <w:bCs/>
        </w:rPr>
      </w:pPr>
      <w:bookmarkStart w:id="2" w:name="_e4z37biq30fb" w:colFirst="0" w:colLast="0"/>
      <w:bookmarkEnd w:id="2"/>
    </w:p>
    <w:p w14:paraId="067F8BC6" w14:textId="77777777" w:rsidR="00D560CE" w:rsidRPr="00023995" w:rsidRDefault="00D560CE">
      <w:pPr>
        <w:rPr>
          <w:b/>
          <w:bCs/>
        </w:rPr>
      </w:pPr>
    </w:p>
    <w:p w14:paraId="5F43B5AD" w14:textId="5C57C9E5" w:rsidR="00D560CE" w:rsidRPr="006B0BC6" w:rsidRDefault="00D560CE">
      <w:r w:rsidRPr="00023995">
        <w:t>References</w:t>
      </w:r>
    </w:p>
    <w:p w14:paraId="55673562" w14:textId="77777777" w:rsidR="00DD0ECD" w:rsidRPr="00023995" w:rsidRDefault="00D560CE" w:rsidP="00DD0ECD">
      <w:pPr>
        <w:pStyle w:val="Bibliography"/>
        <w:rPr>
          <w:rFonts w:ascii="Times New Roman" w:hAnsi="Times New Roman" w:cs="Times New Roman"/>
          <w:sz w:val="24"/>
        </w:rPr>
      </w:pPr>
      <w:r w:rsidRPr="00023995">
        <w:rPr>
          <w:rFonts w:ascii="Times New Roman" w:hAnsi="Times New Roman" w:cs="Times New Roman"/>
        </w:rPr>
        <w:fldChar w:fldCharType="begin"/>
      </w:r>
      <w:r w:rsidRPr="006B0BC6">
        <w:rPr>
          <w:rFonts w:ascii="Times New Roman" w:hAnsi="Times New Roman" w:cs="Times New Roman"/>
        </w:rPr>
        <w:instrText xml:space="preserve"> ADDIN ZOTERO_BIBL {"uncited":[],"omitted":[],"custom":[]} CSL_BIBLIOGRAPHY </w:instrText>
      </w:r>
      <w:r w:rsidRPr="00023995">
        <w:rPr>
          <w:rFonts w:ascii="Times New Roman" w:hAnsi="Times New Roman" w:cs="Times New Roman"/>
        </w:rPr>
        <w:fldChar w:fldCharType="separate"/>
      </w:r>
      <w:r w:rsidR="00DD0ECD" w:rsidRPr="00023995">
        <w:rPr>
          <w:rFonts w:ascii="Times New Roman" w:hAnsi="Times New Roman" w:cs="Times New Roman"/>
          <w:sz w:val="24"/>
        </w:rPr>
        <w:t>1.</w:t>
      </w:r>
      <w:r w:rsidR="00DD0ECD" w:rsidRPr="00023995">
        <w:rPr>
          <w:rFonts w:ascii="Times New Roman" w:hAnsi="Times New Roman" w:cs="Times New Roman"/>
          <w:sz w:val="24"/>
        </w:rPr>
        <w:tab/>
        <w:t xml:space="preserve">Delamater, P.L., Leslie, T.F., Yang, Y.T. &amp; Jacobsen, K.H. </w:t>
      </w:r>
      <w:r w:rsidR="00DD0ECD" w:rsidRPr="00023995">
        <w:rPr>
          <w:rFonts w:ascii="Times New Roman" w:hAnsi="Times New Roman" w:cs="Times New Roman"/>
          <w:i/>
          <w:iCs/>
          <w:sz w:val="24"/>
        </w:rPr>
        <w:t>Appl. Geogr. Sevenoaks Engl.</w:t>
      </w:r>
      <w:r w:rsidR="00DD0ECD" w:rsidRPr="00023995">
        <w:rPr>
          <w:rFonts w:ascii="Times New Roman" w:hAnsi="Times New Roman" w:cs="Times New Roman"/>
          <w:sz w:val="24"/>
        </w:rPr>
        <w:t xml:space="preserve"> </w:t>
      </w:r>
      <w:r w:rsidR="00DD0ECD" w:rsidRPr="00023995">
        <w:rPr>
          <w:rFonts w:ascii="Times New Roman" w:hAnsi="Times New Roman" w:cs="Times New Roman"/>
          <w:b/>
          <w:bCs/>
          <w:sz w:val="24"/>
        </w:rPr>
        <w:t>71</w:t>
      </w:r>
      <w:r w:rsidR="00DD0ECD" w:rsidRPr="00023995">
        <w:rPr>
          <w:rFonts w:ascii="Times New Roman" w:hAnsi="Times New Roman" w:cs="Times New Roman"/>
          <w:sz w:val="24"/>
        </w:rPr>
        <w:t>, 123–132 [2016].</w:t>
      </w:r>
    </w:p>
    <w:p w14:paraId="7377E33D"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2.</w:t>
      </w:r>
      <w:r w:rsidRPr="00023995">
        <w:rPr>
          <w:rFonts w:ascii="Times New Roman" w:hAnsi="Times New Roman" w:cs="Times New Roman"/>
          <w:sz w:val="24"/>
        </w:rPr>
        <w:tab/>
        <w:t xml:space="preserve">Mari, L. et al. </w:t>
      </w:r>
      <w:r w:rsidRPr="00023995">
        <w:rPr>
          <w:rFonts w:ascii="Times New Roman" w:hAnsi="Times New Roman" w:cs="Times New Roman"/>
          <w:i/>
          <w:iCs/>
          <w:sz w:val="24"/>
        </w:rPr>
        <w:t>Sci. Rep.</w:t>
      </w:r>
      <w:r w:rsidRPr="00023995">
        <w:rPr>
          <w:rFonts w:ascii="Times New Roman" w:hAnsi="Times New Roman" w:cs="Times New Roman"/>
          <w:sz w:val="24"/>
        </w:rPr>
        <w:t xml:space="preserve"> </w:t>
      </w:r>
      <w:r w:rsidRPr="00023995">
        <w:rPr>
          <w:rFonts w:ascii="Times New Roman" w:hAnsi="Times New Roman" w:cs="Times New Roman"/>
          <w:b/>
          <w:bCs/>
          <w:sz w:val="24"/>
        </w:rPr>
        <w:t>7</w:t>
      </w:r>
      <w:r w:rsidRPr="00023995">
        <w:rPr>
          <w:rFonts w:ascii="Times New Roman" w:hAnsi="Times New Roman" w:cs="Times New Roman"/>
          <w:sz w:val="24"/>
        </w:rPr>
        <w:t>, 489 [2017].</w:t>
      </w:r>
    </w:p>
    <w:p w14:paraId="595597EA"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3.</w:t>
      </w:r>
      <w:r w:rsidRPr="00023995">
        <w:rPr>
          <w:rFonts w:ascii="Times New Roman" w:hAnsi="Times New Roman" w:cs="Times New Roman"/>
          <w:sz w:val="24"/>
        </w:rPr>
        <w:tab/>
        <w:t xml:space="preserve">Wakefield, J. </w:t>
      </w:r>
      <w:r w:rsidRPr="00023995">
        <w:rPr>
          <w:rFonts w:ascii="Times New Roman" w:hAnsi="Times New Roman" w:cs="Times New Roman"/>
          <w:i/>
          <w:iCs/>
          <w:sz w:val="24"/>
        </w:rPr>
        <w:t>Annu. Rev. Public Health</w:t>
      </w:r>
      <w:r w:rsidRPr="00023995">
        <w:rPr>
          <w:rFonts w:ascii="Times New Roman" w:hAnsi="Times New Roman" w:cs="Times New Roman"/>
          <w:sz w:val="24"/>
        </w:rPr>
        <w:t xml:space="preserve"> </w:t>
      </w:r>
      <w:r w:rsidRPr="00023995">
        <w:rPr>
          <w:rFonts w:ascii="Times New Roman" w:hAnsi="Times New Roman" w:cs="Times New Roman"/>
          <w:b/>
          <w:bCs/>
          <w:sz w:val="24"/>
        </w:rPr>
        <w:t>29</w:t>
      </w:r>
      <w:r w:rsidRPr="00023995">
        <w:rPr>
          <w:rFonts w:ascii="Times New Roman" w:hAnsi="Times New Roman" w:cs="Times New Roman"/>
          <w:sz w:val="24"/>
        </w:rPr>
        <w:t>, 75–90 [2008].</w:t>
      </w:r>
    </w:p>
    <w:p w14:paraId="43B1D67B" w14:textId="77777777" w:rsidR="00DD0ECD" w:rsidRPr="006B0BC6" w:rsidRDefault="00DD0ECD" w:rsidP="00DD0ECD">
      <w:pPr>
        <w:pStyle w:val="Bibliography"/>
        <w:rPr>
          <w:rFonts w:ascii="Times New Roman" w:hAnsi="Times New Roman" w:cs="Times New Roman"/>
          <w:sz w:val="24"/>
          <w:lang w:val="en-US"/>
        </w:rPr>
      </w:pPr>
      <w:r w:rsidRPr="006B0BC6">
        <w:rPr>
          <w:rFonts w:ascii="Times New Roman" w:hAnsi="Times New Roman" w:cs="Times New Roman"/>
          <w:sz w:val="24"/>
          <w:lang w:val="en-US"/>
        </w:rPr>
        <w:t>4.</w:t>
      </w:r>
      <w:r w:rsidRPr="006B0BC6">
        <w:rPr>
          <w:rFonts w:ascii="Times New Roman" w:hAnsi="Times New Roman" w:cs="Times New Roman"/>
          <w:sz w:val="24"/>
          <w:lang w:val="en-US"/>
        </w:rPr>
        <w:tab/>
        <w:t xml:space="preserve">Wardle, J., Bhatia, S., Kraemer, M.U.G., Nouvellet, P. &amp; Cori, A. </w:t>
      </w:r>
      <w:r w:rsidRPr="006B0BC6">
        <w:rPr>
          <w:rFonts w:ascii="Times New Roman" w:hAnsi="Times New Roman" w:cs="Times New Roman"/>
          <w:i/>
          <w:iCs/>
          <w:sz w:val="24"/>
          <w:lang w:val="en-US"/>
        </w:rPr>
        <w:t>Epidemics</w:t>
      </w:r>
      <w:r w:rsidRPr="006B0BC6">
        <w:rPr>
          <w:rFonts w:ascii="Times New Roman" w:hAnsi="Times New Roman" w:cs="Times New Roman"/>
          <w:sz w:val="24"/>
          <w:lang w:val="en-US"/>
        </w:rPr>
        <w:t xml:space="preserve"> </w:t>
      </w:r>
      <w:r w:rsidRPr="006B0BC6">
        <w:rPr>
          <w:rFonts w:ascii="Times New Roman" w:hAnsi="Times New Roman" w:cs="Times New Roman"/>
          <w:b/>
          <w:bCs/>
          <w:sz w:val="24"/>
          <w:lang w:val="en-US"/>
        </w:rPr>
        <w:t>42</w:t>
      </w:r>
      <w:r w:rsidRPr="006B0BC6">
        <w:rPr>
          <w:rFonts w:ascii="Times New Roman" w:hAnsi="Times New Roman" w:cs="Times New Roman"/>
          <w:sz w:val="24"/>
          <w:lang w:val="en-US"/>
        </w:rPr>
        <w:t>, 100666 [2023].</w:t>
      </w:r>
    </w:p>
    <w:p w14:paraId="187E0ACC" w14:textId="77777777" w:rsidR="00DD0ECD" w:rsidRPr="00023995" w:rsidRDefault="00DD0ECD" w:rsidP="00DD0ECD">
      <w:pPr>
        <w:pStyle w:val="Bibliography"/>
        <w:rPr>
          <w:rFonts w:ascii="Times New Roman" w:hAnsi="Times New Roman" w:cs="Times New Roman"/>
          <w:sz w:val="24"/>
        </w:rPr>
      </w:pPr>
      <w:r w:rsidRPr="006B0BC6">
        <w:rPr>
          <w:rFonts w:ascii="Times New Roman" w:hAnsi="Times New Roman" w:cs="Times New Roman"/>
          <w:sz w:val="24"/>
          <w:lang w:val="en-US"/>
        </w:rPr>
        <w:t>5.</w:t>
      </w:r>
      <w:r w:rsidRPr="006B0BC6">
        <w:rPr>
          <w:rFonts w:ascii="Times New Roman" w:hAnsi="Times New Roman" w:cs="Times New Roman"/>
          <w:sz w:val="24"/>
          <w:lang w:val="en-US"/>
        </w:rPr>
        <w:tab/>
        <w:t xml:space="preserve">Lenormand, M. et al. </w:t>
      </w:r>
      <w:r w:rsidRPr="00023995">
        <w:rPr>
          <w:rFonts w:ascii="Times New Roman" w:hAnsi="Times New Roman" w:cs="Times New Roman"/>
          <w:i/>
          <w:iCs/>
          <w:sz w:val="24"/>
        </w:rPr>
        <w:t>Sci. Rep.</w:t>
      </w:r>
      <w:r w:rsidRPr="00023995">
        <w:rPr>
          <w:rFonts w:ascii="Times New Roman" w:hAnsi="Times New Roman" w:cs="Times New Roman"/>
          <w:sz w:val="24"/>
        </w:rPr>
        <w:t xml:space="preserve"> </w:t>
      </w:r>
      <w:r w:rsidRPr="00023995">
        <w:rPr>
          <w:rFonts w:ascii="Times New Roman" w:hAnsi="Times New Roman" w:cs="Times New Roman"/>
          <w:b/>
          <w:bCs/>
          <w:sz w:val="24"/>
        </w:rPr>
        <w:t>5</w:t>
      </w:r>
      <w:r w:rsidRPr="00023995">
        <w:rPr>
          <w:rFonts w:ascii="Times New Roman" w:hAnsi="Times New Roman" w:cs="Times New Roman"/>
          <w:sz w:val="24"/>
        </w:rPr>
        <w:t>, 10075 [2015].</w:t>
      </w:r>
    </w:p>
    <w:p w14:paraId="3670ECFB"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6.</w:t>
      </w:r>
      <w:r w:rsidRPr="00023995">
        <w:rPr>
          <w:rFonts w:ascii="Times New Roman" w:hAnsi="Times New Roman" w:cs="Times New Roman"/>
          <w:sz w:val="24"/>
        </w:rPr>
        <w:tab/>
        <w:t>Pullano, G., Alvarez-Zuzek, L.G., Colizza, V. &amp; Bansal, S.2023.11.22.23298916 [2023].doi:10.1101/2023.11.22.23298916</w:t>
      </w:r>
    </w:p>
    <w:p w14:paraId="25402DDB"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7.</w:t>
      </w:r>
      <w:r w:rsidRPr="00023995">
        <w:rPr>
          <w:rFonts w:ascii="Times New Roman" w:hAnsi="Times New Roman" w:cs="Times New Roman"/>
          <w:sz w:val="24"/>
        </w:rPr>
        <w:tab/>
        <w:t xml:space="preserve">Ramadona, A.L., Tozan, Y., Lazuardi, L. &amp; Rocklöv, J. </w:t>
      </w:r>
      <w:r w:rsidRPr="00023995">
        <w:rPr>
          <w:rFonts w:ascii="Times New Roman" w:hAnsi="Times New Roman" w:cs="Times New Roman"/>
          <w:i/>
          <w:iCs/>
          <w:sz w:val="24"/>
        </w:rPr>
        <w:t>PLoS Negl. Trop. Dis.</w:t>
      </w:r>
      <w:r w:rsidRPr="00023995">
        <w:rPr>
          <w:rFonts w:ascii="Times New Roman" w:hAnsi="Times New Roman" w:cs="Times New Roman"/>
          <w:sz w:val="24"/>
        </w:rPr>
        <w:t xml:space="preserve"> </w:t>
      </w:r>
      <w:r w:rsidRPr="00023995">
        <w:rPr>
          <w:rFonts w:ascii="Times New Roman" w:hAnsi="Times New Roman" w:cs="Times New Roman"/>
          <w:b/>
          <w:bCs/>
          <w:sz w:val="24"/>
        </w:rPr>
        <w:t>13</w:t>
      </w:r>
      <w:r w:rsidRPr="00023995">
        <w:rPr>
          <w:rFonts w:ascii="Times New Roman" w:hAnsi="Times New Roman" w:cs="Times New Roman"/>
          <w:sz w:val="24"/>
        </w:rPr>
        <w:t>, e0007298 [2019].</w:t>
      </w:r>
    </w:p>
    <w:p w14:paraId="2A2BE7C7"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8.</w:t>
      </w:r>
      <w:r w:rsidRPr="00023995">
        <w:rPr>
          <w:rFonts w:ascii="Times New Roman" w:hAnsi="Times New Roman" w:cs="Times New Roman"/>
          <w:sz w:val="24"/>
        </w:rPr>
        <w:tab/>
        <w:t xml:space="preserve">Tegally, H. et al. </w:t>
      </w:r>
      <w:r w:rsidRPr="00023995">
        <w:rPr>
          <w:rFonts w:ascii="Times New Roman" w:hAnsi="Times New Roman" w:cs="Times New Roman"/>
          <w:i/>
          <w:iCs/>
          <w:sz w:val="24"/>
        </w:rPr>
        <w:t>Cell</w:t>
      </w:r>
      <w:r w:rsidRPr="00023995">
        <w:rPr>
          <w:rFonts w:ascii="Times New Roman" w:hAnsi="Times New Roman" w:cs="Times New Roman"/>
          <w:sz w:val="24"/>
        </w:rPr>
        <w:t xml:space="preserve"> </w:t>
      </w:r>
      <w:r w:rsidRPr="00023995">
        <w:rPr>
          <w:rFonts w:ascii="Times New Roman" w:hAnsi="Times New Roman" w:cs="Times New Roman"/>
          <w:b/>
          <w:bCs/>
          <w:sz w:val="24"/>
        </w:rPr>
        <w:t>186</w:t>
      </w:r>
      <w:r w:rsidRPr="00023995">
        <w:rPr>
          <w:rFonts w:ascii="Times New Roman" w:hAnsi="Times New Roman" w:cs="Times New Roman"/>
          <w:sz w:val="24"/>
        </w:rPr>
        <w:t>, 3277-3290.e16 [2023].</w:t>
      </w:r>
    </w:p>
    <w:p w14:paraId="71678020" w14:textId="77777777" w:rsidR="00DD0ECD" w:rsidRPr="00023995" w:rsidRDefault="00DD0ECD" w:rsidP="00DD0ECD">
      <w:pPr>
        <w:pStyle w:val="Bibliography"/>
        <w:rPr>
          <w:rFonts w:ascii="Times New Roman" w:hAnsi="Times New Roman" w:cs="Times New Roman"/>
          <w:sz w:val="24"/>
        </w:rPr>
      </w:pPr>
      <w:r w:rsidRPr="00023995">
        <w:rPr>
          <w:rFonts w:ascii="Times New Roman" w:hAnsi="Times New Roman" w:cs="Times New Roman"/>
          <w:sz w:val="24"/>
        </w:rPr>
        <w:t>9.</w:t>
      </w:r>
      <w:r w:rsidRPr="00023995">
        <w:rPr>
          <w:rFonts w:ascii="Times New Roman" w:hAnsi="Times New Roman" w:cs="Times New Roman"/>
          <w:sz w:val="24"/>
        </w:rPr>
        <w:tab/>
        <w:t xml:space="preserve">Kondo, K. </w:t>
      </w:r>
      <w:r w:rsidRPr="00023995">
        <w:rPr>
          <w:rFonts w:ascii="Times New Roman" w:hAnsi="Times New Roman" w:cs="Times New Roman"/>
          <w:i/>
          <w:iCs/>
          <w:sz w:val="24"/>
        </w:rPr>
        <w:t>Sci. Rep.</w:t>
      </w:r>
      <w:r w:rsidRPr="00023995">
        <w:rPr>
          <w:rFonts w:ascii="Times New Roman" w:hAnsi="Times New Roman" w:cs="Times New Roman"/>
          <w:sz w:val="24"/>
        </w:rPr>
        <w:t xml:space="preserve"> </w:t>
      </w:r>
      <w:r w:rsidRPr="00023995">
        <w:rPr>
          <w:rFonts w:ascii="Times New Roman" w:hAnsi="Times New Roman" w:cs="Times New Roman"/>
          <w:b/>
          <w:bCs/>
          <w:sz w:val="24"/>
        </w:rPr>
        <w:t>11</w:t>
      </w:r>
      <w:r w:rsidRPr="00023995">
        <w:rPr>
          <w:rFonts w:ascii="Times New Roman" w:hAnsi="Times New Roman" w:cs="Times New Roman"/>
          <w:sz w:val="24"/>
        </w:rPr>
        <w:t>, 18951 [2021].</w:t>
      </w:r>
    </w:p>
    <w:p w14:paraId="2AAB4CBA" w14:textId="14F32F6C" w:rsidR="00DD0ECD" w:rsidRPr="00023995" w:rsidRDefault="00DD0ECD" w:rsidP="00DD0ECD">
      <w:pPr>
        <w:pStyle w:val="Bibliography"/>
        <w:rPr>
          <w:rFonts w:ascii="Times New Roman" w:hAnsi="Times New Roman" w:cs="Times New Roman"/>
          <w:sz w:val="24"/>
        </w:rPr>
      </w:pPr>
      <w:r w:rsidRPr="006B0BC6">
        <w:rPr>
          <w:rFonts w:ascii="Times New Roman" w:hAnsi="Times New Roman" w:cs="Times New Roman"/>
          <w:sz w:val="24"/>
          <w:lang w:val="fr-FR"/>
        </w:rPr>
        <w:t>10.</w:t>
      </w:r>
      <w:r w:rsidR="00622665" w:rsidRPr="006B0BC6" w:rsidDel="00622665">
        <w:rPr>
          <w:rFonts w:ascii="Times New Roman" w:hAnsi="Times New Roman" w:cs="Times New Roman"/>
          <w:sz w:val="24"/>
          <w:lang w:val="fr-FR"/>
        </w:rPr>
        <w:t xml:space="preserve"> </w:t>
      </w:r>
      <w:r w:rsidRPr="006B0BC6">
        <w:rPr>
          <w:rFonts w:ascii="Times New Roman" w:hAnsi="Times New Roman" w:cs="Times New Roman"/>
          <w:sz w:val="24"/>
          <w:lang w:val="fr-FR"/>
        </w:rPr>
        <w:t xml:space="preserve">Ruktanonchai, N.W. et al. </w:t>
      </w:r>
      <w:r w:rsidRPr="00023995">
        <w:rPr>
          <w:rFonts w:ascii="Times New Roman" w:hAnsi="Times New Roman" w:cs="Times New Roman"/>
          <w:i/>
          <w:iCs/>
          <w:sz w:val="24"/>
        </w:rPr>
        <w:t>Malar. J.</w:t>
      </w:r>
      <w:r w:rsidRPr="00023995">
        <w:rPr>
          <w:rFonts w:ascii="Times New Roman" w:hAnsi="Times New Roman" w:cs="Times New Roman"/>
          <w:sz w:val="24"/>
        </w:rPr>
        <w:t xml:space="preserve"> </w:t>
      </w:r>
      <w:r w:rsidRPr="00023995">
        <w:rPr>
          <w:rFonts w:ascii="Times New Roman" w:hAnsi="Times New Roman" w:cs="Times New Roman"/>
          <w:b/>
          <w:bCs/>
          <w:sz w:val="24"/>
        </w:rPr>
        <w:t>15</w:t>
      </w:r>
      <w:r w:rsidRPr="00023995">
        <w:rPr>
          <w:rFonts w:ascii="Times New Roman" w:hAnsi="Times New Roman" w:cs="Times New Roman"/>
          <w:sz w:val="24"/>
        </w:rPr>
        <w:t>, 273 [2016].</w:t>
      </w:r>
    </w:p>
    <w:p w14:paraId="0DCEA7CA" w14:textId="2FCA70E3" w:rsidR="00D560CE" w:rsidRPr="00023995" w:rsidRDefault="00D560CE">
      <w:pPr>
        <w:rPr>
          <w:b/>
          <w:bCs/>
        </w:rPr>
      </w:pPr>
      <w:r w:rsidRPr="00023995">
        <w:rPr>
          <w:b/>
          <w:bCs/>
        </w:rPr>
        <w:fldChar w:fldCharType="end"/>
      </w:r>
    </w:p>
    <w:p w14:paraId="1BF52DD3" w14:textId="77777777" w:rsidR="00021C0A" w:rsidRDefault="00021C0A" w:rsidP="00021C0A">
      <w:pPr>
        <w:ind w:hanging="480"/>
      </w:pPr>
      <w:r>
        <w:t xml:space="preserve">Pullano, Giulia, Lucila Gisele Alvarez-Zuzek, Vittoria </w:t>
      </w:r>
      <w:proofErr w:type="spellStart"/>
      <w:r>
        <w:t>Colizza</w:t>
      </w:r>
      <w:proofErr w:type="spellEnd"/>
      <w:r>
        <w:t xml:space="preserve">, and Shweta Bansal. “Characterizing US Spatial Connectivity and Implications for Geographical Disease Dynamics and Metapopulation Modeling: Longitudinal Observational Study.” </w:t>
      </w:r>
      <w:r>
        <w:rPr>
          <w:i/>
          <w:iCs/>
        </w:rPr>
        <w:t>JMIR Public Health and Surveillance</w:t>
      </w:r>
      <w:r>
        <w:t xml:space="preserve"> 11, no. 1 (February 18, 2025): e64914. </w:t>
      </w:r>
      <w:hyperlink r:id="rId15" w:history="1">
        <w:r>
          <w:rPr>
            <w:rStyle w:val="Hyperlink"/>
          </w:rPr>
          <w:t>https://doi.org/10.2196/64914</w:t>
        </w:r>
      </w:hyperlink>
      <w:r>
        <w:t>.</w:t>
      </w:r>
    </w:p>
    <w:p w14:paraId="4F117FCB" w14:textId="77777777" w:rsidR="001F60F7" w:rsidRPr="001F60F7" w:rsidRDefault="001F60F7" w:rsidP="001F60F7">
      <w:pPr>
        <w:ind w:hanging="480"/>
      </w:pPr>
      <w:r w:rsidRPr="001F60F7">
        <w:t xml:space="preserve">Lenormand, Maxime, Thomas </w:t>
      </w:r>
      <w:proofErr w:type="spellStart"/>
      <w:r w:rsidRPr="001F60F7">
        <w:t>Louail</w:t>
      </w:r>
      <w:proofErr w:type="spellEnd"/>
      <w:r w:rsidRPr="001F60F7">
        <w:t xml:space="preserve">, Oliva G. Cantú-Ros, Miguel </w:t>
      </w:r>
      <w:proofErr w:type="spellStart"/>
      <w:r w:rsidRPr="001F60F7">
        <w:t>Picornell</w:t>
      </w:r>
      <w:proofErr w:type="spellEnd"/>
      <w:r w:rsidRPr="001F60F7">
        <w:t xml:space="preserve">, Ricardo Herranz, Juan Murillo Arias, Marc Barthelemy, Maxi San Miguel, and José J. </w:t>
      </w:r>
      <w:proofErr w:type="spellStart"/>
      <w:r w:rsidRPr="001F60F7">
        <w:t>Ramasco</w:t>
      </w:r>
      <w:proofErr w:type="spellEnd"/>
      <w:r w:rsidRPr="001F60F7">
        <w:t xml:space="preserve">. “Influence of Sociodemographic Characteristics on Human Mobility.” </w:t>
      </w:r>
      <w:r w:rsidRPr="001F60F7">
        <w:rPr>
          <w:i/>
          <w:iCs/>
        </w:rPr>
        <w:t>Scientific Reports</w:t>
      </w:r>
      <w:r w:rsidRPr="001F60F7">
        <w:t xml:space="preserve"> 5, no. 1 (May 20, 2015): 10075. </w:t>
      </w:r>
      <w:hyperlink r:id="rId16" w:history="1">
        <w:r w:rsidRPr="001F60F7">
          <w:rPr>
            <w:color w:val="0000FF"/>
            <w:u w:val="single"/>
          </w:rPr>
          <w:t>https://doi.org/10.1038/srep10075</w:t>
        </w:r>
      </w:hyperlink>
      <w:r w:rsidRPr="001F60F7">
        <w:t>.</w:t>
      </w:r>
    </w:p>
    <w:p w14:paraId="7D1744DF" w14:textId="77777777" w:rsidR="00F01921" w:rsidRPr="00023995" w:rsidRDefault="00F01921">
      <w:pPr>
        <w:rPr>
          <w:b/>
          <w:bCs/>
        </w:rPr>
      </w:pPr>
    </w:p>
    <w:p w14:paraId="53D8621F" w14:textId="77777777" w:rsidR="00F01921" w:rsidRPr="00023995" w:rsidRDefault="00F01921">
      <w:pPr>
        <w:rPr>
          <w:b/>
          <w:bCs/>
        </w:rPr>
      </w:pPr>
    </w:p>
    <w:p w14:paraId="0780C499" w14:textId="77777777" w:rsidR="00021C0A" w:rsidRDefault="00F01921" w:rsidP="00021C0A">
      <w:pPr>
        <w:ind w:hanging="480"/>
      </w:pPr>
      <w:r w:rsidRPr="006B0BC6">
        <w:t>Competing interests:</w:t>
      </w:r>
      <w:r w:rsidR="00A8082F" w:rsidRPr="006B0BC6">
        <w:t xml:space="preserve"> </w:t>
      </w:r>
    </w:p>
    <w:p w14:paraId="744F541D" w14:textId="77777777" w:rsidR="00021C0A" w:rsidRDefault="00021C0A" w:rsidP="00021C0A">
      <w:pPr>
        <w:ind w:hanging="480"/>
      </w:pPr>
    </w:p>
    <w:p w14:paraId="1573311F" w14:textId="50BCA9C3" w:rsidR="00730F05" w:rsidRDefault="00730F05" w:rsidP="00F01921">
      <w:pPr>
        <w:pStyle w:val="Heading4"/>
        <w:rPr>
          <w:rFonts w:ascii="Times New Roman" w:hAnsi="Times New Roman" w:cs="Times New Roman"/>
        </w:rPr>
      </w:pPr>
    </w:p>
    <w:p w14:paraId="02EE0A0E" w14:textId="5D79670C" w:rsidR="00335F2C" w:rsidRPr="006B0BC6" w:rsidRDefault="00335F2C" w:rsidP="001E57F6">
      <w:r w:rsidRPr="006B0BC6">
        <w:t>The authors declare no competing interests.</w:t>
      </w:r>
    </w:p>
    <w:p w14:paraId="5BC6B4AA" w14:textId="5E486730" w:rsidR="006B0BC6" w:rsidRPr="006B0BC6" w:rsidRDefault="006B0BC6" w:rsidP="006B0BC6">
      <w:pPr>
        <w:pStyle w:val="Heading4"/>
        <w:sectPr w:rsidR="006B0BC6" w:rsidRPr="006B0BC6" w:rsidSect="00396F1B">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pgNumType w:start="1"/>
          <w:cols w:space="720"/>
          <w:docGrid w:linePitch="299"/>
        </w:sectPr>
      </w:pPr>
    </w:p>
    <w:p w14:paraId="5FD8BA66" w14:textId="4D8072C5" w:rsidR="00C67A19" w:rsidRPr="00023995" w:rsidRDefault="00C67A19">
      <w:pPr>
        <w:rPr>
          <w:b/>
          <w:bCs/>
        </w:rPr>
      </w:pPr>
    </w:p>
    <w:p w14:paraId="3A53A96A" w14:textId="77777777" w:rsidR="0031189D" w:rsidRPr="00023995" w:rsidRDefault="0031189D"/>
    <w:p w14:paraId="3CD91C26" w14:textId="54C322C8" w:rsidR="00187732" w:rsidRPr="00023995" w:rsidRDefault="00EC4C0D">
      <w:r w:rsidRPr="00023995">
        <w:rPr>
          <w:noProof/>
        </w:rPr>
        <w:t xml:space="preserve"> </w:t>
      </w:r>
      <w:r w:rsidR="00BE0F00" w:rsidRPr="00023995">
        <w:rPr>
          <w:b/>
          <w:bCs/>
          <w:noProof/>
        </w:rPr>
        <w:t xml:space="preserve">Table </w:t>
      </w:r>
      <w:r w:rsidR="004C7328" w:rsidRPr="00023995">
        <w:rPr>
          <w:b/>
          <w:bCs/>
          <w:noProof/>
        </w:rPr>
        <w:t>1. Use cases of mobility data in public health response.</w:t>
      </w:r>
    </w:p>
    <w:tbl>
      <w:tblPr>
        <w:tblStyle w:val="TableGrid"/>
        <w:tblW w:w="5000" w:type="pct"/>
        <w:tblLook w:val="04A0" w:firstRow="1" w:lastRow="0" w:firstColumn="1" w:lastColumn="0" w:noHBand="0" w:noVBand="1"/>
      </w:tblPr>
      <w:tblGrid>
        <w:gridCol w:w="2124"/>
        <w:gridCol w:w="1940"/>
        <w:gridCol w:w="2236"/>
        <w:gridCol w:w="2559"/>
        <w:gridCol w:w="2728"/>
        <w:gridCol w:w="2803"/>
      </w:tblGrid>
      <w:tr w:rsidR="004C7328" w:rsidRPr="00023995" w14:paraId="177F2C47" w14:textId="77777777" w:rsidTr="00163363">
        <w:tc>
          <w:tcPr>
            <w:tcW w:w="5000" w:type="pct"/>
            <w:gridSpan w:val="6"/>
          </w:tcPr>
          <w:p w14:paraId="0F785C72" w14:textId="3B804ED4" w:rsidR="004C7328" w:rsidRPr="00023995" w:rsidRDefault="004C7328" w:rsidP="009F2170">
            <w:pPr>
              <w:jc w:val="center"/>
              <w:rPr>
                <w:b/>
                <w:bCs/>
              </w:rPr>
            </w:pPr>
            <w:r w:rsidRPr="00023995">
              <w:rPr>
                <w:b/>
                <w:bCs/>
              </w:rPr>
              <w:t>How can information on human mobility be used in public health response?</w:t>
            </w:r>
          </w:p>
        </w:tc>
      </w:tr>
      <w:tr w:rsidR="002C265E" w:rsidRPr="00023995" w14:paraId="69093597" w14:textId="77777777" w:rsidTr="00163363">
        <w:tc>
          <w:tcPr>
            <w:tcW w:w="738" w:type="pct"/>
          </w:tcPr>
          <w:p w14:paraId="105BEE58" w14:textId="1EB9C1C7" w:rsidR="00187732" w:rsidRPr="00023995" w:rsidRDefault="0025034D">
            <w:pPr>
              <w:rPr>
                <w:b/>
                <w:bCs/>
              </w:rPr>
            </w:pPr>
            <w:r w:rsidRPr="00023995">
              <w:rPr>
                <w:b/>
                <w:bCs/>
              </w:rPr>
              <w:t>Phase</w:t>
            </w:r>
          </w:p>
        </w:tc>
        <w:tc>
          <w:tcPr>
            <w:tcW w:w="674" w:type="pct"/>
          </w:tcPr>
          <w:p w14:paraId="31D36EA6" w14:textId="3348797E" w:rsidR="00187732" w:rsidRPr="00023995" w:rsidRDefault="00187732">
            <w:pPr>
              <w:rPr>
                <w:b/>
                <w:bCs/>
              </w:rPr>
            </w:pPr>
            <w:r w:rsidRPr="00023995">
              <w:rPr>
                <w:b/>
                <w:bCs/>
              </w:rPr>
              <w:t>Main question</w:t>
            </w:r>
            <w:r w:rsidR="0082342A" w:rsidRPr="00023995">
              <w:rPr>
                <w:b/>
                <w:bCs/>
              </w:rPr>
              <w:t>(s)</w:t>
            </w:r>
          </w:p>
        </w:tc>
        <w:tc>
          <w:tcPr>
            <w:tcW w:w="777" w:type="pct"/>
          </w:tcPr>
          <w:p w14:paraId="1748B77D" w14:textId="13945E21" w:rsidR="00187732" w:rsidRPr="00023995" w:rsidRDefault="00163363">
            <w:pPr>
              <w:rPr>
                <w:b/>
                <w:bCs/>
              </w:rPr>
            </w:pPr>
            <w:r w:rsidRPr="00023995">
              <w:rPr>
                <w:b/>
                <w:bCs/>
              </w:rPr>
              <w:t xml:space="preserve">Mobility data </w:t>
            </w:r>
            <w:r w:rsidR="00187732" w:rsidRPr="00023995">
              <w:rPr>
                <w:b/>
                <w:bCs/>
              </w:rPr>
              <w:t>needs</w:t>
            </w:r>
          </w:p>
        </w:tc>
        <w:tc>
          <w:tcPr>
            <w:tcW w:w="889" w:type="pct"/>
          </w:tcPr>
          <w:p w14:paraId="5BB40070" w14:textId="1A650058" w:rsidR="00187732" w:rsidRPr="00023995" w:rsidRDefault="00163363">
            <w:pPr>
              <w:rPr>
                <w:b/>
                <w:bCs/>
              </w:rPr>
            </w:pPr>
            <w:r w:rsidRPr="00023995">
              <w:rPr>
                <w:b/>
                <w:bCs/>
              </w:rPr>
              <w:t xml:space="preserve">How could </w:t>
            </w:r>
            <w:r w:rsidR="00B22FE6" w:rsidRPr="00023995">
              <w:rPr>
                <w:b/>
                <w:bCs/>
              </w:rPr>
              <w:t>the</w:t>
            </w:r>
            <w:r w:rsidR="00A04C71" w:rsidRPr="00023995">
              <w:rPr>
                <w:b/>
                <w:bCs/>
              </w:rPr>
              <w:t xml:space="preserve"> mobility</w:t>
            </w:r>
            <w:r w:rsidR="00B22FE6" w:rsidRPr="00023995">
              <w:rPr>
                <w:b/>
                <w:bCs/>
              </w:rPr>
              <w:t xml:space="preserve"> data </w:t>
            </w:r>
            <w:r w:rsidRPr="00023995">
              <w:rPr>
                <w:b/>
                <w:bCs/>
              </w:rPr>
              <w:t>be used</w:t>
            </w:r>
          </w:p>
        </w:tc>
        <w:tc>
          <w:tcPr>
            <w:tcW w:w="948" w:type="pct"/>
          </w:tcPr>
          <w:p w14:paraId="2381B436" w14:textId="3056E436" w:rsidR="00187732" w:rsidRPr="00023995" w:rsidRDefault="00652843">
            <w:pPr>
              <w:rPr>
                <w:b/>
                <w:bCs/>
              </w:rPr>
            </w:pPr>
            <w:r w:rsidRPr="00023995">
              <w:rPr>
                <w:b/>
                <w:bCs/>
              </w:rPr>
              <w:t>Key unknowns</w:t>
            </w:r>
          </w:p>
        </w:tc>
        <w:tc>
          <w:tcPr>
            <w:tcW w:w="973" w:type="pct"/>
          </w:tcPr>
          <w:p w14:paraId="41EB4832" w14:textId="71D919A3" w:rsidR="00187732" w:rsidRPr="00023995" w:rsidRDefault="00652843">
            <w:pPr>
              <w:rPr>
                <w:b/>
                <w:bCs/>
              </w:rPr>
            </w:pPr>
            <w:r w:rsidRPr="00023995">
              <w:rPr>
                <w:b/>
                <w:bCs/>
              </w:rPr>
              <w:t>Example of use case</w:t>
            </w:r>
          </w:p>
        </w:tc>
      </w:tr>
      <w:tr w:rsidR="002C265E" w:rsidRPr="00023995" w14:paraId="6E503B07" w14:textId="77777777" w:rsidTr="00163363">
        <w:tc>
          <w:tcPr>
            <w:tcW w:w="738" w:type="pct"/>
          </w:tcPr>
          <w:p w14:paraId="747F4364" w14:textId="3E20D0F6" w:rsidR="00652843" w:rsidRPr="006B0BC6" w:rsidRDefault="004A6840" w:rsidP="004A1D84">
            <w:pPr>
              <w:pStyle w:val="ListParagraph"/>
              <w:numPr>
                <w:ilvl w:val="0"/>
                <w:numId w:val="12"/>
              </w:numPr>
              <w:rPr>
                <w:rFonts w:ascii="Times New Roman" w:hAnsi="Times New Roman" w:cs="Times New Roman"/>
                <w:b/>
                <w:bCs/>
              </w:rPr>
            </w:pPr>
            <w:r w:rsidRPr="006B0BC6">
              <w:rPr>
                <w:rFonts w:ascii="Times New Roman" w:hAnsi="Times New Roman" w:cs="Times New Roman"/>
                <w:b/>
                <w:bCs/>
              </w:rPr>
              <w:t xml:space="preserve">Prior to an outbreak or in preparation </w:t>
            </w:r>
          </w:p>
        </w:tc>
        <w:tc>
          <w:tcPr>
            <w:tcW w:w="674" w:type="pct"/>
          </w:tcPr>
          <w:p w14:paraId="4C5B7821" w14:textId="3D36BABA" w:rsidR="00652843" w:rsidRPr="00023995" w:rsidRDefault="00652843">
            <w:r w:rsidRPr="00023995">
              <w:t>Given an outbreak, where</w:t>
            </w:r>
            <w:r w:rsidR="001E3838" w:rsidRPr="00023995">
              <w:t xml:space="preserve"> will</w:t>
            </w:r>
            <w:r w:rsidR="00163363" w:rsidRPr="00023995">
              <w:t xml:space="preserve"> the pathogen spread? </w:t>
            </w:r>
          </w:p>
          <w:p w14:paraId="0982441D" w14:textId="77777777" w:rsidR="00C52E94" w:rsidRPr="00023995" w:rsidRDefault="00C52E94"/>
          <w:p w14:paraId="51495554" w14:textId="52B970FD" w:rsidR="00C52E94" w:rsidRPr="00023995" w:rsidRDefault="00C52E94">
            <w:pPr>
              <w:rPr>
                <w:u w:val="single"/>
              </w:rPr>
            </w:pPr>
          </w:p>
        </w:tc>
        <w:tc>
          <w:tcPr>
            <w:tcW w:w="777" w:type="pct"/>
          </w:tcPr>
          <w:p w14:paraId="521B65C6" w14:textId="77777777" w:rsidR="00163363" w:rsidRPr="00023995" w:rsidRDefault="004A6840">
            <w:r w:rsidRPr="00023995">
              <w:t>Ideally access to m</w:t>
            </w:r>
            <w:r w:rsidR="007C53EA" w:rsidRPr="00023995">
              <w:t xml:space="preserve">ultiple data sets </w:t>
            </w:r>
            <w:proofErr w:type="gramStart"/>
            <w:r w:rsidR="007C53EA" w:rsidRPr="00023995">
              <w:t>given</w:t>
            </w:r>
            <w:proofErr w:type="gramEnd"/>
            <w:r w:rsidRPr="00023995">
              <w:t xml:space="preserve"> the</w:t>
            </w:r>
            <w:r w:rsidR="007C53EA" w:rsidRPr="00023995">
              <w:t xml:space="preserve"> high uncertainty</w:t>
            </w:r>
            <w:r w:rsidRPr="00023995">
              <w:t xml:space="preserve"> in the population at risk or transmission patterns. </w:t>
            </w:r>
          </w:p>
          <w:p w14:paraId="222D177E" w14:textId="7CCD2BE0" w:rsidR="00163363" w:rsidRPr="00023995" w:rsidRDefault="00163363">
            <w:r w:rsidRPr="00023995">
              <w:t xml:space="preserve">Priority towards data describing international travel and from locations that are likely sources of initial spread. </w:t>
            </w:r>
          </w:p>
          <w:p w14:paraId="055B570E" w14:textId="5FA82EE1" w:rsidR="00652843" w:rsidRPr="00023995" w:rsidRDefault="004A6840">
            <w:r w:rsidRPr="00023995">
              <w:t>Data that could describe general movement patterns, since risk factors may not be identified, are preferable to understand how the mobility data could be integrated and used with disease surveillance network information</w:t>
            </w:r>
          </w:p>
        </w:tc>
        <w:tc>
          <w:tcPr>
            <w:tcW w:w="889" w:type="pct"/>
          </w:tcPr>
          <w:p w14:paraId="1C2757E7" w14:textId="4AA4156E" w:rsidR="00652843" w:rsidRPr="00023995" w:rsidRDefault="00163363">
            <w:r w:rsidRPr="00023995">
              <w:t xml:space="preserve">Mobility could be integrated into modeling frameworks to estimate introduction rates to other locations, given a range of initial starting locations. </w:t>
            </w:r>
          </w:p>
        </w:tc>
        <w:tc>
          <w:tcPr>
            <w:tcW w:w="948" w:type="pct"/>
          </w:tcPr>
          <w:p w14:paraId="2C640C04" w14:textId="38C12867" w:rsidR="00652843" w:rsidRPr="00023995" w:rsidRDefault="00163363">
            <w:r w:rsidRPr="00023995">
              <w:t xml:space="preserve">What is the risk of importations to other locations? </w:t>
            </w:r>
          </w:p>
        </w:tc>
        <w:tc>
          <w:tcPr>
            <w:tcW w:w="973" w:type="pct"/>
          </w:tcPr>
          <w:p w14:paraId="7815703B" w14:textId="3C273563" w:rsidR="007C0FE1" w:rsidRPr="00023995" w:rsidRDefault="00F27120">
            <w:r w:rsidRPr="00023995">
              <w:t xml:space="preserve">Assessing risk of dengue </w:t>
            </w:r>
            <w:r w:rsidR="00ED52CF" w:rsidRPr="00023995">
              <w:t>by location to guide development of early warning and response systems</w:t>
            </w:r>
            <w:r w:rsidR="00DD0ECD" w:rsidRPr="00023995">
              <w:fldChar w:fldCharType="begin"/>
            </w:r>
            <w:r w:rsidR="00DD0ECD" w:rsidRPr="00023995">
              <w:instrText xml:space="preserve"> ADDIN ZOTERO_ITEM CSL_CITATION {"citationID":"xz4nZcIH","properties":{"formattedCitation":"\\super 7\\nosupersub{}","plainCitation":"7","noteIndex":0},"citationItems":[{"id":527,"uris":["http://zotero.org/users/8711921/items/P2GVRFCJ"],"itemData":{"id":527,"type":"article-journal","abstract":"Only a few studies have investigated the potential of using geotagged social media data for predicting the patterns of spatio-temporal spread of vector-borne diseases. We herein demonstrated the role of human mobility in the intra-urban spread of dengue by weighting local incidence data with geo-tagged Twitter data as a proxy for human mobility across 45 neighborhoods in Yogyakarta city, Indonesia. To estimate the dengue virus importation pressure in each study neighborhood monthly, we developed an algorithm to estimate a dynamic mobility-weighted incidence index (MI), which quantifies the level of exposure to virus importation in any given neighborhood. Using a Bayesian spatio-temporal regression model, we estimated the coefficients and predictiveness of the MI index for lags up to 6 months. Specifically, we used a Poisson regression model with an unstructured spatial covariance matrix. We compared the predictability of the MI index to that of the dengue incidence rate over the preceding months in the same neighborhood (autocorrelation) and that of the mobility information alone. We based our estimates on a volume of 1·302·405 geotagged tweets (from 118·114 unique users) and monthly dengue incidence data for the 45 study neighborhoods in Yogyakarta city over the period from August 2016 to June 2018. The MI index, as a standalone variable, had the highest explanatory power for predicting dengue transmission risk in the study neighborhoods, with the greatest predictive ability at a 3-months lead time. The MI index was a better predictor of the dengue risk in a neighborhood than the recent transmission patterns in the same neighborhood, or just the mobility patterns between neighborhoods. Our results suggest that human mobility is an important driver of the spread of dengue within cities when combined with information on local circulation of the dengue virus. The geotagged Twitter data can provide important information on human mobility patterns to improve our understanding of the direction and the risk of spread of diseases, such as dengue. The proposed MI index together with traditional data sources can provide useful information for the development of more accurate and efficient early warning and response systems.","container-title":"PLOS Neglected Tropical Diseases","DOI":"10.1371/journal.pntd.0007298","ISSN":"1935-2735","issue":"4","journalAbbreviation":"PLOS Neglected Tropical Diseases","language":"en","note":"publisher: Public Library of Science","page":"e0007298","source":"PLoS Journals","title":"A combination of incidence data and mobility proxies from social media predicts the intra-urban spread of dengue in Yogyakarta, Indonesia","volume":"13","author":[{"family":"Ramadona","given":"Aditya Lia"},{"family":"Tozan","given":"Yesim"},{"family":"Lazuardi","given":"Lutfan"},{"family":"Rocklöv","given":"Joacim"}],"issued":{"date-parts":[["2019",4,15]]}}}],"schema":"https://github.com/citation-style-language/schema/raw/master/csl-citation.json"} </w:instrText>
            </w:r>
            <w:r w:rsidR="00DD0ECD" w:rsidRPr="00023995">
              <w:fldChar w:fldCharType="separate"/>
            </w:r>
            <w:r w:rsidR="00DD0ECD" w:rsidRPr="00023995">
              <w:rPr>
                <w:vertAlign w:val="superscript"/>
              </w:rPr>
              <w:t>7</w:t>
            </w:r>
            <w:r w:rsidR="00DD0ECD" w:rsidRPr="00023995">
              <w:fldChar w:fldCharType="end"/>
            </w:r>
            <w:r w:rsidR="00163363" w:rsidRPr="00023995">
              <w:t xml:space="preserve">. </w:t>
            </w:r>
          </w:p>
          <w:p w14:paraId="0EF5C88F" w14:textId="77777777" w:rsidR="007C0FE1" w:rsidRPr="00023995" w:rsidRDefault="007C0FE1">
            <w:pPr>
              <w:rPr>
                <w:u w:val="single"/>
              </w:rPr>
            </w:pPr>
          </w:p>
          <w:p w14:paraId="4AD480AA" w14:textId="3AFE9853" w:rsidR="007C0FE1" w:rsidRPr="00023995" w:rsidRDefault="007C0FE1">
            <w:r w:rsidRPr="00023995">
              <w:rPr>
                <w:u w:val="single"/>
              </w:rPr>
              <w:t>Mobility d</w:t>
            </w:r>
            <w:r w:rsidR="00163363" w:rsidRPr="00023995">
              <w:rPr>
                <w:u w:val="single"/>
              </w:rPr>
              <w:t>ata used:</w:t>
            </w:r>
            <w:r w:rsidR="00163363" w:rsidRPr="00023995">
              <w:t xml:space="preserve"> </w:t>
            </w:r>
            <w:r w:rsidRPr="00023995">
              <w:t>Twitter data on mobility between pairs of neighborhoods</w:t>
            </w:r>
          </w:p>
          <w:p w14:paraId="3678CAC3" w14:textId="77777777" w:rsidR="007C0FE1" w:rsidRPr="00023995" w:rsidRDefault="007C0FE1"/>
          <w:p w14:paraId="172C0C48" w14:textId="4737DE85" w:rsidR="00652843" w:rsidRPr="00023995" w:rsidRDefault="007C0FE1">
            <w:r w:rsidRPr="00023995">
              <w:rPr>
                <w:u w:val="single"/>
              </w:rPr>
              <w:t>M</w:t>
            </w:r>
            <w:r w:rsidR="00163363" w:rsidRPr="00023995">
              <w:rPr>
                <w:u w:val="single"/>
              </w:rPr>
              <w:t>ethod used:</w:t>
            </w:r>
            <w:r w:rsidR="00163363" w:rsidRPr="00023995">
              <w:t xml:space="preserve"> </w:t>
            </w:r>
            <w:r w:rsidRPr="00023995">
              <w:t xml:space="preserve">Regression analysis to assess predictors of dengue incidence. Number of cases modeled using Bayesian </w:t>
            </w:r>
            <w:proofErr w:type="spellStart"/>
            <w:r w:rsidRPr="00023995">
              <w:t>spatio</w:t>
            </w:r>
            <w:proofErr w:type="spellEnd"/>
            <w:r w:rsidRPr="00023995">
              <w:t xml:space="preserve">-temporal </w:t>
            </w:r>
            <w:r w:rsidR="00023995" w:rsidRPr="00023995">
              <w:t>modeling</w:t>
            </w:r>
            <w:r w:rsidRPr="00023995">
              <w:t xml:space="preserve"> framework assuming a Poisson distribution.</w:t>
            </w:r>
          </w:p>
          <w:p w14:paraId="17ED03AB" w14:textId="77777777" w:rsidR="00163363" w:rsidRPr="00023995" w:rsidRDefault="00163363"/>
          <w:p w14:paraId="152DB9CA" w14:textId="62AF31F4" w:rsidR="00163363" w:rsidRPr="00023995" w:rsidRDefault="00163363"/>
        </w:tc>
      </w:tr>
      <w:tr w:rsidR="002C265E" w:rsidRPr="00023995" w14:paraId="73FBE0F3" w14:textId="77777777" w:rsidTr="00163363">
        <w:tc>
          <w:tcPr>
            <w:tcW w:w="738" w:type="pct"/>
          </w:tcPr>
          <w:p w14:paraId="20EBA8F8" w14:textId="4B4B246A" w:rsidR="00652843" w:rsidRPr="006B0BC6" w:rsidRDefault="00652843" w:rsidP="00652843">
            <w:pPr>
              <w:pStyle w:val="ListParagraph"/>
              <w:numPr>
                <w:ilvl w:val="0"/>
                <w:numId w:val="12"/>
              </w:numPr>
              <w:rPr>
                <w:rFonts w:ascii="Times New Roman" w:hAnsi="Times New Roman" w:cs="Times New Roman"/>
                <w:b/>
                <w:bCs/>
              </w:rPr>
            </w:pPr>
            <w:r w:rsidRPr="006B0BC6">
              <w:rPr>
                <w:rFonts w:ascii="Times New Roman" w:hAnsi="Times New Roman" w:cs="Times New Roman"/>
                <w:b/>
                <w:bCs/>
              </w:rPr>
              <w:t>Emergence</w:t>
            </w:r>
          </w:p>
        </w:tc>
        <w:tc>
          <w:tcPr>
            <w:tcW w:w="674" w:type="pct"/>
          </w:tcPr>
          <w:p w14:paraId="0BBDF169" w14:textId="643E103A" w:rsidR="00652843" w:rsidRPr="00023995" w:rsidRDefault="004A6840">
            <w:r w:rsidRPr="00023995">
              <w:t xml:space="preserve">What is the order and timing of locations for the initial spatial </w:t>
            </w:r>
            <w:r w:rsidRPr="00023995">
              <w:lastRenderedPageBreak/>
              <w:t xml:space="preserve">spread of a pathogen? </w:t>
            </w:r>
          </w:p>
        </w:tc>
        <w:tc>
          <w:tcPr>
            <w:tcW w:w="777" w:type="pct"/>
          </w:tcPr>
          <w:p w14:paraId="10E30F48" w14:textId="221DC74C" w:rsidR="00652843" w:rsidRPr="00023995" w:rsidRDefault="0082342A">
            <w:r w:rsidRPr="00023995">
              <w:lastRenderedPageBreak/>
              <w:t>More specific temporal and spatial information</w:t>
            </w:r>
            <w:r w:rsidR="004A6840" w:rsidRPr="00023995">
              <w:t xml:space="preserve"> for areas already </w:t>
            </w:r>
            <w:r w:rsidR="004A6840" w:rsidRPr="00023995">
              <w:lastRenderedPageBreak/>
              <w:t>impacted and likely to spread</w:t>
            </w:r>
            <w:r w:rsidR="00113EB4" w:rsidRPr="00023995">
              <w:t>; also r</w:t>
            </w:r>
            <w:r w:rsidR="004A6840" w:rsidRPr="00023995">
              <w:t xml:space="preserve">equires information on the </w:t>
            </w:r>
            <w:r w:rsidR="00113EB4" w:rsidRPr="00023995">
              <w:t>magnitude</w:t>
            </w:r>
            <w:r w:rsidR="004A6840" w:rsidRPr="00023995">
              <w:t xml:space="preserve"> </w:t>
            </w:r>
            <w:r w:rsidR="00113EB4" w:rsidRPr="00023995">
              <w:t xml:space="preserve">and frequency </w:t>
            </w:r>
            <w:r w:rsidR="004A6840" w:rsidRPr="00023995">
              <w:t xml:space="preserve">of travel between specific origins and </w:t>
            </w:r>
            <w:r w:rsidR="00163363" w:rsidRPr="00023995">
              <w:t>destinations</w:t>
            </w:r>
            <w:r w:rsidR="004A6840" w:rsidRPr="00023995">
              <w:t xml:space="preserve"> </w:t>
            </w:r>
            <w:r w:rsidR="00113EB4" w:rsidRPr="00023995">
              <w:t xml:space="preserve">such as </w:t>
            </w:r>
            <w:r w:rsidR="00A04C71" w:rsidRPr="00023995">
              <w:t>location data from mobile phones</w:t>
            </w:r>
            <w:r w:rsidR="00023995">
              <w:t xml:space="preserve">, </w:t>
            </w:r>
            <w:r w:rsidR="00A04C71" w:rsidRPr="00023995">
              <w:t xml:space="preserve">social media, or GPS </w:t>
            </w:r>
            <w:r w:rsidR="006F6565">
              <w:t>loggers</w:t>
            </w:r>
            <w:r w:rsidR="00A04C71" w:rsidRPr="00023995">
              <w:t xml:space="preserve">. </w:t>
            </w:r>
          </w:p>
        </w:tc>
        <w:tc>
          <w:tcPr>
            <w:tcW w:w="889" w:type="pct"/>
          </w:tcPr>
          <w:p w14:paraId="71CDF13B" w14:textId="75B476B8" w:rsidR="00652843" w:rsidRPr="00023995" w:rsidRDefault="0082342A">
            <w:r w:rsidRPr="00023995">
              <w:lastRenderedPageBreak/>
              <w:t>Using</w:t>
            </w:r>
            <w:r w:rsidR="00113EB4" w:rsidRPr="00023995">
              <w:t xml:space="preserve"> case data where the pathogen has emerged, estimate spatial spread to other </w:t>
            </w:r>
            <w:r w:rsidR="00113EB4" w:rsidRPr="00023995">
              <w:lastRenderedPageBreak/>
              <w:t>locations using the frequency and number of trips to locations at risk.</w:t>
            </w:r>
          </w:p>
        </w:tc>
        <w:tc>
          <w:tcPr>
            <w:tcW w:w="948" w:type="pct"/>
          </w:tcPr>
          <w:p w14:paraId="2AA69371" w14:textId="6B736E25" w:rsidR="00652843" w:rsidRPr="00023995" w:rsidRDefault="00491035">
            <w:r w:rsidRPr="00023995">
              <w:lastRenderedPageBreak/>
              <w:t xml:space="preserve">Who is </w:t>
            </w:r>
            <w:r w:rsidR="00023995" w:rsidRPr="00023995">
              <w:t>infected</w:t>
            </w:r>
            <w:r w:rsidRPr="00023995">
              <w:t>?</w:t>
            </w:r>
            <w:r w:rsidR="00BF046A" w:rsidRPr="00023995">
              <w:t xml:space="preserve"> Which locations are infected?</w:t>
            </w:r>
          </w:p>
          <w:p w14:paraId="60AE1D43" w14:textId="77777777" w:rsidR="004A6840" w:rsidRPr="00023995" w:rsidRDefault="004A6840">
            <w:r w:rsidRPr="00023995">
              <w:lastRenderedPageBreak/>
              <w:t xml:space="preserve">How will different mobility behaviors drive transmission? </w:t>
            </w:r>
          </w:p>
          <w:p w14:paraId="04AC477E" w14:textId="1E4CF02D" w:rsidR="004A6840" w:rsidRPr="00023995" w:rsidRDefault="004A6840">
            <w:r w:rsidRPr="00023995">
              <w:t>How will superspreading or skewed transmission events impact the spatial spread</w:t>
            </w:r>
          </w:p>
        </w:tc>
        <w:tc>
          <w:tcPr>
            <w:tcW w:w="973" w:type="pct"/>
          </w:tcPr>
          <w:p w14:paraId="49E47AC7" w14:textId="465582D8" w:rsidR="00652843" w:rsidRPr="00023995" w:rsidRDefault="00910B70">
            <w:r w:rsidRPr="00023995">
              <w:lastRenderedPageBreak/>
              <w:t>Identifying</w:t>
            </w:r>
            <w:r w:rsidR="003D3C5D" w:rsidRPr="00023995">
              <w:t xml:space="preserve"> potential secondary hubs for viral transmission</w:t>
            </w:r>
            <w:r w:rsidRPr="00023995">
              <w:t xml:space="preserve"> of SARS-CoV-2</w:t>
            </w:r>
            <w:r w:rsidR="00DD0ECD" w:rsidRPr="00023995">
              <w:fldChar w:fldCharType="begin"/>
            </w:r>
            <w:r w:rsidR="00DD0ECD" w:rsidRPr="00023995">
              <w:instrText xml:space="preserve"> ADDIN ZOTERO_ITEM CSL_CITATION {"citationID":"wqHageKE","properties":{"formattedCitation":"\\super 8\\nosupersub{}","plainCitation":"8","noteIndex":0},"citationItems":[{"id":526,"uris":["http://zotero.org/users/8711921/items/IBYUDRQC"],"itemData":{"id":526,"type":"article-journal","abstract":"&lt;h2&gt;Summary&lt;/h2&gt;&lt;p&gt;The Alpha, Beta, and Gamma SARS-CoV-2 variants of concern (VOCs) co-circulated globally during 2020 and 2021, fueling waves of infections. They were displaced by Delta during a third wave worldwide in 2021, which, in turn, was displaced by Omicron in late 2021. In this study, we use phylogenetic and phylogeographic methods to reconstruct the dispersal patterns of VOCs worldwide. We find that source-sink dynamics varied substantially by VOC and identify countries that acted as global and regional hubs of dissemination. We demonstrate the declining role of presumed origin countries of VOCs in their global dispersal, estimating that India contributed &lt;15% of Delta exports and South Africa &lt;1%–2% of Omicron dispersal. We estimate that &gt;80 countries had received introductions of Omicron within 100 days of its emergence, associated with accelerated passenger air travel and higher transmissibility. Our study highlights the rapid dispersal of highly transmissible variants, with implications for genomic surveillance along the hierarchical airline network.&lt;/p&gt;","container-title":"Cell","DOI":"10.1016/j.cell.2023.06.001","ISSN":"0092-8674, 1097-4172","issue":"15","journalAbbreviation":"Cell","language":"English","note":"publisher: Elsevier\nPMID: 37413988","page":"3277-3290.e16","source":"www.cell.com","title":"Dispersal patterns and influence of air travel during the global expansion of SARS-CoV-2 variants of concern","volume":"186","author":[{"family":"Tegally","given":"Houriiyah"},{"family":"Wilkinson","given":"Eduan"},{"family":"Tsui","given":"Joseph L.-H."},{"family":"Moir","given":"Monika"},{"family":"Martin","given":"Darren"},{"family":"Brito","given":"Anderson Fernandes"},{"family":"Giovanetti","given":"Marta"},{"family":"Khan","given":"Kamran"},{"family":"Huber","given":"Carmen"},{"family":"Bogoch","given":"Isaac I."},{"family":"San","given":"James Emmanuel"},{"family":"Poongavanan","given":"Jenicca"},{"family":"Xavier","given":"Joicymara S."},{"family":"Candido","given":"Darlan da S."},{"family":"Romero","given":"Filipe"},{"family":"Baxter","given":"Cheryl"},{"family":"Pybus","given":"Oliver G."},{"family":"Lessells","given":"Richard J."},{"family":"Faria","given":"Nuno R."},{"family":"Kraemer","given":"Moritz U. G."},{"family":"Oliveira","given":"Tulio","dropping-particle":"de"}],"issued":{"date-parts":[["2023",7,20]]}}}],"schema":"https://github.com/citation-style-language/schema/raw/master/csl-citation.json"} </w:instrText>
            </w:r>
            <w:r w:rsidR="00DD0ECD" w:rsidRPr="00023995">
              <w:fldChar w:fldCharType="separate"/>
            </w:r>
            <w:r w:rsidR="00DD0ECD" w:rsidRPr="00023995">
              <w:rPr>
                <w:vertAlign w:val="superscript"/>
              </w:rPr>
              <w:t>8</w:t>
            </w:r>
            <w:r w:rsidR="00DD0ECD" w:rsidRPr="00023995">
              <w:fldChar w:fldCharType="end"/>
            </w:r>
            <w:r w:rsidR="00701831" w:rsidRPr="00023995">
              <w:t>.</w:t>
            </w:r>
            <w:r w:rsidR="00B22FE6" w:rsidRPr="00023995">
              <w:t xml:space="preserve"> </w:t>
            </w:r>
          </w:p>
          <w:p w14:paraId="30F3715E" w14:textId="77777777" w:rsidR="007C0FE1" w:rsidRPr="00023995" w:rsidRDefault="007C0FE1"/>
          <w:p w14:paraId="701E8AA8" w14:textId="444C000B" w:rsidR="007C0FE1" w:rsidRPr="00023995" w:rsidRDefault="007C0FE1">
            <w:r w:rsidRPr="00023995">
              <w:rPr>
                <w:u w:val="single"/>
              </w:rPr>
              <w:t>Mobility data used:</w:t>
            </w:r>
            <w:r w:rsidRPr="00023995">
              <w:t xml:space="preserve"> </w:t>
            </w:r>
            <w:r w:rsidR="00966A83" w:rsidRPr="00023995">
              <w:t>Air passenger volumes between international airports / countries</w:t>
            </w:r>
          </w:p>
          <w:p w14:paraId="3508C5AC" w14:textId="77777777" w:rsidR="008B783A" w:rsidRPr="00023995" w:rsidRDefault="008B783A"/>
          <w:p w14:paraId="603F6531" w14:textId="1F6A0C51" w:rsidR="008B783A" w:rsidRPr="00023995" w:rsidRDefault="008B783A">
            <w:r w:rsidRPr="00023995">
              <w:rPr>
                <w:u w:val="single"/>
              </w:rPr>
              <w:t>Method used:</w:t>
            </w:r>
            <w:r w:rsidR="00701831" w:rsidRPr="00023995">
              <w:t xml:space="preserve"> Reconstruction of dispersal patterns of variants of concern using phylogenic and phylogeographic methods. Use of regression to test association between travel volume, COVID-19 case and death counts, and international travel ban on estimated mean monthly exports of the virus.</w:t>
            </w:r>
          </w:p>
        </w:tc>
      </w:tr>
      <w:tr w:rsidR="002C265E" w:rsidRPr="00023995" w14:paraId="4315A837" w14:textId="77777777" w:rsidTr="00163363">
        <w:tc>
          <w:tcPr>
            <w:tcW w:w="738" w:type="pct"/>
          </w:tcPr>
          <w:p w14:paraId="7FE9A357" w14:textId="4EAB7B59" w:rsidR="00652843" w:rsidRPr="006B0BC6" w:rsidRDefault="00652843" w:rsidP="00652843">
            <w:pPr>
              <w:pStyle w:val="ListParagraph"/>
              <w:numPr>
                <w:ilvl w:val="0"/>
                <w:numId w:val="12"/>
              </w:numPr>
              <w:rPr>
                <w:rFonts w:ascii="Times New Roman" w:hAnsi="Times New Roman" w:cs="Times New Roman"/>
                <w:b/>
                <w:bCs/>
              </w:rPr>
            </w:pPr>
            <w:r w:rsidRPr="006B0BC6">
              <w:rPr>
                <w:rFonts w:ascii="Times New Roman" w:hAnsi="Times New Roman" w:cs="Times New Roman"/>
                <w:b/>
                <w:bCs/>
              </w:rPr>
              <w:lastRenderedPageBreak/>
              <w:t>Control</w:t>
            </w:r>
          </w:p>
        </w:tc>
        <w:tc>
          <w:tcPr>
            <w:tcW w:w="674" w:type="pct"/>
          </w:tcPr>
          <w:p w14:paraId="412C345F" w14:textId="4B32FD15" w:rsidR="00652843" w:rsidRPr="00023995" w:rsidRDefault="004A6840" w:rsidP="004A6840">
            <w:r w:rsidRPr="00023995">
              <w:t xml:space="preserve">What is the </w:t>
            </w:r>
            <w:r w:rsidR="00163363" w:rsidRPr="00023995">
              <w:t>amount</w:t>
            </w:r>
            <w:r w:rsidRPr="00023995">
              <w:t xml:space="preserve"> of mixing or coupling between different populations to determine how interventions may or may not be impacted? How do different contact rates impact the effectiveness of interventions? </w:t>
            </w:r>
          </w:p>
        </w:tc>
        <w:tc>
          <w:tcPr>
            <w:tcW w:w="777" w:type="pct"/>
          </w:tcPr>
          <w:p w14:paraId="22BC925E" w14:textId="03272BA2" w:rsidR="00652843" w:rsidRPr="00023995" w:rsidRDefault="0082342A">
            <w:r w:rsidRPr="00023995">
              <w:t>Validated mobility data against historic out</w:t>
            </w:r>
            <w:r w:rsidR="004C7328" w:rsidRPr="00023995">
              <w:t>b</w:t>
            </w:r>
            <w:r w:rsidRPr="00023995">
              <w:t xml:space="preserve">reaks, mapping of behaviors onto transmission </w:t>
            </w:r>
            <w:r w:rsidR="004A6840" w:rsidRPr="00023995">
              <w:t xml:space="preserve">inferred from disease data as well as detailed information about </w:t>
            </w:r>
            <w:r w:rsidRPr="00023995">
              <w:t>interventions</w:t>
            </w:r>
            <w:r w:rsidR="004A6840" w:rsidRPr="00023995">
              <w:t xml:space="preserve"> that were deployed</w:t>
            </w:r>
            <w:r w:rsidR="0073738A" w:rsidRPr="00023995">
              <w:t>.</w:t>
            </w:r>
          </w:p>
          <w:p w14:paraId="57E1EC6A" w14:textId="7E23FD85" w:rsidR="00B22FE6" w:rsidRPr="00023995" w:rsidRDefault="00B22FE6">
            <w:r w:rsidRPr="00023995">
              <w:t xml:space="preserve">Mixing and contact rates between populations, time spent at locations, origin-destination trip counts, duration, impact of </w:t>
            </w:r>
            <w:r w:rsidRPr="00023995">
              <w:lastRenderedPageBreak/>
              <w:t xml:space="preserve">interventions (aimed at mobility) on changes in mobility such as </w:t>
            </w:r>
            <w:r w:rsidR="00A04C71" w:rsidRPr="00023995">
              <w:t>travel surveys, mobile phone and social media data, transportation.</w:t>
            </w:r>
            <w:r w:rsidRPr="00023995">
              <w:t xml:space="preserve"> </w:t>
            </w:r>
          </w:p>
        </w:tc>
        <w:tc>
          <w:tcPr>
            <w:tcW w:w="889" w:type="pct"/>
          </w:tcPr>
          <w:p w14:paraId="1137786D" w14:textId="45C1D0ED" w:rsidR="00652843" w:rsidRPr="00023995" w:rsidRDefault="0082342A">
            <w:r w:rsidRPr="00023995">
              <w:lastRenderedPageBreak/>
              <w:t xml:space="preserve">Inference against data to identify which data sources, mobility behaviors are most relevant for different </w:t>
            </w:r>
            <w:r w:rsidR="006805D5" w:rsidRPr="00023995">
              <w:t>diseases</w:t>
            </w:r>
            <w:r w:rsidR="004A6840" w:rsidRPr="00023995">
              <w:t xml:space="preserve"> transmission</w:t>
            </w:r>
          </w:p>
        </w:tc>
        <w:tc>
          <w:tcPr>
            <w:tcW w:w="948" w:type="pct"/>
          </w:tcPr>
          <w:p w14:paraId="18139FE1" w14:textId="486B867F" w:rsidR="00652843" w:rsidRPr="00023995" w:rsidRDefault="003D3C5D">
            <w:r w:rsidRPr="00023995">
              <w:t>How do different mobility measures map onto behaviors</w:t>
            </w:r>
            <w:r w:rsidR="004A6840" w:rsidRPr="00023995">
              <w:t xml:space="preserve"> that continue to drive transmission</w:t>
            </w:r>
            <w:r w:rsidRPr="00023995">
              <w:t>?</w:t>
            </w:r>
          </w:p>
        </w:tc>
        <w:tc>
          <w:tcPr>
            <w:tcW w:w="973" w:type="pct"/>
          </w:tcPr>
          <w:p w14:paraId="321D1593" w14:textId="5989669E" w:rsidR="00652843" w:rsidRPr="00023995" w:rsidRDefault="0076524F">
            <w:r w:rsidRPr="00023995">
              <w:t>D</w:t>
            </w:r>
            <w:r w:rsidR="000F1973" w:rsidRPr="00023995">
              <w:t>emonstrat</w:t>
            </w:r>
            <w:r w:rsidRPr="00023995">
              <w:t>ing</w:t>
            </w:r>
            <w:r w:rsidR="000F1973" w:rsidRPr="00023995">
              <w:t xml:space="preserve"> heterogeneity of </w:t>
            </w:r>
            <w:r w:rsidRPr="00023995">
              <w:t xml:space="preserve">SARS-CoV-2 </w:t>
            </w:r>
            <w:r w:rsidR="000F1973" w:rsidRPr="00023995">
              <w:t>transmission in rural and urban prefectures of Japan</w:t>
            </w:r>
            <w:r w:rsidR="00DD0ECD" w:rsidRPr="00023995">
              <w:fldChar w:fldCharType="begin"/>
            </w:r>
            <w:r w:rsidR="00DD0ECD" w:rsidRPr="00023995">
              <w:instrText xml:space="preserve"> ADDIN ZOTERO_ITEM CSL_CITATION {"citationID":"A80jlBM2","properties":{"formattedCitation":"\\super 9\\nosupersub{}","plainCitation":"9","noteIndex":0},"citationItems":[{"id":525,"uris":["http://zotero.org/users/8711921/items/69ZCZ49B"],"itemData":{"id":525,"type":"article-journal","abstract":"A spatial susceptible–exposed–infectious–recovered (SEIR) model is developed to analyze the effects of restricting interregional mobility on the spatial spread of the coronavirus disease 2019 (COVID-19) infection in Japan. National and local governments have requested that residents refrain from traveling between prefectures during the state of emergency. However, the extent to which restricting interregional mobility prevents infection expansion is unclear. The spatial SEIR model describes the spatial spread pattern of COVID-19 infection when people commute or travel to a prefecture in the daytime and return to their residential prefecture at night. It is assumed that people are exposed to an infection risk during their daytime activities. The spatial spread of COVID-19 infection is simulated by integrating interregional mobility data. According to the simulation results, interregional mobility restrictions can prevent the geographical expansion of the infection. On the other hand, in urban prefectures with many infectious individuals, residents are exposed to higher infection risk when their interregional mobility is restricted. The simulation results also show that interregional mobility restrictions play a limited role in reducing the total number of infected individuals in Japan, suggesting that other non-pharmaceutical interventions should be implemented to reduce the epidemic size.","container-title":"Scientific Reports","DOI":"10.1038/s41598-021-97170-1","ISSN":"2045-2322","issue":"1","journalAbbreviation":"Sci Rep","language":"en","license":"2021 The Author(s)","note":"number: 1\npublisher: Nature Publishing Group","page":"18951","source":"www.nature.com","title":"Simulating the impacts of interregional mobility restriction on the spatial spread of COVID-19 in Japan","volume":"11","author":[{"family":"Kondo","given":"Keisuke"}],"issued":{"date-parts":[["2021",9,23]]}}}],"schema":"https://github.com/citation-style-language/schema/raw/master/csl-citation.json"} </w:instrText>
            </w:r>
            <w:r w:rsidR="00DD0ECD" w:rsidRPr="00023995">
              <w:fldChar w:fldCharType="separate"/>
            </w:r>
            <w:r w:rsidR="00DD0ECD" w:rsidRPr="00023995">
              <w:rPr>
                <w:vertAlign w:val="superscript"/>
              </w:rPr>
              <w:t>9</w:t>
            </w:r>
            <w:r w:rsidR="00DD0ECD" w:rsidRPr="00023995">
              <w:fldChar w:fldCharType="end"/>
            </w:r>
            <w:r w:rsidR="00510B63" w:rsidRPr="00023995">
              <w:t xml:space="preserve">. </w:t>
            </w:r>
          </w:p>
          <w:p w14:paraId="4788620F" w14:textId="77777777" w:rsidR="008B783A" w:rsidRPr="00023995" w:rsidRDefault="008B783A"/>
          <w:p w14:paraId="22A7C004" w14:textId="04A3FB2C" w:rsidR="008B783A" w:rsidRPr="00023995" w:rsidRDefault="008B783A" w:rsidP="008B783A">
            <w:r w:rsidRPr="00023995">
              <w:rPr>
                <w:u w:val="single"/>
              </w:rPr>
              <w:t>Mobility data used:</w:t>
            </w:r>
            <w:r w:rsidRPr="00023995">
              <w:t xml:space="preserve"> </w:t>
            </w:r>
            <w:r w:rsidR="00DF1815" w:rsidRPr="00023995">
              <w:t xml:space="preserve">Monthly </w:t>
            </w:r>
            <w:r w:rsidR="009C1750" w:rsidRPr="00023995">
              <w:t>flow</w:t>
            </w:r>
            <w:r w:rsidR="006F6565">
              <w:t>s</w:t>
            </w:r>
            <w:r w:rsidR="009C1750" w:rsidRPr="00023995">
              <w:t xml:space="preserve"> between regions in Japan obtained from location data of mobile phone users</w:t>
            </w:r>
            <w:r w:rsidR="00DF1815" w:rsidRPr="00023995">
              <w:t xml:space="preserve"> </w:t>
            </w:r>
          </w:p>
          <w:p w14:paraId="187E17F2" w14:textId="77777777" w:rsidR="008B783A" w:rsidRPr="00023995" w:rsidRDefault="008B783A" w:rsidP="008B783A"/>
          <w:p w14:paraId="43E929A5" w14:textId="59F31516" w:rsidR="008B783A" w:rsidRPr="00023995" w:rsidRDefault="008B783A" w:rsidP="008B783A">
            <w:r w:rsidRPr="00023995">
              <w:rPr>
                <w:u w:val="single"/>
              </w:rPr>
              <w:t>Method used:</w:t>
            </w:r>
            <w:r w:rsidR="00DF1815" w:rsidRPr="00023995">
              <w:t xml:space="preserve"> Simulations using a spatial compartmental model to analyze effects of restricting mobility between regions in Japan </w:t>
            </w:r>
            <w:r w:rsidR="00DF1815" w:rsidRPr="00023995">
              <w:lastRenderedPageBreak/>
              <w:t>on spatial spread of disease</w:t>
            </w:r>
          </w:p>
        </w:tc>
      </w:tr>
      <w:tr w:rsidR="002C265E" w:rsidRPr="00023995" w14:paraId="2393E5B3" w14:textId="77777777" w:rsidTr="00163363">
        <w:tc>
          <w:tcPr>
            <w:tcW w:w="738" w:type="pct"/>
          </w:tcPr>
          <w:p w14:paraId="3A77B7B4" w14:textId="71748357" w:rsidR="00652843" w:rsidRPr="006B0BC6" w:rsidRDefault="00652843" w:rsidP="00652843">
            <w:pPr>
              <w:pStyle w:val="ListParagraph"/>
              <w:numPr>
                <w:ilvl w:val="0"/>
                <w:numId w:val="12"/>
              </w:numPr>
              <w:rPr>
                <w:rFonts w:ascii="Times New Roman" w:hAnsi="Times New Roman" w:cs="Times New Roman"/>
                <w:b/>
                <w:bCs/>
              </w:rPr>
            </w:pPr>
            <w:r w:rsidRPr="006B0BC6">
              <w:rPr>
                <w:rFonts w:ascii="Times New Roman" w:hAnsi="Times New Roman" w:cs="Times New Roman"/>
                <w:b/>
                <w:bCs/>
              </w:rPr>
              <w:lastRenderedPageBreak/>
              <w:t>Elimination</w:t>
            </w:r>
          </w:p>
        </w:tc>
        <w:tc>
          <w:tcPr>
            <w:tcW w:w="674" w:type="pct"/>
          </w:tcPr>
          <w:p w14:paraId="1DCF4C82" w14:textId="4E00313F" w:rsidR="0082342A" w:rsidRPr="00023995" w:rsidRDefault="004A6840" w:rsidP="004A6840">
            <w:r w:rsidRPr="00023995">
              <w:t>Where are l</w:t>
            </w:r>
            <w:r w:rsidR="0082342A" w:rsidRPr="00023995">
              <w:t>ocations</w:t>
            </w:r>
            <w:r w:rsidRPr="00023995">
              <w:t xml:space="preserve"> less likely to be able to eliminate due to importation from endemic areas? Are there priority locations where additional monitoring and </w:t>
            </w:r>
            <w:r w:rsidR="00163363" w:rsidRPr="00023995">
              <w:t>surveillance</w:t>
            </w:r>
            <w:r w:rsidRPr="00023995">
              <w:t xml:space="preserve"> should be conducted?</w:t>
            </w:r>
          </w:p>
        </w:tc>
        <w:tc>
          <w:tcPr>
            <w:tcW w:w="777" w:type="pct"/>
          </w:tcPr>
          <w:p w14:paraId="34B6E215" w14:textId="786E0D02" w:rsidR="00652843" w:rsidRPr="00023995" w:rsidRDefault="004A6840">
            <w:r w:rsidRPr="00023995">
              <w:t>Multiple types of data sets can be used that ideally would map specific movement patterns to infection status/risk of introduction events</w:t>
            </w:r>
            <w:r w:rsidR="00A04C71" w:rsidRPr="00023995">
              <w:t xml:space="preserve"> (e.g., travel surveys of cases)</w:t>
            </w:r>
            <w:r w:rsidR="00197819" w:rsidRPr="00023995">
              <w:t>; focus on local and international travel patterns</w:t>
            </w:r>
            <w:r w:rsidR="00A04C71" w:rsidRPr="00023995">
              <w:t>.</w:t>
            </w:r>
          </w:p>
        </w:tc>
        <w:tc>
          <w:tcPr>
            <w:tcW w:w="889" w:type="pct"/>
          </w:tcPr>
          <w:p w14:paraId="670C04B6" w14:textId="30F5FEBD" w:rsidR="00652843" w:rsidRPr="00023995" w:rsidRDefault="00756BE9">
            <w:r w:rsidRPr="00023995">
              <w:t xml:space="preserve">Evaluation of various data sets against actual </w:t>
            </w:r>
            <w:r w:rsidR="0082342A" w:rsidRPr="00023995">
              <w:t>resurgence events and uncertainty</w:t>
            </w:r>
            <w:r w:rsidR="00B76C04" w:rsidRPr="00023995">
              <w:t xml:space="preserve"> in reestablishing transmission</w:t>
            </w:r>
          </w:p>
        </w:tc>
        <w:tc>
          <w:tcPr>
            <w:tcW w:w="948" w:type="pct"/>
          </w:tcPr>
          <w:p w14:paraId="531DA617" w14:textId="683A599F" w:rsidR="00652843" w:rsidRPr="00023995" w:rsidRDefault="00CC6081">
            <w:r w:rsidRPr="00023995">
              <w:t xml:space="preserve">Uncertainty of </w:t>
            </w:r>
            <w:r w:rsidR="00197819" w:rsidRPr="00023995">
              <w:t xml:space="preserve">reestablishing local </w:t>
            </w:r>
            <w:r w:rsidRPr="00023995">
              <w:t>transmission</w:t>
            </w:r>
          </w:p>
        </w:tc>
        <w:tc>
          <w:tcPr>
            <w:tcW w:w="973" w:type="pct"/>
          </w:tcPr>
          <w:p w14:paraId="2A3D6F19" w14:textId="0732A68D" w:rsidR="00652843" w:rsidRPr="00023995" w:rsidRDefault="006723B7">
            <w:r w:rsidRPr="00023995">
              <w:t>Identifying</w:t>
            </w:r>
            <w:r w:rsidR="00E102D9" w:rsidRPr="00023995">
              <w:t xml:space="preserve"> areas for </w:t>
            </w:r>
            <w:r w:rsidR="00CC6081" w:rsidRPr="00023995">
              <w:t>targeted vector control in context of near-elimination of malaria</w:t>
            </w:r>
            <w:r w:rsidR="00DD0ECD" w:rsidRPr="00023995">
              <w:fldChar w:fldCharType="begin"/>
            </w:r>
            <w:r w:rsidR="00DD0ECD" w:rsidRPr="00023995">
              <w:instrText xml:space="preserve"> ADDIN ZOTERO_ITEM CSL_CITATION {"citationID":"8xcUtdYA","properties":{"formattedCitation":"\\super 10\\nosupersub{}","plainCitation":"10","noteIndex":0},"citationItems":[{"id":447,"uris":["http://zotero.org/users/8711921/items/JEQNPUBQ"],"itemData":{"id":447,"type":"article-journal","abstract":"Numerous countries around the world are approaching malaria elimination. Until global eradication is achieved, countries that successfully eliminate the disease will contend with parasite reintroduction through international movement of infected people. Human-mediated parasite mobility is also important within countries near elimination, as it drives parasite flows that affect disease transmission on a subnational scale.","container-title":"Malaria Journal","DOI":"10.1186/s12936-016-1315-5","ISSN":"1475-2875","issue":"1","journalAbbreviation":"Malaria Journal","page":"273","source":"BioMed Central","title":"Census-derived migration data as a tool for informing malaria elimination policy","volume":"15","author":[{"family":"Ruktanonchai","given":"Nick W."},{"family":"Bhavnani","given":"Darlene"},{"family":"Sorichetta","given":"Alessandro"},{"family":"Bengtsson","given":"Linus"},{"family":"Carter","given":"Keith H."},{"family":"Córdoba","given":"Roberto C."},{"family":"Le Menach","given":"Arnaud"},{"family":"Lu","given":"Xin"},{"family":"Wetter","given":"Erik"},{"family":"Erbach-Schoenberg","given":"Elisabeth","non-dropping-particle":"zu"},{"family":"Tatem","given":"Andrew J."}],"issued":{"date-parts":[["2016",5,11]]}}}],"schema":"https://github.com/citation-style-language/schema/raw/master/csl-citation.json"} </w:instrText>
            </w:r>
            <w:r w:rsidR="00DD0ECD" w:rsidRPr="00023995">
              <w:fldChar w:fldCharType="separate"/>
            </w:r>
            <w:r w:rsidR="00DD0ECD" w:rsidRPr="00023995">
              <w:rPr>
                <w:vertAlign w:val="superscript"/>
              </w:rPr>
              <w:t>10</w:t>
            </w:r>
            <w:r w:rsidR="00DD0ECD" w:rsidRPr="00023995">
              <w:fldChar w:fldCharType="end"/>
            </w:r>
            <w:r w:rsidR="009C1750" w:rsidRPr="00023995">
              <w:t>.</w:t>
            </w:r>
          </w:p>
          <w:p w14:paraId="38C65EA5" w14:textId="77777777" w:rsidR="008B783A" w:rsidRPr="00023995" w:rsidRDefault="008B783A"/>
          <w:p w14:paraId="02F1AB75" w14:textId="10B8687F" w:rsidR="008B783A" w:rsidRPr="00023995" w:rsidRDefault="008B783A" w:rsidP="008B783A">
            <w:r w:rsidRPr="00023995">
              <w:rPr>
                <w:u w:val="single"/>
              </w:rPr>
              <w:t>Mobility data used:</w:t>
            </w:r>
            <w:r w:rsidRPr="00023995">
              <w:t xml:space="preserve"> </w:t>
            </w:r>
            <w:r w:rsidR="009C1750" w:rsidRPr="00023995">
              <w:t>Mobile phone data (Haiti); census microdata from El Salvador, Costa Rica, Haiti, and Nicaragua</w:t>
            </w:r>
          </w:p>
          <w:p w14:paraId="0C4B67F2" w14:textId="77777777" w:rsidR="008B783A" w:rsidRPr="00023995" w:rsidRDefault="008B783A" w:rsidP="008B783A"/>
          <w:p w14:paraId="33799061" w14:textId="0B6FC304" w:rsidR="008B783A" w:rsidRPr="00023995" w:rsidRDefault="008B783A" w:rsidP="008B783A">
            <w:r w:rsidRPr="00023995">
              <w:rPr>
                <w:u w:val="single"/>
              </w:rPr>
              <w:t>Method used</w:t>
            </w:r>
            <w:r w:rsidR="003B4E4F" w:rsidRPr="00023995">
              <w:rPr>
                <w:u w:val="single"/>
              </w:rPr>
              <w:t>:</w:t>
            </w:r>
            <w:r w:rsidR="003B4E4F" w:rsidRPr="00023995">
              <w:t xml:space="preserve"> After validating census data in estimating population movement, used census data to predict exportation and importation of malaria cases. </w:t>
            </w:r>
          </w:p>
        </w:tc>
      </w:tr>
    </w:tbl>
    <w:p w14:paraId="61E98B94" w14:textId="3F9D2329" w:rsidR="00701831" w:rsidRPr="00023995" w:rsidRDefault="00701831" w:rsidP="00791836"/>
    <w:p w14:paraId="2384DF30" w14:textId="3F672332" w:rsidR="00187732" w:rsidRPr="00023995" w:rsidRDefault="00187732"/>
    <w:p w14:paraId="3DF43B9A" w14:textId="77777777" w:rsidR="0073738A" w:rsidRPr="00023995" w:rsidRDefault="00372B05">
      <w:pPr>
        <w:sectPr w:rsidR="0073738A" w:rsidRPr="00023995" w:rsidSect="0073738A">
          <w:pgSz w:w="15840" w:h="12240" w:orient="landscape"/>
          <w:pgMar w:top="720" w:right="720" w:bottom="720" w:left="720" w:header="720" w:footer="720" w:gutter="0"/>
          <w:pgNumType w:start="1"/>
          <w:cols w:space="720"/>
          <w:docGrid w:linePitch="326"/>
        </w:sectPr>
      </w:pPr>
      <w:r w:rsidRPr="00023995">
        <w:br w:type="page"/>
      </w:r>
    </w:p>
    <w:p w14:paraId="2536E3C5" w14:textId="692C18F7" w:rsidR="00372B05" w:rsidRPr="00023995" w:rsidRDefault="00372B05"/>
    <w:p w14:paraId="3E99123F" w14:textId="77777777" w:rsidR="00201E23" w:rsidRPr="004B6974" w:rsidRDefault="004C7328" w:rsidP="00201E23">
      <w:r w:rsidRPr="00023995">
        <w:rPr>
          <w:b/>
          <w:bCs/>
        </w:rPr>
        <w:t xml:space="preserve">Figure </w:t>
      </w:r>
      <w:r w:rsidR="00BE0F00" w:rsidRPr="00023995">
        <w:rPr>
          <w:b/>
          <w:bCs/>
        </w:rPr>
        <w:t>1</w:t>
      </w:r>
      <w:r w:rsidRPr="00023995">
        <w:rPr>
          <w:b/>
          <w:bCs/>
        </w:rPr>
        <w:t>. Illustration of the effect of incomplete data availability on dynamics of predicted epidemics.</w:t>
      </w:r>
      <w:r w:rsidRPr="00023995">
        <w:t xml:space="preserve"> </w:t>
      </w:r>
      <w:r w:rsidR="00201E23">
        <w:t>W</w:t>
      </w:r>
      <w:r w:rsidR="00201E23" w:rsidRPr="00027C98">
        <w:t>ith different mobility matrices, the predicted dynamics of the modeled epidemics will also change</w:t>
      </w:r>
      <w:r w:rsidR="00201E23">
        <w:t xml:space="preserve">; however, because the “Original” matrix is usually unobserved, the implications of sampling bias, censoring, and spatial and time granularity on predicted dynamics are also often not considered. </w:t>
      </w:r>
      <w:r w:rsidR="00201E23" w:rsidRPr="00023995">
        <w:t xml:space="preserve">Detailed information on the model and parameters used are available on </w:t>
      </w:r>
      <w:hyperlink r:id="rId23">
        <w:proofErr w:type="spellStart"/>
        <w:r w:rsidR="00201E23" w:rsidRPr="00023995">
          <w:rPr>
            <w:color w:val="1155CC"/>
            <w:u w:val="single"/>
          </w:rPr>
          <w:t>Github</w:t>
        </w:r>
        <w:proofErr w:type="spellEnd"/>
      </w:hyperlink>
      <w:r w:rsidR="00201E23" w:rsidRPr="00023995">
        <w:t>.</w:t>
      </w:r>
    </w:p>
    <w:p w14:paraId="2A0A44A4" w14:textId="1377DEA8" w:rsidR="00DF66F5" w:rsidRPr="004B6974" w:rsidRDefault="004C7328" w:rsidP="001E57F6">
      <w:r w:rsidRPr="00023995">
        <w:t xml:space="preserve">A) </w:t>
      </w:r>
      <w:r w:rsidR="00B40309" w:rsidRPr="00023995">
        <w:t>Mobility</w:t>
      </w:r>
      <w:r w:rsidRPr="00023995">
        <w:t xml:space="preserve"> matri</w:t>
      </w:r>
      <w:r w:rsidR="003639B8">
        <w:t>ces</w:t>
      </w:r>
      <w:r w:rsidR="006F6565">
        <w:t xml:space="preserve">, </w:t>
      </w:r>
      <w:r w:rsidR="003639B8">
        <w:t xml:space="preserve">namely </w:t>
      </w:r>
      <w:r w:rsidR="006F6565">
        <w:t>origin-destination matri</w:t>
      </w:r>
      <w:r w:rsidR="003639B8">
        <w:t>ces</w:t>
      </w:r>
      <w:r w:rsidR="006F6565">
        <w:t xml:space="preserve"> of the amount of travel between locations,</w:t>
      </w:r>
      <w:r w:rsidRPr="00023995">
        <w:t xml:space="preserve"> derived from a gravity model for a simulated population, comprised of adults and children with different gravity model parameters</w:t>
      </w:r>
      <w:r w:rsidR="003639B8">
        <w:t xml:space="preserve">. </w:t>
      </w:r>
      <w:r w:rsidR="00E24023">
        <w:t xml:space="preserve">Original matrix </w:t>
      </w:r>
      <w:proofErr w:type="gramStart"/>
      <w:r w:rsidR="00E24023">
        <w:t>is that</w:t>
      </w:r>
      <w:proofErr w:type="gramEnd"/>
      <w:r w:rsidR="00E24023">
        <w:t xml:space="preserve"> derived from the gravity model with no censoring or spatial or temporal aggregation. </w:t>
      </w:r>
      <w:r w:rsidR="006F6565">
        <w:t>Additional variants includ</w:t>
      </w:r>
      <w:r w:rsidR="00E24023">
        <w:t>e</w:t>
      </w:r>
      <w:r w:rsidRPr="00023995">
        <w:t xml:space="preserve"> </w:t>
      </w:r>
      <w:r w:rsidR="00E24023">
        <w:t>a</w:t>
      </w:r>
      <w:r w:rsidRPr="00023995">
        <w:t xml:space="preserve">dult-only </w:t>
      </w:r>
      <w:r w:rsidR="006F6565">
        <w:t xml:space="preserve">mobility </w:t>
      </w:r>
      <w:r w:rsidRPr="00023995">
        <w:t xml:space="preserve">matrix, </w:t>
      </w:r>
      <w:r w:rsidR="00E24023">
        <w:t>c</w:t>
      </w:r>
      <w:r w:rsidRPr="00023995">
        <w:t>ensored mobility matrix</w:t>
      </w:r>
      <w:r w:rsidR="006F6565">
        <w:t xml:space="preserve"> excluding routes with fewer than 900 trips,</w:t>
      </w:r>
      <w:r w:rsidRPr="00023995">
        <w:t xml:space="preserve"> </w:t>
      </w:r>
      <w:r w:rsidR="00E24023">
        <w:t>w</w:t>
      </w:r>
      <w:r w:rsidRPr="00023995">
        <w:t>eekly mobility matrix</w:t>
      </w:r>
      <w:r w:rsidR="006F6565">
        <w:t>, and</w:t>
      </w:r>
      <w:r w:rsidRPr="00023995">
        <w:t xml:space="preserve"> </w:t>
      </w:r>
      <w:r w:rsidR="006F6565">
        <w:t xml:space="preserve">simulated five cluster </w:t>
      </w:r>
      <w:r w:rsidR="00E24023">
        <w:t>r</w:t>
      </w:r>
      <w:r w:rsidRPr="00023995">
        <w:t>egional mobility matrix</w:t>
      </w:r>
      <w:r w:rsidR="006F6565">
        <w:t xml:space="preserve">. </w:t>
      </w:r>
      <w:r w:rsidR="00E24023">
        <w:t xml:space="preserve">B) </w:t>
      </w:r>
      <w:r w:rsidR="006F6565">
        <w:t xml:space="preserve">Simulated arrival times using the various mobility matrices to quantify connectivity between patches in a metapopulation using </w:t>
      </w:r>
      <w:r w:rsidR="004433DE">
        <w:t>o</w:t>
      </w:r>
      <w:r w:rsidR="006F6565">
        <w:t>riginal</w:t>
      </w:r>
      <w:r w:rsidR="004433DE">
        <w:t xml:space="preserve"> mobility matrix</w:t>
      </w:r>
      <w:r w:rsidR="006F6565">
        <w:t xml:space="preserve">, as well as comparisons </w:t>
      </w:r>
      <w:r w:rsidR="00AB50D5">
        <w:t xml:space="preserve">of arrival times when using </w:t>
      </w:r>
      <w:r w:rsidR="004433DE">
        <w:t>o</w:t>
      </w:r>
      <w:r w:rsidR="006F6565">
        <w:t xml:space="preserve">riginal </w:t>
      </w:r>
      <w:r w:rsidR="00F73D3E">
        <w:t xml:space="preserve">mobility matrix </w:t>
      </w:r>
      <w:r w:rsidR="006F6565">
        <w:t xml:space="preserve">against </w:t>
      </w:r>
      <w:r w:rsidR="004433DE">
        <w:t>a</w:t>
      </w:r>
      <w:r w:rsidR="006F6565">
        <w:t xml:space="preserve">dult-only, </w:t>
      </w:r>
      <w:r w:rsidR="004433DE">
        <w:t>c</w:t>
      </w:r>
      <w:r w:rsidR="006F6565">
        <w:t xml:space="preserve">ensored, </w:t>
      </w:r>
      <w:r w:rsidR="004433DE">
        <w:t>w</w:t>
      </w:r>
      <w:r w:rsidR="006F6565">
        <w:t xml:space="preserve">eekly, and </w:t>
      </w:r>
      <w:r w:rsidR="00F73D3E">
        <w:t>r</w:t>
      </w:r>
      <w:r w:rsidR="006F6565">
        <w:t xml:space="preserve">egional </w:t>
      </w:r>
      <w:r w:rsidR="00F73D3E">
        <w:t xml:space="preserve">mobility </w:t>
      </w:r>
      <w:r w:rsidR="006F6565">
        <w:t xml:space="preserve">matrices. </w:t>
      </w:r>
    </w:p>
    <w:sectPr w:rsidR="00DF66F5" w:rsidRPr="004B6974" w:rsidSect="0073738A">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3095" w14:textId="77777777" w:rsidR="00BE712B" w:rsidRDefault="00BE712B" w:rsidP="00F25E9E">
      <w:r>
        <w:separator/>
      </w:r>
    </w:p>
  </w:endnote>
  <w:endnote w:type="continuationSeparator" w:id="0">
    <w:p w14:paraId="1EDAA05F" w14:textId="77777777" w:rsidR="00BE712B" w:rsidRDefault="00BE712B" w:rsidP="00F2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C70" w14:textId="77777777" w:rsidR="004419B3" w:rsidRDefault="0044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BBC" w14:textId="77777777" w:rsidR="004419B3" w:rsidRDefault="00441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F8F0" w14:textId="77777777" w:rsidR="004419B3" w:rsidRDefault="0044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44D0" w14:textId="77777777" w:rsidR="00BE712B" w:rsidRDefault="00BE712B" w:rsidP="00F25E9E">
      <w:r>
        <w:separator/>
      </w:r>
    </w:p>
  </w:footnote>
  <w:footnote w:type="continuationSeparator" w:id="0">
    <w:p w14:paraId="0FE0B763" w14:textId="77777777" w:rsidR="00BE712B" w:rsidRDefault="00BE712B" w:rsidP="00F2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A94" w14:textId="77777777" w:rsidR="004419B3" w:rsidRDefault="00441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A897" w14:textId="77777777" w:rsidR="004419B3" w:rsidRDefault="00441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B730" w14:textId="77777777" w:rsidR="004419B3" w:rsidRDefault="00441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4B0"/>
    <w:multiLevelType w:val="hybridMultilevel"/>
    <w:tmpl w:val="79AAE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67166"/>
    <w:multiLevelType w:val="multilevel"/>
    <w:tmpl w:val="3EA81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A6A12"/>
    <w:multiLevelType w:val="multilevel"/>
    <w:tmpl w:val="17B85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D65A40"/>
    <w:multiLevelType w:val="hybridMultilevel"/>
    <w:tmpl w:val="661A863E"/>
    <w:lvl w:ilvl="0" w:tplc="B10EFE78">
      <w:start w:val="2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830DBD"/>
    <w:multiLevelType w:val="hybridMultilevel"/>
    <w:tmpl w:val="870A0904"/>
    <w:lvl w:ilvl="0" w:tplc="0409000F">
      <w:start w:val="1"/>
      <w:numFmt w:val="decimal"/>
      <w:lvlText w:val="%1."/>
      <w:lvlJc w:val="left"/>
      <w:pPr>
        <w:ind w:left="720" w:hanging="360"/>
      </w:pPr>
      <w:rPr>
        <w:rFonts w:hint="default"/>
      </w:rPr>
    </w:lvl>
    <w:lvl w:ilvl="1" w:tplc="3934D5A2">
      <w:start w:val="8"/>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40D2D"/>
    <w:multiLevelType w:val="multilevel"/>
    <w:tmpl w:val="3B8E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2C46A9"/>
    <w:multiLevelType w:val="multilevel"/>
    <w:tmpl w:val="147E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D20ED6"/>
    <w:multiLevelType w:val="hybridMultilevel"/>
    <w:tmpl w:val="F5901E8E"/>
    <w:lvl w:ilvl="0" w:tplc="DF36C88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C847BE"/>
    <w:multiLevelType w:val="multilevel"/>
    <w:tmpl w:val="FB626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90606F"/>
    <w:multiLevelType w:val="hybridMultilevel"/>
    <w:tmpl w:val="3E1889C4"/>
    <w:lvl w:ilvl="0" w:tplc="DF36C8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16D04"/>
    <w:multiLevelType w:val="multilevel"/>
    <w:tmpl w:val="1F5E9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BE3DEC"/>
    <w:multiLevelType w:val="hybridMultilevel"/>
    <w:tmpl w:val="7C6CC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87F1F"/>
    <w:multiLevelType w:val="multilevel"/>
    <w:tmpl w:val="30CC7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69747B"/>
    <w:multiLevelType w:val="hybridMultilevel"/>
    <w:tmpl w:val="D778B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962DF"/>
    <w:multiLevelType w:val="hybridMultilevel"/>
    <w:tmpl w:val="8012A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03788"/>
    <w:multiLevelType w:val="multilevel"/>
    <w:tmpl w:val="44447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A90312"/>
    <w:multiLevelType w:val="hybridMultilevel"/>
    <w:tmpl w:val="F9B09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41A65"/>
    <w:multiLevelType w:val="multilevel"/>
    <w:tmpl w:val="A1FE0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E9E496F"/>
    <w:multiLevelType w:val="multilevel"/>
    <w:tmpl w:val="D096A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F12319"/>
    <w:multiLevelType w:val="multilevel"/>
    <w:tmpl w:val="7688A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893016">
    <w:abstractNumId w:val="8"/>
  </w:num>
  <w:num w:numId="2" w16cid:durableId="1454054405">
    <w:abstractNumId w:val="12"/>
  </w:num>
  <w:num w:numId="3" w16cid:durableId="610166226">
    <w:abstractNumId w:val="17"/>
  </w:num>
  <w:num w:numId="4" w16cid:durableId="1185827831">
    <w:abstractNumId w:val="5"/>
  </w:num>
  <w:num w:numId="5" w16cid:durableId="2006207277">
    <w:abstractNumId w:val="6"/>
  </w:num>
  <w:num w:numId="6" w16cid:durableId="653876835">
    <w:abstractNumId w:val="2"/>
  </w:num>
  <w:num w:numId="7" w16cid:durableId="1959607799">
    <w:abstractNumId w:val="1"/>
  </w:num>
  <w:num w:numId="8" w16cid:durableId="95906403">
    <w:abstractNumId w:val="18"/>
  </w:num>
  <w:num w:numId="9" w16cid:durableId="906577053">
    <w:abstractNumId w:val="10"/>
  </w:num>
  <w:num w:numId="10" w16cid:durableId="103767280">
    <w:abstractNumId w:val="19"/>
  </w:num>
  <w:num w:numId="11" w16cid:durableId="477186499">
    <w:abstractNumId w:val="15"/>
  </w:num>
  <w:num w:numId="12" w16cid:durableId="1356692628">
    <w:abstractNumId w:val="9"/>
  </w:num>
  <w:num w:numId="13" w16cid:durableId="1481851007">
    <w:abstractNumId w:val="7"/>
  </w:num>
  <w:num w:numId="14" w16cid:durableId="1330981023">
    <w:abstractNumId w:val="0"/>
  </w:num>
  <w:num w:numId="15" w16cid:durableId="1202134688">
    <w:abstractNumId w:val="4"/>
  </w:num>
  <w:num w:numId="16" w16cid:durableId="496265569">
    <w:abstractNumId w:val="13"/>
  </w:num>
  <w:num w:numId="17" w16cid:durableId="855535002">
    <w:abstractNumId w:val="14"/>
  </w:num>
  <w:num w:numId="18" w16cid:durableId="1645428809">
    <w:abstractNumId w:val="11"/>
  </w:num>
  <w:num w:numId="19" w16cid:durableId="188102014">
    <w:abstractNumId w:val="16"/>
  </w:num>
  <w:num w:numId="20" w16cid:durableId="319693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C5"/>
    <w:rsid w:val="0000248A"/>
    <w:rsid w:val="00010BC4"/>
    <w:rsid w:val="000143AD"/>
    <w:rsid w:val="00021C0A"/>
    <w:rsid w:val="00023995"/>
    <w:rsid w:val="000240CE"/>
    <w:rsid w:val="000245FE"/>
    <w:rsid w:val="000268AF"/>
    <w:rsid w:val="00026FCE"/>
    <w:rsid w:val="00027C98"/>
    <w:rsid w:val="000307EF"/>
    <w:rsid w:val="00030894"/>
    <w:rsid w:val="00030EB2"/>
    <w:rsid w:val="000332CE"/>
    <w:rsid w:val="00034611"/>
    <w:rsid w:val="00035A9B"/>
    <w:rsid w:val="00037E62"/>
    <w:rsid w:val="000439D6"/>
    <w:rsid w:val="0005192A"/>
    <w:rsid w:val="000529E2"/>
    <w:rsid w:val="00054BC5"/>
    <w:rsid w:val="00063916"/>
    <w:rsid w:val="00063A95"/>
    <w:rsid w:val="00066B05"/>
    <w:rsid w:val="000711B2"/>
    <w:rsid w:val="00076173"/>
    <w:rsid w:val="00083044"/>
    <w:rsid w:val="000A157B"/>
    <w:rsid w:val="000A3206"/>
    <w:rsid w:val="000A4BE4"/>
    <w:rsid w:val="000A4F78"/>
    <w:rsid w:val="000A51C8"/>
    <w:rsid w:val="000B157B"/>
    <w:rsid w:val="000B2161"/>
    <w:rsid w:val="000B25AF"/>
    <w:rsid w:val="000C19D3"/>
    <w:rsid w:val="000D2C8B"/>
    <w:rsid w:val="000D57D5"/>
    <w:rsid w:val="000D6A89"/>
    <w:rsid w:val="000E1C69"/>
    <w:rsid w:val="000E3483"/>
    <w:rsid w:val="000E4F99"/>
    <w:rsid w:val="000E65F5"/>
    <w:rsid w:val="000E7D52"/>
    <w:rsid w:val="000E7DBE"/>
    <w:rsid w:val="000F1973"/>
    <w:rsid w:val="00100264"/>
    <w:rsid w:val="00101D87"/>
    <w:rsid w:val="00104824"/>
    <w:rsid w:val="00106C3C"/>
    <w:rsid w:val="00112ADD"/>
    <w:rsid w:val="00113EB4"/>
    <w:rsid w:val="0012271D"/>
    <w:rsid w:val="00122808"/>
    <w:rsid w:val="00130EDE"/>
    <w:rsid w:val="001335DF"/>
    <w:rsid w:val="001362E8"/>
    <w:rsid w:val="00143ED9"/>
    <w:rsid w:val="00144736"/>
    <w:rsid w:val="0015125B"/>
    <w:rsid w:val="0015530D"/>
    <w:rsid w:val="001569C2"/>
    <w:rsid w:val="001612A5"/>
    <w:rsid w:val="00163363"/>
    <w:rsid w:val="00173BDF"/>
    <w:rsid w:val="0017648A"/>
    <w:rsid w:val="00176C6A"/>
    <w:rsid w:val="0018056A"/>
    <w:rsid w:val="0018341E"/>
    <w:rsid w:val="0018413A"/>
    <w:rsid w:val="00184215"/>
    <w:rsid w:val="001848FF"/>
    <w:rsid w:val="00187664"/>
    <w:rsid w:val="00187732"/>
    <w:rsid w:val="00197819"/>
    <w:rsid w:val="001979DA"/>
    <w:rsid w:val="00197CC4"/>
    <w:rsid w:val="001A1764"/>
    <w:rsid w:val="001A1916"/>
    <w:rsid w:val="001A1FCD"/>
    <w:rsid w:val="001B22E6"/>
    <w:rsid w:val="001B56BA"/>
    <w:rsid w:val="001C5B99"/>
    <w:rsid w:val="001C781E"/>
    <w:rsid w:val="001D187F"/>
    <w:rsid w:val="001D6A8B"/>
    <w:rsid w:val="001E06D8"/>
    <w:rsid w:val="001E0A14"/>
    <w:rsid w:val="001E10EE"/>
    <w:rsid w:val="001E25F7"/>
    <w:rsid w:val="001E3058"/>
    <w:rsid w:val="001E3838"/>
    <w:rsid w:val="001E57F6"/>
    <w:rsid w:val="001E69B3"/>
    <w:rsid w:val="001F00BF"/>
    <w:rsid w:val="001F1232"/>
    <w:rsid w:val="001F4BE5"/>
    <w:rsid w:val="001F60F7"/>
    <w:rsid w:val="00201E23"/>
    <w:rsid w:val="00201F88"/>
    <w:rsid w:val="00203462"/>
    <w:rsid w:val="00211B10"/>
    <w:rsid w:val="00212801"/>
    <w:rsid w:val="00221773"/>
    <w:rsid w:val="0023292E"/>
    <w:rsid w:val="00232E55"/>
    <w:rsid w:val="002332E7"/>
    <w:rsid w:val="00234C08"/>
    <w:rsid w:val="0024597B"/>
    <w:rsid w:val="00246DB7"/>
    <w:rsid w:val="0025034D"/>
    <w:rsid w:val="0025261B"/>
    <w:rsid w:val="002543B3"/>
    <w:rsid w:val="00254C19"/>
    <w:rsid w:val="00256C3E"/>
    <w:rsid w:val="002601A0"/>
    <w:rsid w:val="0026116F"/>
    <w:rsid w:val="00263DCF"/>
    <w:rsid w:val="002656C0"/>
    <w:rsid w:val="00274E0C"/>
    <w:rsid w:val="00277A4B"/>
    <w:rsid w:val="00280532"/>
    <w:rsid w:val="002819FE"/>
    <w:rsid w:val="002825F8"/>
    <w:rsid w:val="00286D5A"/>
    <w:rsid w:val="002915A2"/>
    <w:rsid w:val="0029269A"/>
    <w:rsid w:val="00295918"/>
    <w:rsid w:val="00295C4C"/>
    <w:rsid w:val="00297DF8"/>
    <w:rsid w:val="002A155E"/>
    <w:rsid w:val="002A26A3"/>
    <w:rsid w:val="002A5934"/>
    <w:rsid w:val="002B2C80"/>
    <w:rsid w:val="002C063A"/>
    <w:rsid w:val="002C0998"/>
    <w:rsid w:val="002C265E"/>
    <w:rsid w:val="002C2BB5"/>
    <w:rsid w:val="002C4561"/>
    <w:rsid w:val="002D0683"/>
    <w:rsid w:val="002D2832"/>
    <w:rsid w:val="002D468B"/>
    <w:rsid w:val="002D575E"/>
    <w:rsid w:val="002E17C6"/>
    <w:rsid w:val="002E2806"/>
    <w:rsid w:val="002E4E25"/>
    <w:rsid w:val="002E5613"/>
    <w:rsid w:val="002F2C33"/>
    <w:rsid w:val="002F32AC"/>
    <w:rsid w:val="002F5D87"/>
    <w:rsid w:val="002F71AB"/>
    <w:rsid w:val="00302F55"/>
    <w:rsid w:val="00305757"/>
    <w:rsid w:val="00306D5C"/>
    <w:rsid w:val="00307A64"/>
    <w:rsid w:val="00307B89"/>
    <w:rsid w:val="0031189D"/>
    <w:rsid w:val="00311A9B"/>
    <w:rsid w:val="003123BC"/>
    <w:rsid w:val="00313282"/>
    <w:rsid w:val="0031477E"/>
    <w:rsid w:val="00315CD5"/>
    <w:rsid w:val="00321D62"/>
    <w:rsid w:val="0032290C"/>
    <w:rsid w:val="003231A0"/>
    <w:rsid w:val="00325108"/>
    <w:rsid w:val="00332BFD"/>
    <w:rsid w:val="00335F2C"/>
    <w:rsid w:val="00337152"/>
    <w:rsid w:val="00341C4B"/>
    <w:rsid w:val="003546D4"/>
    <w:rsid w:val="00356169"/>
    <w:rsid w:val="003639B8"/>
    <w:rsid w:val="00363EC9"/>
    <w:rsid w:val="003644D6"/>
    <w:rsid w:val="003671D8"/>
    <w:rsid w:val="00370387"/>
    <w:rsid w:val="0037071E"/>
    <w:rsid w:val="00371738"/>
    <w:rsid w:val="00372B05"/>
    <w:rsid w:val="003753BB"/>
    <w:rsid w:val="003803EF"/>
    <w:rsid w:val="00380C0D"/>
    <w:rsid w:val="00387166"/>
    <w:rsid w:val="00387828"/>
    <w:rsid w:val="00390DCD"/>
    <w:rsid w:val="003910DD"/>
    <w:rsid w:val="00394FDB"/>
    <w:rsid w:val="00395A65"/>
    <w:rsid w:val="00396F1B"/>
    <w:rsid w:val="003A04B2"/>
    <w:rsid w:val="003A2BA6"/>
    <w:rsid w:val="003B15DF"/>
    <w:rsid w:val="003B4E4F"/>
    <w:rsid w:val="003B6E52"/>
    <w:rsid w:val="003C1DBE"/>
    <w:rsid w:val="003C3013"/>
    <w:rsid w:val="003C5BC9"/>
    <w:rsid w:val="003C7FDC"/>
    <w:rsid w:val="003D1D61"/>
    <w:rsid w:val="003D3C5D"/>
    <w:rsid w:val="003D697B"/>
    <w:rsid w:val="003E19CF"/>
    <w:rsid w:val="003E3410"/>
    <w:rsid w:val="003E567E"/>
    <w:rsid w:val="003E5751"/>
    <w:rsid w:val="003F58F8"/>
    <w:rsid w:val="00401B3F"/>
    <w:rsid w:val="00407ADC"/>
    <w:rsid w:val="00411944"/>
    <w:rsid w:val="00416D4B"/>
    <w:rsid w:val="004205C2"/>
    <w:rsid w:val="00427ADB"/>
    <w:rsid w:val="00427BAC"/>
    <w:rsid w:val="00430EFA"/>
    <w:rsid w:val="0043421F"/>
    <w:rsid w:val="0043741C"/>
    <w:rsid w:val="004419B3"/>
    <w:rsid w:val="00442144"/>
    <w:rsid w:val="004433DE"/>
    <w:rsid w:val="004449F0"/>
    <w:rsid w:val="00445F77"/>
    <w:rsid w:val="00451917"/>
    <w:rsid w:val="004522F2"/>
    <w:rsid w:val="00456BCD"/>
    <w:rsid w:val="004610D2"/>
    <w:rsid w:val="00462C3F"/>
    <w:rsid w:val="00465C32"/>
    <w:rsid w:val="00466BF1"/>
    <w:rsid w:val="00470DE5"/>
    <w:rsid w:val="00471825"/>
    <w:rsid w:val="004800C3"/>
    <w:rsid w:val="00482A3D"/>
    <w:rsid w:val="004831D0"/>
    <w:rsid w:val="0048435A"/>
    <w:rsid w:val="00484CF9"/>
    <w:rsid w:val="00486523"/>
    <w:rsid w:val="00487DA8"/>
    <w:rsid w:val="00490D8A"/>
    <w:rsid w:val="00491035"/>
    <w:rsid w:val="004958E4"/>
    <w:rsid w:val="004A1D84"/>
    <w:rsid w:val="004A36A1"/>
    <w:rsid w:val="004A40B9"/>
    <w:rsid w:val="004A62CC"/>
    <w:rsid w:val="004A6840"/>
    <w:rsid w:val="004B1C5C"/>
    <w:rsid w:val="004B41F2"/>
    <w:rsid w:val="004B6948"/>
    <w:rsid w:val="004B6974"/>
    <w:rsid w:val="004C350A"/>
    <w:rsid w:val="004C699A"/>
    <w:rsid w:val="004C7328"/>
    <w:rsid w:val="004E09A3"/>
    <w:rsid w:val="004E62B1"/>
    <w:rsid w:val="004E6988"/>
    <w:rsid w:val="004E7295"/>
    <w:rsid w:val="004F3FCB"/>
    <w:rsid w:val="004F7684"/>
    <w:rsid w:val="005041FD"/>
    <w:rsid w:val="00504939"/>
    <w:rsid w:val="00510460"/>
    <w:rsid w:val="00510B63"/>
    <w:rsid w:val="00511A9A"/>
    <w:rsid w:val="00520860"/>
    <w:rsid w:val="005239FB"/>
    <w:rsid w:val="005254B8"/>
    <w:rsid w:val="005255F0"/>
    <w:rsid w:val="00527893"/>
    <w:rsid w:val="00532EF1"/>
    <w:rsid w:val="00533F2F"/>
    <w:rsid w:val="00540FA8"/>
    <w:rsid w:val="00544ABD"/>
    <w:rsid w:val="00544C34"/>
    <w:rsid w:val="0055114A"/>
    <w:rsid w:val="00554AA6"/>
    <w:rsid w:val="005634EC"/>
    <w:rsid w:val="00566194"/>
    <w:rsid w:val="005670A8"/>
    <w:rsid w:val="00567CD5"/>
    <w:rsid w:val="005737C4"/>
    <w:rsid w:val="00574877"/>
    <w:rsid w:val="00577CAE"/>
    <w:rsid w:val="0058088C"/>
    <w:rsid w:val="0058133E"/>
    <w:rsid w:val="00581E20"/>
    <w:rsid w:val="00584A4D"/>
    <w:rsid w:val="00586BEA"/>
    <w:rsid w:val="0058709A"/>
    <w:rsid w:val="00593528"/>
    <w:rsid w:val="00595882"/>
    <w:rsid w:val="00596230"/>
    <w:rsid w:val="005A07D4"/>
    <w:rsid w:val="005A4304"/>
    <w:rsid w:val="005A6570"/>
    <w:rsid w:val="005A753B"/>
    <w:rsid w:val="005A77CD"/>
    <w:rsid w:val="005B13F1"/>
    <w:rsid w:val="005B40E9"/>
    <w:rsid w:val="005B4D10"/>
    <w:rsid w:val="005C3257"/>
    <w:rsid w:val="005C3F62"/>
    <w:rsid w:val="005C6BD4"/>
    <w:rsid w:val="005D2C7D"/>
    <w:rsid w:val="005D39EC"/>
    <w:rsid w:val="005E3DF4"/>
    <w:rsid w:val="005F0554"/>
    <w:rsid w:val="005F1A5E"/>
    <w:rsid w:val="005F2031"/>
    <w:rsid w:val="005F3B85"/>
    <w:rsid w:val="00602FAB"/>
    <w:rsid w:val="00605404"/>
    <w:rsid w:val="00613E58"/>
    <w:rsid w:val="00614F5F"/>
    <w:rsid w:val="00615265"/>
    <w:rsid w:val="006162C9"/>
    <w:rsid w:val="00616ED0"/>
    <w:rsid w:val="00622208"/>
    <w:rsid w:val="00622665"/>
    <w:rsid w:val="006234EB"/>
    <w:rsid w:val="00625C82"/>
    <w:rsid w:val="00626B3B"/>
    <w:rsid w:val="006272D7"/>
    <w:rsid w:val="00630668"/>
    <w:rsid w:val="006345D6"/>
    <w:rsid w:val="00636BF1"/>
    <w:rsid w:val="00636F9D"/>
    <w:rsid w:val="0064094F"/>
    <w:rsid w:val="00642091"/>
    <w:rsid w:val="00642485"/>
    <w:rsid w:val="00644CFA"/>
    <w:rsid w:val="00644F7B"/>
    <w:rsid w:val="00646017"/>
    <w:rsid w:val="00646304"/>
    <w:rsid w:val="00646B6E"/>
    <w:rsid w:val="00652843"/>
    <w:rsid w:val="00653057"/>
    <w:rsid w:val="00653A80"/>
    <w:rsid w:val="006540B1"/>
    <w:rsid w:val="00657B21"/>
    <w:rsid w:val="00661769"/>
    <w:rsid w:val="0066235F"/>
    <w:rsid w:val="0066559B"/>
    <w:rsid w:val="00667A1F"/>
    <w:rsid w:val="006701EC"/>
    <w:rsid w:val="006723B7"/>
    <w:rsid w:val="0067249F"/>
    <w:rsid w:val="006739B3"/>
    <w:rsid w:val="0067522C"/>
    <w:rsid w:val="006802C5"/>
    <w:rsid w:val="006805D5"/>
    <w:rsid w:val="00685071"/>
    <w:rsid w:val="0068566F"/>
    <w:rsid w:val="00686246"/>
    <w:rsid w:val="00690F5F"/>
    <w:rsid w:val="006914A3"/>
    <w:rsid w:val="006946CF"/>
    <w:rsid w:val="006976DE"/>
    <w:rsid w:val="006A2C53"/>
    <w:rsid w:val="006A6B84"/>
    <w:rsid w:val="006A70EA"/>
    <w:rsid w:val="006B0BC6"/>
    <w:rsid w:val="006B441A"/>
    <w:rsid w:val="006C2065"/>
    <w:rsid w:val="006C2C43"/>
    <w:rsid w:val="006C557D"/>
    <w:rsid w:val="006C5D3D"/>
    <w:rsid w:val="006D6DFF"/>
    <w:rsid w:val="006E176C"/>
    <w:rsid w:val="006E17D8"/>
    <w:rsid w:val="006E4F09"/>
    <w:rsid w:val="006E7258"/>
    <w:rsid w:val="006F2B11"/>
    <w:rsid w:val="006F5B47"/>
    <w:rsid w:val="006F6565"/>
    <w:rsid w:val="00701831"/>
    <w:rsid w:val="0070331B"/>
    <w:rsid w:val="00703AB8"/>
    <w:rsid w:val="00703DB5"/>
    <w:rsid w:val="007076F2"/>
    <w:rsid w:val="00710FA6"/>
    <w:rsid w:val="00716DB4"/>
    <w:rsid w:val="00717A80"/>
    <w:rsid w:val="00720023"/>
    <w:rsid w:val="0072130C"/>
    <w:rsid w:val="0072540F"/>
    <w:rsid w:val="007268BE"/>
    <w:rsid w:val="00730F05"/>
    <w:rsid w:val="007327AD"/>
    <w:rsid w:val="00732B23"/>
    <w:rsid w:val="00733421"/>
    <w:rsid w:val="00733C0A"/>
    <w:rsid w:val="0073738A"/>
    <w:rsid w:val="0074745B"/>
    <w:rsid w:val="007477C8"/>
    <w:rsid w:val="007520ED"/>
    <w:rsid w:val="00752835"/>
    <w:rsid w:val="007534B3"/>
    <w:rsid w:val="007534EE"/>
    <w:rsid w:val="00756BE9"/>
    <w:rsid w:val="0076524F"/>
    <w:rsid w:val="00766853"/>
    <w:rsid w:val="0077061E"/>
    <w:rsid w:val="00781FAF"/>
    <w:rsid w:val="0078466A"/>
    <w:rsid w:val="00785597"/>
    <w:rsid w:val="007856C3"/>
    <w:rsid w:val="00791836"/>
    <w:rsid w:val="00795F43"/>
    <w:rsid w:val="0079677C"/>
    <w:rsid w:val="00797237"/>
    <w:rsid w:val="007A1356"/>
    <w:rsid w:val="007A5E2C"/>
    <w:rsid w:val="007A75CD"/>
    <w:rsid w:val="007B0647"/>
    <w:rsid w:val="007B2B42"/>
    <w:rsid w:val="007B3B96"/>
    <w:rsid w:val="007B5221"/>
    <w:rsid w:val="007B56B0"/>
    <w:rsid w:val="007C0FE1"/>
    <w:rsid w:val="007C4268"/>
    <w:rsid w:val="007C53EA"/>
    <w:rsid w:val="007D0BC3"/>
    <w:rsid w:val="007D0D3E"/>
    <w:rsid w:val="007D2A15"/>
    <w:rsid w:val="007D3C52"/>
    <w:rsid w:val="007E147C"/>
    <w:rsid w:val="007E1D2E"/>
    <w:rsid w:val="007E5C80"/>
    <w:rsid w:val="007E68A2"/>
    <w:rsid w:val="007F3B4F"/>
    <w:rsid w:val="007F4F30"/>
    <w:rsid w:val="007F7C65"/>
    <w:rsid w:val="00802A91"/>
    <w:rsid w:val="008035E2"/>
    <w:rsid w:val="00805F94"/>
    <w:rsid w:val="00807C21"/>
    <w:rsid w:val="008134DF"/>
    <w:rsid w:val="00820244"/>
    <w:rsid w:val="00820BFD"/>
    <w:rsid w:val="00821671"/>
    <w:rsid w:val="00821A9D"/>
    <w:rsid w:val="0082342A"/>
    <w:rsid w:val="0082703E"/>
    <w:rsid w:val="00833E8A"/>
    <w:rsid w:val="00833EBD"/>
    <w:rsid w:val="008406B7"/>
    <w:rsid w:val="00841094"/>
    <w:rsid w:val="00847333"/>
    <w:rsid w:val="00851F1D"/>
    <w:rsid w:val="008541A9"/>
    <w:rsid w:val="008552B4"/>
    <w:rsid w:val="008619DD"/>
    <w:rsid w:val="008752C2"/>
    <w:rsid w:val="008779B5"/>
    <w:rsid w:val="00881917"/>
    <w:rsid w:val="00882D3B"/>
    <w:rsid w:val="00891916"/>
    <w:rsid w:val="008932B7"/>
    <w:rsid w:val="00894E95"/>
    <w:rsid w:val="00897269"/>
    <w:rsid w:val="008973BB"/>
    <w:rsid w:val="00897B39"/>
    <w:rsid w:val="008A2235"/>
    <w:rsid w:val="008A38F7"/>
    <w:rsid w:val="008A5996"/>
    <w:rsid w:val="008A7EAB"/>
    <w:rsid w:val="008B0675"/>
    <w:rsid w:val="008B524F"/>
    <w:rsid w:val="008B68E3"/>
    <w:rsid w:val="008B783A"/>
    <w:rsid w:val="008C0704"/>
    <w:rsid w:val="008C757D"/>
    <w:rsid w:val="008D06B6"/>
    <w:rsid w:val="008D0843"/>
    <w:rsid w:val="008D4B9E"/>
    <w:rsid w:val="008D666C"/>
    <w:rsid w:val="008D7DF7"/>
    <w:rsid w:val="008E2191"/>
    <w:rsid w:val="008E5AAB"/>
    <w:rsid w:val="008F0EA4"/>
    <w:rsid w:val="008F1FC1"/>
    <w:rsid w:val="008F3445"/>
    <w:rsid w:val="0090669D"/>
    <w:rsid w:val="00906A15"/>
    <w:rsid w:val="00910063"/>
    <w:rsid w:val="00910B70"/>
    <w:rsid w:val="009119D7"/>
    <w:rsid w:val="00920646"/>
    <w:rsid w:val="00920BDC"/>
    <w:rsid w:val="009239AF"/>
    <w:rsid w:val="0092711D"/>
    <w:rsid w:val="00927F67"/>
    <w:rsid w:val="009308AC"/>
    <w:rsid w:val="009336DC"/>
    <w:rsid w:val="00937C0E"/>
    <w:rsid w:val="0095098A"/>
    <w:rsid w:val="009538FF"/>
    <w:rsid w:val="0096393B"/>
    <w:rsid w:val="00964B45"/>
    <w:rsid w:val="00965448"/>
    <w:rsid w:val="00966A83"/>
    <w:rsid w:val="00970386"/>
    <w:rsid w:val="00971721"/>
    <w:rsid w:val="00971CDB"/>
    <w:rsid w:val="0097207B"/>
    <w:rsid w:val="0097289E"/>
    <w:rsid w:val="0097433E"/>
    <w:rsid w:val="0098368F"/>
    <w:rsid w:val="00991200"/>
    <w:rsid w:val="00993E58"/>
    <w:rsid w:val="00996DEF"/>
    <w:rsid w:val="00996F92"/>
    <w:rsid w:val="009A2FCE"/>
    <w:rsid w:val="009A4E2F"/>
    <w:rsid w:val="009A79BA"/>
    <w:rsid w:val="009B30DF"/>
    <w:rsid w:val="009B4BDA"/>
    <w:rsid w:val="009B552A"/>
    <w:rsid w:val="009C1750"/>
    <w:rsid w:val="009C6DC5"/>
    <w:rsid w:val="009D0706"/>
    <w:rsid w:val="009D1210"/>
    <w:rsid w:val="009D5F8C"/>
    <w:rsid w:val="009E12D0"/>
    <w:rsid w:val="009F2170"/>
    <w:rsid w:val="00A04C71"/>
    <w:rsid w:val="00A06E9C"/>
    <w:rsid w:val="00A13391"/>
    <w:rsid w:val="00A15F66"/>
    <w:rsid w:val="00A20D65"/>
    <w:rsid w:val="00A21AD6"/>
    <w:rsid w:val="00A23897"/>
    <w:rsid w:val="00A23DD1"/>
    <w:rsid w:val="00A25658"/>
    <w:rsid w:val="00A25BCB"/>
    <w:rsid w:val="00A3067A"/>
    <w:rsid w:val="00A31592"/>
    <w:rsid w:val="00A41182"/>
    <w:rsid w:val="00A42724"/>
    <w:rsid w:val="00A43EBF"/>
    <w:rsid w:val="00A55B5D"/>
    <w:rsid w:val="00A60054"/>
    <w:rsid w:val="00A614DB"/>
    <w:rsid w:val="00A62DB4"/>
    <w:rsid w:val="00A648DA"/>
    <w:rsid w:val="00A64D77"/>
    <w:rsid w:val="00A7089C"/>
    <w:rsid w:val="00A71BB4"/>
    <w:rsid w:val="00A71E57"/>
    <w:rsid w:val="00A73C73"/>
    <w:rsid w:val="00A74393"/>
    <w:rsid w:val="00A7735F"/>
    <w:rsid w:val="00A8006B"/>
    <w:rsid w:val="00A8082F"/>
    <w:rsid w:val="00A80F90"/>
    <w:rsid w:val="00A81B52"/>
    <w:rsid w:val="00A82525"/>
    <w:rsid w:val="00A82F8D"/>
    <w:rsid w:val="00A94664"/>
    <w:rsid w:val="00A95B57"/>
    <w:rsid w:val="00AA000E"/>
    <w:rsid w:val="00AA1397"/>
    <w:rsid w:val="00AA545A"/>
    <w:rsid w:val="00AA6D9C"/>
    <w:rsid w:val="00AB0269"/>
    <w:rsid w:val="00AB1525"/>
    <w:rsid w:val="00AB2348"/>
    <w:rsid w:val="00AB2B99"/>
    <w:rsid w:val="00AB50D5"/>
    <w:rsid w:val="00AB54E9"/>
    <w:rsid w:val="00AB612D"/>
    <w:rsid w:val="00AC38AA"/>
    <w:rsid w:val="00AC5A82"/>
    <w:rsid w:val="00AC79D5"/>
    <w:rsid w:val="00AD0314"/>
    <w:rsid w:val="00AD11B9"/>
    <w:rsid w:val="00AD5345"/>
    <w:rsid w:val="00AE1BEE"/>
    <w:rsid w:val="00AE1C15"/>
    <w:rsid w:val="00AE3201"/>
    <w:rsid w:val="00AF201A"/>
    <w:rsid w:val="00AF365D"/>
    <w:rsid w:val="00AF5E47"/>
    <w:rsid w:val="00AF7740"/>
    <w:rsid w:val="00B028A9"/>
    <w:rsid w:val="00B02F4B"/>
    <w:rsid w:val="00B04179"/>
    <w:rsid w:val="00B04563"/>
    <w:rsid w:val="00B07B29"/>
    <w:rsid w:val="00B1664F"/>
    <w:rsid w:val="00B16867"/>
    <w:rsid w:val="00B2092A"/>
    <w:rsid w:val="00B214F1"/>
    <w:rsid w:val="00B22FE6"/>
    <w:rsid w:val="00B23DA5"/>
    <w:rsid w:val="00B240FA"/>
    <w:rsid w:val="00B25661"/>
    <w:rsid w:val="00B302BA"/>
    <w:rsid w:val="00B3676B"/>
    <w:rsid w:val="00B36C13"/>
    <w:rsid w:val="00B40193"/>
    <w:rsid w:val="00B40230"/>
    <w:rsid w:val="00B40309"/>
    <w:rsid w:val="00B541C9"/>
    <w:rsid w:val="00B566E3"/>
    <w:rsid w:val="00B62DD4"/>
    <w:rsid w:val="00B63844"/>
    <w:rsid w:val="00B72638"/>
    <w:rsid w:val="00B75341"/>
    <w:rsid w:val="00B76391"/>
    <w:rsid w:val="00B76C04"/>
    <w:rsid w:val="00B84EE3"/>
    <w:rsid w:val="00B90388"/>
    <w:rsid w:val="00B920F5"/>
    <w:rsid w:val="00B93CB2"/>
    <w:rsid w:val="00B95E9F"/>
    <w:rsid w:val="00B96237"/>
    <w:rsid w:val="00BA0BBC"/>
    <w:rsid w:val="00BA2D90"/>
    <w:rsid w:val="00BA54A4"/>
    <w:rsid w:val="00BA65A2"/>
    <w:rsid w:val="00BB0FC7"/>
    <w:rsid w:val="00BB1DD0"/>
    <w:rsid w:val="00BB5619"/>
    <w:rsid w:val="00BC36AD"/>
    <w:rsid w:val="00BC5CA4"/>
    <w:rsid w:val="00BC6A29"/>
    <w:rsid w:val="00BC6FBE"/>
    <w:rsid w:val="00BD0975"/>
    <w:rsid w:val="00BE0310"/>
    <w:rsid w:val="00BE0F00"/>
    <w:rsid w:val="00BE1517"/>
    <w:rsid w:val="00BE6A05"/>
    <w:rsid w:val="00BE6C41"/>
    <w:rsid w:val="00BE712B"/>
    <w:rsid w:val="00BF046A"/>
    <w:rsid w:val="00C041DB"/>
    <w:rsid w:val="00C04242"/>
    <w:rsid w:val="00C05718"/>
    <w:rsid w:val="00C12331"/>
    <w:rsid w:val="00C127C8"/>
    <w:rsid w:val="00C16307"/>
    <w:rsid w:val="00C16445"/>
    <w:rsid w:val="00C17980"/>
    <w:rsid w:val="00C205CD"/>
    <w:rsid w:val="00C2550A"/>
    <w:rsid w:val="00C25DC4"/>
    <w:rsid w:val="00C27611"/>
    <w:rsid w:val="00C2774F"/>
    <w:rsid w:val="00C321C4"/>
    <w:rsid w:val="00C33A9A"/>
    <w:rsid w:val="00C35B1D"/>
    <w:rsid w:val="00C371A0"/>
    <w:rsid w:val="00C37EF8"/>
    <w:rsid w:val="00C434D6"/>
    <w:rsid w:val="00C5107F"/>
    <w:rsid w:val="00C52E94"/>
    <w:rsid w:val="00C53EB6"/>
    <w:rsid w:val="00C562E3"/>
    <w:rsid w:val="00C57929"/>
    <w:rsid w:val="00C62BE4"/>
    <w:rsid w:val="00C65C89"/>
    <w:rsid w:val="00C664DF"/>
    <w:rsid w:val="00C67A19"/>
    <w:rsid w:val="00C67B76"/>
    <w:rsid w:val="00C67DCC"/>
    <w:rsid w:val="00C71BB7"/>
    <w:rsid w:val="00C76F4C"/>
    <w:rsid w:val="00C77471"/>
    <w:rsid w:val="00C775A9"/>
    <w:rsid w:val="00C8352A"/>
    <w:rsid w:val="00C855BC"/>
    <w:rsid w:val="00C916DB"/>
    <w:rsid w:val="00C921F6"/>
    <w:rsid w:val="00C95832"/>
    <w:rsid w:val="00CA30EB"/>
    <w:rsid w:val="00CA4F80"/>
    <w:rsid w:val="00CA555B"/>
    <w:rsid w:val="00CB1F45"/>
    <w:rsid w:val="00CB56EA"/>
    <w:rsid w:val="00CC1ED9"/>
    <w:rsid w:val="00CC28EA"/>
    <w:rsid w:val="00CC55D7"/>
    <w:rsid w:val="00CC6081"/>
    <w:rsid w:val="00CC6357"/>
    <w:rsid w:val="00CD462D"/>
    <w:rsid w:val="00CE184D"/>
    <w:rsid w:val="00CE2635"/>
    <w:rsid w:val="00CE4741"/>
    <w:rsid w:val="00CF0370"/>
    <w:rsid w:val="00CF0E96"/>
    <w:rsid w:val="00CF18D8"/>
    <w:rsid w:val="00D0299A"/>
    <w:rsid w:val="00D03537"/>
    <w:rsid w:val="00D03BF0"/>
    <w:rsid w:val="00D04163"/>
    <w:rsid w:val="00D0496F"/>
    <w:rsid w:val="00D04FAD"/>
    <w:rsid w:val="00D05CD2"/>
    <w:rsid w:val="00D06A02"/>
    <w:rsid w:val="00D07A4A"/>
    <w:rsid w:val="00D20B9C"/>
    <w:rsid w:val="00D22FCB"/>
    <w:rsid w:val="00D27119"/>
    <w:rsid w:val="00D35CEA"/>
    <w:rsid w:val="00D401C5"/>
    <w:rsid w:val="00D41C51"/>
    <w:rsid w:val="00D4261D"/>
    <w:rsid w:val="00D4287B"/>
    <w:rsid w:val="00D469E4"/>
    <w:rsid w:val="00D47510"/>
    <w:rsid w:val="00D50CF9"/>
    <w:rsid w:val="00D54B3F"/>
    <w:rsid w:val="00D55D74"/>
    <w:rsid w:val="00D560CE"/>
    <w:rsid w:val="00D604DF"/>
    <w:rsid w:val="00D62B90"/>
    <w:rsid w:val="00D67086"/>
    <w:rsid w:val="00D70AD7"/>
    <w:rsid w:val="00D71A1B"/>
    <w:rsid w:val="00D75A31"/>
    <w:rsid w:val="00D81047"/>
    <w:rsid w:val="00D85D59"/>
    <w:rsid w:val="00D903B0"/>
    <w:rsid w:val="00D94A61"/>
    <w:rsid w:val="00D95164"/>
    <w:rsid w:val="00D95A46"/>
    <w:rsid w:val="00D97BBF"/>
    <w:rsid w:val="00D97FC6"/>
    <w:rsid w:val="00DA0BDA"/>
    <w:rsid w:val="00DA1A67"/>
    <w:rsid w:val="00DA6066"/>
    <w:rsid w:val="00DA7804"/>
    <w:rsid w:val="00DB511A"/>
    <w:rsid w:val="00DB5CF3"/>
    <w:rsid w:val="00DC0599"/>
    <w:rsid w:val="00DC0846"/>
    <w:rsid w:val="00DC3914"/>
    <w:rsid w:val="00DC6D50"/>
    <w:rsid w:val="00DD00F8"/>
    <w:rsid w:val="00DD0ECD"/>
    <w:rsid w:val="00DD353C"/>
    <w:rsid w:val="00DD4ADA"/>
    <w:rsid w:val="00DD6CE5"/>
    <w:rsid w:val="00DE1D63"/>
    <w:rsid w:val="00DE28F3"/>
    <w:rsid w:val="00DE42AA"/>
    <w:rsid w:val="00DE5576"/>
    <w:rsid w:val="00DE6D5A"/>
    <w:rsid w:val="00DE7BB6"/>
    <w:rsid w:val="00DF1815"/>
    <w:rsid w:val="00DF4A47"/>
    <w:rsid w:val="00DF66F5"/>
    <w:rsid w:val="00DF690E"/>
    <w:rsid w:val="00E00F62"/>
    <w:rsid w:val="00E0597C"/>
    <w:rsid w:val="00E0619E"/>
    <w:rsid w:val="00E06663"/>
    <w:rsid w:val="00E06D0A"/>
    <w:rsid w:val="00E102D9"/>
    <w:rsid w:val="00E117AF"/>
    <w:rsid w:val="00E122C0"/>
    <w:rsid w:val="00E12B33"/>
    <w:rsid w:val="00E23074"/>
    <w:rsid w:val="00E23C51"/>
    <w:rsid w:val="00E24023"/>
    <w:rsid w:val="00E257C7"/>
    <w:rsid w:val="00E25890"/>
    <w:rsid w:val="00E25A4A"/>
    <w:rsid w:val="00E26556"/>
    <w:rsid w:val="00E26AD6"/>
    <w:rsid w:val="00E300B3"/>
    <w:rsid w:val="00E30B79"/>
    <w:rsid w:val="00E31F81"/>
    <w:rsid w:val="00E35652"/>
    <w:rsid w:val="00E36A3A"/>
    <w:rsid w:val="00E408B0"/>
    <w:rsid w:val="00E43BCB"/>
    <w:rsid w:val="00E449AF"/>
    <w:rsid w:val="00E4646F"/>
    <w:rsid w:val="00E511A7"/>
    <w:rsid w:val="00E540B1"/>
    <w:rsid w:val="00E55247"/>
    <w:rsid w:val="00E628E7"/>
    <w:rsid w:val="00E63EE9"/>
    <w:rsid w:val="00E64AA5"/>
    <w:rsid w:val="00E6566C"/>
    <w:rsid w:val="00E70C58"/>
    <w:rsid w:val="00E71FCD"/>
    <w:rsid w:val="00E752EC"/>
    <w:rsid w:val="00E8000E"/>
    <w:rsid w:val="00E808A9"/>
    <w:rsid w:val="00E82A62"/>
    <w:rsid w:val="00E85A31"/>
    <w:rsid w:val="00E94B15"/>
    <w:rsid w:val="00E97A39"/>
    <w:rsid w:val="00EB3E9D"/>
    <w:rsid w:val="00EB4194"/>
    <w:rsid w:val="00EB5A6F"/>
    <w:rsid w:val="00EC1CDC"/>
    <w:rsid w:val="00EC4C0D"/>
    <w:rsid w:val="00EC6F2F"/>
    <w:rsid w:val="00ED2540"/>
    <w:rsid w:val="00ED3A6D"/>
    <w:rsid w:val="00ED52CF"/>
    <w:rsid w:val="00EE048F"/>
    <w:rsid w:val="00EE3F42"/>
    <w:rsid w:val="00EE5088"/>
    <w:rsid w:val="00EE5FA5"/>
    <w:rsid w:val="00EF3E6C"/>
    <w:rsid w:val="00EF3ED5"/>
    <w:rsid w:val="00EF4C22"/>
    <w:rsid w:val="00EF5D0B"/>
    <w:rsid w:val="00EF67B3"/>
    <w:rsid w:val="00F00D36"/>
    <w:rsid w:val="00F01921"/>
    <w:rsid w:val="00F022A2"/>
    <w:rsid w:val="00F03F11"/>
    <w:rsid w:val="00F1310B"/>
    <w:rsid w:val="00F147A7"/>
    <w:rsid w:val="00F171D7"/>
    <w:rsid w:val="00F17911"/>
    <w:rsid w:val="00F25E9E"/>
    <w:rsid w:val="00F27120"/>
    <w:rsid w:val="00F303B8"/>
    <w:rsid w:val="00F31FA6"/>
    <w:rsid w:val="00F37C9E"/>
    <w:rsid w:val="00F47D14"/>
    <w:rsid w:val="00F511C9"/>
    <w:rsid w:val="00F53A50"/>
    <w:rsid w:val="00F54D62"/>
    <w:rsid w:val="00F612A8"/>
    <w:rsid w:val="00F73A8A"/>
    <w:rsid w:val="00F73D3E"/>
    <w:rsid w:val="00F741FA"/>
    <w:rsid w:val="00F820F2"/>
    <w:rsid w:val="00F83CA3"/>
    <w:rsid w:val="00F83D59"/>
    <w:rsid w:val="00F85B25"/>
    <w:rsid w:val="00F86D2E"/>
    <w:rsid w:val="00F90F0A"/>
    <w:rsid w:val="00F921A2"/>
    <w:rsid w:val="00F92A01"/>
    <w:rsid w:val="00F97255"/>
    <w:rsid w:val="00F97D45"/>
    <w:rsid w:val="00F97E32"/>
    <w:rsid w:val="00FA2CE8"/>
    <w:rsid w:val="00FA4B0B"/>
    <w:rsid w:val="00FA5894"/>
    <w:rsid w:val="00FA5C92"/>
    <w:rsid w:val="00FB1164"/>
    <w:rsid w:val="00FC0887"/>
    <w:rsid w:val="00FC33C4"/>
    <w:rsid w:val="00FD2137"/>
    <w:rsid w:val="00FD56B4"/>
    <w:rsid w:val="00FE0318"/>
    <w:rsid w:val="00FE16FB"/>
    <w:rsid w:val="00FE1E16"/>
    <w:rsid w:val="00FE22D7"/>
    <w:rsid w:val="00FE2B5D"/>
    <w:rsid w:val="00FE6D08"/>
    <w:rsid w:val="00FF11F1"/>
    <w:rsid w:val="00FF1D33"/>
    <w:rsid w:val="00FF3143"/>
    <w:rsid w:val="00FF4035"/>
    <w:rsid w:val="00FF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F7"/>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SimSun" w:hAnsi="Arial" w:cs="Arial"/>
      <w:sz w:val="40"/>
      <w:szCs w:val="40"/>
      <w:lang w:val="en"/>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SimSun" w:hAnsi="Arial" w:cs="Arial"/>
      <w:sz w:val="32"/>
      <w:szCs w:val="32"/>
      <w:lang w:val="en"/>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SimSun" w:hAnsi="Arial" w:cs="Arial"/>
      <w:color w:val="434343"/>
      <w:sz w:val="28"/>
      <w:szCs w:val="28"/>
      <w:lang w:val="en"/>
    </w:rPr>
  </w:style>
  <w:style w:type="paragraph" w:styleId="Heading4">
    <w:name w:val="heading 4"/>
    <w:basedOn w:val="Normal"/>
    <w:next w:val="Normal"/>
    <w:uiPriority w:val="9"/>
    <w:unhideWhenUsed/>
    <w:qFormat/>
    <w:pPr>
      <w:keepNext/>
      <w:keepLines/>
      <w:spacing w:before="280" w:after="80" w:line="276" w:lineRule="auto"/>
      <w:outlineLvl w:val="3"/>
    </w:pPr>
    <w:rPr>
      <w:rFonts w:ascii="Arial" w:eastAsia="SimSun"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SimSun"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outlineLvl w:val="5"/>
    </w:pPr>
    <w:rPr>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SimSun"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SimSun"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rFonts w:ascii="Arial" w:eastAsia="SimSun" w:hAnsi="Arial" w:cs="Arial"/>
      <w:sz w:val="20"/>
      <w:szCs w:val="20"/>
      <w:lang w:val="en"/>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25E9E"/>
    <w:pPr>
      <w:tabs>
        <w:tab w:val="center" w:pos="4680"/>
        <w:tab w:val="right" w:pos="9360"/>
      </w:tabs>
    </w:pPr>
    <w:rPr>
      <w:rFonts w:ascii="Arial" w:eastAsia="SimSun" w:hAnsi="Arial" w:cs="Arial"/>
      <w:sz w:val="22"/>
      <w:szCs w:val="22"/>
      <w:lang w:val="en"/>
    </w:rPr>
  </w:style>
  <w:style w:type="character" w:customStyle="1" w:styleId="HeaderChar">
    <w:name w:val="Header Char"/>
    <w:basedOn w:val="DefaultParagraphFont"/>
    <w:link w:val="Header"/>
    <w:uiPriority w:val="99"/>
    <w:rsid w:val="00F25E9E"/>
  </w:style>
  <w:style w:type="paragraph" w:styleId="Footer">
    <w:name w:val="footer"/>
    <w:basedOn w:val="Normal"/>
    <w:link w:val="FooterChar"/>
    <w:uiPriority w:val="99"/>
    <w:unhideWhenUsed/>
    <w:rsid w:val="00F25E9E"/>
    <w:pPr>
      <w:tabs>
        <w:tab w:val="center" w:pos="4680"/>
        <w:tab w:val="right" w:pos="9360"/>
      </w:tabs>
    </w:pPr>
    <w:rPr>
      <w:rFonts w:ascii="Arial" w:eastAsia="SimSun" w:hAnsi="Arial" w:cs="Arial"/>
      <w:sz w:val="22"/>
      <w:szCs w:val="22"/>
      <w:lang w:val="en"/>
    </w:rPr>
  </w:style>
  <w:style w:type="character" w:customStyle="1" w:styleId="FooterChar">
    <w:name w:val="Footer Char"/>
    <w:basedOn w:val="DefaultParagraphFont"/>
    <w:link w:val="Footer"/>
    <w:uiPriority w:val="99"/>
    <w:rsid w:val="00F25E9E"/>
  </w:style>
  <w:style w:type="paragraph" w:styleId="ListParagraph">
    <w:name w:val="List Paragraph"/>
    <w:basedOn w:val="Normal"/>
    <w:uiPriority w:val="34"/>
    <w:qFormat/>
    <w:rsid w:val="00C664DF"/>
    <w:pPr>
      <w:spacing w:line="276" w:lineRule="auto"/>
      <w:ind w:left="720"/>
      <w:contextualSpacing/>
    </w:pPr>
    <w:rPr>
      <w:rFonts w:ascii="Arial" w:eastAsia="SimSun" w:hAnsi="Arial" w:cs="Arial"/>
      <w:sz w:val="22"/>
      <w:szCs w:val="22"/>
      <w:lang w:val="en"/>
    </w:rPr>
  </w:style>
  <w:style w:type="paragraph" w:styleId="Revision">
    <w:name w:val="Revision"/>
    <w:hidden/>
    <w:uiPriority w:val="99"/>
    <w:semiHidden/>
    <w:rsid w:val="003231A0"/>
    <w:pPr>
      <w:spacing w:line="240" w:lineRule="auto"/>
    </w:pPr>
  </w:style>
  <w:style w:type="paragraph" w:styleId="CommentSubject">
    <w:name w:val="annotation subject"/>
    <w:basedOn w:val="CommentText"/>
    <w:next w:val="CommentText"/>
    <w:link w:val="CommentSubjectChar"/>
    <w:uiPriority w:val="99"/>
    <w:semiHidden/>
    <w:unhideWhenUsed/>
    <w:rsid w:val="003231A0"/>
    <w:rPr>
      <w:b/>
      <w:bCs/>
    </w:rPr>
  </w:style>
  <w:style w:type="character" w:customStyle="1" w:styleId="CommentSubjectChar">
    <w:name w:val="Comment Subject Char"/>
    <w:basedOn w:val="CommentTextChar"/>
    <w:link w:val="CommentSubject"/>
    <w:uiPriority w:val="99"/>
    <w:semiHidden/>
    <w:rsid w:val="003231A0"/>
    <w:rPr>
      <w:b/>
      <w:bCs/>
      <w:sz w:val="20"/>
      <w:szCs w:val="20"/>
    </w:rPr>
  </w:style>
  <w:style w:type="table" w:styleId="TableGrid">
    <w:name w:val="Table Grid"/>
    <w:basedOn w:val="TableNormal"/>
    <w:uiPriority w:val="39"/>
    <w:rsid w:val="001877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F66F5"/>
    <w:pPr>
      <w:tabs>
        <w:tab w:val="left" w:pos="264"/>
      </w:tabs>
      <w:ind w:left="264" w:hanging="264"/>
    </w:pPr>
    <w:rPr>
      <w:rFonts w:ascii="Arial" w:eastAsia="SimSun" w:hAnsi="Arial" w:cs="Arial"/>
      <w:sz w:val="22"/>
      <w:szCs w:val="22"/>
      <w:lang w:val="en"/>
    </w:rPr>
  </w:style>
  <w:style w:type="character" w:styleId="Hyperlink">
    <w:name w:val="Hyperlink"/>
    <w:basedOn w:val="DefaultParagraphFont"/>
    <w:uiPriority w:val="99"/>
    <w:unhideWhenUsed/>
    <w:rsid w:val="009119D7"/>
    <w:rPr>
      <w:color w:val="0000FF" w:themeColor="hyperlink"/>
      <w:u w:val="single"/>
    </w:rPr>
  </w:style>
  <w:style w:type="character" w:styleId="UnresolvedMention">
    <w:name w:val="Unresolved Mention"/>
    <w:basedOn w:val="DefaultParagraphFont"/>
    <w:uiPriority w:val="99"/>
    <w:semiHidden/>
    <w:unhideWhenUsed/>
    <w:rsid w:val="009119D7"/>
    <w:rPr>
      <w:color w:val="605E5C"/>
      <w:shd w:val="clear" w:color="auto" w:fill="E1DFDD"/>
    </w:rPr>
  </w:style>
  <w:style w:type="character" w:styleId="FollowedHyperlink">
    <w:name w:val="FollowedHyperlink"/>
    <w:basedOn w:val="DefaultParagraphFont"/>
    <w:uiPriority w:val="99"/>
    <w:semiHidden/>
    <w:unhideWhenUsed/>
    <w:rsid w:val="00627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7241">
      <w:bodyDiv w:val="1"/>
      <w:marLeft w:val="0"/>
      <w:marRight w:val="0"/>
      <w:marTop w:val="0"/>
      <w:marBottom w:val="0"/>
      <w:divBdr>
        <w:top w:val="none" w:sz="0" w:space="0" w:color="auto"/>
        <w:left w:val="none" w:sz="0" w:space="0" w:color="auto"/>
        <w:bottom w:val="none" w:sz="0" w:space="0" w:color="auto"/>
        <w:right w:val="none" w:sz="0" w:space="0" w:color="auto"/>
      </w:divBdr>
      <w:divsChild>
        <w:div w:id="1247377743">
          <w:marLeft w:val="0"/>
          <w:marRight w:val="0"/>
          <w:marTop w:val="0"/>
          <w:marBottom w:val="0"/>
          <w:divBdr>
            <w:top w:val="none" w:sz="0" w:space="0" w:color="auto"/>
            <w:left w:val="none" w:sz="0" w:space="0" w:color="auto"/>
            <w:bottom w:val="none" w:sz="0" w:space="0" w:color="auto"/>
            <w:right w:val="none" w:sz="0" w:space="0" w:color="auto"/>
          </w:divBdr>
        </w:div>
        <w:div w:id="1973363906">
          <w:marLeft w:val="0"/>
          <w:marRight w:val="0"/>
          <w:marTop w:val="0"/>
          <w:marBottom w:val="0"/>
          <w:divBdr>
            <w:top w:val="none" w:sz="0" w:space="0" w:color="auto"/>
            <w:left w:val="none" w:sz="0" w:space="0" w:color="auto"/>
            <w:bottom w:val="none" w:sz="0" w:space="0" w:color="auto"/>
            <w:right w:val="none" w:sz="0" w:space="0" w:color="auto"/>
          </w:divBdr>
        </w:div>
        <w:div w:id="852841044">
          <w:marLeft w:val="0"/>
          <w:marRight w:val="0"/>
          <w:marTop w:val="0"/>
          <w:marBottom w:val="0"/>
          <w:divBdr>
            <w:top w:val="none" w:sz="0" w:space="0" w:color="auto"/>
            <w:left w:val="none" w:sz="0" w:space="0" w:color="auto"/>
            <w:bottom w:val="none" w:sz="0" w:space="0" w:color="auto"/>
            <w:right w:val="none" w:sz="0" w:space="0" w:color="auto"/>
          </w:divBdr>
        </w:div>
      </w:divsChild>
    </w:div>
    <w:div w:id="431628693">
      <w:bodyDiv w:val="1"/>
      <w:marLeft w:val="0"/>
      <w:marRight w:val="0"/>
      <w:marTop w:val="0"/>
      <w:marBottom w:val="0"/>
      <w:divBdr>
        <w:top w:val="none" w:sz="0" w:space="0" w:color="auto"/>
        <w:left w:val="none" w:sz="0" w:space="0" w:color="auto"/>
        <w:bottom w:val="none" w:sz="0" w:space="0" w:color="auto"/>
        <w:right w:val="none" w:sz="0" w:space="0" w:color="auto"/>
      </w:divBdr>
      <w:divsChild>
        <w:div w:id="1825774334">
          <w:marLeft w:val="480"/>
          <w:marRight w:val="0"/>
          <w:marTop w:val="0"/>
          <w:marBottom w:val="0"/>
          <w:divBdr>
            <w:top w:val="none" w:sz="0" w:space="0" w:color="auto"/>
            <w:left w:val="none" w:sz="0" w:space="0" w:color="auto"/>
            <w:bottom w:val="none" w:sz="0" w:space="0" w:color="auto"/>
            <w:right w:val="none" w:sz="0" w:space="0" w:color="auto"/>
          </w:divBdr>
          <w:divsChild>
            <w:div w:id="10133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480">
      <w:bodyDiv w:val="1"/>
      <w:marLeft w:val="0"/>
      <w:marRight w:val="0"/>
      <w:marTop w:val="0"/>
      <w:marBottom w:val="0"/>
      <w:divBdr>
        <w:top w:val="none" w:sz="0" w:space="0" w:color="auto"/>
        <w:left w:val="none" w:sz="0" w:space="0" w:color="auto"/>
        <w:bottom w:val="none" w:sz="0" w:space="0" w:color="auto"/>
        <w:right w:val="none" w:sz="0" w:space="0" w:color="auto"/>
      </w:divBdr>
      <w:divsChild>
        <w:div w:id="1659654881">
          <w:marLeft w:val="480"/>
          <w:marRight w:val="0"/>
          <w:marTop w:val="0"/>
          <w:marBottom w:val="0"/>
          <w:divBdr>
            <w:top w:val="none" w:sz="0" w:space="0" w:color="auto"/>
            <w:left w:val="none" w:sz="0" w:space="0" w:color="auto"/>
            <w:bottom w:val="none" w:sz="0" w:space="0" w:color="auto"/>
            <w:right w:val="none" w:sz="0" w:space="0" w:color="auto"/>
          </w:divBdr>
          <w:divsChild>
            <w:div w:id="21098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5819">
      <w:bodyDiv w:val="1"/>
      <w:marLeft w:val="0"/>
      <w:marRight w:val="0"/>
      <w:marTop w:val="0"/>
      <w:marBottom w:val="0"/>
      <w:divBdr>
        <w:top w:val="none" w:sz="0" w:space="0" w:color="auto"/>
        <w:left w:val="none" w:sz="0" w:space="0" w:color="auto"/>
        <w:bottom w:val="none" w:sz="0" w:space="0" w:color="auto"/>
        <w:right w:val="none" w:sz="0" w:space="0" w:color="auto"/>
      </w:divBdr>
      <w:divsChild>
        <w:div w:id="103892425">
          <w:marLeft w:val="480"/>
          <w:marRight w:val="0"/>
          <w:marTop w:val="0"/>
          <w:marBottom w:val="0"/>
          <w:divBdr>
            <w:top w:val="none" w:sz="0" w:space="0" w:color="auto"/>
            <w:left w:val="none" w:sz="0" w:space="0" w:color="auto"/>
            <w:bottom w:val="none" w:sz="0" w:space="0" w:color="auto"/>
            <w:right w:val="none" w:sz="0" w:space="0" w:color="auto"/>
          </w:divBdr>
          <w:divsChild>
            <w:div w:id="1075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07818">
      <w:bodyDiv w:val="1"/>
      <w:marLeft w:val="0"/>
      <w:marRight w:val="0"/>
      <w:marTop w:val="0"/>
      <w:marBottom w:val="0"/>
      <w:divBdr>
        <w:top w:val="none" w:sz="0" w:space="0" w:color="auto"/>
        <w:left w:val="none" w:sz="0" w:space="0" w:color="auto"/>
        <w:bottom w:val="none" w:sz="0" w:space="0" w:color="auto"/>
        <w:right w:val="none" w:sz="0" w:space="0" w:color="auto"/>
      </w:divBdr>
      <w:divsChild>
        <w:div w:id="887454867">
          <w:marLeft w:val="480"/>
          <w:marRight w:val="0"/>
          <w:marTop w:val="0"/>
          <w:marBottom w:val="0"/>
          <w:divBdr>
            <w:top w:val="none" w:sz="0" w:space="0" w:color="auto"/>
            <w:left w:val="none" w:sz="0" w:space="0" w:color="auto"/>
            <w:bottom w:val="none" w:sz="0" w:space="0" w:color="auto"/>
            <w:right w:val="none" w:sz="0" w:space="0" w:color="auto"/>
          </w:divBdr>
          <w:divsChild>
            <w:div w:id="228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2458">
      <w:bodyDiv w:val="1"/>
      <w:marLeft w:val="0"/>
      <w:marRight w:val="0"/>
      <w:marTop w:val="0"/>
      <w:marBottom w:val="0"/>
      <w:divBdr>
        <w:top w:val="none" w:sz="0" w:space="0" w:color="auto"/>
        <w:left w:val="none" w:sz="0" w:space="0" w:color="auto"/>
        <w:bottom w:val="none" w:sz="0" w:space="0" w:color="auto"/>
        <w:right w:val="none" w:sz="0" w:space="0" w:color="auto"/>
      </w:divBdr>
      <w:divsChild>
        <w:div w:id="1501769026">
          <w:marLeft w:val="480"/>
          <w:marRight w:val="0"/>
          <w:marTop w:val="0"/>
          <w:marBottom w:val="0"/>
          <w:divBdr>
            <w:top w:val="none" w:sz="0" w:space="0" w:color="auto"/>
            <w:left w:val="none" w:sz="0" w:space="0" w:color="auto"/>
            <w:bottom w:val="none" w:sz="0" w:space="0" w:color="auto"/>
            <w:right w:val="none" w:sz="0" w:space="0" w:color="auto"/>
          </w:divBdr>
          <w:divsChild>
            <w:div w:id="17136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923">
      <w:bodyDiv w:val="1"/>
      <w:marLeft w:val="0"/>
      <w:marRight w:val="0"/>
      <w:marTop w:val="0"/>
      <w:marBottom w:val="0"/>
      <w:divBdr>
        <w:top w:val="none" w:sz="0" w:space="0" w:color="auto"/>
        <w:left w:val="none" w:sz="0" w:space="0" w:color="auto"/>
        <w:bottom w:val="none" w:sz="0" w:space="0" w:color="auto"/>
        <w:right w:val="none" w:sz="0" w:space="0" w:color="auto"/>
      </w:divBdr>
      <w:divsChild>
        <w:div w:id="1824664331">
          <w:marLeft w:val="480"/>
          <w:marRight w:val="0"/>
          <w:marTop w:val="0"/>
          <w:marBottom w:val="0"/>
          <w:divBdr>
            <w:top w:val="none" w:sz="0" w:space="0" w:color="auto"/>
            <w:left w:val="none" w:sz="0" w:space="0" w:color="auto"/>
            <w:bottom w:val="none" w:sz="0" w:space="0" w:color="auto"/>
            <w:right w:val="none" w:sz="0" w:space="0" w:color="auto"/>
          </w:divBdr>
          <w:divsChild>
            <w:div w:id="8909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301">
      <w:bodyDiv w:val="1"/>
      <w:marLeft w:val="0"/>
      <w:marRight w:val="0"/>
      <w:marTop w:val="0"/>
      <w:marBottom w:val="0"/>
      <w:divBdr>
        <w:top w:val="none" w:sz="0" w:space="0" w:color="auto"/>
        <w:left w:val="none" w:sz="0" w:space="0" w:color="auto"/>
        <w:bottom w:val="none" w:sz="0" w:space="0" w:color="auto"/>
        <w:right w:val="none" w:sz="0" w:space="0" w:color="auto"/>
      </w:divBdr>
      <w:divsChild>
        <w:div w:id="744038531">
          <w:marLeft w:val="480"/>
          <w:marRight w:val="0"/>
          <w:marTop w:val="0"/>
          <w:marBottom w:val="0"/>
          <w:divBdr>
            <w:top w:val="none" w:sz="0" w:space="0" w:color="auto"/>
            <w:left w:val="none" w:sz="0" w:space="0" w:color="auto"/>
            <w:bottom w:val="none" w:sz="0" w:space="0" w:color="auto"/>
            <w:right w:val="none" w:sz="0" w:space="0" w:color="auto"/>
          </w:divBdr>
          <w:divsChild>
            <w:div w:id="20807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kostan1@jh.edu" TargetMode="External"/><Relationship Id="rId13" Type="http://schemas.openxmlformats.org/officeDocument/2006/relationships/hyperlink" Target="https://docs.safegraph.com/docs/social-distancing-metric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ogle.com/covid19/mobility/?hl=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rep100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is.com/home/item.html?id=48cd4d3e22df4ec2b45c8d9b882aa6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96/64914" TargetMode="External"/><Relationship Id="rId23" Type="http://schemas.openxmlformats.org/officeDocument/2006/relationships/hyperlink" Target="https://www.google.com/url?q=https://github.com/rcorgel/mobility-commentary&amp;sa=D&amp;source=docs&amp;ust=1705580291551624&amp;usg=AOvVaw1MqiFNRQd9BHvAEan1S0BL" TargetMode="External"/><Relationship Id="rId10" Type="http://schemas.openxmlformats.org/officeDocument/2006/relationships/hyperlink" Target="https://www.go-fair.org/fair-princip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url?q=https://github.com/rcorgel/mobility-commentary&amp;sa=D&amp;source=docs&amp;ust=1705580291551624&amp;usg=AOvVaw1MqiFNRQd9BHvAEan1S0BL" TargetMode="External"/><Relationship Id="rId14" Type="http://schemas.openxmlformats.org/officeDocument/2006/relationships/hyperlink" Target="https://www.insdc.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D5FA-7D1F-A043-9BF8-532FFBB0DBE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2025-02-03T13:55:00Z</dcterms:created>
  <dcterms:modified xsi:type="dcterms:W3CDTF">2025-03-09T03:27:00Z</dcterms:modified>
</cp:coreProperties>
</file>