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4EFC8" w14:textId="77777777" w:rsidR="00E970AE" w:rsidRPr="00042D80" w:rsidRDefault="00E970AE" w:rsidP="00E970AE">
      <w:pPr>
        <w:jc w:val="center"/>
        <w:rPr>
          <w:rFonts w:ascii="Calibri" w:hAnsi="Calibri" w:cs="Calibri"/>
          <w:b/>
          <w:bCs/>
          <w:sz w:val="22"/>
          <w:szCs w:val="22"/>
        </w:rPr>
      </w:pPr>
      <w:r w:rsidRPr="00042D80">
        <w:rPr>
          <w:rFonts w:ascii="Calibri" w:hAnsi="Calibri" w:cs="Calibri"/>
          <w:b/>
          <w:bCs/>
          <w:sz w:val="22"/>
          <w:szCs w:val="22"/>
        </w:rPr>
        <w:t>Submission to the Modernisation Committee’s Inquiry</w:t>
      </w:r>
    </w:p>
    <w:p w14:paraId="236FB4C8" w14:textId="6C4C7A8E" w:rsidR="00E970AE" w:rsidRPr="00E970AE" w:rsidRDefault="00E970AE" w:rsidP="00E970AE">
      <w:pPr>
        <w:rPr>
          <w:rFonts w:ascii="Calibri" w:hAnsi="Calibri" w:cs="Calibri"/>
          <w:b/>
          <w:bCs/>
        </w:rPr>
      </w:pPr>
    </w:p>
    <w:p w14:paraId="0F77306E" w14:textId="77777777" w:rsidR="00E970AE" w:rsidRPr="00042D80" w:rsidRDefault="00E970AE" w:rsidP="00E970AE">
      <w:pPr>
        <w:rPr>
          <w:rFonts w:ascii="Calibri" w:hAnsi="Calibri" w:cs="Calibri"/>
          <w:b/>
          <w:bCs/>
          <w:sz w:val="22"/>
          <w:szCs w:val="22"/>
        </w:rPr>
      </w:pPr>
      <w:r w:rsidRPr="00042D80">
        <w:rPr>
          <w:rFonts w:ascii="Calibri" w:hAnsi="Calibri" w:cs="Calibri"/>
          <w:b/>
          <w:bCs/>
          <w:sz w:val="22"/>
          <w:szCs w:val="22"/>
        </w:rPr>
        <w:t>Reason for submitting evidence</w:t>
      </w:r>
    </w:p>
    <w:p w14:paraId="6A89A248" w14:textId="4ED05F47" w:rsidR="00E970AE" w:rsidRPr="00042D80" w:rsidRDefault="00E970AE" w:rsidP="00042D80">
      <w:pPr>
        <w:rPr>
          <w:rFonts w:ascii="Calibri" w:hAnsi="Calibri" w:cs="Calibri"/>
          <w:sz w:val="22"/>
          <w:szCs w:val="22"/>
        </w:rPr>
      </w:pPr>
      <w:r w:rsidRPr="00042D80">
        <w:rPr>
          <w:rFonts w:ascii="Calibri" w:hAnsi="Calibri" w:cs="Calibri"/>
          <w:sz w:val="22"/>
          <w:szCs w:val="22"/>
        </w:rPr>
        <w:t xml:space="preserve">I am a PhD student researching impartiality </w:t>
      </w:r>
      <w:r w:rsidR="001B637F" w:rsidRPr="00042D80">
        <w:rPr>
          <w:rFonts w:ascii="Calibri" w:hAnsi="Calibri" w:cs="Calibri"/>
          <w:sz w:val="22"/>
          <w:szCs w:val="22"/>
        </w:rPr>
        <w:t>in</w:t>
      </w:r>
      <w:r w:rsidRPr="00042D80">
        <w:rPr>
          <w:rFonts w:ascii="Calibri" w:hAnsi="Calibri" w:cs="Calibri"/>
          <w:sz w:val="22"/>
          <w:szCs w:val="22"/>
        </w:rPr>
        <w:t xml:space="preserve"> parliamentary research services</w:t>
      </w:r>
      <w:r w:rsidR="00BE46B8">
        <w:rPr>
          <w:rFonts w:ascii="Calibri" w:hAnsi="Calibri" w:cs="Calibri"/>
          <w:sz w:val="22"/>
          <w:szCs w:val="22"/>
        </w:rPr>
        <w:t>. I</w:t>
      </w:r>
      <w:r w:rsidR="00BE46B8" w:rsidRPr="00042D80">
        <w:rPr>
          <w:rFonts w:ascii="Calibri" w:hAnsi="Calibri" w:cs="Calibri"/>
          <w:sz w:val="22"/>
          <w:szCs w:val="22"/>
        </w:rPr>
        <w:t xml:space="preserve"> </w:t>
      </w:r>
      <w:r w:rsidR="00042D80">
        <w:rPr>
          <w:rFonts w:ascii="Calibri" w:hAnsi="Calibri" w:cs="Calibri"/>
          <w:sz w:val="22"/>
          <w:szCs w:val="22"/>
        </w:rPr>
        <w:t>aim to</w:t>
      </w:r>
      <w:r w:rsidR="00042D80" w:rsidRPr="00042D80">
        <w:rPr>
          <w:rFonts w:ascii="Calibri" w:hAnsi="Calibri" w:cs="Calibri"/>
          <w:sz w:val="22"/>
          <w:szCs w:val="22"/>
        </w:rPr>
        <w:t xml:space="preserve"> develop a protocol for assessing impartiality</w:t>
      </w:r>
      <w:r w:rsidRPr="00042D80">
        <w:rPr>
          <w:rFonts w:ascii="Calibri" w:hAnsi="Calibri" w:cs="Calibri"/>
          <w:sz w:val="22"/>
          <w:szCs w:val="22"/>
        </w:rPr>
        <w:t xml:space="preserve">. My response </w:t>
      </w:r>
      <w:r w:rsidR="00042D80">
        <w:rPr>
          <w:rFonts w:ascii="Calibri" w:hAnsi="Calibri" w:cs="Calibri"/>
          <w:sz w:val="22"/>
          <w:szCs w:val="22"/>
        </w:rPr>
        <w:t>is based on</w:t>
      </w:r>
      <w:r w:rsidRPr="00042D80">
        <w:rPr>
          <w:rFonts w:ascii="Calibri" w:hAnsi="Calibri" w:cs="Calibri"/>
          <w:sz w:val="22"/>
          <w:szCs w:val="22"/>
        </w:rPr>
        <w:t xml:space="preserve"> my ongoing research in</w:t>
      </w:r>
      <w:r w:rsidR="00BE46B8">
        <w:rPr>
          <w:rFonts w:ascii="Calibri" w:hAnsi="Calibri" w:cs="Calibri"/>
          <w:sz w:val="22"/>
          <w:szCs w:val="22"/>
        </w:rPr>
        <w:t>to</w:t>
      </w:r>
      <w:r w:rsidRPr="00042D80">
        <w:rPr>
          <w:rFonts w:ascii="Calibri" w:hAnsi="Calibri" w:cs="Calibri"/>
          <w:sz w:val="22"/>
          <w:szCs w:val="22"/>
        </w:rPr>
        <w:t xml:space="preserve"> operationalising and evaluating the impartiality of briefing reports provided by the Commons Library to MPs and their staff. </w:t>
      </w:r>
      <w:r w:rsidR="00042D80" w:rsidRPr="00042D80">
        <w:rPr>
          <w:rFonts w:ascii="Calibri" w:hAnsi="Calibri" w:cs="Calibri"/>
          <w:sz w:val="22"/>
          <w:szCs w:val="22"/>
        </w:rPr>
        <w:t xml:space="preserve">Through this submission, I seek </w:t>
      </w:r>
      <w:r w:rsidRPr="00042D80">
        <w:rPr>
          <w:rFonts w:ascii="Calibri" w:hAnsi="Calibri" w:cs="Calibri"/>
          <w:sz w:val="22"/>
          <w:szCs w:val="22"/>
        </w:rPr>
        <w:t>to highlight the relevance of impartiality to the Modernisation Committee</w:t>
      </w:r>
      <w:r w:rsidR="00042D80">
        <w:rPr>
          <w:rFonts w:ascii="Calibri" w:hAnsi="Calibri" w:cs="Calibri"/>
          <w:sz w:val="22"/>
          <w:szCs w:val="22"/>
        </w:rPr>
        <w:t>’s workstreams</w:t>
      </w:r>
      <w:r w:rsidRPr="00042D80">
        <w:rPr>
          <w:rFonts w:ascii="Calibri" w:hAnsi="Calibri" w:cs="Calibri"/>
          <w:sz w:val="22"/>
          <w:szCs w:val="22"/>
        </w:rPr>
        <w:t xml:space="preserve"> and offer </w:t>
      </w:r>
      <w:r w:rsidR="00042D80" w:rsidRPr="00042D80">
        <w:rPr>
          <w:rFonts w:ascii="Calibri" w:hAnsi="Calibri" w:cs="Calibri"/>
          <w:sz w:val="22"/>
          <w:szCs w:val="22"/>
        </w:rPr>
        <w:t>evidence-based recommendations</w:t>
      </w:r>
      <w:r w:rsidRPr="00042D80">
        <w:rPr>
          <w:rFonts w:ascii="Calibri" w:hAnsi="Calibri" w:cs="Calibri"/>
          <w:sz w:val="22"/>
          <w:szCs w:val="22"/>
        </w:rPr>
        <w:t>.</w:t>
      </w:r>
    </w:p>
    <w:p w14:paraId="3D239872" w14:textId="77777777" w:rsidR="00E970AE" w:rsidRPr="00042D80" w:rsidRDefault="00E970AE" w:rsidP="00E970AE">
      <w:pPr>
        <w:rPr>
          <w:rFonts w:ascii="Calibri" w:hAnsi="Calibri" w:cs="Calibri"/>
          <w:sz w:val="22"/>
          <w:szCs w:val="22"/>
        </w:rPr>
      </w:pPr>
    </w:p>
    <w:p w14:paraId="199C23A9" w14:textId="77777777" w:rsidR="00E970AE" w:rsidRPr="00042D80" w:rsidRDefault="00E970AE" w:rsidP="00E970AE">
      <w:pPr>
        <w:rPr>
          <w:rFonts w:ascii="Calibri" w:hAnsi="Calibri" w:cs="Calibri"/>
          <w:b/>
          <w:bCs/>
          <w:sz w:val="22"/>
          <w:szCs w:val="22"/>
        </w:rPr>
      </w:pPr>
      <w:r w:rsidRPr="00042D80">
        <w:rPr>
          <w:rFonts w:ascii="Calibri" w:hAnsi="Calibri" w:cs="Calibri"/>
          <w:b/>
          <w:bCs/>
          <w:sz w:val="22"/>
          <w:szCs w:val="22"/>
        </w:rPr>
        <w:t>Response to questions</w:t>
      </w:r>
    </w:p>
    <w:p w14:paraId="1BB58129" w14:textId="336452DF" w:rsidR="00E970AE" w:rsidRPr="00042D80" w:rsidRDefault="00E970AE" w:rsidP="00E970AE">
      <w:pPr>
        <w:numPr>
          <w:ilvl w:val="0"/>
          <w:numId w:val="1"/>
        </w:numPr>
        <w:rPr>
          <w:rFonts w:ascii="Calibri" w:hAnsi="Calibri" w:cs="Calibri"/>
          <w:b/>
          <w:bCs/>
          <w:color w:val="0070C0"/>
          <w:sz w:val="22"/>
          <w:szCs w:val="22"/>
        </w:rPr>
      </w:pPr>
      <w:r w:rsidRPr="00042D80">
        <w:rPr>
          <w:rFonts w:ascii="Calibri" w:hAnsi="Calibri" w:cs="Calibri"/>
          <w:b/>
          <w:bCs/>
          <w:color w:val="0070C0"/>
          <w:sz w:val="22"/>
          <w:szCs w:val="22"/>
        </w:rPr>
        <w:t>What topic(s) do you think the Modernisation Committee should prioritise and how do they link to one or more of the strategic aims set out in the Leader’s memorandum?</w:t>
      </w:r>
    </w:p>
    <w:p w14:paraId="1D28BE24" w14:textId="10AF3D25" w:rsidR="00E970AE" w:rsidRPr="00042D80" w:rsidRDefault="00E970AE" w:rsidP="00E970AE">
      <w:pPr>
        <w:numPr>
          <w:ilvl w:val="0"/>
          <w:numId w:val="2"/>
        </w:numPr>
        <w:rPr>
          <w:rFonts w:ascii="Calibri" w:hAnsi="Calibri" w:cs="Calibri"/>
          <w:sz w:val="22"/>
          <w:szCs w:val="22"/>
        </w:rPr>
      </w:pPr>
      <w:r w:rsidRPr="00042D80">
        <w:rPr>
          <w:rFonts w:ascii="Calibri" w:hAnsi="Calibri" w:cs="Calibri"/>
          <w:sz w:val="22"/>
          <w:szCs w:val="22"/>
        </w:rPr>
        <w:t xml:space="preserve">The Modernisation Committee should draw attention to </w:t>
      </w:r>
      <w:r w:rsidR="00042D80" w:rsidRPr="00042D80">
        <w:rPr>
          <w:rFonts w:ascii="Calibri" w:hAnsi="Calibri" w:cs="Calibri"/>
          <w:sz w:val="22"/>
          <w:szCs w:val="22"/>
        </w:rPr>
        <w:t>ensuring</w:t>
      </w:r>
      <w:r w:rsidRPr="00042D80">
        <w:rPr>
          <w:rFonts w:ascii="Calibri" w:hAnsi="Calibri" w:cs="Calibri"/>
          <w:sz w:val="22"/>
          <w:szCs w:val="22"/>
        </w:rPr>
        <w:t xml:space="preserve"> the impartiality of the work carried out by </w:t>
      </w:r>
      <w:r w:rsidR="00042D80" w:rsidRPr="00042D80">
        <w:rPr>
          <w:rFonts w:ascii="Calibri" w:hAnsi="Calibri" w:cs="Calibri"/>
          <w:sz w:val="22"/>
          <w:szCs w:val="22"/>
        </w:rPr>
        <w:t>p</w:t>
      </w:r>
      <w:r w:rsidRPr="00042D80">
        <w:rPr>
          <w:rFonts w:ascii="Calibri" w:hAnsi="Calibri" w:cs="Calibri"/>
          <w:sz w:val="22"/>
          <w:szCs w:val="22"/>
        </w:rPr>
        <w:t xml:space="preserve">arliament and its research services through clearer operationalisation, closer scrutiny and greater reflexive practices. This </w:t>
      </w:r>
      <w:r w:rsidR="00042D80">
        <w:rPr>
          <w:rFonts w:ascii="Calibri" w:hAnsi="Calibri" w:cs="Calibri"/>
          <w:sz w:val="22"/>
          <w:szCs w:val="22"/>
        </w:rPr>
        <w:t>aligns with</w:t>
      </w:r>
      <w:r w:rsidRPr="00042D80">
        <w:rPr>
          <w:rFonts w:ascii="Calibri" w:hAnsi="Calibri" w:cs="Calibri"/>
          <w:sz w:val="22"/>
          <w:szCs w:val="22"/>
        </w:rPr>
        <w:t xml:space="preserve"> strategic aims a) and c) in the leader’s memorandum:</w:t>
      </w:r>
    </w:p>
    <w:p w14:paraId="3F13200E" w14:textId="77777777" w:rsidR="00E970AE" w:rsidRPr="00042D80" w:rsidRDefault="00E970AE" w:rsidP="00E970AE">
      <w:pPr>
        <w:ind w:left="360"/>
        <w:rPr>
          <w:rFonts w:ascii="Calibri" w:hAnsi="Calibri" w:cs="Calibri"/>
          <w:sz w:val="22"/>
          <w:szCs w:val="22"/>
        </w:rPr>
      </w:pPr>
      <w:r w:rsidRPr="00042D80">
        <w:rPr>
          <w:rFonts w:ascii="Calibri" w:hAnsi="Calibri" w:cs="Calibri"/>
          <w:sz w:val="22"/>
          <w:szCs w:val="22"/>
        </w:rPr>
        <w:t>a) driving up standards;</w:t>
      </w:r>
    </w:p>
    <w:p w14:paraId="7308DD75" w14:textId="2AE40175" w:rsidR="00E970AE" w:rsidRPr="00042D80" w:rsidRDefault="00E970AE" w:rsidP="00E970AE">
      <w:pPr>
        <w:ind w:left="360"/>
        <w:rPr>
          <w:rFonts w:ascii="MS Gothic" w:eastAsia="MS Gothic" w:hAnsi="MS Gothic" w:cs="MS Gothic"/>
          <w:sz w:val="22"/>
          <w:szCs w:val="22"/>
          <w:lang w:val="en-US"/>
        </w:rPr>
      </w:pPr>
      <w:r w:rsidRPr="00042D80">
        <w:rPr>
          <w:rFonts w:ascii="Calibri" w:hAnsi="Calibri" w:cs="Calibri"/>
          <w:sz w:val="22"/>
          <w:szCs w:val="22"/>
        </w:rPr>
        <w:t>This strategic aim centres on embodying the high standards the public expect</w:t>
      </w:r>
      <w:r w:rsidR="00BE46B8">
        <w:rPr>
          <w:rFonts w:ascii="Calibri" w:hAnsi="Calibri" w:cs="Calibri"/>
          <w:sz w:val="22"/>
          <w:szCs w:val="22"/>
        </w:rPr>
        <w:t>s</w:t>
      </w:r>
      <w:r w:rsidRPr="00042D80">
        <w:rPr>
          <w:rFonts w:ascii="Calibri" w:hAnsi="Calibri" w:cs="Calibri"/>
          <w:sz w:val="22"/>
          <w:szCs w:val="22"/>
        </w:rPr>
        <w:t xml:space="preserve"> of parliament and improving its reputation. As information is at the centre of the work of parliament, standards </w:t>
      </w:r>
      <w:r w:rsidR="00042D80">
        <w:rPr>
          <w:rFonts w:ascii="Calibri" w:hAnsi="Calibri" w:cs="Calibri"/>
          <w:sz w:val="22"/>
          <w:szCs w:val="22"/>
        </w:rPr>
        <w:t>upheld by</w:t>
      </w:r>
      <w:r w:rsidRPr="00042D80">
        <w:rPr>
          <w:rFonts w:ascii="Calibri" w:hAnsi="Calibri" w:cs="Calibri"/>
          <w:sz w:val="22"/>
          <w:szCs w:val="22"/>
        </w:rPr>
        <w:t xml:space="preserve"> parliamentary research services </w:t>
      </w:r>
      <w:r w:rsidR="00042D80" w:rsidRPr="00042D80">
        <w:rPr>
          <w:rFonts w:ascii="Calibri" w:hAnsi="Calibri" w:cs="Calibri"/>
          <w:sz w:val="22"/>
          <w:szCs w:val="22"/>
        </w:rPr>
        <w:t>reflect the institution's overall integrity</w:t>
      </w:r>
      <w:r w:rsidRPr="00042D80">
        <w:rPr>
          <w:rFonts w:ascii="Calibri" w:hAnsi="Calibri" w:cs="Calibri"/>
          <w:sz w:val="22"/>
          <w:szCs w:val="22"/>
        </w:rPr>
        <w:t xml:space="preserve">. </w:t>
      </w:r>
      <w:r w:rsidR="00042D80">
        <w:rPr>
          <w:rFonts w:ascii="Calibri" w:hAnsi="Calibri" w:cs="Calibri"/>
          <w:sz w:val="22"/>
          <w:szCs w:val="22"/>
        </w:rPr>
        <w:t>R</w:t>
      </w:r>
      <w:r w:rsidRPr="00042D80">
        <w:rPr>
          <w:rFonts w:ascii="Calibri" w:hAnsi="Calibri" w:cs="Calibri"/>
          <w:sz w:val="22"/>
          <w:szCs w:val="22"/>
        </w:rPr>
        <w:t>efocusing on impartiality</w:t>
      </w:r>
      <w:r w:rsidR="00042D80">
        <w:rPr>
          <w:rFonts w:ascii="Calibri" w:hAnsi="Calibri" w:cs="Calibri"/>
          <w:sz w:val="22"/>
          <w:szCs w:val="22"/>
        </w:rPr>
        <w:t xml:space="preserve"> as a core principle</w:t>
      </w:r>
      <w:r w:rsidRPr="00042D80">
        <w:rPr>
          <w:rFonts w:ascii="Calibri" w:hAnsi="Calibri" w:cs="Calibri"/>
          <w:sz w:val="22"/>
          <w:szCs w:val="22"/>
        </w:rPr>
        <w:t xml:space="preserve"> </w:t>
      </w:r>
      <w:r w:rsidR="00042D80">
        <w:rPr>
          <w:rFonts w:ascii="Calibri" w:hAnsi="Calibri" w:cs="Calibri"/>
          <w:sz w:val="22"/>
          <w:szCs w:val="22"/>
        </w:rPr>
        <w:t>could</w:t>
      </w:r>
      <w:r w:rsidR="00042D80" w:rsidRPr="00042D80">
        <w:rPr>
          <w:rFonts w:ascii="Calibri" w:hAnsi="Calibri" w:cs="Calibri"/>
          <w:sz w:val="22"/>
          <w:szCs w:val="22"/>
        </w:rPr>
        <w:t xml:space="preserve"> </w:t>
      </w:r>
      <w:r w:rsidRPr="00042D80">
        <w:rPr>
          <w:rFonts w:ascii="Calibri" w:hAnsi="Calibri" w:cs="Calibri"/>
          <w:sz w:val="22"/>
          <w:szCs w:val="22"/>
        </w:rPr>
        <w:t xml:space="preserve">benefit both parliamentary processes and public </w:t>
      </w:r>
      <w:r w:rsidR="00042D80">
        <w:rPr>
          <w:rFonts w:ascii="Calibri" w:hAnsi="Calibri" w:cs="Calibri"/>
          <w:sz w:val="22"/>
          <w:szCs w:val="22"/>
        </w:rPr>
        <w:t>trust in the</w:t>
      </w:r>
      <w:r w:rsidRPr="00042D80">
        <w:rPr>
          <w:rFonts w:ascii="Calibri" w:hAnsi="Calibri" w:cs="Calibri"/>
          <w:sz w:val="22"/>
          <w:szCs w:val="22"/>
        </w:rPr>
        <w:t xml:space="preserve"> institution. </w:t>
      </w:r>
      <w:r w:rsidR="001B637F" w:rsidRPr="00042D80">
        <w:rPr>
          <w:rFonts w:ascii="Calibri" w:hAnsi="Calibri" w:cs="Calibri"/>
          <w:sz w:val="22"/>
          <w:szCs w:val="22"/>
        </w:rPr>
        <w:t>Highlighting and ensuring</w:t>
      </w:r>
      <w:r w:rsidRPr="00042D80">
        <w:rPr>
          <w:rFonts w:ascii="Calibri" w:hAnsi="Calibri" w:cs="Calibri"/>
          <w:sz w:val="22"/>
          <w:szCs w:val="22"/>
        </w:rPr>
        <w:t xml:space="preserve"> the institution’s impartiality could increase public confidence in its ability to counter biases and maintain democratic processes.</w:t>
      </w:r>
      <w:r w:rsidRPr="00042D80">
        <w:rPr>
          <w:rFonts w:ascii="MS Gothic" w:eastAsia="MS Gothic" w:hAnsi="MS Gothic" w:cs="MS Gothic" w:hint="eastAsia"/>
          <w:sz w:val="22"/>
          <w:szCs w:val="22"/>
        </w:rPr>
        <w:t> </w:t>
      </w:r>
    </w:p>
    <w:p w14:paraId="5BC17CAB" w14:textId="39FE7CDC" w:rsidR="00E970AE" w:rsidRPr="00042D80" w:rsidRDefault="00E970AE" w:rsidP="00E970AE">
      <w:pPr>
        <w:ind w:left="360"/>
        <w:rPr>
          <w:rFonts w:ascii="Calibri" w:hAnsi="Calibri" w:cs="Calibri"/>
          <w:sz w:val="22"/>
          <w:szCs w:val="22"/>
        </w:rPr>
      </w:pPr>
      <w:r w:rsidRPr="00042D80">
        <w:rPr>
          <w:rFonts w:ascii="Calibri" w:hAnsi="Calibri" w:cs="Calibri"/>
          <w:sz w:val="22"/>
          <w:szCs w:val="22"/>
        </w:rPr>
        <w:t xml:space="preserve">c) reforming working procedures to make the House of Commons more effective. </w:t>
      </w:r>
    </w:p>
    <w:p w14:paraId="28D8A62E" w14:textId="0EED40FF" w:rsidR="00E970AE" w:rsidRPr="00042D80" w:rsidRDefault="00E970AE" w:rsidP="00E970AE">
      <w:pPr>
        <w:ind w:left="360"/>
        <w:rPr>
          <w:rFonts w:ascii="Calibri" w:hAnsi="Calibri" w:cs="Calibri"/>
          <w:sz w:val="22"/>
          <w:szCs w:val="22"/>
        </w:rPr>
      </w:pPr>
      <w:r w:rsidRPr="00042D80">
        <w:rPr>
          <w:rFonts w:ascii="Calibri" w:hAnsi="Calibri" w:cs="Calibri"/>
          <w:sz w:val="22"/>
          <w:szCs w:val="22"/>
        </w:rPr>
        <w:t xml:space="preserve">This strategic aim </w:t>
      </w:r>
      <w:r w:rsidR="00042D80" w:rsidRPr="00042D80">
        <w:rPr>
          <w:rFonts w:ascii="Calibri" w:hAnsi="Calibri" w:cs="Calibri"/>
          <w:sz w:val="22"/>
          <w:szCs w:val="22"/>
        </w:rPr>
        <w:t xml:space="preserve">centres on </w:t>
      </w:r>
      <w:r w:rsidR="00042D80" w:rsidRPr="00042D80">
        <w:rPr>
          <w:rFonts w:ascii="Calibri" w:hAnsi="Calibri" w:cs="Calibri"/>
          <w:sz w:val="22"/>
          <w:szCs w:val="22"/>
        </w:rPr>
        <w:t>p</w:t>
      </w:r>
      <w:r w:rsidRPr="00042D80">
        <w:rPr>
          <w:rFonts w:ascii="Calibri" w:hAnsi="Calibri" w:cs="Calibri"/>
          <w:sz w:val="22"/>
          <w:szCs w:val="22"/>
        </w:rPr>
        <w:t>arliament’s role in holding</w:t>
      </w:r>
      <w:r w:rsidR="00042D80">
        <w:rPr>
          <w:rFonts w:ascii="Calibri" w:hAnsi="Calibri" w:cs="Calibri"/>
          <w:sz w:val="22"/>
          <w:szCs w:val="22"/>
        </w:rPr>
        <w:t xml:space="preserve"> the</w:t>
      </w:r>
      <w:r w:rsidRPr="00042D80">
        <w:rPr>
          <w:rFonts w:ascii="Calibri" w:hAnsi="Calibri" w:cs="Calibri"/>
          <w:sz w:val="22"/>
          <w:szCs w:val="22"/>
        </w:rPr>
        <w:t xml:space="preserve"> </w:t>
      </w:r>
      <w:r w:rsidR="00042D80" w:rsidRPr="00042D80">
        <w:rPr>
          <w:rFonts w:ascii="Calibri" w:hAnsi="Calibri" w:cs="Calibri"/>
          <w:sz w:val="22"/>
          <w:szCs w:val="22"/>
        </w:rPr>
        <w:t>g</w:t>
      </w:r>
      <w:r w:rsidRPr="00042D80">
        <w:rPr>
          <w:rFonts w:ascii="Calibri" w:hAnsi="Calibri" w:cs="Calibri"/>
          <w:sz w:val="22"/>
          <w:szCs w:val="22"/>
        </w:rPr>
        <w:t>overnment accountable. Parliamentary research services play a key role in supporting members in scrutinising</w:t>
      </w:r>
      <w:r w:rsidR="00042D80">
        <w:rPr>
          <w:rFonts w:ascii="Calibri" w:hAnsi="Calibri" w:cs="Calibri"/>
          <w:sz w:val="22"/>
          <w:szCs w:val="22"/>
        </w:rPr>
        <w:t xml:space="preserve"> </w:t>
      </w:r>
      <w:r w:rsidR="00042D80" w:rsidRPr="00042D80">
        <w:rPr>
          <w:rFonts w:ascii="Calibri" w:hAnsi="Calibri" w:cs="Calibri"/>
          <w:sz w:val="22"/>
          <w:szCs w:val="22"/>
        </w:rPr>
        <w:t>g</w:t>
      </w:r>
      <w:r w:rsidRPr="00042D80">
        <w:rPr>
          <w:rFonts w:ascii="Calibri" w:hAnsi="Calibri" w:cs="Calibri"/>
          <w:sz w:val="22"/>
          <w:szCs w:val="22"/>
        </w:rPr>
        <w:t>overnment programme</w:t>
      </w:r>
      <w:r w:rsidR="00042D80">
        <w:rPr>
          <w:rFonts w:ascii="Calibri" w:hAnsi="Calibri" w:cs="Calibri"/>
          <w:sz w:val="22"/>
          <w:szCs w:val="22"/>
        </w:rPr>
        <w:t>s</w:t>
      </w:r>
      <w:r w:rsidRPr="00042D80">
        <w:rPr>
          <w:rFonts w:ascii="Calibri" w:hAnsi="Calibri" w:cs="Calibri"/>
          <w:sz w:val="22"/>
          <w:szCs w:val="22"/>
        </w:rPr>
        <w:t xml:space="preserve">. </w:t>
      </w:r>
      <w:r w:rsidR="00042D80">
        <w:rPr>
          <w:rFonts w:ascii="Calibri" w:hAnsi="Calibri" w:cs="Calibri"/>
          <w:sz w:val="22"/>
          <w:szCs w:val="22"/>
        </w:rPr>
        <w:t xml:space="preserve">Given their responsibility to </w:t>
      </w:r>
      <w:r w:rsidRPr="00042D80">
        <w:rPr>
          <w:rFonts w:ascii="Calibri" w:hAnsi="Calibri" w:cs="Calibri"/>
          <w:sz w:val="22"/>
          <w:szCs w:val="22"/>
        </w:rPr>
        <w:t xml:space="preserve">support members regardless of their political affiliation, it is important </w:t>
      </w:r>
      <w:r w:rsidR="001B637F" w:rsidRPr="00042D80">
        <w:rPr>
          <w:rFonts w:ascii="Calibri" w:hAnsi="Calibri" w:cs="Calibri"/>
          <w:sz w:val="22"/>
          <w:szCs w:val="22"/>
        </w:rPr>
        <w:t>that the</w:t>
      </w:r>
      <w:r w:rsidR="00042D80">
        <w:rPr>
          <w:rFonts w:ascii="Calibri" w:hAnsi="Calibri" w:cs="Calibri"/>
          <w:sz w:val="22"/>
          <w:szCs w:val="22"/>
        </w:rPr>
        <w:t>se services</w:t>
      </w:r>
      <w:r w:rsidRPr="00042D80">
        <w:rPr>
          <w:rFonts w:ascii="Calibri" w:hAnsi="Calibri" w:cs="Calibri"/>
          <w:sz w:val="22"/>
          <w:szCs w:val="22"/>
        </w:rPr>
        <w:t xml:space="preserve"> provide quality, impartial information that help</w:t>
      </w:r>
      <w:r w:rsidR="001B637F" w:rsidRPr="00042D80">
        <w:rPr>
          <w:rFonts w:ascii="Calibri" w:hAnsi="Calibri" w:cs="Calibri"/>
          <w:sz w:val="22"/>
          <w:szCs w:val="22"/>
        </w:rPr>
        <w:t>s</w:t>
      </w:r>
      <w:r w:rsidRPr="00042D80">
        <w:rPr>
          <w:rFonts w:ascii="Calibri" w:hAnsi="Calibri" w:cs="Calibri"/>
          <w:sz w:val="22"/>
          <w:szCs w:val="22"/>
        </w:rPr>
        <w:t xml:space="preserve"> members</w:t>
      </w:r>
      <w:r w:rsidR="001B637F" w:rsidRPr="00042D80">
        <w:rPr>
          <w:rFonts w:ascii="Calibri" w:hAnsi="Calibri" w:cs="Calibri"/>
          <w:sz w:val="22"/>
          <w:szCs w:val="22"/>
        </w:rPr>
        <w:t xml:space="preserve"> </w:t>
      </w:r>
      <w:r w:rsidRPr="00042D80">
        <w:rPr>
          <w:rFonts w:ascii="Calibri" w:hAnsi="Calibri" w:cs="Calibri"/>
          <w:sz w:val="22"/>
          <w:szCs w:val="22"/>
        </w:rPr>
        <w:t>form their own decisions.</w:t>
      </w:r>
    </w:p>
    <w:p w14:paraId="449437F1" w14:textId="77777777" w:rsidR="00E970AE" w:rsidRPr="00042D80" w:rsidRDefault="00E970AE" w:rsidP="00E970AE">
      <w:pPr>
        <w:rPr>
          <w:rFonts w:ascii="Calibri" w:hAnsi="Calibri" w:cs="Calibri"/>
          <w:sz w:val="22"/>
          <w:szCs w:val="22"/>
        </w:rPr>
      </w:pPr>
    </w:p>
    <w:p w14:paraId="4700C098" w14:textId="70DB3A08" w:rsidR="00E970AE" w:rsidRPr="00042D80" w:rsidRDefault="00E970AE" w:rsidP="00E970AE">
      <w:pPr>
        <w:numPr>
          <w:ilvl w:val="0"/>
          <w:numId w:val="3"/>
        </w:numPr>
        <w:rPr>
          <w:rFonts w:ascii="Calibri" w:hAnsi="Calibri" w:cs="Calibri"/>
          <w:b/>
          <w:bCs/>
          <w:color w:val="0070C0"/>
          <w:sz w:val="22"/>
          <w:szCs w:val="22"/>
        </w:rPr>
      </w:pPr>
      <w:r w:rsidRPr="00042D80">
        <w:rPr>
          <w:rFonts w:ascii="Calibri" w:hAnsi="Calibri" w:cs="Calibri"/>
          <w:b/>
          <w:bCs/>
          <w:color w:val="0070C0"/>
          <w:sz w:val="22"/>
          <w:szCs w:val="22"/>
        </w:rPr>
        <w:t>Why would the topic(s) benefit from the attention of the Modernisation Committee?</w:t>
      </w:r>
    </w:p>
    <w:p w14:paraId="02E96735" w14:textId="02A4B827" w:rsidR="00E970AE" w:rsidRPr="00042D80" w:rsidRDefault="00E970AE" w:rsidP="00E970AE">
      <w:pPr>
        <w:rPr>
          <w:rFonts w:ascii="Calibri" w:hAnsi="Calibri" w:cs="Calibri"/>
          <w:b/>
          <w:bCs/>
          <w:sz w:val="22"/>
          <w:szCs w:val="22"/>
        </w:rPr>
      </w:pPr>
      <w:r w:rsidRPr="00042D80">
        <w:rPr>
          <w:rFonts w:ascii="Calibri" w:hAnsi="Calibri" w:cs="Calibri"/>
          <w:b/>
          <w:bCs/>
          <w:sz w:val="22"/>
          <w:szCs w:val="22"/>
        </w:rPr>
        <w:t>Clearer operationalisation of impartiality will enable the production of materials that better support members’ information needs as well as keep the central tenet of parliament in check.</w:t>
      </w:r>
    </w:p>
    <w:p w14:paraId="4F290384" w14:textId="045504D9" w:rsidR="00E970AE" w:rsidRPr="00042D80" w:rsidRDefault="00E970AE" w:rsidP="00E970AE">
      <w:pPr>
        <w:numPr>
          <w:ilvl w:val="0"/>
          <w:numId w:val="4"/>
        </w:numPr>
        <w:rPr>
          <w:rFonts w:ascii="Calibri" w:hAnsi="Calibri" w:cs="Calibri"/>
          <w:sz w:val="22"/>
          <w:szCs w:val="22"/>
        </w:rPr>
      </w:pPr>
      <w:r w:rsidRPr="00042D80">
        <w:rPr>
          <w:rFonts w:ascii="Calibri" w:hAnsi="Calibri" w:cs="Calibri"/>
          <w:sz w:val="22"/>
          <w:szCs w:val="22"/>
        </w:rPr>
        <w:t xml:space="preserve">A defining characteristic of the parliamentary research services is their impartiality. Yet the concept of impartiality is often taken as a given and unquestioned aspect of the work of the research services and parliament at large. It is often </w:t>
      </w:r>
      <w:r w:rsidR="00042D80">
        <w:rPr>
          <w:rFonts w:ascii="Calibri" w:hAnsi="Calibri" w:cs="Calibri"/>
          <w:sz w:val="22"/>
          <w:szCs w:val="22"/>
        </w:rPr>
        <w:t>assumed rather than</w:t>
      </w:r>
      <w:r w:rsidRPr="00042D80">
        <w:rPr>
          <w:rFonts w:ascii="Calibri" w:hAnsi="Calibri" w:cs="Calibri"/>
          <w:sz w:val="22"/>
          <w:szCs w:val="22"/>
        </w:rPr>
        <w:t xml:space="preserve"> explicitly defined; when mentioned, it is often described in terms of what it is not. </w:t>
      </w:r>
      <w:r w:rsidR="00042D80" w:rsidRPr="00042D80">
        <w:rPr>
          <w:rFonts w:ascii="Calibri" w:hAnsi="Calibri" w:cs="Calibri"/>
          <w:sz w:val="22"/>
          <w:szCs w:val="22"/>
        </w:rPr>
        <w:t xml:space="preserve">While there are </w:t>
      </w:r>
      <w:r w:rsidR="00042D80">
        <w:rPr>
          <w:rFonts w:ascii="Calibri" w:hAnsi="Calibri" w:cs="Calibri"/>
          <w:sz w:val="22"/>
          <w:szCs w:val="22"/>
        </w:rPr>
        <w:t>detailed</w:t>
      </w:r>
      <w:r w:rsidR="00042D80" w:rsidRPr="00042D80">
        <w:rPr>
          <w:rFonts w:ascii="Calibri" w:hAnsi="Calibri" w:cs="Calibri"/>
          <w:sz w:val="22"/>
          <w:szCs w:val="22"/>
        </w:rPr>
        <w:t xml:space="preserve"> </w:t>
      </w:r>
      <w:r w:rsidR="00042D80">
        <w:rPr>
          <w:rFonts w:ascii="Calibri" w:hAnsi="Calibri" w:cs="Calibri"/>
          <w:sz w:val="22"/>
          <w:szCs w:val="22"/>
        </w:rPr>
        <w:lastRenderedPageBreak/>
        <w:t xml:space="preserve">suggestions </w:t>
      </w:r>
      <w:r w:rsidR="00042D80" w:rsidRPr="00042D80">
        <w:rPr>
          <w:rFonts w:ascii="Calibri" w:hAnsi="Calibri" w:cs="Calibri"/>
          <w:sz w:val="22"/>
          <w:szCs w:val="22"/>
        </w:rPr>
        <w:t xml:space="preserve">on how impartiality should be reflected in </w:t>
      </w:r>
      <w:r w:rsidR="00042D80">
        <w:rPr>
          <w:rFonts w:ascii="Calibri" w:hAnsi="Calibri" w:cs="Calibri"/>
          <w:sz w:val="22"/>
          <w:szCs w:val="22"/>
        </w:rPr>
        <w:t>communicating knowledge</w:t>
      </w:r>
      <w:r w:rsidR="00042D80">
        <w:rPr>
          <w:rFonts w:ascii="Calibri" w:hAnsi="Calibri" w:cs="Calibri"/>
          <w:sz w:val="22"/>
          <w:szCs w:val="22"/>
        </w:rPr>
        <w:t xml:space="preserve"> </w:t>
      </w:r>
      <w:r w:rsidR="00042D80">
        <w:rPr>
          <w:rFonts w:ascii="Calibri" w:hAnsi="Calibri" w:cs="Calibri"/>
          <w:sz w:val="22"/>
          <w:szCs w:val="22"/>
        </w:rPr>
        <w:t>and information</w:t>
      </w:r>
      <w:r w:rsidR="00042D80" w:rsidRPr="00042D80">
        <w:rPr>
          <w:rStyle w:val="FootnoteReference"/>
          <w:rFonts w:ascii="Calibri" w:hAnsi="Calibri" w:cs="Calibri"/>
          <w:sz w:val="22"/>
          <w:szCs w:val="22"/>
        </w:rPr>
        <w:footnoteReference w:id="1"/>
      </w:r>
      <w:r w:rsidR="00042D80" w:rsidRPr="00042D80">
        <w:rPr>
          <w:rFonts w:ascii="Calibri" w:hAnsi="Calibri" w:cs="Calibri"/>
          <w:sz w:val="22"/>
          <w:szCs w:val="22"/>
        </w:rPr>
        <w:t xml:space="preserve">, the </w:t>
      </w:r>
      <w:r w:rsidR="00042D80">
        <w:rPr>
          <w:rFonts w:ascii="Calibri" w:hAnsi="Calibri" w:cs="Calibri"/>
          <w:sz w:val="22"/>
          <w:szCs w:val="22"/>
        </w:rPr>
        <w:t>operationalisation</w:t>
      </w:r>
      <w:r w:rsidR="00042D80" w:rsidRPr="00042D80">
        <w:rPr>
          <w:rFonts w:ascii="Calibri" w:hAnsi="Calibri" w:cs="Calibri"/>
          <w:sz w:val="22"/>
          <w:szCs w:val="22"/>
        </w:rPr>
        <w:t xml:space="preserve"> of this concept remains somewhat unclear. It would be beneficial to explore how impartiality is consistently operationali</w:t>
      </w:r>
      <w:r w:rsidR="00042D80">
        <w:rPr>
          <w:rFonts w:ascii="Calibri" w:hAnsi="Calibri" w:cs="Calibri"/>
          <w:sz w:val="22"/>
          <w:szCs w:val="22"/>
        </w:rPr>
        <w:t>s</w:t>
      </w:r>
      <w:r w:rsidR="00042D80" w:rsidRPr="00042D80">
        <w:rPr>
          <w:rFonts w:ascii="Calibri" w:hAnsi="Calibri" w:cs="Calibri"/>
          <w:sz w:val="22"/>
          <w:szCs w:val="22"/>
        </w:rPr>
        <w:t>ed in these processes, ensuring it is not merely a concept but a clearly defined and implemented practice.</w:t>
      </w:r>
      <w:r w:rsidRPr="00042D80">
        <w:rPr>
          <w:rFonts w:ascii="Calibri" w:hAnsi="Calibri" w:cs="Calibri"/>
          <w:sz w:val="22"/>
          <w:szCs w:val="22"/>
        </w:rPr>
        <w:t xml:space="preserve"> </w:t>
      </w:r>
    </w:p>
    <w:p w14:paraId="7378BFAF" w14:textId="0C10D76E" w:rsidR="00E970AE" w:rsidRPr="00042D80" w:rsidRDefault="00E970AE" w:rsidP="00E970AE">
      <w:pPr>
        <w:numPr>
          <w:ilvl w:val="0"/>
          <w:numId w:val="4"/>
        </w:numPr>
        <w:rPr>
          <w:rFonts w:ascii="Calibri" w:hAnsi="Calibri" w:cs="Calibri"/>
          <w:sz w:val="22"/>
          <w:szCs w:val="22"/>
        </w:rPr>
      </w:pPr>
      <w:r w:rsidRPr="00042D80">
        <w:rPr>
          <w:rFonts w:ascii="Calibri" w:hAnsi="Calibri" w:cs="Calibri"/>
          <w:sz w:val="22"/>
          <w:szCs w:val="22"/>
        </w:rPr>
        <w:t xml:space="preserve">The parliamentary research services have undertaken excellent work in </w:t>
      </w:r>
      <w:r w:rsidR="00042D80">
        <w:rPr>
          <w:rFonts w:ascii="Calibri" w:hAnsi="Calibri" w:cs="Calibri"/>
          <w:sz w:val="22"/>
          <w:szCs w:val="22"/>
        </w:rPr>
        <w:t>staying</w:t>
      </w:r>
      <w:r w:rsidR="00042D80" w:rsidRPr="00042D80">
        <w:rPr>
          <w:rFonts w:ascii="Calibri" w:hAnsi="Calibri" w:cs="Calibri"/>
          <w:sz w:val="22"/>
          <w:szCs w:val="22"/>
        </w:rPr>
        <w:t xml:space="preserve"> </w:t>
      </w:r>
      <w:r w:rsidRPr="00042D80">
        <w:rPr>
          <w:rFonts w:ascii="Calibri" w:hAnsi="Calibri" w:cs="Calibri"/>
          <w:sz w:val="22"/>
          <w:szCs w:val="22"/>
        </w:rPr>
        <w:t xml:space="preserve">informed </w:t>
      </w:r>
      <w:r w:rsidR="00042D80">
        <w:rPr>
          <w:rFonts w:ascii="Calibri" w:hAnsi="Calibri" w:cs="Calibri"/>
          <w:sz w:val="22"/>
          <w:szCs w:val="22"/>
        </w:rPr>
        <w:t>about</w:t>
      </w:r>
      <w:r w:rsidRPr="00042D80">
        <w:rPr>
          <w:rFonts w:ascii="Calibri" w:hAnsi="Calibri" w:cs="Calibri"/>
          <w:sz w:val="22"/>
          <w:szCs w:val="22"/>
        </w:rPr>
        <w:t xml:space="preserve"> </w:t>
      </w:r>
      <w:r w:rsidR="00042D80">
        <w:rPr>
          <w:rFonts w:ascii="Calibri" w:hAnsi="Calibri" w:cs="Calibri"/>
          <w:sz w:val="22"/>
          <w:szCs w:val="22"/>
        </w:rPr>
        <w:t>current</w:t>
      </w:r>
      <w:r w:rsidR="00042D80" w:rsidRPr="00042D80">
        <w:rPr>
          <w:rFonts w:ascii="Calibri" w:hAnsi="Calibri" w:cs="Calibri"/>
          <w:sz w:val="22"/>
          <w:szCs w:val="22"/>
        </w:rPr>
        <w:t xml:space="preserve"> </w:t>
      </w:r>
      <w:r w:rsidRPr="00042D80">
        <w:rPr>
          <w:rFonts w:ascii="Calibri" w:hAnsi="Calibri" w:cs="Calibri"/>
          <w:sz w:val="22"/>
          <w:szCs w:val="22"/>
        </w:rPr>
        <w:t xml:space="preserve">academic research on impartiality from contexts outside of parliament, as demonstrated in their guidelines on impartiality. Yet distinctions key to the context of parliament have not been well-delineated. In particular, </w:t>
      </w:r>
      <w:r w:rsidR="00042D80" w:rsidRPr="00042D80">
        <w:rPr>
          <w:rFonts w:ascii="Calibri" w:hAnsi="Calibri" w:cs="Calibri"/>
          <w:sz w:val="22"/>
          <w:szCs w:val="22"/>
        </w:rPr>
        <w:t>there appears to be a lack of clarity regarding the distinction between evidence-based judgments and advice that might inadvertently conflict with impartiality</w:t>
      </w:r>
      <w:r w:rsidRPr="00042D80">
        <w:rPr>
          <w:rFonts w:ascii="Calibri" w:hAnsi="Calibri" w:cs="Calibri"/>
          <w:sz w:val="22"/>
          <w:szCs w:val="22"/>
        </w:rPr>
        <w:t xml:space="preserve">. </w:t>
      </w:r>
      <w:r w:rsidR="00042D80">
        <w:rPr>
          <w:rFonts w:ascii="Calibri" w:hAnsi="Calibri" w:cs="Calibri"/>
          <w:sz w:val="22"/>
          <w:szCs w:val="22"/>
        </w:rPr>
        <w:t xml:space="preserve">A result of this </w:t>
      </w:r>
      <w:r w:rsidR="00042D80" w:rsidRPr="00042D80">
        <w:rPr>
          <w:rFonts w:ascii="Calibri" w:hAnsi="Calibri" w:cs="Calibri"/>
          <w:sz w:val="22"/>
          <w:szCs w:val="22"/>
        </w:rPr>
        <w:t>an over-reliance on presenting competing viewpoints</w:t>
      </w:r>
      <w:r w:rsidR="00042D80">
        <w:rPr>
          <w:rFonts w:ascii="Calibri" w:hAnsi="Calibri" w:cs="Calibri"/>
          <w:sz w:val="22"/>
          <w:szCs w:val="22"/>
        </w:rPr>
        <w:t xml:space="preserve"> through quotations when communicating knowledge and information</w:t>
      </w:r>
      <w:r w:rsidR="00042D80" w:rsidRPr="00042D80">
        <w:rPr>
          <w:rFonts w:ascii="Calibri" w:hAnsi="Calibri" w:cs="Calibri"/>
          <w:sz w:val="22"/>
          <w:szCs w:val="22"/>
        </w:rPr>
        <w:t>.</w:t>
      </w:r>
      <w:r w:rsidRPr="00042D80">
        <w:rPr>
          <w:rFonts w:ascii="Calibri" w:hAnsi="Calibri" w:cs="Calibri"/>
          <w:sz w:val="22"/>
          <w:szCs w:val="22"/>
        </w:rPr>
        <w:t xml:space="preserve"> This could lead to a focus on party-political conflicts or clashes of opinions rather than the issues themselves. Indeed, MPs have pointed out that they would benefit from more appraisal </w:t>
      </w:r>
      <w:r w:rsidR="00042D80">
        <w:rPr>
          <w:rFonts w:ascii="Calibri" w:hAnsi="Calibri" w:cs="Calibri"/>
          <w:sz w:val="22"/>
          <w:szCs w:val="22"/>
        </w:rPr>
        <w:t>from</w:t>
      </w:r>
      <w:r w:rsidRPr="00042D80">
        <w:rPr>
          <w:rFonts w:ascii="Calibri" w:hAnsi="Calibri" w:cs="Calibri"/>
          <w:sz w:val="22"/>
          <w:szCs w:val="22"/>
        </w:rPr>
        <w:t xml:space="preserve"> the research services</w:t>
      </w:r>
      <w:r w:rsidRPr="00042D80">
        <w:rPr>
          <w:rStyle w:val="FootnoteReference"/>
          <w:rFonts w:ascii="Calibri" w:hAnsi="Calibri" w:cs="Calibri"/>
          <w:sz w:val="22"/>
          <w:szCs w:val="22"/>
        </w:rPr>
        <w:footnoteReference w:id="2"/>
      </w:r>
      <w:r w:rsidRPr="00042D80">
        <w:rPr>
          <w:rFonts w:ascii="Calibri" w:hAnsi="Calibri" w:cs="Calibri"/>
          <w:sz w:val="22"/>
          <w:szCs w:val="22"/>
        </w:rPr>
        <w:t xml:space="preserve">, </w:t>
      </w:r>
      <w:r w:rsidR="00042D80" w:rsidRPr="00042D80">
        <w:rPr>
          <w:rFonts w:ascii="Calibri" w:hAnsi="Calibri" w:cs="Calibri"/>
          <w:sz w:val="22"/>
          <w:szCs w:val="22"/>
        </w:rPr>
        <w:t>suggesting a need for more evidence-backed assessments that align with impartiality</w:t>
      </w:r>
      <w:r w:rsidRPr="00042D80">
        <w:rPr>
          <w:rFonts w:ascii="Calibri" w:hAnsi="Calibri" w:cs="Calibri"/>
          <w:sz w:val="22"/>
          <w:szCs w:val="22"/>
        </w:rPr>
        <w:t xml:space="preserve">. </w:t>
      </w:r>
    </w:p>
    <w:p w14:paraId="1B410993" w14:textId="3782A6DA" w:rsidR="00E970AE" w:rsidRPr="00042D80" w:rsidRDefault="00E970AE" w:rsidP="00E970AE">
      <w:pPr>
        <w:numPr>
          <w:ilvl w:val="0"/>
          <w:numId w:val="4"/>
        </w:numPr>
        <w:rPr>
          <w:rFonts w:ascii="Calibri" w:hAnsi="Calibri" w:cs="Calibri"/>
          <w:sz w:val="22"/>
          <w:szCs w:val="22"/>
        </w:rPr>
      </w:pPr>
      <w:r w:rsidRPr="00042D80">
        <w:rPr>
          <w:rFonts w:ascii="Calibri" w:hAnsi="Calibri" w:cs="Calibri"/>
          <w:sz w:val="22"/>
          <w:szCs w:val="22"/>
        </w:rPr>
        <w:t>Under significant time pressure to produce reports before debates, a clearer operationalisation of impartiality would benefit the production of materials that better support members in their understanding of issues of parliamentary interest and scrutinisation of government</w:t>
      </w:r>
      <w:r w:rsidR="00042D80">
        <w:rPr>
          <w:rFonts w:ascii="Calibri" w:hAnsi="Calibri" w:cs="Calibri"/>
          <w:sz w:val="22"/>
          <w:szCs w:val="22"/>
        </w:rPr>
        <w:t xml:space="preserve"> </w:t>
      </w:r>
      <w:r w:rsidRPr="00042D80">
        <w:rPr>
          <w:rFonts w:ascii="Calibri" w:hAnsi="Calibri" w:cs="Calibri"/>
          <w:sz w:val="22"/>
          <w:szCs w:val="22"/>
        </w:rPr>
        <w:t>programme</w:t>
      </w:r>
      <w:r w:rsidR="00042D80">
        <w:rPr>
          <w:rFonts w:ascii="Calibri" w:hAnsi="Calibri" w:cs="Calibri"/>
          <w:sz w:val="22"/>
          <w:szCs w:val="22"/>
        </w:rPr>
        <w:t>s</w:t>
      </w:r>
      <w:r w:rsidRPr="00042D80">
        <w:rPr>
          <w:rFonts w:ascii="Calibri" w:hAnsi="Calibri" w:cs="Calibri"/>
          <w:sz w:val="22"/>
          <w:szCs w:val="22"/>
        </w:rPr>
        <w:t>. This is not to say that parliamentary research services are the sole source of information for members. As impartial and independent research services, they need to stand out in informal competition with partisan interest groups as well as with the growing prevalence of misinformation. A clearer operationalisation of impartiality would also benefit how the concept can be monitored and evaluated to keep the central tenet of the research services in check.</w:t>
      </w:r>
    </w:p>
    <w:p w14:paraId="6C937215" w14:textId="77777777" w:rsidR="00E970AE" w:rsidRPr="00042D80" w:rsidRDefault="00E970AE" w:rsidP="00E970AE">
      <w:pPr>
        <w:ind w:left="360"/>
        <w:rPr>
          <w:rFonts w:ascii="Calibri" w:hAnsi="Calibri" w:cs="Calibri"/>
          <w:sz w:val="22"/>
          <w:szCs w:val="22"/>
        </w:rPr>
      </w:pPr>
    </w:p>
    <w:p w14:paraId="29191E9A" w14:textId="77777777" w:rsidR="00E970AE" w:rsidRPr="00042D80" w:rsidRDefault="00E970AE" w:rsidP="00E970AE">
      <w:pPr>
        <w:rPr>
          <w:rFonts w:ascii="Calibri" w:hAnsi="Calibri" w:cs="Calibri"/>
          <w:b/>
          <w:bCs/>
          <w:sz w:val="22"/>
          <w:szCs w:val="22"/>
        </w:rPr>
      </w:pPr>
      <w:r w:rsidRPr="00042D80">
        <w:rPr>
          <w:rFonts w:ascii="Calibri" w:hAnsi="Calibri" w:cs="Calibri"/>
          <w:b/>
          <w:bCs/>
          <w:sz w:val="22"/>
          <w:szCs w:val="22"/>
        </w:rPr>
        <w:t>Closer scrutiny and greater reflexive practice will ensure standards of impartiality.</w:t>
      </w:r>
    </w:p>
    <w:p w14:paraId="7A0328B4" w14:textId="3E26265A" w:rsidR="00E970AE" w:rsidRPr="00042D80" w:rsidRDefault="00E970AE" w:rsidP="00E970AE">
      <w:pPr>
        <w:numPr>
          <w:ilvl w:val="0"/>
          <w:numId w:val="5"/>
        </w:numPr>
        <w:rPr>
          <w:rFonts w:ascii="Calibri" w:hAnsi="Calibri" w:cs="Calibri"/>
          <w:sz w:val="22"/>
          <w:szCs w:val="22"/>
        </w:rPr>
      </w:pPr>
      <w:r w:rsidRPr="00042D80">
        <w:rPr>
          <w:rFonts w:ascii="Calibri" w:hAnsi="Calibri" w:cs="Calibri"/>
          <w:sz w:val="22"/>
          <w:szCs w:val="22"/>
        </w:rPr>
        <w:t>Maintaining impartiality has been identified as one of the top challenges faced by parliamentary research services in the UK</w:t>
      </w:r>
      <w:r w:rsidRPr="00042D80">
        <w:rPr>
          <w:rStyle w:val="FootnoteReference"/>
          <w:rFonts w:ascii="Calibri" w:hAnsi="Calibri" w:cs="Calibri"/>
          <w:sz w:val="22"/>
          <w:szCs w:val="22"/>
        </w:rPr>
        <w:footnoteReference w:id="3"/>
      </w:r>
      <w:r w:rsidRPr="00042D80">
        <w:rPr>
          <w:rFonts w:ascii="Calibri" w:hAnsi="Calibri" w:cs="Calibri"/>
          <w:sz w:val="22"/>
          <w:szCs w:val="22"/>
        </w:rPr>
        <w:t xml:space="preserve"> and all around the world</w:t>
      </w:r>
      <w:r w:rsidRPr="00042D80">
        <w:rPr>
          <w:rStyle w:val="FootnoteReference"/>
          <w:rFonts w:ascii="Calibri" w:hAnsi="Calibri" w:cs="Calibri"/>
          <w:sz w:val="22"/>
          <w:szCs w:val="22"/>
        </w:rPr>
        <w:footnoteReference w:id="4"/>
      </w:r>
      <w:r w:rsidRPr="00042D80">
        <w:rPr>
          <w:rFonts w:ascii="Calibri" w:hAnsi="Calibri" w:cs="Calibri"/>
          <w:sz w:val="22"/>
          <w:szCs w:val="22"/>
        </w:rPr>
        <w:t xml:space="preserve">. Self-review and peer-review practices of their briefing reports within parliamentary research services are important components of quality control before publication. A further step here could be internal or external oversight in the form of, for example, annual or regular reviews of research briefings to validate the impartiality of the work and check whether the end product matches what was intended in the objectives and guidelines. Regular reviews of practices have demonstrated fruitful results </w:t>
      </w:r>
      <w:r w:rsidR="00BE46B8">
        <w:rPr>
          <w:rFonts w:ascii="Calibri" w:hAnsi="Calibri" w:cs="Calibri"/>
          <w:sz w:val="22"/>
          <w:szCs w:val="22"/>
        </w:rPr>
        <w:t>in</w:t>
      </w:r>
      <w:r w:rsidRPr="00042D80">
        <w:rPr>
          <w:rFonts w:ascii="Calibri" w:hAnsi="Calibri" w:cs="Calibri"/>
          <w:sz w:val="22"/>
          <w:szCs w:val="22"/>
        </w:rPr>
        <w:t xml:space="preserve"> other contexts. One example is reviews commissioned by the BBC to examine their impartiality, </w:t>
      </w:r>
      <w:r w:rsidRPr="00042D80">
        <w:rPr>
          <w:rFonts w:ascii="Calibri" w:hAnsi="Calibri" w:cs="Calibri"/>
          <w:sz w:val="22"/>
          <w:szCs w:val="22"/>
        </w:rPr>
        <w:lastRenderedPageBreak/>
        <w:t>which led to the discovery of a failed attempt to change impartiality practices</w:t>
      </w:r>
      <w:r w:rsidRPr="00042D80">
        <w:rPr>
          <w:rStyle w:val="FootnoteReference"/>
          <w:rFonts w:ascii="Calibri" w:hAnsi="Calibri" w:cs="Calibri"/>
          <w:sz w:val="22"/>
          <w:szCs w:val="22"/>
        </w:rPr>
        <w:footnoteReference w:id="5"/>
      </w:r>
      <w:r w:rsidRPr="00042D80">
        <w:rPr>
          <w:rFonts w:ascii="Calibri" w:hAnsi="Calibri" w:cs="Calibri"/>
          <w:sz w:val="22"/>
          <w:szCs w:val="22"/>
        </w:rPr>
        <w:t>. This could then inform re-strategising in additional attempts to improve standards and practices.</w:t>
      </w:r>
    </w:p>
    <w:p w14:paraId="012DE028" w14:textId="77777777" w:rsidR="00042D80" w:rsidRPr="00042D80" w:rsidRDefault="00042D80" w:rsidP="00042D80">
      <w:pPr>
        <w:rPr>
          <w:rFonts w:ascii="Calibri" w:hAnsi="Calibri" w:cs="Calibri"/>
          <w:sz w:val="22"/>
          <w:szCs w:val="22"/>
        </w:rPr>
      </w:pPr>
    </w:p>
    <w:p w14:paraId="663D7620" w14:textId="63902A68" w:rsidR="00E970AE" w:rsidRPr="00042D80" w:rsidRDefault="00BE46B8" w:rsidP="00E970AE">
      <w:pPr>
        <w:rPr>
          <w:rFonts w:ascii="Calibri" w:hAnsi="Calibri" w:cs="Calibri"/>
          <w:b/>
          <w:bCs/>
          <w:sz w:val="22"/>
          <w:szCs w:val="22"/>
        </w:rPr>
      </w:pPr>
      <w:r>
        <w:rPr>
          <w:rFonts w:ascii="Calibri" w:hAnsi="Calibri" w:cs="Calibri"/>
          <w:b/>
          <w:bCs/>
          <w:sz w:val="22"/>
          <w:szCs w:val="22"/>
        </w:rPr>
        <w:t>The h</w:t>
      </w:r>
      <w:r w:rsidR="00E970AE" w:rsidRPr="00042D80">
        <w:rPr>
          <w:rFonts w:ascii="Calibri" w:hAnsi="Calibri" w:cs="Calibri"/>
          <w:b/>
          <w:bCs/>
          <w:sz w:val="22"/>
          <w:szCs w:val="22"/>
        </w:rPr>
        <w:t>igh impact of parliamentary research services adds to the importance of their standards of impartiality.</w:t>
      </w:r>
    </w:p>
    <w:p w14:paraId="5EE9A9AD" w14:textId="7F7E44FD" w:rsidR="00E970AE" w:rsidRPr="00042D80" w:rsidRDefault="00042D80" w:rsidP="00E970AE">
      <w:pPr>
        <w:numPr>
          <w:ilvl w:val="0"/>
          <w:numId w:val="6"/>
        </w:numPr>
        <w:rPr>
          <w:rFonts w:ascii="Calibri" w:hAnsi="Calibri" w:cs="Calibri"/>
          <w:sz w:val="22"/>
          <w:szCs w:val="22"/>
        </w:rPr>
      </w:pPr>
      <w:r w:rsidRPr="00042D80">
        <w:rPr>
          <w:rFonts w:ascii="Calibri" w:hAnsi="Calibri" w:cs="Calibri"/>
          <w:sz w:val="22"/>
          <w:szCs w:val="22"/>
        </w:rPr>
        <w:t>P</w:t>
      </w:r>
      <w:r w:rsidR="00E970AE" w:rsidRPr="00042D80">
        <w:rPr>
          <w:rFonts w:ascii="Calibri" w:hAnsi="Calibri" w:cs="Calibri"/>
          <w:sz w:val="22"/>
          <w:szCs w:val="22"/>
        </w:rPr>
        <w:t>arliamentary research services ha</w:t>
      </w:r>
      <w:r w:rsidR="00BE46B8">
        <w:rPr>
          <w:rFonts w:ascii="Calibri" w:hAnsi="Calibri" w:cs="Calibri"/>
          <w:sz w:val="22"/>
          <w:szCs w:val="22"/>
        </w:rPr>
        <w:t>ve a</w:t>
      </w:r>
      <w:r w:rsidR="00E970AE" w:rsidRPr="00042D80">
        <w:rPr>
          <w:rFonts w:ascii="Calibri" w:hAnsi="Calibri" w:cs="Calibri"/>
          <w:sz w:val="22"/>
          <w:szCs w:val="22"/>
        </w:rPr>
        <w:t xml:space="preserve"> significant impact o</w:t>
      </w:r>
      <w:r w:rsidR="00BE46B8">
        <w:rPr>
          <w:rFonts w:ascii="Calibri" w:hAnsi="Calibri" w:cs="Calibri"/>
          <w:sz w:val="22"/>
          <w:szCs w:val="22"/>
        </w:rPr>
        <w:t>n</w:t>
      </w:r>
      <w:r w:rsidR="00E970AE" w:rsidRPr="00042D80">
        <w:rPr>
          <w:rFonts w:ascii="Calibri" w:hAnsi="Calibri" w:cs="Calibri"/>
          <w:sz w:val="22"/>
          <w:szCs w:val="22"/>
        </w:rPr>
        <w:t xml:space="preserve"> the work at parliament. In the case of the Commons Library, millions of people both outside and inside of parliament access their publications online each year. Internally, the Commons Library has received thousands of citations in the chamber and in written statements. It is the second most selected source in a survey of 23 MPs and 32 MPs’ staff</w:t>
      </w:r>
      <w:r w:rsidR="00E970AE" w:rsidRPr="00042D80">
        <w:rPr>
          <w:rStyle w:val="FootnoteReference"/>
          <w:rFonts w:ascii="Calibri" w:hAnsi="Calibri" w:cs="Calibri"/>
          <w:sz w:val="22"/>
          <w:szCs w:val="22"/>
        </w:rPr>
        <w:footnoteReference w:id="6"/>
      </w:r>
      <w:r w:rsidR="00BE46B8">
        <w:rPr>
          <w:rFonts w:ascii="Calibri" w:hAnsi="Calibri" w:cs="Calibri"/>
          <w:sz w:val="22"/>
          <w:szCs w:val="22"/>
        </w:rPr>
        <w:t>,</w:t>
      </w:r>
      <w:r w:rsidR="00E970AE" w:rsidRPr="00042D80">
        <w:rPr>
          <w:rFonts w:ascii="Calibri" w:hAnsi="Calibri" w:cs="Calibri"/>
          <w:sz w:val="22"/>
          <w:szCs w:val="22"/>
        </w:rPr>
        <w:t xml:space="preserve"> and it is identified as the most prominent source by parliamentarians when they seek independent research</w:t>
      </w:r>
      <w:r w:rsidR="00E970AE" w:rsidRPr="00042D80">
        <w:rPr>
          <w:rStyle w:val="FootnoteReference"/>
          <w:rFonts w:ascii="Calibri" w:hAnsi="Calibri" w:cs="Calibri"/>
          <w:sz w:val="22"/>
          <w:szCs w:val="22"/>
        </w:rPr>
        <w:footnoteReference w:id="7"/>
      </w:r>
      <w:r w:rsidR="00E970AE" w:rsidRPr="00042D80">
        <w:rPr>
          <w:rFonts w:ascii="Calibri" w:hAnsi="Calibri" w:cs="Calibri"/>
          <w:sz w:val="22"/>
          <w:szCs w:val="22"/>
        </w:rPr>
        <w:t xml:space="preserve">. </w:t>
      </w:r>
    </w:p>
    <w:p w14:paraId="451F3BF2" w14:textId="77777777" w:rsidR="00E970AE" w:rsidRPr="00042D80" w:rsidRDefault="00E970AE" w:rsidP="00E970AE">
      <w:pPr>
        <w:rPr>
          <w:rFonts w:ascii="Calibri" w:hAnsi="Calibri" w:cs="Calibri"/>
          <w:sz w:val="22"/>
          <w:szCs w:val="22"/>
        </w:rPr>
      </w:pPr>
    </w:p>
    <w:p w14:paraId="208E8C56" w14:textId="3EDDC80B" w:rsidR="00E970AE" w:rsidRPr="00042D80" w:rsidRDefault="00E970AE" w:rsidP="00E970AE">
      <w:pPr>
        <w:numPr>
          <w:ilvl w:val="0"/>
          <w:numId w:val="7"/>
        </w:numPr>
        <w:rPr>
          <w:rFonts w:ascii="Calibri" w:hAnsi="Calibri" w:cs="Calibri"/>
          <w:b/>
          <w:bCs/>
          <w:color w:val="0070C0"/>
          <w:sz w:val="22"/>
          <w:szCs w:val="22"/>
        </w:rPr>
      </w:pPr>
      <w:r w:rsidRPr="00042D80">
        <w:rPr>
          <w:rFonts w:ascii="Calibri" w:hAnsi="Calibri" w:cs="Calibri"/>
          <w:b/>
          <w:bCs/>
          <w:color w:val="0070C0"/>
          <w:sz w:val="22"/>
          <w:szCs w:val="22"/>
        </w:rPr>
        <w:t>Are you aware of examples from other Parliaments relevant to the topic(s) which may be interesting for the Modernisation Committee to consider?</w:t>
      </w:r>
    </w:p>
    <w:p w14:paraId="17AA920A" w14:textId="0795C3C0" w:rsidR="00E970AE" w:rsidRPr="00042D80" w:rsidRDefault="00E970AE" w:rsidP="00E970AE">
      <w:pPr>
        <w:numPr>
          <w:ilvl w:val="0"/>
          <w:numId w:val="8"/>
        </w:numPr>
        <w:rPr>
          <w:rFonts w:ascii="Calibri" w:hAnsi="Calibri" w:cs="Calibri"/>
          <w:sz w:val="22"/>
          <w:szCs w:val="22"/>
        </w:rPr>
      </w:pPr>
      <w:r w:rsidRPr="00042D80">
        <w:rPr>
          <w:rFonts w:ascii="Calibri" w:hAnsi="Calibri" w:cs="Calibri"/>
          <w:sz w:val="22"/>
          <w:szCs w:val="22"/>
        </w:rPr>
        <w:t xml:space="preserve">A number of parliamentary research services were inspired by the Westminster tradition and follow the examples in the UK, thus there </w:t>
      </w:r>
      <w:r w:rsidR="00BE46B8">
        <w:rPr>
          <w:rFonts w:ascii="Calibri" w:hAnsi="Calibri" w:cs="Calibri"/>
          <w:sz w:val="22"/>
          <w:szCs w:val="22"/>
        </w:rPr>
        <w:t>are</w:t>
      </w:r>
      <w:r w:rsidRPr="00042D80">
        <w:rPr>
          <w:rFonts w:ascii="Calibri" w:hAnsi="Calibri" w:cs="Calibri"/>
          <w:sz w:val="22"/>
          <w:szCs w:val="22"/>
        </w:rPr>
        <w:t xml:space="preserve"> </w:t>
      </w:r>
      <w:r w:rsidR="00042D80">
        <w:rPr>
          <w:rFonts w:ascii="Calibri" w:hAnsi="Calibri" w:cs="Calibri"/>
          <w:sz w:val="22"/>
          <w:szCs w:val="22"/>
        </w:rPr>
        <w:t>limited</w:t>
      </w:r>
      <w:r w:rsidR="00042D80" w:rsidRPr="00042D80">
        <w:rPr>
          <w:rFonts w:ascii="Calibri" w:hAnsi="Calibri" w:cs="Calibri"/>
          <w:sz w:val="22"/>
          <w:szCs w:val="22"/>
        </w:rPr>
        <w:t xml:space="preserve"> </w:t>
      </w:r>
      <w:r w:rsidRPr="00042D80">
        <w:rPr>
          <w:rFonts w:ascii="Calibri" w:hAnsi="Calibri" w:cs="Calibri"/>
          <w:sz w:val="22"/>
          <w:szCs w:val="22"/>
        </w:rPr>
        <w:t>examples from other parliaments. However, it has been reported that some parliamentary research services produce annual reviews o</w:t>
      </w:r>
      <w:r w:rsidR="00BE46B8">
        <w:rPr>
          <w:rFonts w:ascii="Calibri" w:hAnsi="Calibri" w:cs="Calibri"/>
          <w:sz w:val="22"/>
          <w:szCs w:val="22"/>
        </w:rPr>
        <w:t>f</w:t>
      </w:r>
      <w:r w:rsidRPr="00042D80">
        <w:rPr>
          <w:rFonts w:ascii="Calibri" w:hAnsi="Calibri" w:cs="Calibri"/>
          <w:sz w:val="22"/>
          <w:szCs w:val="22"/>
        </w:rPr>
        <w:t xml:space="preserve"> their activities; and some are subject to review by parliamentary committees.</w:t>
      </w:r>
      <w:r w:rsidRPr="00042D80">
        <w:rPr>
          <w:rStyle w:val="FootnoteReference"/>
          <w:rFonts w:ascii="Calibri" w:hAnsi="Calibri" w:cs="Calibri"/>
          <w:sz w:val="22"/>
          <w:szCs w:val="22"/>
        </w:rPr>
        <w:footnoteReference w:id="8"/>
      </w:r>
      <w:r w:rsidRPr="00042D80">
        <w:rPr>
          <w:rFonts w:ascii="Calibri" w:hAnsi="Calibri" w:cs="Calibri"/>
          <w:sz w:val="22"/>
          <w:szCs w:val="22"/>
        </w:rPr>
        <w:t xml:space="preserve"> Unfortunately, </w:t>
      </w:r>
      <w:r w:rsidR="00042D80" w:rsidRPr="00042D80">
        <w:rPr>
          <w:rFonts w:ascii="Calibri" w:hAnsi="Calibri" w:cs="Calibri"/>
          <w:sz w:val="22"/>
          <w:szCs w:val="22"/>
        </w:rPr>
        <w:t>I was unable to explore these examples in more detail, as the source material</w:t>
      </w:r>
      <w:r w:rsidRPr="00042D80">
        <w:rPr>
          <w:rStyle w:val="FootnoteReference"/>
          <w:rFonts w:ascii="Calibri" w:hAnsi="Calibri" w:cs="Calibri"/>
          <w:sz w:val="22"/>
          <w:szCs w:val="22"/>
        </w:rPr>
        <w:footnoteReference w:id="9"/>
      </w:r>
      <w:r w:rsidRPr="00042D80">
        <w:rPr>
          <w:rFonts w:ascii="Calibri" w:hAnsi="Calibri" w:cs="Calibri"/>
          <w:sz w:val="22"/>
          <w:szCs w:val="22"/>
        </w:rPr>
        <w:t xml:space="preserve"> was not</w:t>
      </w:r>
      <w:r w:rsidR="00042D80">
        <w:rPr>
          <w:rFonts w:ascii="Calibri" w:hAnsi="Calibri" w:cs="Calibri"/>
          <w:sz w:val="22"/>
          <w:szCs w:val="22"/>
        </w:rPr>
        <w:t xml:space="preserve"> available</w:t>
      </w:r>
      <w:r w:rsidRPr="00042D80">
        <w:rPr>
          <w:rFonts w:ascii="Calibri" w:hAnsi="Calibri" w:cs="Calibri"/>
          <w:sz w:val="22"/>
          <w:szCs w:val="22"/>
        </w:rPr>
        <w:t xml:space="preserve"> in English.</w:t>
      </w:r>
    </w:p>
    <w:p w14:paraId="05B15876" w14:textId="77777777" w:rsidR="00E970AE" w:rsidRPr="00042D80" w:rsidRDefault="00E970AE" w:rsidP="00E970AE">
      <w:pPr>
        <w:rPr>
          <w:rFonts w:ascii="Calibri" w:hAnsi="Calibri" w:cs="Calibri"/>
          <w:sz w:val="22"/>
          <w:szCs w:val="22"/>
        </w:rPr>
      </w:pPr>
    </w:p>
    <w:p w14:paraId="06642DF4" w14:textId="676E11C1" w:rsidR="00E970AE" w:rsidRPr="00042D80" w:rsidRDefault="00E970AE" w:rsidP="00E970AE">
      <w:pPr>
        <w:numPr>
          <w:ilvl w:val="0"/>
          <w:numId w:val="9"/>
        </w:numPr>
        <w:rPr>
          <w:rFonts w:ascii="Calibri" w:hAnsi="Calibri" w:cs="Calibri"/>
          <w:b/>
          <w:bCs/>
          <w:color w:val="0070C0"/>
          <w:sz w:val="22"/>
          <w:szCs w:val="22"/>
        </w:rPr>
      </w:pPr>
      <w:r w:rsidRPr="00042D80">
        <w:rPr>
          <w:rFonts w:ascii="Calibri" w:hAnsi="Calibri" w:cs="Calibri"/>
          <w:b/>
          <w:bCs/>
          <w:color w:val="0070C0"/>
          <w:sz w:val="22"/>
          <w:szCs w:val="22"/>
        </w:rPr>
        <w:t>Is there any existing work relevant to the topic(s) which you think the Modernisation Committee can build on?</w:t>
      </w:r>
    </w:p>
    <w:p w14:paraId="4C43A728" w14:textId="417722AE" w:rsidR="00E970AE" w:rsidRDefault="00E970AE" w:rsidP="00E970AE">
      <w:pPr>
        <w:numPr>
          <w:ilvl w:val="0"/>
          <w:numId w:val="10"/>
        </w:numPr>
        <w:rPr>
          <w:rFonts w:ascii="Calibri" w:hAnsi="Calibri" w:cs="Calibri"/>
          <w:sz w:val="22"/>
          <w:szCs w:val="22"/>
        </w:rPr>
      </w:pPr>
      <w:r w:rsidRPr="00042D80">
        <w:rPr>
          <w:rFonts w:ascii="Calibri" w:hAnsi="Calibri" w:cs="Calibri"/>
          <w:sz w:val="22"/>
          <w:szCs w:val="22"/>
        </w:rPr>
        <w:t>The Constitution</w:t>
      </w:r>
      <w:r w:rsidR="00042D80">
        <w:rPr>
          <w:rFonts w:ascii="Calibri" w:hAnsi="Calibri" w:cs="Calibri"/>
          <w:sz w:val="22"/>
          <w:szCs w:val="22"/>
        </w:rPr>
        <w:t xml:space="preserve"> </w:t>
      </w:r>
      <w:r w:rsidR="00042D80" w:rsidRPr="00042D80">
        <w:rPr>
          <w:rFonts w:ascii="Calibri" w:hAnsi="Calibri" w:cs="Calibri"/>
          <w:sz w:val="22"/>
          <w:szCs w:val="22"/>
        </w:rPr>
        <w:t>Select Committee</w:t>
      </w:r>
      <w:r w:rsidRPr="00042D80">
        <w:rPr>
          <w:rFonts w:ascii="Calibri" w:hAnsi="Calibri" w:cs="Calibri"/>
          <w:sz w:val="22"/>
          <w:szCs w:val="22"/>
        </w:rPr>
        <w:t xml:space="preserve"> has scrutinised impartiality under the context of ministerial involvement in the appointment and departure of senior civil servants.</w:t>
      </w:r>
      <w:r w:rsidRPr="00042D80">
        <w:rPr>
          <w:rStyle w:val="FootnoteReference"/>
          <w:rFonts w:ascii="Calibri" w:hAnsi="Calibri" w:cs="Calibri"/>
          <w:sz w:val="22"/>
          <w:szCs w:val="22"/>
        </w:rPr>
        <w:footnoteReference w:id="10"/>
      </w:r>
      <w:r w:rsidRPr="00042D80">
        <w:rPr>
          <w:rFonts w:ascii="Calibri" w:hAnsi="Calibri" w:cs="Calibri"/>
          <w:sz w:val="22"/>
          <w:szCs w:val="22"/>
        </w:rPr>
        <w:t xml:space="preserve"> </w:t>
      </w:r>
      <w:r w:rsidR="00042D80">
        <w:rPr>
          <w:rFonts w:ascii="Calibri" w:hAnsi="Calibri" w:cs="Calibri"/>
          <w:sz w:val="22"/>
          <w:szCs w:val="22"/>
        </w:rPr>
        <w:t>While</w:t>
      </w:r>
      <w:r w:rsidR="00042D80" w:rsidRPr="00042D80">
        <w:rPr>
          <w:rFonts w:ascii="Calibri" w:hAnsi="Calibri" w:cs="Calibri"/>
          <w:sz w:val="22"/>
          <w:szCs w:val="22"/>
        </w:rPr>
        <w:t xml:space="preserve"> </w:t>
      </w:r>
      <w:r w:rsidRPr="00042D80">
        <w:rPr>
          <w:rFonts w:ascii="Calibri" w:hAnsi="Calibri" w:cs="Calibri"/>
          <w:sz w:val="22"/>
          <w:szCs w:val="22"/>
        </w:rPr>
        <w:t xml:space="preserve">this work </w:t>
      </w:r>
      <w:r w:rsidR="00042D80">
        <w:rPr>
          <w:rFonts w:ascii="Calibri" w:hAnsi="Calibri" w:cs="Calibri"/>
          <w:sz w:val="22"/>
          <w:szCs w:val="22"/>
        </w:rPr>
        <w:t>focuses on government</w:t>
      </w:r>
      <w:r w:rsidRPr="00042D80">
        <w:rPr>
          <w:rFonts w:ascii="Calibri" w:hAnsi="Calibri" w:cs="Calibri"/>
          <w:sz w:val="22"/>
          <w:szCs w:val="22"/>
        </w:rPr>
        <w:t>, it provides a good example</w:t>
      </w:r>
      <w:r w:rsidR="00042D80">
        <w:rPr>
          <w:rFonts w:ascii="Calibri" w:hAnsi="Calibri" w:cs="Calibri"/>
          <w:sz w:val="22"/>
          <w:szCs w:val="22"/>
        </w:rPr>
        <w:t xml:space="preserve"> of</w:t>
      </w:r>
      <w:r w:rsidRPr="00042D80">
        <w:rPr>
          <w:rFonts w:ascii="Calibri" w:hAnsi="Calibri" w:cs="Calibri"/>
          <w:sz w:val="22"/>
          <w:szCs w:val="22"/>
        </w:rPr>
        <w:t xml:space="preserve"> </w:t>
      </w:r>
      <w:r w:rsidR="00042D80">
        <w:rPr>
          <w:rFonts w:ascii="Calibri" w:hAnsi="Calibri" w:cs="Calibri"/>
          <w:sz w:val="22"/>
          <w:szCs w:val="22"/>
        </w:rPr>
        <w:t>how</w:t>
      </w:r>
      <w:r w:rsidRPr="00042D80">
        <w:rPr>
          <w:rFonts w:ascii="Calibri" w:hAnsi="Calibri" w:cs="Calibri"/>
          <w:sz w:val="22"/>
          <w:szCs w:val="22"/>
        </w:rPr>
        <w:t xml:space="preserve"> impartiality</w:t>
      </w:r>
      <w:r w:rsidR="00042D80">
        <w:rPr>
          <w:rFonts w:ascii="Calibri" w:hAnsi="Calibri" w:cs="Calibri"/>
          <w:sz w:val="22"/>
          <w:szCs w:val="22"/>
        </w:rPr>
        <w:t xml:space="preserve"> is considered and maintained</w:t>
      </w:r>
      <w:r w:rsidRPr="00042D80">
        <w:rPr>
          <w:rFonts w:ascii="Calibri" w:hAnsi="Calibri" w:cs="Calibri"/>
          <w:sz w:val="22"/>
          <w:szCs w:val="22"/>
        </w:rPr>
        <w:t xml:space="preserve"> in practice.</w:t>
      </w:r>
      <w:r w:rsidR="00042D80">
        <w:rPr>
          <w:rFonts w:ascii="Calibri" w:hAnsi="Calibri" w:cs="Calibri"/>
          <w:sz w:val="22"/>
          <w:szCs w:val="22"/>
        </w:rPr>
        <w:t xml:space="preserve"> </w:t>
      </w:r>
      <w:r w:rsidR="00042D80" w:rsidRPr="00042D80">
        <w:rPr>
          <w:rFonts w:ascii="Calibri" w:hAnsi="Calibri" w:cs="Calibri"/>
          <w:sz w:val="22"/>
          <w:szCs w:val="22"/>
        </w:rPr>
        <w:t>The report emphasi</w:t>
      </w:r>
      <w:r w:rsidR="00042D80">
        <w:rPr>
          <w:rFonts w:ascii="Calibri" w:hAnsi="Calibri" w:cs="Calibri"/>
          <w:sz w:val="22"/>
          <w:szCs w:val="22"/>
        </w:rPr>
        <w:t>s</w:t>
      </w:r>
      <w:r w:rsidR="00042D80" w:rsidRPr="00042D80">
        <w:rPr>
          <w:rFonts w:ascii="Calibri" w:hAnsi="Calibri" w:cs="Calibri"/>
          <w:sz w:val="22"/>
          <w:szCs w:val="22"/>
        </w:rPr>
        <w:t>e</w:t>
      </w:r>
      <w:r w:rsidR="00042D80">
        <w:rPr>
          <w:rFonts w:ascii="Calibri" w:hAnsi="Calibri" w:cs="Calibri"/>
          <w:sz w:val="22"/>
          <w:szCs w:val="22"/>
        </w:rPr>
        <w:t>d</w:t>
      </w:r>
      <w:r w:rsidR="00042D80" w:rsidRPr="00042D80">
        <w:rPr>
          <w:rFonts w:ascii="Calibri" w:hAnsi="Calibri" w:cs="Calibri"/>
          <w:sz w:val="22"/>
          <w:szCs w:val="22"/>
        </w:rPr>
        <w:t xml:space="preserve"> the need for careful scrutiny of any changes to processes that could affect impartiality, offering relevant insights for parliament</w:t>
      </w:r>
      <w:r w:rsidR="00042D80">
        <w:rPr>
          <w:rFonts w:ascii="Calibri" w:hAnsi="Calibri" w:cs="Calibri"/>
          <w:sz w:val="22"/>
          <w:szCs w:val="22"/>
        </w:rPr>
        <w:t xml:space="preserve"> and its</w:t>
      </w:r>
      <w:r w:rsidR="00042D80" w:rsidRPr="00042D80">
        <w:rPr>
          <w:rFonts w:ascii="Calibri" w:hAnsi="Calibri" w:cs="Calibri"/>
          <w:sz w:val="22"/>
          <w:szCs w:val="22"/>
        </w:rPr>
        <w:t xml:space="preserve"> research services</w:t>
      </w:r>
      <w:r w:rsidR="00042D80">
        <w:rPr>
          <w:rFonts w:ascii="Calibri" w:hAnsi="Calibri" w:cs="Calibri"/>
          <w:sz w:val="22"/>
          <w:szCs w:val="22"/>
        </w:rPr>
        <w:t>.</w:t>
      </w:r>
    </w:p>
    <w:p w14:paraId="63DB0C4D" w14:textId="5762B9CF" w:rsidR="00042D80" w:rsidRDefault="00042D80" w:rsidP="00E970AE">
      <w:pPr>
        <w:numPr>
          <w:ilvl w:val="0"/>
          <w:numId w:val="10"/>
        </w:numPr>
        <w:rPr>
          <w:rFonts w:ascii="Calibri" w:hAnsi="Calibri" w:cs="Calibri"/>
          <w:sz w:val="22"/>
          <w:szCs w:val="22"/>
        </w:rPr>
      </w:pPr>
      <w:r>
        <w:rPr>
          <w:rFonts w:ascii="Calibri" w:hAnsi="Calibri" w:cs="Calibri"/>
          <w:sz w:val="22"/>
          <w:szCs w:val="22"/>
        </w:rPr>
        <w:lastRenderedPageBreak/>
        <w:t xml:space="preserve">The </w:t>
      </w:r>
      <w:r w:rsidRPr="00042D80">
        <w:rPr>
          <w:rFonts w:ascii="Calibri" w:hAnsi="Calibri" w:cs="Calibri"/>
          <w:sz w:val="22"/>
          <w:szCs w:val="22"/>
        </w:rPr>
        <w:t>Communications and Digital Select Committee</w:t>
      </w:r>
      <w:r>
        <w:rPr>
          <w:rFonts w:ascii="Calibri" w:hAnsi="Calibri" w:cs="Calibri"/>
          <w:sz w:val="22"/>
          <w:szCs w:val="22"/>
        </w:rPr>
        <w:t xml:space="preserve"> has </w:t>
      </w:r>
      <w:r w:rsidRPr="00042D80">
        <w:rPr>
          <w:rFonts w:ascii="Calibri" w:hAnsi="Calibri" w:cs="Calibri"/>
          <w:sz w:val="22"/>
          <w:szCs w:val="22"/>
        </w:rPr>
        <w:t>scrutinised impartiality under the context</w:t>
      </w:r>
      <w:r>
        <w:rPr>
          <w:rFonts w:ascii="Calibri" w:hAnsi="Calibri" w:cs="Calibri"/>
          <w:sz w:val="22"/>
          <w:szCs w:val="22"/>
        </w:rPr>
        <w:t xml:space="preserve"> of public service broadcasters.</w:t>
      </w:r>
      <w:r>
        <w:rPr>
          <w:rStyle w:val="FootnoteReference"/>
          <w:rFonts w:ascii="Calibri" w:hAnsi="Calibri" w:cs="Calibri"/>
          <w:sz w:val="22"/>
          <w:szCs w:val="22"/>
        </w:rPr>
        <w:footnoteReference w:id="11"/>
      </w:r>
      <w:r>
        <w:rPr>
          <w:rFonts w:ascii="Calibri" w:hAnsi="Calibri" w:cs="Calibri"/>
          <w:sz w:val="22"/>
          <w:szCs w:val="22"/>
        </w:rPr>
        <w:t xml:space="preserve"> Chapter 6 of their first report examined audience</w:t>
      </w:r>
      <w:r w:rsidRPr="00042D80">
        <w:rPr>
          <w:rFonts w:ascii="Calibri" w:hAnsi="Calibri" w:cs="Calibri"/>
          <w:sz w:val="22"/>
          <w:szCs w:val="22"/>
        </w:rPr>
        <w:t xml:space="preserve"> trust and </w:t>
      </w:r>
      <w:r>
        <w:rPr>
          <w:rFonts w:ascii="Calibri" w:hAnsi="Calibri" w:cs="Calibri"/>
          <w:sz w:val="22"/>
          <w:szCs w:val="22"/>
        </w:rPr>
        <w:t>the approach to impartiality</w:t>
      </w:r>
      <w:r w:rsidRPr="00042D80">
        <w:rPr>
          <w:rFonts w:ascii="Calibri" w:hAnsi="Calibri" w:cs="Calibri"/>
          <w:sz w:val="22"/>
          <w:szCs w:val="22"/>
        </w:rPr>
        <w:t>.</w:t>
      </w:r>
      <w:r>
        <w:rPr>
          <w:rFonts w:ascii="Calibri" w:hAnsi="Calibri" w:cs="Calibri"/>
          <w:sz w:val="22"/>
          <w:szCs w:val="22"/>
        </w:rPr>
        <w:t xml:space="preserve"> </w:t>
      </w:r>
      <w:r w:rsidRPr="00042D80">
        <w:rPr>
          <w:rFonts w:ascii="Calibri" w:hAnsi="Calibri" w:cs="Calibri"/>
          <w:sz w:val="22"/>
          <w:szCs w:val="22"/>
        </w:rPr>
        <w:t>While the concept of impartiality differs between broadcasting and parliamentary contexts</w:t>
      </w:r>
      <w:r>
        <w:rPr>
          <w:rFonts w:ascii="Calibri" w:hAnsi="Calibri" w:cs="Calibri"/>
          <w:sz w:val="22"/>
          <w:szCs w:val="22"/>
        </w:rPr>
        <w:t xml:space="preserve">, this work highlights the need for a clearer approach to impartiality.  </w:t>
      </w:r>
      <w:r w:rsidRPr="00042D80">
        <w:rPr>
          <w:rFonts w:ascii="Calibri" w:hAnsi="Calibri" w:cs="Calibri"/>
          <w:sz w:val="22"/>
          <w:szCs w:val="22"/>
        </w:rPr>
        <w:t xml:space="preserve">It serves as an example of identifying areas for improvement to </w:t>
      </w:r>
      <w:r>
        <w:rPr>
          <w:rFonts w:ascii="Calibri" w:hAnsi="Calibri" w:cs="Calibri"/>
          <w:sz w:val="22"/>
          <w:szCs w:val="22"/>
        </w:rPr>
        <w:t>serve</w:t>
      </w:r>
      <w:r w:rsidRPr="00042D80">
        <w:rPr>
          <w:rFonts w:ascii="Calibri" w:hAnsi="Calibri" w:cs="Calibri"/>
          <w:sz w:val="22"/>
          <w:szCs w:val="22"/>
        </w:rPr>
        <w:t xml:space="preserve"> all audiences, particularly in light of challenges posed by </w:t>
      </w:r>
      <w:r>
        <w:rPr>
          <w:rFonts w:ascii="Calibri" w:hAnsi="Calibri" w:cs="Calibri"/>
          <w:sz w:val="22"/>
          <w:szCs w:val="22"/>
        </w:rPr>
        <w:t>the UK’s changing media landscape and misinformation.</w:t>
      </w:r>
    </w:p>
    <w:p w14:paraId="5F9098D1" w14:textId="77777777" w:rsidR="00042D80" w:rsidRDefault="00042D80" w:rsidP="00042D80">
      <w:pPr>
        <w:rPr>
          <w:rFonts w:ascii="Calibri" w:hAnsi="Calibri" w:cs="Calibri"/>
          <w:sz w:val="22"/>
          <w:szCs w:val="22"/>
        </w:rPr>
      </w:pPr>
    </w:p>
    <w:p w14:paraId="5A70883D" w14:textId="0D47F214" w:rsidR="00E970AE" w:rsidRDefault="00042D80" w:rsidP="00E970AE">
      <w:pPr>
        <w:rPr>
          <w:rFonts w:ascii="Calibri" w:hAnsi="Calibri" w:cs="Calibri"/>
          <w:sz w:val="22"/>
          <w:szCs w:val="22"/>
        </w:rPr>
      </w:pPr>
      <w:r w:rsidRPr="00042D80">
        <w:rPr>
          <w:rFonts w:ascii="Calibri" w:hAnsi="Calibri" w:cs="Calibri"/>
          <w:sz w:val="22"/>
          <w:szCs w:val="22"/>
        </w:rPr>
        <w:t>I am available to provide further information or insights to support my response, should it be required.</w:t>
      </w:r>
    </w:p>
    <w:p w14:paraId="3C8B8345" w14:textId="77777777" w:rsidR="00042D80" w:rsidRPr="00042D80" w:rsidRDefault="00042D80" w:rsidP="00E970AE">
      <w:pPr>
        <w:rPr>
          <w:rFonts w:ascii="Calibri" w:hAnsi="Calibri" w:cs="Calibri"/>
          <w:sz w:val="22"/>
          <w:szCs w:val="22"/>
        </w:rPr>
      </w:pPr>
    </w:p>
    <w:p w14:paraId="7AAEDFFA" w14:textId="5307309F" w:rsidR="00E970AE" w:rsidRPr="00042D80" w:rsidRDefault="00E970AE" w:rsidP="00E970AE">
      <w:pPr>
        <w:jc w:val="right"/>
        <w:rPr>
          <w:rFonts w:ascii="Calibri" w:hAnsi="Calibri" w:cs="Calibri"/>
          <w:sz w:val="22"/>
          <w:szCs w:val="22"/>
        </w:rPr>
      </w:pPr>
      <w:r w:rsidRPr="00042D80">
        <w:rPr>
          <w:rFonts w:ascii="Calibri" w:hAnsi="Calibri" w:cs="Calibri"/>
          <w:sz w:val="22"/>
          <w:szCs w:val="22"/>
        </w:rPr>
        <w:t>1</w:t>
      </w:r>
      <w:r w:rsidR="00042D80">
        <w:rPr>
          <w:rFonts w:ascii="Calibri" w:hAnsi="Calibri" w:cs="Calibri"/>
          <w:sz w:val="22"/>
          <w:szCs w:val="22"/>
        </w:rPr>
        <w:t>6</w:t>
      </w:r>
      <w:r w:rsidRPr="00042D80">
        <w:rPr>
          <w:rFonts w:ascii="Calibri" w:hAnsi="Calibri" w:cs="Calibri"/>
          <w:sz w:val="22"/>
          <w:szCs w:val="22"/>
        </w:rPr>
        <w:t>th December 2024</w:t>
      </w:r>
    </w:p>
    <w:sectPr w:rsidR="00E970AE" w:rsidRPr="00042D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CCD22" w14:textId="77777777" w:rsidR="0050410B" w:rsidRDefault="0050410B" w:rsidP="00E970AE">
      <w:pPr>
        <w:spacing w:after="0" w:line="240" w:lineRule="auto"/>
      </w:pPr>
      <w:r>
        <w:separator/>
      </w:r>
    </w:p>
  </w:endnote>
  <w:endnote w:type="continuationSeparator" w:id="0">
    <w:p w14:paraId="21D8FC01" w14:textId="77777777" w:rsidR="0050410B" w:rsidRDefault="0050410B" w:rsidP="00E9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F8AA2" w14:textId="77777777" w:rsidR="0050410B" w:rsidRDefault="0050410B" w:rsidP="00E970AE">
      <w:pPr>
        <w:spacing w:after="0" w:line="240" w:lineRule="auto"/>
      </w:pPr>
      <w:r>
        <w:separator/>
      </w:r>
    </w:p>
  </w:footnote>
  <w:footnote w:type="continuationSeparator" w:id="0">
    <w:p w14:paraId="5CB56D0A" w14:textId="77777777" w:rsidR="0050410B" w:rsidRDefault="0050410B" w:rsidP="00E970AE">
      <w:pPr>
        <w:spacing w:after="0" w:line="240" w:lineRule="auto"/>
      </w:pPr>
      <w:r>
        <w:continuationSeparator/>
      </w:r>
    </w:p>
  </w:footnote>
  <w:footnote w:id="1">
    <w:p w14:paraId="6B81B1C4" w14:textId="77777777" w:rsidR="00042D80" w:rsidRPr="00042D80" w:rsidRDefault="00042D80" w:rsidP="00042D80">
      <w:pPr>
        <w:pStyle w:val="FootnoteText"/>
        <w:rPr>
          <w:rFonts w:ascii="Calibri" w:hAnsi="Calibri" w:cs="Calibri"/>
          <w:sz w:val="18"/>
          <w:szCs w:val="18"/>
          <w:lang w:val="en-US"/>
        </w:rPr>
      </w:pPr>
      <w:r w:rsidRPr="00042D80">
        <w:rPr>
          <w:rStyle w:val="FootnoteReference"/>
          <w:rFonts w:ascii="Calibri" w:hAnsi="Calibri" w:cs="Calibri"/>
          <w:sz w:val="18"/>
          <w:szCs w:val="18"/>
        </w:rPr>
        <w:footnoteRef/>
      </w:r>
      <w:r w:rsidRPr="00042D80">
        <w:rPr>
          <w:rFonts w:ascii="Calibri" w:hAnsi="Calibri" w:cs="Calibri"/>
          <w:sz w:val="18"/>
          <w:szCs w:val="18"/>
        </w:rPr>
        <w:t xml:space="preserve"> Bennett, O. (2017). </w:t>
      </w:r>
      <w:r w:rsidRPr="00042D80">
        <w:rPr>
          <w:rFonts w:ascii="Calibri" w:hAnsi="Calibri" w:cs="Calibri"/>
          <w:i/>
          <w:iCs/>
          <w:sz w:val="18"/>
          <w:szCs w:val="18"/>
        </w:rPr>
        <w:t>Parliamentary research handbook</w:t>
      </w:r>
      <w:r w:rsidRPr="00042D80">
        <w:rPr>
          <w:rFonts w:ascii="Calibri" w:hAnsi="Calibri" w:cs="Calibri"/>
          <w:sz w:val="18"/>
          <w:szCs w:val="18"/>
        </w:rPr>
        <w:t>. London: Houses of Parliament.</w:t>
      </w:r>
      <w:r>
        <w:rPr>
          <w:rFonts w:ascii="Calibri" w:hAnsi="Calibri" w:cs="Calibri"/>
          <w:sz w:val="18"/>
          <w:szCs w:val="18"/>
        </w:rPr>
        <w:t xml:space="preserve"> </w:t>
      </w:r>
      <w:r w:rsidRPr="00042D80">
        <w:rPr>
          <w:rFonts w:ascii="Calibri" w:hAnsi="Calibri" w:cs="Calibri"/>
          <w:sz w:val="18"/>
          <w:szCs w:val="18"/>
        </w:rPr>
        <w:t>https://www.parliament.uk/globalassets/documents/commons-library/HoC-Library-Parliamentary-Research-Handbook.pdf</w:t>
      </w:r>
      <w:r w:rsidRPr="00042D80" w:rsidDel="00042D80">
        <w:rPr>
          <w:rFonts w:ascii="Calibri" w:hAnsi="Calibri" w:cs="Calibri"/>
          <w:sz w:val="18"/>
          <w:szCs w:val="18"/>
        </w:rPr>
        <w:t xml:space="preserve"> </w:t>
      </w:r>
    </w:p>
  </w:footnote>
  <w:footnote w:id="2">
    <w:p w14:paraId="595410C7" w14:textId="4862C627" w:rsidR="00E970AE" w:rsidRPr="00042D80" w:rsidRDefault="00E970AE">
      <w:pPr>
        <w:pStyle w:val="FootnoteText"/>
        <w:rPr>
          <w:rFonts w:ascii="Calibri" w:hAnsi="Calibri" w:cs="Calibri"/>
          <w:sz w:val="18"/>
          <w:szCs w:val="18"/>
          <w:lang w:val="en-US"/>
        </w:rPr>
      </w:pPr>
      <w:r w:rsidRPr="00042D80">
        <w:rPr>
          <w:rStyle w:val="FootnoteReference"/>
          <w:rFonts w:ascii="Calibri" w:hAnsi="Calibri" w:cs="Calibri"/>
          <w:sz w:val="18"/>
          <w:szCs w:val="18"/>
        </w:rPr>
        <w:footnoteRef/>
      </w:r>
      <w:r w:rsidRPr="00042D80">
        <w:rPr>
          <w:rFonts w:ascii="Calibri" w:hAnsi="Calibri" w:cs="Calibri"/>
          <w:sz w:val="18"/>
          <w:szCs w:val="18"/>
        </w:rPr>
        <w:t xml:space="preserve"> </w:t>
      </w:r>
      <w:r w:rsidR="00042D80" w:rsidRPr="00042D80">
        <w:rPr>
          <w:rFonts w:ascii="Calibri" w:hAnsi="Calibri" w:cs="Calibri"/>
          <w:sz w:val="18"/>
          <w:szCs w:val="18"/>
        </w:rPr>
        <w:t>Kenny, C., Rose, D.C., Hobbs, A, Tyler, C. &amp; Blackstock, J. (2017) The Role of Research in the UK Parliament, Volume One. London: Houses of Parliament.</w:t>
      </w:r>
      <w:r w:rsidR="00042D80">
        <w:rPr>
          <w:rFonts w:ascii="Calibri" w:hAnsi="Calibri" w:cs="Calibri"/>
          <w:sz w:val="18"/>
          <w:szCs w:val="18"/>
        </w:rPr>
        <w:t xml:space="preserve"> </w:t>
      </w:r>
      <w:r w:rsidR="00042D80" w:rsidRPr="00042D80">
        <w:rPr>
          <w:rFonts w:ascii="Calibri" w:hAnsi="Calibri" w:cs="Calibri"/>
          <w:sz w:val="18"/>
          <w:szCs w:val="18"/>
        </w:rPr>
        <w:t>https://www.parliament.uk/globalassets/documents/post/The-Role-of-Research-in-the-UK-Parliament.pdf</w:t>
      </w:r>
    </w:p>
  </w:footnote>
  <w:footnote w:id="3">
    <w:p w14:paraId="7BADD032" w14:textId="1F7432C0" w:rsidR="00E970AE" w:rsidRPr="00042D80" w:rsidRDefault="00E970AE">
      <w:pPr>
        <w:pStyle w:val="FootnoteText"/>
        <w:rPr>
          <w:rFonts w:ascii="Calibri" w:hAnsi="Calibri" w:cs="Calibri"/>
          <w:sz w:val="18"/>
          <w:szCs w:val="18"/>
        </w:rPr>
      </w:pPr>
      <w:r w:rsidRPr="00042D80">
        <w:rPr>
          <w:rStyle w:val="FootnoteReference"/>
          <w:rFonts w:ascii="Calibri" w:hAnsi="Calibri" w:cs="Calibri"/>
          <w:sz w:val="18"/>
          <w:szCs w:val="18"/>
        </w:rPr>
        <w:footnoteRef/>
      </w:r>
      <w:r w:rsidRPr="00042D80">
        <w:rPr>
          <w:rFonts w:ascii="Calibri" w:hAnsi="Calibri" w:cs="Calibri"/>
          <w:sz w:val="18"/>
          <w:szCs w:val="18"/>
        </w:rPr>
        <w:t xml:space="preserve"> </w:t>
      </w:r>
      <w:r w:rsidR="00042D80" w:rsidRPr="00042D80">
        <w:rPr>
          <w:rFonts w:ascii="Calibri" w:hAnsi="Calibri" w:cs="Calibri"/>
          <w:sz w:val="18"/>
          <w:szCs w:val="18"/>
        </w:rPr>
        <w:t xml:space="preserve">Geddes, M. (2020) The webs of belief around ‘evidence’ in legislatures: The case of select committees in the UK House of Commons. </w:t>
      </w:r>
      <w:r w:rsidR="00042D80" w:rsidRPr="00042D80">
        <w:rPr>
          <w:rFonts w:ascii="Calibri" w:hAnsi="Calibri" w:cs="Calibri"/>
          <w:i/>
          <w:iCs/>
          <w:sz w:val="18"/>
          <w:szCs w:val="18"/>
        </w:rPr>
        <w:t>Public Administration</w:t>
      </w:r>
      <w:r w:rsidR="00042D80" w:rsidRPr="00042D80">
        <w:rPr>
          <w:rFonts w:ascii="Calibri" w:hAnsi="Calibri" w:cs="Calibri"/>
          <w:sz w:val="18"/>
          <w:szCs w:val="18"/>
        </w:rPr>
        <w:t>, 9(1): 40-54. https://onlinelibrary.wiley.com/doi/epdf/10.1111/padm.12687</w:t>
      </w:r>
    </w:p>
  </w:footnote>
  <w:footnote w:id="4">
    <w:p w14:paraId="7404FF00" w14:textId="5F3A0EC8" w:rsidR="00E970AE" w:rsidRPr="00042D80" w:rsidRDefault="00E970AE">
      <w:pPr>
        <w:pStyle w:val="FootnoteText"/>
        <w:rPr>
          <w:rFonts w:ascii="Calibri" w:hAnsi="Calibri" w:cs="Calibri"/>
          <w:sz w:val="18"/>
          <w:szCs w:val="18"/>
        </w:rPr>
      </w:pPr>
      <w:r w:rsidRPr="00042D80">
        <w:rPr>
          <w:rStyle w:val="FootnoteReference"/>
          <w:rFonts w:ascii="Calibri" w:hAnsi="Calibri" w:cs="Calibri"/>
          <w:sz w:val="18"/>
          <w:szCs w:val="18"/>
        </w:rPr>
        <w:footnoteRef/>
      </w:r>
      <w:r w:rsidRPr="00042D80">
        <w:rPr>
          <w:rFonts w:ascii="Calibri" w:hAnsi="Calibri" w:cs="Calibri"/>
          <w:sz w:val="18"/>
          <w:szCs w:val="18"/>
        </w:rPr>
        <w:t xml:space="preserve"> </w:t>
      </w:r>
      <w:r w:rsidR="00042D80" w:rsidRPr="00042D80">
        <w:rPr>
          <w:rFonts w:ascii="Calibri" w:hAnsi="Calibri" w:cs="Calibri"/>
          <w:sz w:val="18"/>
          <w:szCs w:val="18"/>
        </w:rPr>
        <w:t>Ward, V., &amp; Monaghan, M. (2024) Bridging the gap between research and parliament: An examination of parliamentary mechanisms for engaging with academic research.</w:t>
      </w:r>
      <w:r w:rsidR="00042D80">
        <w:rPr>
          <w:rFonts w:ascii="Calibri" w:hAnsi="Calibri" w:cs="Calibri"/>
          <w:sz w:val="18"/>
          <w:szCs w:val="18"/>
        </w:rPr>
        <w:t xml:space="preserve"> </w:t>
      </w:r>
      <w:r w:rsidR="00042D80" w:rsidRPr="00042D80">
        <w:rPr>
          <w:rFonts w:ascii="Calibri" w:hAnsi="Calibri" w:cs="Calibri"/>
          <w:sz w:val="18"/>
          <w:szCs w:val="18"/>
        </w:rPr>
        <w:t>Loughborough University. https://hdl.handle.net/2134/26363833.v1</w:t>
      </w:r>
      <w:r w:rsidR="00042D80" w:rsidRPr="00042D80" w:rsidDel="00042D80">
        <w:rPr>
          <w:rFonts w:ascii="Calibri" w:hAnsi="Calibri" w:cs="Calibri"/>
          <w:sz w:val="18"/>
          <w:szCs w:val="18"/>
        </w:rPr>
        <w:t xml:space="preserve"> </w:t>
      </w:r>
      <w:r w:rsidR="00042D80">
        <w:rPr>
          <w:rFonts w:ascii="Calibri" w:hAnsi="Calibri" w:cs="Calibri"/>
          <w:sz w:val="18"/>
          <w:szCs w:val="18"/>
        </w:rPr>
        <w:t xml:space="preserve"> </w:t>
      </w:r>
    </w:p>
  </w:footnote>
  <w:footnote w:id="5">
    <w:p w14:paraId="550E17CC" w14:textId="401BEE13" w:rsidR="00E970AE" w:rsidRPr="00042D80" w:rsidRDefault="00E970AE">
      <w:pPr>
        <w:pStyle w:val="FootnoteText"/>
        <w:rPr>
          <w:rFonts w:ascii="Calibri" w:hAnsi="Calibri" w:cs="Calibri"/>
          <w:sz w:val="18"/>
          <w:szCs w:val="18"/>
          <w:lang w:val="en-US"/>
        </w:rPr>
      </w:pPr>
      <w:r w:rsidRPr="00042D80">
        <w:rPr>
          <w:rStyle w:val="FootnoteReference"/>
          <w:rFonts w:ascii="Calibri" w:hAnsi="Calibri" w:cs="Calibri"/>
          <w:sz w:val="18"/>
          <w:szCs w:val="18"/>
        </w:rPr>
        <w:footnoteRef/>
      </w:r>
      <w:r w:rsidRPr="00042D80">
        <w:rPr>
          <w:rFonts w:ascii="Calibri" w:hAnsi="Calibri" w:cs="Calibri"/>
          <w:sz w:val="18"/>
          <w:szCs w:val="18"/>
        </w:rPr>
        <w:t xml:space="preserve"> </w:t>
      </w:r>
      <w:r w:rsidR="00042D80" w:rsidRPr="00042D80">
        <w:rPr>
          <w:rFonts w:ascii="Calibri" w:hAnsi="Calibri" w:cs="Calibri"/>
          <w:sz w:val="18"/>
          <w:szCs w:val="18"/>
        </w:rPr>
        <w:t xml:space="preserve">Wahl-Jorgensen, K., Berry, M., Garcia-Blanco, I., Bennett, L. &amp; Cable, J. (2017) Rethinking Balance and Impartiality in Journalism? How the BBC Attempted and Failed to Change the Paradigm. </w:t>
      </w:r>
      <w:r w:rsidR="00042D80" w:rsidRPr="00042D80">
        <w:rPr>
          <w:rFonts w:ascii="Calibri" w:hAnsi="Calibri" w:cs="Calibri"/>
          <w:i/>
          <w:iCs/>
          <w:sz w:val="18"/>
          <w:szCs w:val="18"/>
        </w:rPr>
        <w:t>Journalism</w:t>
      </w:r>
      <w:r w:rsidR="00042D80" w:rsidRPr="00042D80">
        <w:rPr>
          <w:rFonts w:ascii="Calibri" w:hAnsi="Calibri" w:cs="Calibri"/>
          <w:sz w:val="18"/>
          <w:szCs w:val="18"/>
        </w:rPr>
        <w:t>, 18(7), 781–800. https://doi.org/10.1177/1464884916648094</w:t>
      </w:r>
    </w:p>
  </w:footnote>
  <w:footnote w:id="6">
    <w:p w14:paraId="4E05BB9E" w14:textId="6C4E8CB1" w:rsidR="00E970AE" w:rsidRPr="00042D80" w:rsidRDefault="00E970AE">
      <w:pPr>
        <w:pStyle w:val="FootnoteText"/>
        <w:rPr>
          <w:rFonts w:ascii="Calibri" w:hAnsi="Calibri" w:cs="Calibri"/>
          <w:sz w:val="18"/>
          <w:szCs w:val="18"/>
          <w:lang w:val="en-US"/>
        </w:rPr>
      </w:pPr>
      <w:r w:rsidRPr="00042D80">
        <w:rPr>
          <w:rStyle w:val="FootnoteReference"/>
          <w:rFonts w:ascii="Calibri" w:hAnsi="Calibri" w:cs="Calibri"/>
          <w:sz w:val="18"/>
          <w:szCs w:val="18"/>
        </w:rPr>
        <w:footnoteRef/>
      </w:r>
      <w:r w:rsidRPr="00042D80">
        <w:rPr>
          <w:rFonts w:ascii="Calibri" w:hAnsi="Calibri" w:cs="Calibri"/>
          <w:sz w:val="18"/>
          <w:szCs w:val="18"/>
        </w:rPr>
        <w:t xml:space="preserve"> </w:t>
      </w:r>
      <w:r w:rsidR="00042D80" w:rsidRPr="00042D80">
        <w:rPr>
          <w:rFonts w:ascii="Calibri" w:hAnsi="Calibri" w:cs="Calibri"/>
          <w:sz w:val="18"/>
          <w:szCs w:val="18"/>
        </w:rPr>
        <w:t>Kenny, C., Rose, D.C., Hobbs, A, Tyler, C. &amp; Blackstock, J. (2017) The Role of Research in the UK Parliament, Volume One. https://www.parliament.uk/globalassets/documents/post/The-Role-of-Research-in-the-UK-Parliament.pdf</w:t>
      </w:r>
    </w:p>
  </w:footnote>
  <w:footnote w:id="7">
    <w:p w14:paraId="42E2873C" w14:textId="74EEFBD8" w:rsidR="00E970AE" w:rsidRPr="00042D80" w:rsidRDefault="00E970AE">
      <w:pPr>
        <w:pStyle w:val="FootnoteText"/>
        <w:rPr>
          <w:rFonts w:ascii="Calibri" w:hAnsi="Calibri" w:cs="Calibri"/>
          <w:sz w:val="18"/>
          <w:szCs w:val="18"/>
          <w:lang w:val="en-US"/>
        </w:rPr>
      </w:pPr>
      <w:r w:rsidRPr="00042D80">
        <w:rPr>
          <w:rStyle w:val="FootnoteReference"/>
          <w:rFonts w:ascii="Calibri" w:hAnsi="Calibri" w:cs="Calibri"/>
          <w:sz w:val="18"/>
          <w:szCs w:val="18"/>
        </w:rPr>
        <w:footnoteRef/>
      </w:r>
      <w:r w:rsidRPr="00042D80">
        <w:rPr>
          <w:rFonts w:ascii="Calibri" w:hAnsi="Calibri" w:cs="Calibri"/>
          <w:sz w:val="18"/>
          <w:szCs w:val="18"/>
        </w:rPr>
        <w:t xml:space="preserve"> </w:t>
      </w:r>
      <w:r w:rsidR="00042D80" w:rsidRPr="00042D80">
        <w:rPr>
          <w:rFonts w:ascii="Calibri" w:hAnsi="Calibri" w:cs="Calibri"/>
          <w:sz w:val="18"/>
          <w:szCs w:val="18"/>
        </w:rPr>
        <w:t xml:space="preserve">Rose, D. C., Kenny, C., Hobbs, A., &amp; Tyler, C. (2020) Improving the use of evidence in legislatures: the case of the UK Parliament. </w:t>
      </w:r>
      <w:r w:rsidR="00042D80" w:rsidRPr="00042D80">
        <w:rPr>
          <w:rFonts w:ascii="Calibri" w:hAnsi="Calibri" w:cs="Calibri"/>
          <w:i/>
          <w:iCs/>
          <w:sz w:val="18"/>
          <w:szCs w:val="18"/>
        </w:rPr>
        <w:t>Evidence &amp; Policy</w:t>
      </w:r>
      <w:r w:rsidR="00042D80" w:rsidRPr="00042D80">
        <w:rPr>
          <w:rFonts w:ascii="Calibri" w:hAnsi="Calibri" w:cs="Calibri"/>
          <w:sz w:val="18"/>
          <w:szCs w:val="18"/>
        </w:rPr>
        <w:t>, 16(4), 619–638. https://doi.org/10.1332/174426420X15828100394351</w:t>
      </w:r>
    </w:p>
  </w:footnote>
  <w:footnote w:id="8">
    <w:p w14:paraId="6D1E25D1" w14:textId="4D8ECE41" w:rsidR="00E970AE" w:rsidRPr="00042D80" w:rsidRDefault="00E970AE">
      <w:pPr>
        <w:pStyle w:val="FootnoteText"/>
        <w:rPr>
          <w:rFonts w:ascii="Calibri" w:hAnsi="Calibri" w:cs="Calibri"/>
          <w:sz w:val="18"/>
          <w:szCs w:val="18"/>
          <w:lang w:val="en-US"/>
        </w:rPr>
      </w:pPr>
      <w:r w:rsidRPr="00042D80">
        <w:rPr>
          <w:rStyle w:val="FootnoteReference"/>
          <w:rFonts w:ascii="Calibri" w:hAnsi="Calibri" w:cs="Calibri"/>
          <w:sz w:val="18"/>
          <w:szCs w:val="18"/>
        </w:rPr>
        <w:footnoteRef/>
      </w:r>
      <w:r w:rsidRPr="00042D80">
        <w:rPr>
          <w:rFonts w:ascii="Calibri" w:hAnsi="Calibri" w:cs="Calibri"/>
          <w:sz w:val="18"/>
          <w:szCs w:val="18"/>
        </w:rPr>
        <w:t xml:space="preserve"> </w:t>
      </w:r>
      <w:r w:rsidR="00042D80" w:rsidRPr="00042D80">
        <w:rPr>
          <w:rFonts w:ascii="Calibri" w:hAnsi="Calibri" w:cs="Calibri"/>
          <w:sz w:val="18"/>
          <w:szCs w:val="18"/>
        </w:rPr>
        <w:t xml:space="preserve">Jágr, D. (2022) Parliamentary research services as expert resource of lawmakers. The Czech way. </w:t>
      </w:r>
      <w:r w:rsidR="00042D80" w:rsidRPr="00042D80">
        <w:rPr>
          <w:rFonts w:ascii="Calibri" w:hAnsi="Calibri" w:cs="Calibri"/>
          <w:i/>
          <w:iCs/>
          <w:sz w:val="18"/>
          <w:szCs w:val="18"/>
        </w:rPr>
        <w:t>Legislative Studies</w:t>
      </w:r>
      <w:r w:rsidR="00042D80" w:rsidRPr="00042D80">
        <w:rPr>
          <w:rFonts w:ascii="Calibri" w:hAnsi="Calibri" w:cs="Calibri"/>
          <w:sz w:val="18"/>
          <w:szCs w:val="18"/>
        </w:rPr>
        <w:t>, 28(1), 93–121. https://doi.org/10.1080/13572334.2020.1831127</w:t>
      </w:r>
    </w:p>
  </w:footnote>
  <w:footnote w:id="9">
    <w:p w14:paraId="7D2804E0" w14:textId="73997EDA" w:rsidR="00E970AE" w:rsidRPr="00042D80" w:rsidRDefault="00E970AE">
      <w:pPr>
        <w:pStyle w:val="FootnoteText"/>
        <w:rPr>
          <w:rFonts w:ascii="Calibri" w:hAnsi="Calibri" w:cs="Calibri"/>
          <w:sz w:val="18"/>
          <w:szCs w:val="18"/>
          <w:lang w:val="en-US"/>
        </w:rPr>
      </w:pPr>
      <w:r w:rsidRPr="00042D80">
        <w:rPr>
          <w:rStyle w:val="FootnoteReference"/>
          <w:rFonts w:ascii="Calibri" w:hAnsi="Calibri" w:cs="Calibri"/>
          <w:sz w:val="18"/>
          <w:szCs w:val="18"/>
        </w:rPr>
        <w:footnoteRef/>
      </w:r>
      <w:r w:rsidRPr="00042D80">
        <w:rPr>
          <w:rFonts w:ascii="Calibri" w:hAnsi="Calibri" w:cs="Calibri"/>
          <w:sz w:val="18"/>
          <w:szCs w:val="18"/>
        </w:rPr>
        <w:t xml:space="preserve"> Syllová, J., &amp; Chlad, L. (2002). Informační podklad Parlamentního institutu č. 1.044: Výzkumná a informační střediska v zahraničních parlamentech. Kancelář Poslanecké sněmovny.</w:t>
      </w:r>
    </w:p>
  </w:footnote>
  <w:footnote w:id="10">
    <w:p w14:paraId="7D9C20AF" w14:textId="6B208AC8" w:rsidR="00E970AE" w:rsidRPr="00E970AE" w:rsidRDefault="00E970AE">
      <w:pPr>
        <w:pStyle w:val="FootnoteText"/>
        <w:rPr>
          <w:lang w:val="en-US"/>
        </w:rPr>
      </w:pPr>
      <w:r w:rsidRPr="00042D80">
        <w:rPr>
          <w:rStyle w:val="FootnoteReference"/>
          <w:rFonts w:ascii="Calibri" w:hAnsi="Calibri" w:cs="Calibri"/>
          <w:sz w:val="18"/>
          <w:szCs w:val="18"/>
        </w:rPr>
        <w:footnoteRef/>
      </w:r>
      <w:r w:rsidRPr="00042D80">
        <w:rPr>
          <w:rFonts w:ascii="Calibri" w:hAnsi="Calibri" w:cs="Calibri"/>
          <w:sz w:val="18"/>
          <w:szCs w:val="18"/>
        </w:rPr>
        <w:t xml:space="preserve"> </w:t>
      </w:r>
      <w:r w:rsidR="00042D80" w:rsidRPr="00042D80">
        <w:rPr>
          <w:rFonts w:ascii="Calibri" w:hAnsi="Calibri" w:cs="Calibri"/>
          <w:sz w:val="18"/>
          <w:szCs w:val="18"/>
        </w:rPr>
        <w:t>Constitution</w:t>
      </w:r>
      <w:r w:rsidR="00042D80">
        <w:rPr>
          <w:rFonts w:ascii="Calibri" w:hAnsi="Calibri" w:cs="Calibri"/>
          <w:sz w:val="18"/>
          <w:szCs w:val="18"/>
        </w:rPr>
        <w:t xml:space="preserve"> Select Committee</w:t>
      </w:r>
      <w:r w:rsidR="00042D80" w:rsidRPr="00042D80">
        <w:rPr>
          <w:rFonts w:ascii="Calibri" w:hAnsi="Calibri" w:cs="Calibri"/>
          <w:sz w:val="18"/>
          <w:szCs w:val="18"/>
        </w:rPr>
        <w:t xml:space="preserve"> (2023) Permanent secretaries: their appointment and removal. https://committees.parliament.uk/publications/41636/documents/206273/default/</w:t>
      </w:r>
    </w:p>
  </w:footnote>
  <w:footnote w:id="11">
    <w:p w14:paraId="281F6690" w14:textId="7D1F9AC4" w:rsidR="00042D80" w:rsidRPr="00042D80" w:rsidRDefault="00042D80" w:rsidP="00042D80">
      <w:pPr>
        <w:pStyle w:val="FootnoteText"/>
        <w:rPr>
          <w:rFonts w:ascii="Calibri" w:hAnsi="Calibri" w:cs="Calibri"/>
          <w:sz w:val="18"/>
          <w:szCs w:val="18"/>
        </w:rPr>
      </w:pPr>
      <w:r>
        <w:rPr>
          <w:rStyle w:val="FootnoteReference"/>
        </w:rPr>
        <w:footnoteRef/>
      </w:r>
      <w:r>
        <w:t xml:space="preserve"> </w:t>
      </w:r>
      <w:r w:rsidRPr="00042D80">
        <w:rPr>
          <w:rFonts w:ascii="Calibri" w:hAnsi="Calibri" w:cs="Calibri"/>
          <w:sz w:val="18"/>
          <w:szCs w:val="18"/>
        </w:rPr>
        <w:t>Communications and Digital Select Committee</w:t>
      </w:r>
      <w:r>
        <w:rPr>
          <w:rFonts w:ascii="Calibri" w:hAnsi="Calibri" w:cs="Calibri"/>
          <w:sz w:val="18"/>
          <w:szCs w:val="18"/>
        </w:rPr>
        <w:t xml:space="preserve"> (2024) </w:t>
      </w:r>
      <w:r w:rsidRPr="00042D80">
        <w:rPr>
          <w:rFonts w:ascii="Calibri" w:hAnsi="Calibri" w:cs="Calibri"/>
          <w:sz w:val="18"/>
          <w:szCs w:val="18"/>
        </w:rPr>
        <w:t>The future of news: impartiality, trust and technology</w:t>
      </w:r>
      <w:r>
        <w:rPr>
          <w:rFonts w:ascii="Calibri" w:hAnsi="Calibri" w:cs="Calibri"/>
          <w:sz w:val="18"/>
          <w:szCs w:val="18"/>
        </w:rPr>
        <w:t xml:space="preserve">. </w:t>
      </w:r>
      <w:r w:rsidRPr="00042D80">
        <w:rPr>
          <w:rFonts w:ascii="Calibri" w:hAnsi="Calibri" w:cs="Calibri"/>
          <w:sz w:val="18"/>
          <w:szCs w:val="18"/>
        </w:rPr>
        <w:t>https://publications.parliament.uk/pa/ld5901/ldselect/ldcomm/39/3902.htm</w:t>
      </w:r>
    </w:p>
    <w:p w14:paraId="35E23D45" w14:textId="57AE7CD3" w:rsidR="00042D80" w:rsidRPr="00042D80" w:rsidRDefault="00042D80">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2"/>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5"/>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6"/>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7"/>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8"/>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4211542"/>
    <w:multiLevelType w:val="multilevel"/>
    <w:tmpl w:val="84D0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055277">
    <w:abstractNumId w:val="0"/>
  </w:num>
  <w:num w:numId="2" w16cid:durableId="433132334">
    <w:abstractNumId w:val="1"/>
  </w:num>
  <w:num w:numId="3" w16cid:durableId="304237544">
    <w:abstractNumId w:val="2"/>
  </w:num>
  <w:num w:numId="4" w16cid:durableId="1061831998">
    <w:abstractNumId w:val="3"/>
  </w:num>
  <w:num w:numId="5" w16cid:durableId="222761721">
    <w:abstractNumId w:val="4"/>
  </w:num>
  <w:num w:numId="6" w16cid:durableId="488406592">
    <w:abstractNumId w:val="5"/>
  </w:num>
  <w:num w:numId="7" w16cid:durableId="866019623">
    <w:abstractNumId w:val="6"/>
  </w:num>
  <w:num w:numId="8" w16cid:durableId="948509644">
    <w:abstractNumId w:val="7"/>
  </w:num>
  <w:num w:numId="9" w16cid:durableId="157578723">
    <w:abstractNumId w:val="8"/>
  </w:num>
  <w:num w:numId="10" w16cid:durableId="1603491432">
    <w:abstractNumId w:val="9"/>
  </w:num>
  <w:num w:numId="11" w16cid:durableId="4077256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AE"/>
    <w:rsid w:val="00042D80"/>
    <w:rsid w:val="001B637F"/>
    <w:rsid w:val="00222ED9"/>
    <w:rsid w:val="0034112C"/>
    <w:rsid w:val="0050410B"/>
    <w:rsid w:val="00BE46B8"/>
    <w:rsid w:val="00E970AE"/>
    <w:rsid w:val="00EF29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92E2A"/>
  <w15:chartTrackingRefBased/>
  <w15:docId w15:val="{34812BC6-6B3D-024D-BCB3-71E38C9E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0AE"/>
    <w:rPr>
      <w:rFonts w:eastAsiaTheme="majorEastAsia" w:cstheme="majorBidi"/>
      <w:color w:val="272727" w:themeColor="text1" w:themeTint="D8"/>
    </w:rPr>
  </w:style>
  <w:style w:type="paragraph" w:styleId="Title">
    <w:name w:val="Title"/>
    <w:basedOn w:val="Normal"/>
    <w:next w:val="Normal"/>
    <w:link w:val="TitleChar"/>
    <w:uiPriority w:val="10"/>
    <w:qFormat/>
    <w:rsid w:val="00E97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0AE"/>
    <w:pPr>
      <w:spacing w:before="160"/>
      <w:jc w:val="center"/>
    </w:pPr>
    <w:rPr>
      <w:i/>
      <w:iCs/>
      <w:color w:val="404040" w:themeColor="text1" w:themeTint="BF"/>
    </w:rPr>
  </w:style>
  <w:style w:type="character" w:customStyle="1" w:styleId="QuoteChar">
    <w:name w:val="Quote Char"/>
    <w:basedOn w:val="DefaultParagraphFont"/>
    <w:link w:val="Quote"/>
    <w:uiPriority w:val="29"/>
    <w:rsid w:val="00E970AE"/>
    <w:rPr>
      <w:i/>
      <w:iCs/>
      <w:color w:val="404040" w:themeColor="text1" w:themeTint="BF"/>
    </w:rPr>
  </w:style>
  <w:style w:type="paragraph" w:styleId="ListParagraph">
    <w:name w:val="List Paragraph"/>
    <w:basedOn w:val="Normal"/>
    <w:uiPriority w:val="34"/>
    <w:qFormat/>
    <w:rsid w:val="00E970AE"/>
    <w:pPr>
      <w:ind w:left="720"/>
      <w:contextualSpacing/>
    </w:pPr>
  </w:style>
  <w:style w:type="character" w:styleId="IntenseEmphasis">
    <w:name w:val="Intense Emphasis"/>
    <w:basedOn w:val="DefaultParagraphFont"/>
    <w:uiPriority w:val="21"/>
    <w:qFormat/>
    <w:rsid w:val="00E970AE"/>
    <w:rPr>
      <w:i/>
      <w:iCs/>
      <w:color w:val="0F4761" w:themeColor="accent1" w:themeShade="BF"/>
    </w:rPr>
  </w:style>
  <w:style w:type="paragraph" w:styleId="IntenseQuote">
    <w:name w:val="Intense Quote"/>
    <w:basedOn w:val="Normal"/>
    <w:next w:val="Normal"/>
    <w:link w:val="IntenseQuoteChar"/>
    <w:uiPriority w:val="30"/>
    <w:qFormat/>
    <w:rsid w:val="00E97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0AE"/>
    <w:rPr>
      <w:i/>
      <w:iCs/>
      <w:color w:val="0F4761" w:themeColor="accent1" w:themeShade="BF"/>
    </w:rPr>
  </w:style>
  <w:style w:type="character" w:styleId="IntenseReference">
    <w:name w:val="Intense Reference"/>
    <w:basedOn w:val="DefaultParagraphFont"/>
    <w:uiPriority w:val="32"/>
    <w:qFormat/>
    <w:rsid w:val="00E970AE"/>
    <w:rPr>
      <w:b/>
      <w:bCs/>
      <w:smallCaps/>
      <w:color w:val="0F4761" w:themeColor="accent1" w:themeShade="BF"/>
      <w:spacing w:val="5"/>
    </w:rPr>
  </w:style>
  <w:style w:type="paragraph" w:styleId="FootnoteText">
    <w:name w:val="footnote text"/>
    <w:basedOn w:val="Normal"/>
    <w:link w:val="FootnoteTextChar"/>
    <w:uiPriority w:val="99"/>
    <w:semiHidden/>
    <w:unhideWhenUsed/>
    <w:rsid w:val="00E970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70AE"/>
    <w:rPr>
      <w:sz w:val="20"/>
      <w:szCs w:val="20"/>
    </w:rPr>
  </w:style>
  <w:style w:type="character" w:styleId="FootnoteReference">
    <w:name w:val="footnote reference"/>
    <w:basedOn w:val="DefaultParagraphFont"/>
    <w:uiPriority w:val="99"/>
    <w:semiHidden/>
    <w:unhideWhenUsed/>
    <w:rsid w:val="00E970AE"/>
    <w:rPr>
      <w:vertAlign w:val="superscript"/>
    </w:rPr>
  </w:style>
  <w:style w:type="paragraph" w:styleId="Revision">
    <w:name w:val="Revision"/>
    <w:hidden/>
    <w:uiPriority w:val="99"/>
    <w:semiHidden/>
    <w:rsid w:val="001B637F"/>
    <w:pPr>
      <w:spacing w:after="0" w:line="240" w:lineRule="auto"/>
    </w:pPr>
  </w:style>
  <w:style w:type="character" w:styleId="CommentReference">
    <w:name w:val="annotation reference"/>
    <w:basedOn w:val="DefaultParagraphFont"/>
    <w:uiPriority w:val="99"/>
    <w:semiHidden/>
    <w:unhideWhenUsed/>
    <w:rsid w:val="001B637F"/>
    <w:rPr>
      <w:sz w:val="16"/>
      <w:szCs w:val="16"/>
    </w:rPr>
  </w:style>
  <w:style w:type="paragraph" w:styleId="CommentText">
    <w:name w:val="annotation text"/>
    <w:basedOn w:val="Normal"/>
    <w:link w:val="CommentTextChar"/>
    <w:uiPriority w:val="99"/>
    <w:semiHidden/>
    <w:unhideWhenUsed/>
    <w:rsid w:val="001B637F"/>
    <w:pPr>
      <w:spacing w:line="240" w:lineRule="auto"/>
    </w:pPr>
    <w:rPr>
      <w:sz w:val="20"/>
      <w:szCs w:val="20"/>
    </w:rPr>
  </w:style>
  <w:style w:type="character" w:customStyle="1" w:styleId="CommentTextChar">
    <w:name w:val="Comment Text Char"/>
    <w:basedOn w:val="DefaultParagraphFont"/>
    <w:link w:val="CommentText"/>
    <w:uiPriority w:val="99"/>
    <w:semiHidden/>
    <w:rsid w:val="001B637F"/>
    <w:rPr>
      <w:sz w:val="20"/>
      <w:szCs w:val="20"/>
    </w:rPr>
  </w:style>
  <w:style w:type="paragraph" w:styleId="CommentSubject">
    <w:name w:val="annotation subject"/>
    <w:basedOn w:val="CommentText"/>
    <w:next w:val="CommentText"/>
    <w:link w:val="CommentSubjectChar"/>
    <w:uiPriority w:val="99"/>
    <w:semiHidden/>
    <w:unhideWhenUsed/>
    <w:rsid w:val="001B637F"/>
    <w:rPr>
      <w:b/>
      <w:bCs/>
    </w:rPr>
  </w:style>
  <w:style w:type="character" w:customStyle="1" w:styleId="CommentSubjectChar">
    <w:name w:val="Comment Subject Char"/>
    <w:basedOn w:val="CommentTextChar"/>
    <w:link w:val="CommentSubject"/>
    <w:uiPriority w:val="99"/>
    <w:semiHidden/>
    <w:rsid w:val="001B637F"/>
    <w:rPr>
      <w:b/>
      <w:bCs/>
      <w:sz w:val="20"/>
      <w:szCs w:val="20"/>
    </w:rPr>
  </w:style>
  <w:style w:type="character" w:styleId="Hyperlink">
    <w:name w:val="Hyperlink"/>
    <w:basedOn w:val="DefaultParagraphFont"/>
    <w:uiPriority w:val="99"/>
    <w:unhideWhenUsed/>
    <w:rsid w:val="00042D80"/>
    <w:rPr>
      <w:color w:val="467886" w:themeColor="hyperlink"/>
      <w:u w:val="single"/>
    </w:rPr>
  </w:style>
  <w:style w:type="character" w:styleId="UnresolvedMention">
    <w:name w:val="Unresolved Mention"/>
    <w:basedOn w:val="DefaultParagraphFont"/>
    <w:uiPriority w:val="99"/>
    <w:semiHidden/>
    <w:unhideWhenUsed/>
    <w:rsid w:val="00042D80"/>
    <w:rPr>
      <w:color w:val="605E5C"/>
      <w:shd w:val="clear" w:color="auto" w:fill="E1DFDD"/>
    </w:rPr>
  </w:style>
  <w:style w:type="character" w:styleId="FollowedHyperlink">
    <w:name w:val="FollowedHyperlink"/>
    <w:basedOn w:val="DefaultParagraphFont"/>
    <w:uiPriority w:val="99"/>
    <w:semiHidden/>
    <w:unhideWhenUsed/>
    <w:rsid w:val="00042D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30276">
      <w:bodyDiv w:val="1"/>
      <w:marLeft w:val="0"/>
      <w:marRight w:val="0"/>
      <w:marTop w:val="0"/>
      <w:marBottom w:val="0"/>
      <w:divBdr>
        <w:top w:val="none" w:sz="0" w:space="0" w:color="auto"/>
        <w:left w:val="none" w:sz="0" w:space="0" w:color="auto"/>
        <w:bottom w:val="none" w:sz="0" w:space="0" w:color="auto"/>
        <w:right w:val="none" w:sz="0" w:space="0" w:color="auto"/>
      </w:divBdr>
    </w:div>
    <w:div w:id="568464632">
      <w:bodyDiv w:val="1"/>
      <w:marLeft w:val="0"/>
      <w:marRight w:val="0"/>
      <w:marTop w:val="0"/>
      <w:marBottom w:val="0"/>
      <w:divBdr>
        <w:top w:val="none" w:sz="0" w:space="0" w:color="auto"/>
        <w:left w:val="none" w:sz="0" w:space="0" w:color="auto"/>
        <w:bottom w:val="none" w:sz="0" w:space="0" w:color="auto"/>
        <w:right w:val="none" w:sz="0" w:space="0" w:color="auto"/>
      </w:divBdr>
      <w:divsChild>
        <w:div w:id="1352881062">
          <w:marLeft w:val="0"/>
          <w:marRight w:val="0"/>
          <w:marTop w:val="0"/>
          <w:marBottom w:val="0"/>
          <w:divBdr>
            <w:top w:val="none" w:sz="0" w:space="0" w:color="auto"/>
            <w:left w:val="none" w:sz="0" w:space="0" w:color="auto"/>
            <w:bottom w:val="none" w:sz="0" w:space="0" w:color="auto"/>
            <w:right w:val="none" w:sz="0" w:space="0" w:color="auto"/>
          </w:divBdr>
        </w:div>
      </w:divsChild>
    </w:div>
    <w:div w:id="700402712">
      <w:bodyDiv w:val="1"/>
      <w:marLeft w:val="0"/>
      <w:marRight w:val="0"/>
      <w:marTop w:val="0"/>
      <w:marBottom w:val="0"/>
      <w:divBdr>
        <w:top w:val="none" w:sz="0" w:space="0" w:color="auto"/>
        <w:left w:val="none" w:sz="0" w:space="0" w:color="auto"/>
        <w:bottom w:val="none" w:sz="0" w:space="0" w:color="auto"/>
        <w:right w:val="none" w:sz="0" w:space="0" w:color="auto"/>
      </w:divBdr>
      <w:divsChild>
        <w:div w:id="1829057164">
          <w:marLeft w:val="0"/>
          <w:marRight w:val="0"/>
          <w:marTop w:val="0"/>
          <w:marBottom w:val="0"/>
          <w:divBdr>
            <w:top w:val="none" w:sz="0" w:space="0" w:color="auto"/>
            <w:left w:val="none" w:sz="0" w:space="0" w:color="auto"/>
            <w:bottom w:val="none" w:sz="0" w:space="0" w:color="auto"/>
            <w:right w:val="none" w:sz="0" w:space="0" w:color="auto"/>
          </w:divBdr>
        </w:div>
      </w:divsChild>
    </w:div>
    <w:div w:id="799498846">
      <w:bodyDiv w:val="1"/>
      <w:marLeft w:val="0"/>
      <w:marRight w:val="0"/>
      <w:marTop w:val="0"/>
      <w:marBottom w:val="0"/>
      <w:divBdr>
        <w:top w:val="none" w:sz="0" w:space="0" w:color="auto"/>
        <w:left w:val="none" w:sz="0" w:space="0" w:color="auto"/>
        <w:bottom w:val="none" w:sz="0" w:space="0" w:color="auto"/>
        <w:right w:val="none" w:sz="0" w:space="0" w:color="auto"/>
      </w:divBdr>
      <w:divsChild>
        <w:div w:id="1381006663">
          <w:marLeft w:val="0"/>
          <w:marRight w:val="0"/>
          <w:marTop w:val="0"/>
          <w:marBottom w:val="0"/>
          <w:divBdr>
            <w:top w:val="none" w:sz="0" w:space="0" w:color="auto"/>
            <w:left w:val="none" w:sz="0" w:space="0" w:color="auto"/>
            <w:bottom w:val="none" w:sz="0" w:space="0" w:color="auto"/>
            <w:right w:val="none" w:sz="0" w:space="0" w:color="auto"/>
          </w:divBdr>
        </w:div>
      </w:divsChild>
    </w:div>
    <w:div w:id="1067267068">
      <w:bodyDiv w:val="1"/>
      <w:marLeft w:val="0"/>
      <w:marRight w:val="0"/>
      <w:marTop w:val="0"/>
      <w:marBottom w:val="0"/>
      <w:divBdr>
        <w:top w:val="none" w:sz="0" w:space="0" w:color="auto"/>
        <w:left w:val="none" w:sz="0" w:space="0" w:color="auto"/>
        <w:bottom w:val="none" w:sz="0" w:space="0" w:color="auto"/>
        <w:right w:val="none" w:sz="0" w:space="0" w:color="auto"/>
      </w:divBdr>
      <w:divsChild>
        <w:div w:id="1277173056">
          <w:marLeft w:val="0"/>
          <w:marRight w:val="0"/>
          <w:marTop w:val="0"/>
          <w:marBottom w:val="0"/>
          <w:divBdr>
            <w:top w:val="none" w:sz="0" w:space="0" w:color="auto"/>
            <w:left w:val="none" w:sz="0" w:space="0" w:color="auto"/>
            <w:bottom w:val="none" w:sz="0" w:space="0" w:color="auto"/>
            <w:right w:val="none" w:sz="0" w:space="0" w:color="auto"/>
          </w:divBdr>
        </w:div>
      </w:divsChild>
    </w:div>
    <w:div w:id="1220554022">
      <w:bodyDiv w:val="1"/>
      <w:marLeft w:val="0"/>
      <w:marRight w:val="0"/>
      <w:marTop w:val="0"/>
      <w:marBottom w:val="0"/>
      <w:divBdr>
        <w:top w:val="none" w:sz="0" w:space="0" w:color="auto"/>
        <w:left w:val="none" w:sz="0" w:space="0" w:color="auto"/>
        <w:bottom w:val="none" w:sz="0" w:space="0" w:color="auto"/>
        <w:right w:val="none" w:sz="0" w:space="0" w:color="auto"/>
      </w:divBdr>
    </w:div>
    <w:div w:id="1618635398">
      <w:bodyDiv w:val="1"/>
      <w:marLeft w:val="0"/>
      <w:marRight w:val="0"/>
      <w:marTop w:val="0"/>
      <w:marBottom w:val="0"/>
      <w:divBdr>
        <w:top w:val="none" w:sz="0" w:space="0" w:color="auto"/>
        <w:left w:val="none" w:sz="0" w:space="0" w:color="auto"/>
        <w:bottom w:val="none" w:sz="0" w:space="0" w:color="auto"/>
        <w:right w:val="none" w:sz="0" w:space="0" w:color="auto"/>
      </w:divBdr>
      <w:divsChild>
        <w:div w:id="946350502">
          <w:marLeft w:val="0"/>
          <w:marRight w:val="0"/>
          <w:marTop w:val="0"/>
          <w:marBottom w:val="0"/>
          <w:divBdr>
            <w:top w:val="none" w:sz="0" w:space="0" w:color="auto"/>
            <w:left w:val="none" w:sz="0" w:space="0" w:color="auto"/>
            <w:bottom w:val="none" w:sz="0" w:space="0" w:color="auto"/>
            <w:right w:val="none" w:sz="0" w:space="0" w:color="auto"/>
          </w:divBdr>
        </w:div>
      </w:divsChild>
    </w:div>
    <w:div w:id="1697460319">
      <w:bodyDiv w:val="1"/>
      <w:marLeft w:val="0"/>
      <w:marRight w:val="0"/>
      <w:marTop w:val="0"/>
      <w:marBottom w:val="0"/>
      <w:divBdr>
        <w:top w:val="none" w:sz="0" w:space="0" w:color="auto"/>
        <w:left w:val="none" w:sz="0" w:space="0" w:color="auto"/>
        <w:bottom w:val="none" w:sz="0" w:space="0" w:color="auto"/>
        <w:right w:val="none" w:sz="0" w:space="0" w:color="auto"/>
      </w:divBdr>
    </w:div>
    <w:div w:id="2093812845">
      <w:bodyDiv w:val="1"/>
      <w:marLeft w:val="0"/>
      <w:marRight w:val="0"/>
      <w:marTop w:val="0"/>
      <w:marBottom w:val="0"/>
      <w:divBdr>
        <w:top w:val="none" w:sz="0" w:space="0" w:color="auto"/>
        <w:left w:val="none" w:sz="0" w:space="0" w:color="auto"/>
        <w:bottom w:val="none" w:sz="0" w:space="0" w:color="auto"/>
        <w:right w:val="none" w:sz="0" w:space="0" w:color="auto"/>
      </w:divBdr>
      <w:divsChild>
        <w:div w:id="1321229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8ACC2-0690-1C43-87CA-96772874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4</Pages>
  <Words>1161</Words>
  <Characters>7168</Characters>
  <Application>Microsoft Office Word</Application>
  <DocSecurity>0</DocSecurity>
  <Lines>106</Lines>
  <Paragraphs>29</Paragraphs>
  <ScaleCrop>false</ScaleCrop>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Xinmei Sun</dc:creator>
  <cp:keywords/>
  <dc:description/>
  <cp:lastModifiedBy>Xinmei Sun</cp:lastModifiedBy>
  <cp:revision>4</cp:revision>
  <dcterms:created xsi:type="dcterms:W3CDTF">2024-12-12T12:00:00Z</dcterms:created>
  <dcterms:modified xsi:type="dcterms:W3CDTF">2024-12-16T04:05:00Z</dcterms:modified>
</cp:coreProperties>
</file>