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6E214" w14:textId="77777777" w:rsidR="001B45BE" w:rsidRPr="001B45BE" w:rsidRDefault="001B45BE" w:rsidP="001B45BE">
      <w:pPr>
        <w:spacing w:line="480" w:lineRule="auto"/>
        <w:ind w:firstLine="0"/>
        <w:jc w:val="center"/>
        <w:rPr>
          <w:b/>
          <w:color w:val="000000"/>
        </w:rPr>
      </w:pPr>
      <w:r w:rsidRPr="001B45BE">
        <w:rPr>
          <w:b/>
          <w:color w:val="000000"/>
        </w:rPr>
        <w:t>A Unified Approach to Demographic Data Collection for Research with Young Children Across Diverse Cultures</w:t>
      </w:r>
    </w:p>
    <w:p w14:paraId="4E4BEDC9" w14:textId="77777777" w:rsidR="001B45BE" w:rsidRPr="001B45BE" w:rsidRDefault="001B45BE" w:rsidP="001B45BE">
      <w:pPr>
        <w:spacing w:line="276" w:lineRule="auto"/>
        <w:ind w:firstLine="0"/>
        <w:rPr>
          <w:color w:val="000000"/>
        </w:rPr>
      </w:pPr>
    </w:p>
    <w:p w14:paraId="51EE0DA9" w14:textId="77777777" w:rsidR="001B45BE" w:rsidRPr="001B45BE" w:rsidRDefault="001B45BE" w:rsidP="001B45BE">
      <w:pPr>
        <w:pBdr>
          <w:top w:val="nil"/>
          <w:left w:val="nil"/>
          <w:bottom w:val="nil"/>
          <w:right w:val="nil"/>
          <w:between w:val="nil"/>
        </w:pBdr>
        <w:spacing w:before="180" w:after="180" w:line="240" w:lineRule="auto"/>
        <w:ind w:firstLine="0"/>
        <w:jc w:val="center"/>
        <w:rPr>
          <w:color w:val="000000"/>
        </w:rPr>
      </w:pPr>
      <w:proofErr w:type="spellStart"/>
      <w:r w:rsidRPr="001B45BE">
        <w:rPr>
          <w:color w:val="000000"/>
        </w:rPr>
        <w:t>Leher</w:t>
      </w:r>
      <w:proofErr w:type="spellEnd"/>
      <w:r w:rsidRPr="001B45BE">
        <w:rPr>
          <w:color w:val="000000"/>
        </w:rPr>
        <w:t xml:space="preserve"> Singh</w:t>
      </w:r>
      <w:r w:rsidRPr="001B45BE">
        <w:rPr>
          <w:color w:val="000000"/>
          <w:vertAlign w:val="superscript"/>
        </w:rPr>
        <w:t>1†</w:t>
      </w:r>
    </w:p>
    <w:p w14:paraId="348EFDD6" w14:textId="77777777" w:rsidR="001B45BE" w:rsidRPr="001B45BE" w:rsidRDefault="001B45BE" w:rsidP="001B45BE">
      <w:pPr>
        <w:pBdr>
          <w:top w:val="nil"/>
          <w:left w:val="nil"/>
          <w:bottom w:val="nil"/>
          <w:right w:val="nil"/>
          <w:between w:val="nil"/>
        </w:pBdr>
        <w:spacing w:before="180" w:after="180" w:line="240" w:lineRule="auto"/>
        <w:ind w:firstLine="0"/>
        <w:jc w:val="center"/>
        <w:rPr>
          <w:color w:val="000000"/>
        </w:rPr>
      </w:pPr>
      <w:r w:rsidRPr="001B45BE">
        <w:rPr>
          <w:color w:val="000000"/>
        </w:rPr>
        <w:t>Mihaela D. Barokova</w:t>
      </w:r>
      <w:r w:rsidRPr="001B45BE">
        <w:rPr>
          <w:color w:val="000000"/>
          <w:vertAlign w:val="superscript"/>
        </w:rPr>
        <w:t>2</w:t>
      </w:r>
    </w:p>
    <w:p w14:paraId="6CACD4BB" w14:textId="77777777" w:rsidR="001B45BE" w:rsidRPr="001B45BE" w:rsidRDefault="001B45BE" w:rsidP="001B45BE">
      <w:pPr>
        <w:pBdr>
          <w:top w:val="nil"/>
          <w:left w:val="nil"/>
          <w:bottom w:val="nil"/>
          <w:right w:val="nil"/>
          <w:between w:val="nil"/>
        </w:pBdr>
        <w:spacing w:before="180" w:after="180" w:line="240" w:lineRule="auto"/>
        <w:ind w:firstLine="0"/>
        <w:jc w:val="center"/>
        <w:rPr>
          <w:color w:val="000000"/>
        </w:rPr>
      </w:pPr>
      <w:r w:rsidRPr="001B45BE">
        <w:rPr>
          <w:color w:val="000000"/>
        </w:rPr>
        <w:t>Heidi A. Baumgartner</w:t>
      </w:r>
      <w:r w:rsidRPr="001B45BE">
        <w:rPr>
          <w:color w:val="000000"/>
          <w:vertAlign w:val="superscript"/>
        </w:rPr>
        <w:t>3</w:t>
      </w:r>
    </w:p>
    <w:p w14:paraId="3D69E98B" w14:textId="77777777" w:rsidR="001B45BE" w:rsidRPr="001B45BE" w:rsidRDefault="001B45BE" w:rsidP="001B45BE">
      <w:pPr>
        <w:pBdr>
          <w:top w:val="nil"/>
          <w:left w:val="nil"/>
          <w:bottom w:val="nil"/>
          <w:right w:val="nil"/>
          <w:between w:val="nil"/>
        </w:pBdr>
        <w:spacing w:before="180" w:after="180" w:line="240" w:lineRule="auto"/>
        <w:ind w:firstLine="0"/>
        <w:jc w:val="center"/>
        <w:rPr>
          <w:color w:val="000000"/>
        </w:rPr>
      </w:pPr>
      <w:r w:rsidRPr="001B45BE">
        <w:rPr>
          <w:color w:val="000000"/>
        </w:rPr>
        <w:t>Diana C. Lopera-Perez</w:t>
      </w:r>
      <w:r w:rsidRPr="001B45BE">
        <w:rPr>
          <w:color w:val="000000"/>
          <w:vertAlign w:val="superscript"/>
        </w:rPr>
        <w:t>4</w:t>
      </w:r>
    </w:p>
    <w:p w14:paraId="23314AA5" w14:textId="77777777" w:rsidR="001B45BE" w:rsidRPr="001B45BE" w:rsidRDefault="001B45BE" w:rsidP="001B45BE">
      <w:pPr>
        <w:pBdr>
          <w:top w:val="nil"/>
          <w:left w:val="nil"/>
          <w:bottom w:val="nil"/>
          <w:right w:val="nil"/>
          <w:between w:val="nil"/>
        </w:pBdr>
        <w:spacing w:before="180" w:after="180" w:line="240" w:lineRule="auto"/>
        <w:ind w:firstLine="0"/>
        <w:jc w:val="center"/>
        <w:rPr>
          <w:color w:val="000000"/>
        </w:rPr>
      </w:pPr>
      <w:r w:rsidRPr="001B45BE">
        <w:rPr>
          <w:color w:val="000000"/>
        </w:rPr>
        <w:t>Paul Okyere Omane</w:t>
      </w:r>
      <w:r w:rsidRPr="001B45BE">
        <w:rPr>
          <w:color w:val="000000"/>
          <w:vertAlign w:val="superscript"/>
        </w:rPr>
        <w:t>5</w:t>
      </w:r>
    </w:p>
    <w:p w14:paraId="35096AEB" w14:textId="77777777" w:rsidR="001B45BE" w:rsidRPr="001B45BE" w:rsidRDefault="001B45BE" w:rsidP="001B45BE">
      <w:pPr>
        <w:pBdr>
          <w:top w:val="nil"/>
          <w:left w:val="nil"/>
          <w:bottom w:val="nil"/>
          <w:right w:val="nil"/>
          <w:between w:val="nil"/>
        </w:pBdr>
        <w:spacing w:before="180" w:after="180" w:line="240" w:lineRule="auto"/>
        <w:ind w:firstLine="0"/>
        <w:jc w:val="center"/>
        <w:rPr>
          <w:color w:val="000000"/>
        </w:rPr>
      </w:pPr>
      <w:r w:rsidRPr="001B45BE">
        <w:rPr>
          <w:color w:val="000000"/>
        </w:rPr>
        <w:t>Mark Sheskin</w:t>
      </w:r>
      <w:r w:rsidRPr="001B45BE">
        <w:rPr>
          <w:color w:val="000000"/>
          <w:vertAlign w:val="superscript"/>
        </w:rPr>
        <w:t xml:space="preserve">6 </w:t>
      </w:r>
    </w:p>
    <w:p w14:paraId="45577E15" w14:textId="77777777" w:rsidR="001B45BE" w:rsidRPr="001B45BE" w:rsidRDefault="001B45BE" w:rsidP="001B45BE">
      <w:pPr>
        <w:pBdr>
          <w:top w:val="nil"/>
          <w:left w:val="nil"/>
          <w:bottom w:val="nil"/>
          <w:right w:val="nil"/>
          <w:between w:val="nil"/>
        </w:pBdr>
        <w:spacing w:before="180" w:after="180" w:line="240" w:lineRule="auto"/>
        <w:ind w:firstLine="0"/>
        <w:jc w:val="center"/>
        <w:rPr>
          <w:color w:val="000000"/>
        </w:rPr>
      </w:pPr>
      <w:r w:rsidRPr="001B45BE">
        <w:rPr>
          <w:color w:val="000000"/>
        </w:rPr>
        <w:t>Francis L. Yuen</w:t>
      </w:r>
      <w:r w:rsidRPr="001B45BE">
        <w:t xml:space="preserve">.    </w:t>
      </w:r>
      <w:r w:rsidRPr="001B45BE">
        <w:rPr>
          <w:color w:val="000000"/>
          <w:vertAlign w:val="superscript"/>
        </w:rPr>
        <w:t>7</w:t>
      </w:r>
    </w:p>
    <w:p w14:paraId="488CB4C2" w14:textId="77777777" w:rsidR="001B45BE" w:rsidRPr="001B45BE" w:rsidRDefault="001B45BE" w:rsidP="001B45BE">
      <w:pPr>
        <w:pBdr>
          <w:top w:val="nil"/>
          <w:left w:val="nil"/>
          <w:bottom w:val="nil"/>
          <w:right w:val="nil"/>
          <w:between w:val="nil"/>
        </w:pBdr>
        <w:spacing w:before="180" w:after="180" w:line="240" w:lineRule="auto"/>
        <w:ind w:firstLine="0"/>
        <w:jc w:val="center"/>
        <w:rPr>
          <w:color w:val="000000"/>
        </w:rPr>
      </w:pPr>
      <w:r w:rsidRPr="001B45BE">
        <w:rPr>
          <w:color w:val="000000"/>
        </w:rPr>
        <w:t>Yang Wu</w:t>
      </w:r>
      <w:r w:rsidRPr="001B45BE">
        <w:rPr>
          <w:color w:val="000000"/>
          <w:vertAlign w:val="superscript"/>
        </w:rPr>
        <w:t>8</w:t>
      </w:r>
    </w:p>
    <w:p w14:paraId="58FF5B1B" w14:textId="77777777" w:rsidR="001B45BE" w:rsidRPr="001B45BE" w:rsidRDefault="001B45BE" w:rsidP="001B45BE">
      <w:pPr>
        <w:pBdr>
          <w:top w:val="nil"/>
          <w:left w:val="nil"/>
          <w:bottom w:val="nil"/>
          <w:right w:val="nil"/>
          <w:between w:val="nil"/>
        </w:pBdr>
        <w:spacing w:before="180" w:after="180" w:line="240" w:lineRule="auto"/>
        <w:ind w:firstLine="0"/>
        <w:jc w:val="center"/>
        <w:rPr>
          <w:color w:val="000000"/>
        </w:rPr>
      </w:pPr>
      <w:r w:rsidRPr="001B45BE">
        <w:rPr>
          <w:color w:val="000000"/>
        </w:rPr>
        <w:t>Katherine J. Alcock</w:t>
      </w:r>
      <w:r w:rsidRPr="001B45BE">
        <w:rPr>
          <w:color w:val="000000"/>
          <w:vertAlign w:val="superscript"/>
        </w:rPr>
        <w:t>9</w:t>
      </w:r>
    </w:p>
    <w:p w14:paraId="5756F279" w14:textId="77777777" w:rsidR="001B45BE" w:rsidRPr="001B45BE" w:rsidRDefault="001B45BE" w:rsidP="001B45BE">
      <w:pPr>
        <w:pBdr>
          <w:top w:val="nil"/>
          <w:left w:val="nil"/>
          <w:bottom w:val="nil"/>
          <w:right w:val="nil"/>
          <w:between w:val="nil"/>
        </w:pBdr>
        <w:spacing w:before="180" w:after="180" w:line="240" w:lineRule="auto"/>
        <w:ind w:firstLine="0"/>
        <w:jc w:val="center"/>
        <w:rPr>
          <w:color w:val="000000"/>
        </w:rPr>
      </w:pPr>
      <w:r w:rsidRPr="001B45BE">
        <w:rPr>
          <w:color w:val="000000"/>
        </w:rPr>
        <w:t>Elena C. Altmann</w:t>
      </w:r>
      <w:r w:rsidRPr="001B45BE">
        <w:rPr>
          <w:color w:val="000000"/>
          <w:vertAlign w:val="superscript"/>
        </w:rPr>
        <w:t>9</w:t>
      </w:r>
    </w:p>
    <w:p w14:paraId="3DA0F9BA" w14:textId="77777777" w:rsidR="001B45BE" w:rsidRPr="001B45BE" w:rsidRDefault="001B45BE" w:rsidP="001B45BE">
      <w:pPr>
        <w:pBdr>
          <w:top w:val="nil"/>
          <w:left w:val="nil"/>
          <w:bottom w:val="nil"/>
          <w:right w:val="nil"/>
          <w:between w:val="nil"/>
        </w:pBdr>
        <w:spacing w:before="180" w:after="180" w:line="240" w:lineRule="auto"/>
        <w:ind w:firstLine="0"/>
        <w:jc w:val="center"/>
        <w:rPr>
          <w:color w:val="000000"/>
        </w:rPr>
      </w:pPr>
      <w:r w:rsidRPr="001B45BE">
        <w:rPr>
          <w:color w:val="000000"/>
        </w:rPr>
        <w:t>Marina Bazhydai</w:t>
      </w:r>
      <w:r w:rsidRPr="001B45BE">
        <w:rPr>
          <w:color w:val="000000"/>
          <w:vertAlign w:val="superscript"/>
        </w:rPr>
        <w:t>9</w:t>
      </w:r>
    </w:p>
    <w:p w14:paraId="63993261" w14:textId="77777777" w:rsidR="001B45BE" w:rsidRPr="001B45BE" w:rsidRDefault="001B45BE" w:rsidP="001B45BE">
      <w:pPr>
        <w:pBdr>
          <w:top w:val="nil"/>
          <w:left w:val="nil"/>
          <w:bottom w:val="nil"/>
          <w:right w:val="nil"/>
          <w:between w:val="nil"/>
        </w:pBdr>
        <w:spacing w:before="180" w:after="180" w:line="240" w:lineRule="auto"/>
        <w:ind w:firstLine="0"/>
        <w:jc w:val="center"/>
        <w:rPr>
          <w:color w:val="000000"/>
        </w:rPr>
      </w:pPr>
      <w:r w:rsidRPr="001B45BE">
        <w:rPr>
          <w:color w:val="000000"/>
        </w:rPr>
        <w:t>Alexandra Carstensen</w:t>
      </w:r>
      <w:r w:rsidRPr="001B45BE">
        <w:rPr>
          <w:color w:val="000000"/>
          <w:vertAlign w:val="superscript"/>
        </w:rPr>
        <w:t>10</w:t>
      </w:r>
    </w:p>
    <w:p w14:paraId="072E9CF7" w14:textId="77777777" w:rsidR="001B45BE" w:rsidRPr="001B45BE" w:rsidRDefault="001B45BE" w:rsidP="001B45BE">
      <w:pPr>
        <w:pBdr>
          <w:top w:val="nil"/>
          <w:left w:val="nil"/>
          <w:bottom w:val="nil"/>
          <w:right w:val="nil"/>
          <w:between w:val="nil"/>
        </w:pBdr>
        <w:spacing w:line="240" w:lineRule="auto"/>
        <w:ind w:firstLine="0"/>
        <w:jc w:val="center"/>
        <w:rPr>
          <w:color w:val="000000"/>
          <w:vertAlign w:val="superscript"/>
        </w:rPr>
      </w:pPr>
      <w:r w:rsidRPr="001B45BE">
        <w:rPr>
          <w:color w:val="000000"/>
        </w:rPr>
        <w:t>Kin Chung Jacky Chan</w:t>
      </w:r>
      <w:r w:rsidRPr="001B45BE">
        <w:rPr>
          <w:color w:val="000000"/>
          <w:vertAlign w:val="superscript"/>
        </w:rPr>
        <w:t>11</w:t>
      </w:r>
    </w:p>
    <w:p w14:paraId="22486E86" w14:textId="77777777" w:rsidR="001B45BE" w:rsidRPr="001B45BE" w:rsidRDefault="001B45BE" w:rsidP="001B45BE">
      <w:pPr>
        <w:pBdr>
          <w:top w:val="nil"/>
          <w:left w:val="nil"/>
          <w:bottom w:val="nil"/>
          <w:right w:val="nil"/>
          <w:between w:val="nil"/>
        </w:pBdr>
        <w:spacing w:before="180" w:after="180" w:line="240" w:lineRule="auto"/>
        <w:ind w:firstLine="0"/>
        <w:jc w:val="center"/>
        <w:rPr>
          <w:color w:val="000000"/>
        </w:rPr>
      </w:pPr>
      <w:r w:rsidRPr="001B45BE">
        <w:rPr>
          <w:color w:val="000000"/>
        </w:rPr>
        <w:t>Hu Chuan-Peng</w:t>
      </w:r>
      <w:r w:rsidRPr="001B45BE">
        <w:rPr>
          <w:color w:val="000000"/>
          <w:vertAlign w:val="superscript"/>
        </w:rPr>
        <w:t>12</w:t>
      </w:r>
    </w:p>
    <w:p w14:paraId="4FC4C666" w14:textId="77777777" w:rsidR="001B45BE" w:rsidRPr="001B45BE" w:rsidRDefault="001B45BE" w:rsidP="001B45BE">
      <w:pPr>
        <w:pBdr>
          <w:top w:val="nil"/>
          <w:left w:val="nil"/>
          <w:bottom w:val="nil"/>
          <w:right w:val="nil"/>
          <w:between w:val="nil"/>
        </w:pBdr>
        <w:spacing w:before="180" w:after="180" w:line="240" w:lineRule="auto"/>
        <w:ind w:firstLine="0"/>
        <w:jc w:val="center"/>
        <w:rPr>
          <w:color w:val="000000"/>
        </w:rPr>
      </w:pPr>
      <w:r w:rsidRPr="001B45BE">
        <w:rPr>
          <w:color w:val="000000"/>
        </w:rPr>
        <w:t>Rodrigo Dal Ben</w:t>
      </w:r>
      <w:r w:rsidRPr="001B45BE">
        <w:rPr>
          <w:color w:val="000000"/>
          <w:vertAlign w:val="superscript"/>
        </w:rPr>
        <w:t>13</w:t>
      </w:r>
    </w:p>
    <w:p w14:paraId="4AFC07FA" w14:textId="77777777" w:rsidR="001B45BE" w:rsidRPr="001B45BE" w:rsidRDefault="001B45BE" w:rsidP="001B45BE">
      <w:pPr>
        <w:pBdr>
          <w:top w:val="nil"/>
          <w:left w:val="nil"/>
          <w:bottom w:val="nil"/>
          <w:right w:val="nil"/>
          <w:between w:val="nil"/>
        </w:pBdr>
        <w:spacing w:before="180" w:after="180" w:line="240" w:lineRule="auto"/>
        <w:ind w:firstLine="0"/>
        <w:jc w:val="center"/>
        <w:rPr>
          <w:color w:val="000000"/>
        </w:rPr>
      </w:pPr>
      <w:r w:rsidRPr="001B45BE">
        <w:rPr>
          <w:color w:val="000000"/>
        </w:rPr>
        <w:t>Laura Franchin</w:t>
      </w:r>
      <w:r w:rsidRPr="001B45BE">
        <w:rPr>
          <w:color w:val="000000"/>
          <w:vertAlign w:val="superscript"/>
        </w:rPr>
        <w:t>14</w:t>
      </w:r>
    </w:p>
    <w:p w14:paraId="41CAE241" w14:textId="77777777" w:rsidR="001B45BE" w:rsidRPr="001B45BE" w:rsidRDefault="001B45BE" w:rsidP="001B45BE">
      <w:pPr>
        <w:pBdr>
          <w:top w:val="nil"/>
          <w:left w:val="nil"/>
          <w:bottom w:val="nil"/>
          <w:right w:val="nil"/>
          <w:between w:val="nil"/>
        </w:pBdr>
        <w:spacing w:before="180" w:after="180" w:line="240" w:lineRule="auto"/>
        <w:ind w:firstLine="0"/>
        <w:jc w:val="center"/>
        <w:rPr>
          <w:color w:val="000000"/>
        </w:rPr>
      </w:pPr>
      <w:r w:rsidRPr="001B45BE">
        <w:rPr>
          <w:color w:val="000000"/>
        </w:rPr>
        <w:t>Jessica E. Kosie</w:t>
      </w:r>
      <w:r w:rsidRPr="001B45BE">
        <w:rPr>
          <w:color w:val="000000"/>
          <w:vertAlign w:val="superscript"/>
        </w:rPr>
        <w:t>15</w:t>
      </w:r>
    </w:p>
    <w:p w14:paraId="1F56A8B0" w14:textId="77777777" w:rsidR="001B45BE" w:rsidRPr="001B45BE" w:rsidRDefault="001B45BE" w:rsidP="001B45BE">
      <w:pPr>
        <w:pBdr>
          <w:top w:val="nil"/>
          <w:left w:val="nil"/>
          <w:bottom w:val="nil"/>
          <w:right w:val="nil"/>
          <w:between w:val="nil"/>
        </w:pBdr>
        <w:spacing w:before="180" w:after="180" w:line="240" w:lineRule="auto"/>
        <w:ind w:firstLine="0"/>
        <w:jc w:val="center"/>
        <w:rPr>
          <w:color w:val="000000"/>
        </w:rPr>
      </w:pPr>
      <w:r w:rsidRPr="001B45BE">
        <w:rPr>
          <w:color w:val="000000"/>
        </w:rPr>
        <w:t>Casey Lew-Williams</w:t>
      </w:r>
      <w:r w:rsidRPr="001B45BE">
        <w:rPr>
          <w:color w:val="000000"/>
          <w:vertAlign w:val="superscript"/>
        </w:rPr>
        <w:t>15</w:t>
      </w:r>
    </w:p>
    <w:p w14:paraId="5A922FF1" w14:textId="77777777" w:rsidR="001B45BE" w:rsidRPr="001B45BE" w:rsidRDefault="001B45BE" w:rsidP="001B45BE">
      <w:pPr>
        <w:pBdr>
          <w:top w:val="nil"/>
          <w:left w:val="nil"/>
          <w:bottom w:val="nil"/>
          <w:right w:val="nil"/>
          <w:between w:val="nil"/>
        </w:pBdr>
        <w:spacing w:before="180" w:after="180" w:line="240" w:lineRule="auto"/>
        <w:ind w:firstLine="0"/>
        <w:jc w:val="center"/>
        <w:rPr>
          <w:color w:val="000000"/>
        </w:rPr>
      </w:pPr>
      <w:r w:rsidRPr="001B45BE">
        <w:rPr>
          <w:color w:val="000000"/>
        </w:rPr>
        <w:t>Asana Okocha</w:t>
      </w:r>
      <w:r w:rsidRPr="001B45BE">
        <w:rPr>
          <w:color w:val="000000"/>
          <w:vertAlign w:val="superscript"/>
        </w:rPr>
        <w:t>15</w:t>
      </w:r>
    </w:p>
    <w:p w14:paraId="35461FBF" w14:textId="77777777" w:rsidR="001B45BE" w:rsidRPr="001B45BE" w:rsidRDefault="001B45BE" w:rsidP="001B45BE">
      <w:pPr>
        <w:pBdr>
          <w:top w:val="nil"/>
          <w:left w:val="nil"/>
          <w:bottom w:val="nil"/>
          <w:right w:val="nil"/>
          <w:between w:val="nil"/>
        </w:pBdr>
        <w:spacing w:before="180" w:after="180" w:line="240" w:lineRule="auto"/>
        <w:ind w:firstLine="0"/>
        <w:jc w:val="center"/>
        <w:rPr>
          <w:color w:val="000000"/>
        </w:rPr>
      </w:pPr>
      <w:r w:rsidRPr="001B45BE">
        <w:rPr>
          <w:color w:val="000000"/>
        </w:rPr>
        <w:t>Tilman Reinelt</w:t>
      </w:r>
      <w:r w:rsidRPr="001B45BE">
        <w:rPr>
          <w:color w:val="000000"/>
          <w:vertAlign w:val="superscript"/>
        </w:rPr>
        <w:t>16</w:t>
      </w:r>
    </w:p>
    <w:p w14:paraId="5E3CAB24" w14:textId="77777777" w:rsidR="001B45BE" w:rsidRPr="001B45BE" w:rsidRDefault="001B45BE" w:rsidP="001B45BE">
      <w:pPr>
        <w:pBdr>
          <w:top w:val="nil"/>
          <w:left w:val="nil"/>
          <w:bottom w:val="nil"/>
          <w:right w:val="nil"/>
          <w:between w:val="nil"/>
        </w:pBdr>
        <w:spacing w:before="180" w:after="180" w:line="240" w:lineRule="auto"/>
        <w:ind w:firstLine="0"/>
        <w:jc w:val="center"/>
        <w:rPr>
          <w:color w:val="000000"/>
        </w:rPr>
      </w:pPr>
      <w:r w:rsidRPr="001B45BE">
        <w:rPr>
          <w:color w:val="000000"/>
        </w:rPr>
        <w:t>Tobias Schuwerk</w:t>
      </w:r>
      <w:r w:rsidRPr="001B45BE">
        <w:rPr>
          <w:color w:val="000000"/>
          <w:vertAlign w:val="superscript"/>
        </w:rPr>
        <w:t>17</w:t>
      </w:r>
    </w:p>
    <w:p w14:paraId="587E6C3A" w14:textId="77777777" w:rsidR="001B45BE" w:rsidRPr="001B45BE" w:rsidRDefault="001B45BE" w:rsidP="001B45BE">
      <w:pPr>
        <w:pBdr>
          <w:top w:val="nil"/>
          <w:left w:val="nil"/>
          <w:bottom w:val="nil"/>
          <w:right w:val="nil"/>
          <w:between w:val="nil"/>
        </w:pBdr>
        <w:spacing w:before="180" w:after="180" w:line="240" w:lineRule="auto"/>
        <w:ind w:firstLine="0"/>
        <w:jc w:val="center"/>
        <w:rPr>
          <w:color w:val="000000"/>
        </w:rPr>
      </w:pPr>
      <w:r w:rsidRPr="001B45BE">
        <w:rPr>
          <w:color w:val="000000"/>
        </w:rPr>
        <w:t>Melanie Soderstrom</w:t>
      </w:r>
      <w:r w:rsidRPr="001B45BE">
        <w:rPr>
          <w:color w:val="000000"/>
          <w:vertAlign w:val="superscript"/>
        </w:rPr>
        <w:t>18</w:t>
      </w:r>
    </w:p>
    <w:p w14:paraId="050AD958" w14:textId="77777777" w:rsidR="001B45BE" w:rsidRPr="001B45BE" w:rsidRDefault="001B45BE" w:rsidP="001B45BE">
      <w:pPr>
        <w:pBdr>
          <w:top w:val="nil"/>
          <w:left w:val="nil"/>
          <w:bottom w:val="nil"/>
          <w:right w:val="nil"/>
          <w:between w:val="nil"/>
        </w:pBdr>
        <w:spacing w:before="180" w:after="180" w:line="240" w:lineRule="auto"/>
        <w:ind w:firstLine="0"/>
        <w:jc w:val="center"/>
        <w:rPr>
          <w:color w:val="000000"/>
        </w:rPr>
      </w:pPr>
      <w:r w:rsidRPr="001B45BE">
        <w:rPr>
          <w:color w:val="000000"/>
        </w:rPr>
        <w:t>Angeline S. M. Tsui</w:t>
      </w:r>
      <w:r w:rsidRPr="001B45BE">
        <w:rPr>
          <w:color w:val="000000"/>
          <w:vertAlign w:val="superscript"/>
        </w:rPr>
        <w:t>19</w:t>
      </w:r>
    </w:p>
    <w:p w14:paraId="0C40CA81" w14:textId="77777777" w:rsidR="001B45BE" w:rsidRPr="001B45BE" w:rsidRDefault="001B45BE" w:rsidP="001B45BE">
      <w:pPr>
        <w:pBdr>
          <w:top w:val="nil"/>
          <w:left w:val="nil"/>
          <w:bottom w:val="nil"/>
          <w:right w:val="nil"/>
          <w:between w:val="nil"/>
        </w:pBdr>
        <w:spacing w:before="180" w:after="180" w:line="240" w:lineRule="auto"/>
        <w:ind w:firstLine="0"/>
        <w:jc w:val="center"/>
        <w:rPr>
          <w:color w:val="000000"/>
        </w:rPr>
      </w:pPr>
      <w:r w:rsidRPr="001B45BE">
        <w:rPr>
          <w:color w:val="000000"/>
        </w:rPr>
        <w:t>Michael C. Frank</w:t>
      </w:r>
      <w:r w:rsidRPr="001B45BE">
        <w:rPr>
          <w:color w:val="000000"/>
          <w:vertAlign w:val="superscript"/>
        </w:rPr>
        <w:t>19</w:t>
      </w:r>
    </w:p>
    <w:p w14:paraId="2CA57FEB" w14:textId="77777777" w:rsidR="001B45BE" w:rsidRPr="001B45BE" w:rsidRDefault="001B45BE" w:rsidP="001B45BE">
      <w:pPr>
        <w:pBdr>
          <w:top w:val="nil"/>
          <w:left w:val="nil"/>
          <w:bottom w:val="nil"/>
          <w:right w:val="nil"/>
          <w:between w:val="nil"/>
        </w:pBdr>
        <w:spacing w:before="180" w:after="180" w:line="240" w:lineRule="auto"/>
        <w:ind w:firstLine="0"/>
        <w:rPr>
          <w:color w:val="000000"/>
        </w:rPr>
      </w:pPr>
      <w:r w:rsidRPr="001B45BE">
        <w:rPr>
          <w:color w:val="000000"/>
          <w:vertAlign w:val="superscript"/>
        </w:rPr>
        <w:lastRenderedPageBreak/>
        <w:t>1</w:t>
      </w:r>
      <w:r w:rsidRPr="001B45BE">
        <w:rPr>
          <w:color w:val="000000"/>
        </w:rPr>
        <w:t xml:space="preserve">Department of Psychology, National University of Singapore, </w:t>
      </w:r>
      <w:r w:rsidRPr="001B45BE">
        <w:rPr>
          <w:color w:val="000000"/>
          <w:vertAlign w:val="superscript"/>
        </w:rPr>
        <w:t>2</w:t>
      </w:r>
      <w:r w:rsidRPr="001B45BE">
        <w:rPr>
          <w:color w:val="000000"/>
        </w:rPr>
        <w:t xml:space="preserve">Department of Cognitive Science and Psychology, New Bulgarian University, </w:t>
      </w:r>
      <w:r w:rsidRPr="001B45BE">
        <w:rPr>
          <w:color w:val="000000"/>
          <w:vertAlign w:val="superscript"/>
        </w:rPr>
        <w:t>3</w:t>
      </w:r>
      <w:r w:rsidRPr="001B45BE">
        <w:rPr>
          <w:color w:val="000000"/>
        </w:rPr>
        <w:t xml:space="preserve">Center for the Study of Language and Information, Stanford University, </w:t>
      </w:r>
      <w:r w:rsidRPr="001B45BE">
        <w:rPr>
          <w:color w:val="000000"/>
          <w:vertAlign w:val="superscript"/>
        </w:rPr>
        <w:t>4</w:t>
      </w:r>
      <w:r w:rsidRPr="001B45BE">
        <w:rPr>
          <w:color w:val="000000"/>
        </w:rPr>
        <w:t xml:space="preserve">Department of Psychological and Brain Sciences, Boston University, </w:t>
      </w:r>
      <w:r w:rsidRPr="001B45BE">
        <w:rPr>
          <w:color w:val="000000"/>
          <w:vertAlign w:val="superscript"/>
        </w:rPr>
        <w:t>5</w:t>
      </w:r>
      <w:r w:rsidRPr="001B45BE">
        <w:rPr>
          <w:color w:val="000000"/>
        </w:rPr>
        <w:t xml:space="preserve">Department of Linguistics, University of Potsdam, </w:t>
      </w:r>
      <w:r w:rsidRPr="001B45BE">
        <w:rPr>
          <w:color w:val="000000"/>
          <w:vertAlign w:val="superscript"/>
        </w:rPr>
        <w:t>6</w:t>
      </w:r>
      <w:r w:rsidRPr="001B45BE">
        <w:rPr>
          <w:color w:val="000000"/>
        </w:rPr>
        <w:t xml:space="preserve">College of Social Science, Minerva University, </w:t>
      </w:r>
      <w:r w:rsidRPr="001B45BE">
        <w:rPr>
          <w:color w:val="000000"/>
          <w:vertAlign w:val="superscript"/>
        </w:rPr>
        <w:t>7</w:t>
      </w:r>
      <w:r w:rsidRPr="001B45BE">
        <w:rPr>
          <w:color w:val="000000"/>
        </w:rPr>
        <w:t xml:space="preserve">Department of Psychology, The University of British Columbia, </w:t>
      </w:r>
      <w:r w:rsidRPr="001B45BE">
        <w:rPr>
          <w:color w:val="000000"/>
          <w:vertAlign w:val="superscript"/>
        </w:rPr>
        <w:t>8</w:t>
      </w:r>
      <w:r w:rsidRPr="001B45BE">
        <w:rPr>
          <w:color w:val="000000"/>
        </w:rPr>
        <w:t xml:space="preserve">Department of Psychology, University of Toronto Scarborough, </w:t>
      </w:r>
      <w:r w:rsidRPr="001B45BE">
        <w:rPr>
          <w:color w:val="000000"/>
          <w:vertAlign w:val="superscript"/>
        </w:rPr>
        <w:t>9</w:t>
      </w:r>
      <w:r w:rsidRPr="001B45BE">
        <w:rPr>
          <w:color w:val="000000"/>
        </w:rPr>
        <w:t xml:space="preserve">Department of Psychology, Lancaster University, UK, </w:t>
      </w:r>
      <w:r w:rsidRPr="001B45BE">
        <w:rPr>
          <w:color w:val="000000"/>
          <w:vertAlign w:val="superscript"/>
        </w:rPr>
        <w:t>10</w:t>
      </w:r>
      <w:r w:rsidRPr="001B45BE">
        <w:rPr>
          <w:color w:val="000000"/>
        </w:rPr>
        <w:t xml:space="preserve">Department of Psychology, University of California, San Diego, </w:t>
      </w:r>
      <w:r w:rsidRPr="001B45BE">
        <w:rPr>
          <w:color w:val="000000"/>
          <w:vertAlign w:val="superscript"/>
        </w:rPr>
        <w:t>11</w:t>
      </w:r>
      <w:r w:rsidRPr="001B45BE">
        <w:rPr>
          <w:color w:val="000000"/>
        </w:rPr>
        <w:t xml:space="preserve">Department of Linguistics and English Language, Lancaster University, UK, </w:t>
      </w:r>
      <w:r w:rsidRPr="001B45BE">
        <w:rPr>
          <w:color w:val="000000"/>
          <w:vertAlign w:val="superscript"/>
        </w:rPr>
        <w:t>12</w:t>
      </w:r>
      <w:r w:rsidRPr="001B45BE">
        <w:rPr>
          <w:color w:val="000000"/>
        </w:rPr>
        <w:t xml:space="preserve">School of Psychology, Nanjing Normal University, </w:t>
      </w:r>
      <w:r w:rsidRPr="001B45BE">
        <w:rPr>
          <w:color w:val="000000"/>
          <w:vertAlign w:val="superscript"/>
        </w:rPr>
        <w:t>13</w:t>
      </w:r>
      <w:r w:rsidRPr="001B45BE">
        <w:rPr>
          <w:color w:val="000000"/>
        </w:rPr>
        <w:t xml:space="preserve">Faculty of Arts &amp; Science, Ambrose University, </w:t>
      </w:r>
      <w:r w:rsidRPr="001B45BE">
        <w:rPr>
          <w:color w:val="000000"/>
          <w:vertAlign w:val="superscript"/>
        </w:rPr>
        <w:t>14</w:t>
      </w:r>
      <w:r w:rsidRPr="001B45BE">
        <w:rPr>
          <w:color w:val="000000"/>
        </w:rPr>
        <w:t xml:space="preserve">Department of Psychology, University of Trento, </w:t>
      </w:r>
      <w:r w:rsidRPr="001B45BE">
        <w:rPr>
          <w:color w:val="000000"/>
          <w:vertAlign w:val="superscript"/>
        </w:rPr>
        <w:t>15</w:t>
      </w:r>
      <w:r w:rsidRPr="001B45BE">
        <w:rPr>
          <w:color w:val="000000"/>
        </w:rPr>
        <w:t xml:space="preserve">Department of Psychology, Princeton University, </w:t>
      </w:r>
      <w:r w:rsidRPr="001B45BE">
        <w:rPr>
          <w:color w:val="000000"/>
          <w:vertAlign w:val="superscript"/>
        </w:rPr>
        <w:t>16</w:t>
      </w:r>
      <w:r w:rsidRPr="001B45BE">
        <w:rPr>
          <w:color w:val="000000"/>
        </w:rPr>
        <w:t xml:space="preserve">Department of Neonatology, University of Zurich, </w:t>
      </w:r>
      <w:r w:rsidRPr="001B45BE">
        <w:rPr>
          <w:color w:val="000000"/>
          <w:vertAlign w:val="superscript"/>
        </w:rPr>
        <w:t>17</w:t>
      </w:r>
      <w:r w:rsidRPr="001B45BE">
        <w:rPr>
          <w:color w:val="000000"/>
        </w:rPr>
        <w:t>Department of Psychology, Ludwig-</w:t>
      </w:r>
      <w:proofErr w:type="spellStart"/>
      <w:r w:rsidRPr="001B45BE">
        <w:rPr>
          <w:color w:val="000000"/>
        </w:rPr>
        <w:t>Maximilians</w:t>
      </w:r>
      <w:proofErr w:type="spellEnd"/>
      <w:r w:rsidRPr="001B45BE">
        <w:rPr>
          <w:color w:val="000000"/>
        </w:rPr>
        <w:t xml:space="preserve">-Universität München, </w:t>
      </w:r>
      <w:r w:rsidRPr="001B45BE">
        <w:rPr>
          <w:color w:val="000000"/>
          <w:vertAlign w:val="superscript"/>
        </w:rPr>
        <w:t>18</w:t>
      </w:r>
      <w:r w:rsidRPr="001B45BE">
        <w:rPr>
          <w:color w:val="000000"/>
        </w:rPr>
        <w:t xml:space="preserve">Department of Psychology, University of Manitoba, </w:t>
      </w:r>
      <w:r w:rsidRPr="001B45BE">
        <w:rPr>
          <w:color w:val="000000"/>
          <w:vertAlign w:val="superscript"/>
        </w:rPr>
        <w:t>19</w:t>
      </w:r>
      <w:r w:rsidRPr="001B45BE">
        <w:rPr>
          <w:color w:val="000000"/>
        </w:rPr>
        <w:t>Department of Psychology, Stanford University</w:t>
      </w:r>
    </w:p>
    <w:p w14:paraId="64293808" w14:textId="77777777" w:rsidR="001B45BE" w:rsidRPr="001B45BE" w:rsidRDefault="001B45BE" w:rsidP="001B45BE">
      <w:pPr>
        <w:pBdr>
          <w:top w:val="nil"/>
          <w:left w:val="nil"/>
          <w:bottom w:val="nil"/>
          <w:right w:val="nil"/>
          <w:between w:val="nil"/>
        </w:pBdr>
        <w:spacing w:before="180" w:after="180" w:line="240" w:lineRule="auto"/>
        <w:ind w:firstLine="0"/>
        <w:rPr>
          <w:color w:val="000000"/>
        </w:rPr>
      </w:pPr>
      <w:r w:rsidRPr="001B45BE">
        <w:rPr>
          <w:color w:val="000000"/>
          <w:vertAlign w:val="superscript"/>
        </w:rPr>
        <w:t>†</w:t>
      </w:r>
      <w:r w:rsidRPr="001B45BE">
        <w:rPr>
          <w:color w:val="000000"/>
        </w:rPr>
        <w:t xml:space="preserve">Correspondence should be addressed to </w:t>
      </w:r>
      <w:proofErr w:type="spellStart"/>
      <w:r w:rsidRPr="001B45BE">
        <w:rPr>
          <w:color w:val="000000"/>
        </w:rPr>
        <w:t>Leher</w:t>
      </w:r>
      <w:proofErr w:type="spellEnd"/>
      <w:r w:rsidRPr="001B45BE">
        <w:rPr>
          <w:color w:val="000000"/>
        </w:rPr>
        <w:t xml:space="preserve"> Singh; E-mail: </w:t>
      </w:r>
      <w:hyperlink r:id="rId8">
        <w:r w:rsidRPr="001B45BE">
          <w:rPr>
            <w:color w:val="000000"/>
            <w:u w:val="single"/>
          </w:rPr>
          <w:t>psyls@nus.edu.sg</w:t>
        </w:r>
      </w:hyperlink>
    </w:p>
    <w:p w14:paraId="1C5766B2" w14:textId="77777777" w:rsidR="001B45BE" w:rsidRPr="001B45BE" w:rsidRDefault="001B45BE" w:rsidP="001B45BE">
      <w:pPr>
        <w:spacing w:line="276" w:lineRule="auto"/>
        <w:ind w:firstLine="0"/>
        <w:rPr>
          <w:color w:val="000000"/>
        </w:rPr>
      </w:pPr>
    </w:p>
    <w:p w14:paraId="600B81B2" w14:textId="77777777" w:rsidR="001B45BE" w:rsidRPr="001B45BE" w:rsidRDefault="001B45BE" w:rsidP="001B45BE">
      <w:pPr>
        <w:pStyle w:val="Title"/>
        <w:spacing w:line="240" w:lineRule="auto"/>
        <w:ind w:firstLine="0"/>
        <w:rPr>
          <w:color w:val="000000"/>
          <w:sz w:val="24"/>
          <w:szCs w:val="24"/>
          <w:u w:val="single"/>
        </w:rPr>
      </w:pPr>
      <w:r w:rsidRPr="001B45BE">
        <w:rPr>
          <w:color w:val="000000"/>
          <w:sz w:val="24"/>
          <w:szCs w:val="24"/>
          <w:u w:val="single"/>
        </w:rPr>
        <w:t>Author Contributions (</w:t>
      </w:r>
      <w:proofErr w:type="spellStart"/>
      <w:r w:rsidRPr="001B45BE">
        <w:rPr>
          <w:color w:val="000000"/>
          <w:sz w:val="24"/>
          <w:szCs w:val="24"/>
          <w:u w:val="single"/>
        </w:rPr>
        <w:t>CRediT</w:t>
      </w:r>
      <w:proofErr w:type="spellEnd"/>
      <w:r w:rsidRPr="001B45BE">
        <w:rPr>
          <w:color w:val="000000"/>
          <w:sz w:val="24"/>
          <w:szCs w:val="24"/>
          <w:u w:val="single"/>
        </w:rPr>
        <w:t xml:space="preserve"> report generated using </w:t>
      </w:r>
      <w:proofErr w:type="spellStart"/>
      <w:r w:rsidRPr="001B45BE">
        <w:rPr>
          <w:i/>
          <w:color w:val="000000"/>
          <w:sz w:val="24"/>
          <w:szCs w:val="24"/>
          <w:u w:val="single"/>
        </w:rPr>
        <w:t>tenzing</w:t>
      </w:r>
      <w:proofErr w:type="spellEnd"/>
      <w:r w:rsidRPr="001B45BE">
        <w:rPr>
          <w:color w:val="000000"/>
          <w:sz w:val="24"/>
          <w:szCs w:val="24"/>
          <w:u w:val="single"/>
        </w:rPr>
        <w:t>; Holcombe et al., 2020)</w:t>
      </w:r>
    </w:p>
    <w:p w14:paraId="347B6AFF" w14:textId="77777777" w:rsidR="001B45BE" w:rsidRPr="001B45BE" w:rsidRDefault="001B45BE" w:rsidP="001B45BE">
      <w:pPr>
        <w:pBdr>
          <w:top w:val="nil"/>
          <w:left w:val="nil"/>
          <w:bottom w:val="nil"/>
          <w:right w:val="nil"/>
          <w:between w:val="nil"/>
        </w:pBdr>
        <w:spacing w:before="180" w:after="180" w:line="240" w:lineRule="auto"/>
        <w:ind w:firstLine="0"/>
        <w:rPr>
          <w:color w:val="000000"/>
        </w:rPr>
      </w:pPr>
      <w:r w:rsidRPr="001B45BE">
        <w:rPr>
          <w:b/>
          <w:color w:val="000000"/>
        </w:rPr>
        <w:t>Conceptualization:</w:t>
      </w:r>
      <w:r w:rsidRPr="001B45BE">
        <w:rPr>
          <w:color w:val="000000"/>
        </w:rPr>
        <w:t xml:space="preserve"> </w:t>
      </w:r>
      <w:r w:rsidRPr="001B45BE">
        <w:rPr>
          <w:i/>
          <w:color w:val="000000"/>
        </w:rPr>
        <w:t>Leading:</w:t>
      </w:r>
      <w:r w:rsidRPr="001B45BE">
        <w:rPr>
          <w:color w:val="000000"/>
        </w:rPr>
        <w:t xml:space="preserve"> </w:t>
      </w:r>
      <w:proofErr w:type="spellStart"/>
      <w:r w:rsidRPr="001B45BE">
        <w:rPr>
          <w:color w:val="000000"/>
        </w:rPr>
        <w:t>Leher</w:t>
      </w:r>
      <w:proofErr w:type="spellEnd"/>
      <w:r w:rsidRPr="001B45BE">
        <w:rPr>
          <w:color w:val="000000"/>
        </w:rPr>
        <w:t xml:space="preserve"> Singh, Mihaela D. </w:t>
      </w:r>
      <w:proofErr w:type="spellStart"/>
      <w:r w:rsidRPr="001B45BE">
        <w:rPr>
          <w:color w:val="000000"/>
        </w:rPr>
        <w:t>Barokova</w:t>
      </w:r>
      <w:proofErr w:type="spellEnd"/>
      <w:r w:rsidRPr="001B45BE">
        <w:rPr>
          <w:color w:val="000000"/>
        </w:rPr>
        <w:t xml:space="preserve">, Michael C. Frank, Francis L. Yuen. </w:t>
      </w:r>
      <w:r w:rsidRPr="001B45BE">
        <w:rPr>
          <w:i/>
          <w:color w:val="000000"/>
        </w:rPr>
        <w:t>Supporting:</w:t>
      </w:r>
      <w:r w:rsidRPr="001B45BE">
        <w:rPr>
          <w:color w:val="000000"/>
        </w:rPr>
        <w:t xml:space="preserve"> Diana C. Lopera-Perez, Paul Okyere </w:t>
      </w:r>
      <w:proofErr w:type="spellStart"/>
      <w:r w:rsidRPr="001B45BE">
        <w:rPr>
          <w:color w:val="000000"/>
        </w:rPr>
        <w:t>Omane</w:t>
      </w:r>
      <w:proofErr w:type="spellEnd"/>
      <w:r w:rsidRPr="001B45BE">
        <w:rPr>
          <w:color w:val="000000"/>
        </w:rPr>
        <w:t xml:space="preserve">, Mark </w:t>
      </w:r>
      <w:proofErr w:type="spellStart"/>
      <w:r w:rsidRPr="001B45BE">
        <w:rPr>
          <w:color w:val="000000"/>
        </w:rPr>
        <w:t>Sheskin</w:t>
      </w:r>
      <w:proofErr w:type="spellEnd"/>
      <w:r w:rsidRPr="001B45BE">
        <w:rPr>
          <w:color w:val="000000"/>
        </w:rPr>
        <w:t xml:space="preserve">, Yang Wu, Katherine J. </w:t>
      </w:r>
      <w:proofErr w:type="spellStart"/>
      <w:r w:rsidRPr="001B45BE">
        <w:rPr>
          <w:color w:val="000000"/>
        </w:rPr>
        <w:t>Alcock</w:t>
      </w:r>
      <w:proofErr w:type="spellEnd"/>
      <w:r w:rsidRPr="001B45BE">
        <w:rPr>
          <w:color w:val="000000"/>
        </w:rPr>
        <w:t xml:space="preserve">, Elena C. Altmann, Rodrigo Dal Ben, Melanie </w:t>
      </w:r>
      <w:proofErr w:type="spellStart"/>
      <w:r w:rsidRPr="001B45BE">
        <w:rPr>
          <w:color w:val="000000"/>
        </w:rPr>
        <w:t>Soderstrom</w:t>
      </w:r>
      <w:proofErr w:type="spellEnd"/>
      <w:r w:rsidRPr="001B45BE">
        <w:rPr>
          <w:color w:val="000000"/>
        </w:rPr>
        <w:t xml:space="preserve">, Angeline S. M. </w:t>
      </w:r>
      <w:proofErr w:type="spellStart"/>
      <w:r w:rsidRPr="001B45BE">
        <w:rPr>
          <w:color w:val="000000"/>
        </w:rPr>
        <w:t>Tsui</w:t>
      </w:r>
      <w:proofErr w:type="spellEnd"/>
      <w:r w:rsidRPr="001B45BE">
        <w:rPr>
          <w:color w:val="000000"/>
        </w:rPr>
        <w:t>.</w:t>
      </w:r>
      <w:r w:rsidRPr="001B45BE">
        <w:rPr>
          <w:color w:val="000000"/>
        </w:rPr>
        <w:br/>
      </w:r>
      <w:r w:rsidRPr="001B45BE">
        <w:rPr>
          <w:b/>
          <w:color w:val="000000"/>
        </w:rPr>
        <w:t>Methodology:</w:t>
      </w:r>
      <w:r w:rsidRPr="001B45BE">
        <w:rPr>
          <w:color w:val="000000"/>
        </w:rPr>
        <w:t xml:space="preserve"> </w:t>
      </w:r>
      <w:r w:rsidRPr="001B45BE">
        <w:rPr>
          <w:i/>
          <w:color w:val="000000"/>
        </w:rPr>
        <w:t>Leading:</w:t>
      </w:r>
      <w:r w:rsidRPr="001B45BE">
        <w:rPr>
          <w:color w:val="000000"/>
        </w:rPr>
        <w:t xml:space="preserve"> </w:t>
      </w:r>
      <w:proofErr w:type="spellStart"/>
      <w:r w:rsidRPr="001B45BE">
        <w:rPr>
          <w:color w:val="000000"/>
        </w:rPr>
        <w:t>Leher</w:t>
      </w:r>
      <w:proofErr w:type="spellEnd"/>
      <w:r w:rsidRPr="001B45BE">
        <w:rPr>
          <w:color w:val="000000"/>
        </w:rPr>
        <w:t xml:space="preserve"> Singh, Mihaela D. </w:t>
      </w:r>
      <w:proofErr w:type="spellStart"/>
      <w:r w:rsidRPr="001B45BE">
        <w:rPr>
          <w:color w:val="000000"/>
        </w:rPr>
        <w:t>Barokova</w:t>
      </w:r>
      <w:proofErr w:type="spellEnd"/>
      <w:r w:rsidRPr="001B45BE">
        <w:rPr>
          <w:color w:val="000000"/>
        </w:rPr>
        <w:t xml:space="preserve">, Heidi A. Baumgartner, Michael C. </w:t>
      </w:r>
      <w:proofErr w:type="gramStart"/>
      <w:r w:rsidRPr="001B45BE">
        <w:rPr>
          <w:color w:val="000000"/>
        </w:rPr>
        <w:t>Frank,  Francis</w:t>
      </w:r>
      <w:proofErr w:type="gramEnd"/>
      <w:r w:rsidRPr="001B45BE">
        <w:rPr>
          <w:color w:val="000000"/>
        </w:rPr>
        <w:t xml:space="preserve"> L. Yuen. </w:t>
      </w:r>
      <w:r w:rsidRPr="001B45BE">
        <w:rPr>
          <w:i/>
          <w:color w:val="000000"/>
        </w:rPr>
        <w:t>Supporting:</w:t>
      </w:r>
      <w:r w:rsidRPr="001B45BE">
        <w:rPr>
          <w:color w:val="000000"/>
        </w:rPr>
        <w:t xml:space="preserve"> Diana C. Lopera-Perez, Paul Okyere </w:t>
      </w:r>
      <w:proofErr w:type="spellStart"/>
      <w:r w:rsidRPr="001B45BE">
        <w:rPr>
          <w:color w:val="000000"/>
        </w:rPr>
        <w:t>Omane</w:t>
      </w:r>
      <w:proofErr w:type="spellEnd"/>
      <w:r w:rsidRPr="001B45BE">
        <w:rPr>
          <w:color w:val="000000"/>
        </w:rPr>
        <w:t xml:space="preserve">, Mark </w:t>
      </w:r>
      <w:proofErr w:type="spellStart"/>
      <w:r w:rsidRPr="001B45BE">
        <w:rPr>
          <w:color w:val="000000"/>
        </w:rPr>
        <w:t>Sheskin</w:t>
      </w:r>
      <w:proofErr w:type="spellEnd"/>
      <w:r w:rsidRPr="001B45BE">
        <w:rPr>
          <w:color w:val="000000"/>
        </w:rPr>
        <w:t xml:space="preserve">, Yang Wu, Katherine J. </w:t>
      </w:r>
      <w:proofErr w:type="spellStart"/>
      <w:r w:rsidRPr="001B45BE">
        <w:rPr>
          <w:color w:val="000000"/>
        </w:rPr>
        <w:t>Alcock</w:t>
      </w:r>
      <w:proofErr w:type="spellEnd"/>
      <w:r w:rsidRPr="001B45BE">
        <w:rPr>
          <w:color w:val="000000"/>
        </w:rPr>
        <w:t xml:space="preserve">, Elena C. Altmann, Marina </w:t>
      </w:r>
      <w:proofErr w:type="spellStart"/>
      <w:r w:rsidRPr="001B45BE">
        <w:rPr>
          <w:color w:val="000000"/>
        </w:rPr>
        <w:t>Bazhydai</w:t>
      </w:r>
      <w:proofErr w:type="spellEnd"/>
      <w:r w:rsidRPr="001B45BE">
        <w:rPr>
          <w:color w:val="000000"/>
        </w:rPr>
        <w:t xml:space="preserve">, Alexandra Carstensen, Kin Chung Jacky Chan, Hu </w:t>
      </w:r>
      <w:proofErr w:type="spellStart"/>
      <w:r w:rsidRPr="001B45BE">
        <w:rPr>
          <w:color w:val="000000"/>
        </w:rPr>
        <w:t>Chuan</w:t>
      </w:r>
      <w:proofErr w:type="spellEnd"/>
      <w:r w:rsidRPr="001B45BE">
        <w:rPr>
          <w:color w:val="000000"/>
        </w:rPr>
        <w:t xml:space="preserve">-Peng, Rodrigo Dal Ben, Laura </w:t>
      </w:r>
      <w:proofErr w:type="spellStart"/>
      <w:r w:rsidRPr="001B45BE">
        <w:rPr>
          <w:color w:val="000000"/>
        </w:rPr>
        <w:t>Franchin</w:t>
      </w:r>
      <w:proofErr w:type="spellEnd"/>
      <w:r w:rsidRPr="001B45BE">
        <w:rPr>
          <w:color w:val="000000"/>
        </w:rPr>
        <w:t xml:space="preserve">, Jessica E. </w:t>
      </w:r>
      <w:proofErr w:type="spellStart"/>
      <w:r w:rsidRPr="001B45BE">
        <w:rPr>
          <w:color w:val="000000"/>
        </w:rPr>
        <w:t>Kosie</w:t>
      </w:r>
      <w:proofErr w:type="spellEnd"/>
      <w:r w:rsidRPr="001B45BE">
        <w:rPr>
          <w:color w:val="000000"/>
        </w:rPr>
        <w:t xml:space="preserve">, Casey Lew-Williams, Asana Okocha, Tilman </w:t>
      </w:r>
      <w:proofErr w:type="spellStart"/>
      <w:r w:rsidRPr="001B45BE">
        <w:rPr>
          <w:color w:val="000000"/>
        </w:rPr>
        <w:t>Reinelt</w:t>
      </w:r>
      <w:proofErr w:type="spellEnd"/>
      <w:r w:rsidRPr="001B45BE">
        <w:rPr>
          <w:color w:val="000000"/>
        </w:rPr>
        <w:t xml:space="preserve">, Tobias </w:t>
      </w:r>
      <w:proofErr w:type="spellStart"/>
      <w:r w:rsidRPr="001B45BE">
        <w:rPr>
          <w:color w:val="000000"/>
        </w:rPr>
        <w:t>Schuwerk</w:t>
      </w:r>
      <w:proofErr w:type="spellEnd"/>
      <w:r w:rsidRPr="001B45BE">
        <w:rPr>
          <w:color w:val="000000"/>
        </w:rPr>
        <w:t xml:space="preserve">, Melanie </w:t>
      </w:r>
      <w:proofErr w:type="spellStart"/>
      <w:r w:rsidRPr="001B45BE">
        <w:rPr>
          <w:color w:val="000000"/>
        </w:rPr>
        <w:t>Soderstrom</w:t>
      </w:r>
      <w:proofErr w:type="spellEnd"/>
      <w:r w:rsidRPr="001B45BE">
        <w:rPr>
          <w:color w:val="000000"/>
        </w:rPr>
        <w:t>.</w:t>
      </w:r>
      <w:r w:rsidRPr="001B45BE">
        <w:rPr>
          <w:color w:val="000000"/>
        </w:rPr>
        <w:br/>
      </w:r>
      <w:r w:rsidRPr="001B45BE">
        <w:rPr>
          <w:b/>
          <w:color w:val="000000"/>
        </w:rPr>
        <w:t>Project administration:</w:t>
      </w:r>
      <w:r w:rsidRPr="001B45BE">
        <w:rPr>
          <w:color w:val="000000"/>
        </w:rPr>
        <w:t xml:space="preserve"> </w:t>
      </w:r>
      <w:r w:rsidRPr="001B45BE">
        <w:rPr>
          <w:i/>
          <w:color w:val="000000"/>
        </w:rPr>
        <w:t>Leading:</w:t>
      </w:r>
      <w:r w:rsidRPr="001B45BE">
        <w:rPr>
          <w:color w:val="000000"/>
        </w:rPr>
        <w:t xml:space="preserve"> </w:t>
      </w:r>
      <w:proofErr w:type="spellStart"/>
      <w:r w:rsidRPr="001B45BE">
        <w:rPr>
          <w:color w:val="000000"/>
        </w:rPr>
        <w:t>Leher</w:t>
      </w:r>
      <w:proofErr w:type="spellEnd"/>
      <w:r w:rsidRPr="001B45BE">
        <w:rPr>
          <w:color w:val="000000"/>
        </w:rPr>
        <w:t xml:space="preserve"> Singh, Mihaela D. </w:t>
      </w:r>
      <w:proofErr w:type="spellStart"/>
      <w:r w:rsidRPr="001B45BE">
        <w:rPr>
          <w:color w:val="000000"/>
        </w:rPr>
        <w:t>Barokova</w:t>
      </w:r>
      <w:proofErr w:type="spellEnd"/>
      <w:r w:rsidRPr="001B45BE">
        <w:rPr>
          <w:color w:val="000000"/>
        </w:rPr>
        <w:t xml:space="preserve">, Heidi A. Baumgartner. </w:t>
      </w:r>
      <w:r w:rsidRPr="001B45BE">
        <w:rPr>
          <w:i/>
          <w:color w:val="000000"/>
        </w:rPr>
        <w:t>Supporting:</w:t>
      </w:r>
      <w:r w:rsidRPr="001B45BE">
        <w:rPr>
          <w:color w:val="000000"/>
        </w:rPr>
        <w:t xml:space="preserve"> Michael C. Frank, Paul Okyere </w:t>
      </w:r>
      <w:proofErr w:type="spellStart"/>
      <w:r w:rsidRPr="001B45BE">
        <w:rPr>
          <w:color w:val="000000"/>
        </w:rPr>
        <w:t>Omane</w:t>
      </w:r>
      <w:proofErr w:type="spellEnd"/>
      <w:r w:rsidRPr="001B45BE">
        <w:rPr>
          <w:color w:val="000000"/>
        </w:rPr>
        <w:t xml:space="preserve">, Mark </w:t>
      </w:r>
      <w:proofErr w:type="spellStart"/>
      <w:r w:rsidRPr="001B45BE">
        <w:rPr>
          <w:color w:val="000000"/>
        </w:rPr>
        <w:t>Sheskin</w:t>
      </w:r>
      <w:proofErr w:type="spellEnd"/>
      <w:r w:rsidRPr="001B45BE">
        <w:rPr>
          <w:color w:val="000000"/>
        </w:rPr>
        <w:t>, Francis L. Yuen, Yang Wu.</w:t>
      </w:r>
      <w:r w:rsidRPr="001B45BE">
        <w:rPr>
          <w:color w:val="000000"/>
        </w:rPr>
        <w:br/>
      </w:r>
      <w:r w:rsidRPr="001B45BE">
        <w:rPr>
          <w:b/>
          <w:color w:val="000000"/>
        </w:rPr>
        <w:t>Supervision:</w:t>
      </w:r>
      <w:r w:rsidRPr="001B45BE">
        <w:rPr>
          <w:color w:val="000000"/>
        </w:rPr>
        <w:t xml:space="preserve"> </w:t>
      </w:r>
      <w:r w:rsidRPr="001B45BE">
        <w:rPr>
          <w:i/>
          <w:color w:val="000000"/>
        </w:rPr>
        <w:t>Leading:</w:t>
      </w:r>
      <w:r w:rsidRPr="001B45BE">
        <w:rPr>
          <w:color w:val="000000"/>
        </w:rPr>
        <w:t xml:space="preserve"> </w:t>
      </w:r>
      <w:proofErr w:type="spellStart"/>
      <w:r w:rsidRPr="001B45BE">
        <w:rPr>
          <w:color w:val="000000"/>
        </w:rPr>
        <w:t>Leher</w:t>
      </w:r>
      <w:proofErr w:type="spellEnd"/>
      <w:r w:rsidRPr="001B45BE">
        <w:rPr>
          <w:color w:val="000000"/>
        </w:rPr>
        <w:t xml:space="preserve"> Singh, Mihaela D. </w:t>
      </w:r>
      <w:proofErr w:type="spellStart"/>
      <w:r w:rsidRPr="001B45BE">
        <w:rPr>
          <w:color w:val="000000"/>
        </w:rPr>
        <w:t>Barokova</w:t>
      </w:r>
      <w:proofErr w:type="spellEnd"/>
      <w:r w:rsidRPr="001B45BE">
        <w:rPr>
          <w:color w:val="000000"/>
        </w:rPr>
        <w:t xml:space="preserve">, Diana C. Lopera-Perez, Paul Okyere </w:t>
      </w:r>
      <w:proofErr w:type="spellStart"/>
      <w:r w:rsidRPr="001B45BE">
        <w:rPr>
          <w:color w:val="000000"/>
        </w:rPr>
        <w:t>Omane</w:t>
      </w:r>
      <w:proofErr w:type="spellEnd"/>
      <w:r w:rsidRPr="001B45BE">
        <w:rPr>
          <w:color w:val="000000"/>
        </w:rPr>
        <w:t xml:space="preserve">. </w:t>
      </w:r>
      <w:r w:rsidRPr="001B45BE">
        <w:rPr>
          <w:i/>
          <w:color w:val="000000"/>
        </w:rPr>
        <w:t>Supporting:</w:t>
      </w:r>
      <w:r w:rsidRPr="001B45BE">
        <w:rPr>
          <w:color w:val="000000"/>
        </w:rPr>
        <w:t xml:space="preserve"> Heidi A. Baumgartner, Michael C. Frank, Mark </w:t>
      </w:r>
      <w:proofErr w:type="spellStart"/>
      <w:r w:rsidRPr="001B45BE">
        <w:rPr>
          <w:color w:val="000000"/>
        </w:rPr>
        <w:t>Sheskin</w:t>
      </w:r>
      <w:proofErr w:type="spellEnd"/>
      <w:r w:rsidRPr="001B45BE">
        <w:rPr>
          <w:color w:val="000000"/>
        </w:rPr>
        <w:t>, Francis L. Yuen, Yang Wu.</w:t>
      </w:r>
      <w:r w:rsidRPr="001B45BE">
        <w:rPr>
          <w:color w:val="000000"/>
        </w:rPr>
        <w:br/>
      </w:r>
      <w:r w:rsidRPr="001B45BE">
        <w:rPr>
          <w:b/>
          <w:color w:val="000000"/>
        </w:rPr>
        <w:t>Validation:</w:t>
      </w:r>
      <w:r w:rsidRPr="001B45BE">
        <w:rPr>
          <w:color w:val="000000"/>
        </w:rPr>
        <w:t xml:space="preserve"> </w:t>
      </w:r>
      <w:r w:rsidRPr="001B45BE">
        <w:rPr>
          <w:i/>
          <w:color w:val="000000"/>
        </w:rPr>
        <w:t>Leading:</w:t>
      </w:r>
      <w:r w:rsidRPr="001B45BE">
        <w:rPr>
          <w:color w:val="000000"/>
        </w:rPr>
        <w:t xml:space="preserve"> </w:t>
      </w:r>
      <w:proofErr w:type="spellStart"/>
      <w:r w:rsidRPr="001B45BE">
        <w:rPr>
          <w:color w:val="000000"/>
        </w:rPr>
        <w:t>Leher</w:t>
      </w:r>
      <w:proofErr w:type="spellEnd"/>
      <w:r w:rsidRPr="001B45BE">
        <w:rPr>
          <w:color w:val="000000"/>
        </w:rPr>
        <w:t xml:space="preserve"> Singh, Mihaela D. </w:t>
      </w:r>
      <w:proofErr w:type="spellStart"/>
      <w:r w:rsidRPr="001B45BE">
        <w:rPr>
          <w:color w:val="000000"/>
        </w:rPr>
        <w:t>Barokova</w:t>
      </w:r>
      <w:proofErr w:type="spellEnd"/>
      <w:r w:rsidRPr="001B45BE">
        <w:rPr>
          <w:color w:val="000000"/>
        </w:rPr>
        <w:t xml:space="preserve">. </w:t>
      </w:r>
      <w:r w:rsidRPr="001B45BE">
        <w:rPr>
          <w:i/>
          <w:color w:val="000000"/>
        </w:rPr>
        <w:t>Supporting:</w:t>
      </w:r>
      <w:r w:rsidRPr="001B45BE">
        <w:rPr>
          <w:color w:val="000000"/>
        </w:rPr>
        <w:t xml:space="preserve"> Heidi A. Baumgartner, Katherine J. </w:t>
      </w:r>
      <w:proofErr w:type="spellStart"/>
      <w:r w:rsidRPr="001B45BE">
        <w:rPr>
          <w:color w:val="000000"/>
        </w:rPr>
        <w:t>Alcock</w:t>
      </w:r>
      <w:proofErr w:type="spellEnd"/>
      <w:r w:rsidRPr="001B45BE">
        <w:rPr>
          <w:color w:val="000000"/>
        </w:rPr>
        <w:t>, Alexandra Carstensen, Rodrigo Dal Ben, Casey Lew-Williams.</w:t>
      </w:r>
      <w:r w:rsidRPr="001B45BE">
        <w:rPr>
          <w:color w:val="000000"/>
        </w:rPr>
        <w:br/>
      </w:r>
      <w:r w:rsidRPr="001B45BE">
        <w:rPr>
          <w:b/>
          <w:color w:val="000000"/>
        </w:rPr>
        <w:t>Visualization:</w:t>
      </w:r>
      <w:r w:rsidRPr="001B45BE">
        <w:rPr>
          <w:color w:val="000000"/>
        </w:rPr>
        <w:t xml:space="preserve"> </w:t>
      </w:r>
      <w:r w:rsidRPr="001B45BE">
        <w:rPr>
          <w:i/>
          <w:color w:val="000000"/>
        </w:rPr>
        <w:t>Leading:</w:t>
      </w:r>
      <w:r w:rsidRPr="001B45BE">
        <w:rPr>
          <w:color w:val="000000"/>
        </w:rPr>
        <w:t xml:space="preserve"> </w:t>
      </w:r>
      <w:proofErr w:type="spellStart"/>
      <w:r w:rsidRPr="001B45BE">
        <w:rPr>
          <w:color w:val="000000"/>
        </w:rPr>
        <w:t>Leher</w:t>
      </w:r>
      <w:proofErr w:type="spellEnd"/>
      <w:r w:rsidRPr="001B45BE">
        <w:rPr>
          <w:color w:val="000000"/>
        </w:rPr>
        <w:t xml:space="preserve"> Singh, Mihaela D. </w:t>
      </w:r>
      <w:proofErr w:type="spellStart"/>
      <w:r w:rsidRPr="001B45BE">
        <w:rPr>
          <w:color w:val="000000"/>
        </w:rPr>
        <w:t>Barokova</w:t>
      </w:r>
      <w:proofErr w:type="spellEnd"/>
      <w:r w:rsidRPr="001B45BE">
        <w:rPr>
          <w:color w:val="000000"/>
        </w:rPr>
        <w:t xml:space="preserve">. </w:t>
      </w:r>
      <w:r w:rsidRPr="001B45BE">
        <w:rPr>
          <w:i/>
          <w:color w:val="000000"/>
        </w:rPr>
        <w:t>Supporting:</w:t>
      </w:r>
      <w:r w:rsidRPr="001B45BE">
        <w:rPr>
          <w:color w:val="000000"/>
        </w:rPr>
        <w:t xml:space="preserve"> Heidi A. Baumgartner, Rodrigo Dal Ben, Francis L. Yuen.</w:t>
      </w:r>
      <w:r w:rsidRPr="001B45BE">
        <w:rPr>
          <w:color w:val="000000"/>
        </w:rPr>
        <w:br/>
      </w:r>
      <w:r w:rsidRPr="001B45BE">
        <w:rPr>
          <w:b/>
          <w:color w:val="000000"/>
        </w:rPr>
        <w:t>Writing - original draft:</w:t>
      </w:r>
      <w:r w:rsidRPr="001B45BE">
        <w:rPr>
          <w:color w:val="000000"/>
        </w:rPr>
        <w:t xml:space="preserve"> </w:t>
      </w:r>
      <w:r w:rsidRPr="001B45BE">
        <w:rPr>
          <w:i/>
          <w:color w:val="000000"/>
        </w:rPr>
        <w:t>Leading:</w:t>
      </w:r>
      <w:r w:rsidRPr="001B45BE">
        <w:rPr>
          <w:color w:val="000000"/>
        </w:rPr>
        <w:t xml:space="preserve"> </w:t>
      </w:r>
      <w:proofErr w:type="spellStart"/>
      <w:r w:rsidRPr="001B45BE">
        <w:rPr>
          <w:color w:val="000000"/>
        </w:rPr>
        <w:t>Leher</w:t>
      </w:r>
      <w:proofErr w:type="spellEnd"/>
      <w:r w:rsidRPr="001B45BE">
        <w:rPr>
          <w:color w:val="000000"/>
        </w:rPr>
        <w:t xml:space="preserve"> Singh, Mihaela D. </w:t>
      </w:r>
      <w:proofErr w:type="spellStart"/>
      <w:r w:rsidRPr="001B45BE">
        <w:rPr>
          <w:color w:val="000000"/>
        </w:rPr>
        <w:t>Barokova</w:t>
      </w:r>
      <w:proofErr w:type="spellEnd"/>
      <w:r w:rsidRPr="001B45BE">
        <w:rPr>
          <w:color w:val="000000"/>
        </w:rPr>
        <w:t xml:space="preserve">. </w:t>
      </w:r>
      <w:r w:rsidRPr="001B45BE">
        <w:rPr>
          <w:i/>
          <w:color w:val="000000"/>
        </w:rPr>
        <w:t>Supporting:</w:t>
      </w:r>
      <w:r w:rsidRPr="001B45BE">
        <w:rPr>
          <w:color w:val="000000"/>
        </w:rPr>
        <w:t xml:space="preserve"> Diana C. Lopera-Perez, Yang Wu, Elena C. Altmann, Marina </w:t>
      </w:r>
      <w:proofErr w:type="spellStart"/>
      <w:r w:rsidRPr="001B45BE">
        <w:rPr>
          <w:color w:val="000000"/>
        </w:rPr>
        <w:t>Bazhydai</w:t>
      </w:r>
      <w:proofErr w:type="spellEnd"/>
      <w:r w:rsidRPr="001B45BE">
        <w:rPr>
          <w:color w:val="000000"/>
        </w:rPr>
        <w:t xml:space="preserve">, Kin Chung Jacky Chan, Laura </w:t>
      </w:r>
      <w:proofErr w:type="spellStart"/>
      <w:r w:rsidRPr="001B45BE">
        <w:rPr>
          <w:color w:val="000000"/>
        </w:rPr>
        <w:t>Franchin</w:t>
      </w:r>
      <w:proofErr w:type="spellEnd"/>
      <w:r w:rsidRPr="001B45BE">
        <w:rPr>
          <w:color w:val="000000"/>
        </w:rPr>
        <w:t xml:space="preserve">, Casey Lew-Williams, Tilman </w:t>
      </w:r>
      <w:proofErr w:type="spellStart"/>
      <w:r w:rsidRPr="001B45BE">
        <w:rPr>
          <w:color w:val="000000"/>
        </w:rPr>
        <w:t>Reinelt</w:t>
      </w:r>
      <w:proofErr w:type="spellEnd"/>
      <w:r w:rsidRPr="001B45BE">
        <w:rPr>
          <w:color w:val="000000"/>
        </w:rPr>
        <w:t>.</w:t>
      </w:r>
      <w:r w:rsidRPr="001B45BE">
        <w:rPr>
          <w:color w:val="000000"/>
        </w:rPr>
        <w:br/>
      </w:r>
      <w:r w:rsidRPr="001B45BE">
        <w:rPr>
          <w:b/>
          <w:color w:val="000000"/>
        </w:rPr>
        <w:t>Writing - review &amp; editing:</w:t>
      </w:r>
      <w:r w:rsidRPr="001B45BE">
        <w:rPr>
          <w:color w:val="000000"/>
        </w:rPr>
        <w:t xml:space="preserve"> </w:t>
      </w:r>
      <w:r w:rsidRPr="001B45BE">
        <w:rPr>
          <w:i/>
          <w:color w:val="000000"/>
        </w:rPr>
        <w:t>Leading:</w:t>
      </w:r>
      <w:r w:rsidRPr="001B45BE">
        <w:rPr>
          <w:color w:val="000000"/>
        </w:rPr>
        <w:t xml:space="preserve"> </w:t>
      </w:r>
      <w:proofErr w:type="spellStart"/>
      <w:r w:rsidRPr="001B45BE">
        <w:rPr>
          <w:color w:val="000000"/>
        </w:rPr>
        <w:t>Leher</w:t>
      </w:r>
      <w:proofErr w:type="spellEnd"/>
      <w:r w:rsidRPr="001B45BE">
        <w:rPr>
          <w:color w:val="000000"/>
        </w:rPr>
        <w:t xml:space="preserve"> Singh, Mihaela D. </w:t>
      </w:r>
      <w:proofErr w:type="spellStart"/>
      <w:r w:rsidRPr="001B45BE">
        <w:rPr>
          <w:color w:val="000000"/>
        </w:rPr>
        <w:t>Barokova</w:t>
      </w:r>
      <w:proofErr w:type="spellEnd"/>
      <w:r w:rsidRPr="001B45BE">
        <w:rPr>
          <w:color w:val="000000"/>
        </w:rPr>
        <w:t xml:space="preserve">, Heidi A. Baumgartner, Michael C. Frank. </w:t>
      </w:r>
      <w:r w:rsidRPr="001B45BE">
        <w:rPr>
          <w:i/>
          <w:color w:val="000000"/>
        </w:rPr>
        <w:t>Supporting:</w:t>
      </w:r>
      <w:r w:rsidRPr="001B45BE">
        <w:rPr>
          <w:color w:val="000000"/>
        </w:rPr>
        <w:t xml:space="preserve"> Diana C. Lopera-Perez, Paul Okyere </w:t>
      </w:r>
      <w:proofErr w:type="spellStart"/>
      <w:r w:rsidRPr="001B45BE">
        <w:rPr>
          <w:color w:val="000000"/>
        </w:rPr>
        <w:t>Omane</w:t>
      </w:r>
      <w:proofErr w:type="spellEnd"/>
      <w:r w:rsidRPr="001B45BE">
        <w:rPr>
          <w:color w:val="000000"/>
        </w:rPr>
        <w:t xml:space="preserve">, Mark </w:t>
      </w:r>
      <w:proofErr w:type="spellStart"/>
      <w:r w:rsidRPr="001B45BE">
        <w:rPr>
          <w:color w:val="000000"/>
        </w:rPr>
        <w:t>Sheskin</w:t>
      </w:r>
      <w:proofErr w:type="spellEnd"/>
      <w:r w:rsidRPr="001B45BE">
        <w:rPr>
          <w:color w:val="000000"/>
        </w:rPr>
        <w:t xml:space="preserve">, Francis L. Yuen, Yang Wu, Katherine J. </w:t>
      </w:r>
      <w:proofErr w:type="spellStart"/>
      <w:r w:rsidRPr="001B45BE">
        <w:rPr>
          <w:color w:val="000000"/>
        </w:rPr>
        <w:t>Alcock</w:t>
      </w:r>
      <w:proofErr w:type="spellEnd"/>
      <w:r w:rsidRPr="001B45BE">
        <w:rPr>
          <w:color w:val="000000"/>
        </w:rPr>
        <w:t xml:space="preserve">, Marina </w:t>
      </w:r>
      <w:proofErr w:type="spellStart"/>
      <w:r w:rsidRPr="001B45BE">
        <w:rPr>
          <w:color w:val="000000"/>
        </w:rPr>
        <w:t>Bazhydai</w:t>
      </w:r>
      <w:proofErr w:type="spellEnd"/>
      <w:r w:rsidRPr="001B45BE">
        <w:rPr>
          <w:color w:val="000000"/>
        </w:rPr>
        <w:t xml:space="preserve">, Kin Chung Jacky Chan, Hu </w:t>
      </w:r>
      <w:proofErr w:type="spellStart"/>
      <w:r w:rsidRPr="001B45BE">
        <w:rPr>
          <w:color w:val="000000"/>
        </w:rPr>
        <w:t>Chuan</w:t>
      </w:r>
      <w:proofErr w:type="spellEnd"/>
      <w:r w:rsidRPr="001B45BE">
        <w:rPr>
          <w:color w:val="000000"/>
        </w:rPr>
        <w:t xml:space="preserve">-Peng, Rodrigo Dal Ben, Laura </w:t>
      </w:r>
      <w:proofErr w:type="spellStart"/>
      <w:r w:rsidRPr="001B45BE">
        <w:rPr>
          <w:color w:val="000000"/>
        </w:rPr>
        <w:t>Franchin</w:t>
      </w:r>
      <w:proofErr w:type="spellEnd"/>
      <w:r w:rsidRPr="001B45BE">
        <w:rPr>
          <w:color w:val="000000"/>
        </w:rPr>
        <w:t xml:space="preserve">, Jessica E. </w:t>
      </w:r>
      <w:proofErr w:type="spellStart"/>
      <w:r w:rsidRPr="001B45BE">
        <w:rPr>
          <w:color w:val="000000"/>
        </w:rPr>
        <w:t>Kosie</w:t>
      </w:r>
      <w:proofErr w:type="spellEnd"/>
      <w:r w:rsidRPr="001B45BE">
        <w:rPr>
          <w:color w:val="000000"/>
        </w:rPr>
        <w:t xml:space="preserve">, Casey Lew-Williams, Asana Okocha, Tilman </w:t>
      </w:r>
      <w:proofErr w:type="spellStart"/>
      <w:r w:rsidRPr="001B45BE">
        <w:rPr>
          <w:color w:val="000000"/>
        </w:rPr>
        <w:t>Reinelt</w:t>
      </w:r>
      <w:proofErr w:type="spellEnd"/>
      <w:r w:rsidRPr="001B45BE">
        <w:rPr>
          <w:color w:val="000000"/>
        </w:rPr>
        <w:t xml:space="preserve">, Tobias </w:t>
      </w:r>
      <w:proofErr w:type="spellStart"/>
      <w:r w:rsidRPr="001B45BE">
        <w:rPr>
          <w:color w:val="000000"/>
        </w:rPr>
        <w:t>Schuwerk</w:t>
      </w:r>
      <w:proofErr w:type="spellEnd"/>
      <w:r w:rsidRPr="001B45BE">
        <w:rPr>
          <w:color w:val="000000"/>
        </w:rPr>
        <w:t xml:space="preserve">, Melanie </w:t>
      </w:r>
      <w:proofErr w:type="spellStart"/>
      <w:r w:rsidRPr="001B45BE">
        <w:rPr>
          <w:color w:val="000000"/>
        </w:rPr>
        <w:t>Soderstrom</w:t>
      </w:r>
      <w:proofErr w:type="spellEnd"/>
      <w:r w:rsidRPr="001B45BE">
        <w:rPr>
          <w:color w:val="000000"/>
        </w:rPr>
        <w:t xml:space="preserve">, Angeline S. M. </w:t>
      </w:r>
      <w:proofErr w:type="spellStart"/>
      <w:r w:rsidRPr="001B45BE">
        <w:rPr>
          <w:color w:val="000000"/>
        </w:rPr>
        <w:t>Tsui</w:t>
      </w:r>
      <w:proofErr w:type="spellEnd"/>
      <w:r w:rsidRPr="001B45BE">
        <w:rPr>
          <w:color w:val="000000"/>
        </w:rPr>
        <w:t>.</w:t>
      </w:r>
    </w:p>
    <w:p w14:paraId="7DC49099" w14:textId="77777777" w:rsidR="001B45BE" w:rsidRPr="001B45BE" w:rsidRDefault="001B45BE" w:rsidP="001B45BE">
      <w:pPr>
        <w:spacing w:line="276" w:lineRule="auto"/>
        <w:ind w:firstLine="0"/>
        <w:rPr>
          <w:color w:val="000000"/>
          <w:u w:val="single"/>
        </w:rPr>
      </w:pPr>
      <w:r w:rsidRPr="001B45BE">
        <w:rPr>
          <w:color w:val="000000"/>
          <w:u w:val="single"/>
        </w:rPr>
        <w:lastRenderedPageBreak/>
        <w:t>Acknowledgments</w:t>
      </w:r>
    </w:p>
    <w:p w14:paraId="78EC4739" w14:textId="77777777" w:rsidR="001B45BE" w:rsidRPr="001B45BE" w:rsidRDefault="001B45BE" w:rsidP="001B45BE">
      <w:pPr>
        <w:spacing w:line="276" w:lineRule="auto"/>
        <w:ind w:firstLine="0"/>
        <w:rPr>
          <w:color w:val="000000"/>
          <w:u w:val="single"/>
        </w:rPr>
      </w:pPr>
    </w:p>
    <w:p w14:paraId="1B754979" w14:textId="77777777" w:rsidR="001B45BE" w:rsidRPr="001B45BE" w:rsidRDefault="001B45BE" w:rsidP="001B45BE">
      <w:pPr>
        <w:spacing w:line="276" w:lineRule="auto"/>
        <w:ind w:firstLine="0"/>
        <w:rPr>
          <w:color w:val="000000"/>
        </w:rPr>
      </w:pPr>
      <w:r w:rsidRPr="001B45BE">
        <w:t>Kin C</w:t>
      </w:r>
      <w:r w:rsidRPr="001B45BE">
        <w:rPr>
          <w:color w:val="000000"/>
        </w:rPr>
        <w:t xml:space="preserve">hung Jacky Chan was supported by Economic and Social Research Council [ES/S007113/1 and ES/L008955/1]; Casey Lew-Williams was supported by Global Collaborative Network Grant from Princeton University; Data-Driven Social Sciences Grant from Princeton University; Mark </w:t>
      </w:r>
      <w:proofErr w:type="spellStart"/>
      <w:r w:rsidRPr="001B45BE">
        <w:rPr>
          <w:color w:val="000000"/>
        </w:rPr>
        <w:t>Sheskin</w:t>
      </w:r>
      <w:proofErr w:type="spellEnd"/>
      <w:r w:rsidRPr="001B45BE">
        <w:rPr>
          <w:color w:val="000000"/>
        </w:rPr>
        <w:t xml:space="preserve"> was supported by NSF 2042489; Jessica E. </w:t>
      </w:r>
      <w:proofErr w:type="spellStart"/>
      <w:r w:rsidRPr="001B45BE">
        <w:rPr>
          <w:color w:val="000000"/>
        </w:rPr>
        <w:t>Kosie</w:t>
      </w:r>
      <w:proofErr w:type="spellEnd"/>
      <w:r w:rsidRPr="001B45BE">
        <w:rPr>
          <w:color w:val="000000"/>
        </w:rPr>
        <w:t xml:space="preserve"> was supported by NSF SBE 2004983; NIH F32 HD103439; Einstein Foundation Early Career Award; </w:t>
      </w:r>
      <w:proofErr w:type="spellStart"/>
      <w:r w:rsidRPr="001B45BE">
        <w:rPr>
          <w:color w:val="000000"/>
        </w:rPr>
        <w:t>Leher</w:t>
      </w:r>
      <w:proofErr w:type="spellEnd"/>
      <w:r w:rsidRPr="001B45BE">
        <w:rPr>
          <w:color w:val="000000"/>
        </w:rPr>
        <w:t xml:space="preserve"> Singh was supported by ODPRT Grant for Research Excellence</w:t>
      </w:r>
      <w:r w:rsidRPr="001B45BE">
        <w:t xml:space="preserve">; Melanie </w:t>
      </w:r>
      <w:proofErr w:type="spellStart"/>
      <w:r w:rsidRPr="001B45BE">
        <w:t>Soderstrom</w:t>
      </w:r>
      <w:proofErr w:type="spellEnd"/>
      <w:r w:rsidRPr="001B45BE">
        <w:t xml:space="preserve"> was supported by a Social Sciences and Humanities Research Council of Canada Partnership Development grant GR019187</w:t>
      </w:r>
      <w:r w:rsidRPr="001B45BE">
        <w:rPr>
          <w:color w:val="000000"/>
        </w:rPr>
        <w:t>.</w:t>
      </w:r>
    </w:p>
    <w:p w14:paraId="7D9072DB" w14:textId="77777777" w:rsidR="001B45BE" w:rsidRPr="001B45BE" w:rsidRDefault="001B45BE" w:rsidP="001B45BE">
      <w:pPr>
        <w:spacing w:line="276" w:lineRule="auto"/>
        <w:ind w:firstLine="0"/>
        <w:rPr>
          <w:color w:val="000000"/>
        </w:rPr>
      </w:pPr>
    </w:p>
    <w:p w14:paraId="29933BD6" w14:textId="77777777" w:rsidR="001B45BE" w:rsidRPr="001B45BE" w:rsidRDefault="001B45BE" w:rsidP="001B45BE">
      <w:pPr>
        <w:spacing w:line="276" w:lineRule="auto"/>
        <w:ind w:firstLine="0"/>
        <w:rPr>
          <w:color w:val="000000"/>
          <w:u w:val="single"/>
        </w:rPr>
      </w:pPr>
      <w:r w:rsidRPr="001B45BE">
        <w:rPr>
          <w:color w:val="000000"/>
          <w:u w:val="single"/>
        </w:rPr>
        <w:t>Address for correspondence</w:t>
      </w:r>
    </w:p>
    <w:p w14:paraId="106B5963" w14:textId="77777777" w:rsidR="001B45BE" w:rsidRPr="001B45BE" w:rsidRDefault="001B45BE" w:rsidP="001B45BE">
      <w:pPr>
        <w:pBdr>
          <w:top w:val="nil"/>
          <w:left w:val="nil"/>
          <w:bottom w:val="nil"/>
          <w:right w:val="nil"/>
          <w:between w:val="nil"/>
        </w:pBdr>
        <w:spacing w:line="240" w:lineRule="auto"/>
        <w:ind w:firstLine="0"/>
        <w:rPr>
          <w:color w:val="000000"/>
        </w:rPr>
      </w:pPr>
      <w:r w:rsidRPr="001B45BE">
        <w:rPr>
          <w:color w:val="000000"/>
        </w:rPr>
        <w:t xml:space="preserve">Correspondence concerning this article should be addressed to </w:t>
      </w:r>
      <w:proofErr w:type="spellStart"/>
      <w:r w:rsidRPr="001B45BE">
        <w:rPr>
          <w:color w:val="000000"/>
        </w:rPr>
        <w:t>Leher</w:t>
      </w:r>
      <w:proofErr w:type="spellEnd"/>
      <w:r w:rsidRPr="001B45BE">
        <w:rPr>
          <w:color w:val="000000"/>
        </w:rPr>
        <w:t xml:space="preserve"> Singh, Department of Psychology, National University of Singapore, 9 Arts Link, Singapore 117570 (psyls@nus.edu.sg)</w:t>
      </w:r>
    </w:p>
    <w:p w14:paraId="0150D9E0" w14:textId="77777777" w:rsidR="001B45BE" w:rsidRPr="001B45BE" w:rsidRDefault="001B45BE" w:rsidP="001B45BE">
      <w:pPr>
        <w:spacing w:line="276" w:lineRule="auto"/>
        <w:ind w:firstLine="0"/>
        <w:rPr>
          <w:color w:val="000000"/>
          <w:u w:val="single"/>
        </w:rPr>
      </w:pPr>
    </w:p>
    <w:p w14:paraId="15C30E9D" w14:textId="77777777" w:rsidR="001B45BE" w:rsidRPr="001B45BE" w:rsidRDefault="001B45BE" w:rsidP="001B45BE">
      <w:pPr>
        <w:spacing w:line="276" w:lineRule="auto"/>
        <w:ind w:firstLine="0"/>
        <w:jc w:val="center"/>
        <w:rPr>
          <w:color w:val="000000"/>
        </w:rPr>
      </w:pPr>
    </w:p>
    <w:p w14:paraId="77146544" w14:textId="77777777" w:rsidR="001B45BE" w:rsidRPr="001B45BE" w:rsidRDefault="001B45BE" w:rsidP="001B45BE">
      <w:pPr>
        <w:spacing w:line="276" w:lineRule="auto"/>
        <w:ind w:firstLine="0"/>
        <w:rPr>
          <w:color w:val="000000"/>
        </w:rPr>
      </w:pPr>
      <w:r w:rsidRPr="001B45BE">
        <w:rPr>
          <w:color w:val="000000"/>
        </w:rPr>
        <w:t>RUNNING HEAD: Reporting demographic data</w:t>
      </w:r>
    </w:p>
    <w:p w14:paraId="647DCAF0" w14:textId="77777777" w:rsidR="001B45BE" w:rsidRPr="001B45BE" w:rsidRDefault="001B45BE" w:rsidP="001B45BE">
      <w:pPr>
        <w:spacing w:line="276" w:lineRule="auto"/>
        <w:ind w:firstLine="0"/>
        <w:rPr>
          <w:color w:val="000000"/>
        </w:rPr>
      </w:pPr>
    </w:p>
    <w:p w14:paraId="48DF4AB4" w14:textId="77777777" w:rsidR="001B45BE" w:rsidRPr="001B45BE" w:rsidRDefault="001B45BE" w:rsidP="001B45BE"/>
    <w:p w14:paraId="09AB60A0" w14:textId="77777777" w:rsidR="001B68A8" w:rsidRPr="001B45BE" w:rsidRDefault="001B68A8">
      <w:r w:rsidRPr="001B45BE">
        <w:br w:type="page"/>
      </w:r>
    </w:p>
    <w:p w14:paraId="71D154A8" w14:textId="79FA1282" w:rsidR="00F854BC" w:rsidRPr="001B45BE" w:rsidRDefault="00F854BC" w:rsidP="001B45BE">
      <w:pPr>
        <w:ind w:firstLine="0"/>
      </w:pPr>
    </w:p>
    <w:p w14:paraId="06A9A0FA" w14:textId="77777777" w:rsidR="00F854BC" w:rsidRPr="001B45BE" w:rsidRDefault="00F854BC">
      <w:pPr>
        <w:spacing w:line="480" w:lineRule="auto"/>
        <w:rPr>
          <w:b/>
          <w:color w:val="000000"/>
        </w:rPr>
      </w:pPr>
    </w:p>
    <w:p w14:paraId="349158AF" w14:textId="77777777" w:rsidR="00F854BC" w:rsidRPr="001B45BE" w:rsidRDefault="00000000">
      <w:pPr>
        <w:spacing w:line="480" w:lineRule="auto"/>
        <w:ind w:firstLine="0"/>
        <w:jc w:val="center"/>
        <w:rPr>
          <w:b/>
          <w:color w:val="000000"/>
        </w:rPr>
      </w:pPr>
      <w:r w:rsidRPr="001B45BE">
        <w:rPr>
          <w:b/>
          <w:color w:val="000000"/>
        </w:rPr>
        <w:t>Abstract</w:t>
      </w:r>
    </w:p>
    <w:p w14:paraId="3B97B798" w14:textId="65A7B473" w:rsidR="00575125" w:rsidRDefault="00000000">
      <w:pPr>
        <w:spacing w:line="480" w:lineRule="auto"/>
        <w:rPr>
          <w:color w:val="000000"/>
        </w:rPr>
      </w:pPr>
      <w:r w:rsidRPr="001B45BE">
        <w:rPr>
          <w:color w:val="000000"/>
        </w:rPr>
        <w:t xml:space="preserve">Culture is a key determinant of children’s development both in its own right and </w:t>
      </w:r>
      <w:r w:rsidR="0012563F">
        <w:rPr>
          <w:color w:val="000000"/>
        </w:rPr>
        <w:t>as a measure of</w:t>
      </w:r>
      <w:r w:rsidRPr="001B45BE">
        <w:rPr>
          <w:color w:val="000000"/>
        </w:rPr>
        <w:t xml:space="preserve"> generalizability of developmental phenomena. Studying the role of culture in development requires information about participants’ demographic backgrounds. However, both reporting and treatment of demographic data are limited and inconsistent in child development research. A barrier to reporting demographic data in a consistent fashion is that no standardized tool currently exists to collect these data. Variation in cultural expectations, family structures, and life circumstances across communities make the creation of a unifying instrument challenging. Here, we present a framework to standardize demographic reporting for early child development (birth to 3 years of age), focusing on six core sociodemographic construct categories: biological information, gestational status, health status, community of descent, caregiving environment, and socioeconomic status. For each category, we discuss potential constructs and measurement items and provide guidance for their use and adaptation to diverse contexts. These items are stored in an open repository of context-adapted questionnaires that provide a consistent approach to obtaining and reporting demographic information so that these data can be archived and shared in a more standardized format. </w:t>
      </w:r>
    </w:p>
    <w:p w14:paraId="148DCF3B" w14:textId="182F32CE" w:rsidR="00575125" w:rsidRPr="00575125" w:rsidRDefault="00575125" w:rsidP="00575125">
      <w:pPr>
        <w:spacing w:line="480" w:lineRule="auto"/>
        <w:ind w:firstLine="0"/>
        <w:rPr>
          <w:color w:val="000000"/>
          <w:u w:val="single"/>
        </w:rPr>
      </w:pPr>
      <w:r w:rsidRPr="00575125">
        <w:rPr>
          <w:color w:val="000000"/>
          <w:u w:val="single"/>
        </w:rPr>
        <w:t>Public Significance Statement</w:t>
      </w:r>
    </w:p>
    <w:p w14:paraId="4703FE73" w14:textId="466B1191" w:rsidR="00F854BC" w:rsidRPr="001B45BE" w:rsidRDefault="00000000" w:rsidP="00575125">
      <w:pPr>
        <w:spacing w:line="480" w:lineRule="auto"/>
        <w:ind w:firstLine="0"/>
        <w:rPr>
          <w:color w:val="000000"/>
        </w:rPr>
      </w:pPr>
      <w:r w:rsidRPr="001B45BE">
        <w:rPr>
          <w:color w:val="000000"/>
        </w:rPr>
        <w:t>The public significance of this work is to facilitate identification and diversification of samples within developmental psychology by providing a framework for capturing demographic diversity.</w:t>
      </w:r>
    </w:p>
    <w:p w14:paraId="7F45698D" w14:textId="77777777" w:rsidR="00F854BC" w:rsidRPr="001B45BE" w:rsidRDefault="00F854BC">
      <w:pPr>
        <w:spacing w:line="480" w:lineRule="auto"/>
        <w:ind w:firstLine="0"/>
        <w:rPr>
          <w:color w:val="000000"/>
        </w:rPr>
      </w:pPr>
    </w:p>
    <w:p w14:paraId="52C7BB66" w14:textId="77777777" w:rsidR="00F854BC" w:rsidRPr="001B45BE" w:rsidRDefault="00000000" w:rsidP="00E0753D">
      <w:pPr>
        <w:pStyle w:val="Heading1"/>
        <w:spacing w:line="480" w:lineRule="auto"/>
        <w:ind w:firstLine="0"/>
        <w:rPr>
          <w:color w:val="000000"/>
        </w:rPr>
      </w:pPr>
      <w:bookmarkStart w:id="0" w:name="_heading=h.gjdgxs" w:colFirst="0" w:colLast="0"/>
      <w:bookmarkEnd w:id="0"/>
      <w:r w:rsidRPr="001B45BE">
        <w:rPr>
          <w:color w:val="000000"/>
        </w:rPr>
        <w:lastRenderedPageBreak/>
        <w:t>Introduction</w:t>
      </w:r>
    </w:p>
    <w:p w14:paraId="536D2753" w14:textId="77777777" w:rsidR="00F854BC" w:rsidRPr="001B45BE" w:rsidRDefault="00000000">
      <w:pPr>
        <w:spacing w:line="480" w:lineRule="auto"/>
        <w:rPr>
          <w:color w:val="000000"/>
        </w:rPr>
      </w:pPr>
      <w:r w:rsidRPr="001B45BE">
        <w:rPr>
          <w:color w:val="000000"/>
        </w:rPr>
        <w:t xml:space="preserve">Human behavior is deeply embedded in a sociocultural context (Arnett, 2009; Henrich et al., 2010; </w:t>
      </w:r>
      <w:proofErr w:type="spellStart"/>
      <w:r w:rsidRPr="001B45BE">
        <w:rPr>
          <w:color w:val="000000"/>
        </w:rPr>
        <w:t>Rozin</w:t>
      </w:r>
      <w:proofErr w:type="spellEnd"/>
      <w:r w:rsidRPr="001B45BE">
        <w:rPr>
          <w:color w:val="000000"/>
        </w:rPr>
        <w:t xml:space="preserve">, 2006). Even seemingly basic developmental processes, evident in young infants, vary significantly across cultures (Nielsen &amp; </w:t>
      </w:r>
      <w:proofErr w:type="spellStart"/>
      <w:r w:rsidRPr="001B45BE">
        <w:rPr>
          <w:color w:val="000000"/>
        </w:rPr>
        <w:t>Haun</w:t>
      </w:r>
      <w:proofErr w:type="spellEnd"/>
      <w:r w:rsidRPr="001B45BE">
        <w:rPr>
          <w:color w:val="000000"/>
        </w:rPr>
        <w:t xml:space="preserve">, 2016). For example, infants from different cultural contexts differ in how they attach to caregivers (Keller, 2018), when and how they learn to walk (Adolph &amp; Hoch, 2019), and what they say when they begin to talk (Frank et al., 2021; Tardif et al., 2008). Human development from its inception therefore reflects the process of enculturation and cannot be isolated from the context in which it is expressed (Dahl, 2017). </w:t>
      </w:r>
    </w:p>
    <w:p w14:paraId="1D8A6AE1" w14:textId="37B5FBE7" w:rsidR="00F854BC" w:rsidRPr="001B45BE" w:rsidRDefault="00000000">
      <w:pPr>
        <w:spacing w:line="480" w:lineRule="auto"/>
        <w:rPr>
          <w:color w:val="000000"/>
        </w:rPr>
      </w:pPr>
      <w:r w:rsidRPr="001B45BE">
        <w:rPr>
          <w:color w:val="000000"/>
        </w:rPr>
        <w:t xml:space="preserve">In spite of clear evidence that behaviors in both naturalistic and experimental situations are influenced by daily lived experience (see Rogoff et al., 2018), demographic information about children in relation to their sociocultural context is often notably absent from the research record (Singh, </w:t>
      </w:r>
      <w:proofErr w:type="spellStart"/>
      <w:r w:rsidRPr="001B45BE">
        <w:rPr>
          <w:color w:val="000000"/>
        </w:rPr>
        <w:t>Cristia</w:t>
      </w:r>
      <w:proofErr w:type="spellEnd"/>
      <w:r w:rsidRPr="001B45BE">
        <w:rPr>
          <w:color w:val="000000"/>
        </w:rPr>
        <w:t>, et al., 2023</w:t>
      </w:r>
      <w:r w:rsidR="002A083B">
        <w:rPr>
          <w:color w:val="000000"/>
        </w:rPr>
        <w:t>a</w:t>
      </w:r>
      <w:r w:rsidRPr="001B45BE">
        <w:rPr>
          <w:color w:val="000000"/>
        </w:rPr>
        <w:t xml:space="preserve">). At the same time, reporting requirements increasingly mandate the provision of demographic information (e.g., </w:t>
      </w:r>
      <w:proofErr w:type="spellStart"/>
      <w:r w:rsidRPr="001B45BE">
        <w:rPr>
          <w:color w:val="000000"/>
        </w:rPr>
        <w:t>Roisman</w:t>
      </w:r>
      <w:proofErr w:type="spellEnd"/>
      <w:r w:rsidRPr="001B45BE">
        <w:rPr>
          <w:color w:val="000000"/>
        </w:rPr>
        <w:t>, 2021). It is therefore becoming more important to create standards for the systematic collection of demographic data. The purpose of the current paper is to address these important issues by providing investigators with a framework to guide the collection of basic demographic information in studies of early child development. We focus here on collecting demographic data from research participants from birth to three years of age.</w:t>
      </w:r>
    </w:p>
    <w:p w14:paraId="6232F767" w14:textId="3BA2A3CF" w:rsidR="00F854BC" w:rsidRPr="001B45BE" w:rsidRDefault="00000000">
      <w:pPr>
        <w:spacing w:line="480" w:lineRule="auto"/>
        <w:rPr>
          <w:color w:val="000000"/>
        </w:rPr>
      </w:pPr>
      <w:r w:rsidRPr="001B45BE">
        <w:rPr>
          <w:color w:val="000000"/>
        </w:rPr>
        <w:t xml:space="preserve">There are major gaps in our knowledge about demographic information of participants in research at this early stage of development. A detailed analysis of over 1600 empirical papers sampling approximately 1 million participants, published with typically developing young children (birth to 30 months) over a 12-year period (2011 to 2022 inclusive) in mainstream </w:t>
      </w:r>
      <w:r w:rsidRPr="001B45BE">
        <w:rPr>
          <w:color w:val="000000"/>
        </w:rPr>
        <w:lastRenderedPageBreak/>
        <w:t>developmental journals (</w:t>
      </w:r>
      <w:r w:rsidRPr="001B45BE">
        <w:rPr>
          <w:i/>
          <w:color w:val="000000"/>
        </w:rPr>
        <w:t>Developmental Psychology, Developmental Science, Infancy, Child Development</w:t>
      </w:r>
      <w:r w:rsidRPr="001B45BE">
        <w:rPr>
          <w:color w:val="000000"/>
        </w:rPr>
        <w:t xml:space="preserve">), </w:t>
      </w:r>
      <w:r w:rsidRPr="001B45BE">
        <w:t>revealed</w:t>
      </w:r>
      <w:r w:rsidRPr="001B45BE">
        <w:rPr>
          <w:color w:val="000000"/>
        </w:rPr>
        <w:t xml:space="preserve"> that the majority of studies did not provide information about the race/ethnicity, socioeconomic status (SES), and even site of data collection of participants (Singh, </w:t>
      </w:r>
      <w:proofErr w:type="spellStart"/>
      <w:r w:rsidRPr="001B45BE">
        <w:rPr>
          <w:color w:val="000000"/>
        </w:rPr>
        <w:t>Cristi</w:t>
      </w:r>
      <w:r w:rsidRPr="001B45BE">
        <w:t>a</w:t>
      </w:r>
      <w:proofErr w:type="spellEnd"/>
      <w:r w:rsidRPr="001B45BE">
        <w:t>,</w:t>
      </w:r>
      <w:r w:rsidRPr="001B45BE">
        <w:rPr>
          <w:color w:val="000000"/>
        </w:rPr>
        <w:t xml:space="preserve"> et al., 2023</w:t>
      </w:r>
      <w:r w:rsidR="002A083B">
        <w:rPr>
          <w:color w:val="000000"/>
        </w:rPr>
        <w:t>a</w:t>
      </w:r>
      <w:r w:rsidRPr="001B45BE">
        <w:rPr>
          <w:color w:val="000000"/>
        </w:rPr>
        <w:t>). Over time, there was no noticeable increase in provision of demographic data in spite of increasing concerns about a lack of sociodemographic diversity in developmental research. The majority of studies that did report demographic data collected data from White participants, a trend which remained stable over the 12-year window. In addition, the vast majority of data were collected in North America and Western Europe (Figure 1). This finding suggests that we know relatively little about the sociodemographic characteristics of developmental samples, and what we do know reflects a strong imbalance in participant representation.</w:t>
      </w:r>
    </w:p>
    <w:p w14:paraId="584A1710" w14:textId="62DBE250" w:rsidR="00F854BC" w:rsidRPr="001B45BE" w:rsidRDefault="00000000">
      <w:pPr>
        <w:spacing w:line="480" w:lineRule="auto"/>
        <w:rPr>
          <w:color w:val="000000"/>
        </w:rPr>
      </w:pPr>
      <w:r w:rsidRPr="001B45BE">
        <w:rPr>
          <w:color w:val="000000"/>
        </w:rPr>
        <w:t>We provide three primary reasons to collect and report demographic data. First, demographic data is critical to our understanding of generalizability of research data. Findings from research on early childhood have been used to drive and support very broad theories of innateness, universality of human behavior, and the initial state of psychological organization (</w:t>
      </w:r>
      <w:proofErr w:type="spellStart"/>
      <w:r w:rsidRPr="001B45BE">
        <w:rPr>
          <w:color w:val="000000"/>
        </w:rPr>
        <w:t>Simion</w:t>
      </w:r>
      <w:proofErr w:type="spellEnd"/>
      <w:r w:rsidRPr="001B45BE">
        <w:rPr>
          <w:color w:val="000000"/>
        </w:rPr>
        <w:t xml:space="preserve"> &amp; Butterworth, 1998; see also Sameroff, 2010). Broad generalization is further compounded by the fact that sample sizes in early childhood research are often small (Oakes, 2017) and demographically homogeneous (Singh, </w:t>
      </w:r>
      <w:proofErr w:type="spellStart"/>
      <w:r w:rsidRPr="001B45BE">
        <w:rPr>
          <w:color w:val="000000"/>
        </w:rPr>
        <w:t>Cris</w:t>
      </w:r>
      <w:r w:rsidRPr="001B45BE">
        <w:t>tia</w:t>
      </w:r>
      <w:proofErr w:type="spellEnd"/>
      <w:r w:rsidRPr="001B45BE">
        <w:t>,</w:t>
      </w:r>
      <w:r w:rsidRPr="001B45BE">
        <w:rPr>
          <w:color w:val="000000"/>
        </w:rPr>
        <w:t xml:space="preserve"> et al., 2023</w:t>
      </w:r>
      <w:r w:rsidR="002A083B">
        <w:rPr>
          <w:color w:val="000000"/>
        </w:rPr>
        <w:t>a</w:t>
      </w:r>
      <w:r w:rsidRPr="001B45BE">
        <w:rPr>
          <w:color w:val="000000"/>
        </w:rPr>
        <w:t>). The practice of broad generalization from narrow sampling, without consideration of sociodemographic details or cultural context, may contribute significantly to the lack of replicability and stability in basic findings in developmental research (Bergmann et al., 2018; Davis-Kean &amp; Ellis, 2019). A cumulative, generalizable, and replicable science requires that sample characteristics which may modulate and contextualize young children’s behaviors are clearly defined and reported.</w:t>
      </w:r>
    </w:p>
    <w:p w14:paraId="2D63A930" w14:textId="77777777" w:rsidR="00F854BC" w:rsidRPr="001B45BE" w:rsidRDefault="00000000">
      <w:pPr>
        <w:spacing w:line="480" w:lineRule="auto"/>
        <w:rPr>
          <w:color w:val="000000"/>
        </w:rPr>
      </w:pPr>
      <w:r w:rsidRPr="001B45BE">
        <w:rPr>
          <w:noProof/>
          <w:color w:val="000000"/>
        </w:rPr>
        <w:lastRenderedPageBreak/>
        <w:drawing>
          <wp:inline distT="0" distB="0" distL="0" distR="0" wp14:anchorId="22CFDE9D" wp14:editId="1B9BE3A9">
            <wp:extent cx="4547012" cy="3089636"/>
            <wp:effectExtent l="0" t="0" r="0" b="0"/>
            <wp:docPr id="110004513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4547012" cy="3089636"/>
                    </a:xfrm>
                    <a:prstGeom prst="rect">
                      <a:avLst/>
                    </a:prstGeom>
                    <a:ln/>
                  </pic:spPr>
                </pic:pic>
              </a:graphicData>
            </a:graphic>
          </wp:inline>
        </w:drawing>
      </w:r>
    </w:p>
    <w:p w14:paraId="635E7140" w14:textId="77777777" w:rsidR="00F854BC" w:rsidRPr="001B45BE" w:rsidRDefault="00F854BC">
      <w:pPr>
        <w:spacing w:line="480" w:lineRule="auto"/>
        <w:jc w:val="center"/>
        <w:rPr>
          <w:color w:val="000000"/>
        </w:rPr>
      </w:pPr>
    </w:p>
    <w:p w14:paraId="392B83C9" w14:textId="65E3234D" w:rsidR="00F854BC" w:rsidRPr="001B45BE" w:rsidRDefault="00000000">
      <w:pPr>
        <w:spacing w:line="240" w:lineRule="auto"/>
        <w:ind w:firstLine="0"/>
        <w:rPr>
          <w:i/>
          <w:color w:val="000000"/>
        </w:rPr>
      </w:pPr>
      <w:r w:rsidRPr="001B45BE">
        <w:rPr>
          <w:i/>
          <w:color w:val="000000"/>
        </w:rPr>
        <w:t>Figure 1. Number of studies by world region from published studies on infant development in Child Development, Developmental Psychology, Developmental Science, and Infancy (2011 to 2022 inclusive) (</w:t>
      </w:r>
      <w:r w:rsidR="002A083B">
        <w:rPr>
          <w:i/>
          <w:color w:val="000000"/>
        </w:rPr>
        <w:t>Singh et al., 2023b</w:t>
      </w:r>
      <w:r w:rsidRPr="001B45BE">
        <w:rPr>
          <w:i/>
          <w:color w:val="000000"/>
        </w:rPr>
        <w:t>).</w:t>
      </w:r>
    </w:p>
    <w:p w14:paraId="556B8033" w14:textId="77777777" w:rsidR="00F854BC" w:rsidRPr="001B45BE" w:rsidRDefault="00F854BC">
      <w:pPr>
        <w:spacing w:line="240" w:lineRule="auto"/>
        <w:ind w:firstLine="0"/>
        <w:rPr>
          <w:i/>
          <w:color w:val="000000"/>
        </w:rPr>
      </w:pPr>
    </w:p>
    <w:p w14:paraId="1821F7A0" w14:textId="77777777" w:rsidR="00F854BC" w:rsidRPr="001B45BE" w:rsidRDefault="00000000">
      <w:pPr>
        <w:spacing w:line="480" w:lineRule="auto"/>
        <w:rPr>
          <w:color w:val="000000"/>
        </w:rPr>
      </w:pPr>
      <w:r w:rsidRPr="001B45BE">
        <w:rPr>
          <w:color w:val="000000"/>
        </w:rPr>
        <w:t xml:space="preserve">Second, major models and theories in developmental science emphasize the importance of contextual effects in child development. We provide three examples here. </w:t>
      </w:r>
      <w:r w:rsidRPr="001B45BE">
        <w:t>T</w:t>
      </w:r>
      <w:r w:rsidRPr="001B45BE">
        <w:rPr>
          <w:color w:val="000000"/>
        </w:rPr>
        <w:t xml:space="preserve">he bio-ecological model (Bronfenbrenner &amp; Morris, 2006) suggests that child development is embedded in a series of nested systems, emphasizing the importance of characterizing children’s behavior in the context of their multiple overlapping communities and caregiving environments. </w:t>
      </w:r>
      <w:r w:rsidRPr="001B45BE">
        <w:t xml:space="preserve">Similarly, </w:t>
      </w:r>
      <w:r w:rsidRPr="001B45BE">
        <w:rPr>
          <w:color w:val="000000"/>
        </w:rPr>
        <w:t xml:space="preserve">Garcia Coll’s (1996) Integrative Model of Child Development situates child development processes and outcomes within social structures of race, ethnicity, and class. This model is predicated on a wealth of evidence that children’s ‘social address’ orients them to particular experiences that influence many core aspects of development. </w:t>
      </w:r>
      <w:r w:rsidRPr="001B45BE">
        <w:t>Finally</w:t>
      </w:r>
      <w:r w:rsidRPr="001B45BE">
        <w:rPr>
          <w:color w:val="000000"/>
        </w:rPr>
        <w:t>, Spencer’s Phenomenological Variant of Ecological Systems Theory defines children’s experiences in relation to their developmental processes and outcomes in terms of an individualized risk-to-</w:t>
      </w:r>
      <w:r w:rsidRPr="001B45BE">
        <w:rPr>
          <w:color w:val="000000"/>
        </w:rPr>
        <w:lastRenderedPageBreak/>
        <w:t>asset ratio (Spencer et al., 1997). This ratio – and an individual’s response to it – is reported to be integral to development at an individual level. Despite these theoretical emphases on environmental impact on development, the typical single-site developmental experiment cannot adequately analyze or even consider such environmental influences. To the extent that such analyses are possible, the relative absence of demographic reporting or of sociocultural context pre-empts any opportunity to examine environmental effects on behavior. Such analyses are made possible by examining accumulated evidence across different contexts (e.g., House et al., 2013). For these analyses to be possible and for models of development to be evaluated against available evidence, provision of sociodemographic variation is of critical importance.</w:t>
      </w:r>
    </w:p>
    <w:p w14:paraId="6A257975" w14:textId="288600DD" w:rsidR="00F854BC" w:rsidRPr="001B45BE" w:rsidRDefault="00000000">
      <w:pPr>
        <w:spacing w:line="480" w:lineRule="auto"/>
        <w:rPr>
          <w:color w:val="000000"/>
        </w:rPr>
      </w:pPr>
      <w:r w:rsidRPr="001B45BE">
        <w:rPr>
          <w:color w:val="000000"/>
        </w:rPr>
        <w:t xml:space="preserve">Finally, provision of sociodemographic data is increasingly important for ongoing efforts to broaden participant representation. As famously illustrated by Henrich et al. (2010; see also Arnett, 2009; Graham, 1992; </w:t>
      </w:r>
      <w:proofErr w:type="spellStart"/>
      <w:r w:rsidRPr="001B45BE">
        <w:rPr>
          <w:color w:val="000000"/>
        </w:rPr>
        <w:t>Rozin</w:t>
      </w:r>
      <w:proofErr w:type="spellEnd"/>
      <w:r w:rsidRPr="001B45BE">
        <w:rPr>
          <w:color w:val="000000"/>
        </w:rPr>
        <w:t>, 2006), psychological processes attested in 90% of samples are drawn from 7% of the global population. Developmental researchers now confront a similar reckoning due to narrow representation in child development research (</w:t>
      </w:r>
      <w:proofErr w:type="spellStart"/>
      <w:r w:rsidRPr="001B45BE">
        <w:rPr>
          <w:color w:val="000000"/>
        </w:rPr>
        <w:t>Legare</w:t>
      </w:r>
      <w:proofErr w:type="spellEnd"/>
      <w:r w:rsidRPr="001B45BE">
        <w:rPr>
          <w:color w:val="000000"/>
        </w:rPr>
        <w:t xml:space="preserve">, 2017; </w:t>
      </w:r>
      <w:proofErr w:type="spellStart"/>
      <w:r w:rsidRPr="001B45BE">
        <w:rPr>
          <w:color w:val="000000"/>
        </w:rPr>
        <w:t>Moriguchi</w:t>
      </w:r>
      <w:proofErr w:type="spellEnd"/>
      <w:r w:rsidRPr="001B45BE">
        <w:rPr>
          <w:color w:val="000000"/>
        </w:rPr>
        <w:t xml:space="preserve">, 2022; Nielsen et al., 2017; Singh, </w:t>
      </w:r>
      <w:proofErr w:type="spellStart"/>
      <w:r w:rsidRPr="001B45BE">
        <w:rPr>
          <w:color w:val="000000"/>
        </w:rPr>
        <w:t>Cri</w:t>
      </w:r>
      <w:r w:rsidRPr="001B45BE">
        <w:t>stia</w:t>
      </w:r>
      <w:proofErr w:type="spellEnd"/>
      <w:r w:rsidRPr="001B45BE">
        <w:t>,</w:t>
      </w:r>
      <w:r w:rsidRPr="001B45BE">
        <w:rPr>
          <w:color w:val="000000"/>
        </w:rPr>
        <w:t xml:space="preserve"> et al., 2023</w:t>
      </w:r>
      <w:r w:rsidR="002A083B">
        <w:rPr>
          <w:color w:val="000000"/>
        </w:rPr>
        <w:t>a</w:t>
      </w:r>
      <w:r w:rsidRPr="001B45BE">
        <w:rPr>
          <w:color w:val="000000"/>
        </w:rPr>
        <w:t xml:space="preserve">). Tracking and addressing this issue require transparency about the samples that are being reported on </w:t>
      </w:r>
      <w:r w:rsidR="008352DE" w:rsidRPr="001B45BE">
        <w:rPr>
          <w:color w:val="000000"/>
        </w:rPr>
        <w:t>which,</w:t>
      </w:r>
      <w:r w:rsidRPr="001B45BE">
        <w:rPr>
          <w:color w:val="000000"/>
        </w:rPr>
        <w:t xml:space="preserve"> furthermore, must be integrated into our interpretation of scientific findings (</w:t>
      </w:r>
      <w:proofErr w:type="spellStart"/>
      <w:r w:rsidRPr="001B45BE">
        <w:rPr>
          <w:color w:val="000000"/>
        </w:rPr>
        <w:t>Ijzerman</w:t>
      </w:r>
      <w:proofErr w:type="spellEnd"/>
      <w:r w:rsidRPr="001B45BE">
        <w:rPr>
          <w:color w:val="000000"/>
        </w:rPr>
        <w:t xml:space="preserve"> et al., 2021). Accordingly, some journals (e.g., </w:t>
      </w:r>
      <w:r w:rsidRPr="001B45BE">
        <w:rPr>
          <w:i/>
          <w:color w:val="000000"/>
        </w:rPr>
        <w:t>Child Development</w:t>
      </w:r>
      <w:r w:rsidRPr="001B45BE">
        <w:rPr>
          <w:color w:val="000000"/>
        </w:rPr>
        <w:t xml:space="preserve">; </w:t>
      </w:r>
      <w:r w:rsidRPr="001B45BE">
        <w:rPr>
          <w:i/>
          <w:color w:val="000000"/>
        </w:rPr>
        <w:t>Developmental Psychology; Developmental Science</w:t>
      </w:r>
      <w:r w:rsidRPr="001B45BE">
        <w:rPr>
          <w:color w:val="000000"/>
        </w:rPr>
        <w:t xml:space="preserve">; </w:t>
      </w:r>
      <w:r w:rsidRPr="001B45BE">
        <w:rPr>
          <w:i/>
          <w:color w:val="000000"/>
        </w:rPr>
        <w:t xml:space="preserve">Infant and Child Development) </w:t>
      </w:r>
      <w:r w:rsidRPr="001B45BE">
        <w:rPr>
          <w:color w:val="000000"/>
        </w:rPr>
        <w:t xml:space="preserve">now require some sociodemographic details regardless of whether they are relevant to the research hypotheses. There is growing awareness that demographic details are not only important to report; they have interpretative value and constrain our analyses of research data. Moving towards a more global science requires us to know not only </w:t>
      </w:r>
      <w:r w:rsidRPr="001B45BE">
        <w:rPr>
          <w:i/>
          <w:color w:val="000000"/>
        </w:rPr>
        <w:t>what</w:t>
      </w:r>
      <w:r w:rsidRPr="001B45BE">
        <w:rPr>
          <w:color w:val="000000"/>
        </w:rPr>
        <w:t xml:space="preserve"> we are studying, but </w:t>
      </w:r>
      <w:r w:rsidRPr="001B45BE">
        <w:rPr>
          <w:i/>
          <w:color w:val="000000"/>
        </w:rPr>
        <w:t>who</w:t>
      </w:r>
      <w:r w:rsidRPr="001B45BE">
        <w:rPr>
          <w:color w:val="000000"/>
        </w:rPr>
        <w:t xml:space="preserve"> we are studying.</w:t>
      </w:r>
    </w:p>
    <w:p w14:paraId="3AB17085" w14:textId="77777777" w:rsidR="00F854BC" w:rsidRPr="001B45BE" w:rsidRDefault="00000000">
      <w:pPr>
        <w:spacing w:line="480" w:lineRule="auto"/>
        <w:rPr>
          <w:color w:val="000000"/>
        </w:rPr>
      </w:pPr>
      <w:r w:rsidRPr="001B45BE">
        <w:rPr>
          <w:color w:val="000000"/>
        </w:rPr>
        <w:lastRenderedPageBreak/>
        <w:t>Despite these reasons to collect demographic information, one potential barrier is that no standardized instrument currently exists to capture these details. Rather, individual laboratories rely on their own judgment about what demographic constructs to query. Yet, consistency across labs in collecting demographic information increases both the primary value of these datasets and their value for re-use, facilitating a more cumulative science (</w:t>
      </w:r>
      <w:proofErr w:type="spellStart"/>
      <w:r w:rsidRPr="001B45BE">
        <w:rPr>
          <w:color w:val="000000"/>
        </w:rPr>
        <w:t>Roisman</w:t>
      </w:r>
      <w:proofErr w:type="spellEnd"/>
      <w:r w:rsidRPr="001B45BE">
        <w:rPr>
          <w:color w:val="000000"/>
        </w:rPr>
        <w:t xml:space="preserve">, 2021). In particular, the greater emphasis on large-scale international collaborations and consortia (e.g., </w:t>
      </w:r>
      <w:proofErr w:type="spellStart"/>
      <w:r w:rsidRPr="001B45BE">
        <w:rPr>
          <w:color w:val="000000"/>
        </w:rPr>
        <w:t>ManyBabies</w:t>
      </w:r>
      <w:proofErr w:type="spellEnd"/>
      <w:r w:rsidRPr="001B45BE">
        <w:rPr>
          <w:color w:val="000000"/>
        </w:rPr>
        <w:t xml:space="preserve"> and the Psychological Science Accelerator; Frank et al., 2017; </w:t>
      </w:r>
      <w:proofErr w:type="spellStart"/>
      <w:r w:rsidRPr="001B45BE">
        <w:rPr>
          <w:color w:val="000000"/>
        </w:rPr>
        <w:t>Moshontz</w:t>
      </w:r>
      <w:proofErr w:type="spellEnd"/>
      <w:r w:rsidRPr="001B45BE">
        <w:rPr>
          <w:color w:val="000000"/>
        </w:rPr>
        <w:t xml:space="preserve"> et al., 2018) necessitates consistent practices for capturing demographic data. Thus, aggregating across diverse sites would be facilitated by a standard approach to collecting demographic data. </w:t>
      </w:r>
    </w:p>
    <w:p w14:paraId="44367130" w14:textId="77777777" w:rsidR="00F854BC" w:rsidRPr="001B45BE" w:rsidRDefault="00000000">
      <w:pPr>
        <w:spacing w:line="480" w:lineRule="auto"/>
        <w:rPr>
          <w:color w:val="000000"/>
        </w:rPr>
      </w:pPr>
      <w:r w:rsidRPr="001B45BE">
        <w:rPr>
          <w:color w:val="000000"/>
        </w:rPr>
        <w:t xml:space="preserve">In this paper, we develop guidance for collecting sociodemographic data in research on early childhood (birth to three years). We present 1) a standard set of categories of information to be collected by developmental researchers, 2) a set of suggested constructs subsumed under these categories, and 3) guidelines for developing specific items related to these constructs and categories. </w:t>
      </w:r>
    </w:p>
    <w:p w14:paraId="77A1143A" w14:textId="77777777" w:rsidR="00F854BC" w:rsidRPr="001B45BE" w:rsidRDefault="00000000">
      <w:pPr>
        <w:spacing w:line="480" w:lineRule="auto"/>
        <w:rPr>
          <w:color w:val="000000"/>
        </w:rPr>
      </w:pPr>
      <w:r w:rsidRPr="001B45BE">
        <w:rPr>
          <w:color w:val="000000"/>
        </w:rPr>
        <w:t xml:space="preserve">At the outset, we acknowledge three important limitations. First, our framework is not all-encompassing. Our priority was to inform the expedient collection of basic demographic information. We define the lowest common denominator: demographic characteristics that should be reported at a minimum even if no others are collected. Second, our goal in identifying demographic constructs was to accurately </w:t>
      </w:r>
      <w:r w:rsidRPr="001B45BE">
        <w:t xml:space="preserve">report on </w:t>
      </w:r>
      <w:r w:rsidRPr="001B45BE">
        <w:rPr>
          <w:color w:val="000000"/>
        </w:rPr>
        <w:t>sample</w:t>
      </w:r>
      <w:r w:rsidRPr="001B45BE">
        <w:t xml:space="preserve"> characteristics</w:t>
      </w:r>
      <w:r w:rsidRPr="001B45BE">
        <w:rPr>
          <w:color w:val="000000"/>
        </w:rPr>
        <w:t xml:space="preserve"> rather than to define exclusion criteria or specify subgroups (e.g., separation of samples into monolingual versus bilingual children). To accomplish these goals, individual labs </w:t>
      </w:r>
      <w:r w:rsidRPr="001B45BE">
        <w:t>will likely</w:t>
      </w:r>
      <w:r w:rsidRPr="001B45BE">
        <w:rPr>
          <w:color w:val="000000"/>
        </w:rPr>
        <w:t xml:space="preserve"> need to ask </w:t>
      </w:r>
      <w:r w:rsidRPr="001B45BE">
        <w:t xml:space="preserve">context- and construct-specific </w:t>
      </w:r>
      <w:r w:rsidRPr="001B45BE">
        <w:rPr>
          <w:color w:val="000000"/>
        </w:rPr>
        <w:t xml:space="preserve">questions that refer to particular exclusion or grouping criteria. Finally, instead of providing a ready-to-use questionnaire, we provide a framework for creating multiple </w:t>
      </w:r>
      <w:r w:rsidRPr="001B45BE">
        <w:rPr>
          <w:color w:val="000000"/>
        </w:rPr>
        <w:lastRenderedPageBreak/>
        <w:t xml:space="preserve">tools across diverse contexts and goals. The reason we focus on providing a framework is that – after early attempts toward creating a single tool – we have become skeptical that a tool can be created that will be truly independent of specific cultural lenses. Our framework provides guidelines and considerations that enable the creation of questionnaires </w:t>
      </w:r>
      <w:r w:rsidRPr="001B45BE">
        <w:t>that</w:t>
      </w:r>
      <w:r w:rsidRPr="001B45BE">
        <w:rPr>
          <w:color w:val="000000"/>
        </w:rPr>
        <w:t xml:space="preserve"> appropriate to the local context – while aiming for maximal standardization in the constructs that are being measured. We discuss data harmonization and aggregation, providing key points for consideration in a later section.</w:t>
      </w:r>
    </w:p>
    <w:p w14:paraId="7991F472" w14:textId="77777777" w:rsidR="00F854BC" w:rsidRPr="001B45BE" w:rsidRDefault="00000000">
      <w:pPr>
        <w:spacing w:line="480" w:lineRule="auto"/>
        <w:ind w:firstLine="0"/>
        <w:rPr>
          <w:b/>
          <w:color w:val="000000"/>
        </w:rPr>
      </w:pPr>
      <w:r w:rsidRPr="001B45BE">
        <w:rPr>
          <w:b/>
          <w:color w:val="000000"/>
        </w:rPr>
        <w:t>Principles for Demographic Construct Selection</w:t>
      </w:r>
    </w:p>
    <w:p w14:paraId="6F5BB186" w14:textId="77777777" w:rsidR="00F854BC" w:rsidRPr="001B45BE" w:rsidRDefault="00000000">
      <w:pPr>
        <w:spacing w:line="480" w:lineRule="auto"/>
        <w:ind w:firstLine="0"/>
        <w:rPr>
          <w:color w:val="000000"/>
        </w:rPr>
      </w:pPr>
      <w:r w:rsidRPr="001B45BE">
        <w:rPr>
          <w:color w:val="000000"/>
        </w:rPr>
        <w:tab/>
        <w:t xml:space="preserve">In the process of developing our set of demographic constructs, we were guided by four principles: </w:t>
      </w:r>
      <w:r w:rsidRPr="001B45BE">
        <w:t>importance</w:t>
      </w:r>
      <w:r w:rsidRPr="001B45BE">
        <w:rPr>
          <w:color w:val="000000"/>
        </w:rPr>
        <w:t xml:space="preserve">, inclusivity, flexibility, and </w:t>
      </w:r>
      <w:proofErr w:type="spellStart"/>
      <w:r w:rsidRPr="001B45BE">
        <w:rPr>
          <w:color w:val="000000"/>
        </w:rPr>
        <w:t>cumulativity</w:t>
      </w:r>
      <w:proofErr w:type="spellEnd"/>
      <w:r w:rsidRPr="001B45BE">
        <w:rPr>
          <w:color w:val="000000"/>
        </w:rPr>
        <w:t xml:space="preserve">. First, in developing a set of key constructs, we sought constructs that are theorized to be important in children’s development from birth to three years based on available evidence. We therefore developed categories and suggested constructs </w:t>
      </w:r>
      <w:r w:rsidRPr="001B45BE">
        <w:t>appropriate for</w:t>
      </w:r>
      <w:r w:rsidRPr="001B45BE">
        <w:rPr>
          <w:color w:val="000000"/>
        </w:rPr>
        <w:t xml:space="preserve"> studies with young children. Here, we acknowledge that our collective understanding of the </w:t>
      </w:r>
      <w:r w:rsidRPr="001B45BE">
        <w:t>importance</w:t>
      </w:r>
      <w:r w:rsidRPr="001B45BE">
        <w:rPr>
          <w:color w:val="000000"/>
        </w:rPr>
        <w:t xml:space="preserve"> of specific demographic variables is likely under-developed given the rarity with which demographic variables are reported (Singh et al., 2023). It is likely that in many instances we simply do not know which factors are relevant to behavior given the lack of reporting. In addition, the evidence that exists, like much of the developmental research record, originates from limited world regions. Hence, our framework relies on evidence available to date, but it is expected that as researchers more routinely collect demographic data, there will be an opportunity to examine and revise which demographic variables explain behavioral variation in context.</w:t>
      </w:r>
    </w:p>
    <w:p w14:paraId="2BB6421D" w14:textId="5D954CAA" w:rsidR="00F854BC" w:rsidRPr="001B45BE" w:rsidRDefault="00000000">
      <w:pPr>
        <w:rPr>
          <w:color w:val="000000"/>
        </w:rPr>
      </w:pPr>
      <w:r w:rsidRPr="001B45BE">
        <w:rPr>
          <w:color w:val="000000"/>
        </w:rPr>
        <w:t xml:space="preserve">Second, we prioritized global inclusivity, attempting to create a framework that is adaptable to a broad range of contexts. We intentionally assembled a global, multi-disciplinary </w:t>
      </w:r>
      <w:r w:rsidRPr="001B45BE">
        <w:rPr>
          <w:color w:val="000000"/>
        </w:rPr>
        <w:lastRenderedPageBreak/>
        <w:t>team of 24 researchers from 9 countries distributed over 4 continents. Within the author group, there was citizenship representation from 15 countries</w:t>
      </w:r>
      <w:r w:rsidRPr="001B45BE">
        <w:t>, with</w:t>
      </w:r>
      <w:r w:rsidRPr="001B45BE">
        <w:rPr>
          <w:color w:val="000000"/>
        </w:rPr>
        <w:t xml:space="preserve"> </w:t>
      </w:r>
      <w:r w:rsidRPr="001B45BE">
        <w:t>t</w:t>
      </w:r>
      <w:r w:rsidRPr="001B45BE">
        <w:rPr>
          <w:color w:val="000000"/>
        </w:rPr>
        <w:t xml:space="preserve">he majority of authors (71%) </w:t>
      </w:r>
      <w:r w:rsidRPr="001B45BE">
        <w:t>being non-</w:t>
      </w:r>
      <w:r w:rsidRPr="001B45BE">
        <w:rPr>
          <w:color w:val="000000"/>
        </w:rPr>
        <w:t>U.S. citizens. Authors were born in 13 different countries and are currently living in 11 different countries</w:t>
      </w:r>
      <w:r w:rsidRPr="001B45BE">
        <w:t xml:space="preserve">; </w:t>
      </w:r>
      <w:r w:rsidRPr="001B45BE">
        <w:rPr>
          <w:color w:val="000000"/>
        </w:rPr>
        <w:t xml:space="preserve">Sixty-seven </w:t>
      </w:r>
      <w:r w:rsidR="008352DE" w:rsidRPr="001B45BE">
        <w:rPr>
          <w:color w:val="000000"/>
        </w:rPr>
        <w:t>percent currently</w:t>
      </w:r>
      <w:r w:rsidRPr="001B45BE">
        <w:rPr>
          <w:color w:val="000000"/>
        </w:rPr>
        <w:t xml:space="preserve"> liv</w:t>
      </w:r>
      <w:r w:rsidRPr="001B45BE">
        <w:t>e</w:t>
      </w:r>
      <w:r w:rsidRPr="001B45BE">
        <w:rPr>
          <w:color w:val="000000"/>
        </w:rPr>
        <w:t xml:space="preserve"> outside the </w:t>
      </w:r>
      <w:r w:rsidRPr="001B45BE">
        <w:t>United States</w:t>
      </w:r>
      <w:r w:rsidRPr="001B45BE">
        <w:rPr>
          <w:color w:val="000000"/>
        </w:rPr>
        <w:t xml:space="preserve"> The author group conducts research in a total of 27 different countries and only 1 researcher is working with samples exclusively within the </w:t>
      </w:r>
      <w:r w:rsidRPr="001B45BE">
        <w:t>United States</w:t>
      </w:r>
      <w:r w:rsidR="008352DE" w:rsidRPr="001B45BE">
        <w:t>.</w:t>
      </w:r>
      <w:r w:rsidRPr="001B45BE">
        <w:rPr>
          <w:color w:val="000000"/>
        </w:rPr>
        <w:t xml:space="preserve"> The authors named 23 different countries and/or cultures with which they have significant familiarity</w:t>
      </w:r>
      <w:r w:rsidRPr="001B45BE">
        <w:t xml:space="preserve">, and </w:t>
      </w:r>
      <w:r w:rsidRPr="001B45BE">
        <w:rPr>
          <w:color w:val="000000"/>
        </w:rPr>
        <w:t xml:space="preserve">83% reported being highly familiar with non-U.S. countries/cultures. In terms of racial diversity, the author group consists of researchers who self-reported </w:t>
      </w:r>
      <w:r w:rsidR="008352DE" w:rsidRPr="001B45BE">
        <w:rPr>
          <w:color w:val="000000"/>
        </w:rPr>
        <w:t xml:space="preserve">as </w:t>
      </w:r>
      <w:r w:rsidRPr="001B45BE">
        <w:rPr>
          <w:color w:val="000000"/>
        </w:rPr>
        <w:t xml:space="preserve">being from 6 different racial categories and 14 different ethnic categories (variously defined as cultural identification, region of origin, and tribal affiliation). This diversity was particularly instrumental for suggesting guidelines around specific constructs where there are stark cross-cultural differences in how acceptable it is to collect these data and in what form these constructs can be queried. </w:t>
      </w:r>
    </w:p>
    <w:p w14:paraId="0A1323B0" w14:textId="77777777" w:rsidR="00F854BC" w:rsidRPr="001B45BE" w:rsidRDefault="00000000">
      <w:pPr>
        <w:spacing w:line="480" w:lineRule="auto"/>
        <w:rPr>
          <w:color w:val="000000"/>
        </w:rPr>
      </w:pPr>
      <w:r w:rsidRPr="001B45BE">
        <w:rPr>
          <w:color w:val="000000"/>
        </w:rPr>
        <w:t xml:space="preserve">Third, we prioritized flexibility. Acknowledging that there is no ‘one-size-fits-all’ solution for demographic data collection, we underscore the need for flexibility in how categories are converted to constructs and in turn, in how constructs are converted to individual items. Flexibility of constructs and of items within the framework is incorporated into the framework in order to maximize face validity without compromising construct validity (see Cronbach &amp; </w:t>
      </w:r>
      <w:proofErr w:type="spellStart"/>
      <w:r w:rsidRPr="001B45BE">
        <w:rPr>
          <w:color w:val="000000"/>
        </w:rPr>
        <w:t>Meehl</w:t>
      </w:r>
      <w:proofErr w:type="spellEnd"/>
      <w:r w:rsidRPr="001B45BE">
        <w:rPr>
          <w:color w:val="000000"/>
        </w:rPr>
        <w:t xml:space="preserve">, 1955; Haynes et al., 1995). Rather than formulating specific items, we have provided a framework and guidelines to develop locally adapted items. The consequence of this decision is that in order to integrate data across settings, </w:t>
      </w:r>
      <w:r w:rsidRPr="001B45BE">
        <w:t>substantial</w:t>
      </w:r>
      <w:r w:rsidRPr="001B45BE">
        <w:rPr>
          <w:color w:val="000000"/>
        </w:rPr>
        <w:t xml:space="preserve"> harmonization will be required to generate a common set of response categories across settings. </w:t>
      </w:r>
    </w:p>
    <w:p w14:paraId="3E29FB28" w14:textId="77777777" w:rsidR="0055797C" w:rsidRPr="001B45BE" w:rsidRDefault="00000000">
      <w:pPr>
        <w:spacing w:line="480" w:lineRule="auto"/>
        <w:rPr>
          <w:color w:val="000000"/>
        </w:rPr>
      </w:pPr>
      <w:r w:rsidRPr="001B45BE">
        <w:rPr>
          <w:color w:val="000000"/>
        </w:rPr>
        <w:lastRenderedPageBreak/>
        <w:t xml:space="preserve">Finally, we prioritized </w:t>
      </w:r>
      <w:proofErr w:type="spellStart"/>
      <w:r w:rsidRPr="001B45BE">
        <w:rPr>
          <w:color w:val="000000"/>
        </w:rPr>
        <w:t>cumulativity</w:t>
      </w:r>
      <w:proofErr w:type="spellEnd"/>
      <w:r w:rsidRPr="001B45BE">
        <w:rPr>
          <w:color w:val="000000"/>
        </w:rPr>
        <w:t>: our framework and the questionnaires that emerge from it will only be strengthened by continuous use, revision, evaluation, and refinement by researchers. In alignment with FAIR (Findable, Accessible, Interoperable, and Reusable) principles (Wilkinson et al., 2016), we house the local adaptations in an open-source repository</w:t>
      </w:r>
    </w:p>
    <w:p w14:paraId="1B4CBF8D" w14:textId="6B83B5CC" w:rsidR="00F854BC" w:rsidRPr="001B45BE" w:rsidRDefault="00000000" w:rsidP="0055797C">
      <w:pPr>
        <w:spacing w:line="480" w:lineRule="auto"/>
        <w:ind w:firstLine="0"/>
        <w:rPr>
          <w:color w:val="000000"/>
        </w:rPr>
      </w:pPr>
      <w:r w:rsidRPr="001B45BE">
        <w:t>(https://osf.io/nqc92</w:t>
      </w:r>
      <w:r w:rsidRPr="001B45BE">
        <w:rPr>
          <w:color w:val="000000"/>
        </w:rPr>
        <w:t>)</w:t>
      </w:r>
      <w:r w:rsidRPr="001B45BE">
        <w:t xml:space="preserve"> </w:t>
      </w:r>
      <w:r w:rsidRPr="001B45BE">
        <w:rPr>
          <w:color w:val="000000"/>
        </w:rPr>
        <w:t>on the Open Science Framework (OSF), an online platform maintained and operated by the Center for Open Science (COS)</w:t>
      </w:r>
      <w:r w:rsidR="008255B2">
        <w:rPr>
          <w:color w:val="000000"/>
        </w:rPr>
        <w:t xml:space="preserve"> (Singh, </w:t>
      </w:r>
      <w:proofErr w:type="spellStart"/>
      <w:r w:rsidR="008255B2">
        <w:rPr>
          <w:color w:val="000000"/>
        </w:rPr>
        <w:t>Barokova</w:t>
      </w:r>
      <w:proofErr w:type="spellEnd"/>
      <w:r w:rsidR="008255B2">
        <w:rPr>
          <w:color w:val="000000"/>
        </w:rPr>
        <w:t xml:space="preserve"> et al., 2023)</w:t>
      </w:r>
      <w:r w:rsidRPr="001B45BE">
        <w:rPr>
          <w:color w:val="000000"/>
        </w:rPr>
        <w:t>. COS is supported by a preservation fund that at current levels guarantees at least 50+ years of access for all hosted materials. This repository will be maintained by the lead autho</w:t>
      </w:r>
      <w:r w:rsidR="001251B1" w:rsidRPr="001B45BE">
        <w:rPr>
          <w:color w:val="000000"/>
        </w:rPr>
        <w:t xml:space="preserve">r and appointed members of the </w:t>
      </w:r>
      <w:proofErr w:type="spellStart"/>
      <w:r w:rsidR="001251B1" w:rsidRPr="001B45BE">
        <w:rPr>
          <w:color w:val="000000"/>
        </w:rPr>
        <w:t>ManyBabies</w:t>
      </w:r>
      <w:proofErr w:type="spellEnd"/>
      <w:r w:rsidR="001251B1" w:rsidRPr="001B45BE">
        <w:rPr>
          <w:color w:val="000000"/>
        </w:rPr>
        <w:t xml:space="preserve"> collaborative. </w:t>
      </w:r>
      <w:r w:rsidRPr="001B45BE">
        <w:rPr>
          <w:color w:val="000000"/>
        </w:rPr>
        <w:t>We encourage widespread adaptation of a range of different cultural settings and support sharing of adapt</w:t>
      </w:r>
      <w:r w:rsidRPr="001B45BE">
        <w:t>ations</w:t>
      </w:r>
      <w:r w:rsidRPr="001B45BE">
        <w:rPr>
          <w:color w:val="000000"/>
        </w:rPr>
        <w:t xml:space="preserve"> to the repository for </w:t>
      </w:r>
      <w:r w:rsidRPr="001B45BE">
        <w:t>further reuse</w:t>
      </w:r>
      <w:r w:rsidRPr="001B45BE">
        <w:rPr>
          <w:color w:val="000000"/>
        </w:rPr>
        <w:t xml:space="preserve">. </w:t>
      </w:r>
    </w:p>
    <w:p w14:paraId="6A5D48EE" w14:textId="77777777" w:rsidR="00F854BC" w:rsidRPr="001B45BE" w:rsidRDefault="00000000">
      <w:pPr>
        <w:spacing w:line="480" w:lineRule="auto"/>
        <w:ind w:firstLine="0"/>
        <w:rPr>
          <w:b/>
          <w:color w:val="000000"/>
        </w:rPr>
      </w:pPr>
      <w:r w:rsidRPr="001B45BE">
        <w:rPr>
          <w:b/>
          <w:color w:val="000000"/>
        </w:rPr>
        <w:t>Collaborative model</w:t>
      </w:r>
    </w:p>
    <w:p w14:paraId="17C3C1F5" w14:textId="77777777" w:rsidR="00F854BC" w:rsidRPr="001B45BE" w:rsidRDefault="00000000">
      <w:pPr>
        <w:spacing w:line="480" w:lineRule="auto"/>
        <w:rPr>
          <w:color w:val="000000"/>
        </w:rPr>
      </w:pPr>
      <w:r w:rsidRPr="001B45BE">
        <w:rPr>
          <w:color w:val="000000"/>
        </w:rPr>
        <w:t xml:space="preserve">The project began with a call for collaboration advertised through the </w:t>
      </w:r>
      <w:proofErr w:type="spellStart"/>
      <w:r w:rsidRPr="001B45BE">
        <w:rPr>
          <w:color w:val="000000"/>
        </w:rPr>
        <w:t>ManyBabies</w:t>
      </w:r>
      <w:proofErr w:type="spellEnd"/>
      <w:r w:rsidRPr="001B45BE">
        <w:rPr>
          <w:color w:val="000000"/>
        </w:rPr>
        <w:t xml:space="preserve"> listserv and through word of mouth. Participation across all career levels and from under-represented settings was encouraged. Of those who expressed interest, a series of planning meetings were arranged for those who chose to serve in leadership roles. This core planning group (1) collaborated in developing the aforementioned principles; (2) developed the range of demographic categories: biographical information, caregiving environment (including language use), community of descent, gestational age, health status, and socio-economic status; and (3) planned the project stages and timeline.</w:t>
      </w:r>
    </w:p>
    <w:p w14:paraId="4BF49245" w14:textId="77777777" w:rsidR="00F854BC" w:rsidRPr="001B45BE" w:rsidRDefault="00000000">
      <w:pPr>
        <w:ind w:firstLine="0"/>
        <w:rPr>
          <w:color w:val="000000"/>
        </w:rPr>
      </w:pPr>
      <w:r w:rsidRPr="001B45BE">
        <w:rPr>
          <w:color w:val="000000"/>
        </w:rPr>
        <w:tab/>
        <w:t xml:space="preserve">After the series of planning meetings, a second call was published on the </w:t>
      </w:r>
      <w:proofErr w:type="spellStart"/>
      <w:r w:rsidRPr="001B45BE">
        <w:rPr>
          <w:color w:val="000000"/>
        </w:rPr>
        <w:t>ManyBabies</w:t>
      </w:r>
      <w:proofErr w:type="spellEnd"/>
      <w:r w:rsidRPr="001B45BE">
        <w:rPr>
          <w:color w:val="000000"/>
        </w:rPr>
        <w:t xml:space="preserve"> listserv to solicit members of working groups who would address one of the six demographic categories. Each working group was led/co-led by a member of the core planning group. Working groups were led by researchers </w:t>
      </w:r>
      <w:r w:rsidRPr="001B45BE">
        <w:t>originating from and/or working in</w:t>
      </w:r>
      <w:r w:rsidRPr="001B45BE">
        <w:rPr>
          <w:color w:val="000000"/>
        </w:rPr>
        <w:t xml:space="preserve"> Bulgaria, Canada, </w:t>
      </w:r>
      <w:r w:rsidRPr="001B45BE">
        <w:rPr>
          <w:color w:val="000000"/>
        </w:rPr>
        <w:lastRenderedPageBreak/>
        <w:t xml:space="preserve">China, Colombia, Ghana, Singapore, and the </w:t>
      </w:r>
      <w:r w:rsidRPr="001B45BE">
        <w:t>United States</w:t>
      </w:r>
      <w:r w:rsidRPr="001B45BE">
        <w:rPr>
          <w:color w:val="000000"/>
        </w:rPr>
        <w:t>. Each group reviewed the literature on their respective topic, drafted and discussed relevant categories of information, and wrote a rationale for including the specific demographic category, guidance for formulating items, limitations, and key considerations. The groups met regularly to discuss progress and provide feedback on materials drafted. Following this, the core group leaders convened regularly to discuss their sections and collaborated on refinement and revision of each section. The project began in February 2021 and concluded in April 2023.</w:t>
      </w:r>
    </w:p>
    <w:p w14:paraId="009C38BD" w14:textId="77777777" w:rsidR="00F854BC" w:rsidRPr="001B45BE" w:rsidRDefault="00000000">
      <w:pPr>
        <w:pStyle w:val="Heading1"/>
        <w:rPr>
          <w:color w:val="000000"/>
        </w:rPr>
      </w:pPr>
      <w:bookmarkStart w:id="1" w:name="_heading=h.1fob9te" w:colFirst="0" w:colLast="0"/>
      <w:bookmarkEnd w:id="1"/>
      <w:r w:rsidRPr="001B45BE">
        <w:rPr>
          <w:color w:val="000000"/>
        </w:rPr>
        <w:t>Key Constructs</w:t>
      </w:r>
    </w:p>
    <w:p w14:paraId="04394BB5" w14:textId="5772843D" w:rsidR="00F854BC" w:rsidRPr="001B45BE" w:rsidRDefault="00000000">
      <w:pPr>
        <w:spacing w:line="480" w:lineRule="auto"/>
      </w:pPr>
      <w:r w:rsidRPr="001B45BE">
        <w:rPr>
          <w:color w:val="000000"/>
        </w:rPr>
        <w:t>We next review the key categories and constructs that we recommend investigators query</w:t>
      </w:r>
      <w:r w:rsidRPr="001B45BE">
        <w:t xml:space="preserve"> (see Figure 2 for a summary</w:t>
      </w:r>
      <w:r w:rsidR="008352DE" w:rsidRPr="001B45BE">
        <w:t>)</w:t>
      </w:r>
      <w:r w:rsidR="008352DE" w:rsidRPr="001B45BE">
        <w:rPr>
          <w:color w:val="000000"/>
        </w:rPr>
        <w:t xml:space="preserve"> and</w:t>
      </w:r>
      <w:r w:rsidRPr="001B45BE">
        <w:rPr>
          <w:color w:val="000000"/>
        </w:rPr>
        <w:t xml:space="preserve"> provide our rationale for each category. In keeping with the principles outlined above, we recognize that different contexts – cultural, regional, and even methodological (e.g., collecting data in highly-controlled laboratory settings vs. more naturalistic settings such as the home or in the field) – provide different allowances for demographic data collection. It is therefore possible that individual researchers may further condense the</w:t>
      </w:r>
      <w:r w:rsidR="008352DE" w:rsidRPr="001B45BE">
        <w:rPr>
          <w:color w:val="000000"/>
        </w:rPr>
        <w:t xml:space="preserve"> recommended constructs for collecting demographic data in a more expedient fashion. Examples of brief (</w:t>
      </w:r>
      <w:r w:rsidR="008352DE" w:rsidRPr="001B45BE">
        <w:t>abridged</w:t>
      </w:r>
      <w:r w:rsidR="008352DE" w:rsidRPr="001B45BE">
        <w:rPr>
          <w:color w:val="000000"/>
        </w:rPr>
        <w:t>) versus full forms of demographic questionnaires are available at</w:t>
      </w:r>
      <w:r w:rsidR="008352DE" w:rsidRPr="001B45BE">
        <w:t xml:space="preserve"> https://osf.io/nqc92/?view_only=de82cb2b462b406e93182ba2a5c7e207.</w:t>
      </w:r>
    </w:p>
    <w:p w14:paraId="7F6EA4A7" w14:textId="572EEBED" w:rsidR="008352DE" w:rsidRPr="001B45BE" w:rsidRDefault="008352DE">
      <w:pPr>
        <w:rPr>
          <w:color w:val="000000"/>
        </w:rPr>
      </w:pPr>
      <w:r w:rsidRPr="001B45BE">
        <w:rPr>
          <w:color w:val="000000"/>
        </w:rPr>
        <w:br w:type="page"/>
      </w:r>
    </w:p>
    <w:p w14:paraId="3E1DD870" w14:textId="7C9466B3" w:rsidR="008352DE" w:rsidRPr="001B45BE" w:rsidRDefault="008352DE">
      <w:pPr>
        <w:spacing w:line="480" w:lineRule="auto"/>
        <w:rPr>
          <w:color w:val="000000"/>
        </w:rPr>
      </w:pPr>
      <w:r w:rsidRPr="001B45BE">
        <w:rPr>
          <w:noProof/>
          <w:color w:val="000000"/>
        </w:rPr>
        <w:lastRenderedPageBreak/>
        <w:drawing>
          <wp:anchor distT="114300" distB="114300" distL="114300" distR="114300" simplePos="0" relativeHeight="251659264" behindDoc="0" locked="0" layoutInCell="1" hidden="0" allowOverlap="1" wp14:anchorId="6434DF0E" wp14:editId="7FB477A6">
            <wp:simplePos x="0" y="0"/>
            <wp:positionH relativeFrom="page">
              <wp:posOffset>914400</wp:posOffset>
            </wp:positionH>
            <wp:positionV relativeFrom="page">
              <wp:posOffset>1376680</wp:posOffset>
            </wp:positionV>
            <wp:extent cx="5943600" cy="7743825"/>
            <wp:effectExtent l="0" t="0" r="0" b="0"/>
            <wp:wrapSquare wrapText="bothSides" distT="114300" distB="114300" distL="114300" distR="114300"/>
            <wp:docPr id="1100045132" name="image2.png" descr="A picture containing text, screenshot, document, font&#10;&#10;Description automatically generated"/>
            <wp:cNvGraphicFramePr/>
            <a:graphic xmlns:a="http://schemas.openxmlformats.org/drawingml/2006/main">
              <a:graphicData uri="http://schemas.openxmlformats.org/drawingml/2006/picture">
                <pic:pic xmlns:pic="http://schemas.openxmlformats.org/drawingml/2006/picture">
                  <pic:nvPicPr>
                    <pic:cNvPr id="1100045132" name="image2.png" descr="A picture containing text, screenshot, document, font&#10;&#10;Description automatically generated"/>
                    <pic:cNvPicPr preferRelativeResize="0"/>
                  </pic:nvPicPr>
                  <pic:blipFill>
                    <a:blip r:embed="rId10"/>
                    <a:srcRect l="334" r="334"/>
                    <a:stretch>
                      <a:fillRect/>
                    </a:stretch>
                  </pic:blipFill>
                  <pic:spPr>
                    <a:xfrm>
                      <a:off x="0" y="0"/>
                      <a:ext cx="5943600" cy="7743825"/>
                    </a:xfrm>
                    <a:prstGeom prst="rect">
                      <a:avLst/>
                    </a:prstGeom>
                    <a:ln/>
                  </pic:spPr>
                </pic:pic>
              </a:graphicData>
            </a:graphic>
          </wp:anchor>
        </w:drawing>
      </w:r>
    </w:p>
    <w:p w14:paraId="251A1634" w14:textId="77777777" w:rsidR="00F854BC" w:rsidRPr="001B45BE" w:rsidRDefault="00000000">
      <w:pPr>
        <w:pStyle w:val="Heading2"/>
        <w:rPr>
          <w:color w:val="000000"/>
        </w:rPr>
      </w:pPr>
      <w:r w:rsidRPr="001B45BE">
        <w:rPr>
          <w:color w:val="000000"/>
        </w:rPr>
        <w:lastRenderedPageBreak/>
        <w:t>Biographical Information</w:t>
      </w:r>
    </w:p>
    <w:p w14:paraId="74D297BF" w14:textId="77777777" w:rsidR="00F854BC" w:rsidRPr="001B45BE" w:rsidRDefault="00000000">
      <w:pPr>
        <w:spacing w:line="480" w:lineRule="auto"/>
        <w:rPr>
          <w:i/>
          <w:color w:val="000000"/>
        </w:rPr>
      </w:pPr>
      <w:r w:rsidRPr="001B45BE">
        <w:rPr>
          <w:i/>
          <w:color w:val="000000"/>
        </w:rPr>
        <w:t xml:space="preserve">Rationale. </w:t>
      </w:r>
      <w:r w:rsidRPr="001B45BE">
        <w:rPr>
          <w:color w:val="000000"/>
        </w:rPr>
        <w:t xml:space="preserve">Biographical information about caregivers and children is required to define the sample and situate participants in a cultural context. We propose basic constructs that are aligned with current standard reporting requirements of developmental journals. </w:t>
      </w:r>
      <w:r w:rsidRPr="001B45BE">
        <w:rPr>
          <w:i/>
          <w:color w:val="000000"/>
        </w:rPr>
        <w:t xml:space="preserve"> </w:t>
      </w:r>
    </w:p>
    <w:p w14:paraId="4E14668C" w14:textId="77777777" w:rsidR="00F854BC" w:rsidRPr="001B45BE" w:rsidRDefault="00000000">
      <w:pPr>
        <w:spacing w:line="480" w:lineRule="auto"/>
        <w:rPr>
          <w:color w:val="000000"/>
        </w:rPr>
      </w:pPr>
      <w:r w:rsidRPr="001B45BE">
        <w:rPr>
          <w:i/>
          <w:color w:val="000000"/>
        </w:rPr>
        <w:t xml:space="preserve">Specific constructs. </w:t>
      </w:r>
      <w:r w:rsidRPr="001B45BE">
        <w:rPr>
          <w:color w:val="000000"/>
        </w:rPr>
        <w:t>The biographical constructs we recommend querying in all contexts are the child’s age and sex (assignment at birth). Given privacy considerations around storing and sharing dates of birth, we recommend computing age in months and days at the point of testing by asking for date of birth, computing age in months and days, and then deleting dates of birth.</w:t>
      </w:r>
      <w:r w:rsidRPr="001B45BE">
        <w:rPr>
          <w:color w:val="000000"/>
          <w:vertAlign w:val="superscript"/>
        </w:rPr>
        <w:footnoteReference w:id="1"/>
      </w:r>
      <w:r w:rsidRPr="001B45BE">
        <w:rPr>
          <w:color w:val="000000"/>
        </w:rPr>
        <w:t xml:space="preserve"> We recommend asking about sex assignment at birth in order to facilitate data collection as this information may be easily identified.</w:t>
      </w:r>
      <w:r w:rsidRPr="001B45BE">
        <w:rPr>
          <w:color w:val="000000"/>
          <w:vertAlign w:val="superscript"/>
        </w:rPr>
        <w:footnoteReference w:id="2"/>
      </w:r>
      <w:r w:rsidRPr="001B45BE">
        <w:rPr>
          <w:color w:val="000000"/>
        </w:rPr>
        <w:t xml:space="preserve"> Here, we encourage the inclusion of an “other” option to allow for a non-binary report (e.g., intersex). </w:t>
      </w:r>
    </w:p>
    <w:p w14:paraId="7FAED728" w14:textId="77777777" w:rsidR="00F854BC" w:rsidRPr="001B45BE" w:rsidRDefault="00000000">
      <w:pPr>
        <w:spacing w:line="480" w:lineRule="auto"/>
        <w:rPr>
          <w:color w:val="000000"/>
        </w:rPr>
      </w:pPr>
      <w:r w:rsidRPr="001B45BE">
        <w:rPr>
          <w:color w:val="000000"/>
        </w:rPr>
        <w:t>We also recommend querying places of origin of the participant. This can be instantiated via city (or town, vill</w:t>
      </w:r>
      <w:r w:rsidRPr="001B45BE">
        <w:t xml:space="preserve">age, or other contextually appropriate unit) </w:t>
      </w:r>
      <w:r w:rsidRPr="001B45BE">
        <w:rPr>
          <w:color w:val="000000"/>
        </w:rPr>
        <w:t xml:space="preserve">and country of birth in order to situate participant data within its geographical context. To this end, we recommend querying city and country of current residence as a separate item. This can be helpful in describing the migration history of the participant. As discussed later, in settings where the provision of race and ethnicity as markers of community of descent may be challenging to obtain (e.g., France; Germany), migration history may provide some insight into participants’ communities of descent and into their lived experience (Fenton, 2013; Williams, 1996). For these reasons, we </w:t>
      </w:r>
      <w:r w:rsidRPr="001B45BE">
        <w:rPr>
          <w:color w:val="000000"/>
        </w:rPr>
        <w:lastRenderedPageBreak/>
        <w:t xml:space="preserve">recommend querying similar information (city/country of birth; city/country of residence) about the child’s caregivers. </w:t>
      </w:r>
    </w:p>
    <w:p w14:paraId="7181129D" w14:textId="7E6D8516" w:rsidR="00F854BC" w:rsidRPr="001B45BE" w:rsidRDefault="00000000">
      <w:pPr>
        <w:spacing w:line="480" w:lineRule="auto"/>
        <w:rPr>
          <w:color w:val="000000"/>
        </w:rPr>
      </w:pPr>
      <w:bookmarkStart w:id="2" w:name="_heading=h.g2rj0yiidgu8" w:colFirst="0" w:colLast="0"/>
      <w:bookmarkEnd w:id="2"/>
      <w:r w:rsidRPr="001B45BE">
        <w:rPr>
          <w:color w:val="000000"/>
        </w:rPr>
        <w:t xml:space="preserve">Based on differences in caregiving structures, we provide guidance on defining caregivers. Although in data collection, some researchers may choose to use the term “parent”, the construct of interest is the focus on caregivers “tasked with responsibilities for providing for children’s health and safety, cognitive stimulation, affection, and behavioral socialization so that children develop the characteristics needed to be well-adjusted members of their cultural group” (Lansford &amp; Bornstein, 2020). In many households, caregivers may be biological or adoptive parents and in others, parenting roles may be performed by other family and non-family members (Sear, 2016). In many contexts, children do not have a single adult primary caregiver (Keller, 2018). We therefore encourage a broad and </w:t>
      </w:r>
      <w:r w:rsidR="008352DE" w:rsidRPr="001B45BE">
        <w:rPr>
          <w:color w:val="000000"/>
        </w:rPr>
        <w:t>culturally adapted</w:t>
      </w:r>
      <w:r w:rsidRPr="001B45BE">
        <w:rPr>
          <w:color w:val="000000"/>
        </w:rPr>
        <w:t xml:space="preserve"> definition of caregiving to allow for the vast structural variation in care networks that exists across countries (Keller &amp; Chaudhury, 2017). </w:t>
      </w:r>
    </w:p>
    <w:p w14:paraId="7FB3FF40" w14:textId="77777777" w:rsidR="00F854BC" w:rsidRPr="001B45BE" w:rsidRDefault="00000000">
      <w:pPr>
        <w:spacing w:line="480" w:lineRule="auto"/>
        <w:ind w:firstLine="0"/>
        <w:rPr>
          <w:b/>
          <w:color w:val="000000"/>
        </w:rPr>
      </w:pPr>
      <w:bookmarkStart w:id="3" w:name="_heading=h.780pzch2wds0" w:colFirst="0" w:colLast="0"/>
      <w:bookmarkEnd w:id="3"/>
      <w:r w:rsidRPr="001B45BE">
        <w:rPr>
          <w:b/>
          <w:color w:val="000000"/>
        </w:rPr>
        <w:t>Gestational Status</w:t>
      </w:r>
    </w:p>
    <w:p w14:paraId="375441F2" w14:textId="77777777" w:rsidR="00F854BC" w:rsidRPr="001B45BE" w:rsidRDefault="00000000">
      <w:pPr>
        <w:spacing w:line="480" w:lineRule="auto"/>
        <w:rPr>
          <w:color w:val="000000"/>
        </w:rPr>
      </w:pPr>
      <w:r w:rsidRPr="001B45BE">
        <w:rPr>
          <w:i/>
          <w:color w:val="000000"/>
        </w:rPr>
        <w:t xml:space="preserve">Rationale. </w:t>
      </w:r>
      <w:r w:rsidRPr="001B45BE">
        <w:rPr>
          <w:color w:val="000000"/>
        </w:rPr>
        <w:t xml:space="preserve">Information about gestational status is important to characterize participant samples in terms of fetal growth, which is associated with variation in child outcomes. Premature birth generally puts the infant at high risk of postnatal complications, developmental concerns, and death. Premature birth has widespread implications for infant development (for a review, see Rose et al., 2008). </w:t>
      </w:r>
    </w:p>
    <w:p w14:paraId="3672B8F5" w14:textId="77777777" w:rsidR="00F854BC" w:rsidRPr="001B45BE" w:rsidRDefault="00000000">
      <w:pPr>
        <w:spacing w:line="480" w:lineRule="auto"/>
        <w:rPr>
          <w:color w:val="000000"/>
        </w:rPr>
      </w:pPr>
      <w:r w:rsidRPr="001B45BE">
        <w:rPr>
          <w:color w:val="000000"/>
        </w:rPr>
        <w:t>The World Health Organization (</w:t>
      </w:r>
      <w:hyperlink r:id="rId11">
        <w:r w:rsidRPr="001B45BE">
          <w:rPr>
            <w:color w:val="000000"/>
          </w:rPr>
          <w:t>WHO</w:t>
        </w:r>
      </w:hyperlink>
      <w:r w:rsidRPr="001B45BE">
        <w:rPr>
          <w:color w:val="000000"/>
        </w:rPr>
        <w:t xml:space="preserve">) defines preterm children as those born before 37 weeks of pregnancy, and differentiates between different degrees of prematurity: moderate to late preterm (32 to 37 weeks), very preterm (28 to 32 weeks), and extremely preterm (less than 28 weeks; World Health Organization, 2022). The WHO also reports that globally, more than </w:t>
      </w:r>
      <w:r w:rsidRPr="001B45BE">
        <w:rPr>
          <w:color w:val="000000"/>
        </w:rPr>
        <w:lastRenderedPageBreak/>
        <w:t>10% of all babies are born preterm with the majority of preterm births (60%) occurring in Africa and South Asia, which motivates the collection of gestational age data in single-site studies, but also in cross-country studies (</w:t>
      </w:r>
      <w:proofErr w:type="spellStart"/>
      <w:r w:rsidRPr="001B45BE">
        <w:rPr>
          <w:color w:val="000000"/>
        </w:rPr>
        <w:t>Blencowe</w:t>
      </w:r>
      <w:proofErr w:type="spellEnd"/>
      <w:r w:rsidRPr="001B45BE">
        <w:rPr>
          <w:color w:val="000000"/>
        </w:rPr>
        <w:t xml:space="preserve"> et al., 2012). </w:t>
      </w:r>
    </w:p>
    <w:p w14:paraId="6A2E52E3" w14:textId="1AE35866" w:rsidR="00F854BC" w:rsidRPr="001B45BE" w:rsidRDefault="00000000">
      <w:pPr>
        <w:spacing w:line="480" w:lineRule="auto"/>
        <w:rPr>
          <w:color w:val="000000"/>
        </w:rPr>
      </w:pPr>
      <w:r w:rsidRPr="001B45BE">
        <w:rPr>
          <w:i/>
          <w:color w:val="000000"/>
        </w:rPr>
        <w:t xml:space="preserve">Specific Constructs. </w:t>
      </w:r>
      <w:r w:rsidRPr="001B45BE">
        <w:rPr>
          <w:color w:val="000000"/>
        </w:rPr>
        <w:t xml:space="preserve">The two constructs we recommend as proxies of gestational status are gestational age and birth weight. Gestational age is often characterized by children’s birth date in relation to their due date. There is considerable variation in how gestational age is computed worldwide. In the United States, due dates are typically determined based on a dating ultrasound scan performed in the first trimester or based on the last menstrual period (e.g., </w:t>
      </w:r>
      <w:hyperlink r:id="rId12">
        <w:r w:rsidRPr="001B45BE">
          <w:rPr>
            <w:color w:val="000000"/>
          </w:rPr>
          <w:t>Nakasone et al., 2021</w:t>
        </w:r>
      </w:hyperlink>
      <w:r w:rsidRPr="001B45BE">
        <w:rPr>
          <w:color w:val="000000"/>
        </w:rPr>
        <w:t xml:space="preserve">; </w:t>
      </w:r>
      <w:hyperlink r:id="rId13">
        <w:proofErr w:type="spellStart"/>
        <w:r w:rsidRPr="001B45BE">
          <w:rPr>
            <w:color w:val="000000"/>
          </w:rPr>
          <w:t>Schlapbach</w:t>
        </w:r>
        <w:proofErr w:type="spellEnd"/>
        <w:r w:rsidRPr="001B45BE">
          <w:rPr>
            <w:color w:val="000000"/>
          </w:rPr>
          <w:t xml:space="preserve"> et al., 2012</w:t>
        </w:r>
      </w:hyperlink>
      <w:r w:rsidRPr="001B45BE">
        <w:rPr>
          <w:color w:val="000000"/>
        </w:rPr>
        <w:t xml:space="preserve">). However, measures of gestational age can also be based on abdominal circumference and/or fetal weight estimates (Chang et al., 1992). The specific measure used in any given context may vary based on medical practices, socio-economic factors, and access to medical technology. We therefore recommend providing </w:t>
      </w:r>
      <w:r w:rsidR="00BB6003">
        <w:rPr>
          <w:color w:val="000000"/>
        </w:rPr>
        <w:t xml:space="preserve">respondents with </w:t>
      </w:r>
      <w:r w:rsidRPr="001B45BE">
        <w:rPr>
          <w:color w:val="000000"/>
        </w:rPr>
        <w:t>specific examples of local conventions around the determination of gestational age</w:t>
      </w:r>
      <w:r w:rsidR="001B2E29">
        <w:rPr>
          <w:color w:val="000000"/>
        </w:rPr>
        <w:t>,</w:t>
      </w:r>
      <w:r w:rsidRPr="001B45BE">
        <w:rPr>
          <w:color w:val="000000"/>
        </w:rPr>
        <w:t xml:space="preserve"> if needed to facilitate retrieval of this information, that are aligned with cultural practices at the site of testing.</w:t>
      </w:r>
    </w:p>
    <w:p w14:paraId="0E2EBE09" w14:textId="77777777" w:rsidR="00F854BC" w:rsidRPr="001B45BE" w:rsidRDefault="00000000">
      <w:pPr>
        <w:spacing w:line="480" w:lineRule="auto"/>
        <w:rPr>
          <w:color w:val="000000"/>
        </w:rPr>
      </w:pPr>
      <w:r w:rsidRPr="001B45BE">
        <w:rPr>
          <w:color w:val="000000"/>
        </w:rPr>
        <w:t>The other construct under gestational status is birth weight. The WHO defines small for gestational age (SGA) as a low birth weight of less than 2500 grams at birth, regardless of gestational age (World Health Organization</w:t>
      </w:r>
      <w:hyperlink r:id="rId14">
        <w:r w:rsidRPr="001B45BE">
          <w:rPr>
            <w:color w:val="000000"/>
          </w:rPr>
          <w:t xml:space="preserve">, </w:t>
        </w:r>
      </w:hyperlink>
      <w:r w:rsidRPr="001B45BE">
        <w:rPr>
          <w:color w:val="000000"/>
        </w:rPr>
        <w:t xml:space="preserve">2014). Although premature birth is directly correlated with lower birth weight (see </w:t>
      </w:r>
      <w:hyperlink r:id="rId15">
        <w:r w:rsidRPr="001B45BE">
          <w:rPr>
            <w:color w:val="000000"/>
          </w:rPr>
          <w:t>Fenton &amp; Kim, 2013</w:t>
        </w:r>
      </w:hyperlink>
      <w:r w:rsidRPr="001B45BE">
        <w:rPr>
          <w:color w:val="000000"/>
        </w:rPr>
        <w:t xml:space="preserve"> for growth charts for preterm infants), low birth weight has been used as an independent measure of infant health. Similar to premature infants, full-term infants can have low birthweight, which is associated with later developmental delays and disruptions to growth and metabolism (e.g., </w:t>
      </w:r>
      <w:hyperlink r:id="rId16">
        <w:proofErr w:type="spellStart"/>
        <w:r w:rsidRPr="001B45BE">
          <w:rPr>
            <w:color w:val="000000"/>
          </w:rPr>
          <w:t>Saenger</w:t>
        </w:r>
        <w:proofErr w:type="spellEnd"/>
        <w:r w:rsidRPr="001B45BE">
          <w:rPr>
            <w:color w:val="000000"/>
          </w:rPr>
          <w:t xml:space="preserve"> et al., 2007</w:t>
        </w:r>
      </w:hyperlink>
      <w:r w:rsidRPr="001B45BE">
        <w:rPr>
          <w:color w:val="000000"/>
        </w:rPr>
        <w:t xml:space="preserve">). Collecting both gestational age and birth weight data, therefore, ensures that the gestational </w:t>
      </w:r>
      <w:r w:rsidRPr="001B45BE">
        <w:rPr>
          <w:color w:val="000000"/>
        </w:rPr>
        <w:lastRenderedPageBreak/>
        <w:t xml:space="preserve">status of the participant sample is more accurately captured than via gestational age or birth weight alone. </w:t>
      </w:r>
    </w:p>
    <w:p w14:paraId="323D2481" w14:textId="77777777" w:rsidR="00F854BC" w:rsidRPr="001B45BE" w:rsidRDefault="00000000">
      <w:pPr>
        <w:pStyle w:val="Heading2"/>
        <w:spacing w:line="480" w:lineRule="auto"/>
        <w:rPr>
          <w:color w:val="000000"/>
        </w:rPr>
      </w:pPr>
      <w:bookmarkStart w:id="4" w:name="_heading=h.dzbe6myv6kvn" w:colFirst="0" w:colLast="0"/>
      <w:bookmarkEnd w:id="4"/>
      <w:r w:rsidRPr="001B45BE">
        <w:rPr>
          <w:color w:val="000000"/>
        </w:rPr>
        <w:t>Health Status</w:t>
      </w:r>
    </w:p>
    <w:p w14:paraId="6EAE3C68" w14:textId="77777777" w:rsidR="00F854BC" w:rsidRPr="001B45BE" w:rsidRDefault="00000000">
      <w:pPr>
        <w:spacing w:line="480" w:lineRule="auto"/>
        <w:rPr>
          <w:color w:val="000000"/>
        </w:rPr>
      </w:pPr>
      <w:r w:rsidRPr="001B45BE">
        <w:rPr>
          <w:i/>
          <w:color w:val="000000"/>
        </w:rPr>
        <w:t xml:space="preserve">Rationale. </w:t>
      </w:r>
      <w:r w:rsidRPr="001B45BE">
        <w:rPr>
          <w:color w:val="000000"/>
        </w:rPr>
        <w:t xml:space="preserve">Health-related variables are an important part of demographic characterization and can also be useful for inclusion/exclusion. For example, knowledge of participants’ medical conditions and/or developmental disorders are important in understanding and reporting on their behaviors. This knowledge may derive from formal clinical diagnoses. Alternatively, in low-resource contexts where clinical diagnostic tools may be less available and/or less commonly used, reliance on expressions of concern by relatives and friends may be more common (Eales et al., 2020). </w:t>
      </w:r>
    </w:p>
    <w:p w14:paraId="2D504FED" w14:textId="77777777" w:rsidR="00F854BC" w:rsidRPr="001B45BE" w:rsidRDefault="00000000">
      <w:pPr>
        <w:spacing w:line="480" w:lineRule="auto"/>
        <w:rPr>
          <w:color w:val="000000"/>
        </w:rPr>
      </w:pPr>
      <w:r w:rsidRPr="001B45BE">
        <w:rPr>
          <w:i/>
          <w:color w:val="000000"/>
        </w:rPr>
        <w:t xml:space="preserve">Specific Constructs. </w:t>
      </w:r>
      <w:r w:rsidRPr="001B45BE">
        <w:rPr>
          <w:color w:val="000000"/>
        </w:rPr>
        <w:t>The specific conditions that researchers may be concerned with depend on the research goals and target sample. In addition, their elicitation may be more or less appropriate for particular contexts and populations. Researchers may query medical diagnoses that impact early development to characterize particular medical conditions within the sample and/or to link these conditions to behavior. In addition, given the reliance on visual and auditory perception in infant laboratory research, sensory issues (e.g., visual and/or auditory impa</w:t>
      </w:r>
      <w:r w:rsidRPr="001B45BE">
        <w:t xml:space="preserve">irments or </w:t>
      </w:r>
      <w:r w:rsidRPr="001B45BE">
        <w:rPr>
          <w:color w:val="000000"/>
        </w:rPr>
        <w:t>sensitivities) are likely to be particularly relevant both inside and outside of the laboratory (</w:t>
      </w:r>
      <w:proofErr w:type="spellStart"/>
      <w:r w:rsidRPr="001B45BE">
        <w:rPr>
          <w:color w:val="000000"/>
        </w:rPr>
        <w:t>Eeles</w:t>
      </w:r>
      <w:proofErr w:type="spellEnd"/>
      <w:r w:rsidRPr="001B45BE">
        <w:rPr>
          <w:color w:val="000000"/>
        </w:rPr>
        <w:t xml:space="preserve"> et al., 2013). </w:t>
      </w:r>
    </w:p>
    <w:p w14:paraId="7D171188" w14:textId="77777777" w:rsidR="00F854BC" w:rsidRPr="001B45BE" w:rsidRDefault="00000000">
      <w:pPr>
        <w:spacing w:line="480" w:lineRule="auto"/>
        <w:rPr>
          <w:color w:val="000000"/>
        </w:rPr>
      </w:pPr>
      <w:r w:rsidRPr="001B45BE">
        <w:rPr>
          <w:color w:val="000000"/>
        </w:rPr>
        <w:t xml:space="preserve">The health status construct is sufficiently broad such that it can be queried in multiple ways. If a parent reports a developmental concern, we recommend asking about the details of the suspected concern(s). Different cultures might have different norms for what is considered a concern about the child’s development and/or for information that might be considered stigmatizing and thus not likely to be shared during a research study. In addition, what may be a </w:t>
      </w:r>
      <w:r w:rsidRPr="001B45BE">
        <w:rPr>
          <w:color w:val="000000"/>
        </w:rPr>
        <w:lastRenderedPageBreak/>
        <w:t xml:space="preserve">developmental concern in one environment may not be in another even with respect to basic milestones (e.g., </w:t>
      </w:r>
      <w:proofErr w:type="spellStart"/>
      <w:r w:rsidRPr="001B45BE">
        <w:rPr>
          <w:color w:val="000000"/>
        </w:rPr>
        <w:t>Karasik</w:t>
      </w:r>
      <w:proofErr w:type="spellEnd"/>
      <w:r w:rsidRPr="001B45BE">
        <w:rPr>
          <w:color w:val="000000"/>
        </w:rPr>
        <w:t xml:space="preserve"> &amp; Robinson, 2022). It is therefore critical to work with community partners and local informants to be apprised of beliefs and expectations of developmental normativity in developing specific phrasing to assess this construct and in identifying behaviors that are construed as normative versus atypical. </w:t>
      </w:r>
    </w:p>
    <w:p w14:paraId="790897D2" w14:textId="77777777" w:rsidR="00F854BC" w:rsidRPr="001B45BE" w:rsidRDefault="00000000">
      <w:pPr>
        <w:spacing w:line="480" w:lineRule="auto"/>
        <w:ind w:firstLine="0"/>
        <w:rPr>
          <w:color w:val="000000"/>
        </w:rPr>
      </w:pPr>
      <w:r w:rsidRPr="001B45BE">
        <w:rPr>
          <w:b/>
          <w:color w:val="000000"/>
        </w:rPr>
        <w:t>Community of Descent</w:t>
      </w:r>
    </w:p>
    <w:p w14:paraId="59B55896" w14:textId="37DBE40B" w:rsidR="00F854BC" w:rsidRPr="001B45BE" w:rsidRDefault="00000000">
      <w:pPr>
        <w:spacing w:line="480" w:lineRule="auto"/>
        <w:rPr>
          <w:color w:val="000000"/>
        </w:rPr>
      </w:pPr>
      <w:r w:rsidRPr="001B45BE">
        <w:rPr>
          <w:i/>
          <w:color w:val="000000"/>
        </w:rPr>
        <w:t xml:space="preserve">Rationale. </w:t>
      </w:r>
      <w:r w:rsidRPr="001B45BE">
        <w:rPr>
          <w:color w:val="000000"/>
        </w:rPr>
        <w:t>Community of descent is a broad category</w:t>
      </w:r>
      <w:r w:rsidRPr="001B45BE">
        <w:rPr>
          <w:i/>
          <w:color w:val="000000"/>
        </w:rPr>
        <w:t xml:space="preserve"> </w:t>
      </w:r>
      <w:r w:rsidRPr="001B45BE">
        <w:rPr>
          <w:color w:val="000000"/>
        </w:rPr>
        <w:t xml:space="preserve">of information under which multiple aspects of heritage and identity are subsumed, including but not limited to ancestry, race/ethnicity, religion, national origin, cultural practices, native language use, amongst others. In disaggregating this broad construct, we encourage researchers to consider aspects of community of descent that are most relevant and influential in their individual contexts. There </w:t>
      </w:r>
      <w:r w:rsidRPr="001B45BE">
        <w:t>are</w:t>
      </w:r>
      <w:r w:rsidRPr="001B45BE">
        <w:rPr>
          <w:color w:val="000000"/>
        </w:rPr>
        <w:t xml:space="preserve"> </w:t>
      </w:r>
      <w:r w:rsidRPr="001B45BE">
        <w:t>myriad</w:t>
      </w:r>
      <w:r w:rsidRPr="001B45BE">
        <w:rPr>
          <w:color w:val="000000"/>
        </w:rPr>
        <w:t xml:space="preserve"> ways in which community of descent can be operationalized</w:t>
      </w:r>
      <w:r w:rsidRPr="001B45BE">
        <w:t>;</w:t>
      </w:r>
      <w:r w:rsidRPr="001B45BE">
        <w:rPr>
          <w:color w:val="000000"/>
        </w:rPr>
        <w:t xml:space="preserve"> doing so requires careful determination of the best proxies within a particular context. Here, we note that race/ethnicity are standardly recommended in U.S. developmental journals as markers of community of descent. However, these markers may not be equally or at all relevant at a global scale. Moreover, existing classification schemes commonly used in U.S.-based developmental journals are heavily centered around </w:t>
      </w:r>
      <w:r w:rsidRPr="001B45BE">
        <w:t>U.S.</w:t>
      </w:r>
      <w:r w:rsidRPr="001B45BE">
        <w:rPr>
          <w:color w:val="000000"/>
        </w:rPr>
        <w:t xml:space="preserve"> classification schemes (Singh, </w:t>
      </w:r>
      <w:proofErr w:type="spellStart"/>
      <w:r w:rsidRPr="001B45BE">
        <w:rPr>
          <w:color w:val="000000"/>
        </w:rPr>
        <w:t>C</w:t>
      </w:r>
      <w:r w:rsidRPr="001B45BE">
        <w:t>ristia</w:t>
      </w:r>
      <w:proofErr w:type="spellEnd"/>
      <w:r w:rsidRPr="001B45BE">
        <w:t>,</w:t>
      </w:r>
      <w:r w:rsidRPr="001B45BE">
        <w:rPr>
          <w:color w:val="000000"/>
        </w:rPr>
        <w:t xml:space="preserve"> et al., 2023</w:t>
      </w:r>
      <w:r w:rsidR="002A083B">
        <w:rPr>
          <w:color w:val="000000"/>
        </w:rPr>
        <w:t>a</w:t>
      </w:r>
      <w:r w:rsidRPr="001B45BE">
        <w:rPr>
          <w:color w:val="000000"/>
        </w:rPr>
        <w:t xml:space="preserve">). U.S.-based race/ethnicity categorization systems may not be appropriate globally and may over-aggregate sources of variation in community of descent (e.g., the use of the category “Asian” to encompass those originating from a large, multi-racial, and multi-ethnic continent). </w:t>
      </w:r>
    </w:p>
    <w:p w14:paraId="1D1451BA" w14:textId="0F313593" w:rsidR="00F854BC" w:rsidRPr="001B45BE" w:rsidRDefault="00000000">
      <w:pPr>
        <w:spacing w:line="480" w:lineRule="auto"/>
        <w:rPr>
          <w:color w:val="000000"/>
        </w:rPr>
      </w:pPr>
      <w:r w:rsidRPr="001B45BE">
        <w:rPr>
          <w:color w:val="000000"/>
        </w:rPr>
        <w:lastRenderedPageBreak/>
        <w:t>Given the emphasis on providing data on race/ethnicity in U.S.</w:t>
      </w:r>
      <w:r w:rsidRPr="001B45BE">
        <w:t>-</w:t>
      </w:r>
      <w:r w:rsidRPr="001B45BE">
        <w:rPr>
          <w:color w:val="000000"/>
        </w:rPr>
        <w:t>based developmental journals</w:t>
      </w:r>
      <w:r w:rsidRPr="001B45BE">
        <w:rPr>
          <w:color w:val="000000"/>
          <w:vertAlign w:val="superscript"/>
        </w:rPr>
        <w:footnoteReference w:id="3"/>
      </w:r>
      <w:r w:rsidRPr="001B45BE">
        <w:rPr>
          <w:color w:val="000000"/>
        </w:rPr>
        <w:t xml:space="preserve">, we now devote some discussion to race/ethnicity as markers of community of descent and then turn to alternative markers. At the outset, we note that race is a social – not biological – construct (see statement of the American Anthropological Association, 1998) and there is little evidence to support biological variation between racial groups that exceeds the variation within groups (see Mountain &amp; </w:t>
      </w:r>
      <w:proofErr w:type="spellStart"/>
      <w:r w:rsidRPr="001B45BE">
        <w:rPr>
          <w:color w:val="000000"/>
        </w:rPr>
        <w:t>Risch</w:t>
      </w:r>
      <w:proofErr w:type="spellEnd"/>
      <w:r w:rsidRPr="001B45BE">
        <w:rPr>
          <w:color w:val="000000"/>
        </w:rPr>
        <w:t xml:space="preserve">, 2004). That said, observable physical correlates of race can shape the lived experience of participants (Feliciano, 2016). Ethnicity, although often less observable than race, also shapes individuals’ psychological experiences (Markus, 2008). </w:t>
      </w:r>
      <w:r w:rsidR="00FB7B7E">
        <w:rPr>
          <w:color w:val="000000"/>
        </w:rPr>
        <w:t>The</w:t>
      </w:r>
      <w:r w:rsidRPr="001B45BE">
        <w:rPr>
          <w:color w:val="000000"/>
        </w:rPr>
        <w:t xml:space="preserve"> definition of ethnicity suffers from a lack of consensus around its meaning (see Agyemang et al., 2005, for a discussion of this issue). Both race and ethnicity refer to a group of people who share common social characteristics (e.g., culture, history, or language) or physical characteristics and phenotypes. Thus, children’s racial and ethnic origins are tied into many aspects of their early development, such as caregiving practices, healthcare practices, family structure, SES, and biological development (Garcia-Coll, 1990). Both race and ethnicity reveal information about participants’ community of descent (Hollinger, 1998). </w:t>
      </w:r>
    </w:p>
    <w:p w14:paraId="2F90213E" w14:textId="7E9D7420" w:rsidR="00F854BC" w:rsidRPr="001B45BE" w:rsidRDefault="00FB7B7E">
      <w:pPr>
        <w:spacing w:line="480" w:lineRule="auto"/>
      </w:pPr>
      <w:r>
        <w:t>The</w:t>
      </w:r>
      <w:r w:rsidR="00000000" w:rsidRPr="001B45BE">
        <w:t xml:space="preserve"> difference between race and ethnicity is highly variable across cultures. For example, in many ethnicity surveys in the United States, two choices are provided: Hispanic or non-Hispanic, despite the diversity within these </w:t>
      </w:r>
      <w:r w:rsidR="008352DE" w:rsidRPr="001B45BE">
        <w:t>categories</w:t>
      </w:r>
      <w:r w:rsidR="00000000" w:rsidRPr="001B45BE">
        <w:t xml:space="preserve">. In other societies, ethnicity and race are </w:t>
      </w:r>
      <w:r w:rsidR="00000000" w:rsidRPr="001B45BE">
        <w:lastRenderedPageBreak/>
        <w:t>non-distinct categories. For example, in Malaysia, ethnic divisions developed by the government are Malay, Chinese, Indian, and Other (</w:t>
      </w:r>
      <w:proofErr w:type="spellStart"/>
      <w:r w:rsidR="00000000" w:rsidRPr="001B45BE">
        <w:t>Hirshman</w:t>
      </w:r>
      <w:proofErr w:type="spellEnd"/>
      <w:r w:rsidR="00000000" w:rsidRPr="001B45BE">
        <w:t xml:space="preserve">, 1987). The very same categories in neighboring Singapore are classified as racial – and not ethnic </w:t>
      </w:r>
      <w:r w:rsidRPr="001B45BE">
        <w:t>– divisions</w:t>
      </w:r>
      <w:r w:rsidR="00000000" w:rsidRPr="001B45BE">
        <w:t xml:space="preserve"> (Rocha &amp; Yeoh, 2022). Moreover, the interpretation of the same racial category can shift over time (see Yeoh et al., 2018, for the changing interpretation of “Eurasian” in post-colonial Singapore). These examples provide some indication of the highly variable nature of how race and ethnicity are defined across different contexts and time periods. We therefore encourage researchers to adopt measures of community of descent and corresponding response categories that have contemporary validity within the local context.</w:t>
      </w:r>
    </w:p>
    <w:p w14:paraId="475804BD" w14:textId="49AD7770" w:rsidR="00F854BC" w:rsidRPr="001B45BE" w:rsidRDefault="00000000">
      <w:pPr>
        <w:spacing w:line="480" w:lineRule="auto"/>
        <w:rPr>
          <w:color w:val="000000"/>
        </w:rPr>
      </w:pPr>
      <w:r w:rsidRPr="001B45BE">
        <w:t>Finally, c</w:t>
      </w:r>
      <w:r w:rsidRPr="001B45BE">
        <w:rPr>
          <w:color w:val="000000"/>
        </w:rPr>
        <w:t xml:space="preserve">ollecting data about participants’ race and/or ethnicity can be controversial. In some countries, such as France, it is illegal to ask about these demographic characteristics (Léonard, 2014). In other societies, such as Brazil, Croatia, Hungary, and Slovenia, it is legal to collect information about race and ethnicity, but it is considered sensitive data (Morning, 2015). In general, we encourage sensitivity around querying this construct and suggest </w:t>
      </w:r>
      <w:r w:rsidRPr="001B45BE">
        <w:t xml:space="preserve">indicating to </w:t>
      </w:r>
      <w:r w:rsidR="008352DE" w:rsidRPr="001B45BE">
        <w:t xml:space="preserve">participants </w:t>
      </w:r>
      <w:r w:rsidR="008352DE" w:rsidRPr="001B45BE">
        <w:rPr>
          <w:color w:val="000000"/>
        </w:rPr>
        <w:t>that</w:t>
      </w:r>
      <w:r w:rsidRPr="001B45BE">
        <w:rPr>
          <w:color w:val="000000"/>
        </w:rPr>
        <w:t xml:space="preserve"> any items probing community of descent are optional.  </w:t>
      </w:r>
    </w:p>
    <w:p w14:paraId="16BAAFDD" w14:textId="53552DCB" w:rsidR="00F854BC" w:rsidRPr="001B45BE" w:rsidRDefault="00000000">
      <w:pPr>
        <w:spacing w:line="480" w:lineRule="auto"/>
        <w:rPr>
          <w:color w:val="000000"/>
        </w:rPr>
      </w:pPr>
      <w:r w:rsidRPr="001B45BE">
        <w:rPr>
          <w:i/>
          <w:color w:val="000000"/>
        </w:rPr>
        <w:t>Specific constructs.</w:t>
      </w:r>
      <w:r w:rsidRPr="001B45BE">
        <w:rPr>
          <w:color w:val="000000"/>
        </w:rPr>
        <w:t xml:space="preserve"> In defining specific constructs</w:t>
      </w:r>
      <w:r w:rsidR="00FB7B7E">
        <w:rPr>
          <w:color w:val="000000"/>
        </w:rPr>
        <w:t xml:space="preserve"> for </w:t>
      </w:r>
      <w:proofErr w:type="spellStart"/>
      <w:r w:rsidR="00FB7B7E">
        <w:rPr>
          <w:color w:val="000000"/>
        </w:rPr>
        <w:t>communit</w:t>
      </w:r>
      <w:proofErr w:type="spellEnd"/>
      <w:r w:rsidR="00FB7B7E">
        <w:rPr>
          <w:color w:val="000000"/>
        </w:rPr>
        <w:t>y of descent</w:t>
      </w:r>
      <w:r w:rsidRPr="001B45BE">
        <w:rPr>
          <w:color w:val="000000"/>
        </w:rPr>
        <w:t>, we emphasize the</w:t>
      </w:r>
      <w:r w:rsidR="001C087A">
        <w:rPr>
          <w:color w:val="000000"/>
        </w:rPr>
        <w:t xml:space="preserve"> basic</w:t>
      </w:r>
      <w:r w:rsidRPr="001B45BE">
        <w:rPr>
          <w:color w:val="000000"/>
        </w:rPr>
        <w:t xml:space="preserve"> importance of self-disclosure and dissuade researchers from categorizing participants themselves. We encourage the use of inclusive</w:t>
      </w:r>
      <w:r w:rsidR="007E45AC">
        <w:rPr>
          <w:color w:val="000000"/>
        </w:rPr>
        <w:t xml:space="preserve"> and context-appropriate</w:t>
      </w:r>
      <w:r w:rsidRPr="001B45BE">
        <w:rPr>
          <w:color w:val="000000"/>
        </w:rPr>
        <w:t xml:space="preserve"> categories, minimizing the use of “Other” in order to maximize precision of demographic data. The specific items used should be evaluated for their information value within a particular context. As discussed above, researchers may choose to use race and/or ethnicity </w:t>
      </w:r>
      <w:r w:rsidR="00617764">
        <w:rPr>
          <w:color w:val="000000"/>
        </w:rPr>
        <w:t>if appropriate and informative in</w:t>
      </w:r>
      <w:r w:rsidRPr="001B45BE">
        <w:rPr>
          <w:color w:val="000000"/>
        </w:rPr>
        <w:t xml:space="preserve"> context. In some settings, measures for community of descent may include migration history of the family (</w:t>
      </w:r>
      <w:proofErr w:type="spellStart"/>
      <w:r w:rsidRPr="001B45BE">
        <w:rPr>
          <w:color w:val="000000"/>
        </w:rPr>
        <w:t>Parameshwaran</w:t>
      </w:r>
      <w:proofErr w:type="spellEnd"/>
      <w:r w:rsidRPr="001B45BE">
        <w:rPr>
          <w:color w:val="000000"/>
        </w:rPr>
        <w:t xml:space="preserve"> &amp; </w:t>
      </w:r>
      <w:proofErr w:type="spellStart"/>
      <w:r w:rsidRPr="001B45BE">
        <w:rPr>
          <w:color w:val="000000"/>
        </w:rPr>
        <w:t>Engzell</w:t>
      </w:r>
      <w:proofErr w:type="spellEnd"/>
      <w:r w:rsidRPr="001B45BE">
        <w:rPr>
          <w:color w:val="000000"/>
        </w:rPr>
        <w:t xml:space="preserve">, 2015), adherence to cultural or </w:t>
      </w:r>
      <w:r w:rsidRPr="001B45BE">
        <w:rPr>
          <w:color w:val="000000"/>
        </w:rPr>
        <w:lastRenderedPageBreak/>
        <w:t>religious routines and practices (</w:t>
      </w:r>
      <w:proofErr w:type="spellStart"/>
      <w:r w:rsidRPr="001B45BE">
        <w:rPr>
          <w:color w:val="000000"/>
        </w:rPr>
        <w:t>Juang</w:t>
      </w:r>
      <w:proofErr w:type="spellEnd"/>
      <w:r w:rsidRPr="001B45BE">
        <w:rPr>
          <w:color w:val="000000"/>
        </w:rPr>
        <w:t xml:space="preserve"> &amp; Syed, 2010), and/or other behavioral measures of enculturation (Kim &amp; Abreu, 2001). In indigenous populations, tribal affiliation or clan membership may be suitable markers (Posner, 2007). Alternative and/or complementary measures include membership within an ethnolinguistic community, which can be queried by asking about the native language within the community (Adams et al., 2016). Lastly, in some environments, such as the South Asian subcontinent, regional origin and/or religion may be valid proxies of community of descent (Eriksen, 2001). We reiterate that this overall category of information may be considered sensitive data and care should be exercised in developing and administering questions around community of descent.</w:t>
      </w:r>
    </w:p>
    <w:p w14:paraId="12F965AA" w14:textId="77777777" w:rsidR="00F854BC" w:rsidRPr="001B45BE" w:rsidRDefault="00000000">
      <w:pPr>
        <w:pStyle w:val="Heading2"/>
        <w:spacing w:line="480" w:lineRule="auto"/>
        <w:rPr>
          <w:color w:val="000000"/>
        </w:rPr>
      </w:pPr>
      <w:bookmarkStart w:id="5" w:name="_heading=h.rz3g4khg1lkd" w:colFirst="0" w:colLast="0"/>
      <w:bookmarkEnd w:id="5"/>
      <w:r w:rsidRPr="001B45BE">
        <w:rPr>
          <w:color w:val="000000"/>
        </w:rPr>
        <w:t>Caregiving Environment</w:t>
      </w:r>
    </w:p>
    <w:p w14:paraId="04BDDCF7" w14:textId="0DEA36A0" w:rsidR="00F854BC" w:rsidRPr="001B45BE" w:rsidRDefault="00000000">
      <w:pPr>
        <w:spacing w:line="480" w:lineRule="auto"/>
        <w:rPr>
          <w:color w:val="000000"/>
        </w:rPr>
      </w:pPr>
      <w:r w:rsidRPr="001B45BE">
        <w:rPr>
          <w:i/>
          <w:color w:val="000000"/>
        </w:rPr>
        <w:t xml:space="preserve">Rationale. </w:t>
      </w:r>
      <w:r w:rsidRPr="001B45BE">
        <w:rPr>
          <w:color w:val="000000"/>
        </w:rPr>
        <w:t xml:space="preserve">Caregivers, both parental and non-parental, are key agents of socialization for young children (Bohr et al., 2018). Information about </w:t>
      </w:r>
      <w:r w:rsidRPr="001B45BE">
        <w:t>a child’s</w:t>
      </w:r>
      <w:r w:rsidRPr="001B45BE">
        <w:rPr>
          <w:color w:val="000000"/>
        </w:rPr>
        <w:t xml:space="preserve"> caregiving environment provides insight into the individuals that support and nurture the child. As mentioned earlier, we note the enormous complexity in both identifying individual caregivers and in defining care, given that these constructs vary considerably across sociocultural contexts. In most of the world, multiple parenting (or </w:t>
      </w:r>
      <w:proofErr w:type="spellStart"/>
      <w:r w:rsidRPr="001B45BE">
        <w:rPr>
          <w:color w:val="000000"/>
        </w:rPr>
        <w:t>alloparenting</w:t>
      </w:r>
      <w:proofErr w:type="spellEnd"/>
      <w:r w:rsidRPr="001B45BE">
        <w:rPr>
          <w:color w:val="000000"/>
        </w:rPr>
        <w:t>) of different forms is the norm (</w:t>
      </w:r>
      <w:proofErr w:type="spellStart"/>
      <w:r w:rsidRPr="001B45BE">
        <w:rPr>
          <w:color w:val="000000"/>
        </w:rPr>
        <w:t>Gauvain</w:t>
      </w:r>
      <w:proofErr w:type="spellEnd"/>
      <w:r w:rsidRPr="001B45BE">
        <w:rPr>
          <w:color w:val="000000"/>
        </w:rPr>
        <w:t xml:space="preserve"> &amp; Parke, 2010). As such, it should not be presumed that primary caregivers include or are limited to children’s biological parents or family members, and it should not be presumed that a child has only one to two caregivers. Caregiving arrangements are also highly variable across sociocultural contexts in terms of the roles performed by caregivers. In querying this construct, we encourage researchers to provide </w:t>
      </w:r>
      <w:r w:rsidR="008352DE" w:rsidRPr="001B45BE">
        <w:rPr>
          <w:color w:val="000000"/>
        </w:rPr>
        <w:t>locally adapted</w:t>
      </w:r>
      <w:r w:rsidRPr="001B45BE">
        <w:rPr>
          <w:color w:val="000000"/>
        </w:rPr>
        <w:t xml:space="preserve"> examples of caregiving behaviors that would guide participants’ responses.</w:t>
      </w:r>
    </w:p>
    <w:p w14:paraId="02D297AC" w14:textId="7371DA01" w:rsidR="00F854BC" w:rsidRPr="001B45BE" w:rsidRDefault="00000000">
      <w:pPr>
        <w:spacing w:line="480" w:lineRule="auto"/>
        <w:rPr>
          <w:color w:val="000000"/>
        </w:rPr>
      </w:pPr>
      <w:r w:rsidRPr="001B45BE">
        <w:rPr>
          <w:color w:val="000000"/>
        </w:rPr>
        <w:lastRenderedPageBreak/>
        <w:t>In their role as agents of socialization, caregivers are also key sources of language input. For this reason, we have incorporated language input under caregiver information to avoid duplicate querying of caregiver information. Infants’ language exposure has developmental significance: the number of languages that children hear has been shown to influence the pace and course of language development (</w:t>
      </w:r>
      <w:proofErr w:type="spellStart"/>
      <w:r w:rsidRPr="001B45BE">
        <w:rPr>
          <w:color w:val="000000"/>
        </w:rPr>
        <w:t>Floccia</w:t>
      </w:r>
      <w:proofErr w:type="spellEnd"/>
      <w:r w:rsidRPr="001B45BE">
        <w:rPr>
          <w:color w:val="000000"/>
        </w:rPr>
        <w:t xml:space="preserve"> et al., 2018; Singh, Cheng et al., 2022) as well as a range of non-linguistic processes in early childhood (Brito &amp; Barr, 2012; </w:t>
      </w:r>
      <w:proofErr w:type="spellStart"/>
      <w:r w:rsidRPr="001B45BE">
        <w:rPr>
          <w:color w:val="000000"/>
        </w:rPr>
        <w:t>Kovács</w:t>
      </w:r>
      <w:proofErr w:type="spellEnd"/>
      <w:r w:rsidRPr="001B45BE">
        <w:rPr>
          <w:color w:val="000000"/>
        </w:rPr>
        <w:t xml:space="preserve"> &amp; </w:t>
      </w:r>
      <w:proofErr w:type="spellStart"/>
      <w:r w:rsidRPr="001B45BE">
        <w:rPr>
          <w:color w:val="000000"/>
        </w:rPr>
        <w:t>Mehler</w:t>
      </w:r>
      <w:proofErr w:type="spellEnd"/>
      <w:r w:rsidRPr="001B45BE">
        <w:rPr>
          <w:color w:val="000000"/>
        </w:rPr>
        <w:t xml:space="preserve">, 2009a, 2009b; Liu &amp; </w:t>
      </w:r>
      <w:proofErr w:type="spellStart"/>
      <w:r w:rsidRPr="001B45BE">
        <w:rPr>
          <w:color w:val="000000"/>
        </w:rPr>
        <w:t>Kager</w:t>
      </w:r>
      <w:proofErr w:type="spellEnd"/>
      <w:r w:rsidRPr="001B45BE">
        <w:rPr>
          <w:color w:val="000000"/>
        </w:rPr>
        <w:t xml:space="preserve">, 2016; </w:t>
      </w:r>
      <w:hyperlink r:id="rId17">
        <w:r w:rsidRPr="001B45BE">
          <w:rPr>
            <w:color w:val="000000"/>
          </w:rPr>
          <w:t>Sebastián-</w:t>
        </w:r>
        <w:proofErr w:type="spellStart"/>
        <w:r w:rsidRPr="001B45BE">
          <w:rPr>
            <w:color w:val="000000"/>
          </w:rPr>
          <w:t>Gallés</w:t>
        </w:r>
        <w:proofErr w:type="spellEnd"/>
      </w:hyperlink>
      <w:r w:rsidRPr="001B45BE">
        <w:rPr>
          <w:color w:val="000000"/>
        </w:rPr>
        <w:t xml:space="preserve"> et al., 2012; Singh et al., 2015). Furthermore, in multilingual children, the amount of relative exposure to each language is predictive of their linguistic knowledge in that language (</w:t>
      </w:r>
      <w:proofErr w:type="spellStart"/>
      <w:r w:rsidRPr="001B45BE">
        <w:rPr>
          <w:color w:val="000000"/>
        </w:rPr>
        <w:t>Blom</w:t>
      </w:r>
      <w:proofErr w:type="spellEnd"/>
      <w:r w:rsidRPr="001B45BE">
        <w:rPr>
          <w:color w:val="000000"/>
        </w:rPr>
        <w:t xml:space="preserve">, 2010; Gathercole, 2002; Hoff et al., 2012; Unsworth, 2013). Given that we focus on early childhood, we encourage parental estimates of language exposure as a means to capture the participant’s language environment. </w:t>
      </w:r>
      <w:r w:rsidR="00266207">
        <w:rPr>
          <w:color w:val="000000"/>
        </w:rPr>
        <w:t>P</w:t>
      </w:r>
      <w:r w:rsidRPr="001B45BE">
        <w:rPr>
          <w:color w:val="000000"/>
        </w:rPr>
        <w:t>arent estimates of these aspects of language exposure have been shown to correlate with direct measures of input (e.g., Marchman et al., 2017; Orena et al., 2020)</w:t>
      </w:r>
      <w:r w:rsidR="00266207">
        <w:rPr>
          <w:color w:val="000000"/>
        </w:rPr>
        <w:t>, although this evidence draws largely from North America</w:t>
      </w:r>
      <w:r w:rsidRPr="001B45BE">
        <w:rPr>
          <w:color w:val="000000"/>
        </w:rPr>
        <w:t>.</w:t>
      </w:r>
      <w:r w:rsidR="00D22D86">
        <w:rPr>
          <w:color w:val="000000"/>
        </w:rPr>
        <w:t xml:space="preserve"> We encourage researchers to think critically about normative input structure in context (e.g., directly </w:t>
      </w:r>
      <w:r w:rsidR="00AA1831">
        <w:rPr>
          <w:color w:val="000000"/>
        </w:rPr>
        <w:t>input</w:t>
      </w:r>
      <w:r w:rsidR="00D22D86">
        <w:rPr>
          <w:color w:val="000000"/>
        </w:rPr>
        <w:t xml:space="preserve"> versus overheard speech) and to determine what counts as language exposure within context (</w:t>
      </w:r>
      <w:proofErr w:type="spellStart"/>
      <w:r w:rsidR="00D22D86" w:rsidRPr="00FE2D9D">
        <w:t>Cristia</w:t>
      </w:r>
      <w:proofErr w:type="spellEnd"/>
      <w:r w:rsidR="00D22D86" w:rsidRPr="00FE2D9D">
        <w:t xml:space="preserve"> et al., 2023</w:t>
      </w:r>
      <w:r w:rsidR="00D22D86">
        <w:t>).</w:t>
      </w:r>
    </w:p>
    <w:p w14:paraId="64114DD7" w14:textId="186CC42C" w:rsidR="00F854BC" w:rsidRPr="001B45BE" w:rsidRDefault="00000000">
      <w:pPr>
        <w:spacing w:line="480" w:lineRule="auto"/>
        <w:rPr>
          <w:color w:val="000000"/>
        </w:rPr>
      </w:pPr>
      <w:r w:rsidRPr="001B45BE">
        <w:rPr>
          <w:i/>
          <w:color w:val="000000"/>
        </w:rPr>
        <w:t>Specific constructs.</w:t>
      </w:r>
      <w:r w:rsidRPr="001B45BE">
        <w:rPr>
          <w:color w:val="000000"/>
        </w:rPr>
        <w:t xml:space="preserve"> We recommend querying who takes care of the child on a regular basis, their relationship to the child, the amount of time they spend with the child, and the names of the specific language(s) they speak to the child. From the names of languages, the number of languages can be extrapolated. We</w:t>
      </w:r>
      <w:r w:rsidR="00FF7E26">
        <w:rPr>
          <w:color w:val="000000"/>
        </w:rPr>
        <w:t xml:space="preserve"> also</w:t>
      </w:r>
      <w:r w:rsidRPr="001B45BE">
        <w:rPr>
          <w:color w:val="000000"/>
        </w:rPr>
        <w:t xml:space="preserve"> suggest querying both the names and number of languages spoken because membership in a linguistic community/communities can be an important indicator of heritage and sociocultural identity (Ting-Toomey &amp; </w:t>
      </w:r>
      <w:proofErr w:type="spellStart"/>
      <w:r w:rsidRPr="001B45BE">
        <w:rPr>
          <w:color w:val="000000"/>
        </w:rPr>
        <w:t>Dorjee</w:t>
      </w:r>
      <w:proofErr w:type="spellEnd"/>
      <w:r w:rsidRPr="001B45BE">
        <w:rPr>
          <w:color w:val="000000"/>
        </w:rPr>
        <w:t xml:space="preserve">, 2014). We recommend caregiver gender identification as an additional variable. In querying caregiver </w:t>
      </w:r>
      <w:r w:rsidRPr="001B45BE">
        <w:rPr>
          <w:color w:val="000000"/>
        </w:rPr>
        <w:lastRenderedPageBreak/>
        <w:t>gender, we encourage the use of inclusive response categories that align with gender categorization systems in the site of testing and encourage the provision of non-binary options.</w:t>
      </w:r>
    </w:p>
    <w:p w14:paraId="06E41F55" w14:textId="77777777" w:rsidR="00F854BC" w:rsidRPr="001B45BE" w:rsidRDefault="00000000">
      <w:pPr>
        <w:spacing w:line="480" w:lineRule="auto"/>
        <w:rPr>
          <w:color w:val="000000"/>
        </w:rPr>
      </w:pPr>
      <w:r w:rsidRPr="001B45BE">
        <w:rPr>
          <w:color w:val="000000"/>
        </w:rPr>
        <w:t>To estimate the amount of time spent with each caregiver, we suggest asking about hours per day and days per week instead of estimates of proportions of time. This information is likely to be more immediately accessible to families and can be retrieved simply from knowing caregivers’ schedules, rather t</w:t>
      </w:r>
      <w:r w:rsidRPr="001B45BE">
        <w:t>han requiring additional computation or estimation</w:t>
      </w:r>
      <w:r w:rsidRPr="001B45BE">
        <w:rPr>
          <w:color w:val="000000"/>
        </w:rPr>
        <w:t xml:space="preserve">. In our experience working with diverse populations, relative quantification (e.g., percentages) is generally more difficult for individuals to compute than absolute quantification (e.g., number of hours). As such, asking participants to retrieve schedules rather than compute percentages is expected to result in a more </w:t>
      </w:r>
      <w:r w:rsidRPr="001B45BE">
        <w:t>accurate</w:t>
      </w:r>
      <w:r w:rsidRPr="001B45BE">
        <w:rPr>
          <w:color w:val="000000"/>
        </w:rPr>
        <w:t xml:space="preserve"> measure.</w:t>
      </w:r>
    </w:p>
    <w:p w14:paraId="7892AB69" w14:textId="77777777" w:rsidR="00F854BC" w:rsidRPr="001B45BE" w:rsidRDefault="00000000">
      <w:pPr>
        <w:pStyle w:val="Heading2"/>
        <w:spacing w:line="480" w:lineRule="auto"/>
        <w:rPr>
          <w:color w:val="000000"/>
        </w:rPr>
      </w:pPr>
      <w:bookmarkStart w:id="6" w:name="_heading=h.2s8eyo1" w:colFirst="0" w:colLast="0"/>
      <w:bookmarkEnd w:id="6"/>
      <w:r w:rsidRPr="001B45BE">
        <w:rPr>
          <w:color w:val="000000"/>
        </w:rPr>
        <w:t>Socioeconomic Status (SES)</w:t>
      </w:r>
    </w:p>
    <w:p w14:paraId="2DC6C971" w14:textId="0868D5D2" w:rsidR="00F854BC" w:rsidRPr="001B45BE" w:rsidRDefault="00000000">
      <w:pPr>
        <w:spacing w:line="480" w:lineRule="auto"/>
        <w:rPr>
          <w:color w:val="000000"/>
        </w:rPr>
      </w:pPr>
      <w:r w:rsidRPr="001B45BE">
        <w:rPr>
          <w:i/>
          <w:color w:val="000000"/>
        </w:rPr>
        <w:t xml:space="preserve">Rationale. </w:t>
      </w:r>
      <w:r w:rsidRPr="001B45BE">
        <w:rPr>
          <w:color w:val="000000"/>
        </w:rPr>
        <w:t xml:space="preserve">SES shapes many aspects of early child development both concurrently and longitudinally (Bradley &amp; </w:t>
      </w:r>
      <w:proofErr w:type="spellStart"/>
      <w:r w:rsidRPr="001B45BE">
        <w:rPr>
          <w:color w:val="000000"/>
        </w:rPr>
        <w:t>Corwyn</w:t>
      </w:r>
      <w:proofErr w:type="spellEnd"/>
      <w:r w:rsidRPr="001B45BE">
        <w:rPr>
          <w:color w:val="000000"/>
        </w:rPr>
        <w:t xml:space="preserve">, 2002; Duncan et al., 2012; Luo &amp; Waite, </w:t>
      </w:r>
      <w:r w:rsidR="008352DE" w:rsidRPr="001B45BE">
        <w:rPr>
          <w:color w:val="000000"/>
        </w:rPr>
        <w:t>2005; Halle</w:t>
      </w:r>
      <w:r w:rsidRPr="001B45BE">
        <w:rPr>
          <w:color w:val="000000"/>
        </w:rPr>
        <w:t xml:space="preserve"> et al., 2009), influencing a broad swath of cognitive, academic, behavioral, and health outcomes (Letourneau et al., 2013; Noble et al., 2015; </w:t>
      </w:r>
      <w:proofErr w:type="spellStart"/>
      <w:r w:rsidRPr="001B45BE">
        <w:rPr>
          <w:color w:val="000000"/>
        </w:rPr>
        <w:t>Ursache</w:t>
      </w:r>
      <w:proofErr w:type="spellEnd"/>
      <w:r w:rsidRPr="001B45BE">
        <w:rPr>
          <w:color w:val="000000"/>
        </w:rPr>
        <w:t xml:space="preserve"> et al., 2016). SES is especially influential during the first years of life, when neurodevelopmental change is most rapid and children are highly vulnerable to environmental conditions (Nelson, 2007; Nelson &amp; </w:t>
      </w:r>
      <w:proofErr w:type="spellStart"/>
      <w:r w:rsidRPr="001B45BE">
        <w:rPr>
          <w:color w:val="000000"/>
        </w:rPr>
        <w:t>Gabard-Durnam</w:t>
      </w:r>
      <w:proofErr w:type="spellEnd"/>
      <w:r w:rsidRPr="001B45BE">
        <w:rPr>
          <w:color w:val="000000"/>
        </w:rPr>
        <w:t xml:space="preserve">, 2020). Low family SES can significantly alter developmental trajectories, putting children at risk of not achieving their developmental potential (Grantham-McGregor et al., 2007; McCoy et al., 2016). However, SES also shapes child outcomes at the higher end of the socio-economic spectrum (Milligan &amp; Stabile, 2011; </w:t>
      </w:r>
      <w:proofErr w:type="spellStart"/>
      <w:r w:rsidRPr="001B45BE">
        <w:rPr>
          <w:color w:val="000000"/>
        </w:rPr>
        <w:t>Schady</w:t>
      </w:r>
      <w:proofErr w:type="spellEnd"/>
      <w:r w:rsidRPr="001B45BE">
        <w:rPr>
          <w:color w:val="000000"/>
        </w:rPr>
        <w:t xml:space="preserve"> et al., 2015; Votruba-</w:t>
      </w:r>
      <w:proofErr w:type="spellStart"/>
      <w:r w:rsidRPr="001B45BE">
        <w:rPr>
          <w:color w:val="000000"/>
        </w:rPr>
        <w:t>Drzal</w:t>
      </w:r>
      <w:proofErr w:type="spellEnd"/>
      <w:r w:rsidRPr="001B45BE">
        <w:rPr>
          <w:color w:val="000000"/>
        </w:rPr>
        <w:t xml:space="preserve">, 2003). Given its wide-ranging impact, it is critical to report the SES distribution of study participants to interpret and generalize findings in developmental psychology.  </w:t>
      </w:r>
    </w:p>
    <w:p w14:paraId="3E2AB5EA" w14:textId="073158E8" w:rsidR="00F854BC" w:rsidRPr="001B45BE" w:rsidRDefault="00000000">
      <w:pPr>
        <w:spacing w:line="480" w:lineRule="auto"/>
        <w:rPr>
          <w:color w:val="000000"/>
        </w:rPr>
      </w:pPr>
      <w:r w:rsidRPr="001B45BE">
        <w:lastRenderedPageBreak/>
        <w:t>M</w:t>
      </w:r>
      <w:r w:rsidRPr="001B45BE">
        <w:rPr>
          <w:color w:val="000000"/>
        </w:rPr>
        <w:t xml:space="preserve">easurement of SES is complex. Several studies use composite scores to measure SES (most commonly, a combination of household income, parental </w:t>
      </w:r>
      <w:proofErr w:type="gramStart"/>
      <w:r w:rsidRPr="001B45BE">
        <w:rPr>
          <w:color w:val="000000"/>
        </w:rPr>
        <w:t>education</w:t>
      </w:r>
      <w:proofErr w:type="gramEnd"/>
      <w:r w:rsidRPr="001B45BE">
        <w:rPr>
          <w:color w:val="000000"/>
        </w:rPr>
        <w:t xml:space="preserve"> and parental occupation). However, recent analyses of OECD and World Bank data suggests that different components of SES are differentially related to child development depending on the setting. In particular, household income has been shown to be more influential in developing countries and parental education is more influential in industrialized countries (O’Connell, 2019). As a result, we suggest collecting both</w:t>
      </w:r>
      <w:r w:rsidR="009B4910">
        <w:rPr>
          <w:color w:val="000000"/>
        </w:rPr>
        <w:t xml:space="preserve"> education and income measures.</w:t>
      </w:r>
    </w:p>
    <w:p w14:paraId="07919EE3" w14:textId="47DD3583" w:rsidR="00F854BC" w:rsidRPr="001B45BE" w:rsidRDefault="00000000">
      <w:pPr>
        <w:spacing w:line="480" w:lineRule="auto"/>
        <w:rPr>
          <w:color w:val="000000"/>
        </w:rPr>
      </w:pPr>
      <w:r w:rsidRPr="001B45BE">
        <w:rPr>
          <w:i/>
          <w:color w:val="000000"/>
        </w:rPr>
        <w:t>Specific Constructs.</w:t>
      </w:r>
      <w:r w:rsidRPr="001B45BE">
        <w:rPr>
          <w:color w:val="000000"/>
        </w:rPr>
        <w:t xml:space="preserve"> The first construct under the SES category is caregiver education. For the most part, </w:t>
      </w:r>
      <w:r w:rsidR="00CC2B08">
        <w:rPr>
          <w:color w:val="000000"/>
        </w:rPr>
        <w:t>research on effects of caregiver education derive from</w:t>
      </w:r>
      <w:r w:rsidRPr="001B45BE">
        <w:rPr>
          <w:color w:val="000000"/>
        </w:rPr>
        <w:t xml:space="preserve"> North American contexts where caregivers are most commonly defined as parents. </w:t>
      </w:r>
      <w:r w:rsidR="00DC74E9">
        <w:rPr>
          <w:color w:val="000000"/>
        </w:rPr>
        <w:t>For example, there</w:t>
      </w:r>
      <w:r w:rsidRPr="001B45BE">
        <w:rPr>
          <w:color w:val="000000"/>
        </w:rPr>
        <w:t xml:space="preserve"> is a rich body of literature on the associations between maternal education specifically and child outcomes in different domains of functioning (e.g., Carneiro et al., 2013; Vernon-</w:t>
      </w:r>
      <w:proofErr w:type="spellStart"/>
      <w:r w:rsidRPr="001B45BE">
        <w:rPr>
          <w:color w:val="000000"/>
        </w:rPr>
        <w:t>Feagans</w:t>
      </w:r>
      <w:proofErr w:type="spellEnd"/>
      <w:r w:rsidRPr="001B45BE">
        <w:rPr>
          <w:color w:val="000000"/>
        </w:rPr>
        <w:t xml:space="preserve"> et al., 2020; Vikram &amp; </w:t>
      </w:r>
      <w:proofErr w:type="spellStart"/>
      <w:r w:rsidRPr="001B45BE">
        <w:rPr>
          <w:color w:val="000000"/>
        </w:rPr>
        <w:t>Vanneman</w:t>
      </w:r>
      <w:proofErr w:type="spellEnd"/>
      <w:r w:rsidRPr="001B45BE">
        <w:rPr>
          <w:color w:val="000000"/>
        </w:rPr>
        <w:t xml:space="preserve">, 2020). </w:t>
      </w:r>
      <w:r w:rsidR="0052796D">
        <w:rPr>
          <w:color w:val="000000"/>
        </w:rPr>
        <w:t>However, some studies suggest that</w:t>
      </w:r>
      <w:r w:rsidRPr="001B45BE">
        <w:rPr>
          <w:color w:val="000000"/>
        </w:rPr>
        <w:t xml:space="preserve"> paternal education might be </w:t>
      </w:r>
      <w:r w:rsidR="00C20362">
        <w:rPr>
          <w:color w:val="000000"/>
        </w:rPr>
        <w:t xml:space="preserve">just as or even </w:t>
      </w:r>
      <w:r w:rsidRPr="001B45BE">
        <w:rPr>
          <w:color w:val="000000"/>
        </w:rPr>
        <w:t xml:space="preserve">more influential in certain contexts (see Cabrera et al., 2007; </w:t>
      </w:r>
      <w:proofErr w:type="spellStart"/>
      <w:r w:rsidRPr="001B45BE">
        <w:rPr>
          <w:color w:val="000000"/>
        </w:rPr>
        <w:t>Pancsofar</w:t>
      </w:r>
      <w:proofErr w:type="spellEnd"/>
      <w:r w:rsidRPr="001B45BE">
        <w:rPr>
          <w:color w:val="000000"/>
        </w:rPr>
        <w:t xml:space="preserve"> &amp; Vernon-</w:t>
      </w:r>
      <w:proofErr w:type="spellStart"/>
      <w:r w:rsidRPr="001B45BE">
        <w:rPr>
          <w:color w:val="000000"/>
        </w:rPr>
        <w:t>Feagans</w:t>
      </w:r>
      <w:proofErr w:type="spellEnd"/>
      <w:r w:rsidRPr="001B45BE">
        <w:rPr>
          <w:color w:val="000000"/>
        </w:rPr>
        <w:t xml:space="preserve">, 2010; Singh, Yeung, et al., 2022). </w:t>
      </w:r>
      <w:r w:rsidR="00035A55">
        <w:rPr>
          <w:color w:val="000000"/>
        </w:rPr>
        <w:t>One approach is to</w:t>
      </w:r>
      <w:r w:rsidRPr="001B45BE">
        <w:rPr>
          <w:color w:val="000000"/>
        </w:rPr>
        <w:t xml:space="preserve"> qu</w:t>
      </w:r>
      <w:r w:rsidRPr="001B45BE">
        <w:t xml:space="preserve">ery </w:t>
      </w:r>
      <w:r w:rsidRPr="001B45BE">
        <w:rPr>
          <w:color w:val="000000"/>
        </w:rPr>
        <w:t xml:space="preserve">the highest level of education of all primary caregivers. While in the United States, this is often instantiated as maternal and paternal education, we encourage specificity in defining primary caregivers in a manner that is contextually appropriate. When operationalizing formal education, we recommend that researchers flexibly and appropriately use and adapt the descriptions of the educational levels based on the country where research is conducted and word items in a way that is inclusive of variability in caregiving structures. </w:t>
      </w:r>
    </w:p>
    <w:p w14:paraId="78892BE0" w14:textId="7B58EA58" w:rsidR="00F854BC" w:rsidRPr="001B45BE" w:rsidRDefault="00000000">
      <w:pPr>
        <w:spacing w:line="480" w:lineRule="auto"/>
        <w:rPr>
          <w:color w:val="000000"/>
        </w:rPr>
      </w:pPr>
      <w:r w:rsidRPr="001B45BE">
        <w:rPr>
          <w:color w:val="000000"/>
        </w:rPr>
        <w:t xml:space="preserve">In addition to caregiver education, we encourage the use of household income as a proxy for SES. Use of this construct is supported by a large body of data demonstrating that income has </w:t>
      </w:r>
      <w:r w:rsidRPr="001B45BE">
        <w:rPr>
          <w:color w:val="000000"/>
        </w:rPr>
        <w:lastRenderedPageBreak/>
        <w:t xml:space="preserve">unique effects on child outcomes, independent of other household and parental characteristics (see </w:t>
      </w:r>
      <w:proofErr w:type="spellStart"/>
      <w:r w:rsidRPr="001B45BE">
        <w:rPr>
          <w:color w:val="000000"/>
        </w:rPr>
        <w:t>Bastagli</w:t>
      </w:r>
      <w:proofErr w:type="spellEnd"/>
      <w:r w:rsidRPr="001B45BE">
        <w:rPr>
          <w:color w:val="000000"/>
        </w:rPr>
        <w:t xml:space="preserve"> et al., 2019 for a review on evidence from low- and middle-income countries; Cooper &amp; Stewart, 2021 and Duncan et al., 2017 for reviews on evidence from high-income countries). For example, household income is uniquely related to neural processes underlying cognitive development (e.g., Decker et al., 2020; Hanson et al., 2013; Noble et al., 2015; St John et al., 2019). This relation is likely due to </w:t>
      </w:r>
      <w:r w:rsidR="00EA5388">
        <w:rPr>
          <w:color w:val="000000"/>
        </w:rPr>
        <w:t>ways in which</w:t>
      </w:r>
      <w:r w:rsidRPr="001B45BE">
        <w:rPr>
          <w:color w:val="000000"/>
        </w:rPr>
        <w:t xml:space="preserve"> income directly affords material resources that in turn impact early development, such as access to adequate nutrition, exposure to stress and environmental pollutants, and access to physically, emotionally, and cognitively enriching environments (Farah, 2017).</w:t>
      </w:r>
    </w:p>
    <w:p w14:paraId="6A2A730E" w14:textId="77777777" w:rsidR="00562E5A" w:rsidRPr="001B45BE" w:rsidRDefault="00000000">
      <w:pPr>
        <w:spacing w:line="480" w:lineRule="auto"/>
        <w:rPr>
          <w:color w:val="000000"/>
        </w:rPr>
      </w:pPr>
      <w:r w:rsidRPr="001B45BE">
        <w:rPr>
          <w:color w:val="000000"/>
        </w:rPr>
        <w:t>When collecting data on income, research teams should</w:t>
      </w:r>
      <w:r w:rsidRPr="001B45BE">
        <w:t xml:space="preserve"> decide on</w:t>
      </w:r>
      <w:r w:rsidRPr="001B45BE">
        <w:rPr>
          <w:color w:val="000000"/>
        </w:rPr>
        <w:t xml:space="preserve"> and document the use of </w:t>
      </w:r>
      <w:r w:rsidR="008352DE" w:rsidRPr="001B45BE">
        <w:rPr>
          <w:color w:val="000000"/>
        </w:rPr>
        <w:t xml:space="preserve">either </w:t>
      </w:r>
      <w:r w:rsidRPr="001B45BE">
        <w:rPr>
          <w:color w:val="000000"/>
        </w:rPr>
        <w:t>gross income or net income and should encourage the use of income from all sources. Furthermore, when assessing SES in the context of child development and academic achievement studies, it has been recommended to adjust measures based on family composition (Cowan et al., 2012</w:t>
      </w:r>
      <w:r w:rsidRPr="001B45BE">
        <w:rPr>
          <w:i/>
          <w:color w:val="000000"/>
        </w:rPr>
        <w:t>)</w:t>
      </w:r>
      <w:r w:rsidRPr="001B45BE">
        <w:rPr>
          <w:color w:val="000000"/>
        </w:rPr>
        <w:t xml:space="preserve">. One convenient and widely employed technique to adjust income is to compute </w:t>
      </w:r>
      <w:r w:rsidRPr="001B45BE">
        <w:rPr>
          <w:i/>
          <w:color w:val="000000"/>
        </w:rPr>
        <w:t>income-to-needs ratios</w:t>
      </w:r>
      <w:r w:rsidRPr="001B45BE">
        <w:rPr>
          <w:color w:val="000000"/>
        </w:rPr>
        <w:t>. Th</w:t>
      </w:r>
      <w:r w:rsidRPr="001B45BE">
        <w:t>ese are</w:t>
      </w:r>
      <w:r w:rsidRPr="001B45BE">
        <w:rPr>
          <w:color w:val="000000"/>
        </w:rPr>
        <w:t xml:space="preserve"> computed by summing the total family income and dividing it by the poverty threshold for a family of the same composition. The poverty threshold for different family sizes is typically obtained from the country’s published census data. Therefore, in the context of cross-country comparisons, researchers are dependent on the availability of such data. </w:t>
      </w:r>
      <w:r w:rsidRPr="001B45BE">
        <w:t>Another route for comparing p</w:t>
      </w:r>
      <w:r w:rsidRPr="001B45BE">
        <w:rPr>
          <w:color w:val="000000"/>
        </w:rPr>
        <w:t xml:space="preserve">articipants’ income across countries </w:t>
      </w:r>
      <w:r w:rsidRPr="001B45BE">
        <w:t>are the</w:t>
      </w:r>
      <w:r w:rsidRPr="001B45BE">
        <w:rPr>
          <w:color w:val="000000"/>
        </w:rPr>
        <w:t xml:space="preserve"> Purchasing Power Parity indices provided by the World Bank. Purchasing Power Parity </w:t>
      </w:r>
      <w:r w:rsidRPr="001B45BE">
        <w:t>is a comparison of</w:t>
      </w:r>
      <w:r w:rsidRPr="001B45BE">
        <w:rPr>
          <w:color w:val="000000"/>
        </w:rPr>
        <w:t xml:space="preserve"> the prices of the same goods or services in different economies using the local currency units (World Bank, 2020). </w:t>
      </w:r>
    </w:p>
    <w:p w14:paraId="4165202B" w14:textId="755F7578" w:rsidR="00F854BC" w:rsidRPr="001B45BE" w:rsidRDefault="00000000">
      <w:pPr>
        <w:spacing w:line="480" w:lineRule="auto"/>
        <w:rPr>
          <w:color w:val="000000"/>
        </w:rPr>
      </w:pPr>
      <w:r w:rsidRPr="001B45BE">
        <w:rPr>
          <w:color w:val="000000"/>
        </w:rPr>
        <w:lastRenderedPageBreak/>
        <w:t xml:space="preserve">Even though collecting income data can be extremely helpful in the context of characterizing participant samples and drawing within- and cross-national comparisons, the decision to use income as a measure of SES should be taken with care for three main reasons. First, income information is often considered to be sensitive. Second, in certain communities, collecting income information might not capture meaningful variability in access to material resources within the specific context. In some instances, querying household assets and using the International Wealth Index may be a more optimal choice. These decisions should be taken in consultation with local informants familiar with socio-economic stratification within the context of testing. The third limitation associated with collecting income data is that although gross income is an objective way to assess access to material resources, it is important to consider that tax rates and cost of living can differ not only between countries, but also within countries (e.g., by state or marriage status) and may change over time, making it difficult to quantify the amount of resources a family actually has to potentially invest in their children. </w:t>
      </w:r>
    </w:p>
    <w:p w14:paraId="5F8FEBC2" w14:textId="77777777" w:rsidR="00F854BC" w:rsidRPr="001B45BE" w:rsidRDefault="00000000">
      <w:pPr>
        <w:spacing w:line="480" w:lineRule="auto"/>
        <w:rPr>
          <w:color w:val="000000"/>
        </w:rPr>
      </w:pPr>
      <w:r w:rsidRPr="001B45BE">
        <w:rPr>
          <w:color w:val="000000"/>
        </w:rPr>
        <w:t xml:space="preserve">Considering these limitations, one might </w:t>
      </w:r>
      <w:r w:rsidRPr="001B45BE">
        <w:t>consider</w:t>
      </w:r>
      <w:r w:rsidRPr="001B45BE">
        <w:rPr>
          <w:color w:val="000000"/>
        </w:rPr>
        <w:t xml:space="preserve"> collecting data on subjective social status either as a complement or as an alternative, depending on the research questions. Subjective social status is typically assessed using the MacArthur Scale of Subjective Social Status (Adler &amp; Stewart, 2007). Subjective social status is convenient to collect and has been widely used in large-scale adult studies (e.g., Adler et al., 2008; </w:t>
      </w:r>
      <w:proofErr w:type="spellStart"/>
      <w:r w:rsidRPr="001B45BE">
        <w:rPr>
          <w:color w:val="000000"/>
        </w:rPr>
        <w:t>Demakakos</w:t>
      </w:r>
      <w:proofErr w:type="spellEnd"/>
      <w:r w:rsidRPr="001B45BE">
        <w:rPr>
          <w:color w:val="000000"/>
        </w:rPr>
        <w:t xml:space="preserve"> et al., 2008; Singh-</w:t>
      </w:r>
      <w:proofErr w:type="spellStart"/>
      <w:r w:rsidRPr="001B45BE">
        <w:rPr>
          <w:color w:val="000000"/>
        </w:rPr>
        <w:t>Manoux</w:t>
      </w:r>
      <w:proofErr w:type="spellEnd"/>
      <w:r w:rsidRPr="001B45BE">
        <w:rPr>
          <w:color w:val="000000"/>
        </w:rPr>
        <w:t xml:space="preserve"> et al., 2005; Zhao et al., 2023) showing that it is associated with health status and subjective well-being (Tan et al., 2020). It has been widely acknowledged that objective SES and subjective SES are related but distinct constructs (Adler &amp; Stewart, 2007; Kraus et al., 2012). However, </w:t>
      </w:r>
      <w:r w:rsidRPr="001B45BE">
        <w:t>a</w:t>
      </w:r>
      <w:r w:rsidRPr="001B45BE">
        <w:rPr>
          <w:color w:val="000000"/>
        </w:rPr>
        <w:t>s described above, it is objective access to material resources that has been shown to predict neurocognitive development in early life (e.g., Hanson et al., 2013; Noble et al., 2015)</w:t>
      </w:r>
      <w:r w:rsidRPr="001B45BE">
        <w:t>:</w:t>
      </w:r>
      <w:r w:rsidRPr="001B45BE">
        <w:rPr>
          <w:color w:val="000000"/>
        </w:rPr>
        <w:t xml:space="preserve"> </w:t>
      </w:r>
      <w:r w:rsidRPr="001B45BE">
        <w:t>a</w:t>
      </w:r>
      <w:r w:rsidRPr="001B45BE">
        <w:rPr>
          <w:color w:val="000000"/>
        </w:rPr>
        <w:t xml:space="preserve"> </w:t>
      </w:r>
      <w:r w:rsidRPr="001B45BE">
        <w:rPr>
          <w:color w:val="000000"/>
        </w:rPr>
        <w:lastRenderedPageBreak/>
        <w:t>recent review linking SES to brain development in ages 0 to 5 reported no studies using subjective social status as a measure of SES (Olson et al., 2021). In addition, there are many individual and societal factors that influence the relationship between income and subjective perception of income (</w:t>
      </w:r>
      <w:proofErr w:type="spellStart"/>
      <w:r w:rsidRPr="001B45BE">
        <w:rPr>
          <w:color w:val="000000"/>
        </w:rPr>
        <w:t>Gasiorowska</w:t>
      </w:r>
      <w:proofErr w:type="spellEnd"/>
      <w:r w:rsidRPr="001B45BE">
        <w:rPr>
          <w:color w:val="000000"/>
        </w:rPr>
        <w:t xml:space="preserve">, 2014; Kraus et al., 2012; </w:t>
      </w:r>
      <w:proofErr w:type="spellStart"/>
      <w:r w:rsidRPr="001B45BE">
        <w:rPr>
          <w:color w:val="000000"/>
        </w:rPr>
        <w:t>Ravallion</w:t>
      </w:r>
      <w:proofErr w:type="spellEnd"/>
      <w:r w:rsidRPr="001B45BE">
        <w:rPr>
          <w:color w:val="000000"/>
        </w:rPr>
        <w:t>, 2012). In this sense, subjective social status may be even more difficult to interpret comparatively across settings than family income.</w:t>
      </w:r>
    </w:p>
    <w:p w14:paraId="2F545F06" w14:textId="77777777" w:rsidR="00F854BC" w:rsidRPr="001B45BE" w:rsidRDefault="00000000">
      <w:pPr>
        <w:pStyle w:val="Heading1"/>
        <w:spacing w:line="480" w:lineRule="auto"/>
        <w:ind w:firstLine="0"/>
        <w:rPr>
          <w:color w:val="000000"/>
        </w:rPr>
      </w:pPr>
      <w:bookmarkStart w:id="7" w:name="_heading=h.ax31vwg1ug17" w:colFirst="0" w:colLast="0"/>
      <w:bookmarkEnd w:id="7"/>
      <w:r w:rsidRPr="001B45BE">
        <w:rPr>
          <w:color w:val="000000"/>
        </w:rPr>
        <w:t>Instantiating Constructs into Items</w:t>
      </w:r>
    </w:p>
    <w:p w14:paraId="52CE3216" w14:textId="77777777" w:rsidR="00F854BC" w:rsidRPr="001B45BE" w:rsidRDefault="00000000">
      <w:pPr>
        <w:rPr>
          <w:color w:val="000000"/>
        </w:rPr>
      </w:pPr>
      <w:r w:rsidRPr="001B45BE">
        <w:rPr>
          <w:color w:val="000000"/>
        </w:rPr>
        <w:t xml:space="preserve">Taking the set of constructs above as a starting point, how should researchers go about adapting items instantiating these constructs in specific cultural contexts, and how should response options be constructed? We highlight a set of general principles: 1) keep wording simple, 2) use standardized questions when possible, and 3) consider open-ended response options. As researchers adapt our proposed framework to instantiate the constructs described here in a manner appropriate for their context, we recommend engaging in iterative piloting to ensure that there are no particular questions or response options that confuse or discomfit your participants. We also encourage researchers to submit existing questionnaires to our open repository to allow open dissemination of different adaptations. </w:t>
      </w:r>
    </w:p>
    <w:p w14:paraId="4B6445B7" w14:textId="77777777" w:rsidR="00F854BC" w:rsidRPr="001B45BE" w:rsidRDefault="00000000">
      <w:pPr>
        <w:rPr>
          <w:color w:val="000000"/>
        </w:rPr>
      </w:pPr>
      <w:r w:rsidRPr="001B45BE">
        <w:rPr>
          <w:color w:val="000000"/>
        </w:rPr>
        <w:t xml:space="preserve">Our recommendations are guided by a general framework for survey design that starts with the idea that research participants filling out questionnaires are “satisficing” (i.e., making “good enough” responses that balance efficiency and accuracy). We also suggest that decisions that minimize cognitive effort will yield more reliable data (Krosnick &amp; Presser, 2010). </w:t>
      </w:r>
    </w:p>
    <w:p w14:paraId="60D36182" w14:textId="77777777" w:rsidR="00F854BC" w:rsidRPr="001B45BE" w:rsidRDefault="00000000">
      <w:pPr>
        <w:rPr>
          <w:color w:val="000000"/>
        </w:rPr>
      </w:pPr>
      <w:r w:rsidRPr="001B45BE">
        <w:rPr>
          <w:i/>
          <w:color w:val="000000"/>
        </w:rPr>
        <w:t>Keep wording simple.</w:t>
      </w:r>
      <w:r w:rsidRPr="001B45BE">
        <w:rPr>
          <w:color w:val="000000"/>
        </w:rPr>
        <w:t xml:space="preserve"> Questions should be as simple as is practical, because complex question wording can reduce data quality when participants misinterpret instructions (Wenz, Al </w:t>
      </w:r>
      <w:proofErr w:type="spellStart"/>
      <w:r w:rsidRPr="001B45BE">
        <w:rPr>
          <w:color w:val="000000"/>
        </w:rPr>
        <w:lastRenderedPageBreak/>
        <w:t>Baghal</w:t>
      </w:r>
      <w:proofErr w:type="spellEnd"/>
      <w:r w:rsidRPr="001B45BE">
        <w:rPr>
          <w:color w:val="000000"/>
        </w:rPr>
        <w:t xml:space="preserve">, &amp; Gaia, 2021). Furthermore, complex questions can lead participants to become fatigued or upset with a survey more generally, leading to failure to complete the survey or speedy, incomplete responses (Le et al., 2021). For example, compare these two questions: </w:t>
      </w:r>
    </w:p>
    <w:p w14:paraId="2850A4E0" w14:textId="77777777" w:rsidR="00F854BC" w:rsidRPr="001B45BE" w:rsidRDefault="00000000">
      <w:pPr>
        <w:numPr>
          <w:ilvl w:val="0"/>
          <w:numId w:val="1"/>
        </w:numPr>
        <w:rPr>
          <w:color w:val="000000"/>
        </w:rPr>
      </w:pPr>
      <w:r w:rsidRPr="001B45BE">
        <w:rPr>
          <w:color w:val="000000"/>
        </w:rPr>
        <w:t>On average, what is the combined gross income (before taxes) of all members in your household per year? Please include all sources of income (salaries, overtime payments, pensions, freelancing, etc.).</w:t>
      </w:r>
    </w:p>
    <w:p w14:paraId="38D1E763" w14:textId="77777777" w:rsidR="00F854BC" w:rsidRPr="001B45BE" w:rsidRDefault="00000000">
      <w:pPr>
        <w:numPr>
          <w:ilvl w:val="0"/>
          <w:numId w:val="1"/>
        </w:numPr>
        <w:rPr>
          <w:color w:val="000000"/>
        </w:rPr>
      </w:pPr>
      <w:r w:rsidRPr="001B45BE">
        <w:rPr>
          <w:color w:val="000000"/>
        </w:rPr>
        <w:t>What is your household’s annual income</w:t>
      </w:r>
      <w:r w:rsidRPr="001B45BE">
        <w:t xml:space="preserve"> from all sources</w:t>
      </w:r>
      <w:r w:rsidRPr="001B45BE">
        <w:rPr>
          <w:color w:val="000000"/>
        </w:rPr>
        <w:t>?</w:t>
      </w:r>
    </w:p>
    <w:p w14:paraId="67A69BC7" w14:textId="77777777" w:rsidR="00F854BC" w:rsidRPr="001B45BE" w:rsidRDefault="00000000">
      <w:pPr>
        <w:ind w:firstLine="0"/>
        <w:rPr>
          <w:color w:val="000000"/>
        </w:rPr>
      </w:pPr>
      <w:r w:rsidRPr="001B45BE">
        <w:rPr>
          <w:color w:val="000000"/>
        </w:rPr>
        <w:t xml:space="preserve">Questions about income are sensitive in many contexts, and so a question writer might weigh the relative benefits of these two different approaches. Version (1) is far more precise, but also may require more cognitive effort and feel more intrusive to participants. In contrast, version (2) is simpler and </w:t>
      </w:r>
      <w:proofErr w:type="gramStart"/>
      <w:r w:rsidRPr="001B45BE">
        <w:rPr>
          <w:color w:val="000000"/>
        </w:rPr>
        <w:t>more vague</w:t>
      </w:r>
      <w:proofErr w:type="gramEnd"/>
      <w:r w:rsidRPr="001B45BE">
        <w:rPr>
          <w:color w:val="000000"/>
        </w:rPr>
        <w:t xml:space="preserve">, pragmatically implicating that precision is not as important. In this instance, we recommend the second question as it allows the respondent to seek clarity if needed while conserving cognitive effort. </w:t>
      </w:r>
    </w:p>
    <w:p w14:paraId="7DB300D3" w14:textId="482ABB1E" w:rsidR="00F854BC" w:rsidRPr="001B45BE" w:rsidRDefault="00000000">
      <w:pPr>
        <w:rPr>
          <w:color w:val="000000"/>
        </w:rPr>
      </w:pPr>
      <w:r w:rsidRPr="001B45BE">
        <w:rPr>
          <w:i/>
          <w:color w:val="000000"/>
        </w:rPr>
        <w:t xml:space="preserve">Use standardized questions. </w:t>
      </w:r>
      <w:r w:rsidRPr="001B45BE">
        <w:rPr>
          <w:color w:val="000000"/>
        </w:rPr>
        <w:t xml:space="preserve">If standard questions and response options exist in the particular context of </w:t>
      </w:r>
      <w:r w:rsidR="00562E5A" w:rsidRPr="001B45BE">
        <w:rPr>
          <w:color w:val="000000"/>
        </w:rPr>
        <w:t>testing,</w:t>
      </w:r>
      <w:r w:rsidRPr="001B45BE">
        <w:rPr>
          <w:color w:val="000000"/>
        </w:rPr>
        <w:t xml:space="preserve"> we recommend they be used. While existing </w:t>
      </w:r>
      <w:r w:rsidRPr="001B45BE">
        <w:t xml:space="preserve">questions have real weaknesses – for example, the U.S. census categories for ethnicity discussed above – </w:t>
      </w:r>
      <w:r w:rsidRPr="001B45BE">
        <w:rPr>
          <w:color w:val="000000"/>
        </w:rPr>
        <w:t xml:space="preserve">existing questions also have at least </w:t>
      </w:r>
      <w:r w:rsidRPr="001B45BE">
        <w:t>three</w:t>
      </w:r>
      <w:r w:rsidRPr="001B45BE">
        <w:rPr>
          <w:color w:val="000000"/>
        </w:rPr>
        <w:t xml:space="preserve"> advantages. First, they are familiar. They will be easily recognized by participants and will likely have been answered before, meaning that participants are less likely to misread and/or misinterpret the question. Second, the specific response choices come from an authority beyond the developer of the questionnaire, meaning that they are easy to justify to ethics boards, participants, and reviewers. Finally, they yield standardized data that are easy to harmonize across datasets and allow samples to be compared to representativeness </w:t>
      </w:r>
      <w:r w:rsidRPr="001B45BE">
        <w:rPr>
          <w:color w:val="000000"/>
        </w:rPr>
        <w:lastRenderedPageBreak/>
        <w:t xml:space="preserve">statistics. However, we do not encourage the transfer of categories between settings without due consideration to the construct validity of these categories in each setting. For example, the use of </w:t>
      </w:r>
      <w:r w:rsidRPr="001B45BE">
        <w:t>U.S.</w:t>
      </w:r>
      <w:r w:rsidRPr="001B45BE">
        <w:rPr>
          <w:color w:val="000000"/>
        </w:rPr>
        <w:t xml:space="preserve"> Census categories to query race/ethnicity would </w:t>
      </w:r>
      <w:r w:rsidRPr="001B45BE">
        <w:t>be nonsensical almost anywhere else in the world</w:t>
      </w:r>
      <w:r w:rsidRPr="001B45BE">
        <w:rPr>
          <w:color w:val="000000"/>
        </w:rPr>
        <w:t>.</w:t>
      </w:r>
    </w:p>
    <w:p w14:paraId="57338F32" w14:textId="77777777" w:rsidR="00F854BC" w:rsidRPr="001B45BE" w:rsidRDefault="00000000">
      <w:pPr>
        <w:rPr>
          <w:color w:val="000000"/>
        </w:rPr>
      </w:pPr>
      <w:r w:rsidRPr="001B45BE">
        <w:rPr>
          <w:i/>
          <w:color w:val="000000"/>
        </w:rPr>
        <w:t xml:space="preserve">Consider open-ended response options. </w:t>
      </w:r>
      <w:r w:rsidRPr="001B45BE">
        <w:rPr>
          <w:color w:val="000000"/>
        </w:rPr>
        <w:t>Open-ended responses to survey items – in which participants write prose rather than checking a particular option – require substantially more work to tabulate; in some cases, categorization judgments can be difficult. Yet open-ended questions can have substantial value as well. For example, asking about developmental concerns via an open-ended question can often elicit information about a child’s health history that is relevant for how their data are interpreted or used, but that might not have been discovered had the form simply stated, “Check this box if you have major concerns about your child’s development.” Open-ended questions can also be more inclusive and welcoming, inviting a participant to share rather than asking them to fit their child into pre-defined categories that may not perfectly fit. They also provide respondents with the ability to create their own responses – rather than needing to fit their responses into predetermined criteria – while collecting data about standardized construct</w:t>
      </w:r>
      <w:r w:rsidRPr="001B45BE">
        <w:t>s</w:t>
      </w:r>
      <w:r w:rsidRPr="001B45BE">
        <w:rPr>
          <w:color w:val="000000"/>
        </w:rPr>
        <w:t xml:space="preserve"> (Singer &amp; Couper, 2017).</w:t>
      </w:r>
    </w:p>
    <w:p w14:paraId="70094468" w14:textId="77777777" w:rsidR="00F854BC" w:rsidRPr="001B45BE" w:rsidRDefault="00000000">
      <w:pPr>
        <w:pStyle w:val="Heading1"/>
        <w:ind w:firstLine="0"/>
        <w:rPr>
          <w:color w:val="000000"/>
        </w:rPr>
      </w:pPr>
      <w:bookmarkStart w:id="8" w:name="_heading=h.95n9tlp7093d" w:colFirst="0" w:colLast="0"/>
      <w:bookmarkEnd w:id="8"/>
      <w:r w:rsidRPr="001B45BE">
        <w:rPr>
          <w:color w:val="000000"/>
        </w:rPr>
        <w:t>Form Administration</w:t>
      </w:r>
    </w:p>
    <w:p w14:paraId="2E92426B" w14:textId="77777777" w:rsidR="00F854BC" w:rsidRPr="001B45BE" w:rsidRDefault="00000000">
      <w:pPr>
        <w:rPr>
          <w:color w:val="000000"/>
        </w:rPr>
      </w:pPr>
      <w:r w:rsidRPr="001B45BE">
        <w:rPr>
          <w:color w:val="000000"/>
        </w:rPr>
        <w:t xml:space="preserve">We expect that the contexts of administration for demographic forms will be as broad as the contexts of research themselves. As a result, no one approach will be appropriate for all contexts. Nevertheless, here we highlight a </w:t>
      </w:r>
      <w:r w:rsidRPr="001B45BE">
        <w:t>two</w:t>
      </w:r>
      <w:r w:rsidRPr="001B45BE">
        <w:rPr>
          <w:color w:val="000000"/>
        </w:rPr>
        <w:t xml:space="preserve"> choice points for administration. </w:t>
      </w:r>
    </w:p>
    <w:p w14:paraId="3C0AC76E" w14:textId="77777777" w:rsidR="00F854BC" w:rsidRPr="001B45BE" w:rsidRDefault="00000000">
      <w:pPr>
        <w:rPr>
          <w:color w:val="000000"/>
        </w:rPr>
      </w:pPr>
      <w:r w:rsidRPr="001B45BE">
        <w:rPr>
          <w:color w:val="000000"/>
        </w:rPr>
        <w:t xml:space="preserve">First, research on early childhood varies in how in-depth the research experience is for participants. On one extreme, an increasing amount of research with young children is conducted </w:t>
      </w:r>
      <w:r w:rsidRPr="001B45BE">
        <w:rPr>
          <w:color w:val="000000"/>
        </w:rPr>
        <w:lastRenderedPageBreak/>
        <w:t xml:space="preserve">via short interactions, for example in museums (Callanan, 2012). Some interactions are even asynchronous and mediated by a computer interface, such as online platforms like </w:t>
      </w:r>
      <w:proofErr w:type="spellStart"/>
      <w:r w:rsidRPr="001B45BE">
        <w:rPr>
          <w:color w:val="000000"/>
        </w:rPr>
        <w:t>Look</w:t>
      </w:r>
      <w:r w:rsidRPr="001B45BE">
        <w:t>i</w:t>
      </w:r>
      <w:r w:rsidRPr="001B45BE">
        <w:rPr>
          <w:color w:val="000000"/>
        </w:rPr>
        <w:t>t</w:t>
      </w:r>
      <w:proofErr w:type="spellEnd"/>
      <w:r w:rsidRPr="001B45BE">
        <w:rPr>
          <w:color w:val="000000"/>
        </w:rPr>
        <w:t xml:space="preserve"> (</w:t>
      </w:r>
      <w:proofErr w:type="spellStart"/>
      <w:r w:rsidRPr="001B45BE">
        <w:rPr>
          <w:color w:val="000000"/>
        </w:rPr>
        <w:t>Sheskin</w:t>
      </w:r>
      <w:proofErr w:type="spellEnd"/>
      <w:r w:rsidRPr="001B45BE">
        <w:rPr>
          <w:color w:val="000000"/>
        </w:rPr>
        <w:t xml:space="preserve"> et al., 2020).  These interactions do not afford the time needed to build up trust prior to answering sensitive questions or filling out long forms. For these contexts, we recommend constructing questionnaires that list constructs that are deemed most elemental to the context, the research questions, and the researchers</w:t>
      </w:r>
      <w:r w:rsidRPr="001B45BE">
        <w:t xml:space="preserve">’ expected </w:t>
      </w:r>
      <w:r w:rsidRPr="001B45BE">
        <w:rPr>
          <w:color w:val="000000"/>
        </w:rPr>
        <w:t>reporting requ</w:t>
      </w:r>
      <w:r w:rsidRPr="001B45BE">
        <w:t>irements</w:t>
      </w:r>
      <w:r w:rsidRPr="001B45BE">
        <w:rPr>
          <w:color w:val="000000"/>
        </w:rPr>
        <w:t xml:space="preserve">. </w:t>
      </w:r>
    </w:p>
    <w:p w14:paraId="0491A886" w14:textId="77777777" w:rsidR="00F854BC" w:rsidRPr="001B45BE" w:rsidRDefault="00000000">
      <w:pPr>
        <w:rPr>
          <w:color w:val="000000"/>
        </w:rPr>
      </w:pPr>
      <w:r w:rsidRPr="001B45BE">
        <w:rPr>
          <w:color w:val="000000"/>
        </w:rPr>
        <w:t>Second, the medium of questionnaire administration will likely shape many decisions about the design of a specific demographic instrument. For example, a questionnaire that is designed to be administered asynchronously via a web interface should contain enough instruction text to ensure that families can understand the survey. In contrast, a questionnaire designed to be administered via a telephone interview might focus on shorter questions, with further details to be provided by the interviewer during dialogue. There may</w:t>
      </w:r>
      <w:r w:rsidRPr="001B45BE">
        <w:t xml:space="preserve"> also</w:t>
      </w:r>
      <w:r w:rsidRPr="001B45BE">
        <w:rPr>
          <w:color w:val="000000"/>
        </w:rPr>
        <w:t xml:space="preserve"> be interactions between the medium of administration and the culture of the families who participate in research. In some contexts, families will be more likely to disclose sensitive information (e.g., developmental concerns) to an interviewer who establishes trust; in other contexts, families may be more comfortable writing their income into a webform compared with saying it verbally. There is no substitute for pilot testing to reveal the most convenient and effective medium of administration for your population. Often, simply asking families how they would feel most comfortable providing this information is the best way to tailor demographic data collection to a specific context and population. </w:t>
      </w:r>
    </w:p>
    <w:p w14:paraId="62FABCD2" w14:textId="77777777" w:rsidR="00F854BC" w:rsidRPr="001B45BE" w:rsidRDefault="00000000">
      <w:pPr>
        <w:pStyle w:val="Heading1"/>
        <w:spacing w:line="480" w:lineRule="auto"/>
        <w:ind w:firstLine="0"/>
        <w:rPr>
          <w:color w:val="000000"/>
        </w:rPr>
      </w:pPr>
      <w:bookmarkStart w:id="9" w:name="_heading=h.lnxbz9" w:colFirst="0" w:colLast="0"/>
      <w:bookmarkEnd w:id="9"/>
      <w:r w:rsidRPr="001B45BE">
        <w:rPr>
          <w:color w:val="000000"/>
        </w:rPr>
        <w:lastRenderedPageBreak/>
        <w:t>Processing Demographic Data</w:t>
      </w:r>
    </w:p>
    <w:p w14:paraId="482AC192" w14:textId="77777777" w:rsidR="00F854BC" w:rsidRPr="001B45BE" w:rsidRDefault="00000000">
      <w:pPr>
        <w:spacing w:line="480" w:lineRule="auto"/>
        <w:rPr>
          <w:color w:val="000000"/>
        </w:rPr>
      </w:pPr>
      <w:r w:rsidRPr="001B45BE">
        <w:rPr>
          <w:color w:val="000000"/>
        </w:rPr>
        <w:t xml:space="preserve">Once a demographic form has been developed, there are two further interrelated concerns about the data that should be addressed: 1) ensuring that data are collected, stored, and shared in </w:t>
      </w:r>
      <w:proofErr w:type="gramStart"/>
      <w:r w:rsidRPr="001B45BE">
        <w:rPr>
          <w:color w:val="000000"/>
        </w:rPr>
        <w:t>an</w:t>
      </w:r>
      <w:proofErr w:type="gramEnd"/>
      <w:r w:rsidRPr="001B45BE">
        <w:rPr>
          <w:color w:val="000000"/>
        </w:rPr>
        <w:t xml:space="preserve"> secure and ethical manner, while also 2) creating maximal value via sharing and potential reuse.  </w:t>
      </w:r>
    </w:p>
    <w:p w14:paraId="2B50CC7E" w14:textId="77777777" w:rsidR="00F854BC" w:rsidRPr="001B45BE" w:rsidRDefault="00000000">
      <w:pPr>
        <w:pStyle w:val="Heading2"/>
        <w:spacing w:line="480" w:lineRule="auto"/>
        <w:rPr>
          <w:color w:val="000000"/>
        </w:rPr>
      </w:pPr>
      <w:bookmarkStart w:id="10" w:name="_heading=h.c55ip01iq0dt" w:colFirst="0" w:colLast="0"/>
      <w:bookmarkEnd w:id="10"/>
      <w:r w:rsidRPr="001B45BE">
        <w:rPr>
          <w:color w:val="000000"/>
        </w:rPr>
        <w:t>Protecting participant privacy</w:t>
      </w:r>
    </w:p>
    <w:p w14:paraId="55C1B811" w14:textId="77777777" w:rsidR="00F854BC" w:rsidRPr="001B45BE" w:rsidRDefault="00000000">
      <w:pPr>
        <w:rPr>
          <w:color w:val="000000"/>
        </w:rPr>
      </w:pPr>
      <w:r w:rsidRPr="001B45BE">
        <w:rPr>
          <w:color w:val="000000"/>
        </w:rPr>
        <w:t xml:space="preserve">Demographic data are often sensitive. As discussed above, many “basic” descriptors from the perspective of the researcher can feel very intrusive to ask of participants. Much of the work of creating a good demographic survey happens on the front end in creating a form that balances the researcher’s desire for information against the participant’s comfort in disclosing particular pieces of information. But once demographic data are collected, care must be taken to protect participants’ privacy as well. Researchers must navigate both ethical and regulatory frameworks. </w:t>
      </w:r>
    </w:p>
    <w:p w14:paraId="03BF4A28" w14:textId="77777777" w:rsidR="00F854BC" w:rsidRPr="001B45BE" w:rsidRDefault="00000000">
      <w:pPr>
        <w:rPr>
          <w:color w:val="000000"/>
        </w:rPr>
      </w:pPr>
      <w:r w:rsidRPr="001B45BE">
        <w:rPr>
          <w:color w:val="000000"/>
        </w:rPr>
        <w:t xml:space="preserve">From a legal perspective, there are specific national controls on what can be done with demographic data. In particular, several pieces of information that we advocate for collecting would be subject to regulation under </w:t>
      </w:r>
      <w:r w:rsidRPr="001B45BE">
        <w:t>U.S.</w:t>
      </w:r>
      <w:r w:rsidRPr="001B45BE">
        <w:rPr>
          <w:color w:val="000000"/>
        </w:rPr>
        <w:t xml:space="preserve"> and </w:t>
      </w:r>
      <w:r w:rsidRPr="001B45BE">
        <w:t>EU</w:t>
      </w:r>
      <w:r w:rsidRPr="001B45BE">
        <w:rPr>
          <w:color w:val="000000"/>
        </w:rPr>
        <w:t xml:space="preserve"> legal frameworks. Under the </w:t>
      </w:r>
      <w:r w:rsidRPr="001B45BE">
        <w:t>U.S.</w:t>
      </w:r>
      <w:r w:rsidRPr="001B45BE">
        <w:rPr>
          <w:color w:val="000000"/>
        </w:rPr>
        <w:t xml:space="preserve"> Health Insurance Portability and Accountability Act (HIPAA), dates of birth and diagnostic information about developmental disorders are considered Private Health Information (PHI) and their storage is regulated. Under the EU’s General Data Protection Regulation (GDPR), race/ethnicity data join this list. Researchers should be aware of local regulations that are triggered by the collection of these data fields. For example, safeguarding procedures that apply to the collection of sensitive data must likely be followed, including use of encryption standards, controlled access </w:t>
      </w:r>
      <w:r w:rsidRPr="001B45BE">
        <w:rPr>
          <w:color w:val="000000"/>
        </w:rPr>
        <w:lastRenderedPageBreak/>
        <w:t>to data, specific approval via the ethics process for collecting sensitive information, and transfer from portable devices to secure systems as soon as possible.</w:t>
      </w:r>
    </w:p>
    <w:p w14:paraId="5C8C9C2C" w14:textId="77777777" w:rsidR="00F854BC" w:rsidRPr="001B45BE" w:rsidRDefault="00000000">
      <w:pPr>
        <w:rPr>
          <w:color w:val="000000"/>
        </w:rPr>
      </w:pPr>
      <w:r w:rsidRPr="001B45BE">
        <w:rPr>
          <w:color w:val="000000"/>
        </w:rPr>
        <w:t xml:space="preserve">From an ethical perspective, there are two key concerns about demographic data collection. First, participants must be informed about their rights, in particular, about their right not to provide an </w:t>
      </w:r>
      <w:r w:rsidRPr="001B45BE">
        <w:t>answer</w:t>
      </w:r>
      <w:r w:rsidRPr="001B45BE">
        <w:rPr>
          <w:color w:val="000000"/>
        </w:rPr>
        <w:t xml:space="preserve"> to any question and – if a right to retraction of data exists (as it does in the </w:t>
      </w:r>
      <w:r w:rsidRPr="001B45BE">
        <w:t>EU</w:t>
      </w:r>
      <w:r w:rsidRPr="001B45BE">
        <w:rPr>
          <w:color w:val="000000"/>
        </w:rPr>
        <w:t xml:space="preserve">, Canada, Brazil, etc.) – how they might retract their data from the study. Second, they should be informed about how and by whom their data will be used and if there are any provisions for sharing. Since we have advocated throughout for the value of sharing demographic data, we suggest that participants be informed that their demographic data may be shared publicly with other researchers in a de-identified form, which might be used for analysis relating to demographic variation in children’s development. This extra transparency will allow respondents who are uncomfortable with such reuse of their data to opt out of sharing. </w:t>
      </w:r>
    </w:p>
    <w:p w14:paraId="1950344E" w14:textId="77777777" w:rsidR="00F854BC" w:rsidRPr="001B45BE" w:rsidRDefault="00000000">
      <w:pPr>
        <w:rPr>
          <w:color w:val="000000"/>
        </w:rPr>
      </w:pPr>
      <w:r w:rsidRPr="001B45BE">
        <w:rPr>
          <w:color w:val="000000"/>
        </w:rPr>
        <w:t xml:space="preserve">De-identification can be a complex process. At the outset, as scientific data become more open, methods for de-identification of demographic data are co-evolving with the best practices of open data requirements. For example, publicly accessible data could collapse specific items into superordinate categories (e.g., </w:t>
      </w:r>
      <w:r w:rsidRPr="001B45BE">
        <w:t>urban versus rural</w:t>
      </w:r>
      <w:r w:rsidRPr="001B45BE">
        <w:rPr>
          <w:color w:val="000000"/>
        </w:rPr>
        <w:t xml:space="preserve">). Within individual </w:t>
      </w:r>
      <w:r w:rsidRPr="001B45BE">
        <w:t xml:space="preserve">requirements around the </w:t>
      </w:r>
      <w:r w:rsidRPr="001B45BE">
        <w:rPr>
          <w:color w:val="000000"/>
        </w:rPr>
        <w:t xml:space="preserve">ethics of data use, more specific data could be shared. </w:t>
      </w:r>
    </w:p>
    <w:p w14:paraId="34F35287" w14:textId="77777777" w:rsidR="00F854BC" w:rsidRPr="001B45BE" w:rsidRDefault="00000000">
      <w:pPr>
        <w:rPr>
          <w:color w:val="000000"/>
        </w:rPr>
      </w:pPr>
      <w:r w:rsidRPr="001B45BE">
        <w:rPr>
          <w:color w:val="000000"/>
        </w:rPr>
        <w:t xml:space="preserve">Researchers should consult with local authorities and ethics boards to find out best practices at their institution – for example, in the US, the Department of Health and Human Services publishes a “Safe Harbor” standard list of identifiers that can be removed from data for it to be considered de-identified. Even though following such standards may satisfy a researcher’s legal responsibilities, there may be further risks, however. In particular, statistical </w:t>
      </w:r>
      <w:r w:rsidRPr="001B45BE">
        <w:rPr>
          <w:color w:val="000000"/>
        </w:rPr>
        <w:lastRenderedPageBreak/>
        <w:t xml:space="preserve">re-identifiability refers to the notion that the conjunction of individually innocent fields may uniquely pick out a single person in certain cases (e.g., De </w:t>
      </w:r>
      <w:proofErr w:type="spellStart"/>
      <w:r w:rsidRPr="001B45BE">
        <w:rPr>
          <w:color w:val="000000"/>
        </w:rPr>
        <w:t>Montjoye</w:t>
      </w:r>
      <w:proofErr w:type="spellEnd"/>
      <w:r w:rsidRPr="001B45BE">
        <w:rPr>
          <w:color w:val="000000"/>
        </w:rPr>
        <w:t xml:space="preserve"> et al., 2015). For example, a rare race/ethnicity combination can uniquely pick out a particular person in a small group (but less so in a large group). These concerns are especially salient when researchers are working in smaller communities or populations (e.g., children with a rare developmental disorder). One method in use is to exchange small cell numbers, though this can have implications for analysis (Duke-Williams &amp; Stillwell, 2007). When in doubt, the best course should always be to consult with local ethics boards or relevant regulatory bodies.</w:t>
      </w:r>
    </w:p>
    <w:p w14:paraId="75B1D5BD" w14:textId="77777777" w:rsidR="00F854BC" w:rsidRPr="001B45BE" w:rsidRDefault="00000000">
      <w:pPr>
        <w:pStyle w:val="Heading2"/>
        <w:rPr>
          <w:color w:val="000000"/>
        </w:rPr>
      </w:pPr>
      <w:bookmarkStart w:id="11" w:name="_heading=h.1ksv4uv" w:colFirst="0" w:colLast="0"/>
      <w:bookmarkEnd w:id="11"/>
      <w:r w:rsidRPr="001B45BE">
        <w:rPr>
          <w:color w:val="000000"/>
        </w:rPr>
        <w:t>Data coding</w:t>
      </w:r>
    </w:p>
    <w:p w14:paraId="4261A58D" w14:textId="77777777" w:rsidR="00F854BC" w:rsidRPr="001B45BE" w:rsidRDefault="00000000">
      <w:pPr>
        <w:rPr>
          <w:color w:val="000000"/>
        </w:rPr>
      </w:pPr>
      <w:r w:rsidRPr="001B45BE">
        <w:rPr>
          <w:color w:val="000000"/>
        </w:rPr>
        <w:t xml:space="preserve">Our hope is that researchers collect data on our recommended constructs and that they both report these data in summary and share their demographic data together with their research data with the broader research community as FAIR (Findable, Accessible, Interoperable, and Reusable) data via depositing them in an appropriate repository (Wilkinson et al., 2016). Because demographic forms will differ from site to site, data will not be identical in format or content. However, following a small number of best practices will mean that meta-researchers in the future will be able to harmonize data efficiently. First, researchers should choose easily accessible data formats such as CSV (comma separated value) for data storage, following best practices for tabular data formatting (Broman &amp; Woo, 2018). Second, researchers should provide a codebook: a document describing the contents of each column of the demographic data file and listing possible values, any abbreviations (e.g., “M = male”), and conventions for missing data (e.g., NA, NULL). Third, if open-ended fields are used, researchers should provide details of </w:t>
      </w:r>
      <w:r w:rsidRPr="001B45BE">
        <w:rPr>
          <w:color w:val="000000"/>
        </w:rPr>
        <w:lastRenderedPageBreak/>
        <w:t>how responses were coded and categorized, when appropriate providing both the full transcribed answer and the specific category it is assigned to.</w:t>
      </w:r>
    </w:p>
    <w:p w14:paraId="3718EFA9" w14:textId="77777777" w:rsidR="00F854BC" w:rsidRPr="001B45BE" w:rsidRDefault="00000000">
      <w:pPr>
        <w:pStyle w:val="Heading2"/>
        <w:rPr>
          <w:color w:val="000000"/>
        </w:rPr>
      </w:pPr>
      <w:bookmarkStart w:id="12" w:name="_heading=h.gd2f0ka521d6" w:colFirst="0" w:colLast="0"/>
      <w:bookmarkEnd w:id="12"/>
      <w:r w:rsidRPr="001B45BE">
        <w:rPr>
          <w:color w:val="000000"/>
        </w:rPr>
        <w:t>Re-use of demographic data: Key considerations</w:t>
      </w:r>
    </w:p>
    <w:p w14:paraId="52AEED47" w14:textId="77777777" w:rsidR="00F854BC" w:rsidRPr="001B45BE" w:rsidRDefault="00000000">
      <w:pPr>
        <w:rPr>
          <w:color w:val="000000"/>
        </w:rPr>
      </w:pPr>
      <w:r w:rsidRPr="001B45BE">
        <w:rPr>
          <w:color w:val="000000"/>
        </w:rPr>
        <w:t xml:space="preserve">We have advocated here for the consistent collection and sharing of sociodemographic data for studies of early childhood, and we believe that these practices are important for moving developmental research forward. But we acknowledge that there are some potential ethical risks associated with open sharing of sociodemographic information – in particular, the risk that these data will be misused or misinterpreted in analyses of demographic variation in behavior, as has happened in the literature on intelligence as an example (e.g., Clark et al., 2020). On the balance, our belief is that the response to the potential for misuse should not be to avoid collecting such data at all. Instead, we should seek to use sociodemographic information responsibly, building appropriate and valid theories of sources of developmental variation. Such theories should </w:t>
      </w:r>
      <w:r w:rsidRPr="001B45BE">
        <w:t>inoculate</w:t>
      </w:r>
      <w:r w:rsidRPr="001B45BE">
        <w:rPr>
          <w:color w:val="000000"/>
        </w:rPr>
        <w:t xml:space="preserve"> the community and the literature against misinformation by providing scientifically grounded responses to unfounded claims about variation. </w:t>
      </w:r>
    </w:p>
    <w:p w14:paraId="1BD19031" w14:textId="77777777" w:rsidR="00F854BC" w:rsidRPr="001B45BE" w:rsidRDefault="00000000">
      <w:pPr>
        <w:rPr>
          <w:color w:val="000000"/>
        </w:rPr>
      </w:pPr>
      <w:r w:rsidRPr="001B45BE">
        <w:rPr>
          <w:color w:val="000000"/>
        </w:rPr>
        <w:t xml:space="preserve">Nevertheless, we acknowledge that not all investigators will share our attitudes, especially in cases where the primary behavior being studied might be especially sensitive from the perspective of demographic re-analysis. In such cases, we encourage investigators to use our framework to gather sociodemographic information, but to consider pursuing several intermediate transparency options. The first is simply to publish general sample composition statistics without releasing demographic data at an individual level. A second is to share individual demographic data for their sample but unlinked to behavioral measures at the individual level. A third possibility is to provide tables of results disaggregated by key </w:t>
      </w:r>
      <w:r w:rsidRPr="001B45BE">
        <w:rPr>
          <w:color w:val="000000"/>
        </w:rPr>
        <w:lastRenderedPageBreak/>
        <w:t>demographic variables. For example, in medical and social science research contexts, the importance of disaggregating data by sex has been emphasized (see Hussain et al., 2022). Each of these options accomplishes the broader goal of greater sample characterization, while avoiding some of the potential risks in data re-use.</w:t>
      </w:r>
    </w:p>
    <w:p w14:paraId="519561A5" w14:textId="77777777" w:rsidR="00F854BC" w:rsidRPr="001B45BE" w:rsidRDefault="00000000">
      <w:pPr>
        <w:ind w:firstLine="0"/>
        <w:rPr>
          <w:b/>
          <w:color w:val="000000"/>
        </w:rPr>
      </w:pPr>
      <w:r w:rsidRPr="001B45BE">
        <w:rPr>
          <w:b/>
          <w:color w:val="000000"/>
        </w:rPr>
        <w:t>Positionality statement</w:t>
      </w:r>
    </w:p>
    <w:p w14:paraId="6ACFD978" w14:textId="77777777" w:rsidR="00F854BC" w:rsidRPr="001B45BE" w:rsidRDefault="00000000">
      <w:pPr>
        <w:rPr>
          <w:color w:val="000000"/>
        </w:rPr>
      </w:pPr>
      <w:r w:rsidRPr="001B45BE">
        <w:rPr>
          <w:color w:val="000000"/>
        </w:rPr>
        <w:t xml:space="preserve">As noted above, this project involved the participation of 24 early childhood researchers who were born in 13 and living in 11 different countries, from 6 different races and 14 different ethnicities, who had significant cultural familiarity with 23 countries and research experience in 27 countries. From the inception of the project, we aimed </w:t>
      </w:r>
      <w:r w:rsidRPr="001B45BE">
        <w:t>for a diverse</w:t>
      </w:r>
      <w:r w:rsidRPr="001B45BE">
        <w:rPr>
          <w:color w:val="000000"/>
        </w:rPr>
        <w:t xml:space="preserve"> composition of our research group to develop a framework that was inclusive</w:t>
      </w:r>
      <w:r w:rsidRPr="001B45BE">
        <w:t xml:space="preserve">, versatile, and adaptable </w:t>
      </w:r>
      <w:r w:rsidRPr="001B45BE">
        <w:rPr>
          <w:color w:val="000000"/>
        </w:rPr>
        <w:t xml:space="preserve">to the diversity of environments within which infants are raised. Within these bounds of representation, we have provided some core constructs that serve as our vision of the </w:t>
      </w:r>
      <w:r w:rsidRPr="001B45BE">
        <w:t>“</w:t>
      </w:r>
      <w:r w:rsidRPr="001B45BE">
        <w:rPr>
          <w:color w:val="000000"/>
        </w:rPr>
        <w:t>lowest common denominator</w:t>
      </w:r>
      <w:r w:rsidRPr="001B45BE">
        <w:t>”</w:t>
      </w:r>
      <w:r w:rsidRPr="001B45BE">
        <w:rPr>
          <w:color w:val="000000"/>
        </w:rPr>
        <w:t xml:space="preserve"> of demographic variation with the clear acknowledgment that this vision represents the perspective of a limited group of researchers. It is our hope that other researchers, from diverse settings, will use and adapt the framework for broader usage and that from these efforts will emerge multiple variations of demographic data collection. Hence, this framework reflects a starting point and not the final word on how demographic data should be collected in developmental research. </w:t>
      </w:r>
    </w:p>
    <w:p w14:paraId="42D6CB54" w14:textId="77777777" w:rsidR="00F854BC" w:rsidRPr="001B45BE" w:rsidRDefault="00000000">
      <w:pPr>
        <w:ind w:firstLine="0"/>
        <w:rPr>
          <w:b/>
          <w:color w:val="000000"/>
        </w:rPr>
      </w:pPr>
      <w:r w:rsidRPr="001B45BE">
        <w:rPr>
          <w:b/>
          <w:color w:val="000000"/>
        </w:rPr>
        <w:t>Future directions</w:t>
      </w:r>
    </w:p>
    <w:p w14:paraId="45431D5F" w14:textId="77777777" w:rsidR="00F854BC" w:rsidRPr="001B45BE" w:rsidRDefault="00000000">
      <w:pPr>
        <w:ind w:firstLine="0"/>
        <w:rPr>
          <w:color w:val="000000"/>
        </w:rPr>
      </w:pPr>
      <w:r w:rsidRPr="001B45BE">
        <w:rPr>
          <w:color w:val="000000"/>
        </w:rPr>
        <w:tab/>
        <w:t xml:space="preserve">This undertaking emerged from </w:t>
      </w:r>
      <w:proofErr w:type="spellStart"/>
      <w:r w:rsidRPr="001B45BE">
        <w:rPr>
          <w:color w:val="000000"/>
        </w:rPr>
        <w:t>ManyBabies</w:t>
      </w:r>
      <w:proofErr w:type="spellEnd"/>
      <w:r w:rsidRPr="001B45BE">
        <w:rPr>
          <w:color w:val="000000"/>
        </w:rPr>
        <w:t xml:space="preserve"> initiative (Frank et al., 2017; </w:t>
      </w:r>
      <w:proofErr w:type="spellStart"/>
      <w:r w:rsidRPr="001B45BE">
        <w:rPr>
          <w:color w:val="000000"/>
        </w:rPr>
        <w:t>ManyBabies</w:t>
      </w:r>
      <w:proofErr w:type="spellEnd"/>
      <w:r w:rsidRPr="001B45BE">
        <w:rPr>
          <w:color w:val="000000"/>
        </w:rPr>
        <w:t xml:space="preserve"> Consortium, 2020), a global network of infancy researchers working to test the replicability of seminal research findings at a large scale, develop best practices in data collection, aggregation, </w:t>
      </w:r>
      <w:r w:rsidRPr="001B45BE">
        <w:rPr>
          <w:color w:val="000000"/>
        </w:rPr>
        <w:lastRenderedPageBreak/>
        <w:t xml:space="preserve">and analysis across diverse settings, and increase the global diversity of researchers and research participants. As researchers working on a global scale, it became clear that existing demographic approaches were not sufficient to our needs to report the demographic characteristics of our samples in a robust and comparable way across laboratories around the world. As stated at the outset, our initial, ambitious goal was to create a single, standardized questionnaire that could be broadly used across populations. </w:t>
      </w:r>
      <w:proofErr w:type="gramStart"/>
      <w:r w:rsidRPr="001B45BE">
        <w:rPr>
          <w:color w:val="000000"/>
        </w:rPr>
        <w:t>In developing this tool, it</w:t>
      </w:r>
      <w:proofErr w:type="gramEnd"/>
      <w:r w:rsidRPr="001B45BE">
        <w:rPr>
          <w:color w:val="000000"/>
        </w:rPr>
        <w:t xml:space="preserve"> became apparent that this was simply not feasible due to substantial variation in how demographic categories and constructs are instantiated across settings. In converging on a set of demographic constructs and categories, the onus lies on the researcher(s) to determine how best to aggregate responses across settings given that items may differ for each setting. Therefore, an important next step is to establish practices for cross-site harmonization. We hope as researchers use this framework to collect demographic data, this will provide opportunities to establish best practices around data harmonization across diverse settings. </w:t>
      </w:r>
    </w:p>
    <w:p w14:paraId="3ACAA6C5" w14:textId="77777777" w:rsidR="00F854BC" w:rsidRPr="001B45BE" w:rsidRDefault="00000000">
      <w:pPr>
        <w:ind w:firstLine="0"/>
        <w:rPr>
          <w:b/>
          <w:color w:val="000000"/>
        </w:rPr>
      </w:pPr>
      <w:r w:rsidRPr="001B45BE">
        <w:rPr>
          <w:b/>
          <w:color w:val="000000"/>
        </w:rPr>
        <w:t>Conclusions</w:t>
      </w:r>
    </w:p>
    <w:p w14:paraId="0B6CA491" w14:textId="77777777" w:rsidR="00F854BC" w:rsidRPr="001B45BE" w:rsidRDefault="00000000">
      <w:pPr>
        <w:spacing w:line="480" w:lineRule="auto"/>
        <w:rPr>
          <w:color w:val="000000"/>
        </w:rPr>
      </w:pPr>
      <w:r w:rsidRPr="001B45BE">
        <w:rPr>
          <w:color w:val="000000"/>
        </w:rPr>
        <w:t xml:space="preserve">The field of child development currently lacks standards for sociodemographic data. At a time when developmental psychologists are becoming more intensively engaged in sampling across cultural settings, such standards are a necessity. By developing a framework for sociodemographic reporting, we aim to facilitate increased reporting of this information. Sociodemographic details in published reports are not purely descriptive; they add interpretive value. It is not optimal for such data to merely be provided, but not integrated, into the fabric of a study (Rad et al., 2018). Sociodemographic factors are relevant to each stage of the research process (e.g., hypothesis formation, methodologies, data collection, interpretation of findings). </w:t>
      </w:r>
      <w:r w:rsidRPr="001B45BE">
        <w:rPr>
          <w:color w:val="000000"/>
        </w:rPr>
        <w:lastRenderedPageBreak/>
        <w:t>For example, developing hypotheses that reflect the local landscape requires cultural knowledge (</w:t>
      </w:r>
      <w:proofErr w:type="spellStart"/>
      <w:r w:rsidRPr="001B45BE">
        <w:rPr>
          <w:color w:val="000000"/>
        </w:rPr>
        <w:t>Nampijja</w:t>
      </w:r>
      <w:proofErr w:type="spellEnd"/>
      <w:r w:rsidRPr="001B45BE">
        <w:rPr>
          <w:color w:val="000000"/>
        </w:rPr>
        <w:t xml:space="preserve"> et al., 2010; Super &amp; Harkness, 1997). Successfully designing or adapting methodologies across different cultural settings requires similar insight (</w:t>
      </w:r>
      <w:proofErr w:type="spellStart"/>
      <w:r w:rsidRPr="001B45BE">
        <w:rPr>
          <w:color w:val="000000"/>
        </w:rPr>
        <w:t>Alcock</w:t>
      </w:r>
      <w:proofErr w:type="spellEnd"/>
      <w:r w:rsidRPr="001B45BE">
        <w:rPr>
          <w:color w:val="000000"/>
        </w:rPr>
        <w:t xml:space="preserve"> et al., 2008; Fernald et al., 2017). Likewise, the interpretation of data and the lens through which we seek and identify patterns in our data is </w:t>
      </w:r>
      <w:proofErr w:type="spellStart"/>
      <w:r w:rsidRPr="001B45BE">
        <w:rPr>
          <w:color w:val="000000"/>
        </w:rPr>
        <w:t>socioculturally</w:t>
      </w:r>
      <w:proofErr w:type="spellEnd"/>
      <w:r w:rsidRPr="001B45BE">
        <w:rPr>
          <w:color w:val="000000"/>
        </w:rPr>
        <w:t xml:space="preserve"> constrained, a fact which often goes unacknowledged (</w:t>
      </w:r>
      <w:proofErr w:type="spellStart"/>
      <w:r w:rsidRPr="001B45BE">
        <w:rPr>
          <w:color w:val="000000"/>
        </w:rPr>
        <w:t>Medin</w:t>
      </w:r>
      <w:proofErr w:type="spellEnd"/>
      <w:r w:rsidRPr="001B45BE">
        <w:rPr>
          <w:color w:val="000000"/>
        </w:rPr>
        <w:t xml:space="preserve"> &amp; Bang, 2014). Advancing towards an </w:t>
      </w:r>
      <w:r w:rsidRPr="001B45BE">
        <w:t>“</w:t>
      </w:r>
      <w:r w:rsidRPr="001B45BE">
        <w:rPr>
          <w:color w:val="000000"/>
        </w:rPr>
        <w:t>individual-in-context</w:t>
      </w:r>
      <w:r w:rsidRPr="001B45BE">
        <w:t>”</w:t>
      </w:r>
      <w:r w:rsidRPr="001B45BE">
        <w:rPr>
          <w:color w:val="000000"/>
        </w:rPr>
        <w:t xml:space="preserve"> approach requires that demographic data are not only reported, but that the impact of demographic variation on each stage of the research process is examined. This paper aims to scaffold the collection of sociodemographic data in the service of greater and more precise definitions of research samples. We hope that by providing a series of standards and open materials, we can encourage community collaboration in the collection and sharing of best practices.</w:t>
      </w:r>
      <w:r w:rsidRPr="001B45BE">
        <w:br w:type="page"/>
      </w:r>
    </w:p>
    <w:p w14:paraId="61F20FB6" w14:textId="77777777" w:rsidR="00F854BC" w:rsidRPr="001B45BE" w:rsidRDefault="00000000">
      <w:pPr>
        <w:spacing w:line="480" w:lineRule="auto"/>
        <w:ind w:firstLine="0"/>
        <w:jc w:val="center"/>
        <w:rPr>
          <w:b/>
          <w:color w:val="000000"/>
        </w:rPr>
      </w:pPr>
      <w:r w:rsidRPr="001B45BE">
        <w:rPr>
          <w:b/>
          <w:color w:val="000000"/>
        </w:rPr>
        <w:lastRenderedPageBreak/>
        <w:t>References</w:t>
      </w:r>
    </w:p>
    <w:p w14:paraId="1E51AC6F" w14:textId="77777777" w:rsidR="00F854BC" w:rsidRPr="001B45BE" w:rsidRDefault="00000000">
      <w:pPr>
        <w:spacing w:line="480" w:lineRule="auto"/>
        <w:ind w:left="480" w:hanging="480"/>
        <w:rPr>
          <w:color w:val="000000"/>
        </w:rPr>
      </w:pPr>
      <w:r w:rsidRPr="001B45BE">
        <w:rPr>
          <w:color w:val="000000"/>
        </w:rPr>
        <w:t xml:space="preserve">Adams, B. G., Abubakar, A., Van de </w:t>
      </w:r>
      <w:proofErr w:type="spellStart"/>
      <w:r w:rsidRPr="001B45BE">
        <w:rPr>
          <w:color w:val="000000"/>
        </w:rPr>
        <w:t>Vijver</w:t>
      </w:r>
      <w:proofErr w:type="spellEnd"/>
      <w:r w:rsidRPr="001B45BE">
        <w:rPr>
          <w:color w:val="000000"/>
        </w:rPr>
        <w:t xml:space="preserve">, F. J. R., De Bruin, G. P., </w:t>
      </w:r>
      <w:proofErr w:type="spellStart"/>
      <w:r w:rsidRPr="001B45BE">
        <w:rPr>
          <w:color w:val="000000"/>
        </w:rPr>
        <w:t>Arasa</w:t>
      </w:r>
      <w:proofErr w:type="spellEnd"/>
      <w:r w:rsidRPr="001B45BE">
        <w:rPr>
          <w:color w:val="000000"/>
        </w:rPr>
        <w:t xml:space="preserve">, J., </w:t>
      </w:r>
      <w:proofErr w:type="spellStart"/>
      <w:r w:rsidRPr="001B45BE">
        <w:rPr>
          <w:color w:val="000000"/>
        </w:rPr>
        <w:t>Fomba</w:t>
      </w:r>
      <w:proofErr w:type="spellEnd"/>
      <w:r w:rsidRPr="001B45BE">
        <w:rPr>
          <w:color w:val="000000"/>
        </w:rPr>
        <w:t xml:space="preserve">, E., </w:t>
      </w:r>
      <w:proofErr w:type="spellStart"/>
      <w:r w:rsidRPr="001B45BE">
        <w:rPr>
          <w:color w:val="000000"/>
        </w:rPr>
        <w:t>Gillath</w:t>
      </w:r>
      <w:proofErr w:type="spellEnd"/>
      <w:r w:rsidRPr="001B45BE">
        <w:rPr>
          <w:color w:val="000000"/>
        </w:rPr>
        <w:t xml:space="preserve">, O., </w:t>
      </w:r>
      <w:proofErr w:type="spellStart"/>
      <w:r w:rsidRPr="001B45BE">
        <w:rPr>
          <w:color w:val="000000"/>
        </w:rPr>
        <w:t>Hapunda</w:t>
      </w:r>
      <w:proofErr w:type="spellEnd"/>
      <w:r w:rsidRPr="001B45BE">
        <w:rPr>
          <w:color w:val="000000"/>
        </w:rPr>
        <w:t xml:space="preserve">, G., </w:t>
      </w:r>
      <w:proofErr w:type="spellStart"/>
      <w:r w:rsidRPr="001B45BE">
        <w:rPr>
          <w:color w:val="000000"/>
        </w:rPr>
        <w:t>Looh</w:t>
      </w:r>
      <w:proofErr w:type="spellEnd"/>
      <w:r w:rsidRPr="001B45BE">
        <w:rPr>
          <w:color w:val="000000"/>
        </w:rPr>
        <w:t xml:space="preserve"> La, J., Mazrui, L., &amp; </w:t>
      </w:r>
      <w:proofErr w:type="spellStart"/>
      <w:r w:rsidRPr="001B45BE">
        <w:rPr>
          <w:color w:val="000000"/>
        </w:rPr>
        <w:t>Murugami</w:t>
      </w:r>
      <w:proofErr w:type="spellEnd"/>
      <w:r w:rsidRPr="001B45BE">
        <w:rPr>
          <w:color w:val="000000"/>
        </w:rPr>
        <w:t>, M. (2016). Ethnic identity in emerging adults in sub‐Saharan Africa and the USA, and its associations with psychological well‐being. </w:t>
      </w:r>
      <w:r w:rsidRPr="001B45BE">
        <w:rPr>
          <w:i/>
          <w:color w:val="000000"/>
        </w:rPr>
        <w:t>Journal of Community &amp; Applied Social Psychology, 26</w:t>
      </w:r>
      <w:r w:rsidRPr="001B45BE">
        <w:rPr>
          <w:color w:val="000000"/>
        </w:rPr>
        <w:t>(3), 236–252. </w:t>
      </w:r>
      <w:r w:rsidRPr="001B45BE">
        <w:t>https://doi.org/10.1002/casp.2247</w:t>
      </w:r>
    </w:p>
    <w:p w14:paraId="3E50E6B5" w14:textId="77777777" w:rsidR="00F854BC" w:rsidRPr="001B45BE" w:rsidRDefault="00000000">
      <w:pPr>
        <w:pBdr>
          <w:top w:val="nil"/>
          <w:left w:val="nil"/>
          <w:bottom w:val="nil"/>
          <w:right w:val="nil"/>
          <w:between w:val="nil"/>
        </w:pBdr>
        <w:spacing w:line="480" w:lineRule="auto"/>
        <w:ind w:left="720" w:hanging="720"/>
        <w:rPr>
          <w:color w:val="000000"/>
        </w:rPr>
      </w:pPr>
      <w:r w:rsidRPr="001B45BE">
        <w:rPr>
          <w:color w:val="000000"/>
        </w:rPr>
        <w:t>Adler, N., Singh-</w:t>
      </w:r>
      <w:proofErr w:type="spellStart"/>
      <w:r w:rsidRPr="001B45BE">
        <w:rPr>
          <w:color w:val="000000"/>
        </w:rPr>
        <w:t>Manoux</w:t>
      </w:r>
      <w:proofErr w:type="spellEnd"/>
      <w:r w:rsidRPr="001B45BE">
        <w:rPr>
          <w:color w:val="000000"/>
        </w:rPr>
        <w:t xml:space="preserve">, A., Schwartz, J. E., Stewart, J. C., Matthews, K. A., &amp; Marmot, M. (2008). Social status and health: A comparison of British civil servants in Whitehall-II with European- and </w:t>
      </w:r>
      <w:proofErr w:type="gramStart"/>
      <w:r w:rsidRPr="001B45BE">
        <w:rPr>
          <w:color w:val="000000"/>
        </w:rPr>
        <w:t>African-Americans</w:t>
      </w:r>
      <w:proofErr w:type="gramEnd"/>
      <w:r w:rsidRPr="001B45BE">
        <w:rPr>
          <w:color w:val="000000"/>
        </w:rPr>
        <w:t xml:space="preserve"> in CARDIA. </w:t>
      </w:r>
      <w:r w:rsidRPr="001B45BE">
        <w:rPr>
          <w:i/>
          <w:color w:val="000000"/>
        </w:rPr>
        <w:t>Social Science &amp; Medicine</w:t>
      </w:r>
      <w:r w:rsidRPr="001B45BE">
        <w:rPr>
          <w:color w:val="000000"/>
        </w:rPr>
        <w:t xml:space="preserve">, </w:t>
      </w:r>
      <w:r w:rsidRPr="001B45BE">
        <w:rPr>
          <w:i/>
          <w:color w:val="000000"/>
        </w:rPr>
        <w:t>66</w:t>
      </w:r>
      <w:r w:rsidRPr="001B45BE">
        <w:rPr>
          <w:color w:val="000000"/>
        </w:rPr>
        <w:t>(5), 1034–1045. https://doi.org/10.1016/j.socscimed.2007.11.031</w:t>
      </w:r>
    </w:p>
    <w:p w14:paraId="40AF7310" w14:textId="77777777" w:rsidR="00F854BC" w:rsidRPr="001B45BE" w:rsidRDefault="00000000">
      <w:pPr>
        <w:spacing w:line="480" w:lineRule="auto"/>
        <w:ind w:left="480" w:hanging="480"/>
        <w:rPr>
          <w:color w:val="000000"/>
        </w:rPr>
      </w:pPr>
      <w:r w:rsidRPr="001B45BE">
        <w:rPr>
          <w:color w:val="000000"/>
        </w:rPr>
        <w:t>Adler, N., &amp; Stewart, J. (2007). The MacArthur scale of subjective social status. </w:t>
      </w:r>
      <w:r w:rsidRPr="001B45BE">
        <w:rPr>
          <w:i/>
          <w:color w:val="000000"/>
        </w:rPr>
        <w:t>San Francisco: MacArthur Research Network on SES &amp; Health</w:t>
      </w:r>
      <w:r w:rsidRPr="001B45BE">
        <w:rPr>
          <w:color w:val="000000"/>
        </w:rPr>
        <w:t>.</w:t>
      </w:r>
    </w:p>
    <w:p w14:paraId="25DE0754" w14:textId="77777777" w:rsidR="00F854BC" w:rsidRPr="001B45BE" w:rsidRDefault="00000000">
      <w:pPr>
        <w:spacing w:line="480" w:lineRule="auto"/>
        <w:ind w:left="480" w:hanging="480"/>
        <w:rPr>
          <w:color w:val="000000"/>
          <w:u w:val="single"/>
        </w:rPr>
      </w:pPr>
      <w:r w:rsidRPr="001B45BE">
        <w:rPr>
          <w:color w:val="000000"/>
        </w:rPr>
        <w:t xml:space="preserve">Adolph, K. E., &amp; Hoch, J. E. (2019). Motor development: Embodied, embedded, enculturated, and enabling. </w:t>
      </w:r>
      <w:r w:rsidRPr="001B45BE">
        <w:rPr>
          <w:i/>
          <w:color w:val="000000"/>
        </w:rPr>
        <w:t>Annual Review of Psychology</w:t>
      </w:r>
      <w:r w:rsidRPr="001B45BE">
        <w:rPr>
          <w:color w:val="000000"/>
        </w:rPr>
        <w:t xml:space="preserve">, </w:t>
      </w:r>
      <w:r w:rsidRPr="001B45BE">
        <w:rPr>
          <w:i/>
          <w:color w:val="000000"/>
        </w:rPr>
        <w:t>70</w:t>
      </w:r>
      <w:r w:rsidRPr="001B45BE">
        <w:rPr>
          <w:color w:val="000000"/>
        </w:rPr>
        <w:t>(1), 141–164. https://doi.org/10.1146/annurev-psych-010418-102836</w:t>
      </w:r>
    </w:p>
    <w:p w14:paraId="51CBE52D" w14:textId="77777777" w:rsidR="00F854BC" w:rsidRPr="001B45BE" w:rsidRDefault="00000000">
      <w:pPr>
        <w:spacing w:line="480" w:lineRule="auto"/>
        <w:ind w:left="480" w:hanging="480"/>
        <w:rPr>
          <w:color w:val="000000"/>
        </w:rPr>
      </w:pPr>
      <w:r w:rsidRPr="001B45BE">
        <w:rPr>
          <w:color w:val="000000"/>
        </w:rPr>
        <w:t xml:space="preserve">Agyemang, C., Bhopal, R., &amp; </w:t>
      </w:r>
      <w:proofErr w:type="spellStart"/>
      <w:r w:rsidRPr="001B45BE">
        <w:rPr>
          <w:color w:val="000000"/>
        </w:rPr>
        <w:t>Bruijnzeels</w:t>
      </w:r>
      <w:proofErr w:type="spellEnd"/>
      <w:r w:rsidRPr="001B45BE">
        <w:rPr>
          <w:color w:val="000000"/>
        </w:rPr>
        <w:t>, M. (2005). Negro, Black, Black African, African Caribbean, African American or what? Labelling African origin populations in the health arena in the 21st century. </w:t>
      </w:r>
      <w:r w:rsidRPr="001B45BE">
        <w:rPr>
          <w:i/>
          <w:color w:val="000000"/>
        </w:rPr>
        <w:t>Journal of Epidemiology and Community Health, 59</w:t>
      </w:r>
      <w:r w:rsidRPr="001B45BE">
        <w:rPr>
          <w:color w:val="000000"/>
        </w:rPr>
        <w:t>(12), 1014–1018. </w:t>
      </w:r>
      <w:r w:rsidRPr="001B45BE">
        <w:t>https://doi.org/10.1136/jech.2005.035964</w:t>
      </w:r>
    </w:p>
    <w:p w14:paraId="1623CA04" w14:textId="77777777" w:rsidR="00F854BC" w:rsidRPr="001B45BE" w:rsidRDefault="00000000">
      <w:pPr>
        <w:spacing w:line="480" w:lineRule="auto"/>
        <w:ind w:left="480" w:hanging="480"/>
        <w:rPr>
          <w:color w:val="000000"/>
        </w:rPr>
      </w:pPr>
      <w:proofErr w:type="spellStart"/>
      <w:r w:rsidRPr="001B45BE">
        <w:rPr>
          <w:color w:val="000000"/>
        </w:rPr>
        <w:t>Alcock</w:t>
      </w:r>
      <w:proofErr w:type="spellEnd"/>
      <w:r w:rsidRPr="001B45BE">
        <w:rPr>
          <w:color w:val="000000"/>
        </w:rPr>
        <w:t xml:space="preserve">, K. J., Holding, P. A., </w:t>
      </w:r>
      <w:proofErr w:type="spellStart"/>
      <w:r w:rsidRPr="001B45BE">
        <w:rPr>
          <w:color w:val="000000"/>
        </w:rPr>
        <w:t>Mung'ala</w:t>
      </w:r>
      <w:proofErr w:type="spellEnd"/>
      <w:r w:rsidRPr="001B45BE">
        <w:rPr>
          <w:color w:val="000000"/>
        </w:rPr>
        <w:t xml:space="preserve">-Odera, V., &amp; Newton, C. R. J. C. (2008). Constructing tests of cognitive abilities for schooled and unschooled children. </w:t>
      </w:r>
      <w:r w:rsidRPr="001B45BE">
        <w:rPr>
          <w:i/>
          <w:color w:val="000000"/>
        </w:rPr>
        <w:t>Journal of Cross-Cultural Psychology, 39</w:t>
      </w:r>
      <w:r w:rsidRPr="001B45BE">
        <w:rPr>
          <w:color w:val="000000"/>
        </w:rPr>
        <w:t>(5), 529–551. https://doi.org/10.1177/0022022108321176</w:t>
      </w:r>
    </w:p>
    <w:p w14:paraId="7609A6AF" w14:textId="77777777" w:rsidR="00F854BC" w:rsidRPr="001B45BE" w:rsidRDefault="00000000">
      <w:pPr>
        <w:spacing w:line="480" w:lineRule="auto"/>
        <w:ind w:left="480" w:hanging="480"/>
        <w:rPr>
          <w:color w:val="000000"/>
        </w:rPr>
      </w:pPr>
      <w:r w:rsidRPr="001B45BE">
        <w:rPr>
          <w:color w:val="000000"/>
        </w:rPr>
        <w:lastRenderedPageBreak/>
        <w:t xml:space="preserve">American Anthropological Association. (1998). </w:t>
      </w:r>
      <w:r w:rsidRPr="001B45BE">
        <w:rPr>
          <w:i/>
          <w:color w:val="000000"/>
        </w:rPr>
        <w:t>AAA Statement on race</w:t>
      </w:r>
      <w:r w:rsidRPr="001B45BE">
        <w:rPr>
          <w:color w:val="000000"/>
        </w:rPr>
        <w:t>. https://www.americananthro.org/ConnectWithAAA/Content.aspx?ItemNumber=2583</w:t>
      </w:r>
    </w:p>
    <w:p w14:paraId="6B4C805B" w14:textId="77777777" w:rsidR="00F854BC" w:rsidRPr="001B45BE" w:rsidRDefault="00000000">
      <w:pPr>
        <w:spacing w:line="480" w:lineRule="auto"/>
        <w:ind w:left="480" w:hanging="480"/>
        <w:rPr>
          <w:color w:val="000000"/>
        </w:rPr>
      </w:pPr>
      <w:r w:rsidRPr="001B45BE">
        <w:rPr>
          <w:color w:val="000000"/>
        </w:rPr>
        <w:t xml:space="preserve">Arnett, J. J. (2009). The neglected 95%, a challenge to psychology’s philosophy of science. </w:t>
      </w:r>
      <w:r w:rsidRPr="001B45BE">
        <w:rPr>
          <w:i/>
          <w:color w:val="000000"/>
        </w:rPr>
        <w:t>American Psychologist</w:t>
      </w:r>
      <w:r w:rsidRPr="001B45BE">
        <w:rPr>
          <w:color w:val="000000"/>
        </w:rPr>
        <w:t xml:space="preserve">, </w:t>
      </w:r>
      <w:r w:rsidRPr="001B45BE">
        <w:rPr>
          <w:i/>
          <w:color w:val="000000"/>
        </w:rPr>
        <w:t>64</w:t>
      </w:r>
      <w:r w:rsidRPr="001B45BE">
        <w:rPr>
          <w:color w:val="000000"/>
        </w:rPr>
        <w:t>(6), 571–574. https://doi.org/10.1037/a0016723</w:t>
      </w:r>
    </w:p>
    <w:p w14:paraId="70E51BC4" w14:textId="77777777" w:rsidR="00F854BC" w:rsidRPr="001B45BE" w:rsidRDefault="00000000">
      <w:pPr>
        <w:pBdr>
          <w:top w:val="nil"/>
          <w:left w:val="nil"/>
          <w:bottom w:val="nil"/>
          <w:right w:val="nil"/>
          <w:between w:val="nil"/>
        </w:pBdr>
        <w:spacing w:line="480" w:lineRule="auto"/>
        <w:ind w:left="720" w:hanging="720"/>
        <w:rPr>
          <w:color w:val="000000"/>
        </w:rPr>
      </w:pPr>
      <w:proofErr w:type="spellStart"/>
      <w:r w:rsidRPr="001B45BE">
        <w:rPr>
          <w:color w:val="000000"/>
        </w:rPr>
        <w:t>Bastagli</w:t>
      </w:r>
      <w:proofErr w:type="spellEnd"/>
      <w:r w:rsidRPr="001B45BE">
        <w:rPr>
          <w:color w:val="000000"/>
        </w:rPr>
        <w:t>, F., Hagen-</w:t>
      </w:r>
      <w:proofErr w:type="spellStart"/>
      <w:r w:rsidRPr="001B45BE">
        <w:rPr>
          <w:color w:val="000000"/>
        </w:rPr>
        <w:t>Zanker</w:t>
      </w:r>
      <w:proofErr w:type="spellEnd"/>
      <w:r w:rsidRPr="001B45BE">
        <w:rPr>
          <w:color w:val="000000"/>
        </w:rPr>
        <w:t xml:space="preserve">, J., Harman, L., Barca, V., Sturge, G., &amp; Schmidt, T. (2019). The impact of cash transfers: A review of the evidence from low- and middle-income countries. </w:t>
      </w:r>
      <w:r w:rsidRPr="001B45BE">
        <w:rPr>
          <w:i/>
          <w:color w:val="000000"/>
        </w:rPr>
        <w:t>Journal of Social Policy</w:t>
      </w:r>
      <w:r w:rsidRPr="001B45BE">
        <w:rPr>
          <w:color w:val="000000"/>
        </w:rPr>
        <w:t xml:space="preserve">, </w:t>
      </w:r>
      <w:r w:rsidRPr="001B45BE">
        <w:rPr>
          <w:i/>
          <w:color w:val="000000"/>
        </w:rPr>
        <w:t>48</w:t>
      </w:r>
      <w:r w:rsidRPr="001B45BE">
        <w:rPr>
          <w:color w:val="000000"/>
        </w:rPr>
        <w:t>(03), 569–594. https://doi.org/10.1017/s0047279418000715</w:t>
      </w:r>
    </w:p>
    <w:p w14:paraId="20672005" w14:textId="77777777" w:rsidR="00F854BC" w:rsidRPr="001B45BE" w:rsidRDefault="00000000">
      <w:pPr>
        <w:spacing w:line="480" w:lineRule="auto"/>
        <w:ind w:left="480" w:hanging="480"/>
        <w:rPr>
          <w:color w:val="000000"/>
        </w:rPr>
      </w:pPr>
      <w:r w:rsidRPr="001B45BE">
        <w:rPr>
          <w:color w:val="000000"/>
        </w:rPr>
        <w:t xml:space="preserve">Bergmann, C., Tsuji, S., </w:t>
      </w:r>
      <w:proofErr w:type="spellStart"/>
      <w:r w:rsidRPr="001B45BE">
        <w:rPr>
          <w:color w:val="000000"/>
        </w:rPr>
        <w:t>Piccinini</w:t>
      </w:r>
      <w:proofErr w:type="spellEnd"/>
      <w:r w:rsidRPr="001B45BE">
        <w:rPr>
          <w:color w:val="000000"/>
        </w:rPr>
        <w:t xml:space="preserve">, P. E., Lewis, M. L., </w:t>
      </w:r>
      <w:proofErr w:type="spellStart"/>
      <w:r w:rsidRPr="001B45BE">
        <w:rPr>
          <w:color w:val="000000"/>
        </w:rPr>
        <w:t>Braginsky</w:t>
      </w:r>
      <w:proofErr w:type="spellEnd"/>
      <w:r w:rsidRPr="001B45BE">
        <w:rPr>
          <w:color w:val="000000"/>
        </w:rPr>
        <w:t xml:space="preserve">, M., Frank, M. C., &amp; </w:t>
      </w:r>
      <w:proofErr w:type="spellStart"/>
      <w:r w:rsidRPr="001B45BE">
        <w:rPr>
          <w:color w:val="000000"/>
        </w:rPr>
        <w:t>Cristia</w:t>
      </w:r>
      <w:proofErr w:type="spellEnd"/>
      <w:r w:rsidRPr="001B45BE">
        <w:rPr>
          <w:color w:val="000000"/>
        </w:rPr>
        <w:t xml:space="preserve">, A. (2018). Promoting replicability in developmental research through meta-analyses: Insights from language acquisition research. </w:t>
      </w:r>
      <w:r w:rsidRPr="001B45BE">
        <w:rPr>
          <w:i/>
          <w:color w:val="000000"/>
        </w:rPr>
        <w:t>Child Development, 89</w:t>
      </w:r>
      <w:r w:rsidRPr="001B45BE">
        <w:rPr>
          <w:color w:val="000000"/>
        </w:rPr>
        <w:t>(6), 1996–2009. https://doi.org/10.1111/cdev.13079</w:t>
      </w:r>
    </w:p>
    <w:p w14:paraId="2F44365C" w14:textId="77777777" w:rsidR="00F854BC" w:rsidRPr="001B45BE" w:rsidRDefault="00000000">
      <w:pPr>
        <w:spacing w:line="480" w:lineRule="auto"/>
        <w:ind w:left="480" w:hanging="480"/>
        <w:rPr>
          <w:color w:val="000000"/>
        </w:rPr>
      </w:pPr>
      <w:proofErr w:type="spellStart"/>
      <w:r w:rsidRPr="001B45BE">
        <w:rPr>
          <w:color w:val="000000"/>
        </w:rPr>
        <w:t>Blencowe</w:t>
      </w:r>
      <w:proofErr w:type="spellEnd"/>
      <w:r w:rsidRPr="001B45BE">
        <w:rPr>
          <w:color w:val="000000"/>
        </w:rPr>
        <w:t xml:space="preserve">, H., Cousens, S., </w:t>
      </w:r>
      <w:proofErr w:type="spellStart"/>
      <w:r w:rsidRPr="001B45BE">
        <w:rPr>
          <w:color w:val="000000"/>
        </w:rPr>
        <w:t>Oestergaard</w:t>
      </w:r>
      <w:proofErr w:type="spellEnd"/>
      <w:r w:rsidRPr="001B45BE">
        <w:rPr>
          <w:color w:val="000000"/>
        </w:rPr>
        <w:t xml:space="preserve">, M. Z., Chou, D., Moller, A.-B., Narwal, R., Adler, A., Vera Garcia, C., Rohde, S., Say, L., &amp; Lawn, J. E. (2012). National, regional, and worldwide estimates of preterm birth rates in the year 2010 with time trends since 1990 for selected countries: A systematic analysis and implications. </w:t>
      </w:r>
      <w:r w:rsidRPr="001B45BE">
        <w:rPr>
          <w:i/>
          <w:color w:val="000000"/>
        </w:rPr>
        <w:t>The Lancet</w:t>
      </w:r>
      <w:r w:rsidRPr="001B45BE">
        <w:rPr>
          <w:color w:val="000000"/>
        </w:rPr>
        <w:t xml:space="preserve">, </w:t>
      </w:r>
      <w:r w:rsidRPr="001B45BE">
        <w:rPr>
          <w:i/>
          <w:color w:val="000000"/>
        </w:rPr>
        <w:t>379</w:t>
      </w:r>
      <w:r w:rsidRPr="001B45BE">
        <w:rPr>
          <w:color w:val="000000"/>
        </w:rPr>
        <w:t>(9832), 2162–2172. https://doi.org/10.1016/S0140-6736(12)60820-4</w:t>
      </w:r>
    </w:p>
    <w:p w14:paraId="66E63964" w14:textId="77777777" w:rsidR="00F854BC" w:rsidRPr="001B45BE" w:rsidRDefault="00000000">
      <w:pPr>
        <w:spacing w:line="480" w:lineRule="auto"/>
        <w:ind w:left="480" w:hanging="480"/>
        <w:rPr>
          <w:color w:val="000000"/>
        </w:rPr>
      </w:pPr>
      <w:proofErr w:type="spellStart"/>
      <w:r w:rsidRPr="001B45BE">
        <w:rPr>
          <w:color w:val="000000"/>
        </w:rPr>
        <w:t>Blom</w:t>
      </w:r>
      <w:proofErr w:type="spellEnd"/>
      <w:r w:rsidRPr="001B45BE">
        <w:rPr>
          <w:color w:val="000000"/>
        </w:rPr>
        <w:t xml:space="preserve">, E. (2010). Effects of input on the early grammatical development of bilingual children. </w:t>
      </w:r>
      <w:r w:rsidRPr="001B45BE">
        <w:rPr>
          <w:i/>
          <w:color w:val="000000"/>
        </w:rPr>
        <w:t>International Journal of Bilingualism</w:t>
      </w:r>
      <w:r w:rsidRPr="001B45BE">
        <w:rPr>
          <w:color w:val="000000"/>
        </w:rPr>
        <w:t xml:space="preserve">, </w:t>
      </w:r>
      <w:r w:rsidRPr="001B45BE">
        <w:rPr>
          <w:i/>
          <w:color w:val="000000"/>
        </w:rPr>
        <w:t>14</w:t>
      </w:r>
      <w:r w:rsidRPr="001B45BE">
        <w:rPr>
          <w:color w:val="000000"/>
        </w:rPr>
        <w:t>(4), 422–446. https://doi.org/10.1177/1367006910370917</w:t>
      </w:r>
    </w:p>
    <w:p w14:paraId="2934A698" w14:textId="77777777" w:rsidR="00F854BC" w:rsidRPr="001B45BE" w:rsidRDefault="00000000">
      <w:pPr>
        <w:spacing w:line="480" w:lineRule="auto"/>
        <w:ind w:left="480" w:hanging="480"/>
        <w:rPr>
          <w:color w:val="000000"/>
        </w:rPr>
      </w:pPr>
      <w:r w:rsidRPr="001B45BE">
        <w:rPr>
          <w:color w:val="000000"/>
        </w:rPr>
        <w:t xml:space="preserve">Bohr, Y., </w:t>
      </w:r>
      <w:proofErr w:type="spellStart"/>
      <w:r w:rsidRPr="001B45BE">
        <w:rPr>
          <w:color w:val="000000"/>
        </w:rPr>
        <w:t>Putnick</w:t>
      </w:r>
      <w:proofErr w:type="spellEnd"/>
      <w:r w:rsidRPr="001B45BE">
        <w:rPr>
          <w:color w:val="000000"/>
        </w:rPr>
        <w:t xml:space="preserve">, D. L., Lee, Y., &amp; Bornstein, M. H. (2018). Evaluating caregiver sensitivity to infants: Measures matter. </w:t>
      </w:r>
      <w:r w:rsidRPr="001B45BE">
        <w:rPr>
          <w:i/>
          <w:color w:val="000000"/>
        </w:rPr>
        <w:t>Infancy</w:t>
      </w:r>
      <w:r w:rsidRPr="001B45BE">
        <w:rPr>
          <w:color w:val="000000"/>
        </w:rPr>
        <w:t xml:space="preserve">, </w:t>
      </w:r>
      <w:r w:rsidRPr="001B45BE">
        <w:rPr>
          <w:i/>
          <w:color w:val="000000"/>
        </w:rPr>
        <w:t>23</w:t>
      </w:r>
      <w:r w:rsidRPr="001B45BE">
        <w:rPr>
          <w:color w:val="000000"/>
        </w:rPr>
        <w:t>(5), 730–747. https://doi.org/10.1111/infa.12248</w:t>
      </w:r>
    </w:p>
    <w:p w14:paraId="63E7D2F5" w14:textId="77777777" w:rsidR="00F854BC" w:rsidRPr="001B45BE" w:rsidRDefault="00000000">
      <w:pPr>
        <w:spacing w:line="480" w:lineRule="auto"/>
        <w:ind w:left="480" w:hanging="480"/>
        <w:rPr>
          <w:color w:val="000000"/>
        </w:rPr>
      </w:pPr>
      <w:r w:rsidRPr="001B45BE">
        <w:rPr>
          <w:color w:val="000000"/>
        </w:rPr>
        <w:lastRenderedPageBreak/>
        <w:t xml:space="preserve">Bradley, R. H., &amp; </w:t>
      </w:r>
      <w:proofErr w:type="spellStart"/>
      <w:r w:rsidRPr="001B45BE">
        <w:rPr>
          <w:color w:val="000000"/>
        </w:rPr>
        <w:t>Corwyn</w:t>
      </w:r>
      <w:proofErr w:type="spellEnd"/>
      <w:r w:rsidRPr="001B45BE">
        <w:rPr>
          <w:color w:val="000000"/>
        </w:rPr>
        <w:t xml:space="preserve">, R. F. (2002). Socioeconomic status and child development. </w:t>
      </w:r>
      <w:r w:rsidRPr="001B45BE">
        <w:rPr>
          <w:i/>
          <w:color w:val="000000"/>
        </w:rPr>
        <w:t>Annual Review of Psychology</w:t>
      </w:r>
      <w:r w:rsidRPr="001B45BE">
        <w:rPr>
          <w:color w:val="000000"/>
        </w:rPr>
        <w:t xml:space="preserve">, </w:t>
      </w:r>
      <w:r w:rsidRPr="001B45BE">
        <w:rPr>
          <w:i/>
          <w:color w:val="000000"/>
        </w:rPr>
        <w:t>53</w:t>
      </w:r>
      <w:r w:rsidRPr="001B45BE">
        <w:rPr>
          <w:color w:val="000000"/>
        </w:rPr>
        <w:t xml:space="preserve">, 371–399. </w:t>
      </w:r>
    </w:p>
    <w:p w14:paraId="4F94F49E" w14:textId="77777777" w:rsidR="00F854BC" w:rsidRPr="001B45BE" w:rsidRDefault="00000000">
      <w:pPr>
        <w:spacing w:line="480" w:lineRule="auto"/>
        <w:ind w:left="480" w:hanging="480"/>
        <w:rPr>
          <w:color w:val="000000"/>
        </w:rPr>
      </w:pPr>
      <w:r w:rsidRPr="001B45BE">
        <w:rPr>
          <w:color w:val="000000"/>
        </w:rPr>
        <w:t xml:space="preserve">Brito, N., &amp; Barr, R. (2012). Influence of bilingualism on memory generalization during infancy: Bilingualism and memory generalization. </w:t>
      </w:r>
      <w:r w:rsidRPr="001B45BE">
        <w:rPr>
          <w:i/>
          <w:color w:val="000000"/>
        </w:rPr>
        <w:t>Developmental Science</w:t>
      </w:r>
      <w:r w:rsidRPr="001B45BE">
        <w:rPr>
          <w:color w:val="000000"/>
        </w:rPr>
        <w:t xml:space="preserve">, </w:t>
      </w:r>
      <w:r w:rsidRPr="001B45BE">
        <w:rPr>
          <w:i/>
          <w:color w:val="000000"/>
        </w:rPr>
        <w:t>15</w:t>
      </w:r>
      <w:r w:rsidRPr="001B45BE">
        <w:rPr>
          <w:color w:val="000000"/>
        </w:rPr>
        <w:t>(6), 812–816. https://doi.org/10.1111/j.1467-7687.2012.1184.x</w:t>
      </w:r>
    </w:p>
    <w:p w14:paraId="207935A8" w14:textId="77777777" w:rsidR="00F854BC" w:rsidRPr="001B45BE" w:rsidRDefault="00000000">
      <w:pPr>
        <w:spacing w:line="480" w:lineRule="auto"/>
        <w:ind w:left="480" w:hanging="480"/>
        <w:rPr>
          <w:color w:val="000000"/>
        </w:rPr>
      </w:pPr>
      <w:r w:rsidRPr="001B45BE">
        <w:rPr>
          <w:color w:val="000000"/>
        </w:rPr>
        <w:t xml:space="preserve">Broman, K. W., &amp; Woo, K. H. (2018). Data organization in spreadsheets. </w:t>
      </w:r>
      <w:r w:rsidRPr="001B45BE">
        <w:rPr>
          <w:i/>
          <w:color w:val="000000"/>
        </w:rPr>
        <w:t>The American Statistician</w:t>
      </w:r>
      <w:r w:rsidRPr="001B45BE">
        <w:rPr>
          <w:color w:val="000000"/>
        </w:rPr>
        <w:t xml:space="preserve">, </w:t>
      </w:r>
      <w:r w:rsidRPr="001B45BE">
        <w:rPr>
          <w:i/>
          <w:color w:val="000000"/>
        </w:rPr>
        <w:t>72</w:t>
      </w:r>
      <w:r w:rsidRPr="001B45BE">
        <w:rPr>
          <w:color w:val="000000"/>
        </w:rPr>
        <w:t>(1), 2–10. https://doi.org/10.1080/00031305.2017.1375989</w:t>
      </w:r>
    </w:p>
    <w:p w14:paraId="650C22DB" w14:textId="3BB22B65" w:rsidR="00F854BC" w:rsidRPr="001B45BE" w:rsidRDefault="00000000">
      <w:pPr>
        <w:spacing w:line="480" w:lineRule="auto"/>
        <w:ind w:left="480" w:hanging="480"/>
        <w:rPr>
          <w:color w:val="000000"/>
        </w:rPr>
      </w:pPr>
      <w:r w:rsidRPr="001B45BE">
        <w:rPr>
          <w:color w:val="000000"/>
        </w:rPr>
        <w:t>Bronfenbrenner, U., &amp; Morris, P. A. (2006). The bioecological model of human development. In R. L. Lerner</w:t>
      </w:r>
      <w:sdt>
        <w:sdtPr>
          <w:tag w:val="goog_rdk_0"/>
          <w:id w:val="-192618672"/>
          <w:showingPlcHdr/>
        </w:sdtPr>
        <w:sdtContent>
          <w:r w:rsidR="00562E5A" w:rsidRPr="001B45BE">
            <w:t xml:space="preserve">     </w:t>
          </w:r>
        </w:sdtContent>
      </w:sdt>
      <w:r w:rsidRPr="001B45BE">
        <w:rPr>
          <w:color w:val="000000"/>
        </w:rPr>
        <w:t xml:space="preserve"> &amp; W. Damon (Eds.), </w:t>
      </w:r>
      <w:r w:rsidRPr="001B45BE">
        <w:rPr>
          <w:i/>
          <w:color w:val="000000"/>
        </w:rPr>
        <w:t>Handbook of child psychology: Vol 1, theoretical models of human development</w:t>
      </w:r>
      <w:r w:rsidRPr="001B45BE">
        <w:rPr>
          <w:color w:val="000000"/>
        </w:rPr>
        <w:t xml:space="preserve"> (pp. 793–828). Wiley.</w:t>
      </w:r>
    </w:p>
    <w:p w14:paraId="1DA20793" w14:textId="77777777" w:rsidR="00F854BC" w:rsidRPr="001B45BE" w:rsidRDefault="00000000">
      <w:pPr>
        <w:spacing w:line="480" w:lineRule="auto"/>
        <w:ind w:left="480" w:hanging="480"/>
        <w:rPr>
          <w:color w:val="000000"/>
        </w:rPr>
      </w:pPr>
      <w:r w:rsidRPr="001B45BE">
        <w:rPr>
          <w:color w:val="000000"/>
        </w:rPr>
        <w:t>Cabrera, N. J., Shannon, J. D., &amp; Tamis-</w:t>
      </w:r>
      <w:proofErr w:type="spellStart"/>
      <w:r w:rsidRPr="001B45BE">
        <w:rPr>
          <w:color w:val="000000"/>
        </w:rPr>
        <w:t>LeMonda</w:t>
      </w:r>
      <w:proofErr w:type="spellEnd"/>
      <w:r w:rsidRPr="001B45BE">
        <w:rPr>
          <w:color w:val="000000"/>
        </w:rPr>
        <w:t xml:space="preserve">, C. (2007). Fathers’ influence on their children’s cognitive and emotional development: From toddlers to pre-k. </w:t>
      </w:r>
      <w:r w:rsidRPr="001B45BE">
        <w:rPr>
          <w:i/>
          <w:color w:val="000000"/>
        </w:rPr>
        <w:t>Applied Developmental Science</w:t>
      </w:r>
      <w:r w:rsidRPr="001B45BE">
        <w:rPr>
          <w:color w:val="000000"/>
        </w:rPr>
        <w:t xml:space="preserve">, </w:t>
      </w:r>
      <w:r w:rsidRPr="001B45BE">
        <w:rPr>
          <w:i/>
          <w:color w:val="000000"/>
        </w:rPr>
        <w:t>11</w:t>
      </w:r>
      <w:r w:rsidRPr="001B45BE">
        <w:rPr>
          <w:color w:val="000000"/>
        </w:rPr>
        <w:t>(4), 208–213. https://doi.org/10.1080/10888690701762100</w:t>
      </w:r>
    </w:p>
    <w:p w14:paraId="6C0947F9" w14:textId="77777777" w:rsidR="00F854BC" w:rsidRPr="001B45BE" w:rsidRDefault="00000000">
      <w:pPr>
        <w:spacing w:line="480" w:lineRule="auto"/>
        <w:ind w:left="480" w:hanging="480"/>
        <w:rPr>
          <w:color w:val="000000"/>
        </w:rPr>
      </w:pPr>
      <w:r w:rsidRPr="001B45BE">
        <w:rPr>
          <w:color w:val="000000"/>
        </w:rPr>
        <w:t xml:space="preserve">Callanan, M. A. (2012). Conducting cognitive developmental research in museums: Theoretical issues and practical considerations. </w:t>
      </w:r>
      <w:r w:rsidRPr="001B45BE">
        <w:rPr>
          <w:i/>
          <w:color w:val="000000"/>
        </w:rPr>
        <w:t>Journal of Cognition and Development</w:t>
      </w:r>
      <w:r w:rsidRPr="001B45BE">
        <w:rPr>
          <w:color w:val="000000"/>
        </w:rPr>
        <w:t xml:space="preserve">, </w:t>
      </w:r>
      <w:r w:rsidRPr="001B45BE">
        <w:rPr>
          <w:i/>
          <w:color w:val="000000"/>
        </w:rPr>
        <w:t>13</w:t>
      </w:r>
      <w:r w:rsidRPr="001B45BE">
        <w:rPr>
          <w:color w:val="000000"/>
        </w:rPr>
        <w:t>(2), 137–151. https://doi.org/10.1080/15248372.2012.666730</w:t>
      </w:r>
    </w:p>
    <w:p w14:paraId="3B1B16CA" w14:textId="77777777" w:rsidR="00F854BC" w:rsidRPr="001B45BE" w:rsidRDefault="00000000">
      <w:pPr>
        <w:spacing w:line="480" w:lineRule="auto"/>
        <w:ind w:left="480" w:hanging="480"/>
        <w:rPr>
          <w:color w:val="000000"/>
        </w:rPr>
      </w:pPr>
      <w:r w:rsidRPr="001B45BE">
        <w:rPr>
          <w:color w:val="000000"/>
        </w:rPr>
        <w:t xml:space="preserve">Carneiro, P., </w:t>
      </w:r>
      <w:proofErr w:type="spellStart"/>
      <w:r w:rsidRPr="001B45BE">
        <w:rPr>
          <w:color w:val="000000"/>
        </w:rPr>
        <w:t>Meghir</w:t>
      </w:r>
      <w:proofErr w:type="spellEnd"/>
      <w:r w:rsidRPr="001B45BE">
        <w:rPr>
          <w:color w:val="000000"/>
        </w:rPr>
        <w:t xml:space="preserve">, C., &amp; </w:t>
      </w:r>
      <w:proofErr w:type="spellStart"/>
      <w:r w:rsidRPr="001B45BE">
        <w:rPr>
          <w:color w:val="000000"/>
        </w:rPr>
        <w:t>Parey</w:t>
      </w:r>
      <w:proofErr w:type="spellEnd"/>
      <w:r w:rsidRPr="001B45BE">
        <w:rPr>
          <w:color w:val="000000"/>
        </w:rPr>
        <w:t xml:space="preserve">, M. (2013). Maternal education, home environments, and the development of children and adolescents. </w:t>
      </w:r>
      <w:r w:rsidRPr="001B45BE">
        <w:rPr>
          <w:i/>
          <w:color w:val="000000"/>
        </w:rPr>
        <w:t>Journal of the European Economic Association</w:t>
      </w:r>
      <w:r w:rsidRPr="001B45BE">
        <w:rPr>
          <w:color w:val="000000"/>
        </w:rPr>
        <w:t xml:space="preserve">, </w:t>
      </w:r>
      <w:r w:rsidRPr="001B45BE">
        <w:rPr>
          <w:i/>
          <w:color w:val="000000"/>
        </w:rPr>
        <w:t>11</w:t>
      </w:r>
      <w:r w:rsidRPr="001B45BE">
        <w:rPr>
          <w:color w:val="000000"/>
        </w:rPr>
        <w:t>, 123–160. https://doi.org/10.1111/j.1542-4774.2012.01096.x</w:t>
      </w:r>
    </w:p>
    <w:p w14:paraId="19461CA0" w14:textId="77777777" w:rsidR="00F854BC" w:rsidRPr="001B45BE" w:rsidRDefault="00000000">
      <w:pPr>
        <w:spacing w:line="480" w:lineRule="auto"/>
        <w:ind w:left="480" w:hanging="480"/>
        <w:rPr>
          <w:color w:val="000000"/>
        </w:rPr>
      </w:pPr>
      <w:r w:rsidRPr="001B45BE">
        <w:rPr>
          <w:color w:val="000000"/>
        </w:rPr>
        <w:t xml:space="preserve">Chang, T. C., Robson, S. C., Boys, R. J., &amp; Spencer, J. A. D. (1992). Prediction of the small for gestational age infant: Which ultrasonic measurement is best? </w:t>
      </w:r>
      <w:r w:rsidRPr="001B45BE">
        <w:rPr>
          <w:i/>
          <w:color w:val="000000"/>
        </w:rPr>
        <w:t>Obstetrics &amp; Gynecology</w:t>
      </w:r>
      <w:r w:rsidRPr="001B45BE">
        <w:rPr>
          <w:color w:val="000000"/>
        </w:rPr>
        <w:t xml:space="preserve">, </w:t>
      </w:r>
      <w:r w:rsidRPr="001B45BE">
        <w:rPr>
          <w:i/>
          <w:color w:val="000000"/>
        </w:rPr>
        <w:t>80</w:t>
      </w:r>
      <w:r w:rsidRPr="001B45BE">
        <w:rPr>
          <w:color w:val="000000"/>
        </w:rPr>
        <w:t>(6), 1030–1038.</w:t>
      </w:r>
    </w:p>
    <w:p w14:paraId="31C4E66A" w14:textId="77777777" w:rsidR="00F854BC" w:rsidRPr="001B45BE" w:rsidRDefault="00000000">
      <w:pPr>
        <w:spacing w:line="480" w:lineRule="auto"/>
        <w:ind w:left="480" w:hanging="480"/>
        <w:rPr>
          <w:color w:val="000000"/>
        </w:rPr>
      </w:pPr>
      <w:r w:rsidRPr="001B45BE">
        <w:rPr>
          <w:color w:val="000000"/>
        </w:rPr>
        <w:lastRenderedPageBreak/>
        <w:t xml:space="preserve">Clark, C. J., </w:t>
      </w:r>
      <w:proofErr w:type="spellStart"/>
      <w:r w:rsidRPr="001B45BE">
        <w:rPr>
          <w:color w:val="000000"/>
        </w:rPr>
        <w:t>Winegard</w:t>
      </w:r>
      <w:proofErr w:type="spellEnd"/>
      <w:r w:rsidRPr="001B45BE">
        <w:rPr>
          <w:color w:val="000000"/>
        </w:rPr>
        <w:t xml:space="preserve">, B. M., </w:t>
      </w:r>
      <w:proofErr w:type="spellStart"/>
      <w:r w:rsidRPr="001B45BE">
        <w:rPr>
          <w:color w:val="000000"/>
        </w:rPr>
        <w:t>Beardslee</w:t>
      </w:r>
      <w:proofErr w:type="spellEnd"/>
      <w:r w:rsidRPr="001B45BE">
        <w:rPr>
          <w:color w:val="000000"/>
        </w:rPr>
        <w:t xml:space="preserve">, J., Baumeister, R. F., &amp; Shariff, A. F. (2020). Retracted: Declines in religiosity predict increases in violent crime—but not among countries with relatively high average </w:t>
      </w:r>
      <w:proofErr w:type="spellStart"/>
      <w:r w:rsidRPr="001B45BE">
        <w:rPr>
          <w:color w:val="000000"/>
        </w:rPr>
        <w:t>iq</w:t>
      </w:r>
      <w:proofErr w:type="spellEnd"/>
      <w:r w:rsidRPr="001B45BE">
        <w:rPr>
          <w:color w:val="000000"/>
        </w:rPr>
        <w:t xml:space="preserve">. </w:t>
      </w:r>
      <w:r w:rsidRPr="001B45BE">
        <w:rPr>
          <w:i/>
          <w:color w:val="000000"/>
        </w:rPr>
        <w:t>Psychological Science</w:t>
      </w:r>
      <w:r w:rsidRPr="001B45BE">
        <w:rPr>
          <w:color w:val="000000"/>
        </w:rPr>
        <w:t xml:space="preserve">, </w:t>
      </w:r>
      <w:r w:rsidRPr="001B45BE">
        <w:rPr>
          <w:i/>
          <w:color w:val="000000"/>
        </w:rPr>
        <w:t>31</w:t>
      </w:r>
      <w:r w:rsidRPr="001B45BE">
        <w:rPr>
          <w:color w:val="000000"/>
        </w:rPr>
        <w:t>(2), 170–183. https://doi.org/10.1177/0956797619897915</w:t>
      </w:r>
    </w:p>
    <w:p w14:paraId="69C84480" w14:textId="77777777" w:rsidR="00F854BC" w:rsidRPr="001B45BE" w:rsidRDefault="00000000">
      <w:pPr>
        <w:pBdr>
          <w:top w:val="nil"/>
          <w:left w:val="nil"/>
          <w:bottom w:val="nil"/>
          <w:right w:val="nil"/>
          <w:between w:val="nil"/>
        </w:pBdr>
        <w:spacing w:line="480" w:lineRule="auto"/>
        <w:ind w:left="720" w:hanging="720"/>
        <w:rPr>
          <w:color w:val="000000"/>
        </w:rPr>
      </w:pPr>
      <w:r w:rsidRPr="001B45BE">
        <w:rPr>
          <w:color w:val="000000"/>
        </w:rPr>
        <w:t xml:space="preserve">Cooper, K., &amp; Stewart, K. (2021). Does household income affect children’s outcomes? A systematic review of the evidence. </w:t>
      </w:r>
      <w:r w:rsidRPr="001B45BE">
        <w:rPr>
          <w:i/>
          <w:color w:val="000000"/>
        </w:rPr>
        <w:t>Child Indicators Research</w:t>
      </w:r>
      <w:r w:rsidRPr="001B45BE">
        <w:rPr>
          <w:color w:val="000000"/>
        </w:rPr>
        <w:t xml:space="preserve">, </w:t>
      </w:r>
      <w:r w:rsidRPr="001B45BE">
        <w:rPr>
          <w:i/>
          <w:color w:val="000000"/>
        </w:rPr>
        <w:t>14</w:t>
      </w:r>
      <w:r w:rsidRPr="001B45BE">
        <w:rPr>
          <w:color w:val="000000"/>
        </w:rPr>
        <w:t>(3), 981–1005. https://doi.org/10.1007/s12187-020-09782-0</w:t>
      </w:r>
    </w:p>
    <w:p w14:paraId="42F8D417" w14:textId="78934E09" w:rsidR="00F854BC" w:rsidRDefault="00000000">
      <w:pPr>
        <w:spacing w:line="480" w:lineRule="auto"/>
        <w:ind w:left="480" w:hanging="480"/>
        <w:rPr>
          <w:color w:val="000000"/>
        </w:rPr>
      </w:pPr>
      <w:r w:rsidRPr="001B45BE">
        <w:rPr>
          <w:color w:val="000000"/>
        </w:rPr>
        <w:t>Cowan, C. D., Hauser, R. M., Levin, H. M., Beale Spencer, M., &amp; Chapman, C. (2012). </w:t>
      </w:r>
      <w:r w:rsidRPr="001B45BE">
        <w:rPr>
          <w:i/>
          <w:color w:val="000000"/>
        </w:rPr>
        <w:t>Improving the measurement of socioeconomic status for the National Assessment of Educational Progress: A theoretical foundation.</w:t>
      </w:r>
      <w:r w:rsidRPr="001B45BE">
        <w:rPr>
          <w:color w:val="000000"/>
        </w:rPr>
        <w:t xml:space="preserve"> </w:t>
      </w:r>
      <w:hyperlink r:id="rId18" w:history="1">
        <w:r w:rsidR="00AA1831" w:rsidRPr="00A7476B">
          <w:rPr>
            <w:rStyle w:val="Hyperlink"/>
          </w:rPr>
          <w:t>https://nces.ed.gov/nationsreportcard/pdf/researchcenter/Socioeconomic_Factors.pdf</w:t>
        </w:r>
      </w:hyperlink>
    </w:p>
    <w:p w14:paraId="20316D98" w14:textId="018CC7DB" w:rsidR="00AA1831" w:rsidRPr="001B45BE" w:rsidRDefault="00AA1831">
      <w:pPr>
        <w:spacing w:line="480" w:lineRule="auto"/>
        <w:ind w:left="480" w:hanging="480"/>
        <w:rPr>
          <w:color w:val="000000"/>
        </w:rPr>
      </w:pPr>
      <w:proofErr w:type="spellStart"/>
      <w:r w:rsidRPr="00AA1831">
        <w:rPr>
          <w:color w:val="000000"/>
        </w:rPr>
        <w:t>Cristia</w:t>
      </w:r>
      <w:proofErr w:type="spellEnd"/>
      <w:r w:rsidRPr="00AA1831">
        <w:rPr>
          <w:color w:val="000000"/>
        </w:rPr>
        <w:t xml:space="preserve">, A., </w:t>
      </w:r>
      <w:proofErr w:type="spellStart"/>
      <w:r w:rsidRPr="00AA1831">
        <w:rPr>
          <w:color w:val="000000"/>
        </w:rPr>
        <w:t>Gautheron</w:t>
      </w:r>
      <w:proofErr w:type="spellEnd"/>
      <w:r w:rsidRPr="00AA1831">
        <w:rPr>
          <w:color w:val="000000"/>
        </w:rPr>
        <w:t xml:space="preserve">, L., &amp; </w:t>
      </w:r>
      <w:proofErr w:type="spellStart"/>
      <w:r w:rsidRPr="00AA1831">
        <w:rPr>
          <w:color w:val="000000"/>
        </w:rPr>
        <w:t>Colleran</w:t>
      </w:r>
      <w:proofErr w:type="spellEnd"/>
      <w:r w:rsidRPr="00AA1831">
        <w:rPr>
          <w:color w:val="000000"/>
        </w:rPr>
        <w:t>, H. (2023). Vocal input and output among infants in a multilingual context: Evidence from long-form recordings in Vanuatu. </w:t>
      </w:r>
      <w:r w:rsidRPr="00AA1831">
        <w:rPr>
          <w:i/>
          <w:iCs/>
          <w:color w:val="000000"/>
        </w:rPr>
        <w:t xml:space="preserve">Developmental </w:t>
      </w:r>
      <w:r>
        <w:rPr>
          <w:i/>
          <w:iCs/>
          <w:color w:val="000000"/>
        </w:rPr>
        <w:t>S</w:t>
      </w:r>
      <w:r w:rsidRPr="00AA1831">
        <w:rPr>
          <w:i/>
          <w:iCs/>
          <w:color w:val="000000"/>
        </w:rPr>
        <w:t>cience</w:t>
      </w:r>
      <w:r w:rsidRPr="00AA1831">
        <w:rPr>
          <w:color w:val="000000"/>
        </w:rPr>
        <w:t>, </w:t>
      </w:r>
      <w:r w:rsidRPr="00AA1831">
        <w:rPr>
          <w:i/>
          <w:iCs/>
          <w:color w:val="000000"/>
        </w:rPr>
        <w:t>26</w:t>
      </w:r>
      <w:r w:rsidRPr="00AA1831">
        <w:rPr>
          <w:color w:val="000000"/>
        </w:rPr>
        <w:t>(4), e13375. https://doi.org/10.1111/desc.13375</w:t>
      </w:r>
    </w:p>
    <w:p w14:paraId="5EED5E48" w14:textId="77777777" w:rsidR="00F854BC" w:rsidRPr="001B45BE" w:rsidRDefault="00000000">
      <w:pPr>
        <w:spacing w:line="480" w:lineRule="auto"/>
        <w:ind w:left="480" w:hanging="480"/>
        <w:rPr>
          <w:color w:val="000000"/>
        </w:rPr>
      </w:pPr>
      <w:r w:rsidRPr="001B45BE">
        <w:rPr>
          <w:color w:val="000000"/>
        </w:rPr>
        <w:t xml:space="preserve">Cronbach, L. J., &amp; </w:t>
      </w:r>
      <w:proofErr w:type="spellStart"/>
      <w:r w:rsidRPr="001B45BE">
        <w:rPr>
          <w:color w:val="000000"/>
        </w:rPr>
        <w:t>Meehl</w:t>
      </w:r>
      <w:proofErr w:type="spellEnd"/>
      <w:r w:rsidRPr="001B45BE">
        <w:rPr>
          <w:color w:val="000000"/>
        </w:rPr>
        <w:t>, P. E. (1955). Construct validity in psychological tests. </w:t>
      </w:r>
      <w:r w:rsidRPr="001B45BE">
        <w:rPr>
          <w:i/>
          <w:color w:val="000000"/>
        </w:rPr>
        <w:t>Psychological Bulletin, 52</w:t>
      </w:r>
      <w:r w:rsidRPr="001B45BE">
        <w:rPr>
          <w:color w:val="000000"/>
        </w:rPr>
        <w:t>(4), 281–302. </w:t>
      </w:r>
      <w:r w:rsidRPr="001B45BE">
        <w:t>https://doi.org/10.1037/h0040957</w:t>
      </w:r>
    </w:p>
    <w:p w14:paraId="5346C786" w14:textId="77777777" w:rsidR="00F854BC" w:rsidRPr="001B45BE" w:rsidRDefault="00000000">
      <w:pPr>
        <w:spacing w:line="480" w:lineRule="auto"/>
        <w:ind w:left="480" w:hanging="480"/>
        <w:rPr>
          <w:color w:val="000000"/>
        </w:rPr>
      </w:pPr>
      <w:r w:rsidRPr="001B45BE">
        <w:rPr>
          <w:color w:val="000000"/>
        </w:rPr>
        <w:t xml:space="preserve">Dahl, A. (2017). Ecological commitments: Why developmental science needs naturalistic methods. </w:t>
      </w:r>
      <w:r w:rsidRPr="001B45BE">
        <w:rPr>
          <w:i/>
          <w:color w:val="000000"/>
        </w:rPr>
        <w:t>Child Development Perspectives</w:t>
      </w:r>
      <w:r w:rsidRPr="001B45BE">
        <w:rPr>
          <w:color w:val="000000"/>
        </w:rPr>
        <w:t xml:space="preserve">, </w:t>
      </w:r>
      <w:r w:rsidRPr="001B45BE">
        <w:rPr>
          <w:i/>
          <w:color w:val="000000"/>
        </w:rPr>
        <w:t>11</w:t>
      </w:r>
      <w:r w:rsidRPr="001B45BE">
        <w:rPr>
          <w:color w:val="000000"/>
        </w:rPr>
        <w:t>(2), 79–84. https://doi.org/10.1111/cdep.12217</w:t>
      </w:r>
    </w:p>
    <w:p w14:paraId="5D613193" w14:textId="77777777" w:rsidR="00F854BC" w:rsidRPr="001B45BE" w:rsidRDefault="00000000">
      <w:pPr>
        <w:spacing w:line="480" w:lineRule="auto"/>
        <w:ind w:left="480" w:hanging="480"/>
        <w:rPr>
          <w:color w:val="000000"/>
        </w:rPr>
      </w:pPr>
      <w:r w:rsidRPr="001B45BE">
        <w:rPr>
          <w:color w:val="000000"/>
        </w:rPr>
        <w:t xml:space="preserve">Davis-Kean, P. E., &amp; Ellis, A. (2019). An overview of issues in infant and developmental research for the creation of robust and replicable science. </w:t>
      </w:r>
      <w:r w:rsidRPr="001B45BE">
        <w:rPr>
          <w:i/>
          <w:color w:val="000000"/>
        </w:rPr>
        <w:t>Infant Behavior and Development</w:t>
      </w:r>
      <w:r w:rsidRPr="001B45BE">
        <w:rPr>
          <w:color w:val="000000"/>
        </w:rPr>
        <w:t xml:space="preserve">, </w:t>
      </w:r>
      <w:r w:rsidRPr="001B45BE">
        <w:rPr>
          <w:i/>
          <w:color w:val="000000"/>
        </w:rPr>
        <w:t>57</w:t>
      </w:r>
      <w:r w:rsidRPr="001B45BE">
        <w:rPr>
          <w:color w:val="000000"/>
        </w:rPr>
        <w:t>, 101339. https://doi.org/10.1016/j.infbeh.2019.101339</w:t>
      </w:r>
    </w:p>
    <w:p w14:paraId="74B7C2B2" w14:textId="77777777" w:rsidR="00F854BC" w:rsidRPr="001B45BE" w:rsidRDefault="00000000">
      <w:pPr>
        <w:spacing w:line="480" w:lineRule="auto"/>
        <w:ind w:left="480" w:hanging="480"/>
        <w:rPr>
          <w:color w:val="000000"/>
        </w:rPr>
      </w:pPr>
      <w:r w:rsidRPr="001B45BE">
        <w:rPr>
          <w:color w:val="000000"/>
        </w:rPr>
        <w:lastRenderedPageBreak/>
        <w:t xml:space="preserve">de </w:t>
      </w:r>
      <w:proofErr w:type="spellStart"/>
      <w:r w:rsidRPr="001B45BE">
        <w:rPr>
          <w:color w:val="000000"/>
        </w:rPr>
        <w:t>Montjoye</w:t>
      </w:r>
      <w:proofErr w:type="spellEnd"/>
      <w:r w:rsidRPr="001B45BE">
        <w:rPr>
          <w:color w:val="000000"/>
        </w:rPr>
        <w:t xml:space="preserve">, Y.-A., </w:t>
      </w:r>
      <w:proofErr w:type="spellStart"/>
      <w:r w:rsidRPr="001B45BE">
        <w:rPr>
          <w:color w:val="000000"/>
        </w:rPr>
        <w:t>Radaelli</w:t>
      </w:r>
      <w:proofErr w:type="spellEnd"/>
      <w:r w:rsidRPr="001B45BE">
        <w:rPr>
          <w:color w:val="000000"/>
        </w:rPr>
        <w:t xml:space="preserve">, L., Singh, V. K., &amp; Pentland, A. S. (2015). Unique in the shopping mall: On the </w:t>
      </w:r>
      <w:proofErr w:type="spellStart"/>
      <w:r w:rsidRPr="001B45BE">
        <w:rPr>
          <w:color w:val="000000"/>
        </w:rPr>
        <w:t>reidentifiability</w:t>
      </w:r>
      <w:proofErr w:type="spellEnd"/>
      <w:r w:rsidRPr="001B45BE">
        <w:rPr>
          <w:color w:val="000000"/>
        </w:rPr>
        <w:t xml:space="preserve"> of credit card metadata. </w:t>
      </w:r>
      <w:r w:rsidRPr="001B45BE">
        <w:rPr>
          <w:i/>
          <w:color w:val="000000"/>
        </w:rPr>
        <w:t>Science</w:t>
      </w:r>
      <w:r w:rsidRPr="001B45BE">
        <w:rPr>
          <w:color w:val="000000"/>
        </w:rPr>
        <w:t xml:space="preserve">, </w:t>
      </w:r>
      <w:r w:rsidRPr="001B45BE">
        <w:rPr>
          <w:i/>
          <w:color w:val="000000"/>
        </w:rPr>
        <w:t>347</w:t>
      </w:r>
      <w:r w:rsidRPr="001B45BE">
        <w:rPr>
          <w:color w:val="000000"/>
        </w:rPr>
        <w:t xml:space="preserve">(6221), 536–539. </w:t>
      </w:r>
      <w:r w:rsidRPr="001B45BE">
        <w:t>https://doi.org/10.1126/science.1256297</w:t>
      </w:r>
    </w:p>
    <w:p w14:paraId="48B50EE4" w14:textId="77777777" w:rsidR="00F854BC" w:rsidRPr="001B45BE" w:rsidRDefault="00000000">
      <w:pPr>
        <w:pBdr>
          <w:top w:val="nil"/>
          <w:left w:val="nil"/>
          <w:bottom w:val="nil"/>
          <w:right w:val="nil"/>
          <w:between w:val="nil"/>
        </w:pBdr>
        <w:spacing w:line="480" w:lineRule="auto"/>
        <w:ind w:left="720" w:hanging="720"/>
        <w:rPr>
          <w:color w:val="000000"/>
        </w:rPr>
      </w:pPr>
      <w:r w:rsidRPr="001B45BE">
        <w:rPr>
          <w:color w:val="000000"/>
        </w:rPr>
        <w:t xml:space="preserve">Decker, A., Duncan, K., Finn, A. S., &amp; </w:t>
      </w:r>
      <w:proofErr w:type="spellStart"/>
      <w:r w:rsidRPr="001B45BE">
        <w:rPr>
          <w:color w:val="000000"/>
        </w:rPr>
        <w:t>Mabbott</w:t>
      </w:r>
      <w:proofErr w:type="spellEnd"/>
      <w:r w:rsidRPr="001B45BE">
        <w:rPr>
          <w:color w:val="000000"/>
        </w:rPr>
        <w:t xml:space="preserve">, D. J. (2020). Children’s family income is associated with cognitive function and volume of anterior not posterior hippocampus. </w:t>
      </w:r>
      <w:r w:rsidRPr="001B45BE">
        <w:rPr>
          <w:i/>
          <w:color w:val="000000"/>
        </w:rPr>
        <w:t>Nature Communications</w:t>
      </w:r>
      <w:r w:rsidRPr="001B45BE">
        <w:rPr>
          <w:color w:val="000000"/>
        </w:rPr>
        <w:t xml:space="preserve">, </w:t>
      </w:r>
      <w:r w:rsidRPr="001B45BE">
        <w:rPr>
          <w:i/>
          <w:color w:val="000000"/>
        </w:rPr>
        <w:t>11</w:t>
      </w:r>
      <w:r w:rsidRPr="001B45BE">
        <w:rPr>
          <w:color w:val="000000"/>
        </w:rPr>
        <w:t>(1). https://doi.org/10.1038/s41467-020-17854-6</w:t>
      </w:r>
    </w:p>
    <w:p w14:paraId="65090DC7" w14:textId="77777777" w:rsidR="00F854BC" w:rsidRPr="001B45BE" w:rsidRDefault="00000000">
      <w:pPr>
        <w:pBdr>
          <w:top w:val="nil"/>
          <w:left w:val="nil"/>
          <w:bottom w:val="nil"/>
          <w:right w:val="nil"/>
          <w:between w:val="nil"/>
        </w:pBdr>
        <w:spacing w:line="480" w:lineRule="auto"/>
        <w:ind w:left="720" w:hanging="720"/>
        <w:rPr>
          <w:color w:val="000000"/>
        </w:rPr>
      </w:pPr>
      <w:proofErr w:type="spellStart"/>
      <w:r w:rsidRPr="001B45BE">
        <w:rPr>
          <w:color w:val="000000"/>
        </w:rPr>
        <w:t>Demakakos</w:t>
      </w:r>
      <w:proofErr w:type="spellEnd"/>
      <w:r w:rsidRPr="001B45BE">
        <w:rPr>
          <w:color w:val="000000"/>
        </w:rPr>
        <w:t xml:space="preserve">, P., </w:t>
      </w:r>
      <w:proofErr w:type="spellStart"/>
      <w:r w:rsidRPr="001B45BE">
        <w:rPr>
          <w:color w:val="000000"/>
        </w:rPr>
        <w:t>Nazroo</w:t>
      </w:r>
      <w:proofErr w:type="spellEnd"/>
      <w:r w:rsidRPr="001B45BE">
        <w:rPr>
          <w:color w:val="000000"/>
        </w:rPr>
        <w:t xml:space="preserve">, J., Breeze, E., &amp; Marmot, M. (2008). Socioeconomic status and health: The role of subjective social status. </w:t>
      </w:r>
      <w:r w:rsidRPr="001B45BE">
        <w:rPr>
          <w:i/>
          <w:color w:val="000000"/>
        </w:rPr>
        <w:t>Social Science &amp; Medicine</w:t>
      </w:r>
      <w:r w:rsidRPr="001B45BE">
        <w:rPr>
          <w:color w:val="000000"/>
        </w:rPr>
        <w:t>. https://doi.org/10.1016/j.socscimed.2008.03.038</w:t>
      </w:r>
    </w:p>
    <w:p w14:paraId="27627A0A" w14:textId="77777777" w:rsidR="00F854BC" w:rsidRPr="001B45BE" w:rsidRDefault="00000000">
      <w:pPr>
        <w:spacing w:line="480" w:lineRule="auto"/>
        <w:ind w:left="480" w:hanging="480"/>
        <w:rPr>
          <w:color w:val="000000"/>
        </w:rPr>
      </w:pPr>
      <w:r w:rsidRPr="001B45BE">
        <w:rPr>
          <w:color w:val="000000"/>
        </w:rPr>
        <w:t xml:space="preserve">Duke-Williams, O., &amp; Stillwell, J. (2007). Investigating the potential effects of small cell adjustment on interaction data from the 2001 census. </w:t>
      </w:r>
      <w:r w:rsidRPr="001B45BE">
        <w:rPr>
          <w:i/>
          <w:color w:val="000000"/>
        </w:rPr>
        <w:t>Environment and Planning A: Economy and Space</w:t>
      </w:r>
      <w:r w:rsidRPr="001B45BE">
        <w:rPr>
          <w:color w:val="000000"/>
        </w:rPr>
        <w:t xml:space="preserve">, </w:t>
      </w:r>
      <w:r w:rsidRPr="001B45BE">
        <w:rPr>
          <w:i/>
          <w:color w:val="000000"/>
        </w:rPr>
        <w:t>39</w:t>
      </w:r>
      <w:r w:rsidRPr="001B45BE">
        <w:rPr>
          <w:color w:val="000000"/>
        </w:rPr>
        <w:t>(5), 1079–1100. https://doi.org/10.1068/a38143</w:t>
      </w:r>
    </w:p>
    <w:p w14:paraId="07F096F2" w14:textId="77777777" w:rsidR="00F854BC" w:rsidRPr="001B45BE" w:rsidRDefault="00000000">
      <w:pPr>
        <w:pBdr>
          <w:top w:val="nil"/>
          <w:left w:val="nil"/>
          <w:bottom w:val="nil"/>
          <w:right w:val="nil"/>
          <w:between w:val="nil"/>
        </w:pBdr>
        <w:spacing w:line="480" w:lineRule="auto"/>
        <w:ind w:left="720" w:hanging="720"/>
        <w:rPr>
          <w:color w:val="000000"/>
        </w:rPr>
      </w:pPr>
      <w:r w:rsidRPr="001B45BE">
        <w:rPr>
          <w:color w:val="000000"/>
        </w:rPr>
        <w:t>Duncan, G. J., Magnuson, K., &amp; Votruba-</w:t>
      </w:r>
      <w:proofErr w:type="spellStart"/>
      <w:r w:rsidRPr="001B45BE">
        <w:rPr>
          <w:color w:val="000000"/>
        </w:rPr>
        <w:t>Drzal</w:t>
      </w:r>
      <w:proofErr w:type="spellEnd"/>
      <w:r w:rsidRPr="001B45BE">
        <w:rPr>
          <w:color w:val="000000"/>
        </w:rPr>
        <w:t xml:space="preserve">, E. (2017). Moving beyond correlations in assessing the consequences of poverty. </w:t>
      </w:r>
      <w:r w:rsidRPr="001B45BE">
        <w:rPr>
          <w:i/>
          <w:color w:val="000000"/>
        </w:rPr>
        <w:t>Annual Review of Psychology</w:t>
      </w:r>
      <w:r w:rsidRPr="001B45BE">
        <w:rPr>
          <w:color w:val="000000"/>
        </w:rPr>
        <w:t xml:space="preserve">, </w:t>
      </w:r>
      <w:r w:rsidRPr="001B45BE">
        <w:rPr>
          <w:i/>
          <w:color w:val="000000"/>
        </w:rPr>
        <w:t>68</w:t>
      </w:r>
      <w:r w:rsidRPr="001B45BE">
        <w:rPr>
          <w:color w:val="000000"/>
        </w:rPr>
        <w:t>(1), 413–434. https://doi.org/10.1146/annurev-psych-010416-044224</w:t>
      </w:r>
    </w:p>
    <w:p w14:paraId="33DB7611" w14:textId="77777777" w:rsidR="00F854BC" w:rsidRPr="001B45BE" w:rsidRDefault="00000000">
      <w:pPr>
        <w:pBdr>
          <w:top w:val="nil"/>
          <w:left w:val="nil"/>
          <w:bottom w:val="nil"/>
          <w:right w:val="nil"/>
          <w:between w:val="nil"/>
        </w:pBdr>
        <w:spacing w:line="480" w:lineRule="auto"/>
        <w:ind w:left="720" w:hanging="720"/>
        <w:rPr>
          <w:color w:val="000000"/>
        </w:rPr>
      </w:pPr>
      <w:r w:rsidRPr="001B45BE">
        <w:rPr>
          <w:color w:val="000000"/>
        </w:rPr>
        <w:t xml:space="preserve">Duncan, G. J., Magnuson, K., </w:t>
      </w:r>
      <w:proofErr w:type="spellStart"/>
      <w:r w:rsidRPr="001B45BE">
        <w:rPr>
          <w:color w:val="000000"/>
        </w:rPr>
        <w:t>Kalil</w:t>
      </w:r>
      <w:proofErr w:type="spellEnd"/>
      <w:r w:rsidRPr="001B45BE">
        <w:rPr>
          <w:color w:val="000000"/>
        </w:rPr>
        <w:t xml:space="preserve">, A., &amp; </w:t>
      </w:r>
      <w:proofErr w:type="spellStart"/>
      <w:r w:rsidRPr="001B45BE">
        <w:rPr>
          <w:color w:val="000000"/>
        </w:rPr>
        <w:t>Ziol</w:t>
      </w:r>
      <w:proofErr w:type="spellEnd"/>
      <w:r w:rsidRPr="001B45BE">
        <w:rPr>
          <w:color w:val="000000"/>
        </w:rPr>
        <w:t xml:space="preserve">-Guest, K. M. (2012). The importance of early childhood poverty. </w:t>
      </w:r>
      <w:r w:rsidRPr="001B45BE">
        <w:rPr>
          <w:i/>
          <w:color w:val="000000"/>
        </w:rPr>
        <w:t>Social Indicators Research</w:t>
      </w:r>
      <w:r w:rsidRPr="001B45BE">
        <w:rPr>
          <w:color w:val="000000"/>
        </w:rPr>
        <w:t xml:space="preserve">, </w:t>
      </w:r>
      <w:r w:rsidRPr="001B45BE">
        <w:rPr>
          <w:i/>
          <w:color w:val="000000"/>
        </w:rPr>
        <w:t>108</w:t>
      </w:r>
      <w:r w:rsidRPr="001B45BE">
        <w:rPr>
          <w:color w:val="000000"/>
        </w:rPr>
        <w:t>(1), 87–98. https://doi.org/10.1007/s11205-011-9867-9</w:t>
      </w:r>
    </w:p>
    <w:p w14:paraId="054D2DD7" w14:textId="77777777" w:rsidR="00F854BC" w:rsidRPr="001B45BE" w:rsidRDefault="00000000">
      <w:pPr>
        <w:spacing w:line="480" w:lineRule="auto"/>
        <w:ind w:left="480" w:hanging="480"/>
        <w:rPr>
          <w:color w:val="000000"/>
        </w:rPr>
      </w:pPr>
      <w:r w:rsidRPr="001B45BE">
        <w:rPr>
          <w:color w:val="000000"/>
        </w:rPr>
        <w:t xml:space="preserve">Eales, B., </w:t>
      </w:r>
      <w:proofErr w:type="spellStart"/>
      <w:r w:rsidRPr="001B45BE">
        <w:rPr>
          <w:color w:val="000000"/>
        </w:rPr>
        <w:t>Krüger</w:t>
      </w:r>
      <w:proofErr w:type="spellEnd"/>
      <w:r w:rsidRPr="001B45BE">
        <w:rPr>
          <w:color w:val="000000"/>
        </w:rPr>
        <w:t xml:space="preserve">, E., Graham, M., &amp; van der Linde, J. (2020). Feeding and developmental outcomes of infants in a South African community. </w:t>
      </w:r>
      <w:r w:rsidRPr="001B45BE">
        <w:rPr>
          <w:i/>
          <w:color w:val="000000"/>
        </w:rPr>
        <w:t>Primary Health Care Research &amp; Development</w:t>
      </w:r>
      <w:r w:rsidRPr="001B45BE">
        <w:rPr>
          <w:color w:val="000000"/>
        </w:rPr>
        <w:t xml:space="preserve">, </w:t>
      </w:r>
      <w:r w:rsidRPr="001B45BE">
        <w:rPr>
          <w:i/>
          <w:color w:val="000000"/>
        </w:rPr>
        <w:t>21</w:t>
      </w:r>
      <w:r w:rsidRPr="001B45BE">
        <w:rPr>
          <w:color w:val="000000"/>
        </w:rPr>
        <w:t>, e8. https://doi.org/10.1017/S1463423620000067</w:t>
      </w:r>
    </w:p>
    <w:p w14:paraId="7CE44567" w14:textId="77777777" w:rsidR="00F854BC" w:rsidRPr="001B45BE" w:rsidRDefault="00000000">
      <w:pPr>
        <w:spacing w:line="480" w:lineRule="auto"/>
        <w:ind w:left="480" w:hanging="480"/>
        <w:rPr>
          <w:color w:val="000000"/>
        </w:rPr>
      </w:pPr>
      <w:proofErr w:type="spellStart"/>
      <w:r w:rsidRPr="001B45BE">
        <w:rPr>
          <w:color w:val="000000"/>
        </w:rPr>
        <w:t>Eeles</w:t>
      </w:r>
      <w:proofErr w:type="spellEnd"/>
      <w:r w:rsidRPr="001B45BE">
        <w:rPr>
          <w:color w:val="000000"/>
        </w:rPr>
        <w:t xml:space="preserve">, A. L., Anderson, P. J., Brown, N. C., Lee, K. J., Boyd, R. N., Spittle, A. J., &amp; Doyle, L. W. (2013). Sensory profiles obtained from parental reports correlate with independent </w:t>
      </w:r>
      <w:r w:rsidRPr="001B45BE">
        <w:rPr>
          <w:color w:val="000000"/>
        </w:rPr>
        <w:lastRenderedPageBreak/>
        <w:t xml:space="preserve">assessments of development in very preterm children at 2 years of age. </w:t>
      </w:r>
      <w:r w:rsidRPr="001B45BE">
        <w:rPr>
          <w:i/>
          <w:color w:val="000000"/>
        </w:rPr>
        <w:t>Early Human Development</w:t>
      </w:r>
      <w:r w:rsidRPr="001B45BE">
        <w:rPr>
          <w:color w:val="000000"/>
        </w:rPr>
        <w:t xml:space="preserve">, </w:t>
      </w:r>
      <w:r w:rsidRPr="001B45BE">
        <w:rPr>
          <w:i/>
          <w:color w:val="000000"/>
        </w:rPr>
        <w:t>89</w:t>
      </w:r>
      <w:r w:rsidRPr="001B45BE">
        <w:rPr>
          <w:color w:val="000000"/>
        </w:rPr>
        <w:t>(12), 1075–1080. https://doi.org/10.1016/j.earlhumdev.2013.07.027</w:t>
      </w:r>
    </w:p>
    <w:p w14:paraId="5C477860" w14:textId="77777777" w:rsidR="00F854BC" w:rsidRPr="001B45BE" w:rsidRDefault="00000000">
      <w:pPr>
        <w:spacing w:line="480" w:lineRule="auto"/>
        <w:ind w:left="480" w:hanging="480"/>
        <w:rPr>
          <w:color w:val="000000"/>
        </w:rPr>
      </w:pPr>
      <w:r w:rsidRPr="001B45BE">
        <w:rPr>
          <w:color w:val="000000"/>
        </w:rPr>
        <w:t xml:space="preserve">Eriksen, T. H. (2001). Ethnic identity, national identity, and intergroup conflict: The significance of personal experiences. In R. D. Ashmore, L. </w:t>
      </w:r>
      <w:proofErr w:type="spellStart"/>
      <w:r w:rsidRPr="001B45BE">
        <w:rPr>
          <w:color w:val="000000"/>
        </w:rPr>
        <w:t>Jussim</w:t>
      </w:r>
      <w:proofErr w:type="spellEnd"/>
      <w:r w:rsidRPr="001B45BE">
        <w:rPr>
          <w:color w:val="000000"/>
        </w:rPr>
        <w:t>, &amp; D. Wilder (Eds.), </w:t>
      </w:r>
      <w:r w:rsidRPr="001B45BE">
        <w:rPr>
          <w:i/>
          <w:color w:val="000000"/>
        </w:rPr>
        <w:t>Social identity, intergroup conflict, and conflict reduction</w:t>
      </w:r>
      <w:r w:rsidRPr="001B45BE">
        <w:rPr>
          <w:color w:val="000000"/>
        </w:rPr>
        <w:t> (pp. 42–68). Oxford University Press.</w:t>
      </w:r>
    </w:p>
    <w:p w14:paraId="3CE1F3BC" w14:textId="77777777" w:rsidR="00F854BC" w:rsidRPr="001B45BE" w:rsidRDefault="00000000">
      <w:pPr>
        <w:pBdr>
          <w:top w:val="nil"/>
          <w:left w:val="nil"/>
          <w:bottom w:val="nil"/>
          <w:right w:val="nil"/>
          <w:between w:val="nil"/>
        </w:pBdr>
        <w:spacing w:line="480" w:lineRule="auto"/>
        <w:ind w:left="720" w:hanging="720"/>
        <w:rPr>
          <w:color w:val="000000"/>
        </w:rPr>
      </w:pPr>
      <w:r w:rsidRPr="001B45BE">
        <w:rPr>
          <w:color w:val="000000"/>
        </w:rPr>
        <w:t xml:space="preserve">Farah, M. J. (2017). The neuroscience of socioeconomic status: Correlates, causes, and consequences. </w:t>
      </w:r>
      <w:r w:rsidRPr="001B45BE">
        <w:rPr>
          <w:i/>
          <w:color w:val="000000"/>
        </w:rPr>
        <w:t>Neuron</w:t>
      </w:r>
      <w:r w:rsidRPr="001B45BE">
        <w:rPr>
          <w:color w:val="000000"/>
        </w:rPr>
        <w:t xml:space="preserve">, </w:t>
      </w:r>
      <w:r w:rsidRPr="001B45BE">
        <w:rPr>
          <w:i/>
          <w:color w:val="000000"/>
        </w:rPr>
        <w:t>96</w:t>
      </w:r>
      <w:r w:rsidRPr="001B45BE">
        <w:rPr>
          <w:color w:val="000000"/>
        </w:rPr>
        <w:t>(1), 56–71. https://doi.org/10.1016/j.neuron.2017.08.034</w:t>
      </w:r>
    </w:p>
    <w:p w14:paraId="43504C9D" w14:textId="77777777" w:rsidR="00F854BC" w:rsidRPr="001B45BE" w:rsidRDefault="00000000">
      <w:pPr>
        <w:spacing w:line="480" w:lineRule="auto"/>
        <w:ind w:left="480" w:hanging="480"/>
        <w:rPr>
          <w:color w:val="000000"/>
        </w:rPr>
      </w:pPr>
      <w:r w:rsidRPr="001B45BE">
        <w:rPr>
          <w:color w:val="000000"/>
        </w:rPr>
        <w:t xml:space="preserve">Feliciano, C. (2016). Shades of race: How phenotype and observer characteristics shape racial classification. </w:t>
      </w:r>
      <w:r w:rsidRPr="001B45BE">
        <w:rPr>
          <w:i/>
          <w:color w:val="000000"/>
        </w:rPr>
        <w:t>American Behavioral Scientist</w:t>
      </w:r>
      <w:r w:rsidRPr="001B45BE">
        <w:rPr>
          <w:color w:val="000000"/>
        </w:rPr>
        <w:t xml:space="preserve">, </w:t>
      </w:r>
      <w:r w:rsidRPr="001B45BE">
        <w:rPr>
          <w:i/>
          <w:color w:val="000000"/>
        </w:rPr>
        <w:t>60</w:t>
      </w:r>
      <w:r w:rsidRPr="001B45BE">
        <w:rPr>
          <w:color w:val="000000"/>
        </w:rPr>
        <w:t xml:space="preserve">(4), 390–419. </w:t>
      </w:r>
      <w:r w:rsidRPr="001B45BE">
        <w:t>https://doi.org/10.1177/0002764215613401</w:t>
      </w:r>
    </w:p>
    <w:p w14:paraId="7A97EA4A" w14:textId="77777777" w:rsidR="00F854BC" w:rsidRPr="001B45BE" w:rsidRDefault="00000000">
      <w:pPr>
        <w:spacing w:line="480" w:lineRule="auto"/>
        <w:ind w:left="480" w:hanging="480"/>
        <w:rPr>
          <w:color w:val="000000"/>
        </w:rPr>
      </w:pPr>
      <w:r w:rsidRPr="001B45BE">
        <w:rPr>
          <w:color w:val="000000"/>
        </w:rPr>
        <w:t xml:space="preserve">Fenton, S., (2013). </w:t>
      </w:r>
      <w:r w:rsidRPr="001B45BE">
        <w:rPr>
          <w:i/>
          <w:color w:val="000000"/>
        </w:rPr>
        <w:t xml:space="preserve">Ethnicity </w:t>
      </w:r>
      <w:r w:rsidRPr="001B45BE">
        <w:rPr>
          <w:color w:val="000000"/>
        </w:rPr>
        <w:t>(2nd ed.). John Wiley &amp; Sons.</w:t>
      </w:r>
    </w:p>
    <w:p w14:paraId="31040F1F" w14:textId="77777777" w:rsidR="00F854BC" w:rsidRPr="001B45BE" w:rsidRDefault="00000000">
      <w:pPr>
        <w:spacing w:line="480" w:lineRule="auto"/>
        <w:ind w:left="480" w:hanging="480"/>
        <w:rPr>
          <w:color w:val="000000"/>
        </w:rPr>
      </w:pPr>
      <w:r w:rsidRPr="001B45BE">
        <w:rPr>
          <w:color w:val="000000"/>
        </w:rPr>
        <w:t xml:space="preserve">Fenton, T. R., &amp; Kim, J. H. (2013). A systematic review and meta-analysis to revise the Fenton growth chart for preterm infants. </w:t>
      </w:r>
      <w:r w:rsidRPr="001B45BE">
        <w:rPr>
          <w:i/>
          <w:color w:val="000000"/>
        </w:rPr>
        <w:t>BMC Pediatrics</w:t>
      </w:r>
      <w:r w:rsidRPr="001B45BE">
        <w:rPr>
          <w:color w:val="000000"/>
        </w:rPr>
        <w:t xml:space="preserve">, </w:t>
      </w:r>
      <w:r w:rsidRPr="001B45BE">
        <w:rPr>
          <w:i/>
          <w:color w:val="000000"/>
        </w:rPr>
        <w:t>13</w:t>
      </w:r>
      <w:r w:rsidRPr="001B45BE">
        <w:rPr>
          <w:color w:val="000000"/>
        </w:rPr>
        <w:t>(1), 59. https://doi.org/10.1186/1471-2431-13-59</w:t>
      </w:r>
    </w:p>
    <w:p w14:paraId="03C4E405" w14:textId="77777777" w:rsidR="00F854BC" w:rsidRPr="001B45BE" w:rsidRDefault="00000000">
      <w:pPr>
        <w:spacing w:line="480" w:lineRule="auto"/>
        <w:ind w:left="480" w:hanging="480"/>
        <w:rPr>
          <w:color w:val="000000"/>
        </w:rPr>
      </w:pPr>
      <w:r w:rsidRPr="001B45BE">
        <w:rPr>
          <w:color w:val="000000"/>
        </w:rPr>
        <w:t xml:space="preserve">Fernald, L. C. H., Prado, E., </w:t>
      </w:r>
      <w:proofErr w:type="spellStart"/>
      <w:r w:rsidRPr="001B45BE">
        <w:rPr>
          <w:color w:val="000000"/>
        </w:rPr>
        <w:t>Kariger</w:t>
      </w:r>
      <w:proofErr w:type="spellEnd"/>
      <w:r w:rsidRPr="001B45BE">
        <w:rPr>
          <w:color w:val="000000"/>
        </w:rPr>
        <w:t xml:space="preserve">, P., &amp; Raikes, A. (2017). </w:t>
      </w:r>
      <w:r w:rsidRPr="001B45BE">
        <w:rPr>
          <w:i/>
          <w:color w:val="000000"/>
        </w:rPr>
        <w:t>A toolkit for measuring early childhood development in low and middle-income countries</w:t>
      </w:r>
      <w:r w:rsidRPr="001B45BE">
        <w:rPr>
          <w:color w:val="000000"/>
        </w:rPr>
        <w:t>. World Bank. https://doi.org/10.1596/29000</w:t>
      </w:r>
    </w:p>
    <w:p w14:paraId="336C396E" w14:textId="77777777" w:rsidR="00F854BC" w:rsidRPr="001B45BE" w:rsidRDefault="00000000">
      <w:pPr>
        <w:spacing w:line="480" w:lineRule="auto"/>
        <w:ind w:left="480" w:hanging="480"/>
        <w:rPr>
          <w:color w:val="000000"/>
        </w:rPr>
      </w:pPr>
      <w:proofErr w:type="spellStart"/>
      <w:r w:rsidRPr="001B45BE">
        <w:rPr>
          <w:color w:val="000000"/>
        </w:rPr>
        <w:t>Floccia</w:t>
      </w:r>
      <w:proofErr w:type="spellEnd"/>
      <w:r w:rsidRPr="001B45BE">
        <w:rPr>
          <w:color w:val="000000"/>
        </w:rPr>
        <w:t xml:space="preserve">, C., Sambrook, T. D., </w:t>
      </w:r>
      <w:proofErr w:type="spellStart"/>
      <w:r w:rsidRPr="001B45BE">
        <w:rPr>
          <w:color w:val="000000"/>
        </w:rPr>
        <w:t>Luche</w:t>
      </w:r>
      <w:proofErr w:type="spellEnd"/>
      <w:r w:rsidRPr="001B45BE">
        <w:rPr>
          <w:color w:val="000000"/>
        </w:rPr>
        <w:t xml:space="preserve">, C. D., Kwok, R., </w:t>
      </w:r>
      <w:proofErr w:type="spellStart"/>
      <w:r w:rsidRPr="001B45BE">
        <w:rPr>
          <w:color w:val="000000"/>
        </w:rPr>
        <w:t>Goslin</w:t>
      </w:r>
      <w:proofErr w:type="spellEnd"/>
      <w:r w:rsidRPr="001B45BE">
        <w:rPr>
          <w:color w:val="000000"/>
        </w:rPr>
        <w:t xml:space="preserve">, J., White, L., </w:t>
      </w:r>
      <w:proofErr w:type="spellStart"/>
      <w:r w:rsidRPr="001B45BE">
        <w:rPr>
          <w:color w:val="000000"/>
        </w:rPr>
        <w:t>Cattani</w:t>
      </w:r>
      <w:proofErr w:type="spellEnd"/>
      <w:r w:rsidRPr="001B45BE">
        <w:rPr>
          <w:color w:val="000000"/>
        </w:rPr>
        <w:t xml:space="preserve">, A., Sullivan, E., Abbot-Smith, K., &amp; </w:t>
      </w:r>
      <w:proofErr w:type="spellStart"/>
      <w:r w:rsidRPr="001B45BE">
        <w:rPr>
          <w:color w:val="000000"/>
        </w:rPr>
        <w:t>Krott</w:t>
      </w:r>
      <w:proofErr w:type="spellEnd"/>
      <w:r w:rsidRPr="001B45BE">
        <w:rPr>
          <w:color w:val="000000"/>
        </w:rPr>
        <w:t xml:space="preserve">, A. (2018). </w:t>
      </w:r>
      <w:r w:rsidRPr="001B45BE">
        <w:rPr>
          <w:i/>
          <w:color w:val="000000"/>
        </w:rPr>
        <w:t>Vocabulary of 2-year-olds learning English and an additional language: Norms and effects of linguistic distance</w:t>
      </w:r>
      <w:r w:rsidRPr="001B45BE">
        <w:rPr>
          <w:color w:val="000000"/>
        </w:rPr>
        <w:t>. Wiley.</w:t>
      </w:r>
    </w:p>
    <w:p w14:paraId="59E411D8" w14:textId="77777777" w:rsidR="00F854BC" w:rsidRPr="001B45BE" w:rsidRDefault="00000000">
      <w:pPr>
        <w:spacing w:line="480" w:lineRule="auto"/>
        <w:ind w:left="480" w:hanging="480"/>
        <w:rPr>
          <w:color w:val="000000"/>
        </w:rPr>
      </w:pPr>
      <w:r w:rsidRPr="001B45BE">
        <w:rPr>
          <w:color w:val="000000"/>
        </w:rPr>
        <w:t xml:space="preserve">Frank, M. C., </w:t>
      </w:r>
      <w:proofErr w:type="spellStart"/>
      <w:r w:rsidRPr="001B45BE">
        <w:rPr>
          <w:color w:val="000000"/>
        </w:rPr>
        <w:t>Braginsky</w:t>
      </w:r>
      <w:proofErr w:type="spellEnd"/>
      <w:r w:rsidRPr="001B45BE">
        <w:rPr>
          <w:color w:val="000000"/>
        </w:rPr>
        <w:t xml:space="preserve">, M., </w:t>
      </w:r>
      <w:proofErr w:type="spellStart"/>
      <w:r w:rsidRPr="001B45BE">
        <w:rPr>
          <w:color w:val="000000"/>
        </w:rPr>
        <w:t>Yurovsky</w:t>
      </w:r>
      <w:proofErr w:type="spellEnd"/>
      <w:r w:rsidRPr="001B45BE">
        <w:rPr>
          <w:color w:val="000000"/>
        </w:rPr>
        <w:t xml:space="preserve">, D., &amp; Marchman, V. A. (2017). </w:t>
      </w:r>
      <w:proofErr w:type="spellStart"/>
      <w:r w:rsidRPr="001B45BE">
        <w:rPr>
          <w:color w:val="000000"/>
        </w:rPr>
        <w:t>Wordbank</w:t>
      </w:r>
      <w:proofErr w:type="spellEnd"/>
      <w:r w:rsidRPr="001B45BE">
        <w:rPr>
          <w:color w:val="000000"/>
        </w:rPr>
        <w:t xml:space="preserve">: An open repository for developmental vocabulary data. </w:t>
      </w:r>
      <w:r w:rsidRPr="001B45BE">
        <w:rPr>
          <w:i/>
          <w:color w:val="000000"/>
        </w:rPr>
        <w:t>Journal of Child Language</w:t>
      </w:r>
      <w:r w:rsidRPr="001B45BE">
        <w:rPr>
          <w:color w:val="000000"/>
        </w:rPr>
        <w:t xml:space="preserve">, </w:t>
      </w:r>
      <w:r w:rsidRPr="001B45BE">
        <w:rPr>
          <w:i/>
          <w:color w:val="000000"/>
        </w:rPr>
        <w:t>44</w:t>
      </w:r>
      <w:r w:rsidRPr="001B45BE">
        <w:rPr>
          <w:color w:val="000000"/>
        </w:rPr>
        <w:t>(3), 677–694. https://doi.org/10.1017/S0305000916000209</w:t>
      </w:r>
    </w:p>
    <w:p w14:paraId="1D8D5FFE" w14:textId="77777777" w:rsidR="00F854BC" w:rsidRPr="001B45BE" w:rsidRDefault="00000000">
      <w:pPr>
        <w:spacing w:line="480" w:lineRule="auto"/>
        <w:ind w:left="480" w:hanging="480"/>
        <w:rPr>
          <w:color w:val="000000"/>
        </w:rPr>
      </w:pPr>
      <w:r w:rsidRPr="001B45BE">
        <w:rPr>
          <w:color w:val="000000"/>
        </w:rPr>
        <w:lastRenderedPageBreak/>
        <w:t xml:space="preserve">Frank, M. C., </w:t>
      </w:r>
      <w:proofErr w:type="spellStart"/>
      <w:r w:rsidRPr="001B45BE">
        <w:rPr>
          <w:color w:val="000000"/>
        </w:rPr>
        <w:t>Braginsky</w:t>
      </w:r>
      <w:proofErr w:type="spellEnd"/>
      <w:r w:rsidRPr="001B45BE">
        <w:rPr>
          <w:color w:val="000000"/>
        </w:rPr>
        <w:t xml:space="preserve">, M., </w:t>
      </w:r>
      <w:proofErr w:type="spellStart"/>
      <w:r w:rsidRPr="001B45BE">
        <w:rPr>
          <w:color w:val="000000"/>
        </w:rPr>
        <w:t>Yurovsky</w:t>
      </w:r>
      <w:proofErr w:type="spellEnd"/>
      <w:r w:rsidRPr="001B45BE">
        <w:rPr>
          <w:color w:val="000000"/>
        </w:rPr>
        <w:t xml:space="preserve">, D., &amp; Marchman, V. A. (2021). </w:t>
      </w:r>
      <w:r w:rsidRPr="001B45BE">
        <w:rPr>
          <w:i/>
          <w:color w:val="000000"/>
        </w:rPr>
        <w:t xml:space="preserve">Variability and consistency in early language learning: The </w:t>
      </w:r>
      <w:proofErr w:type="spellStart"/>
      <w:r w:rsidRPr="001B45BE">
        <w:rPr>
          <w:i/>
          <w:color w:val="000000"/>
        </w:rPr>
        <w:t>wordbank</w:t>
      </w:r>
      <w:proofErr w:type="spellEnd"/>
      <w:r w:rsidRPr="001B45BE">
        <w:rPr>
          <w:i/>
          <w:color w:val="000000"/>
        </w:rPr>
        <w:t xml:space="preserve"> project</w:t>
      </w:r>
      <w:r w:rsidRPr="001B45BE">
        <w:rPr>
          <w:color w:val="000000"/>
        </w:rPr>
        <w:t>. The MIT Press.</w:t>
      </w:r>
    </w:p>
    <w:p w14:paraId="53A8428D" w14:textId="77777777" w:rsidR="00F854BC" w:rsidRPr="001B45BE" w:rsidRDefault="00000000">
      <w:pPr>
        <w:spacing w:line="480" w:lineRule="auto"/>
        <w:ind w:left="480" w:hanging="480"/>
        <w:rPr>
          <w:color w:val="000000"/>
        </w:rPr>
      </w:pPr>
      <w:r w:rsidRPr="001B45BE">
        <w:rPr>
          <w:color w:val="000000"/>
        </w:rPr>
        <w:t xml:space="preserve">Garcia-Coll, C. T. (1990). Developmental outcome of minority infants: A process-oriented look into our beginnings. </w:t>
      </w:r>
      <w:r w:rsidRPr="001B45BE">
        <w:rPr>
          <w:i/>
          <w:color w:val="000000"/>
        </w:rPr>
        <w:t>Child Development</w:t>
      </w:r>
      <w:r w:rsidRPr="001B45BE">
        <w:rPr>
          <w:color w:val="000000"/>
        </w:rPr>
        <w:t xml:space="preserve">, </w:t>
      </w:r>
      <w:r w:rsidRPr="001B45BE">
        <w:rPr>
          <w:i/>
          <w:color w:val="000000"/>
        </w:rPr>
        <w:t>61</w:t>
      </w:r>
      <w:r w:rsidRPr="001B45BE">
        <w:rPr>
          <w:color w:val="000000"/>
        </w:rPr>
        <w:t>(2), 270. https://doi.org/10.2307/1131094</w:t>
      </w:r>
    </w:p>
    <w:p w14:paraId="790E0CA9" w14:textId="77777777" w:rsidR="00F854BC" w:rsidRPr="001B45BE" w:rsidRDefault="00000000">
      <w:pPr>
        <w:pBdr>
          <w:top w:val="nil"/>
          <w:left w:val="nil"/>
          <w:bottom w:val="nil"/>
          <w:right w:val="nil"/>
          <w:between w:val="nil"/>
        </w:pBdr>
        <w:spacing w:line="480" w:lineRule="auto"/>
        <w:ind w:left="720" w:hanging="720"/>
        <w:rPr>
          <w:color w:val="000000"/>
        </w:rPr>
      </w:pPr>
      <w:proofErr w:type="spellStart"/>
      <w:r w:rsidRPr="001B45BE">
        <w:rPr>
          <w:color w:val="000000"/>
        </w:rPr>
        <w:t>Gasiorowska</w:t>
      </w:r>
      <w:proofErr w:type="spellEnd"/>
      <w:r w:rsidRPr="001B45BE">
        <w:rPr>
          <w:color w:val="000000"/>
        </w:rPr>
        <w:t xml:space="preserve">, A. (2014). The relationship between objective and subjective wealth is moderated by financial control and mediated by money anxiety. </w:t>
      </w:r>
      <w:r w:rsidRPr="001B45BE">
        <w:rPr>
          <w:i/>
          <w:color w:val="000000"/>
        </w:rPr>
        <w:t>Journal of Economic Psychology</w:t>
      </w:r>
      <w:r w:rsidRPr="001B45BE">
        <w:rPr>
          <w:color w:val="000000"/>
        </w:rPr>
        <w:t xml:space="preserve">, </w:t>
      </w:r>
      <w:r w:rsidRPr="001B45BE">
        <w:rPr>
          <w:i/>
          <w:color w:val="000000"/>
        </w:rPr>
        <w:t>43</w:t>
      </w:r>
      <w:r w:rsidRPr="001B45BE">
        <w:rPr>
          <w:color w:val="000000"/>
        </w:rPr>
        <w:t>, 64–74. https://doi.org/10.1016/j.joep.2014.04.007</w:t>
      </w:r>
    </w:p>
    <w:p w14:paraId="2B08AFC0" w14:textId="77777777" w:rsidR="00F854BC" w:rsidRPr="001B45BE" w:rsidRDefault="00000000">
      <w:pPr>
        <w:spacing w:line="480" w:lineRule="auto"/>
        <w:ind w:left="480" w:hanging="480"/>
        <w:rPr>
          <w:color w:val="000000"/>
        </w:rPr>
      </w:pPr>
      <w:r w:rsidRPr="001B45BE">
        <w:rPr>
          <w:color w:val="000000"/>
        </w:rPr>
        <w:t xml:space="preserve">Gathercole, V. C. M. (2002). Monolingual and bilingual acquisition: Learning different treatments of that-trace phenomena in English and Spanish. In D. K. </w:t>
      </w:r>
      <w:proofErr w:type="spellStart"/>
      <w:r w:rsidRPr="001B45BE">
        <w:rPr>
          <w:color w:val="000000"/>
        </w:rPr>
        <w:t>Oller</w:t>
      </w:r>
      <w:proofErr w:type="spellEnd"/>
      <w:r w:rsidRPr="001B45BE">
        <w:rPr>
          <w:color w:val="000000"/>
        </w:rPr>
        <w:t xml:space="preserve"> &amp; R. </w:t>
      </w:r>
      <w:proofErr w:type="spellStart"/>
      <w:r w:rsidRPr="001B45BE">
        <w:rPr>
          <w:color w:val="000000"/>
        </w:rPr>
        <w:t>Eilers</w:t>
      </w:r>
      <w:proofErr w:type="spellEnd"/>
      <w:r w:rsidRPr="001B45BE">
        <w:rPr>
          <w:color w:val="000000"/>
        </w:rPr>
        <w:t xml:space="preserve"> (Eds.), </w:t>
      </w:r>
      <w:r w:rsidRPr="001B45BE">
        <w:rPr>
          <w:i/>
          <w:color w:val="000000"/>
        </w:rPr>
        <w:t>Language &amp; literacy in bilingual children</w:t>
      </w:r>
      <w:r w:rsidRPr="001B45BE">
        <w:rPr>
          <w:color w:val="000000"/>
        </w:rPr>
        <w:t xml:space="preserve"> (pp. 220–254). Multilingual Matters.</w:t>
      </w:r>
    </w:p>
    <w:p w14:paraId="074B1213" w14:textId="77777777" w:rsidR="00F854BC" w:rsidRPr="001B45BE" w:rsidRDefault="00000000">
      <w:pPr>
        <w:spacing w:line="480" w:lineRule="auto"/>
        <w:ind w:left="480" w:hanging="480"/>
        <w:rPr>
          <w:color w:val="000000"/>
        </w:rPr>
      </w:pPr>
      <w:proofErr w:type="spellStart"/>
      <w:r w:rsidRPr="001B45BE">
        <w:rPr>
          <w:color w:val="000000"/>
        </w:rPr>
        <w:t>Gauvain</w:t>
      </w:r>
      <w:proofErr w:type="spellEnd"/>
      <w:r w:rsidRPr="001B45BE">
        <w:rPr>
          <w:color w:val="000000"/>
        </w:rPr>
        <w:t xml:space="preserve">, M., &amp; Parke, R. D. (2010). Socialization. In M. H. Bornstein (Ed.), </w:t>
      </w:r>
      <w:r w:rsidRPr="001B45BE">
        <w:rPr>
          <w:i/>
          <w:color w:val="000000"/>
        </w:rPr>
        <w:t>Handbook of cultural developmental science</w:t>
      </w:r>
      <w:r w:rsidRPr="001B45BE">
        <w:rPr>
          <w:color w:val="000000"/>
        </w:rPr>
        <w:t xml:space="preserve"> (pp. 239–258). Psychology Press.</w:t>
      </w:r>
    </w:p>
    <w:p w14:paraId="660114A7" w14:textId="77777777" w:rsidR="00F854BC" w:rsidRPr="001B45BE" w:rsidRDefault="00000000">
      <w:pPr>
        <w:spacing w:line="480" w:lineRule="auto"/>
        <w:ind w:left="480" w:hanging="480"/>
        <w:rPr>
          <w:color w:val="000000"/>
        </w:rPr>
      </w:pPr>
      <w:r w:rsidRPr="001B45BE">
        <w:rPr>
          <w:color w:val="000000"/>
        </w:rPr>
        <w:t xml:space="preserve">Graham, S. (1992). “Most of the subjects were White and middle class”: Trends in published research on African Americans in selected APA journals, 1970–1989. </w:t>
      </w:r>
      <w:r w:rsidRPr="001B45BE">
        <w:rPr>
          <w:i/>
          <w:color w:val="000000"/>
        </w:rPr>
        <w:t>American Psychologist</w:t>
      </w:r>
      <w:r w:rsidRPr="001B45BE">
        <w:rPr>
          <w:color w:val="000000"/>
        </w:rPr>
        <w:t xml:space="preserve">, </w:t>
      </w:r>
      <w:r w:rsidRPr="001B45BE">
        <w:rPr>
          <w:i/>
          <w:color w:val="000000"/>
        </w:rPr>
        <w:t>47</w:t>
      </w:r>
      <w:r w:rsidRPr="001B45BE">
        <w:rPr>
          <w:color w:val="000000"/>
        </w:rPr>
        <w:t>(5), 629–639. https://doi.org/10.1037/0003-066X.47.5.629</w:t>
      </w:r>
    </w:p>
    <w:p w14:paraId="52823BE2" w14:textId="77777777" w:rsidR="00F854BC" w:rsidRPr="001B45BE" w:rsidRDefault="00000000">
      <w:pPr>
        <w:pBdr>
          <w:top w:val="nil"/>
          <w:left w:val="nil"/>
          <w:bottom w:val="nil"/>
          <w:right w:val="nil"/>
          <w:between w:val="nil"/>
        </w:pBdr>
        <w:spacing w:line="480" w:lineRule="auto"/>
        <w:ind w:left="720" w:hanging="720"/>
        <w:rPr>
          <w:color w:val="000000"/>
        </w:rPr>
      </w:pPr>
      <w:r w:rsidRPr="001B45BE">
        <w:rPr>
          <w:color w:val="000000"/>
        </w:rPr>
        <w:t xml:space="preserve">Grantham-McGregor, S., Cheung, Y. B., Cueto, S., </w:t>
      </w:r>
      <w:proofErr w:type="spellStart"/>
      <w:r w:rsidRPr="001B45BE">
        <w:rPr>
          <w:color w:val="000000"/>
        </w:rPr>
        <w:t>Glewwe</w:t>
      </w:r>
      <w:proofErr w:type="spellEnd"/>
      <w:r w:rsidRPr="001B45BE">
        <w:rPr>
          <w:color w:val="000000"/>
        </w:rPr>
        <w:t xml:space="preserve">, P., Richter, L., &amp; </w:t>
      </w:r>
      <w:proofErr w:type="spellStart"/>
      <w:r w:rsidRPr="001B45BE">
        <w:rPr>
          <w:color w:val="000000"/>
        </w:rPr>
        <w:t>Strupp</w:t>
      </w:r>
      <w:proofErr w:type="spellEnd"/>
      <w:r w:rsidRPr="001B45BE">
        <w:rPr>
          <w:color w:val="000000"/>
        </w:rPr>
        <w:t xml:space="preserve">, B. J. (2007). Developmental potential in the first 5 years for children in developing countries. </w:t>
      </w:r>
      <w:r w:rsidRPr="001B45BE">
        <w:rPr>
          <w:i/>
          <w:color w:val="000000"/>
        </w:rPr>
        <w:t>The Lancet</w:t>
      </w:r>
      <w:r w:rsidRPr="001B45BE">
        <w:rPr>
          <w:color w:val="000000"/>
        </w:rPr>
        <w:t xml:space="preserve">, </w:t>
      </w:r>
      <w:r w:rsidRPr="001B45BE">
        <w:rPr>
          <w:i/>
          <w:color w:val="000000"/>
        </w:rPr>
        <w:t>369</w:t>
      </w:r>
      <w:r w:rsidRPr="001B45BE">
        <w:rPr>
          <w:color w:val="000000"/>
        </w:rPr>
        <w:t>(9555), 60–70. https://doi.org/10.1016/s0140-6736(07)60032-4</w:t>
      </w:r>
    </w:p>
    <w:p w14:paraId="6940388C" w14:textId="77777777" w:rsidR="00F854BC" w:rsidRPr="001B45BE" w:rsidRDefault="00000000">
      <w:pPr>
        <w:spacing w:line="480" w:lineRule="auto"/>
        <w:ind w:left="480" w:hanging="480"/>
        <w:rPr>
          <w:color w:val="000000"/>
        </w:rPr>
      </w:pPr>
      <w:r w:rsidRPr="001B45BE">
        <w:rPr>
          <w:color w:val="000000"/>
        </w:rPr>
        <w:t xml:space="preserve">Halle, T., </w:t>
      </w:r>
      <w:proofErr w:type="spellStart"/>
      <w:r w:rsidRPr="001B45BE">
        <w:rPr>
          <w:color w:val="000000"/>
        </w:rPr>
        <w:t>Forry</w:t>
      </w:r>
      <w:proofErr w:type="spellEnd"/>
      <w:r w:rsidRPr="001B45BE">
        <w:rPr>
          <w:color w:val="000000"/>
        </w:rPr>
        <w:t xml:space="preserve">, F., Hair, E., </w:t>
      </w:r>
      <w:proofErr w:type="spellStart"/>
      <w:r w:rsidRPr="001B45BE">
        <w:rPr>
          <w:color w:val="000000"/>
        </w:rPr>
        <w:t>Perper</w:t>
      </w:r>
      <w:proofErr w:type="spellEnd"/>
      <w:r w:rsidRPr="001B45BE">
        <w:rPr>
          <w:color w:val="000000"/>
        </w:rPr>
        <w:t xml:space="preserve">, K., </w:t>
      </w:r>
      <w:proofErr w:type="spellStart"/>
      <w:r w:rsidRPr="001B45BE">
        <w:rPr>
          <w:color w:val="000000"/>
        </w:rPr>
        <w:t>Wandner</w:t>
      </w:r>
      <w:proofErr w:type="spellEnd"/>
      <w:r w:rsidRPr="001B45BE">
        <w:rPr>
          <w:color w:val="000000"/>
        </w:rPr>
        <w:t xml:space="preserve">, L., Wessel, J., &amp; Vick, J. (2009). Disparities in early Learning and development: Lessons from the Early Childhood Longitudinal Study – Birth Cohort (ECLS-B). </w:t>
      </w:r>
      <w:r w:rsidRPr="001B45BE">
        <w:rPr>
          <w:i/>
          <w:color w:val="000000"/>
        </w:rPr>
        <w:t>Child Trends</w:t>
      </w:r>
      <w:r w:rsidRPr="001B45BE">
        <w:rPr>
          <w:color w:val="000000"/>
        </w:rPr>
        <w:t>.</w:t>
      </w:r>
    </w:p>
    <w:p w14:paraId="5FC63ED4" w14:textId="77777777" w:rsidR="00F854BC" w:rsidRPr="001B45BE" w:rsidRDefault="00000000">
      <w:pPr>
        <w:pBdr>
          <w:top w:val="nil"/>
          <w:left w:val="nil"/>
          <w:bottom w:val="nil"/>
          <w:right w:val="nil"/>
          <w:between w:val="nil"/>
        </w:pBdr>
        <w:spacing w:line="480" w:lineRule="auto"/>
        <w:ind w:left="720" w:hanging="720"/>
        <w:rPr>
          <w:color w:val="000000"/>
        </w:rPr>
      </w:pPr>
      <w:r w:rsidRPr="001B45BE">
        <w:rPr>
          <w:color w:val="000000"/>
        </w:rPr>
        <w:lastRenderedPageBreak/>
        <w:t xml:space="preserve">Hanson, J. L., Hair, N., Shen, D., Shi, F., Gilmore, J. H., Wolfe, B., &amp; Pollak, S. D. (2013). Family poverty affects the rate of human infant brain growth. </w:t>
      </w:r>
      <w:r w:rsidRPr="001B45BE">
        <w:rPr>
          <w:i/>
          <w:color w:val="000000"/>
        </w:rPr>
        <w:t>PLOS ONE</w:t>
      </w:r>
      <w:r w:rsidRPr="001B45BE">
        <w:rPr>
          <w:color w:val="000000"/>
        </w:rPr>
        <w:t xml:space="preserve">, </w:t>
      </w:r>
      <w:r w:rsidRPr="001B45BE">
        <w:rPr>
          <w:i/>
          <w:color w:val="000000"/>
        </w:rPr>
        <w:t>8</w:t>
      </w:r>
      <w:r w:rsidRPr="001B45BE">
        <w:rPr>
          <w:color w:val="000000"/>
        </w:rPr>
        <w:t>(12), e80954. https://doi.org/10.1371/journal.pone.0080954</w:t>
      </w:r>
    </w:p>
    <w:p w14:paraId="53654167" w14:textId="77777777" w:rsidR="00F854BC" w:rsidRPr="001B45BE" w:rsidRDefault="00000000">
      <w:pPr>
        <w:spacing w:line="480" w:lineRule="auto"/>
        <w:ind w:left="480" w:hanging="480"/>
        <w:rPr>
          <w:color w:val="000000"/>
        </w:rPr>
      </w:pPr>
      <w:r w:rsidRPr="001B45BE">
        <w:rPr>
          <w:color w:val="000000"/>
        </w:rPr>
        <w:t xml:space="preserve">Haynes, S. N., Richard, D. C. S., &amp; </w:t>
      </w:r>
      <w:proofErr w:type="spellStart"/>
      <w:r w:rsidRPr="001B45BE">
        <w:rPr>
          <w:color w:val="000000"/>
        </w:rPr>
        <w:t>Kubany</w:t>
      </w:r>
      <w:proofErr w:type="spellEnd"/>
      <w:r w:rsidRPr="001B45BE">
        <w:rPr>
          <w:color w:val="000000"/>
        </w:rPr>
        <w:t>, E. S. (1995). Content validity in psychological assessment: A functional approach to concepts and methods. </w:t>
      </w:r>
      <w:r w:rsidRPr="001B45BE">
        <w:rPr>
          <w:i/>
          <w:color w:val="000000"/>
        </w:rPr>
        <w:t>Psychological Assessment, 7</w:t>
      </w:r>
      <w:r w:rsidRPr="001B45BE">
        <w:rPr>
          <w:color w:val="000000"/>
        </w:rPr>
        <w:t>(3), 238–247. </w:t>
      </w:r>
      <w:r w:rsidRPr="001B45BE">
        <w:t>https://doi.org/10.1037/1040-3590.7.3.238</w:t>
      </w:r>
    </w:p>
    <w:p w14:paraId="6E8AE5F4" w14:textId="77777777" w:rsidR="00F854BC" w:rsidRPr="001B45BE" w:rsidRDefault="00000000">
      <w:pPr>
        <w:spacing w:line="480" w:lineRule="auto"/>
        <w:ind w:left="480" w:hanging="480"/>
        <w:rPr>
          <w:color w:val="000000"/>
        </w:rPr>
      </w:pPr>
      <w:r w:rsidRPr="001B45BE">
        <w:rPr>
          <w:color w:val="000000"/>
        </w:rPr>
        <w:t xml:space="preserve">Henrich, J., Heine, S. J., &amp; </w:t>
      </w:r>
      <w:proofErr w:type="spellStart"/>
      <w:r w:rsidRPr="001B45BE">
        <w:rPr>
          <w:color w:val="000000"/>
        </w:rPr>
        <w:t>Norenzayan</w:t>
      </w:r>
      <w:proofErr w:type="spellEnd"/>
      <w:r w:rsidRPr="001B45BE">
        <w:rPr>
          <w:color w:val="000000"/>
        </w:rPr>
        <w:t xml:space="preserve">, A. (2010). The weirdest people in the world? </w:t>
      </w:r>
      <w:r w:rsidRPr="001B45BE">
        <w:rPr>
          <w:i/>
          <w:color w:val="000000"/>
        </w:rPr>
        <w:t>Behavioral and Brain Sciences</w:t>
      </w:r>
      <w:r w:rsidRPr="001B45BE">
        <w:rPr>
          <w:color w:val="000000"/>
        </w:rPr>
        <w:t xml:space="preserve">, </w:t>
      </w:r>
      <w:r w:rsidRPr="001B45BE">
        <w:rPr>
          <w:i/>
          <w:color w:val="000000"/>
        </w:rPr>
        <w:t>33</w:t>
      </w:r>
      <w:r w:rsidRPr="001B45BE">
        <w:rPr>
          <w:color w:val="000000"/>
        </w:rPr>
        <w:t>(2–3), 61–83. https://doi.org/10.1017/S0140525X0999152X</w:t>
      </w:r>
    </w:p>
    <w:p w14:paraId="61A4C42A" w14:textId="77777777" w:rsidR="00F854BC" w:rsidRPr="001B45BE" w:rsidRDefault="00000000">
      <w:pPr>
        <w:pBdr>
          <w:top w:val="nil"/>
          <w:left w:val="nil"/>
          <w:bottom w:val="nil"/>
          <w:right w:val="nil"/>
          <w:between w:val="nil"/>
        </w:pBdr>
        <w:spacing w:line="480" w:lineRule="auto"/>
        <w:ind w:left="720" w:hanging="720"/>
        <w:rPr>
          <w:color w:val="000000"/>
        </w:rPr>
      </w:pPr>
      <w:r w:rsidRPr="001B45BE">
        <w:rPr>
          <w:color w:val="000000"/>
        </w:rPr>
        <w:t xml:space="preserve">Hirschman, C. (1987). The meaning and measurement of ethnicity in Malaysia: An analysis of census classifications. </w:t>
      </w:r>
      <w:r w:rsidRPr="001B45BE">
        <w:rPr>
          <w:i/>
          <w:color w:val="000000"/>
        </w:rPr>
        <w:t>The Journal of Asian Studies</w:t>
      </w:r>
      <w:r w:rsidRPr="001B45BE">
        <w:rPr>
          <w:color w:val="000000"/>
        </w:rPr>
        <w:t xml:space="preserve">, </w:t>
      </w:r>
      <w:r w:rsidRPr="001B45BE">
        <w:rPr>
          <w:i/>
          <w:color w:val="000000"/>
        </w:rPr>
        <w:t>46</w:t>
      </w:r>
      <w:r w:rsidRPr="001B45BE">
        <w:rPr>
          <w:color w:val="000000"/>
        </w:rPr>
        <w:t>(3), 555–582. https://doi.org/10.2307/2056899</w:t>
      </w:r>
    </w:p>
    <w:sdt>
      <w:sdtPr>
        <w:tag w:val="goog_rdk_4"/>
        <w:id w:val="1561436749"/>
      </w:sdtPr>
      <w:sdtContent>
        <w:p w14:paraId="09066949" w14:textId="1B0E4E4B" w:rsidR="00F854BC" w:rsidRPr="001B45BE" w:rsidRDefault="00000000">
          <w:pPr>
            <w:spacing w:line="480" w:lineRule="auto"/>
            <w:ind w:left="480" w:hanging="480"/>
            <w:rPr>
              <w:color w:val="000000"/>
            </w:rPr>
          </w:pPr>
          <w:r w:rsidRPr="001B45BE">
            <w:rPr>
              <w:color w:val="000000"/>
            </w:rPr>
            <w:t xml:space="preserve">Hoff, E., Core, C., Place, S., </w:t>
          </w:r>
          <w:proofErr w:type="spellStart"/>
          <w:r w:rsidRPr="001B45BE">
            <w:rPr>
              <w:color w:val="000000"/>
            </w:rPr>
            <w:t>Rumiche</w:t>
          </w:r>
          <w:proofErr w:type="spellEnd"/>
          <w:r w:rsidRPr="001B45BE">
            <w:rPr>
              <w:color w:val="000000"/>
            </w:rPr>
            <w:t xml:space="preserve">, R., </w:t>
          </w:r>
          <w:proofErr w:type="spellStart"/>
          <w:r w:rsidRPr="001B45BE">
            <w:rPr>
              <w:color w:val="000000"/>
            </w:rPr>
            <w:t>Señor</w:t>
          </w:r>
          <w:proofErr w:type="spellEnd"/>
          <w:r w:rsidRPr="001B45BE">
            <w:rPr>
              <w:color w:val="000000"/>
            </w:rPr>
            <w:t xml:space="preserve">, M., &amp; Parra, M. (2012). Dual language exposure and early bilingual development. </w:t>
          </w:r>
          <w:r w:rsidRPr="001B45BE">
            <w:rPr>
              <w:i/>
              <w:color w:val="000000"/>
            </w:rPr>
            <w:t>Journal of Child Language</w:t>
          </w:r>
          <w:r w:rsidRPr="001B45BE">
            <w:rPr>
              <w:color w:val="000000"/>
            </w:rPr>
            <w:t xml:space="preserve">, </w:t>
          </w:r>
          <w:r w:rsidRPr="001B45BE">
            <w:rPr>
              <w:i/>
              <w:color w:val="000000"/>
            </w:rPr>
            <w:t>39</w:t>
          </w:r>
          <w:r w:rsidRPr="001B45BE">
            <w:rPr>
              <w:color w:val="000000"/>
            </w:rPr>
            <w:t xml:space="preserve">(1), 1–27. </w:t>
          </w:r>
          <w:sdt>
            <w:sdtPr>
              <w:tag w:val="goog_rdk_1"/>
              <w:id w:val="2044014180"/>
              <w:showingPlcHdr/>
            </w:sdtPr>
            <w:sdtContent>
              <w:r w:rsidR="00562E5A" w:rsidRPr="001B45BE">
                <w:t xml:space="preserve">     </w:t>
              </w:r>
            </w:sdtContent>
          </w:sdt>
          <w:sdt>
            <w:sdtPr>
              <w:tag w:val="goog_rdk_2"/>
              <w:id w:val="-245040855"/>
            </w:sdtPr>
            <w:sdtContent>
              <w:hyperlink r:id="rId19" w:history="1">
                <w:r w:rsidRPr="001B45BE">
                  <w:rPr>
                    <w:color w:val="1155CC"/>
                    <w:u w:val="single"/>
                  </w:rPr>
                  <w:t>https://doi.org/10.1017/S0305000910000759</w:t>
                </w:r>
              </w:hyperlink>
            </w:sdtContent>
          </w:sdt>
          <w:sdt>
            <w:sdtPr>
              <w:tag w:val="goog_rdk_3"/>
              <w:id w:val="446427435"/>
            </w:sdtPr>
            <w:sdtContent/>
          </w:sdt>
        </w:p>
      </w:sdtContent>
    </w:sdt>
    <w:sdt>
      <w:sdtPr>
        <w:tag w:val="goog_rdk_7"/>
        <w:id w:val="619192848"/>
      </w:sdtPr>
      <w:sdtContent>
        <w:p w14:paraId="5601C9D2" w14:textId="77777777" w:rsidR="00F854BC" w:rsidRPr="001B45BE" w:rsidRDefault="00000000">
          <w:pPr>
            <w:spacing w:line="480" w:lineRule="auto"/>
            <w:ind w:left="480" w:hanging="480"/>
          </w:pPr>
          <w:sdt>
            <w:sdtPr>
              <w:tag w:val="goog_rdk_5"/>
              <w:id w:val="-833918379"/>
            </w:sdtPr>
            <w:sdtContent>
              <w:r w:rsidRPr="001B45BE">
                <w:rPr>
                  <w:color w:val="000000"/>
                </w:rPr>
                <w:t xml:space="preserve">Holcombe, A. O., Kovacs, M., Aust, F., &amp; </w:t>
              </w:r>
              <w:proofErr w:type="spellStart"/>
              <w:r w:rsidRPr="001B45BE">
                <w:rPr>
                  <w:color w:val="000000"/>
                </w:rPr>
                <w:t>Aczel</w:t>
              </w:r>
              <w:proofErr w:type="spellEnd"/>
              <w:r w:rsidRPr="001B45BE">
                <w:rPr>
                  <w:color w:val="000000"/>
                </w:rPr>
                <w:t xml:space="preserve">, B. (2020). Documenting contributions to scholarly articles using </w:t>
              </w:r>
              <w:proofErr w:type="spellStart"/>
              <w:r w:rsidRPr="001B45BE">
                <w:rPr>
                  <w:color w:val="000000"/>
                </w:rPr>
                <w:t>CRediT</w:t>
              </w:r>
              <w:proofErr w:type="spellEnd"/>
              <w:r w:rsidRPr="001B45BE">
                <w:rPr>
                  <w:color w:val="000000"/>
                </w:rPr>
                <w:t xml:space="preserve"> and </w:t>
              </w:r>
              <w:proofErr w:type="spellStart"/>
              <w:r w:rsidRPr="001B45BE">
                <w:rPr>
                  <w:color w:val="000000"/>
                </w:rPr>
                <w:t>tenzing</w:t>
              </w:r>
              <w:proofErr w:type="spellEnd"/>
              <w:r w:rsidRPr="001B45BE">
                <w:rPr>
                  <w:color w:val="000000"/>
                </w:rPr>
                <w:t>. PLOS ONE, 15(12), e0244611. https://doi.org/10.1371/journal.pone.0244611</w:t>
              </w:r>
            </w:sdtContent>
          </w:sdt>
          <w:sdt>
            <w:sdtPr>
              <w:tag w:val="goog_rdk_6"/>
              <w:id w:val="-1761981152"/>
            </w:sdtPr>
            <w:sdtContent/>
          </w:sdt>
        </w:p>
      </w:sdtContent>
    </w:sdt>
    <w:p w14:paraId="1DA84EE3" w14:textId="77777777" w:rsidR="00F854BC" w:rsidRPr="001B45BE" w:rsidRDefault="00000000">
      <w:pPr>
        <w:spacing w:line="480" w:lineRule="auto"/>
        <w:ind w:left="480" w:hanging="480"/>
        <w:rPr>
          <w:color w:val="000000"/>
        </w:rPr>
      </w:pPr>
      <w:r w:rsidRPr="001B45BE">
        <w:rPr>
          <w:color w:val="000000"/>
        </w:rPr>
        <w:t xml:space="preserve">Hollinger, D. A. (1998). National culture and communities of descent. </w:t>
      </w:r>
      <w:r w:rsidRPr="001B45BE">
        <w:rPr>
          <w:i/>
          <w:color w:val="000000"/>
        </w:rPr>
        <w:t>Reviews in American History</w:t>
      </w:r>
      <w:r w:rsidRPr="001B45BE">
        <w:rPr>
          <w:color w:val="000000"/>
        </w:rPr>
        <w:t xml:space="preserve">, </w:t>
      </w:r>
      <w:r w:rsidRPr="001B45BE">
        <w:rPr>
          <w:i/>
          <w:color w:val="000000"/>
        </w:rPr>
        <w:t>26</w:t>
      </w:r>
      <w:r w:rsidRPr="001B45BE">
        <w:rPr>
          <w:color w:val="000000"/>
        </w:rPr>
        <w:t>(1), 312–328. https://doi.org/10.1353/rah.1998.0009</w:t>
      </w:r>
    </w:p>
    <w:p w14:paraId="5CE72CE2" w14:textId="77777777" w:rsidR="00F854BC" w:rsidRPr="001B45BE" w:rsidRDefault="00000000">
      <w:pPr>
        <w:spacing w:line="480" w:lineRule="auto"/>
        <w:ind w:left="480" w:hanging="480"/>
        <w:rPr>
          <w:color w:val="000000"/>
        </w:rPr>
      </w:pPr>
      <w:r w:rsidRPr="001B45BE">
        <w:rPr>
          <w:color w:val="000000"/>
        </w:rPr>
        <w:t xml:space="preserve">House, B. R., Silk, J. B., Henrich, J., Barrett, H. C., </w:t>
      </w:r>
      <w:proofErr w:type="spellStart"/>
      <w:r w:rsidRPr="001B45BE">
        <w:rPr>
          <w:color w:val="000000"/>
        </w:rPr>
        <w:t>Scelza</w:t>
      </w:r>
      <w:proofErr w:type="spellEnd"/>
      <w:r w:rsidRPr="001B45BE">
        <w:rPr>
          <w:color w:val="000000"/>
        </w:rPr>
        <w:t xml:space="preserve">, B. A., Boyette, A. H., Hewlett, B. S., </w:t>
      </w:r>
      <w:proofErr w:type="spellStart"/>
      <w:r w:rsidRPr="001B45BE">
        <w:rPr>
          <w:color w:val="000000"/>
        </w:rPr>
        <w:t>McElreath</w:t>
      </w:r>
      <w:proofErr w:type="spellEnd"/>
      <w:r w:rsidRPr="001B45BE">
        <w:rPr>
          <w:color w:val="000000"/>
        </w:rPr>
        <w:t xml:space="preserve">, R., &amp; Laurence, S. (2013). Ontogeny of prosocial behavior across diverse </w:t>
      </w:r>
      <w:r w:rsidRPr="001B45BE">
        <w:rPr>
          <w:color w:val="000000"/>
        </w:rPr>
        <w:lastRenderedPageBreak/>
        <w:t xml:space="preserve">societies. </w:t>
      </w:r>
      <w:r w:rsidRPr="001B45BE">
        <w:rPr>
          <w:i/>
          <w:color w:val="000000"/>
        </w:rPr>
        <w:t>Proceedings of the National Academy of Sciences</w:t>
      </w:r>
      <w:r w:rsidRPr="001B45BE">
        <w:rPr>
          <w:color w:val="000000"/>
        </w:rPr>
        <w:t xml:space="preserve">, </w:t>
      </w:r>
      <w:r w:rsidRPr="001B45BE">
        <w:rPr>
          <w:i/>
          <w:color w:val="000000"/>
        </w:rPr>
        <w:t>110</w:t>
      </w:r>
      <w:r w:rsidRPr="001B45BE">
        <w:rPr>
          <w:color w:val="000000"/>
        </w:rPr>
        <w:t>(36), 14586–14591. https://doi.org/10.1073/pnas.1221217110</w:t>
      </w:r>
    </w:p>
    <w:p w14:paraId="2BB1D2D0" w14:textId="77777777" w:rsidR="00F854BC" w:rsidRPr="001B45BE" w:rsidRDefault="00000000">
      <w:pPr>
        <w:pBdr>
          <w:top w:val="nil"/>
          <w:left w:val="nil"/>
          <w:bottom w:val="nil"/>
          <w:right w:val="nil"/>
          <w:between w:val="nil"/>
        </w:pBdr>
        <w:spacing w:line="480" w:lineRule="auto"/>
        <w:ind w:left="720" w:hanging="720"/>
        <w:rPr>
          <w:color w:val="000000"/>
        </w:rPr>
      </w:pPr>
      <w:r w:rsidRPr="001B45BE">
        <w:rPr>
          <w:color w:val="000000"/>
        </w:rPr>
        <w:t xml:space="preserve">Hussain, M., Fatima, M., Muhammad Iqbal, S., Asif, M., </w:t>
      </w:r>
      <w:proofErr w:type="spellStart"/>
      <w:r w:rsidRPr="001B45BE">
        <w:rPr>
          <w:color w:val="000000"/>
        </w:rPr>
        <w:t>Saadullah</w:t>
      </w:r>
      <w:proofErr w:type="spellEnd"/>
      <w:r w:rsidRPr="001B45BE">
        <w:rPr>
          <w:color w:val="000000"/>
        </w:rPr>
        <w:t xml:space="preserve">, M., Kashif-Ur-Rehman, Mukhtar, I., Ahmad Khan, I., Parveen, S., Fayyaz, T., Shabbir, N., Kanwal, A., Shaukat, S., Fatima, M., Ikram, N., Majeed, A., Parveen, F., Tariq, M., Barkat, M. Q., . . . Wu, X. (2022). COVID-19 vaccine trials and sex-disaggregated data. </w:t>
      </w:r>
      <w:r w:rsidRPr="001B45BE">
        <w:rPr>
          <w:i/>
          <w:color w:val="000000"/>
        </w:rPr>
        <w:t>Expert Review of Vaccines</w:t>
      </w:r>
      <w:r w:rsidRPr="001B45BE">
        <w:rPr>
          <w:color w:val="000000"/>
        </w:rPr>
        <w:t xml:space="preserve">, </w:t>
      </w:r>
      <w:r w:rsidRPr="001B45BE">
        <w:rPr>
          <w:i/>
          <w:color w:val="000000"/>
        </w:rPr>
        <w:t>21</w:t>
      </w:r>
      <w:r w:rsidRPr="001B45BE">
        <w:rPr>
          <w:color w:val="000000"/>
        </w:rPr>
        <w:t>(3), 285–288. https://doi.org/10.1080/14760584.2022.2015331</w:t>
      </w:r>
    </w:p>
    <w:p w14:paraId="5FF140F0" w14:textId="77777777" w:rsidR="00F854BC" w:rsidRPr="001B45BE" w:rsidRDefault="00000000">
      <w:pPr>
        <w:spacing w:line="480" w:lineRule="auto"/>
        <w:ind w:left="480" w:hanging="480"/>
        <w:rPr>
          <w:color w:val="000000"/>
        </w:rPr>
      </w:pPr>
      <w:proofErr w:type="spellStart"/>
      <w:r w:rsidRPr="001B45BE">
        <w:rPr>
          <w:color w:val="000000"/>
        </w:rPr>
        <w:t>IJzerman</w:t>
      </w:r>
      <w:proofErr w:type="spellEnd"/>
      <w:r w:rsidRPr="001B45BE">
        <w:rPr>
          <w:color w:val="000000"/>
        </w:rPr>
        <w:t xml:space="preserve">, H., Dutra, N., </w:t>
      </w:r>
      <w:proofErr w:type="spellStart"/>
      <w:r w:rsidRPr="001B45BE">
        <w:rPr>
          <w:color w:val="000000"/>
        </w:rPr>
        <w:t>Silan</w:t>
      </w:r>
      <w:proofErr w:type="spellEnd"/>
      <w:r w:rsidRPr="001B45BE">
        <w:rPr>
          <w:color w:val="000000"/>
        </w:rPr>
        <w:t xml:space="preserve">, M., </w:t>
      </w:r>
      <w:proofErr w:type="spellStart"/>
      <w:r w:rsidRPr="001B45BE">
        <w:rPr>
          <w:color w:val="000000"/>
        </w:rPr>
        <w:t>Adetula</w:t>
      </w:r>
      <w:proofErr w:type="spellEnd"/>
      <w:r w:rsidRPr="001B45BE">
        <w:rPr>
          <w:color w:val="000000"/>
        </w:rPr>
        <w:t xml:space="preserve">, A., Brown, D. M. B., &amp; </w:t>
      </w:r>
      <w:proofErr w:type="spellStart"/>
      <w:r w:rsidRPr="001B45BE">
        <w:rPr>
          <w:color w:val="000000"/>
        </w:rPr>
        <w:t>Forscher</w:t>
      </w:r>
      <w:proofErr w:type="spellEnd"/>
      <w:r w:rsidRPr="001B45BE">
        <w:rPr>
          <w:color w:val="000000"/>
        </w:rPr>
        <w:t xml:space="preserve">, and P. (2021). Psychological science needs the entire globe, part 1. </w:t>
      </w:r>
      <w:r w:rsidRPr="001B45BE">
        <w:rPr>
          <w:i/>
          <w:color w:val="000000"/>
        </w:rPr>
        <w:t>APS Observer</w:t>
      </w:r>
      <w:r w:rsidRPr="001B45BE">
        <w:rPr>
          <w:color w:val="000000"/>
        </w:rPr>
        <w:t xml:space="preserve">, </w:t>
      </w:r>
      <w:r w:rsidRPr="001B45BE">
        <w:rPr>
          <w:i/>
          <w:color w:val="000000"/>
        </w:rPr>
        <w:t>34</w:t>
      </w:r>
      <w:r w:rsidRPr="001B45BE">
        <w:rPr>
          <w:color w:val="000000"/>
        </w:rPr>
        <w:t>. https://www.psychologicalscience.org/observer/global-psych-science</w:t>
      </w:r>
    </w:p>
    <w:p w14:paraId="45552D0D" w14:textId="77777777" w:rsidR="00F854BC" w:rsidRPr="001B45BE" w:rsidRDefault="00000000">
      <w:pPr>
        <w:spacing w:line="480" w:lineRule="auto"/>
        <w:ind w:left="480" w:hanging="480"/>
        <w:rPr>
          <w:color w:val="000000"/>
        </w:rPr>
      </w:pPr>
      <w:proofErr w:type="spellStart"/>
      <w:r w:rsidRPr="001B45BE">
        <w:rPr>
          <w:color w:val="000000"/>
        </w:rPr>
        <w:t>Juang</w:t>
      </w:r>
      <w:proofErr w:type="spellEnd"/>
      <w:r w:rsidRPr="001B45BE">
        <w:rPr>
          <w:color w:val="000000"/>
        </w:rPr>
        <w:t xml:space="preserve">, L., &amp; Syed, M. (2010). Family cultural socialization practices and ethnic identity in college‐going emerging adults. </w:t>
      </w:r>
      <w:r w:rsidRPr="001B45BE">
        <w:rPr>
          <w:i/>
          <w:color w:val="000000"/>
        </w:rPr>
        <w:t>Journal of Adolescence</w:t>
      </w:r>
      <w:r w:rsidRPr="001B45BE">
        <w:rPr>
          <w:color w:val="000000"/>
        </w:rPr>
        <w:t xml:space="preserve">, </w:t>
      </w:r>
      <w:r w:rsidRPr="001B45BE">
        <w:rPr>
          <w:i/>
          <w:color w:val="000000"/>
        </w:rPr>
        <w:t>33</w:t>
      </w:r>
      <w:r w:rsidRPr="001B45BE">
        <w:rPr>
          <w:color w:val="000000"/>
        </w:rPr>
        <w:t>(3), 347–354. https://doi.org/10.1016/j.adolescence.2009.11.008</w:t>
      </w:r>
    </w:p>
    <w:p w14:paraId="6FAE1AD8" w14:textId="77777777" w:rsidR="00F854BC" w:rsidRPr="001B45BE" w:rsidRDefault="00000000">
      <w:pPr>
        <w:spacing w:line="480" w:lineRule="auto"/>
        <w:ind w:left="480" w:hanging="480"/>
        <w:rPr>
          <w:color w:val="000000"/>
        </w:rPr>
      </w:pPr>
      <w:proofErr w:type="spellStart"/>
      <w:r w:rsidRPr="001B45BE">
        <w:rPr>
          <w:color w:val="000000"/>
        </w:rPr>
        <w:t>Karasik</w:t>
      </w:r>
      <w:proofErr w:type="spellEnd"/>
      <w:r w:rsidRPr="001B45BE">
        <w:rPr>
          <w:color w:val="000000"/>
        </w:rPr>
        <w:t xml:space="preserve">, L. B., &amp; Robinson, S. R. (2022). Milestones or millstones: How standard assessments mask cultural variation and misinform policies aimed at early childhood development. </w:t>
      </w:r>
      <w:r w:rsidRPr="001B45BE">
        <w:rPr>
          <w:i/>
          <w:color w:val="000000"/>
        </w:rPr>
        <w:t>Policy Insights from the Behavioral and Brain Sciences</w:t>
      </w:r>
      <w:r w:rsidRPr="001B45BE">
        <w:rPr>
          <w:color w:val="000000"/>
        </w:rPr>
        <w:t xml:space="preserve">, </w:t>
      </w:r>
      <w:r w:rsidRPr="001B45BE">
        <w:rPr>
          <w:i/>
          <w:color w:val="000000"/>
        </w:rPr>
        <w:t>9</w:t>
      </w:r>
      <w:r w:rsidRPr="001B45BE">
        <w:rPr>
          <w:color w:val="000000"/>
        </w:rPr>
        <w:t>(1), 57–64. https://doi.org/10.1177/23727322211068546</w:t>
      </w:r>
    </w:p>
    <w:p w14:paraId="0548C97B" w14:textId="77777777" w:rsidR="00F854BC" w:rsidRPr="001B45BE" w:rsidRDefault="00000000">
      <w:pPr>
        <w:spacing w:line="480" w:lineRule="auto"/>
        <w:ind w:left="480" w:hanging="480"/>
        <w:rPr>
          <w:color w:val="000000"/>
        </w:rPr>
      </w:pPr>
      <w:proofErr w:type="spellStart"/>
      <w:r w:rsidRPr="001B45BE">
        <w:rPr>
          <w:color w:val="000000"/>
        </w:rPr>
        <w:t>Kaushanskaya</w:t>
      </w:r>
      <w:proofErr w:type="spellEnd"/>
      <w:r w:rsidRPr="001B45BE">
        <w:rPr>
          <w:color w:val="000000"/>
        </w:rPr>
        <w:t xml:space="preserve">, M., Blumenfeld, H. K., &amp; Marian, V. (2020). The language experience and proficiency questionnaire (Leap-q): Ten years later. </w:t>
      </w:r>
      <w:r w:rsidRPr="001B45BE">
        <w:rPr>
          <w:i/>
          <w:color w:val="000000"/>
        </w:rPr>
        <w:t>Bilingualism: Language and Cognition</w:t>
      </w:r>
      <w:r w:rsidRPr="001B45BE">
        <w:rPr>
          <w:color w:val="000000"/>
        </w:rPr>
        <w:t xml:space="preserve">, </w:t>
      </w:r>
      <w:r w:rsidRPr="001B45BE">
        <w:rPr>
          <w:i/>
          <w:color w:val="000000"/>
        </w:rPr>
        <w:t>23</w:t>
      </w:r>
      <w:r w:rsidRPr="001B45BE">
        <w:rPr>
          <w:color w:val="000000"/>
        </w:rPr>
        <w:t>(5), 945–950. https://doi.org/10.1017/S1366728919000038</w:t>
      </w:r>
    </w:p>
    <w:p w14:paraId="546634A5" w14:textId="77777777" w:rsidR="00F854BC" w:rsidRPr="001B45BE" w:rsidRDefault="00000000">
      <w:pPr>
        <w:spacing w:line="480" w:lineRule="auto"/>
        <w:ind w:left="480" w:hanging="480"/>
        <w:rPr>
          <w:color w:val="000000"/>
        </w:rPr>
      </w:pPr>
      <w:r w:rsidRPr="001B45BE">
        <w:rPr>
          <w:color w:val="000000"/>
        </w:rPr>
        <w:t xml:space="preserve">Keller, H. (2018). Universality </w:t>
      </w:r>
      <w:proofErr w:type="gramStart"/>
      <w:r w:rsidRPr="001B45BE">
        <w:rPr>
          <w:color w:val="000000"/>
        </w:rPr>
        <w:t>claim</w:t>
      </w:r>
      <w:proofErr w:type="gramEnd"/>
      <w:r w:rsidRPr="001B45BE">
        <w:rPr>
          <w:color w:val="000000"/>
        </w:rPr>
        <w:t xml:space="preserve"> of attachment theory: Children’s socioemotional development across cultures. </w:t>
      </w:r>
      <w:r w:rsidRPr="001B45BE">
        <w:rPr>
          <w:i/>
          <w:color w:val="000000"/>
        </w:rPr>
        <w:t>Proceedings of the National Academy of Sciences</w:t>
      </w:r>
      <w:r w:rsidRPr="001B45BE">
        <w:rPr>
          <w:color w:val="000000"/>
        </w:rPr>
        <w:t xml:space="preserve">, </w:t>
      </w:r>
      <w:r w:rsidRPr="001B45BE">
        <w:rPr>
          <w:i/>
          <w:color w:val="000000"/>
        </w:rPr>
        <w:t>115</w:t>
      </w:r>
      <w:r w:rsidRPr="001B45BE">
        <w:rPr>
          <w:color w:val="000000"/>
        </w:rPr>
        <w:t>(45), 11414–11419. https://doi.org/10.1073/pnas.1720325115</w:t>
      </w:r>
    </w:p>
    <w:p w14:paraId="6FFE8A49" w14:textId="03797449" w:rsidR="00F854BC" w:rsidRPr="001B45BE" w:rsidRDefault="00000000">
      <w:pPr>
        <w:spacing w:line="480" w:lineRule="auto"/>
        <w:ind w:left="480" w:hanging="480"/>
        <w:rPr>
          <w:color w:val="000000"/>
        </w:rPr>
      </w:pPr>
      <w:r w:rsidRPr="001B45BE">
        <w:rPr>
          <w:color w:val="000000"/>
        </w:rPr>
        <w:lastRenderedPageBreak/>
        <w:t>Keller, H., &amp; Chaudhary, N. (2017). Is the mother essential for attachment? Models of care in different culture. In H. Keller</w:t>
      </w:r>
      <w:sdt>
        <w:sdtPr>
          <w:tag w:val="goog_rdk_8"/>
          <w:id w:val="19291664"/>
          <w:showingPlcHdr/>
        </w:sdtPr>
        <w:sdtContent>
          <w:r w:rsidR="00562E5A" w:rsidRPr="001B45BE">
            <w:t xml:space="preserve">     </w:t>
          </w:r>
        </w:sdtContent>
      </w:sdt>
      <w:r w:rsidRPr="001B45BE">
        <w:rPr>
          <w:color w:val="000000"/>
        </w:rPr>
        <w:t xml:space="preserve"> &amp; K. A. Bard (Eds.), </w:t>
      </w:r>
      <w:r w:rsidRPr="001B45BE">
        <w:rPr>
          <w:i/>
          <w:color w:val="000000"/>
        </w:rPr>
        <w:t xml:space="preserve">The cultural nature of attachment: Contextualizing relationships and development </w:t>
      </w:r>
      <w:r w:rsidRPr="001B45BE">
        <w:rPr>
          <w:color w:val="000000"/>
        </w:rPr>
        <w:t>(pp. 109–137). The MIT Press.</w:t>
      </w:r>
    </w:p>
    <w:p w14:paraId="130C0563" w14:textId="77777777" w:rsidR="00F854BC" w:rsidRPr="001B45BE" w:rsidRDefault="00000000">
      <w:pPr>
        <w:spacing w:line="480" w:lineRule="auto"/>
        <w:ind w:left="480" w:hanging="480"/>
        <w:rPr>
          <w:color w:val="000000"/>
        </w:rPr>
      </w:pPr>
      <w:r w:rsidRPr="001B45BE">
        <w:rPr>
          <w:color w:val="000000"/>
        </w:rPr>
        <w:t xml:space="preserve">Kim, B. S. K., &amp; Abreu, J. M. (2001). Acculturation measurement: Theory, current instruments, and future directions. In J. G. </w:t>
      </w:r>
      <w:proofErr w:type="spellStart"/>
      <w:r w:rsidRPr="001B45BE">
        <w:rPr>
          <w:color w:val="000000"/>
        </w:rPr>
        <w:t>Ponterotto</w:t>
      </w:r>
      <w:proofErr w:type="spellEnd"/>
      <w:r w:rsidRPr="001B45BE">
        <w:rPr>
          <w:color w:val="000000"/>
        </w:rPr>
        <w:t xml:space="preserve">, J. M. Casas, L. A. Suzuki, &amp; C. M. Alexander (Eds.), </w:t>
      </w:r>
      <w:r w:rsidRPr="001B45BE">
        <w:rPr>
          <w:i/>
          <w:color w:val="000000"/>
        </w:rPr>
        <w:t>Handbook of multicultural counseling</w:t>
      </w:r>
      <w:r w:rsidRPr="001B45BE">
        <w:rPr>
          <w:color w:val="000000"/>
        </w:rPr>
        <w:t xml:space="preserve"> (Vol. 1, pp. 394–424). Sage Publications, Inc. https://doi.org/10.1093/oxfordhb/9780190215217.013.7</w:t>
      </w:r>
    </w:p>
    <w:p w14:paraId="4F376BF9" w14:textId="77777777" w:rsidR="00F854BC" w:rsidRPr="001B45BE" w:rsidRDefault="00000000">
      <w:pPr>
        <w:spacing w:line="480" w:lineRule="auto"/>
        <w:ind w:left="480" w:hanging="480"/>
        <w:rPr>
          <w:color w:val="000000"/>
        </w:rPr>
      </w:pPr>
      <w:proofErr w:type="spellStart"/>
      <w:r w:rsidRPr="001B45BE">
        <w:rPr>
          <w:color w:val="000000"/>
        </w:rPr>
        <w:t>Kovács</w:t>
      </w:r>
      <w:proofErr w:type="spellEnd"/>
      <w:r w:rsidRPr="001B45BE">
        <w:rPr>
          <w:color w:val="000000"/>
        </w:rPr>
        <w:t xml:space="preserve">, Á. M., &amp; </w:t>
      </w:r>
      <w:proofErr w:type="spellStart"/>
      <w:r w:rsidRPr="001B45BE">
        <w:rPr>
          <w:color w:val="000000"/>
        </w:rPr>
        <w:t>Mehler</w:t>
      </w:r>
      <w:proofErr w:type="spellEnd"/>
      <w:r w:rsidRPr="001B45BE">
        <w:rPr>
          <w:color w:val="000000"/>
        </w:rPr>
        <w:t xml:space="preserve">, J. (2009a). Cognitive gains in 7-month-old bilingual infants. </w:t>
      </w:r>
      <w:r w:rsidRPr="001B45BE">
        <w:rPr>
          <w:i/>
          <w:color w:val="000000"/>
        </w:rPr>
        <w:t>Proceedings of the National Academy of Sciences</w:t>
      </w:r>
      <w:r w:rsidRPr="001B45BE">
        <w:rPr>
          <w:color w:val="000000"/>
        </w:rPr>
        <w:t xml:space="preserve">, </w:t>
      </w:r>
      <w:r w:rsidRPr="001B45BE">
        <w:rPr>
          <w:i/>
          <w:color w:val="000000"/>
        </w:rPr>
        <w:t>106</w:t>
      </w:r>
      <w:r w:rsidRPr="001B45BE">
        <w:rPr>
          <w:color w:val="000000"/>
        </w:rPr>
        <w:t>(16), 6556–6560. https://doi.org/10.1073/pnas.0811323106</w:t>
      </w:r>
    </w:p>
    <w:p w14:paraId="1C361476" w14:textId="77777777" w:rsidR="00F854BC" w:rsidRPr="001B45BE" w:rsidRDefault="00000000">
      <w:pPr>
        <w:spacing w:line="480" w:lineRule="auto"/>
        <w:ind w:left="480" w:hanging="480"/>
        <w:rPr>
          <w:color w:val="000000"/>
        </w:rPr>
      </w:pPr>
      <w:proofErr w:type="spellStart"/>
      <w:r w:rsidRPr="001B45BE">
        <w:rPr>
          <w:color w:val="000000"/>
        </w:rPr>
        <w:t>Kovács</w:t>
      </w:r>
      <w:proofErr w:type="spellEnd"/>
      <w:r w:rsidRPr="001B45BE">
        <w:rPr>
          <w:color w:val="000000"/>
        </w:rPr>
        <w:t xml:space="preserve">, Á. M., &amp; </w:t>
      </w:r>
      <w:proofErr w:type="spellStart"/>
      <w:r w:rsidRPr="001B45BE">
        <w:rPr>
          <w:color w:val="000000"/>
        </w:rPr>
        <w:t>Mehler</w:t>
      </w:r>
      <w:proofErr w:type="spellEnd"/>
      <w:r w:rsidRPr="001B45BE">
        <w:rPr>
          <w:color w:val="000000"/>
        </w:rPr>
        <w:t xml:space="preserve">, J. (2009b). Flexible learning of multiple speech structures in bilingual infants. </w:t>
      </w:r>
      <w:r w:rsidRPr="001B45BE">
        <w:rPr>
          <w:i/>
          <w:color w:val="000000"/>
        </w:rPr>
        <w:t>Science</w:t>
      </w:r>
      <w:r w:rsidRPr="001B45BE">
        <w:rPr>
          <w:color w:val="000000"/>
        </w:rPr>
        <w:t xml:space="preserve">, </w:t>
      </w:r>
      <w:r w:rsidRPr="001B45BE">
        <w:rPr>
          <w:i/>
          <w:color w:val="000000"/>
        </w:rPr>
        <w:t>325</w:t>
      </w:r>
      <w:r w:rsidRPr="001B45BE">
        <w:rPr>
          <w:color w:val="000000"/>
        </w:rPr>
        <w:t>(5940), 611–612. https://doi.org/10.1126/science.1173947</w:t>
      </w:r>
    </w:p>
    <w:p w14:paraId="61BBC703" w14:textId="77777777" w:rsidR="00F854BC" w:rsidRPr="001B45BE" w:rsidRDefault="00000000">
      <w:pPr>
        <w:pBdr>
          <w:top w:val="nil"/>
          <w:left w:val="nil"/>
          <w:bottom w:val="nil"/>
          <w:right w:val="nil"/>
          <w:between w:val="nil"/>
        </w:pBdr>
        <w:spacing w:line="480" w:lineRule="auto"/>
        <w:ind w:left="720" w:hanging="720"/>
        <w:rPr>
          <w:color w:val="000000"/>
        </w:rPr>
      </w:pPr>
      <w:r w:rsidRPr="001B45BE">
        <w:rPr>
          <w:color w:val="000000"/>
        </w:rPr>
        <w:t xml:space="preserve">Kraus, M. W., </w:t>
      </w:r>
      <w:proofErr w:type="spellStart"/>
      <w:r w:rsidRPr="001B45BE">
        <w:rPr>
          <w:color w:val="000000"/>
        </w:rPr>
        <w:t>Piff</w:t>
      </w:r>
      <w:proofErr w:type="spellEnd"/>
      <w:r w:rsidRPr="001B45BE">
        <w:rPr>
          <w:color w:val="000000"/>
        </w:rPr>
        <w:t xml:space="preserve">, P. K., Mendoza-Denton, R., </w:t>
      </w:r>
      <w:proofErr w:type="spellStart"/>
      <w:r w:rsidRPr="001B45BE">
        <w:rPr>
          <w:color w:val="000000"/>
        </w:rPr>
        <w:t>Rheinschmidt</w:t>
      </w:r>
      <w:proofErr w:type="spellEnd"/>
      <w:r w:rsidRPr="001B45BE">
        <w:rPr>
          <w:color w:val="000000"/>
        </w:rPr>
        <w:t xml:space="preserve">, M. L., &amp; Keltner, D. (2012). Social class, solipsism, and contextualism: How the rich are different from the poor. </w:t>
      </w:r>
      <w:r w:rsidRPr="001B45BE">
        <w:rPr>
          <w:i/>
          <w:color w:val="000000"/>
        </w:rPr>
        <w:t>Psychological Review</w:t>
      </w:r>
      <w:r w:rsidRPr="001B45BE">
        <w:rPr>
          <w:color w:val="000000"/>
        </w:rPr>
        <w:t xml:space="preserve">, </w:t>
      </w:r>
      <w:r w:rsidRPr="001B45BE">
        <w:rPr>
          <w:i/>
          <w:color w:val="000000"/>
        </w:rPr>
        <w:t>119</w:t>
      </w:r>
      <w:r w:rsidRPr="001B45BE">
        <w:rPr>
          <w:color w:val="000000"/>
        </w:rPr>
        <w:t>(3), 546–572. https://doi.org/10.1037/a0028756</w:t>
      </w:r>
    </w:p>
    <w:p w14:paraId="7BCE9740" w14:textId="77777777" w:rsidR="00F854BC" w:rsidRPr="001B45BE" w:rsidRDefault="00000000">
      <w:pPr>
        <w:spacing w:line="480" w:lineRule="auto"/>
        <w:ind w:left="480" w:hanging="480"/>
        <w:rPr>
          <w:color w:val="000000"/>
        </w:rPr>
      </w:pPr>
      <w:r w:rsidRPr="001B45BE">
        <w:rPr>
          <w:color w:val="000000"/>
        </w:rPr>
        <w:t xml:space="preserve">Krosnick, J. A., &amp; Presser, S. (2010). Question and questionnaire design. In J. D. Wright &amp; P. V. Marsden (Eds.), </w:t>
      </w:r>
      <w:r w:rsidRPr="001B45BE">
        <w:rPr>
          <w:i/>
          <w:color w:val="000000"/>
        </w:rPr>
        <w:t>Handbook of Survey Research</w:t>
      </w:r>
      <w:r w:rsidRPr="001B45BE">
        <w:rPr>
          <w:color w:val="000000"/>
        </w:rPr>
        <w:t xml:space="preserve"> (2nd ed., pp. 263–314).</w:t>
      </w:r>
    </w:p>
    <w:p w14:paraId="3F8D784C" w14:textId="639CCE98" w:rsidR="00F854BC" w:rsidRPr="001B45BE" w:rsidRDefault="00000000">
      <w:pPr>
        <w:spacing w:line="480" w:lineRule="auto"/>
        <w:ind w:left="480" w:hanging="480"/>
        <w:rPr>
          <w:color w:val="000000"/>
        </w:rPr>
      </w:pPr>
      <w:r w:rsidRPr="001B45BE">
        <w:rPr>
          <w:color w:val="000000"/>
        </w:rPr>
        <w:t>Lansford, J. E., &amp; Bornstein, M. H. (2020). Parenting. In W. K. Halford</w:t>
      </w:r>
      <w:sdt>
        <w:sdtPr>
          <w:tag w:val="goog_rdk_9"/>
          <w:id w:val="-474451554"/>
          <w:showingPlcHdr/>
        </w:sdtPr>
        <w:sdtContent>
          <w:r w:rsidR="00562E5A" w:rsidRPr="001B45BE">
            <w:t xml:space="preserve">     </w:t>
          </w:r>
        </w:sdtContent>
      </w:sdt>
      <w:r w:rsidRPr="001B45BE">
        <w:rPr>
          <w:color w:val="000000"/>
        </w:rPr>
        <w:t xml:space="preserve"> &amp; F. van de </w:t>
      </w:r>
      <w:proofErr w:type="spellStart"/>
      <w:r w:rsidRPr="001B45BE">
        <w:rPr>
          <w:color w:val="000000"/>
        </w:rPr>
        <w:t>Vijver</w:t>
      </w:r>
      <w:proofErr w:type="spellEnd"/>
      <w:r w:rsidRPr="001B45BE">
        <w:rPr>
          <w:color w:val="000000"/>
        </w:rPr>
        <w:t xml:space="preserve"> (Eds.), </w:t>
      </w:r>
      <w:r w:rsidRPr="001B45BE">
        <w:rPr>
          <w:i/>
          <w:color w:val="000000"/>
        </w:rPr>
        <w:t>Cross-Cultural Family Research and Practice</w:t>
      </w:r>
      <w:r w:rsidRPr="001B45BE">
        <w:rPr>
          <w:color w:val="000000"/>
        </w:rPr>
        <w:t xml:space="preserve"> (pp. 565–602). Elsevier. https://doi.org/10.1016/B978-0-12-815493-9.00018-1</w:t>
      </w:r>
    </w:p>
    <w:p w14:paraId="314CD3CD" w14:textId="77777777" w:rsidR="00F854BC" w:rsidRPr="001B45BE" w:rsidRDefault="00000000">
      <w:pPr>
        <w:spacing w:line="480" w:lineRule="auto"/>
        <w:ind w:left="480" w:hanging="480"/>
        <w:rPr>
          <w:color w:val="000000"/>
        </w:rPr>
      </w:pPr>
      <w:r w:rsidRPr="001B45BE">
        <w:rPr>
          <w:color w:val="000000"/>
        </w:rPr>
        <w:t xml:space="preserve">Le, A., Han, B. H., &amp; </w:t>
      </w:r>
      <w:proofErr w:type="spellStart"/>
      <w:r w:rsidRPr="001B45BE">
        <w:rPr>
          <w:color w:val="000000"/>
        </w:rPr>
        <w:t>Palamar</w:t>
      </w:r>
      <w:proofErr w:type="spellEnd"/>
      <w:r w:rsidRPr="001B45BE">
        <w:rPr>
          <w:color w:val="000000"/>
        </w:rPr>
        <w:t xml:space="preserve">, J. J. (2021). When national drug surveys “take too long”: An examination of who is at risk for survey fatigue. </w:t>
      </w:r>
      <w:r w:rsidRPr="001B45BE">
        <w:rPr>
          <w:i/>
          <w:color w:val="000000"/>
        </w:rPr>
        <w:t>Drug and Alcohol Dependence</w:t>
      </w:r>
      <w:r w:rsidRPr="001B45BE">
        <w:rPr>
          <w:color w:val="000000"/>
        </w:rPr>
        <w:t xml:space="preserve">, </w:t>
      </w:r>
      <w:r w:rsidRPr="001B45BE">
        <w:rPr>
          <w:i/>
          <w:color w:val="000000"/>
        </w:rPr>
        <w:t>225</w:t>
      </w:r>
      <w:r w:rsidRPr="001B45BE">
        <w:rPr>
          <w:color w:val="000000"/>
        </w:rPr>
        <w:t>, 108769. https://doi.org/10.1016/j.drugalcdep.2021.108769</w:t>
      </w:r>
    </w:p>
    <w:p w14:paraId="6B66314B" w14:textId="77777777" w:rsidR="00F854BC" w:rsidRPr="001B45BE" w:rsidRDefault="00000000">
      <w:pPr>
        <w:spacing w:line="480" w:lineRule="auto"/>
        <w:ind w:left="480" w:hanging="480"/>
        <w:rPr>
          <w:color w:val="000000"/>
        </w:rPr>
      </w:pPr>
      <w:proofErr w:type="spellStart"/>
      <w:r w:rsidRPr="001B45BE">
        <w:rPr>
          <w:color w:val="000000"/>
        </w:rPr>
        <w:lastRenderedPageBreak/>
        <w:t>Legare</w:t>
      </w:r>
      <w:proofErr w:type="spellEnd"/>
      <w:r w:rsidRPr="001B45BE">
        <w:rPr>
          <w:color w:val="000000"/>
        </w:rPr>
        <w:t xml:space="preserve">, C. H. (2017). Cumulative cultural learning: Development and diversity. </w:t>
      </w:r>
      <w:r w:rsidRPr="001B45BE">
        <w:rPr>
          <w:i/>
          <w:color w:val="000000"/>
        </w:rPr>
        <w:t>Proceedings of the National Academy of Sciences</w:t>
      </w:r>
      <w:r w:rsidRPr="001B45BE">
        <w:rPr>
          <w:color w:val="000000"/>
        </w:rPr>
        <w:t xml:space="preserve">, </w:t>
      </w:r>
      <w:r w:rsidRPr="001B45BE">
        <w:rPr>
          <w:i/>
          <w:color w:val="000000"/>
        </w:rPr>
        <w:t>114</w:t>
      </w:r>
      <w:r w:rsidRPr="001B45BE">
        <w:rPr>
          <w:color w:val="000000"/>
        </w:rPr>
        <w:t>(30), 7877–7883. https://doi.org/10.1073/pnas.1620743114</w:t>
      </w:r>
    </w:p>
    <w:p w14:paraId="4A7DF192" w14:textId="77777777" w:rsidR="00F854BC" w:rsidRPr="001B45BE" w:rsidRDefault="00000000">
      <w:pPr>
        <w:spacing w:line="480" w:lineRule="auto"/>
        <w:ind w:left="480" w:hanging="480"/>
        <w:rPr>
          <w:color w:val="000000"/>
        </w:rPr>
      </w:pPr>
      <w:r w:rsidRPr="001B45BE">
        <w:rPr>
          <w:color w:val="000000"/>
        </w:rPr>
        <w:t xml:space="preserve">Léonard, M. des N. (2014). Census and racial categorization in France: Invisible categories and color-blind politics. </w:t>
      </w:r>
      <w:r w:rsidRPr="001B45BE">
        <w:rPr>
          <w:i/>
          <w:color w:val="000000"/>
        </w:rPr>
        <w:t>Humanity &amp; Society</w:t>
      </w:r>
      <w:r w:rsidRPr="001B45BE">
        <w:rPr>
          <w:color w:val="000000"/>
        </w:rPr>
        <w:t xml:space="preserve">, </w:t>
      </w:r>
      <w:r w:rsidRPr="001B45BE">
        <w:rPr>
          <w:i/>
          <w:color w:val="000000"/>
        </w:rPr>
        <w:t>38</w:t>
      </w:r>
      <w:r w:rsidRPr="001B45BE">
        <w:rPr>
          <w:color w:val="000000"/>
        </w:rPr>
        <w:t>(1), 67–88. https://doi.org/10.1177/0160597613519233</w:t>
      </w:r>
    </w:p>
    <w:p w14:paraId="5CA95A75" w14:textId="77777777" w:rsidR="00F854BC" w:rsidRPr="001B45BE" w:rsidRDefault="00000000">
      <w:pPr>
        <w:spacing w:line="480" w:lineRule="auto"/>
        <w:ind w:left="480" w:hanging="480"/>
        <w:rPr>
          <w:color w:val="000000"/>
        </w:rPr>
      </w:pPr>
      <w:r w:rsidRPr="001B45BE">
        <w:rPr>
          <w:color w:val="000000"/>
        </w:rPr>
        <w:t xml:space="preserve">Letourneau, N. L., </w:t>
      </w:r>
      <w:proofErr w:type="spellStart"/>
      <w:r w:rsidRPr="001B45BE">
        <w:rPr>
          <w:color w:val="000000"/>
        </w:rPr>
        <w:t>Duffett</w:t>
      </w:r>
      <w:proofErr w:type="spellEnd"/>
      <w:r w:rsidRPr="001B45BE">
        <w:rPr>
          <w:color w:val="000000"/>
        </w:rPr>
        <w:t xml:space="preserve">-Leger, L., </w:t>
      </w:r>
      <w:proofErr w:type="spellStart"/>
      <w:r w:rsidRPr="001B45BE">
        <w:rPr>
          <w:color w:val="000000"/>
        </w:rPr>
        <w:t>Levac</w:t>
      </w:r>
      <w:proofErr w:type="spellEnd"/>
      <w:r w:rsidRPr="001B45BE">
        <w:rPr>
          <w:color w:val="000000"/>
        </w:rPr>
        <w:t xml:space="preserve">, L., Watson, B., &amp; Young-Morris, C. (2013). Socioeconomic status and child development: A meta-analysis. </w:t>
      </w:r>
      <w:r w:rsidRPr="001B45BE">
        <w:rPr>
          <w:i/>
          <w:color w:val="000000"/>
        </w:rPr>
        <w:t>Journal of Emotional and Behavioral Disorders</w:t>
      </w:r>
      <w:r w:rsidRPr="001B45BE">
        <w:rPr>
          <w:color w:val="000000"/>
        </w:rPr>
        <w:t xml:space="preserve">, </w:t>
      </w:r>
      <w:r w:rsidRPr="001B45BE">
        <w:rPr>
          <w:i/>
          <w:color w:val="000000"/>
        </w:rPr>
        <w:t>21</w:t>
      </w:r>
      <w:r w:rsidRPr="001B45BE">
        <w:rPr>
          <w:color w:val="000000"/>
        </w:rPr>
        <w:t>(3), 211–224. https://doi.org/10.1177/1063426611421007</w:t>
      </w:r>
    </w:p>
    <w:p w14:paraId="68003456" w14:textId="77777777" w:rsidR="00F854BC" w:rsidRPr="001B45BE" w:rsidRDefault="00000000">
      <w:pPr>
        <w:spacing w:line="480" w:lineRule="auto"/>
        <w:ind w:left="480" w:hanging="480"/>
        <w:rPr>
          <w:color w:val="000000"/>
        </w:rPr>
      </w:pPr>
      <w:r w:rsidRPr="001B45BE">
        <w:rPr>
          <w:color w:val="000000"/>
        </w:rPr>
        <w:t xml:space="preserve">Liu, L., &amp; </w:t>
      </w:r>
      <w:proofErr w:type="spellStart"/>
      <w:r w:rsidRPr="001B45BE">
        <w:rPr>
          <w:color w:val="000000"/>
        </w:rPr>
        <w:t>Kager</w:t>
      </w:r>
      <w:proofErr w:type="spellEnd"/>
      <w:r w:rsidRPr="001B45BE">
        <w:rPr>
          <w:color w:val="000000"/>
        </w:rPr>
        <w:t xml:space="preserve">, R. (2016). Perception of a native vowel contrast by Dutch monolingual and bilingual infants: A bilingual perceptual lead. </w:t>
      </w:r>
      <w:r w:rsidRPr="001B45BE">
        <w:rPr>
          <w:i/>
          <w:color w:val="000000"/>
        </w:rPr>
        <w:t>International Journal of Bilingualism</w:t>
      </w:r>
      <w:r w:rsidRPr="001B45BE">
        <w:rPr>
          <w:color w:val="000000"/>
        </w:rPr>
        <w:t xml:space="preserve">, </w:t>
      </w:r>
      <w:r w:rsidRPr="001B45BE">
        <w:rPr>
          <w:i/>
          <w:color w:val="000000"/>
        </w:rPr>
        <w:t>20</w:t>
      </w:r>
      <w:r w:rsidRPr="001B45BE">
        <w:rPr>
          <w:color w:val="000000"/>
        </w:rPr>
        <w:t>(3), 335–345. https://doi.org/10.1177/1367006914566082</w:t>
      </w:r>
    </w:p>
    <w:p w14:paraId="6AE4AE6B" w14:textId="77777777" w:rsidR="00F854BC" w:rsidRPr="001B45BE" w:rsidRDefault="00000000">
      <w:pPr>
        <w:pBdr>
          <w:top w:val="nil"/>
          <w:left w:val="nil"/>
          <w:bottom w:val="nil"/>
          <w:right w:val="nil"/>
          <w:between w:val="nil"/>
        </w:pBdr>
        <w:spacing w:line="480" w:lineRule="auto"/>
        <w:ind w:left="720" w:hanging="720"/>
        <w:rPr>
          <w:color w:val="000000"/>
        </w:rPr>
      </w:pPr>
      <w:r w:rsidRPr="001B45BE">
        <w:rPr>
          <w:color w:val="000000"/>
        </w:rPr>
        <w:t xml:space="preserve">Luo, Y., &amp; Waite, L. J. (2005). The impact of childhood and adult SES on physical, mental, and cognitive well-being in later life. </w:t>
      </w:r>
      <w:r w:rsidRPr="001B45BE">
        <w:rPr>
          <w:i/>
          <w:color w:val="000000"/>
        </w:rPr>
        <w:t>The Journals of Gerontology: Series B</w:t>
      </w:r>
      <w:r w:rsidRPr="001B45BE">
        <w:rPr>
          <w:color w:val="000000"/>
        </w:rPr>
        <w:t xml:space="preserve">, </w:t>
      </w:r>
      <w:r w:rsidRPr="001B45BE">
        <w:rPr>
          <w:i/>
          <w:color w:val="000000"/>
        </w:rPr>
        <w:t>60</w:t>
      </w:r>
      <w:r w:rsidRPr="001B45BE">
        <w:rPr>
          <w:color w:val="000000"/>
        </w:rPr>
        <w:t>(2), S93–S101. https://doi.org/10.1093/geronb/60.2.s93</w:t>
      </w:r>
    </w:p>
    <w:p w14:paraId="62041D47" w14:textId="77777777" w:rsidR="00F854BC" w:rsidRPr="001B45BE" w:rsidRDefault="00000000">
      <w:pPr>
        <w:pBdr>
          <w:top w:val="nil"/>
          <w:left w:val="nil"/>
          <w:bottom w:val="nil"/>
          <w:right w:val="nil"/>
          <w:between w:val="nil"/>
        </w:pBdr>
        <w:spacing w:line="480" w:lineRule="auto"/>
        <w:ind w:left="720" w:hanging="720"/>
        <w:rPr>
          <w:color w:val="000000"/>
        </w:rPr>
      </w:pPr>
      <w:proofErr w:type="spellStart"/>
      <w:r w:rsidRPr="001B45BE">
        <w:rPr>
          <w:color w:val="000000"/>
        </w:rPr>
        <w:t>ManyBabies</w:t>
      </w:r>
      <w:proofErr w:type="spellEnd"/>
      <w:r w:rsidRPr="001B45BE">
        <w:rPr>
          <w:color w:val="000000"/>
        </w:rPr>
        <w:t xml:space="preserve"> Consortium. (2020). Quantifying sources of variability in infancy research using the infant-directed-speech preference. </w:t>
      </w:r>
      <w:r w:rsidRPr="001B45BE">
        <w:rPr>
          <w:i/>
          <w:color w:val="000000"/>
        </w:rPr>
        <w:t>Advances in Methods and Practices in Psychological Science</w:t>
      </w:r>
      <w:r w:rsidRPr="001B45BE">
        <w:rPr>
          <w:color w:val="000000"/>
        </w:rPr>
        <w:t xml:space="preserve">, </w:t>
      </w:r>
      <w:r w:rsidRPr="001B45BE">
        <w:rPr>
          <w:i/>
          <w:color w:val="000000"/>
        </w:rPr>
        <w:t>3</w:t>
      </w:r>
      <w:r w:rsidRPr="001B45BE">
        <w:rPr>
          <w:color w:val="000000"/>
        </w:rPr>
        <w:t>(1), 24–52. https://doi.org/10.1177/2515245919900809</w:t>
      </w:r>
    </w:p>
    <w:p w14:paraId="52E427E6" w14:textId="77777777" w:rsidR="00F854BC" w:rsidRPr="001B45BE" w:rsidRDefault="00000000">
      <w:pPr>
        <w:spacing w:line="480" w:lineRule="auto"/>
        <w:ind w:left="480" w:hanging="480"/>
        <w:rPr>
          <w:color w:val="000000"/>
        </w:rPr>
      </w:pPr>
      <w:r w:rsidRPr="001B45BE">
        <w:rPr>
          <w:color w:val="000000"/>
        </w:rPr>
        <w:t xml:space="preserve">Marchman, V. A., Martínez, L. Z., Hurtado, N., </w:t>
      </w:r>
      <w:proofErr w:type="spellStart"/>
      <w:r w:rsidRPr="001B45BE">
        <w:rPr>
          <w:color w:val="000000"/>
        </w:rPr>
        <w:t>Grüter</w:t>
      </w:r>
      <w:proofErr w:type="spellEnd"/>
      <w:r w:rsidRPr="001B45BE">
        <w:rPr>
          <w:color w:val="000000"/>
        </w:rPr>
        <w:t xml:space="preserve">, T., &amp; Fernald, A. (2017). </w:t>
      </w:r>
      <w:proofErr w:type="gramStart"/>
      <w:r w:rsidRPr="001B45BE">
        <w:rPr>
          <w:color w:val="000000"/>
        </w:rPr>
        <w:t>Caregiver</w:t>
      </w:r>
      <w:proofErr w:type="gramEnd"/>
      <w:r w:rsidRPr="001B45BE">
        <w:rPr>
          <w:color w:val="000000"/>
        </w:rPr>
        <w:t xml:space="preserve"> talk to young Spanish-English bilinguals: Comparing direct observation and parent-report measures of dual-language exposure. </w:t>
      </w:r>
      <w:r w:rsidRPr="001B45BE">
        <w:rPr>
          <w:i/>
          <w:color w:val="000000"/>
        </w:rPr>
        <w:t>Developmental Science</w:t>
      </w:r>
      <w:r w:rsidRPr="001B45BE">
        <w:rPr>
          <w:color w:val="000000"/>
        </w:rPr>
        <w:t xml:space="preserve">, </w:t>
      </w:r>
      <w:r w:rsidRPr="001B45BE">
        <w:rPr>
          <w:i/>
          <w:color w:val="000000"/>
        </w:rPr>
        <w:t>20</w:t>
      </w:r>
      <w:r w:rsidRPr="001B45BE">
        <w:rPr>
          <w:color w:val="000000"/>
        </w:rPr>
        <w:t>(1), e12425. https://doi.org/10.1111/desc.12425</w:t>
      </w:r>
    </w:p>
    <w:p w14:paraId="15DB8D1B" w14:textId="77777777" w:rsidR="00F854BC" w:rsidRPr="001B45BE" w:rsidRDefault="00000000">
      <w:pPr>
        <w:spacing w:line="480" w:lineRule="auto"/>
        <w:ind w:left="480" w:hanging="480"/>
        <w:rPr>
          <w:color w:val="000000"/>
        </w:rPr>
      </w:pPr>
      <w:r w:rsidRPr="001B45BE">
        <w:rPr>
          <w:color w:val="000000"/>
        </w:rPr>
        <w:lastRenderedPageBreak/>
        <w:t xml:space="preserve">Markus, H. R. (2008). Pride, prejudice, and ambivalence: Toward a unified theory of race and ethnicity. </w:t>
      </w:r>
      <w:r w:rsidRPr="001B45BE">
        <w:rPr>
          <w:i/>
          <w:color w:val="000000"/>
        </w:rPr>
        <w:t>American Psychologist</w:t>
      </w:r>
      <w:r w:rsidRPr="001B45BE">
        <w:rPr>
          <w:color w:val="000000"/>
        </w:rPr>
        <w:t xml:space="preserve">, </w:t>
      </w:r>
      <w:r w:rsidRPr="001B45BE">
        <w:rPr>
          <w:i/>
          <w:color w:val="000000"/>
        </w:rPr>
        <w:t>63</w:t>
      </w:r>
      <w:r w:rsidRPr="001B45BE">
        <w:rPr>
          <w:color w:val="000000"/>
        </w:rPr>
        <w:t>(8), 651–670. https://doi.org/10.1037/0003-066X.63.8.651</w:t>
      </w:r>
    </w:p>
    <w:p w14:paraId="22C10387" w14:textId="77777777" w:rsidR="00F854BC" w:rsidRPr="001B45BE" w:rsidRDefault="00000000">
      <w:pPr>
        <w:pBdr>
          <w:top w:val="nil"/>
          <w:left w:val="nil"/>
          <w:bottom w:val="nil"/>
          <w:right w:val="nil"/>
          <w:between w:val="nil"/>
        </w:pBdr>
        <w:spacing w:line="480" w:lineRule="auto"/>
        <w:ind w:left="720" w:hanging="720"/>
        <w:rPr>
          <w:color w:val="000000"/>
        </w:rPr>
      </w:pPr>
      <w:r w:rsidRPr="001B45BE">
        <w:rPr>
          <w:color w:val="000000"/>
        </w:rPr>
        <w:t xml:space="preserve">McCoy, D. C., Peet, E. D., </w:t>
      </w:r>
      <w:proofErr w:type="spellStart"/>
      <w:r w:rsidRPr="001B45BE">
        <w:rPr>
          <w:color w:val="000000"/>
        </w:rPr>
        <w:t>Ezzati</w:t>
      </w:r>
      <w:proofErr w:type="spellEnd"/>
      <w:r w:rsidRPr="001B45BE">
        <w:rPr>
          <w:color w:val="000000"/>
        </w:rPr>
        <w:t xml:space="preserve">, M., </w:t>
      </w:r>
      <w:proofErr w:type="spellStart"/>
      <w:r w:rsidRPr="001B45BE">
        <w:rPr>
          <w:color w:val="000000"/>
        </w:rPr>
        <w:t>Danaei</w:t>
      </w:r>
      <w:proofErr w:type="spellEnd"/>
      <w:r w:rsidRPr="001B45BE">
        <w:rPr>
          <w:color w:val="000000"/>
        </w:rPr>
        <w:t xml:space="preserve">, G., Black, M. M., Sudfeld, C. R., Fawzi, W. W., &amp; Fink, G. (2016). Early childhood developmental status in low- and middle-income countries: National, regional, and global prevalence estimates using predictive modeling. </w:t>
      </w:r>
      <w:r w:rsidRPr="001B45BE">
        <w:rPr>
          <w:i/>
          <w:color w:val="000000"/>
        </w:rPr>
        <w:t>PLOS Medicine</w:t>
      </w:r>
      <w:r w:rsidRPr="001B45BE">
        <w:rPr>
          <w:color w:val="000000"/>
        </w:rPr>
        <w:t xml:space="preserve">, </w:t>
      </w:r>
      <w:r w:rsidRPr="001B45BE">
        <w:rPr>
          <w:i/>
          <w:color w:val="000000"/>
        </w:rPr>
        <w:t>13</w:t>
      </w:r>
      <w:r w:rsidRPr="001B45BE">
        <w:rPr>
          <w:color w:val="000000"/>
        </w:rPr>
        <w:t>(6), e1002034. https://doi.org/10.1371/journal.pmed.1002034</w:t>
      </w:r>
    </w:p>
    <w:p w14:paraId="61B106CA" w14:textId="77777777" w:rsidR="00F854BC" w:rsidRPr="001B45BE" w:rsidRDefault="00000000">
      <w:pPr>
        <w:spacing w:line="480" w:lineRule="auto"/>
        <w:ind w:left="480" w:hanging="480"/>
        <w:rPr>
          <w:color w:val="000000"/>
        </w:rPr>
      </w:pPr>
      <w:proofErr w:type="spellStart"/>
      <w:r w:rsidRPr="001B45BE">
        <w:rPr>
          <w:color w:val="000000"/>
        </w:rPr>
        <w:t>Medin</w:t>
      </w:r>
      <w:proofErr w:type="spellEnd"/>
      <w:r w:rsidRPr="001B45BE">
        <w:rPr>
          <w:color w:val="000000"/>
        </w:rPr>
        <w:t xml:space="preserve">, D. L., &amp; Bang, M. (2014). The cultural side of science communication. </w:t>
      </w:r>
      <w:r w:rsidRPr="001B45BE">
        <w:rPr>
          <w:i/>
          <w:color w:val="000000"/>
        </w:rPr>
        <w:t>Proceedings of the National Academy of Sciences</w:t>
      </w:r>
      <w:r w:rsidRPr="001B45BE">
        <w:rPr>
          <w:color w:val="000000"/>
        </w:rPr>
        <w:t xml:space="preserve">, </w:t>
      </w:r>
      <w:r w:rsidRPr="001B45BE">
        <w:rPr>
          <w:i/>
          <w:color w:val="000000"/>
        </w:rPr>
        <w:t>111</w:t>
      </w:r>
      <w:r w:rsidRPr="001B45BE">
        <w:rPr>
          <w:color w:val="000000"/>
        </w:rPr>
        <w:t>(supplement_4), 13621–13626. https://doi.org/10.1073/pnas.1317510111</w:t>
      </w:r>
    </w:p>
    <w:p w14:paraId="5F5E6ECA" w14:textId="77777777" w:rsidR="00F854BC" w:rsidRPr="001B45BE" w:rsidRDefault="00000000">
      <w:pPr>
        <w:pBdr>
          <w:top w:val="nil"/>
          <w:left w:val="nil"/>
          <w:bottom w:val="nil"/>
          <w:right w:val="nil"/>
          <w:between w:val="nil"/>
        </w:pBdr>
        <w:spacing w:line="480" w:lineRule="auto"/>
        <w:ind w:left="720" w:hanging="720"/>
        <w:rPr>
          <w:color w:val="000000"/>
        </w:rPr>
      </w:pPr>
      <w:r w:rsidRPr="001B45BE">
        <w:rPr>
          <w:color w:val="000000"/>
        </w:rPr>
        <w:t xml:space="preserve">Milligan, K., &amp; Stabile, M. (2011). Do child tax benefits affect the well-being of children? Evidence from Canadian child benefit expansions. </w:t>
      </w:r>
      <w:r w:rsidRPr="001B45BE">
        <w:rPr>
          <w:i/>
          <w:color w:val="000000"/>
        </w:rPr>
        <w:t>American Economic Journal: Economic Policy</w:t>
      </w:r>
      <w:r w:rsidRPr="001B45BE">
        <w:rPr>
          <w:color w:val="000000"/>
        </w:rPr>
        <w:t xml:space="preserve">, </w:t>
      </w:r>
      <w:r w:rsidRPr="001B45BE">
        <w:rPr>
          <w:i/>
          <w:color w:val="000000"/>
        </w:rPr>
        <w:t>3</w:t>
      </w:r>
      <w:r w:rsidRPr="001B45BE">
        <w:rPr>
          <w:color w:val="000000"/>
        </w:rPr>
        <w:t>(3), 175–205. https://doi.org/10.1257/pol.3.3.175</w:t>
      </w:r>
    </w:p>
    <w:p w14:paraId="44CD1B71" w14:textId="77777777" w:rsidR="00F854BC" w:rsidRPr="001B45BE" w:rsidRDefault="00000000">
      <w:pPr>
        <w:spacing w:line="480" w:lineRule="auto"/>
        <w:ind w:left="480" w:hanging="480"/>
        <w:rPr>
          <w:color w:val="000000"/>
        </w:rPr>
      </w:pPr>
      <w:proofErr w:type="spellStart"/>
      <w:r w:rsidRPr="001B45BE">
        <w:rPr>
          <w:color w:val="000000"/>
        </w:rPr>
        <w:t>Moriguchi</w:t>
      </w:r>
      <w:proofErr w:type="spellEnd"/>
      <w:r w:rsidRPr="001B45BE">
        <w:rPr>
          <w:color w:val="000000"/>
        </w:rPr>
        <w:t xml:space="preserve">, Y. (2022). Beyond bias to Western participants, authors, and editors in developmental science. </w:t>
      </w:r>
      <w:r w:rsidRPr="001B45BE">
        <w:rPr>
          <w:i/>
          <w:color w:val="000000"/>
        </w:rPr>
        <w:t>Infant and Child Development</w:t>
      </w:r>
      <w:r w:rsidRPr="001B45BE">
        <w:rPr>
          <w:color w:val="000000"/>
        </w:rPr>
        <w:t xml:space="preserve">, </w:t>
      </w:r>
      <w:r w:rsidRPr="001B45BE">
        <w:rPr>
          <w:i/>
          <w:color w:val="000000"/>
        </w:rPr>
        <w:t>31</w:t>
      </w:r>
      <w:r w:rsidRPr="001B45BE">
        <w:rPr>
          <w:color w:val="000000"/>
        </w:rPr>
        <w:t>(1). https://doi.org/10.1002/icd.2256</w:t>
      </w:r>
    </w:p>
    <w:p w14:paraId="0BA292A6" w14:textId="77777777" w:rsidR="00F854BC" w:rsidRPr="001B45BE" w:rsidRDefault="00000000">
      <w:pPr>
        <w:spacing w:line="480" w:lineRule="auto"/>
        <w:ind w:left="480" w:hanging="480"/>
        <w:rPr>
          <w:color w:val="000000"/>
        </w:rPr>
      </w:pPr>
      <w:r w:rsidRPr="001B45BE">
        <w:rPr>
          <w:color w:val="000000"/>
        </w:rPr>
        <w:t xml:space="preserve">Morning, A. (2015). Ethnic classification in global perspective: A cross-national survey of the 2000 census round. In P. Simon, V. </w:t>
      </w:r>
      <w:proofErr w:type="spellStart"/>
      <w:r w:rsidRPr="001B45BE">
        <w:rPr>
          <w:color w:val="000000"/>
        </w:rPr>
        <w:t>Piché</w:t>
      </w:r>
      <w:proofErr w:type="spellEnd"/>
      <w:r w:rsidRPr="001B45BE">
        <w:rPr>
          <w:color w:val="000000"/>
        </w:rPr>
        <w:t xml:space="preserve">, &amp; A. A. Gagnon (Eds.), </w:t>
      </w:r>
      <w:r w:rsidRPr="001B45BE">
        <w:rPr>
          <w:i/>
          <w:color w:val="000000"/>
        </w:rPr>
        <w:t>Social statistics and ethnic diversity</w:t>
      </w:r>
      <w:r w:rsidRPr="001B45BE">
        <w:rPr>
          <w:color w:val="000000"/>
        </w:rPr>
        <w:t>. Springer.</w:t>
      </w:r>
    </w:p>
    <w:p w14:paraId="76E0A08D" w14:textId="77777777" w:rsidR="00F854BC" w:rsidRPr="001B45BE" w:rsidRDefault="00000000">
      <w:pPr>
        <w:spacing w:line="480" w:lineRule="auto"/>
        <w:ind w:left="480" w:hanging="480"/>
        <w:rPr>
          <w:color w:val="000000"/>
        </w:rPr>
      </w:pPr>
      <w:proofErr w:type="spellStart"/>
      <w:r w:rsidRPr="001B45BE">
        <w:rPr>
          <w:color w:val="000000"/>
        </w:rPr>
        <w:t>Moshontz</w:t>
      </w:r>
      <w:proofErr w:type="spellEnd"/>
      <w:r w:rsidRPr="001B45BE">
        <w:rPr>
          <w:color w:val="000000"/>
        </w:rPr>
        <w:t xml:space="preserve">, H., Campbell, L., Ebersole, C. R., </w:t>
      </w:r>
      <w:proofErr w:type="spellStart"/>
      <w:r w:rsidRPr="001B45BE">
        <w:rPr>
          <w:color w:val="000000"/>
        </w:rPr>
        <w:t>IJzerman</w:t>
      </w:r>
      <w:proofErr w:type="spellEnd"/>
      <w:r w:rsidRPr="001B45BE">
        <w:rPr>
          <w:color w:val="000000"/>
        </w:rPr>
        <w:t xml:space="preserve">, H., </w:t>
      </w:r>
      <w:proofErr w:type="spellStart"/>
      <w:r w:rsidRPr="001B45BE">
        <w:rPr>
          <w:color w:val="000000"/>
        </w:rPr>
        <w:t>Urry</w:t>
      </w:r>
      <w:proofErr w:type="spellEnd"/>
      <w:r w:rsidRPr="001B45BE">
        <w:rPr>
          <w:color w:val="000000"/>
        </w:rPr>
        <w:t xml:space="preserve">, H. L., </w:t>
      </w:r>
      <w:proofErr w:type="spellStart"/>
      <w:r w:rsidRPr="001B45BE">
        <w:rPr>
          <w:color w:val="000000"/>
        </w:rPr>
        <w:t>Forscher</w:t>
      </w:r>
      <w:proofErr w:type="spellEnd"/>
      <w:r w:rsidRPr="001B45BE">
        <w:rPr>
          <w:color w:val="000000"/>
        </w:rPr>
        <w:t xml:space="preserve">, P. S., </w:t>
      </w:r>
      <w:proofErr w:type="spellStart"/>
      <w:r w:rsidRPr="001B45BE">
        <w:rPr>
          <w:color w:val="000000"/>
        </w:rPr>
        <w:t>Grahe</w:t>
      </w:r>
      <w:proofErr w:type="spellEnd"/>
      <w:r w:rsidRPr="001B45BE">
        <w:rPr>
          <w:color w:val="000000"/>
        </w:rPr>
        <w:t xml:space="preserve">, J. E., McCarthy, R. J., Musser, E. D., </w:t>
      </w:r>
      <w:proofErr w:type="spellStart"/>
      <w:r w:rsidRPr="001B45BE">
        <w:rPr>
          <w:color w:val="000000"/>
        </w:rPr>
        <w:t>Antfolk</w:t>
      </w:r>
      <w:proofErr w:type="spellEnd"/>
      <w:r w:rsidRPr="001B45BE">
        <w:rPr>
          <w:color w:val="000000"/>
        </w:rPr>
        <w:t xml:space="preserve">, J., Castille, C. M., Evans, T. R., Fiedler, S., Flake, J. K., </w:t>
      </w:r>
      <w:proofErr w:type="spellStart"/>
      <w:r w:rsidRPr="001B45BE">
        <w:rPr>
          <w:color w:val="000000"/>
        </w:rPr>
        <w:t>Forero</w:t>
      </w:r>
      <w:proofErr w:type="spellEnd"/>
      <w:r w:rsidRPr="001B45BE">
        <w:rPr>
          <w:color w:val="000000"/>
        </w:rPr>
        <w:t xml:space="preserve">, D. A., Janssen, S. M. J., Keene, J. R., </w:t>
      </w:r>
      <w:proofErr w:type="spellStart"/>
      <w:r w:rsidRPr="001B45BE">
        <w:rPr>
          <w:color w:val="000000"/>
        </w:rPr>
        <w:t>Protzko</w:t>
      </w:r>
      <w:proofErr w:type="spellEnd"/>
      <w:r w:rsidRPr="001B45BE">
        <w:rPr>
          <w:color w:val="000000"/>
        </w:rPr>
        <w:t xml:space="preserve">, J., </w:t>
      </w:r>
      <w:proofErr w:type="spellStart"/>
      <w:r w:rsidRPr="001B45BE">
        <w:rPr>
          <w:color w:val="000000"/>
        </w:rPr>
        <w:t>Aczel</w:t>
      </w:r>
      <w:proofErr w:type="spellEnd"/>
      <w:r w:rsidRPr="001B45BE">
        <w:rPr>
          <w:color w:val="000000"/>
        </w:rPr>
        <w:t xml:space="preserve">, B., … </w:t>
      </w:r>
      <w:proofErr w:type="spellStart"/>
      <w:r w:rsidRPr="001B45BE">
        <w:rPr>
          <w:color w:val="000000"/>
        </w:rPr>
        <w:t>Chartier</w:t>
      </w:r>
      <w:proofErr w:type="spellEnd"/>
      <w:r w:rsidRPr="001B45BE">
        <w:rPr>
          <w:color w:val="000000"/>
        </w:rPr>
        <w:t xml:space="preserve">, C. R. (2018). The psychological science accelerator: Advancing psychology </w:t>
      </w:r>
      <w:r w:rsidRPr="001B45BE">
        <w:rPr>
          <w:color w:val="000000"/>
        </w:rPr>
        <w:lastRenderedPageBreak/>
        <w:t xml:space="preserve">through a distributed collaborative network. </w:t>
      </w:r>
      <w:r w:rsidRPr="001B45BE">
        <w:rPr>
          <w:i/>
          <w:color w:val="000000"/>
        </w:rPr>
        <w:t>Advances in Methods and Practices in Psychological Science</w:t>
      </w:r>
      <w:r w:rsidRPr="001B45BE">
        <w:rPr>
          <w:color w:val="000000"/>
        </w:rPr>
        <w:t xml:space="preserve">, </w:t>
      </w:r>
      <w:r w:rsidRPr="001B45BE">
        <w:rPr>
          <w:i/>
          <w:color w:val="000000"/>
        </w:rPr>
        <w:t>1</w:t>
      </w:r>
      <w:r w:rsidRPr="001B45BE">
        <w:rPr>
          <w:color w:val="000000"/>
        </w:rPr>
        <w:t>(4), 501–515. https://doi.org/10.1177/2515245918797607</w:t>
      </w:r>
    </w:p>
    <w:p w14:paraId="227C2E8C" w14:textId="77777777" w:rsidR="00F854BC" w:rsidRPr="001B45BE" w:rsidRDefault="00000000">
      <w:pPr>
        <w:spacing w:line="480" w:lineRule="auto"/>
        <w:ind w:left="480" w:hanging="480"/>
        <w:rPr>
          <w:color w:val="000000"/>
        </w:rPr>
      </w:pPr>
      <w:r w:rsidRPr="001B45BE">
        <w:rPr>
          <w:color w:val="000000"/>
        </w:rPr>
        <w:t xml:space="preserve">Mountain, J. L., &amp; </w:t>
      </w:r>
      <w:proofErr w:type="spellStart"/>
      <w:r w:rsidRPr="001B45BE">
        <w:rPr>
          <w:color w:val="000000"/>
        </w:rPr>
        <w:t>Risch</w:t>
      </w:r>
      <w:proofErr w:type="spellEnd"/>
      <w:r w:rsidRPr="001B45BE">
        <w:rPr>
          <w:color w:val="000000"/>
        </w:rPr>
        <w:t xml:space="preserve">, N. (2004). Assessing genetic contributions to phenotypic differences among “racial” and “ethnic” groups. </w:t>
      </w:r>
      <w:r w:rsidRPr="001B45BE">
        <w:rPr>
          <w:i/>
          <w:color w:val="000000"/>
        </w:rPr>
        <w:t>Nature Genetics</w:t>
      </w:r>
      <w:r w:rsidRPr="001B45BE">
        <w:rPr>
          <w:color w:val="000000"/>
        </w:rPr>
        <w:t xml:space="preserve">, </w:t>
      </w:r>
      <w:r w:rsidRPr="001B45BE">
        <w:rPr>
          <w:i/>
          <w:color w:val="000000"/>
        </w:rPr>
        <w:t>36</w:t>
      </w:r>
      <w:r w:rsidRPr="001B45BE">
        <w:rPr>
          <w:color w:val="000000"/>
        </w:rPr>
        <w:t>(S11), S48–S53. https://doi.org/10.1038/ng1456</w:t>
      </w:r>
    </w:p>
    <w:p w14:paraId="111264F0" w14:textId="77777777" w:rsidR="00F854BC" w:rsidRPr="001B45BE" w:rsidRDefault="00000000">
      <w:pPr>
        <w:spacing w:line="480" w:lineRule="auto"/>
        <w:ind w:left="480" w:hanging="480"/>
        <w:rPr>
          <w:color w:val="000000"/>
        </w:rPr>
      </w:pPr>
      <w:r w:rsidRPr="001B45BE">
        <w:rPr>
          <w:color w:val="000000"/>
        </w:rPr>
        <w:t xml:space="preserve">Nakasone, R., Fujioka, K., </w:t>
      </w:r>
      <w:proofErr w:type="spellStart"/>
      <w:r w:rsidRPr="001B45BE">
        <w:rPr>
          <w:color w:val="000000"/>
        </w:rPr>
        <w:t>Kyono</w:t>
      </w:r>
      <w:proofErr w:type="spellEnd"/>
      <w:r w:rsidRPr="001B45BE">
        <w:rPr>
          <w:color w:val="000000"/>
        </w:rPr>
        <w:t xml:space="preserve">, Y., Yoshida, A., Kido, T., Suga, S., Abe, S., </w:t>
      </w:r>
      <w:proofErr w:type="spellStart"/>
      <w:r w:rsidRPr="001B45BE">
        <w:rPr>
          <w:color w:val="000000"/>
        </w:rPr>
        <w:t>Ashina</w:t>
      </w:r>
      <w:proofErr w:type="spellEnd"/>
      <w:r w:rsidRPr="001B45BE">
        <w:rPr>
          <w:color w:val="000000"/>
        </w:rPr>
        <w:t xml:space="preserve">, M., Nishida, K., </w:t>
      </w:r>
      <w:proofErr w:type="spellStart"/>
      <w:r w:rsidRPr="001B45BE">
        <w:rPr>
          <w:color w:val="000000"/>
        </w:rPr>
        <w:t>Tanimura</w:t>
      </w:r>
      <w:proofErr w:type="spellEnd"/>
      <w:r w:rsidRPr="001B45BE">
        <w:rPr>
          <w:color w:val="000000"/>
        </w:rPr>
        <w:t xml:space="preserve">, K., Yamada, H., </w:t>
      </w:r>
      <w:proofErr w:type="spellStart"/>
      <w:r w:rsidRPr="001B45BE">
        <w:rPr>
          <w:color w:val="000000"/>
        </w:rPr>
        <w:t>Nozu</w:t>
      </w:r>
      <w:proofErr w:type="spellEnd"/>
      <w:r w:rsidRPr="001B45BE">
        <w:rPr>
          <w:color w:val="000000"/>
        </w:rPr>
        <w:t xml:space="preserve">, K., &amp; </w:t>
      </w:r>
      <w:proofErr w:type="spellStart"/>
      <w:r w:rsidRPr="001B45BE">
        <w:rPr>
          <w:color w:val="000000"/>
        </w:rPr>
        <w:t>Iijima</w:t>
      </w:r>
      <w:proofErr w:type="spellEnd"/>
      <w:r w:rsidRPr="001B45BE">
        <w:rPr>
          <w:color w:val="000000"/>
        </w:rPr>
        <w:t xml:space="preserve">, K. (2021). Neurodevelopmental outcomes at 18 months of corrected age for late preterm infants born at 34 and 35 gestational weeks. </w:t>
      </w:r>
      <w:r w:rsidRPr="001B45BE">
        <w:rPr>
          <w:i/>
          <w:color w:val="000000"/>
        </w:rPr>
        <w:t>International Journal of Environmental Research and Public Health</w:t>
      </w:r>
      <w:r w:rsidRPr="001B45BE">
        <w:rPr>
          <w:color w:val="000000"/>
        </w:rPr>
        <w:t xml:space="preserve">, </w:t>
      </w:r>
      <w:r w:rsidRPr="001B45BE">
        <w:rPr>
          <w:i/>
          <w:color w:val="000000"/>
        </w:rPr>
        <w:t>18</w:t>
      </w:r>
      <w:r w:rsidRPr="001B45BE">
        <w:rPr>
          <w:color w:val="000000"/>
        </w:rPr>
        <w:t xml:space="preserve">(2), 640. </w:t>
      </w:r>
      <w:r w:rsidRPr="001B45BE">
        <w:t>https://doi.org/10.3390/ijerph18020640</w:t>
      </w:r>
    </w:p>
    <w:p w14:paraId="09B707E2" w14:textId="77777777" w:rsidR="00F854BC" w:rsidRPr="001B45BE" w:rsidRDefault="00000000">
      <w:pPr>
        <w:spacing w:line="480" w:lineRule="auto"/>
        <w:ind w:left="480" w:hanging="480"/>
        <w:rPr>
          <w:color w:val="000000"/>
        </w:rPr>
      </w:pPr>
      <w:proofErr w:type="spellStart"/>
      <w:r w:rsidRPr="001B45BE">
        <w:rPr>
          <w:color w:val="000000"/>
        </w:rPr>
        <w:t>Nampijja</w:t>
      </w:r>
      <w:proofErr w:type="spellEnd"/>
      <w:r w:rsidRPr="001B45BE">
        <w:rPr>
          <w:color w:val="000000"/>
        </w:rPr>
        <w:t xml:space="preserve">, M., </w:t>
      </w:r>
      <w:proofErr w:type="spellStart"/>
      <w:r w:rsidRPr="001B45BE">
        <w:rPr>
          <w:color w:val="000000"/>
        </w:rPr>
        <w:t>Apule</w:t>
      </w:r>
      <w:proofErr w:type="spellEnd"/>
      <w:r w:rsidRPr="001B45BE">
        <w:rPr>
          <w:color w:val="000000"/>
        </w:rPr>
        <w:t xml:space="preserve">, B., </w:t>
      </w:r>
      <w:proofErr w:type="spellStart"/>
      <w:r w:rsidRPr="001B45BE">
        <w:rPr>
          <w:color w:val="000000"/>
        </w:rPr>
        <w:t>Lule</w:t>
      </w:r>
      <w:proofErr w:type="spellEnd"/>
      <w:r w:rsidRPr="001B45BE">
        <w:rPr>
          <w:color w:val="000000"/>
        </w:rPr>
        <w:t xml:space="preserve">, S., </w:t>
      </w:r>
      <w:proofErr w:type="spellStart"/>
      <w:r w:rsidRPr="001B45BE">
        <w:rPr>
          <w:color w:val="000000"/>
        </w:rPr>
        <w:t>Akurut</w:t>
      </w:r>
      <w:proofErr w:type="spellEnd"/>
      <w:r w:rsidRPr="001B45BE">
        <w:rPr>
          <w:color w:val="000000"/>
        </w:rPr>
        <w:t xml:space="preserve">, H., </w:t>
      </w:r>
      <w:proofErr w:type="spellStart"/>
      <w:r w:rsidRPr="001B45BE">
        <w:rPr>
          <w:color w:val="000000"/>
        </w:rPr>
        <w:t>Muhangi</w:t>
      </w:r>
      <w:proofErr w:type="spellEnd"/>
      <w:r w:rsidRPr="001B45BE">
        <w:rPr>
          <w:color w:val="000000"/>
        </w:rPr>
        <w:t xml:space="preserve">, L., Elliott, A. M., &amp; </w:t>
      </w:r>
      <w:proofErr w:type="spellStart"/>
      <w:r w:rsidRPr="001B45BE">
        <w:rPr>
          <w:color w:val="000000"/>
        </w:rPr>
        <w:t>Alcock</w:t>
      </w:r>
      <w:proofErr w:type="spellEnd"/>
      <w:r w:rsidRPr="001B45BE">
        <w:rPr>
          <w:color w:val="000000"/>
        </w:rPr>
        <w:t>, K. J. (2010). Adaptation of Western measures of cognition for assessing 5-year-old semi-urban Ugandan children. The British journal of educational psychology, 80(Pt 1), 15–30. https://doi.org/10.1348/000709909X460600</w:t>
      </w:r>
    </w:p>
    <w:p w14:paraId="4DB62186" w14:textId="77777777" w:rsidR="00F854BC" w:rsidRPr="001B45BE" w:rsidRDefault="00000000">
      <w:pPr>
        <w:pBdr>
          <w:top w:val="nil"/>
          <w:left w:val="nil"/>
          <w:bottom w:val="nil"/>
          <w:right w:val="nil"/>
          <w:between w:val="nil"/>
        </w:pBdr>
        <w:spacing w:line="480" w:lineRule="auto"/>
        <w:ind w:left="720" w:hanging="720"/>
        <w:rPr>
          <w:color w:val="000000"/>
        </w:rPr>
      </w:pPr>
      <w:r w:rsidRPr="001B45BE">
        <w:rPr>
          <w:color w:val="000000"/>
        </w:rPr>
        <w:t xml:space="preserve">Nelson, C. A. (2007). A neurobiological perspective on early human deprivation. </w:t>
      </w:r>
      <w:r w:rsidRPr="001B45BE">
        <w:rPr>
          <w:i/>
          <w:color w:val="000000"/>
        </w:rPr>
        <w:t>Child Development Perspectives</w:t>
      </w:r>
      <w:r w:rsidRPr="001B45BE">
        <w:rPr>
          <w:color w:val="000000"/>
        </w:rPr>
        <w:t xml:space="preserve">, </w:t>
      </w:r>
      <w:r w:rsidRPr="001B45BE">
        <w:rPr>
          <w:i/>
          <w:color w:val="000000"/>
        </w:rPr>
        <w:t>1</w:t>
      </w:r>
      <w:r w:rsidRPr="001B45BE">
        <w:rPr>
          <w:color w:val="000000"/>
        </w:rPr>
        <w:t>(1), 13–18. https://doi.org/10.1111/j.1750-8606.2007.00004.x</w:t>
      </w:r>
    </w:p>
    <w:p w14:paraId="5F30E2E6" w14:textId="77777777" w:rsidR="00F854BC" w:rsidRPr="001B45BE" w:rsidRDefault="00000000">
      <w:pPr>
        <w:pBdr>
          <w:top w:val="nil"/>
          <w:left w:val="nil"/>
          <w:bottom w:val="nil"/>
          <w:right w:val="nil"/>
          <w:between w:val="nil"/>
        </w:pBdr>
        <w:spacing w:line="480" w:lineRule="auto"/>
        <w:ind w:left="720" w:hanging="720"/>
        <w:rPr>
          <w:color w:val="000000"/>
        </w:rPr>
      </w:pPr>
      <w:r w:rsidRPr="001B45BE">
        <w:rPr>
          <w:color w:val="000000"/>
        </w:rPr>
        <w:t xml:space="preserve">Nelson, C. A., &amp; </w:t>
      </w:r>
      <w:proofErr w:type="spellStart"/>
      <w:r w:rsidRPr="001B45BE">
        <w:rPr>
          <w:color w:val="000000"/>
        </w:rPr>
        <w:t>Gabard-Durnam</w:t>
      </w:r>
      <w:proofErr w:type="spellEnd"/>
      <w:r w:rsidRPr="001B45BE">
        <w:rPr>
          <w:color w:val="000000"/>
        </w:rPr>
        <w:t xml:space="preserve">, L. J. (2020). Early adversity and critical periods: Neurodevelopmental consequences of violating the expectable environment. </w:t>
      </w:r>
      <w:r w:rsidRPr="001B45BE">
        <w:rPr>
          <w:i/>
          <w:color w:val="000000"/>
        </w:rPr>
        <w:t>Trends in Neurosciences</w:t>
      </w:r>
      <w:r w:rsidRPr="001B45BE">
        <w:rPr>
          <w:color w:val="000000"/>
        </w:rPr>
        <w:t xml:space="preserve">, </w:t>
      </w:r>
      <w:r w:rsidRPr="001B45BE">
        <w:rPr>
          <w:i/>
          <w:color w:val="000000"/>
        </w:rPr>
        <w:t>43</w:t>
      </w:r>
      <w:r w:rsidRPr="001B45BE">
        <w:rPr>
          <w:color w:val="000000"/>
        </w:rPr>
        <w:t>(3), 133–143. https://doi.org/10.1016/j.tins.2020.01.002</w:t>
      </w:r>
    </w:p>
    <w:p w14:paraId="717D8DDC" w14:textId="77777777" w:rsidR="00F854BC" w:rsidRPr="001B45BE" w:rsidRDefault="00000000">
      <w:pPr>
        <w:spacing w:line="480" w:lineRule="auto"/>
        <w:ind w:left="480" w:hanging="480"/>
        <w:rPr>
          <w:color w:val="000000"/>
        </w:rPr>
      </w:pPr>
      <w:r w:rsidRPr="001B45BE">
        <w:rPr>
          <w:color w:val="000000"/>
        </w:rPr>
        <w:t xml:space="preserve">Nielsen, M., &amp; </w:t>
      </w:r>
      <w:proofErr w:type="spellStart"/>
      <w:r w:rsidRPr="001B45BE">
        <w:rPr>
          <w:color w:val="000000"/>
        </w:rPr>
        <w:t>Haun</w:t>
      </w:r>
      <w:proofErr w:type="spellEnd"/>
      <w:r w:rsidRPr="001B45BE">
        <w:rPr>
          <w:color w:val="000000"/>
        </w:rPr>
        <w:t xml:space="preserve">, D. (2016). Why developmental psychology is incomplete without comparative and cross-cultural perspectives. </w:t>
      </w:r>
      <w:r w:rsidRPr="001B45BE">
        <w:rPr>
          <w:i/>
          <w:color w:val="000000"/>
        </w:rPr>
        <w:t xml:space="preserve">Philosophical Transactions of the Royal </w:t>
      </w:r>
      <w:r w:rsidRPr="001B45BE">
        <w:rPr>
          <w:i/>
          <w:color w:val="000000"/>
        </w:rPr>
        <w:lastRenderedPageBreak/>
        <w:t>Society B: Biological Sciences</w:t>
      </w:r>
      <w:r w:rsidRPr="001B45BE">
        <w:rPr>
          <w:color w:val="000000"/>
        </w:rPr>
        <w:t xml:space="preserve">, </w:t>
      </w:r>
      <w:r w:rsidRPr="001B45BE">
        <w:rPr>
          <w:i/>
          <w:color w:val="000000"/>
        </w:rPr>
        <w:t>371</w:t>
      </w:r>
      <w:r w:rsidRPr="001B45BE">
        <w:rPr>
          <w:color w:val="000000"/>
        </w:rPr>
        <w:t>(1686), 20150071. https://doi.org/10.1098/rstb.2015.0071</w:t>
      </w:r>
    </w:p>
    <w:p w14:paraId="78B817DF" w14:textId="77777777" w:rsidR="00F854BC" w:rsidRPr="001B45BE" w:rsidRDefault="00000000">
      <w:pPr>
        <w:spacing w:line="480" w:lineRule="auto"/>
        <w:ind w:left="480" w:hanging="480"/>
        <w:rPr>
          <w:color w:val="000000"/>
        </w:rPr>
      </w:pPr>
      <w:r w:rsidRPr="001B45BE">
        <w:rPr>
          <w:color w:val="000000"/>
        </w:rPr>
        <w:t xml:space="preserve">Nielsen, M., </w:t>
      </w:r>
      <w:proofErr w:type="spellStart"/>
      <w:r w:rsidRPr="001B45BE">
        <w:rPr>
          <w:color w:val="000000"/>
        </w:rPr>
        <w:t>Haun</w:t>
      </w:r>
      <w:proofErr w:type="spellEnd"/>
      <w:r w:rsidRPr="001B45BE">
        <w:rPr>
          <w:color w:val="000000"/>
        </w:rPr>
        <w:t xml:space="preserve">, D., </w:t>
      </w:r>
      <w:proofErr w:type="spellStart"/>
      <w:r w:rsidRPr="001B45BE">
        <w:rPr>
          <w:color w:val="000000"/>
        </w:rPr>
        <w:t>Kärtner</w:t>
      </w:r>
      <w:proofErr w:type="spellEnd"/>
      <w:r w:rsidRPr="001B45BE">
        <w:rPr>
          <w:color w:val="000000"/>
        </w:rPr>
        <w:t xml:space="preserve">, J., &amp; </w:t>
      </w:r>
      <w:proofErr w:type="spellStart"/>
      <w:r w:rsidRPr="001B45BE">
        <w:rPr>
          <w:color w:val="000000"/>
        </w:rPr>
        <w:t>Legare</w:t>
      </w:r>
      <w:proofErr w:type="spellEnd"/>
      <w:r w:rsidRPr="001B45BE">
        <w:rPr>
          <w:color w:val="000000"/>
        </w:rPr>
        <w:t xml:space="preserve">, C. H. (2017). The persistent sampling bias in developmental psychology: A call to action. </w:t>
      </w:r>
      <w:r w:rsidRPr="001B45BE">
        <w:rPr>
          <w:i/>
          <w:color w:val="000000"/>
        </w:rPr>
        <w:t>Journal of Experimental Child Psychology</w:t>
      </w:r>
      <w:r w:rsidRPr="001B45BE">
        <w:rPr>
          <w:color w:val="000000"/>
        </w:rPr>
        <w:t xml:space="preserve">, </w:t>
      </w:r>
      <w:r w:rsidRPr="001B45BE">
        <w:rPr>
          <w:i/>
          <w:color w:val="000000"/>
        </w:rPr>
        <w:t>162</w:t>
      </w:r>
      <w:r w:rsidRPr="001B45BE">
        <w:rPr>
          <w:color w:val="000000"/>
        </w:rPr>
        <w:t>, 31–38. https://doi.org/10.1016/j.jecp.2017.04.017</w:t>
      </w:r>
    </w:p>
    <w:p w14:paraId="4978B607" w14:textId="77777777" w:rsidR="00F854BC" w:rsidRPr="001B45BE" w:rsidRDefault="00000000">
      <w:pPr>
        <w:spacing w:line="480" w:lineRule="auto"/>
        <w:ind w:left="480" w:hanging="480"/>
        <w:rPr>
          <w:color w:val="000000"/>
        </w:rPr>
      </w:pPr>
      <w:r w:rsidRPr="001B45BE">
        <w:rPr>
          <w:color w:val="000000"/>
        </w:rPr>
        <w:t xml:space="preserve">Noble, K. G., Houston, S. M., Brito, N. H., Bartsch, H., Kan, E., </w:t>
      </w:r>
      <w:proofErr w:type="spellStart"/>
      <w:r w:rsidRPr="001B45BE">
        <w:rPr>
          <w:color w:val="000000"/>
        </w:rPr>
        <w:t>Kuperman</w:t>
      </w:r>
      <w:proofErr w:type="spellEnd"/>
      <w:r w:rsidRPr="001B45BE">
        <w:rPr>
          <w:color w:val="000000"/>
        </w:rPr>
        <w:t xml:space="preserve">, J. M., </w:t>
      </w:r>
      <w:proofErr w:type="spellStart"/>
      <w:r w:rsidRPr="001B45BE">
        <w:rPr>
          <w:color w:val="000000"/>
        </w:rPr>
        <w:t>Akshoomoff</w:t>
      </w:r>
      <w:proofErr w:type="spellEnd"/>
      <w:r w:rsidRPr="001B45BE">
        <w:rPr>
          <w:color w:val="000000"/>
        </w:rPr>
        <w:t xml:space="preserve">, N., Amaral, D. G., </w:t>
      </w:r>
      <w:proofErr w:type="spellStart"/>
      <w:r w:rsidRPr="001B45BE">
        <w:rPr>
          <w:color w:val="000000"/>
        </w:rPr>
        <w:t>Bloss</w:t>
      </w:r>
      <w:proofErr w:type="spellEnd"/>
      <w:r w:rsidRPr="001B45BE">
        <w:rPr>
          <w:color w:val="000000"/>
        </w:rPr>
        <w:t xml:space="preserve">, C. S., </w:t>
      </w:r>
      <w:proofErr w:type="spellStart"/>
      <w:r w:rsidRPr="001B45BE">
        <w:rPr>
          <w:color w:val="000000"/>
        </w:rPr>
        <w:t>Libiger</w:t>
      </w:r>
      <w:proofErr w:type="spellEnd"/>
      <w:r w:rsidRPr="001B45BE">
        <w:rPr>
          <w:color w:val="000000"/>
        </w:rPr>
        <w:t xml:space="preserve">, O., </w:t>
      </w:r>
      <w:proofErr w:type="spellStart"/>
      <w:r w:rsidRPr="001B45BE">
        <w:rPr>
          <w:color w:val="000000"/>
        </w:rPr>
        <w:t>Schork</w:t>
      </w:r>
      <w:proofErr w:type="spellEnd"/>
      <w:r w:rsidRPr="001B45BE">
        <w:rPr>
          <w:color w:val="000000"/>
        </w:rPr>
        <w:t xml:space="preserve">, N. J., Murray, S. S., Casey, B. J., Chang, L., Ernst, T. M., Frazier, J. A., Gruen, J. R., Kennedy, D. N., Van </w:t>
      </w:r>
      <w:proofErr w:type="spellStart"/>
      <w:r w:rsidRPr="001B45BE">
        <w:rPr>
          <w:color w:val="000000"/>
        </w:rPr>
        <w:t>Zijl</w:t>
      </w:r>
      <w:proofErr w:type="spellEnd"/>
      <w:r w:rsidRPr="001B45BE">
        <w:rPr>
          <w:color w:val="000000"/>
        </w:rPr>
        <w:t xml:space="preserve">, P., … Sowell, E. R. (2015). Family income, parental education and brain structure in children and adolescents. </w:t>
      </w:r>
      <w:r w:rsidRPr="001B45BE">
        <w:rPr>
          <w:i/>
          <w:color w:val="000000"/>
        </w:rPr>
        <w:t>Nature Neuroscience</w:t>
      </w:r>
      <w:r w:rsidRPr="001B45BE">
        <w:rPr>
          <w:color w:val="000000"/>
        </w:rPr>
        <w:t xml:space="preserve">, </w:t>
      </w:r>
      <w:r w:rsidRPr="001B45BE">
        <w:rPr>
          <w:i/>
          <w:color w:val="000000"/>
        </w:rPr>
        <w:t>18</w:t>
      </w:r>
      <w:r w:rsidRPr="001B45BE">
        <w:rPr>
          <w:color w:val="000000"/>
        </w:rPr>
        <w:t>(5), 773–778. https://doi.org/10.1038/nn.3983</w:t>
      </w:r>
    </w:p>
    <w:p w14:paraId="36EC19AA" w14:textId="77777777" w:rsidR="00F854BC" w:rsidRPr="001B45BE" w:rsidRDefault="00000000">
      <w:pPr>
        <w:spacing w:line="480" w:lineRule="auto"/>
        <w:ind w:left="480" w:hanging="480"/>
        <w:rPr>
          <w:color w:val="000000"/>
        </w:rPr>
      </w:pPr>
      <w:r w:rsidRPr="001B45BE">
        <w:rPr>
          <w:color w:val="000000"/>
        </w:rPr>
        <w:t xml:space="preserve">Oakes, L. M. (2017). Sample size, statistical power, and false conclusions in infant looking-time research. </w:t>
      </w:r>
      <w:r w:rsidRPr="001B45BE">
        <w:rPr>
          <w:i/>
          <w:color w:val="000000"/>
        </w:rPr>
        <w:t>Infancy</w:t>
      </w:r>
      <w:r w:rsidRPr="001B45BE">
        <w:rPr>
          <w:color w:val="000000"/>
        </w:rPr>
        <w:t xml:space="preserve">, </w:t>
      </w:r>
      <w:r w:rsidRPr="001B45BE">
        <w:rPr>
          <w:i/>
          <w:color w:val="000000"/>
        </w:rPr>
        <w:t>22</w:t>
      </w:r>
      <w:r w:rsidRPr="001B45BE">
        <w:rPr>
          <w:color w:val="000000"/>
        </w:rPr>
        <w:t>(4), 436–469. https://doi.org/10.1111/infa.12186</w:t>
      </w:r>
    </w:p>
    <w:p w14:paraId="1AA1508C" w14:textId="77777777" w:rsidR="00F854BC" w:rsidRPr="001B45BE" w:rsidRDefault="00000000">
      <w:pPr>
        <w:spacing w:line="480" w:lineRule="auto"/>
        <w:ind w:left="480" w:hanging="480"/>
        <w:rPr>
          <w:color w:val="000000"/>
        </w:rPr>
      </w:pPr>
      <w:r w:rsidRPr="001B45BE">
        <w:rPr>
          <w:color w:val="000000"/>
        </w:rPr>
        <w:t xml:space="preserve">O’Connell, M. (2019). Is the impact of SES on educational performance overestimated? Evidence from the PISA survey. </w:t>
      </w:r>
      <w:r w:rsidRPr="001B45BE">
        <w:rPr>
          <w:i/>
          <w:color w:val="000000"/>
        </w:rPr>
        <w:t>Intelligence</w:t>
      </w:r>
      <w:r w:rsidRPr="001B45BE">
        <w:rPr>
          <w:color w:val="000000"/>
        </w:rPr>
        <w:t xml:space="preserve">, </w:t>
      </w:r>
      <w:r w:rsidRPr="001B45BE">
        <w:rPr>
          <w:i/>
          <w:color w:val="000000"/>
        </w:rPr>
        <w:t>75</w:t>
      </w:r>
      <w:r w:rsidRPr="001B45BE">
        <w:rPr>
          <w:color w:val="000000"/>
        </w:rPr>
        <w:t>, 41–47. https://doi.org/10.1016/j.intell.2019.04.005</w:t>
      </w:r>
    </w:p>
    <w:p w14:paraId="399BD0C5" w14:textId="77777777" w:rsidR="00F854BC" w:rsidRPr="001B45BE" w:rsidRDefault="00000000">
      <w:pPr>
        <w:spacing w:line="480" w:lineRule="auto"/>
        <w:ind w:left="480" w:hanging="480"/>
        <w:rPr>
          <w:color w:val="000000"/>
        </w:rPr>
      </w:pPr>
      <w:r w:rsidRPr="001B45BE">
        <w:rPr>
          <w:color w:val="000000"/>
        </w:rPr>
        <w:t xml:space="preserve">Olson, K. R., </w:t>
      </w:r>
      <w:proofErr w:type="spellStart"/>
      <w:r w:rsidRPr="001B45BE">
        <w:rPr>
          <w:color w:val="000000"/>
        </w:rPr>
        <w:t>Durwood</w:t>
      </w:r>
      <w:proofErr w:type="spellEnd"/>
      <w:r w:rsidRPr="001B45BE">
        <w:rPr>
          <w:color w:val="000000"/>
        </w:rPr>
        <w:t xml:space="preserve">, L., </w:t>
      </w:r>
      <w:proofErr w:type="spellStart"/>
      <w:r w:rsidRPr="001B45BE">
        <w:rPr>
          <w:color w:val="000000"/>
        </w:rPr>
        <w:t>DeMeules</w:t>
      </w:r>
      <w:proofErr w:type="spellEnd"/>
      <w:r w:rsidRPr="001B45BE">
        <w:rPr>
          <w:color w:val="000000"/>
        </w:rPr>
        <w:t xml:space="preserve">, M., &amp; McLaughlin, K. A. (2016). Mental health of transgender children who are supported in their identities. </w:t>
      </w:r>
      <w:r w:rsidRPr="001B45BE">
        <w:rPr>
          <w:i/>
          <w:color w:val="000000"/>
        </w:rPr>
        <w:t>Pediatrics</w:t>
      </w:r>
      <w:r w:rsidRPr="001B45BE">
        <w:rPr>
          <w:color w:val="000000"/>
        </w:rPr>
        <w:t xml:space="preserve">, </w:t>
      </w:r>
      <w:r w:rsidRPr="001B45BE">
        <w:rPr>
          <w:i/>
          <w:color w:val="000000"/>
        </w:rPr>
        <w:t>137</w:t>
      </w:r>
      <w:r w:rsidRPr="001B45BE">
        <w:rPr>
          <w:color w:val="000000"/>
        </w:rPr>
        <w:t>(3), e20153223. https://doi.org/10.1542/peds.2015-3223</w:t>
      </w:r>
    </w:p>
    <w:p w14:paraId="29A4DB1A" w14:textId="77777777" w:rsidR="00F854BC" w:rsidRPr="001B45BE" w:rsidRDefault="00000000">
      <w:pPr>
        <w:pBdr>
          <w:top w:val="nil"/>
          <w:left w:val="nil"/>
          <w:bottom w:val="nil"/>
          <w:right w:val="nil"/>
          <w:between w:val="nil"/>
        </w:pBdr>
        <w:spacing w:line="480" w:lineRule="auto"/>
        <w:ind w:left="720" w:hanging="720"/>
        <w:rPr>
          <w:color w:val="000000"/>
        </w:rPr>
      </w:pPr>
      <w:r w:rsidRPr="001B45BE">
        <w:rPr>
          <w:color w:val="000000"/>
        </w:rPr>
        <w:t xml:space="preserve">Olson, L., Chen, B., &amp; Fishman, I. (2021). Neural correlates of socioeconomic status in early childhood: A systematic review of the literature. </w:t>
      </w:r>
      <w:r w:rsidRPr="001B45BE">
        <w:rPr>
          <w:i/>
          <w:color w:val="000000"/>
        </w:rPr>
        <w:t>Child Neuropsychology</w:t>
      </w:r>
      <w:r w:rsidRPr="001B45BE">
        <w:rPr>
          <w:color w:val="000000"/>
        </w:rPr>
        <w:t xml:space="preserve">, </w:t>
      </w:r>
      <w:r w:rsidRPr="001B45BE">
        <w:rPr>
          <w:i/>
          <w:color w:val="000000"/>
        </w:rPr>
        <w:t>27</w:t>
      </w:r>
      <w:r w:rsidRPr="001B45BE">
        <w:rPr>
          <w:color w:val="000000"/>
        </w:rPr>
        <w:t>(3), 390–423. https://doi.org/10.1080/09297049.2021.1879766</w:t>
      </w:r>
    </w:p>
    <w:p w14:paraId="34763D80" w14:textId="77777777" w:rsidR="00F854BC" w:rsidRPr="001B45BE" w:rsidRDefault="00000000">
      <w:pPr>
        <w:spacing w:line="480" w:lineRule="auto"/>
        <w:ind w:left="480" w:hanging="480"/>
        <w:rPr>
          <w:color w:val="000000"/>
        </w:rPr>
      </w:pPr>
      <w:r w:rsidRPr="001B45BE">
        <w:rPr>
          <w:color w:val="000000"/>
        </w:rPr>
        <w:lastRenderedPageBreak/>
        <w:t xml:space="preserve">Orena, A. J., Byers-Heinlein, K., &amp; Polka, L. (2020). What do bilingual infants actually hear? Evaluating measures of language input to bilingual-learning 10-month-olds. </w:t>
      </w:r>
      <w:r w:rsidRPr="001B45BE">
        <w:rPr>
          <w:i/>
          <w:color w:val="000000"/>
        </w:rPr>
        <w:t>Developmental Science</w:t>
      </w:r>
      <w:r w:rsidRPr="001B45BE">
        <w:rPr>
          <w:color w:val="000000"/>
        </w:rPr>
        <w:t xml:space="preserve">, </w:t>
      </w:r>
      <w:r w:rsidRPr="001B45BE">
        <w:rPr>
          <w:i/>
          <w:color w:val="000000"/>
        </w:rPr>
        <w:t>23</w:t>
      </w:r>
      <w:r w:rsidRPr="001B45BE">
        <w:rPr>
          <w:color w:val="000000"/>
        </w:rPr>
        <w:t>(2). https://doi.org/10.1111/desc.12901</w:t>
      </w:r>
    </w:p>
    <w:p w14:paraId="37223529" w14:textId="77777777" w:rsidR="00F854BC" w:rsidRPr="001B45BE" w:rsidRDefault="00000000">
      <w:pPr>
        <w:pBdr>
          <w:top w:val="nil"/>
          <w:left w:val="nil"/>
          <w:bottom w:val="nil"/>
          <w:right w:val="nil"/>
          <w:between w:val="nil"/>
        </w:pBdr>
        <w:spacing w:line="480" w:lineRule="auto"/>
        <w:ind w:left="720" w:hanging="720"/>
        <w:rPr>
          <w:color w:val="000000"/>
        </w:rPr>
      </w:pPr>
      <w:proofErr w:type="spellStart"/>
      <w:r w:rsidRPr="001B45BE">
        <w:rPr>
          <w:color w:val="000000"/>
        </w:rPr>
        <w:t>Pakko</w:t>
      </w:r>
      <w:proofErr w:type="spellEnd"/>
      <w:r w:rsidRPr="001B45BE">
        <w:rPr>
          <w:color w:val="000000"/>
        </w:rPr>
        <w:t xml:space="preserve">, M. R., &amp; Pollard, P. S. (2003). </w:t>
      </w:r>
      <w:proofErr w:type="spellStart"/>
      <w:r w:rsidRPr="001B45BE">
        <w:rPr>
          <w:color w:val="000000"/>
        </w:rPr>
        <w:t>Burgernomics</w:t>
      </w:r>
      <w:proofErr w:type="spellEnd"/>
      <w:r w:rsidRPr="001B45BE">
        <w:rPr>
          <w:color w:val="000000"/>
        </w:rPr>
        <w:t xml:space="preserve">: A Big </w:t>
      </w:r>
      <w:proofErr w:type="spellStart"/>
      <w:r w:rsidRPr="001B45BE">
        <w:rPr>
          <w:color w:val="000000"/>
        </w:rPr>
        <w:t>Mac</w:t>
      </w:r>
      <w:r w:rsidRPr="001B45BE">
        <w:rPr>
          <w:color w:val="000000"/>
          <w:vertAlign w:val="superscript"/>
        </w:rPr>
        <w:t>TM</w:t>
      </w:r>
      <w:proofErr w:type="spellEnd"/>
      <w:r w:rsidRPr="001B45BE">
        <w:rPr>
          <w:color w:val="000000"/>
        </w:rPr>
        <w:t xml:space="preserve"> Guide to Purchasing Power Parity. </w:t>
      </w:r>
      <w:r w:rsidRPr="001B45BE">
        <w:rPr>
          <w:i/>
          <w:color w:val="000000"/>
        </w:rPr>
        <w:t>Review</w:t>
      </w:r>
      <w:r w:rsidRPr="001B45BE">
        <w:rPr>
          <w:color w:val="000000"/>
        </w:rPr>
        <w:t xml:space="preserve">, </w:t>
      </w:r>
      <w:r w:rsidRPr="001B45BE">
        <w:rPr>
          <w:i/>
          <w:color w:val="000000"/>
        </w:rPr>
        <w:t>85</w:t>
      </w:r>
      <w:r w:rsidRPr="001B45BE">
        <w:rPr>
          <w:color w:val="000000"/>
        </w:rPr>
        <w:t>(6). https://doi.org/10.20955/r.85.9-28</w:t>
      </w:r>
    </w:p>
    <w:p w14:paraId="365E41AF" w14:textId="77777777" w:rsidR="00F854BC" w:rsidRPr="001B45BE" w:rsidRDefault="00000000">
      <w:pPr>
        <w:spacing w:line="480" w:lineRule="auto"/>
        <w:ind w:left="480" w:hanging="480"/>
        <w:rPr>
          <w:color w:val="000000"/>
        </w:rPr>
      </w:pPr>
      <w:proofErr w:type="spellStart"/>
      <w:r w:rsidRPr="001B45BE">
        <w:rPr>
          <w:color w:val="000000"/>
        </w:rPr>
        <w:t>Pancsofar</w:t>
      </w:r>
      <w:proofErr w:type="spellEnd"/>
      <w:r w:rsidRPr="001B45BE">
        <w:rPr>
          <w:color w:val="000000"/>
        </w:rPr>
        <w:t>, N., &amp; Vernon-</w:t>
      </w:r>
      <w:proofErr w:type="spellStart"/>
      <w:r w:rsidRPr="001B45BE">
        <w:rPr>
          <w:color w:val="000000"/>
        </w:rPr>
        <w:t>Feagans</w:t>
      </w:r>
      <w:proofErr w:type="spellEnd"/>
      <w:r w:rsidRPr="001B45BE">
        <w:rPr>
          <w:color w:val="000000"/>
        </w:rPr>
        <w:t xml:space="preserve">, L. (2010). Fathers’ early contributions to children’s language development in families from low-income rural communities. </w:t>
      </w:r>
      <w:r w:rsidRPr="001B45BE">
        <w:rPr>
          <w:i/>
          <w:color w:val="000000"/>
        </w:rPr>
        <w:t>Early Childhood Research Quarterly</w:t>
      </w:r>
      <w:r w:rsidRPr="001B45BE">
        <w:rPr>
          <w:color w:val="000000"/>
        </w:rPr>
        <w:t xml:space="preserve">, </w:t>
      </w:r>
      <w:r w:rsidRPr="001B45BE">
        <w:rPr>
          <w:i/>
          <w:color w:val="000000"/>
        </w:rPr>
        <w:t>25</w:t>
      </w:r>
      <w:r w:rsidRPr="001B45BE">
        <w:rPr>
          <w:color w:val="000000"/>
        </w:rPr>
        <w:t>(4), 450–463. https://doi.org/10.1016/j.ecresq.2010.02.001</w:t>
      </w:r>
    </w:p>
    <w:p w14:paraId="590A9D9B" w14:textId="77777777" w:rsidR="00F854BC" w:rsidRPr="001B45BE" w:rsidRDefault="00000000">
      <w:pPr>
        <w:spacing w:line="480" w:lineRule="auto"/>
        <w:ind w:left="480" w:hanging="480"/>
        <w:rPr>
          <w:color w:val="000000"/>
        </w:rPr>
      </w:pPr>
      <w:proofErr w:type="spellStart"/>
      <w:r w:rsidRPr="001B45BE">
        <w:rPr>
          <w:color w:val="000000"/>
        </w:rPr>
        <w:t>Parameshwaran</w:t>
      </w:r>
      <w:proofErr w:type="spellEnd"/>
      <w:r w:rsidRPr="001B45BE">
        <w:rPr>
          <w:color w:val="000000"/>
        </w:rPr>
        <w:t xml:space="preserve">, M., &amp; </w:t>
      </w:r>
      <w:proofErr w:type="spellStart"/>
      <w:r w:rsidRPr="001B45BE">
        <w:rPr>
          <w:color w:val="000000"/>
        </w:rPr>
        <w:t>Engzell</w:t>
      </w:r>
      <w:proofErr w:type="spellEnd"/>
      <w:r w:rsidRPr="001B45BE">
        <w:rPr>
          <w:color w:val="000000"/>
        </w:rPr>
        <w:t xml:space="preserve">, P. (2015). Ethnicity in England: What parents’ country of birth can and can’t tell us about their children’s ethnic identification. </w:t>
      </w:r>
      <w:r w:rsidRPr="001B45BE">
        <w:rPr>
          <w:i/>
          <w:color w:val="000000"/>
        </w:rPr>
        <w:t>Journal of Ethnic and Migration Studies</w:t>
      </w:r>
      <w:r w:rsidRPr="001B45BE">
        <w:rPr>
          <w:color w:val="000000"/>
        </w:rPr>
        <w:t xml:space="preserve">, </w:t>
      </w:r>
      <w:r w:rsidRPr="001B45BE">
        <w:rPr>
          <w:i/>
          <w:color w:val="000000"/>
        </w:rPr>
        <w:t>41</w:t>
      </w:r>
      <w:r w:rsidRPr="001B45BE">
        <w:rPr>
          <w:color w:val="000000"/>
        </w:rPr>
        <w:t>(3), 399–424. https://doi.org/10.1080/1369183X.2014.920690</w:t>
      </w:r>
    </w:p>
    <w:p w14:paraId="074D24A5" w14:textId="77777777" w:rsidR="00F854BC" w:rsidRPr="001B45BE" w:rsidRDefault="00000000">
      <w:pPr>
        <w:pBdr>
          <w:top w:val="nil"/>
          <w:left w:val="nil"/>
          <w:bottom w:val="nil"/>
          <w:right w:val="nil"/>
          <w:between w:val="nil"/>
        </w:pBdr>
        <w:spacing w:line="480" w:lineRule="auto"/>
        <w:ind w:left="720" w:hanging="720"/>
        <w:rPr>
          <w:color w:val="000000"/>
        </w:rPr>
      </w:pPr>
      <w:r w:rsidRPr="001B45BE">
        <w:rPr>
          <w:color w:val="000000"/>
        </w:rPr>
        <w:t xml:space="preserve">Posner, D. N. (2007). Regime change and ethnic cleavages in Africa. </w:t>
      </w:r>
      <w:r w:rsidRPr="001B45BE">
        <w:rPr>
          <w:i/>
          <w:color w:val="000000"/>
        </w:rPr>
        <w:t>Comparative Political Studies</w:t>
      </w:r>
      <w:r w:rsidRPr="001B45BE">
        <w:rPr>
          <w:color w:val="000000"/>
        </w:rPr>
        <w:t xml:space="preserve">, </w:t>
      </w:r>
      <w:r w:rsidRPr="001B45BE">
        <w:rPr>
          <w:i/>
          <w:color w:val="000000"/>
        </w:rPr>
        <w:t>40</w:t>
      </w:r>
      <w:r w:rsidRPr="001B45BE">
        <w:rPr>
          <w:color w:val="000000"/>
        </w:rPr>
        <w:t>(11), 1302–1327. https://doi.org/10.1177/0010414006291832</w:t>
      </w:r>
    </w:p>
    <w:p w14:paraId="35837F8B" w14:textId="77777777" w:rsidR="00F854BC" w:rsidRPr="001B45BE" w:rsidRDefault="00000000">
      <w:pPr>
        <w:spacing w:line="480" w:lineRule="auto"/>
        <w:ind w:left="480" w:hanging="480"/>
        <w:rPr>
          <w:color w:val="000000"/>
        </w:rPr>
      </w:pPr>
      <w:r w:rsidRPr="001B45BE">
        <w:rPr>
          <w:color w:val="000000"/>
        </w:rPr>
        <w:t xml:space="preserve">Rad, M. S., </w:t>
      </w:r>
      <w:proofErr w:type="spellStart"/>
      <w:r w:rsidRPr="001B45BE">
        <w:rPr>
          <w:color w:val="000000"/>
        </w:rPr>
        <w:t>Martingano</w:t>
      </w:r>
      <w:proofErr w:type="spellEnd"/>
      <w:r w:rsidRPr="001B45BE">
        <w:rPr>
          <w:color w:val="000000"/>
        </w:rPr>
        <w:t xml:space="preserve">, A. J., &amp; </w:t>
      </w:r>
      <w:proofErr w:type="spellStart"/>
      <w:r w:rsidRPr="001B45BE">
        <w:rPr>
          <w:color w:val="000000"/>
        </w:rPr>
        <w:t>Ginges</w:t>
      </w:r>
      <w:proofErr w:type="spellEnd"/>
      <w:r w:rsidRPr="001B45BE">
        <w:rPr>
          <w:color w:val="000000"/>
        </w:rPr>
        <w:t xml:space="preserve">, J. (2018). Toward a psychology of </w:t>
      </w:r>
      <w:r w:rsidRPr="001B45BE">
        <w:rPr>
          <w:i/>
          <w:color w:val="000000"/>
        </w:rPr>
        <w:t>Homo sapiens</w:t>
      </w:r>
      <w:r w:rsidRPr="001B45BE">
        <w:rPr>
          <w:color w:val="000000"/>
        </w:rPr>
        <w:t xml:space="preserve">: Making psychological science more representative of the human population. </w:t>
      </w:r>
      <w:r w:rsidRPr="001B45BE">
        <w:rPr>
          <w:i/>
          <w:color w:val="000000"/>
        </w:rPr>
        <w:t>Proceedings of the National Academy of Sciences</w:t>
      </w:r>
      <w:r w:rsidRPr="001B45BE">
        <w:rPr>
          <w:color w:val="000000"/>
        </w:rPr>
        <w:t xml:space="preserve">, </w:t>
      </w:r>
      <w:r w:rsidRPr="001B45BE">
        <w:rPr>
          <w:i/>
          <w:color w:val="000000"/>
        </w:rPr>
        <w:t>115</w:t>
      </w:r>
      <w:r w:rsidRPr="001B45BE">
        <w:rPr>
          <w:color w:val="000000"/>
        </w:rPr>
        <w:t>(45), 11401–11405. https://doi.org/10.1073/pnas.1721165115</w:t>
      </w:r>
    </w:p>
    <w:p w14:paraId="10C0DAC7" w14:textId="77777777" w:rsidR="00F854BC" w:rsidRPr="001B45BE" w:rsidRDefault="00000000">
      <w:pPr>
        <w:pBdr>
          <w:top w:val="nil"/>
          <w:left w:val="nil"/>
          <w:bottom w:val="nil"/>
          <w:right w:val="nil"/>
          <w:between w:val="nil"/>
        </w:pBdr>
        <w:spacing w:line="480" w:lineRule="auto"/>
        <w:ind w:left="720" w:hanging="720"/>
        <w:rPr>
          <w:color w:val="000000"/>
        </w:rPr>
      </w:pPr>
      <w:proofErr w:type="spellStart"/>
      <w:r w:rsidRPr="001B45BE">
        <w:rPr>
          <w:color w:val="000000"/>
        </w:rPr>
        <w:t>Ravallion</w:t>
      </w:r>
      <w:proofErr w:type="spellEnd"/>
      <w:r w:rsidRPr="001B45BE">
        <w:rPr>
          <w:color w:val="000000"/>
        </w:rPr>
        <w:t xml:space="preserve">, M. (2012). Poor, or just feeling poor? On using subjective data in measuring poverty. In </w:t>
      </w:r>
      <w:r w:rsidRPr="001B45BE">
        <w:rPr>
          <w:i/>
          <w:color w:val="000000"/>
        </w:rPr>
        <w:t>World Bank policy research working paper</w:t>
      </w:r>
      <w:r w:rsidRPr="001B45BE">
        <w:rPr>
          <w:color w:val="000000"/>
        </w:rPr>
        <w:t>. https://doi.org/10.1596/1813-9450-5968</w:t>
      </w:r>
    </w:p>
    <w:p w14:paraId="5195D19E" w14:textId="77777777" w:rsidR="00F854BC" w:rsidRPr="001B45BE" w:rsidRDefault="00000000">
      <w:pPr>
        <w:pBdr>
          <w:top w:val="nil"/>
          <w:left w:val="nil"/>
          <w:bottom w:val="nil"/>
          <w:right w:val="nil"/>
          <w:between w:val="nil"/>
        </w:pBdr>
        <w:spacing w:line="480" w:lineRule="auto"/>
        <w:ind w:left="720" w:hanging="720"/>
        <w:rPr>
          <w:color w:val="000000"/>
        </w:rPr>
      </w:pPr>
      <w:r w:rsidRPr="001B45BE">
        <w:rPr>
          <w:color w:val="000000"/>
        </w:rPr>
        <w:t xml:space="preserve">Rocha, Z. L., &amp; Yeoh, B. S. A. (2022). Orang </w:t>
      </w:r>
      <w:proofErr w:type="spellStart"/>
      <w:r w:rsidRPr="001B45BE">
        <w:rPr>
          <w:color w:val="000000"/>
        </w:rPr>
        <w:t>Cina</w:t>
      </w:r>
      <w:proofErr w:type="spellEnd"/>
      <w:r w:rsidRPr="001B45BE">
        <w:rPr>
          <w:color w:val="000000"/>
        </w:rPr>
        <w:t xml:space="preserve"> </w:t>
      </w:r>
      <w:proofErr w:type="spellStart"/>
      <w:r w:rsidRPr="001B45BE">
        <w:rPr>
          <w:color w:val="000000"/>
        </w:rPr>
        <w:t>Bukan</w:t>
      </w:r>
      <w:proofErr w:type="spellEnd"/>
      <w:r w:rsidRPr="001B45BE">
        <w:rPr>
          <w:color w:val="000000"/>
        </w:rPr>
        <w:t xml:space="preserve"> </w:t>
      </w:r>
      <w:proofErr w:type="spellStart"/>
      <w:r w:rsidRPr="001B45BE">
        <w:rPr>
          <w:color w:val="000000"/>
        </w:rPr>
        <w:t>Cina</w:t>
      </w:r>
      <w:proofErr w:type="spellEnd"/>
      <w:r w:rsidRPr="001B45BE">
        <w:rPr>
          <w:color w:val="000000"/>
        </w:rPr>
        <w:t xml:space="preserve">: being Peranakan, (not) being Chinese and the social construction of race in Singapore. </w:t>
      </w:r>
      <w:r w:rsidRPr="001B45BE">
        <w:rPr>
          <w:i/>
          <w:color w:val="000000"/>
        </w:rPr>
        <w:t>Identities-global Studies in Culture and Power</w:t>
      </w:r>
      <w:r w:rsidRPr="001B45BE">
        <w:rPr>
          <w:color w:val="000000"/>
        </w:rPr>
        <w:t>, 1–20. https://doi.org/10.1080/1070289x.2022.2145775</w:t>
      </w:r>
    </w:p>
    <w:p w14:paraId="7B97859E" w14:textId="77777777" w:rsidR="00F854BC" w:rsidRPr="001B45BE" w:rsidRDefault="00000000">
      <w:pPr>
        <w:spacing w:line="480" w:lineRule="auto"/>
        <w:ind w:left="480" w:hanging="480"/>
        <w:rPr>
          <w:color w:val="000000"/>
        </w:rPr>
      </w:pPr>
      <w:r w:rsidRPr="001B45BE">
        <w:rPr>
          <w:color w:val="000000"/>
        </w:rPr>
        <w:lastRenderedPageBreak/>
        <w:t xml:space="preserve">Rocha-Hidalgo, J., &amp; Barr, R. (2022). Defining bilingualism in infancy and toddlerhood: A scoping review. </w:t>
      </w:r>
      <w:r w:rsidRPr="001B45BE">
        <w:rPr>
          <w:i/>
          <w:color w:val="000000"/>
        </w:rPr>
        <w:t>International Journal of Bilingualism</w:t>
      </w:r>
      <w:r w:rsidRPr="001B45BE">
        <w:rPr>
          <w:color w:val="000000"/>
        </w:rPr>
        <w:t>, 136700692110690. https://doi.org/10.1177/13670069211069067</w:t>
      </w:r>
    </w:p>
    <w:p w14:paraId="7EEDFBD3" w14:textId="77777777" w:rsidR="00F854BC" w:rsidRPr="001B45BE" w:rsidRDefault="00000000">
      <w:pPr>
        <w:spacing w:line="480" w:lineRule="auto"/>
        <w:ind w:left="480" w:hanging="480"/>
        <w:rPr>
          <w:color w:val="000000"/>
        </w:rPr>
      </w:pPr>
      <w:r w:rsidRPr="001B45BE">
        <w:rPr>
          <w:color w:val="000000"/>
        </w:rPr>
        <w:t xml:space="preserve">Rogoff, B., Dahl, A., &amp; Callanan, M. (2018). The importance of understanding children’s lived experience. </w:t>
      </w:r>
      <w:r w:rsidRPr="001B45BE">
        <w:rPr>
          <w:i/>
          <w:color w:val="000000"/>
        </w:rPr>
        <w:t>Developmental Review</w:t>
      </w:r>
      <w:r w:rsidRPr="001B45BE">
        <w:rPr>
          <w:color w:val="000000"/>
        </w:rPr>
        <w:t xml:space="preserve">, </w:t>
      </w:r>
      <w:r w:rsidRPr="001B45BE">
        <w:rPr>
          <w:i/>
          <w:color w:val="000000"/>
        </w:rPr>
        <w:t>50</w:t>
      </w:r>
      <w:r w:rsidRPr="001B45BE">
        <w:rPr>
          <w:color w:val="000000"/>
        </w:rPr>
        <w:t>, 5–15. https://doi.org/10.1016/j.dr.2018.05.006</w:t>
      </w:r>
    </w:p>
    <w:p w14:paraId="0AE2D08E" w14:textId="77777777" w:rsidR="00F854BC" w:rsidRPr="001B45BE" w:rsidRDefault="00000000">
      <w:pPr>
        <w:spacing w:line="480" w:lineRule="auto"/>
        <w:ind w:left="480" w:hanging="480"/>
        <w:rPr>
          <w:color w:val="000000"/>
        </w:rPr>
      </w:pPr>
      <w:proofErr w:type="spellStart"/>
      <w:r w:rsidRPr="001B45BE">
        <w:rPr>
          <w:color w:val="000000"/>
        </w:rPr>
        <w:t>Roisman</w:t>
      </w:r>
      <w:proofErr w:type="spellEnd"/>
      <w:r w:rsidRPr="001B45BE">
        <w:rPr>
          <w:color w:val="000000"/>
        </w:rPr>
        <w:t xml:space="preserve">, G. I. (2021). Editorial: A vision of a fair and efficient, </w:t>
      </w:r>
      <w:proofErr w:type="gramStart"/>
      <w:r w:rsidRPr="001B45BE">
        <w:rPr>
          <w:color w:val="000000"/>
        </w:rPr>
        <w:t>diverse</w:t>
      </w:r>
      <w:proofErr w:type="gramEnd"/>
      <w:r w:rsidRPr="001B45BE">
        <w:rPr>
          <w:color w:val="000000"/>
        </w:rPr>
        <w:t xml:space="preserve"> and inclusive, cumulative science of child development in the best and worst of times. </w:t>
      </w:r>
      <w:r w:rsidRPr="001B45BE">
        <w:rPr>
          <w:i/>
          <w:color w:val="000000"/>
        </w:rPr>
        <w:t>Child Development</w:t>
      </w:r>
      <w:r w:rsidRPr="001B45BE">
        <w:rPr>
          <w:color w:val="000000"/>
        </w:rPr>
        <w:t xml:space="preserve">, </w:t>
      </w:r>
      <w:r w:rsidRPr="001B45BE">
        <w:rPr>
          <w:i/>
          <w:color w:val="000000"/>
        </w:rPr>
        <w:t>92</w:t>
      </w:r>
      <w:r w:rsidRPr="001B45BE">
        <w:rPr>
          <w:color w:val="000000"/>
        </w:rPr>
        <w:t>(2), 451–465. https://doi.org/10.1111/cdev.13538</w:t>
      </w:r>
    </w:p>
    <w:p w14:paraId="3A6797A6" w14:textId="77777777" w:rsidR="00F854BC" w:rsidRPr="001B45BE" w:rsidRDefault="00000000">
      <w:pPr>
        <w:spacing w:line="480" w:lineRule="auto"/>
        <w:ind w:left="480" w:hanging="480"/>
        <w:rPr>
          <w:color w:val="000000"/>
        </w:rPr>
      </w:pPr>
      <w:r w:rsidRPr="001B45BE">
        <w:rPr>
          <w:color w:val="000000"/>
        </w:rPr>
        <w:t xml:space="preserve">Rose, S. A., Feldman, J. F., Jankowski, J. J., &amp; Rossem, R. V. (2008). A cognitive cascade in infancy: Pathways from prematurity to later mental development. </w:t>
      </w:r>
      <w:r w:rsidRPr="001B45BE">
        <w:rPr>
          <w:i/>
          <w:color w:val="000000"/>
        </w:rPr>
        <w:t>Intelligence</w:t>
      </w:r>
      <w:r w:rsidRPr="001B45BE">
        <w:rPr>
          <w:color w:val="000000"/>
        </w:rPr>
        <w:t xml:space="preserve">, </w:t>
      </w:r>
      <w:r w:rsidRPr="001B45BE">
        <w:rPr>
          <w:i/>
          <w:color w:val="000000"/>
        </w:rPr>
        <w:t>36</w:t>
      </w:r>
      <w:r w:rsidRPr="001B45BE">
        <w:rPr>
          <w:color w:val="000000"/>
        </w:rPr>
        <w:t>(4), 367–378. https://doi.org/10.1016/j.intell.2007.07.003</w:t>
      </w:r>
    </w:p>
    <w:p w14:paraId="3331A0C2" w14:textId="77777777" w:rsidR="00F854BC" w:rsidRPr="001B45BE" w:rsidRDefault="00000000">
      <w:pPr>
        <w:spacing w:line="480" w:lineRule="auto"/>
        <w:ind w:left="480" w:hanging="480"/>
        <w:rPr>
          <w:color w:val="000000"/>
        </w:rPr>
      </w:pPr>
      <w:proofErr w:type="spellStart"/>
      <w:r w:rsidRPr="001B45BE">
        <w:rPr>
          <w:color w:val="000000"/>
        </w:rPr>
        <w:t>Rozin</w:t>
      </w:r>
      <w:proofErr w:type="spellEnd"/>
      <w:r w:rsidRPr="001B45BE">
        <w:rPr>
          <w:color w:val="000000"/>
        </w:rPr>
        <w:t xml:space="preserve">, P. (2006). The integration of biological, social, </w:t>
      </w:r>
      <w:proofErr w:type="gramStart"/>
      <w:r w:rsidRPr="001B45BE">
        <w:rPr>
          <w:color w:val="000000"/>
        </w:rPr>
        <w:t>cultural</w:t>
      </w:r>
      <w:proofErr w:type="gramEnd"/>
      <w:r w:rsidRPr="001B45BE">
        <w:rPr>
          <w:color w:val="000000"/>
        </w:rPr>
        <w:t xml:space="preserve"> and psychological influences on food choice. In R. Shepherd, &amp; M. </w:t>
      </w:r>
      <w:proofErr w:type="spellStart"/>
      <w:r w:rsidRPr="001B45BE">
        <w:rPr>
          <w:color w:val="000000"/>
        </w:rPr>
        <w:t>Raats</w:t>
      </w:r>
      <w:proofErr w:type="spellEnd"/>
      <w:r w:rsidRPr="001B45BE">
        <w:rPr>
          <w:color w:val="000000"/>
        </w:rPr>
        <w:t xml:space="preserve"> (Eds.), </w:t>
      </w:r>
      <w:r w:rsidRPr="001B45BE">
        <w:rPr>
          <w:i/>
          <w:color w:val="000000"/>
        </w:rPr>
        <w:t>The psychology of food choice</w:t>
      </w:r>
      <w:r w:rsidRPr="001B45BE">
        <w:rPr>
          <w:color w:val="000000"/>
        </w:rPr>
        <w:t>. CABI.</w:t>
      </w:r>
    </w:p>
    <w:p w14:paraId="11F10A12" w14:textId="77777777" w:rsidR="00F854BC" w:rsidRPr="001B45BE" w:rsidRDefault="00000000">
      <w:pPr>
        <w:spacing w:line="480" w:lineRule="auto"/>
        <w:ind w:left="480" w:hanging="480"/>
        <w:rPr>
          <w:color w:val="000000"/>
        </w:rPr>
      </w:pPr>
      <w:proofErr w:type="spellStart"/>
      <w:r w:rsidRPr="001B45BE">
        <w:rPr>
          <w:color w:val="000000"/>
        </w:rPr>
        <w:t>Saenger</w:t>
      </w:r>
      <w:proofErr w:type="spellEnd"/>
      <w:r w:rsidRPr="001B45BE">
        <w:rPr>
          <w:color w:val="000000"/>
        </w:rPr>
        <w:t xml:space="preserve">, P., </w:t>
      </w:r>
      <w:proofErr w:type="spellStart"/>
      <w:r w:rsidRPr="001B45BE">
        <w:rPr>
          <w:color w:val="000000"/>
        </w:rPr>
        <w:t>Czernichow</w:t>
      </w:r>
      <w:proofErr w:type="spellEnd"/>
      <w:r w:rsidRPr="001B45BE">
        <w:rPr>
          <w:color w:val="000000"/>
        </w:rPr>
        <w:t xml:space="preserve">, P., Hughes, I., &amp; Reiter, E. O. (2007). Small for gestational age: </w:t>
      </w:r>
      <w:proofErr w:type="gramStart"/>
      <w:r w:rsidRPr="001B45BE">
        <w:rPr>
          <w:color w:val="000000"/>
        </w:rPr>
        <w:t>Short</w:t>
      </w:r>
      <w:proofErr w:type="gramEnd"/>
      <w:r w:rsidRPr="001B45BE">
        <w:rPr>
          <w:color w:val="000000"/>
        </w:rPr>
        <w:t xml:space="preserve"> stature and beyond. </w:t>
      </w:r>
      <w:r w:rsidRPr="001B45BE">
        <w:rPr>
          <w:i/>
          <w:color w:val="000000"/>
        </w:rPr>
        <w:t>Endocrine Reviews</w:t>
      </w:r>
      <w:r w:rsidRPr="001B45BE">
        <w:rPr>
          <w:color w:val="000000"/>
        </w:rPr>
        <w:t xml:space="preserve">, </w:t>
      </w:r>
      <w:r w:rsidRPr="001B45BE">
        <w:rPr>
          <w:i/>
          <w:color w:val="000000"/>
        </w:rPr>
        <w:t>28</w:t>
      </w:r>
      <w:r w:rsidRPr="001B45BE">
        <w:rPr>
          <w:color w:val="000000"/>
        </w:rPr>
        <w:t>(2), 219–251. https://doi.org/10.1210/er.2006-0039</w:t>
      </w:r>
    </w:p>
    <w:p w14:paraId="671C14FA" w14:textId="77777777" w:rsidR="00F854BC" w:rsidRPr="001B45BE" w:rsidRDefault="00000000">
      <w:pPr>
        <w:spacing w:line="480" w:lineRule="auto"/>
        <w:ind w:left="480" w:hanging="480"/>
        <w:rPr>
          <w:color w:val="000000"/>
        </w:rPr>
      </w:pPr>
      <w:r w:rsidRPr="001B45BE">
        <w:rPr>
          <w:color w:val="000000"/>
        </w:rPr>
        <w:t xml:space="preserve">Sameroff, A. (2010). A unified theory of development: A dialectic integration of nature and nurture. </w:t>
      </w:r>
      <w:r w:rsidRPr="001B45BE">
        <w:rPr>
          <w:i/>
          <w:color w:val="000000"/>
        </w:rPr>
        <w:t>Child Development</w:t>
      </w:r>
      <w:r w:rsidRPr="001B45BE">
        <w:rPr>
          <w:color w:val="000000"/>
        </w:rPr>
        <w:t xml:space="preserve">, </w:t>
      </w:r>
      <w:r w:rsidRPr="001B45BE">
        <w:rPr>
          <w:i/>
          <w:color w:val="000000"/>
        </w:rPr>
        <w:t>81</w:t>
      </w:r>
      <w:r w:rsidRPr="001B45BE">
        <w:rPr>
          <w:color w:val="000000"/>
        </w:rPr>
        <w:t>(1), 6–22. https://doi.org/10.1111/j.1467-8624.2009.01378.x</w:t>
      </w:r>
    </w:p>
    <w:p w14:paraId="3B5D9CC1" w14:textId="77777777" w:rsidR="00F854BC" w:rsidRPr="001B45BE" w:rsidRDefault="00000000">
      <w:pPr>
        <w:pBdr>
          <w:top w:val="nil"/>
          <w:left w:val="nil"/>
          <w:bottom w:val="nil"/>
          <w:right w:val="nil"/>
          <w:between w:val="nil"/>
        </w:pBdr>
        <w:spacing w:line="480" w:lineRule="auto"/>
        <w:ind w:left="720" w:hanging="720"/>
        <w:rPr>
          <w:color w:val="000000"/>
        </w:rPr>
      </w:pPr>
      <w:proofErr w:type="spellStart"/>
      <w:r w:rsidRPr="001B45BE">
        <w:rPr>
          <w:color w:val="000000"/>
        </w:rPr>
        <w:t>Schady</w:t>
      </w:r>
      <w:proofErr w:type="spellEnd"/>
      <w:r w:rsidRPr="001B45BE">
        <w:rPr>
          <w:color w:val="000000"/>
        </w:rPr>
        <w:t xml:space="preserve">, N., Behrman, J. R., Araujo, M. C., </w:t>
      </w:r>
      <w:proofErr w:type="spellStart"/>
      <w:r w:rsidRPr="001B45BE">
        <w:rPr>
          <w:color w:val="000000"/>
        </w:rPr>
        <w:t>Azuero</w:t>
      </w:r>
      <w:proofErr w:type="spellEnd"/>
      <w:r w:rsidRPr="001B45BE">
        <w:rPr>
          <w:color w:val="000000"/>
        </w:rPr>
        <w:t xml:space="preserve">, R., Bernal, R., Bravo, D., </w:t>
      </w:r>
      <w:proofErr w:type="spellStart"/>
      <w:r w:rsidRPr="001B45BE">
        <w:rPr>
          <w:color w:val="000000"/>
        </w:rPr>
        <w:t>Bóo</w:t>
      </w:r>
      <w:proofErr w:type="spellEnd"/>
      <w:r w:rsidRPr="001B45BE">
        <w:rPr>
          <w:color w:val="000000"/>
        </w:rPr>
        <w:t xml:space="preserve">, F. L., </w:t>
      </w:r>
      <w:proofErr w:type="spellStart"/>
      <w:r w:rsidRPr="001B45BE">
        <w:rPr>
          <w:color w:val="000000"/>
        </w:rPr>
        <w:t>Macours</w:t>
      </w:r>
      <w:proofErr w:type="spellEnd"/>
      <w:r w:rsidRPr="001B45BE">
        <w:rPr>
          <w:color w:val="000000"/>
        </w:rPr>
        <w:t xml:space="preserve">, K., Marshall, D., Paxson, C., &amp; </w:t>
      </w:r>
      <w:proofErr w:type="spellStart"/>
      <w:r w:rsidRPr="001B45BE">
        <w:rPr>
          <w:color w:val="000000"/>
        </w:rPr>
        <w:t>Vakis</w:t>
      </w:r>
      <w:proofErr w:type="spellEnd"/>
      <w:r w:rsidRPr="001B45BE">
        <w:rPr>
          <w:color w:val="000000"/>
        </w:rPr>
        <w:t xml:space="preserve">, R. (2014). Wealth gradients in early childhood cognitive development in five Latin American countries. </w:t>
      </w:r>
      <w:r w:rsidRPr="001B45BE">
        <w:rPr>
          <w:i/>
          <w:color w:val="000000"/>
        </w:rPr>
        <w:t>Journal of Human Resources</w:t>
      </w:r>
      <w:r w:rsidRPr="001B45BE">
        <w:rPr>
          <w:color w:val="000000"/>
        </w:rPr>
        <w:t xml:space="preserve">, </w:t>
      </w:r>
      <w:r w:rsidRPr="001B45BE">
        <w:rPr>
          <w:i/>
          <w:color w:val="000000"/>
        </w:rPr>
        <w:t>50</w:t>
      </w:r>
      <w:r w:rsidRPr="001B45BE">
        <w:rPr>
          <w:color w:val="000000"/>
        </w:rPr>
        <w:t>(2), 446–463. https://doi.org/10.3368/jhr.50.2.446</w:t>
      </w:r>
    </w:p>
    <w:p w14:paraId="11535B1A" w14:textId="77777777" w:rsidR="00F854BC" w:rsidRPr="001B45BE" w:rsidRDefault="00000000">
      <w:pPr>
        <w:spacing w:line="480" w:lineRule="auto"/>
        <w:ind w:left="480" w:hanging="480"/>
        <w:rPr>
          <w:color w:val="000000"/>
        </w:rPr>
      </w:pPr>
      <w:proofErr w:type="spellStart"/>
      <w:r w:rsidRPr="001B45BE">
        <w:rPr>
          <w:color w:val="000000"/>
        </w:rPr>
        <w:lastRenderedPageBreak/>
        <w:t>Schlapbach</w:t>
      </w:r>
      <w:proofErr w:type="spellEnd"/>
      <w:r w:rsidRPr="001B45BE">
        <w:rPr>
          <w:color w:val="000000"/>
        </w:rPr>
        <w:t xml:space="preserve">, L. J., Adams, M., </w:t>
      </w:r>
      <w:proofErr w:type="spellStart"/>
      <w:r w:rsidRPr="001B45BE">
        <w:rPr>
          <w:color w:val="000000"/>
        </w:rPr>
        <w:t>Proietti</w:t>
      </w:r>
      <w:proofErr w:type="spellEnd"/>
      <w:r w:rsidRPr="001B45BE">
        <w:rPr>
          <w:color w:val="000000"/>
        </w:rPr>
        <w:t xml:space="preserve">, E., </w:t>
      </w:r>
      <w:proofErr w:type="spellStart"/>
      <w:r w:rsidRPr="001B45BE">
        <w:rPr>
          <w:color w:val="000000"/>
        </w:rPr>
        <w:t>Aebischer</w:t>
      </w:r>
      <w:proofErr w:type="spellEnd"/>
      <w:r w:rsidRPr="001B45BE">
        <w:rPr>
          <w:color w:val="000000"/>
        </w:rPr>
        <w:t xml:space="preserve">, M., Grunt, S., </w:t>
      </w:r>
      <w:proofErr w:type="spellStart"/>
      <w:r w:rsidRPr="001B45BE">
        <w:rPr>
          <w:color w:val="000000"/>
        </w:rPr>
        <w:t>Borradori-Tolsa</w:t>
      </w:r>
      <w:proofErr w:type="spellEnd"/>
      <w:r w:rsidRPr="001B45BE">
        <w:rPr>
          <w:color w:val="000000"/>
        </w:rPr>
        <w:t xml:space="preserve">, C., </w:t>
      </w:r>
      <w:proofErr w:type="spellStart"/>
      <w:r w:rsidRPr="001B45BE">
        <w:rPr>
          <w:color w:val="000000"/>
        </w:rPr>
        <w:t>Bickle</w:t>
      </w:r>
      <w:proofErr w:type="spellEnd"/>
      <w:r w:rsidRPr="001B45BE">
        <w:rPr>
          <w:color w:val="000000"/>
        </w:rPr>
        <w:t xml:space="preserve">-Graz, M., Bucher, H. U., </w:t>
      </w:r>
      <w:proofErr w:type="spellStart"/>
      <w:r w:rsidRPr="001B45BE">
        <w:rPr>
          <w:color w:val="000000"/>
        </w:rPr>
        <w:t>Latal</w:t>
      </w:r>
      <w:proofErr w:type="spellEnd"/>
      <w:r w:rsidRPr="001B45BE">
        <w:rPr>
          <w:color w:val="000000"/>
        </w:rPr>
        <w:t xml:space="preserve">, B., &amp; </w:t>
      </w:r>
      <w:proofErr w:type="spellStart"/>
      <w:r w:rsidRPr="001B45BE">
        <w:rPr>
          <w:color w:val="000000"/>
        </w:rPr>
        <w:t>Natalucci</w:t>
      </w:r>
      <w:proofErr w:type="spellEnd"/>
      <w:r w:rsidRPr="001B45BE">
        <w:rPr>
          <w:color w:val="000000"/>
        </w:rPr>
        <w:t xml:space="preserve">, G. (2012). Outcome at two years of age in a Swiss national cohort of extremely preterm infants born between 2000 and 2008. </w:t>
      </w:r>
      <w:r w:rsidRPr="001B45BE">
        <w:rPr>
          <w:i/>
          <w:color w:val="000000"/>
        </w:rPr>
        <w:t>BMC Pediatrics</w:t>
      </w:r>
      <w:r w:rsidRPr="001B45BE">
        <w:rPr>
          <w:color w:val="000000"/>
        </w:rPr>
        <w:t xml:space="preserve">, </w:t>
      </w:r>
      <w:r w:rsidRPr="001B45BE">
        <w:rPr>
          <w:i/>
          <w:color w:val="000000"/>
        </w:rPr>
        <w:t>12</w:t>
      </w:r>
      <w:r w:rsidRPr="001B45BE">
        <w:rPr>
          <w:color w:val="000000"/>
        </w:rPr>
        <w:t>(1), 198. https://doi.org/10.1186/1471-2431-12-198</w:t>
      </w:r>
    </w:p>
    <w:p w14:paraId="45DAB6C2" w14:textId="77777777" w:rsidR="00F854BC" w:rsidRPr="001B45BE" w:rsidRDefault="00000000">
      <w:pPr>
        <w:spacing w:line="480" w:lineRule="auto"/>
        <w:ind w:left="480" w:hanging="480"/>
        <w:rPr>
          <w:color w:val="000000"/>
        </w:rPr>
      </w:pPr>
      <w:r w:rsidRPr="001B45BE">
        <w:rPr>
          <w:color w:val="000000"/>
        </w:rPr>
        <w:t xml:space="preserve">Sear, R. (2016). Beyond the nuclear family: An evolutionary perspective on parenting. </w:t>
      </w:r>
      <w:r w:rsidRPr="001B45BE">
        <w:rPr>
          <w:i/>
          <w:color w:val="000000"/>
        </w:rPr>
        <w:t>Current Opinion in Psychology</w:t>
      </w:r>
      <w:r w:rsidRPr="001B45BE">
        <w:rPr>
          <w:color w:val="000000"/>
        </w:rPr>
        <w:t xml:space="preserve">, </w:t>
      </w:r>
      <w:r w:rsidRPr="001B45BE">
        <w:rPr>
          <w:i/>
          <w:color w:val="000000"/>
        </w:rPr>
        <w:t>7</w:t>
      </w:r>
      <w:r w:rsidRPr="001B45BE">
        <w:rPr>
          <w:color w:val="000000"/>
        </w:rPr>
        <w:t>, 98–103. https://doi.org/10.1016/j.copsyc.2015.08.013</w:t>
      </w:r>
    </w:p>
    <w:p w14:paraId="72A200CC" w14:textId="77777777" w:rsidR="00F854BC" w:rsidRPr="001B45BE" w:rsidRDefault="00000000">
      <w:pPr>
        <w:spacing w:line="480" w:lineRule="auto"/>
        <w:ind w:left="480" w:hanging="480"/>
        <w:rPr>
          <w:color w:val="000000"/>
        </w:rPr>
      </w:pPr>
      <w:r w:rsidRPr="001B45BE">
        <w:rPr>
          <w:color w:val="000000"/>
        </w:rPr>
        <w:t>Sebastián-</w:t>
      </w:r>
      <w:proofErr w:type="spellStart"/>
      <w:r w:rsidRPr="001B45BE">
        <w:rPr>
          <w:color w:val="000000"/>
        </w:rPr>
        <w:t>Gallés</w:t>
      </w:r>
      <w:proofErr w:type="spellEnd"/>
      <w:r w:rsidRPr="001B45BE">
        <w:rPr>
          <w:color w:val="000000"/>
        </w:rPr>
        <w:t xml:space="preserve">, N., </w:t>
      </w:r>
      <w:proofErr w:type="spellStart"/>
      <w:r w:rsidRPr="001B45BE">
        <w:rPr>
          <w:color w:val="000000"/>
        </w:rPr>
        <w:t>Albareda-Castellot</w:t>
      </w:r>
      <w:proofErr w:type="spellEnd"/>
      <w:r w:rsidRPr="001B45BE">
        <w:rPr>
          <w:color w:val="000000"/>
        </w:rPr>
        <w:t xml:space="preserve">, B., </w:t>
      </w:r>
      <w:proofErr w:type="spellStart"/>
      <w:r w:rsidRPr="001B45BE">
        <w:rPr>
          <w:color w:val="000000"/>
        </w:rPr>
        <w:t>Weikum</w:t>
      </w:r>
      <w:proofErr w:type="spellEnd"/>
      <w:r w:rsidRPr="001B45BE">
        <w:rPr>
          <w:color w:val="000000"/>
        </w:rPr>
        <w:t xml:space="preserve">, W. M., &amp; </w:t>
      </w:r>
      <w:proofErr w:type="spellStart"/>
      <w:r w:rsidRPr="001B45BE">
        <w:rPr>
          <w:color w:val="000000"/>
        </w:rPr>
        <w:t>Werker</w:t>
      </w:r>
      <w:proofErr w:type="spellEnd"/>
      <w:r w:rsidRPr="001B45BE">
        <w:rPr>
          <w:color w:val="000000"/>
        </w:rPr>
        <w:t xml:space="preserve">, J. F. (2012). A bilingual advantage in visual language discrimination in infancy. </w:t>
      </w:r>
      <w:r w:rsidRPr="001B45BE">
        <w:rPr>
          <w:i/>
          <w:color w:val="000000"/>
        </w:rPr>
        <w:t>Psychological Science</w:t>
      </w:r>
      <w:r w:rsidRPr="001B45BE">
        <w:rPr>
          <w:color w:val="000000"/>
        </w:rPr>
        <w:t xml:space="preserve">, </w:t>
      </w:r>
      <w:r w:rsidRPr="001B45BE">
        <w:rPr>
          <w:i/>
          <w:color w:val="000000"/>
        </w:rPr>
        <w:t>23</w:t>
      </w:r>
      <w:r w:rsidRPr="001B45BE">
        <w:rPr>
          <w:color w:val="000000"/>
        </w:rPr>
        <w:t>(9), 994–999. https://doi.org/10.1177/0956797612436817</w:t>
      </w:r>
    </w:p>
    <w:p w14:paraId="4C058786" w14:textId="77777777" w:rsidR="00F854BC" w:rsidRPr="001B45BE" w:rsidRDefault="00000000">
      <w:pPr>
        <w:spacing w:line="480" w:lineRule="auto"/>
        <w:ind w:left="480" w:hanging="480"/>
        <w:rPr>
          <w:color w:val="000000"/>
        </w:rPr>
      </w:pPr>
      <w:proofErr w:type="spellStart"/>
      <w:r w:rsidRPr="001B45BE">
        <w:rPr>
          <w:color w:val="000000"/>
        </w:rPr>
        <w:t>Sheskin</w:t>
      </w:r>
      <w:proofErr w:type="spellEnd"/>
      <w:r w:rsidRPr="001B45BE">
        <w:rPr>
          <w:color w:val="000000"/>
        </w:rPr>
        <w:t xml:space="preserve">, M., Scott, K., Mills, C. M., </w:t>
      </w:r>
      <w:proofErr w:type="spellStart"/>
      <w:r w:rsidRPr="001B45BE">
        <w:rPr>
          <w:color w:val="000000"/>
        </w:rPr>
        <w:t>Bergelson</w:t>
      </w:r>
      <w:proofErr w:type="spellEnd"/>
      <w:r w:rsidRPr="001B45BE">
        <w:rPr>
          <w:color w:val="000000"/>
        </w:rPr>
        <w:t xml:space="preserve">, E., </w:t>
      </w:r>
      <w:proofErr w:type="spellStart"/>
      <w:r w:rsidRPr="001B45BE">
        <w:rPr>
          <w:color w:val="000000"/>
        </w:rPr>
        <w:t>Bonawitz</w:t>
      </w:r>
      <w:proofErr w:type="spellEnd"/>
      <w:r w:rsidRPr="001B45BE">
        <w:rPr>
          <w:color w:val="000000"/>
        </w:rPr>
        <w:t xml:space="preserve">, E., </w:t>
      </w:r>
      <w:proofErr w:type="spellStart"/>
      <w:r w:rsidRPr="001B45BE">
        <w:rPr>
          <w:color w:val="000000"/>
        </w:rPr>
        <w:t>Spelke</w:t>
      </w:r>
      <w:proofErr w:type="spellEnd"/>
      <w:r w:rsidRPr="001B45BE">
        <w:rPr>
          <w:color w:val="000000"/>
        </w:rPr>
        <w:t xml:space="preserve">, E. S., Fei-Fei, L., Keil, F. C., </w:t>
      </w:r>
      <w:proofErr w:type="spellStart"/>
      <w:r w:rsidRPr="001B45BE">
        <w:rPr>
          <w:color w:val="000000"/>
        </w:rPr>
        <w:t>Gweon</w:t>
      </w:r>
      <w:proofErr w:type="spellEnd"/>
      <w:r w:rsidRPr="001B45BE">
        <w:rPr>
          <w:color w:val="000000"/>
        </w:rPr>
        <w:t xml:space="preserve">, H., Tenenbaum, J. B., </w:t>
      </w:r>
      <w:proofErr w:type="spellStart"/>
      <w:r w:rsidRPr="001B45BE">
        <w:rPr>
          <w:color w:val="000000"/>
        </w:rPr>
        <w:t>Jara</w:t>
      </w:r>
      <w:proofErr w:type="spellEnd"/>
      <w:r w:rsidRPr="001B45BE">
        <w:rPr>
          <w:color w:val="000000"/>
        </w:rPr>
        <w:t xml:space="preserve">-Ettinger, J., Adolph, K. E., Rhodes, M., Frank, M. C., </w:t>
      </w:r>
      <w:proofErr w:type="spellStart"/>
      <w:r w:rsidRPr="001B45BE">
        <w:rPr>
          <w:color w:val="000000"/>
        </w:rPr>
        <w:t>Mehr</w:t>
      </w:r>
      <w:proofErr w:type="spellEnd"/>
      <w:r w:rsidRPr="001B45BE">
        <w:rPr>
          <w:color w:val="000000"/>
        </w:rPr>
        <w:t xml:space="preserve">, S. A., &amp; Schulz, L. (2020). Online developmental science to foster innovation, access, and impact. </w:t>
      </w:r>
      <w:r w:rsidRPr="001B45BE">
        <w:rPr>
          <w:i/>
          <w:color w:val="000000"/>
        </w:rPr>
        <w:t>Trends in Cognitive Sciences</w:t>
      </w:r>
      <w:r w:rsidRPr="001B45BE">
        <w:rPr>
          <w:color w:val="000000"/>
        </w:rPr>
        <w:t xml:space="preserve">, </w:t>
      </w:r>
      <w:r w:rsidRPr="001B45BE">
        <w:rPr>
          <w:i/>
          <w:color w:val="000000"/>
        </w:rPr>
        <w:t>24</w:t>
      </w:r>
      <w:r w:rsidRPr="001B45BE">
        <w:rPr>
          <w:color w:val="000000"/>
        </w:rPr>
        <w:t>(9), 675–678. https://doi.org/10.1016/j.tics.2020.06.004</w:t>
      </w:r>
    </w:p>
    <w:p w14:paraId="0B2CEB70" w14:textId="77777777" w:rsidR="00F854BC" w:rsidRPr="001B45BE" w:rsidRDefault="00000000">
      <w:pPr>
        <w:spacing w:line="480" w:lineRule="auto"/>
        <w:ind w:left="480" w:hanging="480"/>
        <w:rPr>
          <w:color w:val="000000"/>
        </w:rPr>
      </w:pPr>
      <w:proofErr w:type="spellStart"/>
      <w:r w:rsidRPr="001B45BE">
        <w:rPr>
          <w:color w:val="000000"/>
        </w:rPr>
        <w:t>Simion</w:t>
      </w:r>
      <w:proofErr w:type="spellEnd"/>
      <w:r w:rsidRPr="001B45BE">
        <w:rPr>
          <w:color w:val="000000"/>
        </w:rPr>
        <w:t xml:space="preserve">, F., &amp; Butterworth, G. (1998). </w:t>
      </w:r>
      <w:r w:rsidRPr="001B45BE">
        <w:rPr>
          <w:i/>
          <w:color w:val="000000"/>
        </w:rPr>
        <w:t xml:space="preserve">The development of sensory, </w:t>
      </w:r>
      <w:proofErr w:type="gramStart"/>
      <w:r w:rsidRPr="001B45BE">
        <w:rPr>
          <w:i/>
          <w:color w:val="000000"/>
        </w:rPr>
        <w:t>motor</w:t>
      </w:r>
      <w:proofErr w:type="gramEnd"/>
      <w:r w:rsidRPr="001B45BE">
        <w:rPr>
          <w:i/>
          <w:color w:val="000000"/>
        </w:rPr>
        <w:t xml:space="preserve"> and cognitive capacities in early infancy: From perception to cognition</w:t>
      </w:r>
      <w:r w:rsidRPr="001B45BE">
        <w:rPr>
          <w:color w:val="000000"/>
        </w:rPr>
        <w:t>. Psychology Press.</w:t>
      </w:r>
    </w:p>
    <w:p w14:paraId="17E0E3DC" w14:textId="7D17AD7E" w:rsidR="00F854BC" w:rsidRDefault="00000000" w:rsidP="00562E5A">
      <w:pPr>
        <w:spacing w:line="480" w:lineRule="auto"/>
        <w:ind w:left="480" w:hanging="480"/>
        <w:rPr>
          <w:color w:val="000000"/>
        </w:rPr>
      </w:pPr>
      <w:r w:rsidRPr="001B45BE">
        <w:rPr>
          <w:color w:val="000000"/>
        </w:rPr>
        <w:t xml:space="preserve">Singer, E., &amp; Couper, M. (2017). Some methodological uses of responses to open questions and other verbatim comments in quantitative surveys. </w:t>
      </w:r>
      <w:r w:rsidRPr="001B45BE">
        <w:rPr>
          <w:i/>
          <w:color w:val="000000"/>
        </w:rPr>
        <w:t>Methods, Data, Analyses, 11,</w:t>
      </w:r>
      <w:r w:rsidRPr="001B45BE">
        <w:rPr>
          <w:color w:val="000000"/>
        </w:rPr>
        <w:t xml:space="preserve"> 20. </w:t>
      </w:r>
      <w:r w:rsidR="008255B2" w:rsidRPr="008255B2">
        <w:rPr>
          <w:color w:val="000000"/>
        </w:rPr>
        <w:t>https://doi.org/10.12758/mda.2017.01</w:t>
      </w:r>
    </w:p>
    <w:p w14:paraId="14F3F4D1" w14:textId="6B88FDF0" w:rsidR="008255B2" w:rsidRPr="008255B2" w:rsidRDefault="008255B2" w:rsidP="008255B2">
      <w:pPr>
        <w:spacing w:line="480" w:lineRule="auto"/>
        <w:ind w:left="480" w:hanging="480"/>
        <w:rPr>
          <w:color w:val="000000"/>
          <w:lang w:val="en-SG"/>
        </w:rPr>
      </w:pPr>
      <w:r w:rsidRPr="008255B2">
        <w:rPr>
          <w:color w:val="000000"/>
        </w:rPr>
        <w:t xml:space="preserve">Singh, L., </w:t>
      </w:r>
      <w:proofErr w:type="spellStart"/>
      <w:r w:rsidRPr="008255B2">
        <w:rPr>
          <w:color w:val="000000"/>
        </w:rPr>
        <w:t>Baroko</w:t>
      </w:r>
      <w:r>
        <w:rPr>
          <w:color w:val="000000"/>
        </w:rPr>
        <w:t>v</w:t>
      </w:r>
      <w:r w:rsidRPr="008255B2">
        <w:rPr>
          <w:color w:val="000000"/>
        </w:rPr>
        <w:t>a</w:t>
      </w:r>
      <w:proofErr w:type="spellEnd"/>
      <w:r w:rsidRPr="008255B2">
        <w:rPr>
          <w:color w:val="000000"/>
        </w:rPr>
        <w:t xml:space="preserve">, M., Baumgartner, H. A., Lopera, D., </w:t>
      </w:r>
      <w:proofErr w:type="spellStart"/>
      <w:r w:rsidRPr="008255B2">
        <w:rPr>
          <w:color w:val="000000"/>
        </w:rPr>
        <w:t>Omane</w:t>
      </w:r>
      <w:proofErr w:type="spellEnd"/>
      <w:r w:rsidRPr="008255B2">
        <w:rPr>
          <w:color w:val="000000"/>
        </w:rPr>
        <w:t xml:space="preserve">, P. O., </w:t>
      </w:r>
      <w:proofErr w:type="spellStart"/>
      <w:r w:rsidRPr="008255B2">
        <w:rPr>
          <w:color w:val="000000"/>
        </w:rPr>
        <w:t>Sheskin</w:t>
      </w:r>
      <w:proofErr w:type="spellEnd"/>
      <w:r w:rsidRPr="008255B2">
        <w:rPr>
          <w:color w:val="000000"/>
        </w:rPr>
        <w:t xml:space="preserve">, M., … Frank, M. C. (2023, June 12). </w:t>
      </w:r>
      <w:r w:rsidRPr="008255B2">
        <w:rPr>
          <w:color w:val="000000"/>
          <w:lang w:val="en-SG"/>
        </w:rPr>
        <w:t>A Unified Approach to Demographic Data Collection for Research with Young Children Across Diverse Cultures</w:t>
      </w:r>
      <w:r>
        <w:rPr>
          <w:color w:val="000000"/>
          <w:lang w:val="en-SG"/>
        </w:rPr>
        <w:t xml:space="preserve">: </w:t>
      </w:r>
      <w:r w:rsidRPr="008255B2">
        <w:rPr>
          <w:color w:val="000000"/>
        </w:rPr>
        <w:t>Demographic Form Templates.</w:t>
      </w:r>
      <w:r>
        <w:rPr>
          <w:color w:val="000000"/>
        </w:rPr>
        <w:t xml:space="preserve"> Retrieved from </w:t>
      </w:r>
      <w:r w:rsidRPr="008255B2">
        <w:rPr>
          <w:color w:val="000000"/>
        </w:rPr>
        <w:t>https://osf.io/nqc92/</w:t>
      </w:r>
      <w:r>
        <w:rPr>
          <w:color w:val="000000"/>
        </w:rPr>
        <w:t>.</w:t>
      </w:r>
    </w:p>
    <w:p w14:paraId="29921D14" w14:textId="77777777" w:rsidR="00F854BC" w:rsidRPr="001B45BE" w:rsidRDefault="00000000">
      <w:pPr>
        <w:spacing w:line="480" w:lineRule="auto"/>
        <w:ind w:left="480" w:hanging="480"/>
        <w:rPr>
          <w:color w:val="000000"/>
        </w:rPr>
      </w:pPr>
      <w:r w:rsidRPr="001B45BE">
        <w:rPr>
          <w:color w:val="000000"/>
        </w:rPr>
        <w:lastRenderedPageBreak/>
        <w:t xml:space="preserve">Singh, L., Cheng, Q., Tan, S. H., Tan, A., &amp; Low, Y. L. (2022). Language acquisition in a multilingual society: English vocabulary norms and predictors in Singaporean children. </w:t>
      </w:r>
      <w:r w:rsidRPr="001B45BE">
        <w:rPr>
          <w:i/>
          <w:color w:val="000000"/>
        </w:rPr>
        <w:t>Child Development</w:t>
      </w:r>
      <w:r w:rsidRPr="001B45BE">
        <w:rPr>
          <w:color w:val="000000"/>
        </w:rPr>
        <w:t xml:space="preserve">, </w:t>
      </w:r>
      <w:r w:rsidRPr="001B45BE">
        <w:rPr>
          <w:i/>
          <w:color w:val="000000"/>
        </w:rPr>
        <w:t>93</w:t>
      </w:r>
      <w:r w:rsidRPr="001B45BE">
        <w:rPr>
          <w:color w:val="000000"/>
        </w:rPr>
        <w:t>(1), 288–305. https://doi.org/10.1111/cdev.13676</w:t>
      </w:r>
    </w:p>
    <w:p w14:paraId="65725DE8" w14:textId="1480DD87" w:rsidR="00F854BC" w:rsidRDefault="00000000">
      <w:pPr>
        <w:spacing w:line="480" w:lineRule="auto"/>
        <w:ind w:left="480" w:hanging="480"/>
        <w:rPr>
          <w:iCs/>
          <w:color w:val="000000"/>
        </w:rPr>
      </w:pPr>
      <w:r w:rsidRPr="001B45BE">
        <w:rPr>
          <w:color w:val="000000"/>
        </w:rPr>
        <w:t xml:space="preserve">Singh, L., </w:t>
      </w:r>
      <w:proofErr w:type="spellStart"/>
      <w:r w:rsidRPr="001B45BE">
        <w:rPr>
          <w:color w:val="000000"/>
        </w:rPr>
        <w:t>Cristia</w:t>
      </w:r>
      <w:proofErr w:type="spellEnd"/>
      <w:r w:rsidRPr="001B45BE">
        <w:rPr>
          <w:color w:val="000000"/>
        </w:rPr>
        <w:t xml:space="preserve">, A., </w:t>
      </w:r>
      <w:proofErr w:type="spellStart"/>
      <w:r w:rsidRPr="001B45BE">
        <w:rPr>
          <w:color w:val="000000"/>
        </w:rPr>
        <w:t>Karasik</w:t>
      </w:r>
      <w:proofErr w:type="spellEnd"/>
      <w:r w:rsidRPr="001B45BE">
        <w:rPr>
          <w:color w:val="000000"/>
        </w:rPr>
        <w:t>, L. B., Rajendra, S.J., Oakes, L. (2023</w:t>
      </w:r>
      <w:r w:rsidR="002A083B">
        <w:rPr>
          <w:color w:val="000000"/>
        </w:rPr>
        <w:t>a</w:t>
      </w:r>
      <w:r w:rsidRPr="001B45BE">
        <w:rPr>
          <w:color w:val="000000"/>
        </w:rPr>
        <w:t>). Diversity and representation in infant research: Barriers and bridges towards a globalized science</w:t>
      </w:r>
      <w:r w:rsidR="002A083B">
        <w:rPr>
          <w:color w:val="000000"/>
        </w:rPr>
        <w:t>.</w:t>
      </w:r>
      <w:r w:rsidRPr="001B45BE">
        <w:rPr>
          <w:color w:val="000000"/>
        </w:rPr>
        <w:t xml:space="preserve"> </w:t>
      </w:r>
      <w:r w:rsidRPr="001B45BE">
        <w:rPr>
          <w:i/>
          <w:color w:val="000000"/>
        </w:rPr>
        <w:t>Infancy</w:t>
      </w:r>
      <w:r w:rsidR="002A083B">
        <w:rPr>
          <w:i/>
          <w:color w:val="000000"/>
        </w:rPr>
        <w:t>, 28</w:t>
      </w:r>
      <w:r w:rsidR="002A083B" w:rsidRPr="002A083B">
        <w:rPr>
          <w:iCs/>
          <w:color w:val="000000"/>
        </w:rPr>
        <w:t>(4</w:t>
      </w:r>
      <w:r w:rsidR="002A083B">
        <w:rPr>
          <w:iCs/>
          <w:color w:val="000000"/>
        </w:rPr>
        <w:t>)</w:t>
      </w:r>
      <w:r w:rsidR="002A083B" w:rsidRPr="002A083B">
        <w:rPr>
          <w:iCs/>
          <w:color w:val="000000"/>
        </w:rPr>
        <w:t>, 708-737.</w:t>
      </w:r>
      <w:r w:rsidR="002A083B">
        <w:rPr>
          <w:iCs/>
          <w:color w:val="000000"/>
        </w:rPr>
        <w:t xml:space="preserve"> </w:t>
      </w:r>
      <w:hyperlink r:id="rId20" w:history="1">
        <w:r w:rsidR="002A083B" w:rsidRPr="00A7476B">
          <w:rPr>
            <w:rStyle w:val="Hyperlink"/>
            <w:iCs/>
          </w:rPr>
          <w:t>https://doi.org/10.1111/infa.12545</w:t>
        </w:r>
      </w:hyperlink>
    </w:p>
    <w:p w14:paraId="28DDF0FD" w14:textId="46FEE62C" w:rsidR="002A083B" w:rsidRPr="002A083B" w:rsidRDefault="002A083B">
      <w:pPr>
        <w:spacing w:line="480" w:lineRule="auto"/>
        <w:ind w:left="480" w:hanging="480"/>
        <w:rPr>
          <w:iCs/>
          <w:color w:val="000000"/>
        </w:rPr>
      </w:pPr>
      <w:r w:rsidRPr="001B45BE">
        <w:rPr>
          <w:color w:val="000000"/>
        </w:rPr>
        <w:t xml:space="preserve">Singh, L., </w:t>
      </w:r>
      <w:proofErr w:type="spellStart"/>
      <w:r w:rsidRPr="001B45BE">
        <w:rPr>
          <w:color w:val="000000"/>
        </w:rPr>
        <w:t>Cristia</w:t>
      </w:r>
      <w:proofErr w:type="spellEnd"/>
      <w:r w:rsidRPr="001B45BE">
        <w:rPr>
          <w:color w:val="000000"/>
        </w:rPr>
        <w:t xml:space="preserve">, A., </w:t>
      </w:r>
      <w:proofErr w:type="spellStart"/>
      <w:r w:rsidRPr="001B45BE">
        <w:rPr>
          <w:color w:val="000000"/>
        </w:rPr>
        <w:t>Karasik</w:t>
      </w:r>
      <w:proofErr w:type="spellEnd"/>
      <w:r w:rsidRPr="001B45BE">
        <w:rPr>
          <w:color w:val="000000"/>
        </w:rPr>
        <w:t>, L. B., Rajendra, S.J., Oakes, L. (2023</w:t>
      </w:r>
      <w:r w:rsidR="003622EE">
        <w:rPr>
          <w:color w:val="000000"/>
        </w:rPr>
        <w:t>, May 22)</w:t>
      </w:r>
      <w:r w:rsidRPr="001B45BE">
        <w:rPr>
          <w:color w:val="000000"/>
        </w:rPr>
        <w:t>.</w:t>
      </w:r>
      <w:r>
        <w:rPr>
          <w:color w:val="000000"/>
        </w:rPr>
        <w:t xml:space="preserve"> </w:t>
      </w:r>
      <w:r w:rsidRPr="001B45BE">
        <w:rPr>
          <w:color w:val="000000"/>
        </w:rPr>
        <w:t>Diversity and representation in infant research: Barriers and bridges towards a globalized science</w:t>
      </w:r>
      <w:r>
        <w:rPr>
          <w:color w:val="000000"/>
        </w:rPr>
        <w:t>.</w:t>
      </w:r>
      <w:r>
        <w:rPr>
          <w:color w:val="000000"/>
        </w:rPr>
        <w:t xml:space="preserve"> Retrieved from </w:t>
      </w:r>
      <w:r w:rsidR="003622EE" w:rsidRPr="003622EE">
        <w:rPr>
          <w:color w:val="000000"/>
        </w:rPr>
        <w:t>https://osf.io/e6z27/</w:t>
      </w:r>
      <w:r w:rsidR="003622EE">
        <w:rPr>
          <w:color w:val="000000"/>
        </w:rPr>
        <w:t>.</w:t>
      </w:r>
    </w:p>
    <w:p w14:paraId="6F897EB8" w14:textId="77777777" w:rsidR="00F854BC" w:rsidRPr="001B45BE" w:rsidRDefault="00000000">
      <w:pPr>
        <w:spacing w:line="480" w:lineRule="auto"/>
        <w:ind w:left="480" w:hanging="480"/>
        <w:rPr>
          <w:color w:val="000000"/>
        </w:rPr>
      </w:pPr>
      <w:r w:rsidRPr="001B45BE">
        <w:rPr>
          <w:color w:val="000000"/>
        </w:rPr>
        <w:t xml:space="preserve">Singh, L., Fu, C. S. L., Rahman, A. A., Hameed, W. B., </w:t>
      </w:r>
      <w:proofErr w:type="spellStart"/>
      <w:r w:rsidRPr="001B45BE">
        <w:rPr>
          <w:color w:val="000000"/>
        </w:rPr>
        <w:t>Sanmugam</w:t>
      </w:r>
      <w:proofErr w:type="spellEnd"/>
      <w:r w:rsidRPr="001B45BE">
        <w:rPr>
          <w:color w:val="000000"/>
        </w:rPr>
        <w:t>, S., Agarwal, P., Jiang, B., Chong, Y. S., Meaney, M. J., Rifkin-</w:t>
      </w:r>
      <w:proofErr w:type="spellStart"/>
      <w:r w:rsidRPr="001B45BE">
        <w:rPr>
          <w:color w:val="000000"/>
        </w:rPr>
        <w:t>Graboi</w:t>
      </w:r>
      <w:proofErr w:type="spellEnd"/>
      <w:r w:rsidRPr="001B45BE">
        <w:rPr>
          <w:color w:val="000000"/>
        </w:rPr>
        <w:t xml:space="preserve">, A., &amp; the GUSTO Research Team. (2015). Back to basics: A bilingual advantage in infant visual habituation. </w:t>
      </w:r>
      <w:r w:rsidRPr="001B45BE">
        <w:rPr>
          <w:i/>
          <w:color w:val="000000"/>
        </w:rPr>
        <w:t>Child Development</w:t>
      </w:r>
      <w:r w:rsidRPr="001B45BE">
        <w:rPr>
          <w:color w:val="000000"/>
        </w:rPr>
        <w:t xml:space="preserve">, </w:t>
      </w:r>
      <w:r w:rsidRPr="001B45BE">
        <w:rPr>
          <w:i/>
          <w:color w:val="000000"/>
        </w:rPr>
        <w:t>86</w:t>
      </w:r>
      <w:r w:rsidRPr="001B45BE">
        <w:rPr>
          <w:color w:val="000000"/>
        </w:rPr>
        <w:t>(1), 294–302. https://doi.org/10.1111/cdev.12271</w:t>
      </w:r>
    </w:p>
    <w:p w14:paraId="08CF5933" w14:textId="77777777" w:rsidR="00F854BC" w:rsidRPr="001B45BE" w:rsidRDefault="00000000">
      <w:pPr>
        <w:spacing w:line="480" w:lineRule="auto"/>
        <w:ind w:left="480" w:hanging="480"/>
        <w:rPr>
          <w:color w:val="000000"/>
        </w:rPr>
      </w:pPr>
      <w:r w:rsidRPr="001B45BE">
        <w:rPr>
          <w:color w:val="000000"/>
        </w:rPr>
        <w:t xml:space="preserve">Singh, L., Yeung, W. J., Cheng, Q., &amp; Heng, E. Y. (2022). The home literacy environment mediates effects of socio-economic status on infant vocabulary development. </w:t>
      </w:r>
      <w:r w:rsidRPr="001B45BE">
        <w:rPr>
          <w:i/>
          <w:color w:val="000000"/>
        </w:rPr>
        <w:t>Developmental Science</w:t>
      </w:r>
      <w:r w:rsidRPr="001B45BE">
        <w:rPr>
          <w:color w:val="000000"/>
        </w:rPr>
        <w:t>. https://doi.org/10.1111/desc.13349</w:t>
      </w:r>
    </w:p>
    <w:p w14:paraId="159DB2DA" w14:textId="77777777" w:rsidR="00F854BC" w:rsidRPr="001B45BE" w:rsidRDefault="00000000">
      <w:pPr>
        <w:pBdr>
          <w:top w:val="nil"/>
          <w:left w:val="nil"/>
          <w:bottom w:val="nil"/>
          <w:right w:val="nil"/>
          <w:between w:val="nil"/>
        </w:pBdr>
        <w:spacing w:line="480" w:lineRule="auto"/>
        <w:ind w:left="720" w:hanging="720"/>
        <w:rPr>
          <w:color w:val="000000"/>
        </w:rPr>
      </w:pPr>
      <w:r w:rsidRPr="001B45BE">
        <w:rPr>
          <w:color w:val="000000"/>
        </w:rPr>
        <w:t>Singh-</w:t>
      </w:r>
      <w:proofErr w:type="spellStart"/>
      <w:r w:rsidRPr="001B45BE">
        <w:rPr>
          <w:color w:val="000000"/>
        </w:rPr>
        <w:t>Manoux</w:t>
      </w:r>
      <w:proofErr w:type="spellEnd"/>
      <w:r w:rsidRPr="001B45BE">
        <w:rPr>
          <w:color w:val="000000"/>
        </w:rPr>
        <w:t xml:space="preserve">, A., Marmot, M., &amp; Adler, N. E. (2005). Does subjective social status predict health and change in health status better than objective status? </w:t>
      </w:r>
      <w:r w:rsidRPr="001B45BE">
        <w:rPr>
          <w:i/>
          <w:color w:val="000000"/>
        </w:rPr>
        <w:t>Psychosomatic Medicine</w:t>
      </w:r>
      <w:r w:rsidRPr="001B45BE">
        <w:rPr>
          <w:color w:val="000000"/>
        </w:rPr>
        <w:t xml:space="preserve">, </w:t>
      </w:r>
      <w:r w:rsidRPr="001B45BE">
        <w:rPr>
          <w:i/>
          <w:color w:val="000000"/>
        </w:rPr>
        <w:t>67</w:t>
      </w:r>
      <w:r w:rsidRPr="001B45BE">
        <w:rPr>
          <w:color w:val="000000"/>
        </w:rPr>
        <w:t>(6), 855–861. https://doi.org/10.1097/01.psy.0000188434.52941.a0</w:t>
      </w:r>
    </w:p>
    <w:p w14:paraId="5DE306F2" w14:textId="77777777" w:rsidR="00F854BC" w:rsidRPr="001B45BE" w:rsidRDefault="00000000">
      <w:pPr>
        <w:pBdr>
          <w:top w:val="nil"/>
          <w:left w:val="nil"/>
          <w:bottom w:val="nil"/>
          <w:right w:val="nil"/>
          <w:between w:val="nil"/>
        </w:pBdr>
        <w:spacing w:line="480" w:lineRule="auto"/>
        <w:ind w:left="720" w:hanging="720"/>
        <w:rPr>
          <w:color w:val="000000"/>
        </w:rPr>
      </w:pPr>
      <w:r w:rsidRPr="001B45BE">
        <w:rPr>
          <w:color w:val="000000"/>
        </w:rPr>
        <w:t>Spencer, M., Dupree, D., &amp; Hartmann, T. (1997). A Phenomenological Variant of Ecological Systems Theory (PVEST): A self-organization perspective in context. </w:t>
      </w:r>
      <w:r w:rsidRPr="001B45BE">
        <w:rPr>
          <w:i/>
          <w:color w:val="000000"/>
        </w:rPr>
        <w:t>Development and Psychopathology,</w:t>
      </w:r>
      <w:r w:rsidRPr="001B45BE">
        <w:rPr>
          <w:color w:val="000000"/>
        </w:rPr>
        <w:t> </w:t>
      </w:r>
      <w:r w:rsidRPr="001B45BE">
        <w:rPr>
          <w:i/>
          <w:color w:val="000000"/>
        </w:rPr>
        <w:t>9</w:t>
      </w:r>
      <w:r w:rsidRPr="001B45BE">
        <w:rPr>
          <w:color w:val="000000"/>
        </w:rPr>
        <w:t xml:space="preserve">(4), 817-833. doi:10.1017/S0954579497001454 </w:t>
      </w:r>
    </w:p>
    <w:p w14:paraId="698E6321" w14:textId="77777777" w:rsidR="00F854BC" w:rsidRPr="001B45BE" w:rsidRDefault="00000000">
      <w:pPr>
        <w:pBdr>
          <w:top w:val="nil"/>
          <w:left w:val="nil"/>
          <w:bottom w:val="nil"/>
          <w:right w:val="nil"/>
          <w:between w:val="nil"/>
        </w:pBdr>
        <w:spacing w:line="480" w:lineRule="auto"/>
        <w:ind w:left="720" w:hanging="720"/>
        <w:rPr>
          <w:color w:val="000000"/>
        </w:rPr>
      </w:pPr>
      <w:r w:rsidRPr="001B45BE">
        <w:rPr>
          <w:color w:val="000000"/>
        </w:rPr>
        <w:lastRenderedPageBreak/>
        <w:t xml:space="preserve">St John, A. M., Finch, K. H., &amp; </w:t>
      </w:r>
      <w:proofErr w:type="spellStart"/>
      <w:r w:rsidRPr="001B45BE">
        <w:rPr>
          <w:color w:val="000000"/>
        </w:rPr>
        <w:t>Tarullo</w:t>
      </w:r>
      <w:proofErr w:type="spellEnd"/>
      <w:r w:rsidRPr="001B45BE">
        <w:rPr>
          <w:color w:val="000000"/>
        </w:rPr>
        <w:t xml:space="preserve">, A. R. (2019). Socioeconomic status and neural processing of a go/no-go task in preschoolers: An assessment of the P3b. </w:t>
      </w:r>
      <w:r w:rsidRPr="001B45BE">
        <w:rPr>
          <w:i/>
          <w:color w:val="000000"/>
        </w:rPr>
        <w:t>Developmental Cognitive Neuroscience</w:t>
      </w:r>
      <w:r w:rsidRPr="001B45BE">
        <w:rPr>
          <w:color w:val="000000"/>
        </w:rPr>
        <w:t xml:space="preserve">, </w:t>
      </w:r>
      <w:r w:rsidRPr="001B45BE">
        <w:rPr>
          <w:i/>
          <w:color w:val="000000"/>
        </w:rPr>
        <w:t>38</w:t>
      </w:r>
      <w:r w:rsidRPr="001B45BE">
        <w:rPr>
          <w:color w:val="000000"/>
        </w:rPr>
        <w:t>, 100677. https://doi.org/10.1016/j.dcn.2019.100677</w:t>
      </w:r>
    </w:p>
    <w:p w14:paraId="167DD470" w14:textId="77777777" w:rsidR="00F854BC" w:rsidRPr="001B45BE" w:rsidRDefault="00000000">
      <w:pPr>
        <w:spacing w:line="480" w:lineRule="auto"/>
        <w:ind w:left="480" w:hanging="480"/>
        <w:rPr>
          <w:color w:val="000000"/>
        </w:rPr>
      </w:pPr>
      <w:r w:rsidRPr="001B45BE">
        <w:rPr>
          <w:color w:val="000000"/>
        </w:rPr>
        <w:t xml:space="preserve">Super, C. M., &amp; Harkness, S. (1997). The cultural structuring of child development. In J. W. Berry, P. R. </w:t>
      </w:r>
      <w:proofErr w:type="spellStart"/>
      <w:r w:rsidRPr="001B45BE">
        <w:rPr>
          <w:color w:val="000000"/>
        </w:rPr>
        <w:t>Dasen</w:t>
      </w:r>
      <w:proofErr w:type="spellEnd"/>
      <w:r w:rsidRPr="001B45BE">
        <w:rPr>
          <w:color w:val="000000"/>
        </w:rPr>
        <w:t xml:space="preserve">, &amp; T. S. Saraswathi (Eds.), </w:t>
      </w:r>
      <w:r w:rsidRPr="001B45BE">
        <w:rPr>
          <w:i/>
          <w:color w:val="000000"/>
        </w:rPr>
        <w:t>Handbook of cross-cultural psychology: Basic processes and human development</w:t>
      </w:r>
      <w:r w:rsidRPr="001B45BE">
        <w:rPr>
          <w:color w:val="000000"/>
        </w:rPr>
        <w:t xml:space="preserve"> (2nd ed., Vol. 2, pp. 1–40). Allyn &amp; Bacon.</w:t>
      </w:r>
    </w:p>
    <w:p w14:paraId="744B924B" w14:textId="77777777" w:rsidR="00F854BC" w:rsidRPr="001B45BE" w:rsidRDefault="00000000">
      <w:pPr>
        <w:pBdr>
          <w:top w:val="nil"/>
          <w:left w:val="nil"/>
          <w:bottom w:val="nil"/>
          <w:right w:val="nil"/>
          <w:between w:val="nil"/>
        </w:pBdr>
        <w:spacing w:line="480" w:lineRule="auto"/>
        <w:ind w:left="720" w:hanging="720"/>
        <w:rPr>
          <w:color w:val="000000"/>
        </w:rPr>
      </w:pPr>
      <w:r w:rsidRPr="001B45BE">
        <w:rPr>
          <w:color w:val="000000"/>
        </w:rPr>
        <w:t xml:space="preserve">Tan, J. J. X., Kraus, M. W., Carpenter, N. C., &amp; Adler, N. E. (2020). The association between objective and subjective socioeconomic status and subjective well-being: A meta-analytic review. </w:t>
      </w:r>
      <w:r w:rsidRPr="001B45BE">
        <w:rPr>
          <w:i/>
          <w:color w:val="000000"/>
        </w:rPr>
        <w:t>Psychological Bulletin</w:t>
      </w:r>
      <w:r w:rsidRPr="001B45BE">
        <w:rPr>
          <w:color w:val="000000"/>
        </w:rPr>
        <w:t xml:space="preserve">, </w:t>
      </w:r>
      <w:r w:rsidRPr="001B45BE">
        <w:rPr>
          <w:i/>
          <w:color w:val="000000"/>
        </w:rPr>
        <w:t>146</w:t>
      </w:r>
      <w:r w:rsidRPr="001B45BE">
        <w:rPr>
          <w:color w:val="000000"/>
        </w:rPr>
        <w:t>(11), 970–1020. https://doi.org/10.1037/bul0000258</w:t>
      </w:r>
    </w:p>
    <w:p w14:paraId="12383DA3" w14:textId="77777777" w:rsidR="00F854BC" w:rsidRPr="001B45BE" w:rsidRDefault="00000000">
      <w:pPr>
        <w:spacing w:line="480" w:lineRule="auto"/>
        <w:ind w:left="480" w:hanging="480"/>
        <w:rPr>
          <w:color w:val="000000"/>
        </w:rPr>
      </w:pPr>
      <w:r w:rsidRPr="001B45BE">
        <w:rPr>
          <w:color w:val="000000"/>
        </w:rPr>
        <w:t xml:space="preserve">Tardif, T., Fletcher, P., Liang, W., Zhang, Z., </w:t>
      </w:r>
      <w:proofErr w:type="spellStart"/>
      <w:r w:rsidRPr="001B45BE">
        <w:rPr>
          <w:color w:val="000000"/>
        </w:rPr>
        <w:t>Kaciroti</w:t>
      </w:r>
      <w:proofErr w:type="spellEnd"/>
      <w:r w:rsidRPr="001B45BE">
        <w:rPr>
          <w:color w:val="000000"/>
        </w:rPr>
        <w:t xml:space="preserve">, N., &amp; Marchman, V. A. (2008). Baby’s first 10 words. </w:t>
      </w:r>
      <w:r w:rsidRPr="001B45BE">
        <w:rPr>
          <w:i/>
          <w:color w:val="000000"/>
        </w:rPr>
        <w:t>Developmental Psychology</w:t>
      </w:r>
      <w:r w:rsidRPr="001B45BE">
        <w:rPr>
          <w:color w:val="000000"/>
        </w:rPr>
        <w:t xml:space="preserve">, </w:t>
      </w:r>
      <w:r w:rsidRPr="001B45BE">
        <w:rPr>
          <w:i/>
          <w:color w:val="000000"/>
        </w:rPr>
        <w:t>44</w:t>
      </w:r>
      <w:r w:rsidRPr="001B45BE">
        <w:rPr>
          <w:color w:val="000000"/>
        </w:rPr>
        <w:t>(4), 929–938. https://doi.org/10.1037/0012-1649.44.4.929</w:t>
      </w:r>
    </w:p>
    <w:p w14:paraId="12A14965" w14:textId="77777777" w:rsidR="00F854BC" w:rsidRPr="001B45BE" w:rsidRDefault="00000000">
      <w:pPr>
        <w:pBdr>
          <w:top w:val="nil"/>
          <w:left w:val="nil"/>
          <w:bottom w:val="nil"/>
          <w:right w:val="nil"/>
          <w:between w:val="nil"/>
        </w:pBdr>
        <w:spacing w:line="480" w:lineRule="auto"/>
        <w:ind w:left="720" w:hanging="720"/>
        <w:rPr>
          <w:color w:val="000000"/>
        </w:rPr>
      </w:pPr>
      <w:r w:rsidRPr="001B45BE">
        <w:rPr>
          <w:color w:val="000000"/>
        </w:rPr>
        <w:t xml:space="preserve">Ting-Toomey, S., &amp; </w:t>
      </w:r>
      <w:proofErr w:type="spellStart"/>
      <w:r w:rsidRPr="001B45BE">
        <w:rPr>
          <w:color w:val="000000"/>
        </w:rPr>
        <w:t>Dorjee</w:t>
      </w:r>
      <w:proofErr w:type="spellEnd"/>
      <w:r w:rsidRPr="001B45BE">
        <w:rPr>
          <w:color w:val="000000"/>
        </w:rPr>
        <w:t xml:space="preserve">, T. (2014). Language, identity, and culture: Multiple identity-based perspectives. In T. </w:t>
      </w:r>
      <w:proofErr w:type="spellStart"/>
      <w:r w:rsidRPr="001B45BE">
        <w:rPr>
          <w:color w:val="000000"/>
        </w:rPr>
        <w:t>Holtgraves</w:t>
      </w:r>
      <w:proofErr w:type="spellEnd"/>
      <w:r w:rsidRPr="001B45BE">
        <w:rPr>
          <w:color w:val="000000"/>
        </w:rPr>
        <w:t xml:space="preserve"> (Ed.), </w:t>
      </w:r>
      <w:r w:rsidRPr="001B45BE">
        <w:rPr>
          <w:i/>
          <w:color w:val="000000"/>
        </w:rPr>
        <w:t>The Oxford Handbook of Language and Social Psychology</w:t>
      </w:r>
      <w:r w:rsidRPr="001B45BE">
        <w:rPr>
          <w:color w:val="000000"/>
        </w:rPr>
        <w:t xml:space="preserve"> (pp. 27–45). Oxford University Press.</w:t>
      </w:r>
    </w:p>
    <w:p w14:paraId="50895D7D" w14:textId="77777777" w:rsidR="00F854BC" w:rsidRPr="001B45BE" w:rsidRDefault="00000000">
      <w:pPr>
        <w:spacing w:line="480" w:lineRule="auto"/>
        <w:ind w:left="480" w:hanging="480"/>
        <w:rPr>
          <w:color w:val="000000"/>
        </w:rPr>
      </w:pPr>
      <w:r w:rsidRPr="001B45BE">
        <w:rPr>
          <w:color w:val="000000"/>
        </w:rPr>
        <w:t xml:space="preserve">Unsworth, S. (2013). Assessing the role of current and cumulative exposure in simultaneous bilingual acquisition: The case of Dutch gender. </w:t>
      </w:r>
      <w:r w:rsidRPr="001B45BE">
        <w:rPr>
          <w:i/>
          <w:color w:val="000000"/>
        </w:rPr>
        <w:t>Bilingualism: Language and Cognition</w:t>
      </w:r>
      <w:r w:rsidRPr="001B45BE">
        <w:rPr>
          <w:color w:val="000000"/>
        </w:rPr>
        <w:t xml:space="preserve">, </w:t>
      </w:r>
      <w:r w:rsidRPr="001B45BE">
        <w:rPr>
          <w:i/>
          <w:color w:val="000000"/>
        </w:rPr>
        <w:t>16</w:t>
      </w:r>
      <w:r w:rsidRPr="001B45BE">
        <w:rPr>
          <w:color w:val="000000"/>
        </w:rPr>
        <w:t>(1), 86–110. https://doi.org/10.1017/S1366728912000284</w:t>
      </w:r>
    </w:p>
    <w:p w14:paraId="40D46E49" w14:textId="77777777" w:rsidR="00F854BC" w:rsidRPr="001B45BE" w:rsidRDefault="00000000">
      <w:pPr>
        <w:pBdr>
          <w:top w:val="nil"/>
          <w:left w:val="nil"/>
          <w:bottom w:val="nil"/>
          <w:right w:val="nil"/>
          <w:between w:val="nil"/>
        </w:pBdr>
        <w:spacing w:line="480" w:lineRule="auto"/>
        <w:ind w:left="720" w:hanging="720"/>
        <w:rPr>
          <w:color w:val="000000"/>
        </w:rPr>
      </w:pPr>
      <w:proofErr w:type="spellStart"/>
      <w:r w:rsidRPr="001B45BE">
        <w:rPr>
          <w:color w:val="000000"/>
        </w:rPr>
        <w:t>Ursache</w:t>
      </w:r>
      <w:proofErr w:type="spellEnd"/>
      <w:r w:rsidRPr="001B45BE">
        <w:rPr>
          <w:color w:val="000000"/>
        </w:rPr>
        <w:t xml:space="preserve">, A., Noble, K. G., &amp; Study, G. (2016). Socioeconomic status, white matter, and executive function in children. </w:t>
      </w:r>
      <w:r w:rsidRPr="001B45BE">
        <w:rPr>
          <w:i/>
          <w:color w:val="000000"/>
        </w:rPr>
        <w:t>Brain and Behavior</w:t>
      </w:r>
      <w:r w:rsidRPr="001B45BE">
        <w:rPr>
          <w:color w:val="000000"/>
        </w:rPr>
        <w:t xml:space="preserve">, </w:t>
      </w:r>
      <w:r w:rsidRPr="001B45BE">
        <w:rPr>
          <w:i/>
          <w:color w:val="000000"/>
        </w:rPr>
        <w:t>6</w:t>
      </w:r>
      <w:r w:rsidRPr="001B45BE">
        <w:rPr>
          <w:color w:val="000000"/>
        </w:rPr>
        <w:t>(10), e00531. https://doi.org/10.1002/brb3.531</w:t>
      </w:r>
    </w:p>
    <w:p w14:paraId="3097B33F" w14:textId="77777777" w:rsidR="00F854BC" w:rsidRPr="001B45BE" w:rsidRDefault="00000000">
      <w:pPr>
        <w:spacing w:line="480" w:lineRule="auto"/>
        <w:ind w:left="480" w:hanging="480"/>
        <w:rPr>
          <w:color w:val="000000"/>
        </w:rPr>
      </w:pPr>
      <w:r w:rsidRPr="001B45BE">
        <w:rPr>
          <w:color w:val="000000"/>
        </w:rPr>
        <w:lastRenderedPageBreak/>
        <w:t>Vernon-</w:t>
      </w:r>
      <w:proofErr w:type="spellStart"/>
      <w:r w:rsidRPr="001B45BE">
        <w:rPr>
          <w:color w:val="000000"/>
        </w:rPr>
        <w:t>Feagans</w:t>
      </w:r>
      <w:proofErr w:type="spellEnd"/>
      <w:r w:rsidRPr="001B45BE">
        <w:rPr>
          <w:color w:val="000000"/>
        </w:rPr>
        <w:t xml:space="preserve">, L., </w:t>
      </w:r>
      <w:proofErr w:type="spellStart"/>
      <w:r w:rsidRPr="001B45BE">
        <w:rPr>
          <w:color w:val="000000"/>
        </w:rPr>
        <w:t>Bratsch</w:t>
      </w:r>
      <w:proofErr w:type="spellEnd"/>
      <w:r w:rsidRPr="001B45BE">
        <w:rPr>
          <w:color w:val="000000"/>
        </w:rPr>
        <w:t xml:space="preserve">-Hines, M., Reynolds, E., &amp; Willoughby, M. (2020). How early maternal language input varies by race and education and predicts later child language. </w:t>
      </w:r>
      <w:r w:rsidRPr="001B45BE">
        <w:rPr>
          <w:i/>
          <w:color w:val="000000"/>
        </w:rPr>
        <w:t>Child Development</w:t>
      </w:r>
      <w:r w:rsidRPr="001B45BE">
        <w:rPr>
          <w:color w:val="000000"/>
        </w:rPr>
        <w:t xml:space="preserve">, </w:t>
      </w:r>
      <w:r w:rsidRPr="001B45BE">
        <w:rPr>
          <w:i/>
          <w:color w:val="000000"/>
        </w:rPr>
        <w:t>91</w:t>
      </w:r>
      <w:r w:rsidRPr="001B45BE">
        <w:rPr>
          <w:color w:val="000000"/>
        </w:rPr>
        <w:t>(4), 1098–1115. https://doi.org/10.1111/cdev.13281</w:t>
      </w:r>
    </w:p>
    <w:p w14:paraId="46C451BA" w14:textId="77777777" w:rsidR="00F854BC" w:rsidRPr="001B45BE" w:rsidRDefault="00000000">
      <w:pPr>
        <w:spacing w:line="480" w:lineRule="auto"/>
        <w:ind w:left="480" w:hanging="480"/>
        <w:rPr>
          <w:color w:val="000000"/>
        </w:rPr>
      </w:pPr>
      <w:r w:rsidRPr="001B45BE">
        <w:rPr>
          <w:color w:val="000000"/>
        </w:rPr>
        <w:t xml:space="preserve">Vikram, K., &amp; </w:t>
      </w:r>
      <w:proofErr w:type="spellStart"/>
      <w:r w:rsidRPr="001B45BE">
        <w:rPr>
          <w:color w:val="000000"/>
        </w:rPr>
        <w:t>Vanneman</w:t>
      </w:r>
      <w:proofErr w:type="spellEnd"/>
      <w:r w:rsidRPr="001B45BE">
        <w:rPr>
          <w:color w:val="000000"/>
        </w:rPr>
        <w:t xml:space="preserve">, R. (2020). Maternal education and the multidimensionality of child health outcomes in India. </w:t>
      </w:r>
      <w:r w:rsidRPr="001B45BE">
        <w:rPr>
          <w:i/>
          <w:color w:val="000000"/>
        </w:rPr>
        <w:t>Journal of Biosocial Science</w:t>
      </w:r>
      <w:r w:rsidRPr="001B45BE">
        <w:rPr>
          <w:color w:val="000000"/>
        </w:rPr>
        <w:t xml:space="preserve">, </w:t>
      </w:r>
      <w:r w:rsidRPr="001B45BE">
        <w:rPr>
          <w:i/>
          <w:color w:val="000000"/>
        </w:rPr>
        <w:t>52</w:t>
      </w:r>
      <w:r w:rsidRPr="001B45BE">
        <w:rPr>
          <w:color w:val="000000"/>
        </w:rPr>
        <w:t>(1), 57–77. https://doi.org/10.1017/S0021932019000245</w:t>
      </w:r>
    </w:p>
    <w:p w14:paraId="74801E3D" w14:textId="77777777" w:rsidR="00F854BC" w:rsidRPr="001B45BE" w:rsidRDefault="00000000">
      <w:pPr>
        <w:pBdr>
          <w:top w:val="nil"/>
          <w:left w:val="nil"/>
          <w:bottom w:val="nil"/>
          <w:right w:val="nil"/>
          <w:between w:val="nil"/>
        </w:pBdr>
        <w:spacing w:line="480" w:lineRule="auto"/>
        <w:ind w:left="720" w:hanging="720"/>
        <w:rPr>
          <w:color w:val="000000"/>
        </w:rPr>
      </w:pPr>
      <w:r w:rsidRPr="001B45BE">
        <w:rPr>
          <w:color w:val="000000"/>
        </w:rPr>
        <w:t>Votruba-</w:t>
      </w:r>
      <w:proofErr w:type="spellStart"/>
      <w:r w:rsidRPr="001B45BE">
        <w:rPr>
          <w:color w:val="000000"/>
        </w:rPr>
        <w:t>Drzal</w:t>
      </w:r>
      <w:proofErr w:type="spellEnd"/>
      <w:r w:rsidRPr="001B45BE">
        <w:rPr>
          <w:color w:val="000000"/>
        </w:rPr>
        <w:t xml:space="preserve">, E. (2003). Income changes and cognitive stimulation in young children’s home learning environments. </w:t>
      </w:r>
      <w:r w:rsidRPr="001B45BE">
        <w:rPr>
          <w:i/>
          <w:color w:val="000000"/>
        </w:rPr>
        <w:t>Journal of Marriage and Family</w:t>
      </w:r>
      <w:r w:rsidRPr="001B45BE">
        <w:rPr>
          <w:color w:val="000000"/>
        </w:rPr>
        <w:t xml:space="preserve">, </w:t>
      </w:r>
      <w:r w:rsidRPr="001B45BE">
        <w:rPr>
          <w:i/>
          <w:color w:val="000000"/>
        </w:rPr>
        <w:t>65</w:t>
      </w:r>
      <w:r w:rsidRPr="001B45BE">
        <w:rPr>
          <w:color w:val="000000"/>
        </w:rPr>
        <w:t>(2), 341–355. https://doi.org/10.1111/j.1741-3737.2003.00341.x</w:t>
      </w:r>
    </w:p>
    <w:p w14:paraId="721509E9" w14:textId="77777777" w:rsidR="00F854BC" w:rsidRPr="001B45BE" w:rsidRDefault="00000000">
      <w:pPr>
        <w:spacing w:line="480" w:lineRule="auto"/>
        <w:ind w:left="480" w:hanging="480"/>
        <w:rPr>
          <w:color w:val="000000"/>
        </w:rPr>
      </w:pPr>
      <w:r w:rsidRPr="001B45BE">
        <w:rPr>
          <w:color w:val="000000"/>
        </w:rPr>
        <w:t xml:space="preserve">Wenz, A., Al </w:t>
      </w:r>
      <w:proofErr w:type="spellStart"/>
      <w:r w:rsidRPr="001B45BE">
        <w:rPr>
          <w:color w:val="000000"/>
        </w:rPr>
        <w:t>Baghal</w:t>
      </w:r>
      <w:proofErr w:type="spellEnd"/>
      <w:r w:rsidRPr="001B45BE">
        <w:rPr>
          <w:color w:val="000000"/>
        </w:rPr>
        <w:t xml:space="preserve">, T., &amp; Gaia, A. (2021). Language proficiency among respondents: Implications for data quality in a longitudinal face-to-face survey. </w:t>
      </w:r>
      <w:r w:rsidRPr="001B45BE">
        <w:rPr>
          <w:i/>
          <w:color w:val="000000"/>
        </w:rPr>
        <w:t>Journal of Survey Statistics and Methodology</w:t>
      </w:r>
      <w:r w:rsidRPr="001B45BE">
        <w:rPr>
          <w:color w:val="000000"/>
        </w:rPr>
        <w:t xml:space="preserve">, </w:t>
      </w:r>
      <w:r w:rsidRPr="001B45BE">
        <w:rPr>
          <w:i/>
          <w:color w:val="000000"/>
        </w:rPr>
        <w:t>9</w:t>
      </w:r>
      <w:r w:rsidRPr="001B45BE">
        <w:rPr>
          <w:color w:val="000000"/>
        </w:rPr>
        <w:t xml:space="preserve">(1), 73–93. </w:t>
      </w:r>
      <w:r w:rsidRPr="001B45BE">
        <w:t>https://doi.org/10.1093/jssam/smz045</w:t>
      </w:r>
    </w:p>
    <w:p w14:paraId="2C2A244F" w14:textId="77777777" w:rsidR="00F854BC" w:rsidRPr="001B45BE" w:rsidRDefault="00000000">
      <w:pPr>
        <w:spacing w:line="480" w:lineRule="auto"/>
        <w:ind w:left="480" w:hanging="480"/>
        <w:rPr>
          <w:color w:val="000000"/>
        </w:rPr>
      </w:pPr>
      <w:r w:rsidRPr="001B45BE">
        <w:rPr>
          <w:color w:val="000000"/>
        </w:rPr>
        <w:t>Williams D. R. (1996). Race/ethnicity and socioeconomic status: measurement and methodological issues. </w:t>
      </w:r>
      <w:r w:rsidRPr="001B45BE">
        <w:rPr>
          <w:i/>
          <w:color w:val="000000"/>
        </w:rPr>
        <w:t xml:space="preserve">International Journal of Health </w:t>
      </w:r>
      <w:proofErr w:type="gramStart"/>
      <w:r w:rsidRPr="001B45BE">
        <w:rPr>
          <w:i/>
          <w:color w:val="000000"/>
        </w:rPr>
        <w:t>Services :</w:t>
      </w:r>
      <w:proofErr w:type="gramEnd"/>
      <w:r w:rsidRPr="001B45BE">
        <w:rPr>
          <w:i/>
          <w:color w:val="000000"/>
        </w:rPr>
        <w:t xml:space="preserve"> Planning, administration, evaluation</w:t>
      </w:r>
      <w:r w:rsidRPr="001B45BE">
        <w:rPr>
          <w:color w:val="000000"/>
        </w:rPr>
        <w:t>, </w:t>
      </w:r>
      <w:r w:rsidRPr="001B45BE">
        <w:rPr>
          <w:i/>
          <w:color w:val="000000"/>
        </w:rPr>
        <w:t>26</w:t>
      </w:r>
      <w:r w:rsidRPr="001B45BE">
        <w:rPr>
          <w:color w:val="000000"/>
        </w:rPr>
        <w:t>(3), 483–505. https://doi.org/10.2190/U9QT-7B7Y-HQ15-JT14</w:t>
      </w:r>
    </w:p>
    <w:p w14:paraId="67BFBD7E" w14:textId="77777777" w:rsidR="00F854BC" w:rsidRPr="001B45BE" w:rsidRDefault="00000000">
      <w:pPr>
        <w:spacing w:line="480" w:lineRule="auto"/>
        <w:ind w:left="480" w:hanging="480"/>
        <w:rPr>
          <w:color w:val="000000"/>
        </w:rPr>
      </w:pPr>
      <w:r w:rsidRPr="001B45BE">
        <w:rPr>
          <w:color w:val="000000"/>
        </w:rPr>
        <w:t xml:space="preserve">Wilkinson, M. D., Dumontier, M., </w:t>
      </w:r>
      <w:proofErr w:type="spellStart"/>
      <w:r w:rsidRPr="001B45BE">
        <w:rPr>
          <w:color w:val="000000"/>
        </w:rPr>
        <w:t>Aalbersberg</w:t>
      </w:r>
      <w:proofErr w:type="spellEnd"/>
      <w:r w:rsidRPr="001B45BE">
        <w:rPr>
          <w:color w:val="000000"/>
        </w:rPr>
        <w:t xml:space="preserve">, </w:t>
      </w:r>
      <w:proofErr w:type="spellStart"/>
      <w:r w:rsidRPr="001B45BE">
        <w:rPr>
          <w:color w:val="000000"/>
        </w:rPr>
        <w:t>Ij</w:t>
      </w:r>
      <w:proofErr w:type="spellEnd"/>
      <w:r w:rsidRPr="001B45BE">
        <w:rPr>
          <w:color w:val="000000"/>
        </w:rPr>
        <w:t xml:space="preserve">. J., Appleton, G., Axton, M., </w:t>
      </w:r>
      <w:proofErr w:type="spellStart"/>
      <w:r w:rsidRPr="001B45BE">
        <w:rPr>
          <w:color w:val="000000"/>
        </w:rPr>
        <w:t>Baak</w:t>
      </w:r>
      <w:proofErr w:type="spellEnd"/>
      <w:r w:rsidRPr="001B45BE">
        <w:rPr>
          <w:color w:val="000000"/>
        </w:rPr>
        <w:t xml:space="preserve">, A., Blomberg, N., </w:t>
      </w:r>
      <w:proofErr w:type="spellStart"/>
      <w:r w:rsidRPr="001B45BE">
        <w:rPr>
          <w:color w:val="000000"/>
        </w:rPr>
        <w:t>Boiten</w:t>
      </w:r>
      <w:proofErr w:type="spellEnd"/>
      <w:r w:rsidRPr="001B45BE">
        <w:rPr>
          <w:color w:val="000000"/>
        </w:rPr>
        <w:t xml:space="preserve">, J.-W., da Silva Santos, L. B., </w:t>
      </w:r>
      <w:proofErr w:type="spellStart"/>
      <w:r w:rsidRPr="001B45BE">
        <w:rPr>
          <w:color w:val="000000"/>
        </w:rPr>
        <w:t>Bourne</w:t>
      </w:r>
      <w:proofErr w:type="spellEnd"/>
      <w:r w:rsidRPr="001B45BE">
        <w:rPr>
          <w:color w:val="000000"/>
        </w:rPr>
        <w:t xml:space="preserve">, P. E., </w:t>
      </w:r>
      <w:proofErr w:type="spellStart"/>
      <w:r w:rsidRPr="001B45BE">
        <w:rPr>
          <w:color w:val="000000"/>
        </w:rPr>
        <w:t>Bouwman</w:t>
      </w:r>
      <w:proofErr w:type="spellEnd"/>
      <w:r w:rsidRPr="001B45BE">
        <w:rPr>
          <w:color w:val="000000"/>
        </w:rPr>
        <w:t xml:space="preserve">, J., Brookes, A. J., Clark, T., </w:t>
      </w:r>
      <w:proofErr w:type="spellStart"/>
      <w:r w:rsidRPr="001B45BE">
        <w:rPr>
          <w:color w:val="000000"/>
        </w:rPr>
        <w:t>Crosas</w:t>
      </w:r>
      <w:proofErr w:type="spellEnd"/>
      <w:r w:rsidRPr="001B45BE">
        <w:rPr>
          <w:color w:val="000000"/>
        </w:rPr>
        <w:t xml:space="preserve">, M., </w:t>
      </w:r>
      <w:proofErr w:type="spellStart"/>
      <w:r w:rsidRPr="001B45BE">
        <w:rPr>
          <w:color w:val="000000"/>
        </w:rPr>
        <w:t>Dillo</w:t>
      </w:r>
      <w:proofErr w:type="spellEnd"/>
      <w:r w:rsidRPr="001B45BE">
        <w:rPr>
          <w:color w:val="000000"/>
        </w:rPr>
        <w:t xml:space="preserve">, I., </w:t>
      </w:r>
      <w:proofErr w:type="spellStart"/>
      <w:r w:rsidRPr="001B45BE">
        <w:rPr>
          <w:color w:val="000000"/>
        </w:rPr>
        <w:t>Dumon</w:t>
      </w:r>
      <w:proofErr w:type="spellEnd"/>
      <w:r w:rsidRPr="001B45BE">
        <w:rPr>
          <w:color w:val="000000"/>
        </w:rPr>
        <w:t xml:space="preserve">, O., Edmunds, S., </w:t>
      </w:r>
      <w:proofErr w:type="spellStart"/>
      <w:r w:rsidRPr="001B45BE">
        <w:rPr>
          <w:color w:val="000000"/>
        </w:rPr>
        <w:t>Evelo</w:t>
      </w:r>
      <w:proofErr w:type="spellEnd"/>
      <w:r w:rsidRPr="001B45BE">
        <w:rPr>
          <w:color w:val="000000"/>
        </w:rPr>
        <w:t xml:space="preserve">, C. T., </w:t>
      </w:r>
      <w:proofErr w:type="spellStart"/>
      <w:r w:rsidRPr="001B45BE">
        <w:rPr>
          <w:color w:val="000000"/>
        </w:rPr>
        <w:t>Finkers</w:t>
      </w:r>
      <w:proofErr w:type="spellEnd"/>
      <w:r w:rsidRPr="001B45BE">
        <w:rPr>
          <w:color w:val="000000"/>
        </w:rPr>
        <w:t xml:space="preserve">, R., … Mons, B. (2016). The FAIR Guiding Principles for scientific data management and stewardship. </w:t>
      </w:r>
      <w:r w:rsidRPr="001B45BE">
        <w:rPr>
          <w:i/>
          <w:color w:val="000000"/>
        </w:rPr>
        <w:t>Scientific Data</w:t>
      </w:r>
      <w:r w:rsidRPr="001B45BE">
        <w:rPr>
          <w:color w:val="000000"/>
        </w:rPr>
        <w:t xml:space="preserve">, </w:t>
      </w:r>
      <w:r w:rsidRPr="001B45BE">
        <w:rPr>
          <w:i/>
          <w:color w:val="000000"/>
        </w:rPr>
        <w:t>3</w:t>
      </w:r>
      <w:r w:rsidRPr="001B45BE">
        <w:rPr>
          <w:color w:val="000000"/>
        </w:rPr>
        <w:t>(1), 160018. https://doi.org/10.1038/sdata.2016.18</w:t>
      </w:r>
    </w:p>
    <w:p w14:paraId="41D57FF6" w14:textId="77777777" w:rsidR="00F854BC" w:rsidRPr="001B45BE" w:rsidRDefault="00000000">
      <w:pPr>
        <w:pBdr>
          <w:top w:val="nil"/>
          <w:left w:val="nil"/>
          <w:bottom w:val="nil"/>
          <w:right w:val="nil"/>
          <w:between w:val="nil"/>
        </w:pBdr>
        <w:spacing w:line="480" w:lineRule="auto"/>
        <w:ind w:left="720" w:hanging="720"/>
        <w:rPr>
          <w:color w:val="000000"/>
        </w:rPr>
      </w:pPr>
      <w:r w:rsidRPr="001B45BE">
        <w:rPr>
          <w:color w:val="000000"/>
        </w:rPr>
        <w:t xml:space="preserve">World Bank. (n.d.). </w:t>
      </w:r>
      <w:r w:rsidRPr="001B45BE">
        <w:rPr>
          <w:i/>
          <w:color w:val="000000"/>
        </w:rPr>
        <w:t>PPP conversion factor</w:t>
      </w:r>
      <w:r w:rsidRPr="001B45BE">
        <w:rPr>
          <w:color w:val="000000"/>
        </w:rPr>
        <w:t>. https://data.worldbank.org/indicator/PA.NUS.PPP</w:t>
      </w:r>
    </w:p>
    <w:p w14:paraId="369ADD81" w14:textId="77777777" w:rsidR="00F854BC" w:rsidRPr="001B45BE" w:rsidRDefault="00000000">
      <w:pPr>
        <w:spacing w:line="480" w:lineRule="auto"/>
        <w:ind w:left="480" w:hanging="480"/>
        <w:rPr>
          <w:color w:val="000000"/>
        </w:rPr>
      </w:pPr>
      <w:r w:rsidRPr="001B45BE">
        <w:rPr>
          <w:color w:val="000000"/>
        </w:rPr>
        <w:t xml:space="preserve">World Health Organization. (2022). </w:t>
      </w:r>
      <w:r w:rsidRPr="001B45BE">
        <w:rPr>
          <w:i/>
          <w:color w:val="000000"/>
        </w:rPr>
        <w:t>Preterm birth</w:t>
      </w:r>
      <w:r w:rsidRPr="001B45BE">
        <w:rPr>
          <w:color w:val="000000"/>
        </w:rPr>
        <w:t xml:space="preserve">. </w:t>
      </w:r>
      <w:r w:rsidRPr="001B45BE">
        <w:t>https://www.who.int/news-room/fact-sheets/detail/preterm-birth</w:t>
      </w:r>
    </w:p>
    <w:p w14:paraId="6E306F3C" w14:textId="77777777" w:rsidR="00F854BC" w:rsidRPr="001B45BE" w:rsidRDefault="00000000">
      <w:pPr>
        <w:spacing w:line="480" w:lineRule="auto"/>
        <w:ind w:left="480" w:hanging="480"/>
        <w:rPr>
          <w:i/>
          <w:color w:val="000000"/>
        </w:rPr>
      </w:pPr>
      <w:r w:rsidRPr="001B45BE">
        <w:rPr>
          <w:color w:val="000000"/>
        </w:rPr>
        <w:lastRenderedPageBreak/>
        <w:t xml:space="preserve">World Health Organization (2014). </w:t>
      </w:r>
      <w:r w:rsidRPr="001B45BE">
        <w:rPr>
          <w:i/>
          <w:color w:val="000000"/>
        </w:rPr>
        <w:t>Global nutrition targets 2025: Low birth weight policy brief.</w:t>
      </w:r>
    </w:p>
    <w:p w14:paraId="532834AD" w14:textId="77777777" w:rsidR="00F854BC" w:rsidRPr="001B45BE" w:rsidRDefault="00000000">
      <w:pPr>
        <w:spacing w:line="480" w:lineRule="auto"/>
        <w:ind w:left="480" w:hanging="480"/>
      </w:pPr>
      <w:r w:rsidRPr="001B45BE">
        <w:rPr>
          <w:color w:val="000000"/>
        </w:rPr>
        <w:t xml:space="preserve"> </w:t>
      </w:r>
      <w:r w:rsidRPr="001B45BE">
        <w:rPr>
          <w:color w:val="000000"/>
        </w:rPr>
        <w:tab/>
      </w:r>
      <w:r w:rsidRPr="001B45BE">
        <w:t>https://www.who.int/publications/i/item/WHO-NMH-NHD-14.5</w:t>
      </w:r>
    </w:p>
    <w:p w14:paraId="4879AFA2" w14:textId="77777777" w:rsidR="00F854BC" w:rsidRPr="001B45BE" w:rsidRDefault="00000000">
      <w:pPr>
        <w:pBdr>
          <w:top w:val="nil"/>
          <w:left w:val="nil"/>
          <w:bottom w:val="nil"/>
          <w:right w:val="nil"/>
          <w:between w:val="nil"/>
        </w:pBdr>
        <w:spacing w:line="480" w:lineRule="auto"/>
        <w:ind w:left="720" w:hanging="720"/>
        <w:rPr>
          <w:color w:val="000000"/>
        </w:rPr>
      </w:pPr>
      <w:r w:rsidRPr="001B45BE">
        <w:rPr>
          <w:color w:val="000000"/>
        </w:rPr>
        <w:t xml:space="preserve">Yeoh, B. S. A., </w:t>
      </w:r>
      <w:proofErr w:type="spellStart"/>
      <w:r w:rsidRPr="001B45BE">
        <w:rPr>
          <w:color w:val="000000"/>
        </w:rPr>
        <w:t>Acedera</w:t>
      </w:r>
      <w:proofErr w:type="spellEnd"/>
      <w:r w:rsidRPr="001B45BE">
        <w:rPr>
          <w:color w:val="000000"/>
        </w:rPr>
        <w:t xml:space="preserve">, K. A., &amp; </w:t>
      </w:r>
      <w:proofErr w:type="spellStart"/>
      <w:r w:rsidRPr="001B45BE">
        <w:rPr>
          <w:color w:val="000000"/>
        </w:rPr>
        <w:t>Rootham</w:t>
      </w:r>
      <w:proofErr w:type="spellEnd"/>
      <w:r w:rsidRPr="001B45BE">
        <w:rPr>
          <w:color w:val="000000"/>
        </w:rPr>
        <w:t xml:space="preserve">, E. (2016). Negotiating postcolonial Eurasian identities and national belonging in global-city Singapore. </w:t>
      </w:r>
      <w:r w:rsidRPr="001B45BE">
        <w:rPr>
          <w:i/>
          <w:color w:val="000000"/>
        </w:rPr>
        <w:t>Social Identities</w:t>
      </w:r>
      <w:r w:rsidRPr="001B45BE">
        <w:rPr>
          <w:color w:val="000000"/>
        </w:rPr>
        <w:t xml:space="preserve">, </w:t>
      </w:r>
      <w:r w:rsidRPr="001B45BE">
        <w:rPr>
          <w:i/>
          <w:color w:val="000000"/>
        </w:rPr>
        <w:t>25</w:t>
      </w:r>
      <w:r w:rsidRPr="001B45BE">
        <w:rPr>
          <w:color w:val="000000"/>
        </w:rPr>
        <w:t>(3), 294–309. https://doi.org/10.1080/13504630.2018.1500168</w:t>
      </w:r>
    </w:p>
    <w:p w14:paraId="7F53AB12" w14:textId="77777777" w:rsidR="00F854BC" w:rsidRDefault="00000000">
      <w:pPr>
        <w:pBdr>
          <w:top w:val="nil"/>
          <w:left w:val="nil"/>
          <w:bottom w:val="nil"/>
          <w:right w:val="nil"/>
          <w:between w:val="nil"/>
        </w:pBdr>
        <w:spacing w:line="480" w:lineRule="auto"/>
        <w:ind w:left="720" w:hanging="720"/>
        <w:rPr>
          <w:color w:val="000000"/>
        </w:rPr>
      </w:pPr>
      <w:r w:rsidRPr="001B45BE">
        <w:rPr>
          <w:color w:val="000000"/>
        </w:rPr>
        <w:t xml:space="preserve">Zhao, M., Huang, C., Mendoza, M., Tovar, X., </w:t>
      </w:r>
      <w:proofErr w:type="spellStart"/>
      <w:r w:rsidRPr="001B45BE">
        <w:rPr>
          <w:color w:val="000000"/>
        </w:rPr>
        <w:t>Lecca</w:t>
      </w:r>
      <w:proofErr w:type="spellEnd"/>
      <w:r w:rsidRPr="001B45BE">
        <w:rPr>
          <w:color w:val="000000"/>
        </w:rPr>
        <w:t xml:space="preserve">, L., &amp; Murray, M. (2023). Subjective socioeconomic status: an alternative to objective socioeconomic status. </w:t>
      </w:r>
      <w:r w:rsidRPr="001B45BE">
        <w:rPr>
          <w:i/>
          <w:color w:val="000000"/>
        </w:rPr>
        <w:t>BMC Medical Research Methodology</w:t>
      </w:r>
      <w:r w:rsidRPr="001B45BE">
        <w:rPr>
          <w:color w:val="000000"/>
        </w:rPr>
        <w:t xml:space="preserve">, </w:t>
      </w:r>
      <w:r w:rsidRPr="001B45BE">
        <w:rPr>
          <w:i/>
          <w:color w:val="000000"/>
        </w:rPr>
        <w:t>23</w:t>
      </w:r>
      <w:r w:rsidRPr="001B45BE">
        <w:rPr>
          <w:color w:val="000000"/>
        </w:rPr>
        <w:t>(1). https://doi.org/10.1186/s12874-023-01890-z</w:t>
      </w:r>
    </w:p>
    <w:p w14:paraId="47D6CDD8" w14:textId="77777777" w:rsidR="00F854BC" w:rsidRDefault="00F854BC">
      <w:pPr>
        <w:spacing w:line="480" w:lineRule="auto"/>
        <w:ind w:firstLine="0"/>
        <w:rPr>
          <w:color w:val="000000"/>
        </w:rPr>
      </w:pPr>
    </w:p>
    <w:p w14:paraId="16A3BE7F" w14:textId="77777777" w:rsidR="00F854BC" w:rsidRDefault="00F854BC">
      <w:pPr>
        <w:ind w:firstLine="0"/>
        <w:rPr>
          <w:b/>
          <w:color w:val="000000"/>
        </w:rPr>
      </w:pPr>
      <w:bookmarkStart w:id="13" w:name="_heading=h.q1z3shyet8kz" w:colFirst="0" w:colLast="0"/>
      <w:bookmarkEnd w:id="13"/>
    </w:p>
    <w:sectPr w:rsidR="00F854BC">
      <w:headerReference w:type="default" r:id="rId21"/>
      <w:footerReference w:type="defaul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7CA11" w14:textId="77777777" w:rsidR="009E15BB" w:rsidRDefault="009E15BB">
      <w:pPr>
        <w:spacing w:line="240" w:lineRule="auto"/>
      </w:pPr>
      <w:r>
        <w:separator/>
      </w:r>
    </w:p>
  </w:endnote>
  <w:endnote w:type="continuationSeparator" w:id="0">
    <w:p w14:paraId="240197C8" w14:textId="77777777" w:rsidR="009E15BB" w:rsidRDefault="009E15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0186A" w14:textId="77777777" w:rsidR="00F854BC" w:rsidRDefault="00000000">
    <w:pPr>
      <w:jc w:val="right"/>
    </w:pPr>
    <w:r>
      <w:fldChar w:fldCharType="begin"/>
    </w:r>
    <w:r>
      <w:instrText>PAGE</w:instrText>
    </w:r>
    <w:r>
      <w:fldChar w:fldCharType="separate"/>
    </w:r>
    <w:r w:rsidR="0055797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8D21E" w14:textId="77777777" w:rsidR="009E15BB" w:rsidRDefault="009E15BB">
      <w:pPr>
        <w:spacing w:line="240" w:lineRule="auto"/>
      </w:pPr>
      <w:r>
        <w:separator/>
      </w:r>
    </w:p>
  </w:footnote>
  <w:footnote w:type="continuationSeparator" w:id="0">
    <w:p w14:paraId="0441DA20" w14:textId="77777777" w:rsidR="009E15BB" w:rsidRDefault="009E15BB">
      <w:pPr>
        <w:spacing w:line="240" w:lineRule="auto"/>
      </w:pPr>
      <w:r>
        <w:continuationSeparator/>
      </w:r>
    </w:p>
  </w:footnote>
  <w:footnote w:id="1">
    <w:p w14:paraId="6E40D8A2" w14:textId="77777777" w:rsidR="00F854BC" w:rsidRDefault="00000000">
      <w:pPr>
        <w:spacing w:line="240" w:lineRule="auto"/>
        <w:ind w:firstLine="0"/>
        <w:rPr>
          <w:highlight w:val="yellow"/>
        </w:rPr>
      </w:pPr>
      <w:r w:rsidRPr="001B45BE">
        <w:rPr>
          <w:rStyle w:val="FootnoteReference"/>
        </w:rPr>
        <w:footnoteRef/>
      </w:r>
      <w:r w:rsidRPr="001B45BE">
        <w:t xml:space="preserve"> </w:t>
      </w:r>
      <w:r w:rsidRPr="001B45BE">
        <w:rPr>
          <w:sz w:val="20"/>
          <w:szCs w:val="20"/>
        </w:rPr>
        <w:t xml:space="preserve">There are many freely available tools to facilitate this conversion (e.g., </w:t>
      </w:r>
      <w:hyperlink r:id="rId1">
        <w:r w:rsidRPr="001B45BE">
          <w:rPr>
            <w:sz w:val="20"/>
            <w:szCs w:val="20"/>
          </w:rPr>
          <w:t>https://www.calculator.net/age-calculator.html</w:t>
        </w:r>
      </w:hyperlink>
      <w:r w:rsidRPr="001B45BE">
        <w:rPr>
          <w:sz w:val="20"/>
          <w:szCs w:val="20"/>
        </w:rPr>
        <w:t xml:space="preserve">). </w:t>
      </w:r>
    </w:p>
  </w:footnote>
  <w:footnote w:id="2">
    <w:p w14:paraId="48C3B41D" w14:textId="77777777" w:rsidR="00F854BC" w:rsidRDefault="00000000">
      <w:pPr>
        <w:spacing w:line="240" w:lineRule="auto"/>
        <w:ind w:firstLine="0"/>
        <w:rPr>
          <w:sz w:val="20"/>
          <w:szCs w:val="20"/>
        </w:rPr>
      </w:pPr>
      <w:r>
        <w:rPr>
          <w:rStyle w:val="FootnoteReference"/>
        </w:rPr>
        <w:footnoteRef/>
      </w:r>
      <w:r>
        <w:rPr>
          <w:sz w:val="20"/>
          <w:szCs w:val="20"/>
        </w:rPr>
        <w:t xml:space="preserve"> Although we ask about parent gender identification, current research typically examines changes in gender identification starting at 3 years of age, beyond the age range that we focus on here (Olson et al., 2016). Thus, we focus on child’s sex at birth as the target construct, recognizing that the question text and response options instantiating this construct will likely vary between communities. </w:t>
      </w:r>
    </w:p>
  </w:footnote>
  <w:footnote w:id="3">
    <w:p w14:paraId="16E1A0B8" w14:textId="77777777" w:rsidR="00F854BC" w:rsidRDefault="00000000">
      <w:pPr>
        <w:pBdr>
          <w:top w:val="nil"/>
          <w:left w:val="nil"/>
          <w:bottom w:val="nil"/>
          <w:right w:val="nil"/>
          <w:between w:val="nil"/>
        </w:pBdr>
        <w:spacing w:line="240" w:lineRule="auto"/>
        <w:ind w:firstLine="0"/>
        <w:rPr>
          <w:color w:val="000000"/>
        </w:rPr>
      </w:pPr>
      <w:r w:rsidRPr="001B45BE">
        <w:rPr>
          <w:rStyle w:val="FootnoteReference"/>
        </w:rPr>
        <w:footnoteRef/>
      </w:r>
      <w:r w:rsidRPr="001B45BE">
        <w:t xml:space="preserve"> For instance, </w:t>
      </w:r>
      <w:r w:rsidRPr="001B45BE">
        <w:rPr>
          <w:i/>
          <w:color w:val="000000"/>
        </w:rPr>
        <w:t>Child Development</w:t>
      </w:r>
      <w:r w:rsidRPr="001B45BE">
        <w:rPr>
          <w:color w:val="000000"/>
        </w:rPr>
        <w:t xml:space="preserve"> requires inclusion of “the theoretically relevant characteristics of the particular sample studied, for example, but not limited to: race/ethnicity, socioeconomic status, language, sexual orientation, gender identity (inclusive of non-binary options), religion, generation, family characteristics; and the place(s) from which that sample was drawn, including country, region, city, neighborhood, school, etc. and all other context variables that are relevant to the focus of the publication.” </w:t>
      </w:r>
      <w:r w:rsidRPr="001B45BE">
        <w:rPr>
          <w:i/>
          <w:color w:val="000000"/>
        </w:rPr>
        <w:t>Developmental Psychology</w:t>
      </w:r>
      <w:r w:rsidRPr="001B45BE">
        <w:rPr>
          <w:color w:val="000000"/>
        </w:rPr>
        <w:t xml:space="preserve"> states, “Major demographic characteristics should be reported, such as sex, age, socioeconomic status, race/ethnicity, and, when possible and appropriate, disability status and sexual orientation.” </w:t>
      </w:r>
      <w:r w:rsidRPr="001B45BE">
        <w:rPr>
          <w:i/>
          <w:color w:val="000000"/>
        </w:rPr>
        <w:t>Developmental Science</w:t>
      </w:r>
      <w:r w:rsidRPr="001B45BE">
        <w:rPr>
          <w:color w:val="000000"/>
        </w:rPr>
        <w:t xml:space="preserve"> requires the provision of ethnicity/race and sex/gender.</w:t>
      </w:r>
      <w:r>
        <w:rPr>
          <w:color w:val="000000"/>
        </w:rPr>
        <w:t xml:space="preserve"> </w:t>
      </w:r>
    </w:p>
    <w:p w14:paraId="68DF60B3" w14:textId="77777777" w:rsidR="00F854BC" w:rsidRDefault="00F854BC">
      <w:pPr>
        <w:pBdr>
          <w:top w:val="nil"/>
          <w:left w:val="nil"/>
          <w:bottom w:val="nil"/>
          <w:right w:val="nil"/>
          <w:between w:val="nil"/>
        </w:pBdr>
        <w:spacing w:line="240" w:lineRule="auto"/>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3A69C" w14:textId="77777777" w:rsidR="00F854BC" w:rsidRDefault="00000000">
    <w:pPr>
      <w:pBdr>
        <w:top w:val="nil"/>
        <w:left w:val="nil"/>
        <w:bottom w:val="nil"/>
        <w:right w:val="nil"/>
        <w:between w:val="nil"/>
      </w:pBdr>
      <w:tabs>
        <w:tab w:val="center" w:pos="4513"/>
        <w:tab w:val="right" w:pos="9026"/>
      </w:tabs>
      <w:spacing w:line="240" w:lineRule="auto"/>
      <w:jc w:val="right"/>
      <w:rPr>
        <w:color w:val="000000"/>
      </w:rPr>
    </w:pPr>
    <w:r>
      <w:rPr>
        <w:color w:val="000000"/>
      </w:rPr>
      <w:t>Reporting demographic data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C3B67"/>
    <w:multiLevelType w:val="multilevel"/>
    <w:tmpl w:val="5F584AE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671516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4BC"/>
    <w:rsid w:val="00035A55"/>
    <w:rsid w:val="000B2CED"/>
    <w:rsid w:val="001251B1"/>
    <w:rsid w:val="0012563F"/>
    <w:rsid w:val="001B2E29"/>
    <w:rsid w:val="001B45BE"/>
    <w:rsid w:val="001B68A8"/>
    <w:rsid w:val="001C087A"/>
    <w:rsid w:val="00266207"/>
    <w:rsid w:val="002A083B"/>
    <w:rsid w:val="002F3E01"/>
    <w:rsid w:val="003622EE"/>
    <w:rsid w:val="0052796D"/>
    <w:rsid w:val="00535873"/>
    <w:rsid w:val="0055797C"/>
    <w:rsid w:val="00562E5A"/>
    <w:rsid w:val="00575125"/>
    <w:rsid w:val="00617764"/>
    <w:rsid w:val="007E45AC"/>
    <w:rsid w:val="008255B2"/>
    <w:rsid w:val="008352DE"/>
    <w:rsid w:val="0094068D"/>
    <w:rsid w:val="009B4910"/>
    <w:rsid w:val="009E15BB"/>
    <w:rsid w:val="00A86011"/>
    <w:rsid w:val="00AA1831"/>
    <w:rsid w:val="00BB6003"/>
    <w:rsid w:val="00C20362"/>
    <w:rsid w:val="00CC2B08"/>
    <w:rsid w:val="00D22D86"/>
    <w:rsid w:val="00DC74E9"/>
    <w:rsid w:val="00E0753D"/>
    <w:rsid w:val="00EA5388"/>
    <w:rsid w:val="00EB0970"/>
    <w:rsid w:val="00F854BC"/>
    <w:rsid w:val="00FB7B7E"/>
    <w:rsid w:val="00FF7E2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4:docId w14:val="20B4CBFF"/>
  <w15:docId w15:val="{8EE88A75-1E70-9A47-A1E0-E3695DD19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GB" w:bidi="ar-SA"/>
      </w:rPr>
    </w:rPrDefault>
    <w:pPrDefault>
      <w:pPr>
        <w:spacing w:line="523"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307"/>
  </w:style>
  <w:style w:type="paragraph" w:styleId="Heading1">
    <w:name w:val="heading 1"/>
    <w:basedOn w:val="Normal"/>
    <w:next w:val="Normal"/>
    <w:uiPriority w:val="9"/>
    <w:qFormat/>
    <w:pPr>
      <w:keepNext/>
      <w:keepLines/>
      <w:jc w:val="center"/>
      <w:outlineLvl w:val="0"/>
    </w:pPr>
    <w:rPr>
      <w:b/>
    </w:rPr>
  </w:style>
  <w:style w:type="paragraph" w:styleId="Heading2">
    <w:name w:val="heading 2"/>
    <w:basedOn w:val="Normal"/>
    <w:next w:val="Normal"/>
    <w:link w:val="Heading2Char"/>
    <w:uiPriority w:val="9"/>
    <w:unhideWhenUsed/>
    <w:qFormat/>
    <w:pPr>
      <w:keepNext/>
      <w:keepLines/>
      <w:ind w:firstLine="0"/>
      <w:outlineLvl w:val="1"/>
    </w:pPr>
    <w:rPr>
      <w:b/>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214396"/>
    <w:pPr>
      <w:ind w:left="720"/>
      <w:contextualSpacing/>
    </w:pPr>
  </w:style>
  <w:style w:type="character" w:customStyle="1" w:styleId="apple-converted-space">
    <w:name w:val="apple-converted-space"/>
    <w:basedOn w:val="DefaultParagraphFont"/>
    <w:rsid w:val="00214396"/>
  </w:style>
  <w:style w:type="character" w:styleId="Emphasis">
    <w:name w:val="Emphasis"/>
    <w:basedOn w:val="DefaultParagraphFont"/>
    <w:uiPriority w:val="20"/>
    <w:qFormat/>
    <w:rsid w:val="00214396"/>
    <w:rPr>
      <w:i/>
      <w:iCs/>
    </w:rPr>
  </w:style>
  <w:style w:type="character" w:styleId="Hyperlink">
    <w:name w:val="Hyperlink"/>
    <w:basedOn w:val="DefaultParagraphFont"/>
    <w:uiPriority w:val="99"/>
    <w:unhideWhenUsed/>
    <w:rsid w:val="00214396"/>
    <w:rPr>
      <w:color w:val="0000FF"/>
      <w:u w:val="single"/>
    </w:r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222B6"/>
    <w:pPr>
      <w:tabs>
        <w:tab w:val="center" w:pos="4513"/>
        <w:tab w:val="right" w:pos="9026"/>
      </w:tabs>
      <w:spacing w:line="240" w:lineRule="auto"/>
    </w:pPr>
  </w:style>
  <w:style w:type="character" w:customStyle="1" w:styleId="HeaderChar">
    <w:name w:val="Header Char"/>
    <w:basedOn w:val="DefaultParagraphFont"/>
    <w:link w:val="Header"/>
    <w:uiPriority w:val="99"/>
    <w:rsid w:val="00D222B6"/>
  </w:style>
  <w:style w:type="paragraph" w:styleId="Footer">
    <w:name w:val="footer"/>
    <w:basedOn w:val="Normal"/>
    <w:link w:val="FooterChar"/>
    <w:uiPriority w:val="99"/>
    <w:unhideWhenUsed/>
    <w:rsid w:val="00D222B6"/>
    <w:pPr>
      <w:tabs>
        <w:tab w:val="center" w:pos="4513"/>
        <w:tab w:val="right" w:pos="9026"/>
      </w:tabs>
      <w:spacing w:line="240" w:lineRule="auto"/>
    </w:pPr>
  </w:style>
  <w:style w:type="character" w:customStyle="1" w:styleId="FooterChar">
    <w:name w:val="Footer Char"/>
    <w:basedOn w:val="DefaultParagraphFont"/>
    <w:link w:val="Footer"/>
    <w:uiPriority w:val="99"/>
    <w:rsid w:val="00D222B6"/>
  </w:style>
  <w:style w:type="paragraph" w:styleId="CommentSubject">
    <w:name w:val="annotation subject"/>
    <w:basedOn w:val="CommentText"/>
    <w:next w:val="CommentText"/>
    <w:link w:val="CommentSubjectChar"/>
    <w:uiPriority w:val="99"/>
    <w:semiHidden/>
    <w:unhideWhenUsed/>
    <w:rsid w:val="00941E69"/>
    <w:rPr>
      <w:b/>
      <w:bCs/>
    </w:rPr>
  </w:style>
  <w:style w:type="character" w:customStyle="1" w:styleId="CommentSubjectChar">
    <w:name w:val="Comment Subject Char"/>
    <w:basedOn w:val="CommentTextChar"/>
    <w:link w:val="CommentSubject"/>
    <w:uiPriority w:val="99"/>
    <w:semiHidden/>
    <w:rsid w:val="00941E69"/>
    <w:rPr>
      <w:b/>
      <w:bCs/>
      <w:sz w:val="20"/>
      <w:szCs w:val="20"/>
    </w:rPr>
  </w:style>
  <w:style w:type="character" w:styleId="UnresolvedMention">
    <w:name w:val="Unresolved Mention"/>
    <w:basedOn w:val="DefaultParagraphFont"/>
    <w:uiPriority w:val="99"/>
    <w:semiHidden/>
    <w:unhideWhenUsed/>
    <w:rsid w:val="00BE0A16"/>
    <w:rPr>
      <w:color w:val="605E5C"/>
      <w:shd w:val="clear" w:color="auto" w:fill="E1DFDD"/>
    </w:rPr>
  </w:style>
  <w:style w:type="paragraph" w:styleId="NormalWeb">
    <w:name w:val="Normal (Web)"/>
    <w:basedOn w:val="Normal"/>
    <w:uiPriority w:val="99"/>
    <w:unhideWhenUsed/>
    <w:rsid w:val="00BE0A16"/>
    <w:pPr>
      <w:spacing w:before="100" w:beforeAutospacing="1" w:after="100" w:afterAutospacing="1" w:line="240" w:lineRule="auto"/>
      <w:ind w:firstLine="0"/>
    </w:pPr>
    <w:rPr>
      <w:lang w:val="en-SG" w:eastAsia="zh-CN"/>
    </w:rPr>
  </w:style>
  <w:style w:type="paragraph" w:styleId="BodyText">
    <w:name w:val="Body Text"/>
    <w:basedOn w:val="Normal"/>
    <w:link w:val="BodyTextChar"/>
    <w:qFormat/>
    <w:rsid w:val="006A2762"/>
    <w:pPr>
      <w:spacing w:before="180" w:after="180" w:line="240" w:lineRule="auto"/>
      <w:ind w:firstLine="0"/>
    </w:pPr>
    <w:rPr>
      <w:rFonts w:asciiTheme="minorHAnsi" w:eastAsiaTheme="minorHAnsi" w:hAnsiTheme="minorHAnsi" w:cstheme="minorBidi"/>
      <w:lang w:val="en-US"/>
    </w:rPr>
  </w:style>
  <w:style w:type="character" w:customStyle="1" w:styleId="BodyTextChar">
    <w:name w:val="Body Text Char"/>
    <w:basedOn w:val="DefaultParagraphFont"/>
    <w:link w:val="BodyText"/>
    <w:rsid w:val="006A2762"/>
    <w:rPr>
      <w:rFonts w:asciiTheme="minorHAnsi" w:eastAsiaTheme="minorHAnsi" w:hAnsiTheme="minorHAnsi" w:cstheme="minorBidi"/>
      <w:lang w:val="en-US" w:eastAsia="en-US"/>
    </w:rPr>
  </w:style>
  <w:style w:type="paragraph" w:customStyle="1" w:styleId="FirstParagraph">
    <w:name w:val="First Paragraph"/>
    <w:basedOn w:val="BodyText"/>
    <w:next w:val="BodyText"/>
    <w:qFormat/>
    <w:rsid w:val="006A2762"/>
  </w:style>
  <w:style w:type="paragraph" w:styleId="Revision">
    <w:name w:val="Revision"/>
    <w:hidden/>
    <w:uiPriority w:val="99"/>
    <w:semiHidden/>
    <w:rsid w:val="007700D2"/>
    <w:pPr>
      <w:spacing w:line="240" w:lineRule="auto"/>
      <w:ind w:firstLine="0"/>
    </w:pPr>
  </w:style>
  <w:style w:type="paragraph" w:styleId="FootnoteText">
    <w:name w:val="footnote text"/>
    <w:basedOn w:val="Normal"/>
    <w:link w:val="FootnoteTextChar"/>
    <w:uiPriority w:val="99"/>
    <w:semiHidden/>
    <w:unhideWhenUsed/>
    <w:rsid w:val="0049325D"/>
    <w:pPr>
      <w:spacing w:line="240" w:lineRule="auto"/>
    </w:pPr>
    <w:rPr>
      <w:sz w:val="20"/>
      <w:szCs w:val="20"/>
    </w:rPr>
  </w:style>
  <w:style w:type="character" w:customStyle="1" w:styleId="FootnoteTextChar">
    <w:name w:val="Footnote Text Char"/>
    <w:basedOn w:val="DefaultParagraphFont"/>
    <w:link w:val="FootnoteText"/>
    <w:uiPriority w:val="99"/>
    <w:semiHidden/>
    <w:rsid w:val="0049325D"/>
    <w:rPr>
      <w:sz w:val="20"/>
      <w:szCs w:val="20"/>
    </w:rPr>
  </w:style>
  <w:style w:type="character" w:styleId="FootnoteReference">
    <w:name w:val="footnote reference"/>
    <w:basedOn w:val="DefaultParagraphFont"/>
    <w:uiPriority w:val="99"/>
    <w:semiHidden/>
    <w:unhideWhenUsed/>
    <w:rsid w:val="0049325D"/>
    <w:rPr>
      <w:vertAlign w:val="superscript"/>
    </w:rPr>
  </w:style>
  <w:style w:type="table" w:styleId="TableGrid">
    <w:name w:val="Table Grid"/>
    <w:basedOn w:val="TableNormal"/>
    <w:uiPriority w:val="39"/>
    <w:rsid w:val="00F7187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7187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 w:type="character" w:customStyle="1" w:styleId="TitleChar">
    <w:name w:val="Title Char"/>
    <w:basedOn w:val="DefaultParagraphFont"/>
    <w:link w:val="Title"/>
    <w:uiPriority w:val="10"/>
    <w:rsid w:val="001B45BE"/>
    <w:rPr>
      <w:sz w:val="52"/>
      <w:szCs w:val="52"/>
    </w:rPr>
  </w:style>
  <w:style w:type="character" w:customStyle="1" w:styleId="Heading2Char">
    <w:name w:val="Heading 2 Char"/>
    <w:basedOn w:val="DefaultParagraphFont"/>
    <w:link w:val="Heading2"/>
    <w:uiPriority w:val="9"/>
    <w:rsid w:val="008255B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778749">
      <w:bodyDiv w:val="1"/>
      <w:marLeft w:val="0"/>
      <w:marRight w:val="0"/>
      <w:marTop w:val="0"/>
      <w:marBottom w:val="0"/>
      <w:divBdr>
        <w:top w:val="none" w:sz="0" w:space="0" w:color="auto"/>
        <w:left w:val="none" w:sz="0" w:space="0" w:color="auto"/>
        <w:bottom w:val="none" w:sz="0" w:space="0" w:color="auto"/>
        <w:right w:val="none" w:sz="0" w:space="0" w:color="auto"/>
      </w:divBdr>
    </w:div>
    <w:div w:id="1873374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syls@nus.edu.sg" TargetMode="External"/><Relationship Id="rId13" Type="http://schemas.openxmlformats.org/officeDocument/2006/relationships/hyperlink" Target="https://bmcpediatr.biomedcentral.com/articles/10.1186/1471-2431-12-198" TargetMode="External"/><Relationship Id="rId18" Type="http://schemas.openxmlformats.org/officeDocument/2006/relationships/hyperlink" Target="https://nces.ed.gov/nationsreportcard/pdf/researchcenter/Socioeconomic_Factors.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mdpi.com/1660-4601/18/2/640/htm" TargetMode="External"/><Relationship Id="rId17" Type="http://schemas.openxmlformats.org/officeDocument/2006/relationships/hyperlink" Target="http://journals.sagepub.com/author/Sebasti%C3%A1n-Gall%C3%A9s%2C+N%C3%BAria" TargetMode="External"/><Relationship Id="rId2" Type="http://schemas.openxmlformats.org/officeDocument/2006/relationships/numbering" Target="numbering.xml"/><Relationship Id="rId16" Type="http://schemas.openxmlformats.org/officeDocument/2006/relationships/hyperlink" Target="https://watermark.silverchair.com/edrv0219.pdf?token=AQECAHi208BE49Ooan9kkhW_Ercy7Dm3ZL_9Cf3qfKAc485ysgAAAtYwggLSBgkqhkiG9w0BBwagggLDMIICvwIBADCCArgGCSqGSIb3DQEHATAeBglghkgBZQMEAS4wEQQMymuqO-A9l3McdI3aAgEQgIICiSqPZEQRygf6Lsglam7CkIirI_GyOcXEMBU2Qv9HSJJfUDlTzPxD_h0hCpI5h7r60yTTkgt_ujf70ez4ePYUNuoOCVH5Dr_Kn53av9Fk9wxOb7lzWi0kYVa7Vid9zeerBQtKIFwqyx6OmC-5zCrTAYaLnA7gVKCRKClsf64nQOVd5iYzScWy0vbsDJk35kkZV3-3ti-i6wNLTUGgxzxWvy3wy7P4dnBUal2zdyinO0UYCYQnkfD1ZykjYQbxRNpS1YLhn8KfVFtyQkKdhY4nffublTSHm_gViAbJudE-OUqhFg5LWQfUkNrvaTSUPrOmY0TqOkh7nX64Jm6SRYVYOBpxFIla6S1ks_MzmC93ObS4T1hVverOtXKfWLFP2qnc5pdfncXtvSvDGfH17t8mWVgHDBUdFbPCo2yF5wdJFCCEDDAE4ZtKn-ERNPxJOINoBDs_3zZ9f3JH5IBevT-W-ARkPogMv7exudUXFBvDbOilXpyuOpENkVEvP56BcblBOuEE7WUAKjLXivbEIvjcCjxgwYBR1b7_mWUEnIRfqtYxBCfKNNIh7KI63yOdAmf9KL2Nos9vUR3XIF4JTD9tYNmTHA8pOCY5_dy95ijjvqP_peBt07GJA7AfagtuqK2Axq8dB1thxbgrxXgDEBQYJKVwyy6xOU67MBPBZkZtNZIMBSwJnO9r2bfau5aJCaFd1TPs5IBTPNSNiamC0u_sIHJs409JYvMvx9XsvmYaat0debNUf7KEihR50uGNyyX7St5PXGoSRld1ohVZTlfLO6gSzUQ6R1_Dlc7ruJG6TCCptTG5aX3Y7ipAr0S28k7oh0soQARhTVtxEs9mMj21pKioxdpnVZ1Dzx4" TargetMode="External"/><Relationship Id="rId20" Type="http://schemas.openxmlformats.org/officeDocument/2006/relationships/hyperlink" Target="https://doi.org/10.1111/infa.125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news-room/fact-sheets/detail/preterm-birt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mcpediatr.biomedcentral.com/articles/10.1186/1471-2431-13-59"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doi.org/10.1017/S0305000910000759"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apps.who.int/iris/bitstream/handle/10665/246208/9788894307634-V3-ita.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alculator.net/age-calculato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xbLScc381Bmm4XLkBdjCHROdCA==">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59</Pages>
  <Words>15536</Words>
  <Characters>88559</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Singh, Leher</cp:lastModifiedBy>
  <cp:revision>20</cp:revision>
  <cp:lastPrinted>2023-07-20T14:17:00Z</cp:lastPrinted>
  <dcterms:created xsi:type="dcterms:W3CDTF">2023-07-20T14:17:00Z</dcterms:created>
  <dcterms:modified xsi:type="dcterms:W3CDTF">2023-07-20T18:33:00Z</dcterms:modified>
</cp:coreProperties>
</file>