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D5A0" w14:textId="78B2EE1D" w:rsidR="00661CFA" w:rsidRPr="00661CFA" w:rsidRDefault="00661CFA" w:rsidP="00D80D4C">
      <w:pPr>
        <w:rPr>
          <w:rFonts w:ascii="Verdana" w:hAnsi="Verdana"/>
          <w:b/>
          <w:bCs/>
          <w:color w:val="000000"/>
          <w:sz w:val="20"/>
          <w:szCs w:val="20"/>
          <w:shd w:val="clear" w:color="auto" w:fill="FFFFFF"/>
        </w:rPr>
      </w:pPr>
      <w:r w:rsidRPr="00661CFA">
        <w:rPr>
          <w:rFonts w:ascii="Verdana" w:hAnsi="Verdana"/>
          <w:b/>
          <w:bCs/>
          <w:color w:val="000000"/>
          <w:sz w:val="20"/>
          <w:szCs w:val="20"/>
          <w:shd w:val="clear" w:color="auto" w:fill="FFFFFF"/>
        </w:rPr>
        <w:t xml:space="preserve">Women in Agriculture, Migration and Dietary Diversity in Four </w:t>
      </w:r>
      <w:proofErr w:type="spellStart"/>
      <w:r w:rsidRPr="00661CFA">
        <w:rPr>
          <w:rFonts w:ascii="Verdana" w:hAnsi="Verdana"/>
          <w:b/>
          <w:bCs/>
          <w:color w:val="000000"/>
          <w:sz w:val="20"/>
          <w:szCs w:val="20"/>
          <w:shd w:val="clear" w:color="auto" w:fill="FFFFFF"/>
        </w:rPr>
        <w:t>Agro</w:t>
      </w:r>
      <w:proofErr w:type="spellEnd"/>
      <w:r w:rsidRPr="00661CFA">
        <w:rPr>
          <w:rFonts w:ascii="Verdana" w:hAnsi="Verdana"/>
          <w:b/>
          <w:bCs/>
          <w:color w:val="000000"/>
          <w:sz w:val="20"/>
          <w:szCs w:val="20"/>
          <w:shd w:val="clear" w:color="auto" w:fill="FFFFFF"/>
        </w:rPr>
        <w:t>-Ecological Zones in Ghana</w:t>
      </w:r>
    </w:p>
    <w:p w14:paraId="6FED661E" w14:textId="6A520C71" w:rsidR="00661CFA" w:rsidRDefault="00661CFA" w:rsidP="00FA67A1">
      <w:pPr>
        <w:jc w:val="center"/>
        <w:rPr>
          <w:rFonts w:ascii="Verdana" w:hAnsi="Verdana"/>
          <w:color w:val="000000"/>
          <w:sz w:val="20"/>
          <w:szCs w:val="20"/>
          <w:shd w:val="clear" w:color="auto" w:fill="FFFFFF"/>
          <w:vertAlign w:val="superscript"/>
          <w:lang w:val="it-IT"/>
        </w:rPr>
      </w:pPr>
      <w:r w:rsidRPr="00661CFA">
        <w:rPr>
          <w:rFonts w:ascii="Verdana" w:hAnsi="Verdana"/>
          <w:color w:val="000000"/>
          <w:sz w:val="20"/>
          <w:szCs w:val="20"/>
          <w:shd w:val="clear" w:color="auto" w:fill="FFFFFF"/>
          <w:lang w:val="it-IT"/>
        </w:rPr>
        <w:t>Reuben Larbi</w:t>
      </w:r>
      <w:r w:rsidRPr="00661CFA">
        <w:rPr>
          <w:rFonts w:ascii="Verdana" w:hAnsi="Verdana"/>
          <w:color w:val="000000"/>
          <w:sz w:val="20"/>
          <w:szCs w:val="20"/>
          <w:shd w:val="clear" w:color="auto" w:fill="FFFFFF"/>
          <w:vertAlign w:val="superscript"/>
          <w:lang w:val="it-IT"/>
        </w:rPr>
        <w:t>1</w:t>
      </w:r>
      <w:r w:rsidRPr="00661CFA">
        <w:rPr>
          <w:rFonts w:ascii="Verdana" w:hAnsi="Verdana"/>
          <w:color w:val="000000"/>
          <w:sz w:val="20"/>
          <w:szCs w:val="20"/>
          <w:shd w:val="clear" w:color="auto" w:fill="FFFFFF"/>
          <w:lang w:val="it-IT"/>
        </w:rPr>
        <w:t xml:space="preserve">, </w:t>
      </w:r>
      <w:proofErr w:type="spellStart"/>
      <w:r w:rsidRPr="00661CFA">
        <w:rPr>
          <w:rFonts w:ascii="Verdana" w:hAnsi="Verdana"/>
          <w:color w:val="000000"/>
          <w:sz w:val="20"/>
          <w:szCs w:val="20"/>
          <w:shd w:val="clear" w:color="auto" w:fill="FFFFFF"/>
          <w:lang w:val="it-IT"/>
        </w:rPr>
        <w:t>Mumuni</w:t>
      </w:r>
      <w:proofErr w:type="spellEnd"/>
      <w:r w:rsidRPr="00661CFA">
        <w:rPr>
          <w:rFonts w:ascii="Verdana" w:hAnsi="Verdana"/>
          <w:color w:val="000000"/>
          <w:sz w:val="20"/>
          <w:szCs w:val="20"/>
          <w:shd w:val="clear" w:color="auto" w:fill="FFFFFF"/>
          <w:lang w:val="it-IT"/>
        </w:rPr>
        <w:t xml:space="preserve"> Abu</w:t>
      </w:r>
      <w:r w:rsidRPr="00661CFA">
        <w:rPr>
          <w:rFonts w:ascii="Verdana" w:hAnsi="Verdana"/>
          <w:color w:val="000000"/>
          <w:sz w:val="20"/>
          <w:szCs w:val="20"/>
          <w:shd w:val="clear" w:color="auto" w:fill="FFFFFF"/>
          <w:vertAlign w:val="superscript"/>
          <w:lang w:val="it-IT"/>
        </w:rPr>
        <w:t>1</w:t>
      </w:r>
      <w:r w:rsidRPr="00661CFA">
        <w:rPr>
          <w:rFonts w:ascii="Verdana" w:hAnsi="Verdana"/>
          <w:color w:val="000000"/>
          <w:sz w:val="20"/>
          <w:szCs w:val="20"/>
          <w:shd w:val="clear" w:color="auto" w:fill="FFFFFF"/>
          <w:lang w:val="it-IT"/>
        </w:rPr>
        <w:t>, John Anarfi</w:t>
      </w:r>
      <w:r w:rsidRPr="00661CFA">
        <w:rPr>
          <w:rFonts w:ascii="Verdana" w:hAnsi="Verdana"/>
          <w:color w:val="000000"/>
          <w:sz w:val="20"/>
          <w:szCs w:val="20"/>
          <w:shd w:val="clear" w:color="auto" w:fill="FFFFFF"/>
          <w:vertAlign w:val="superscript"/>
          <w:lang w:val="it-IT"/>
        </w:rPr>
        <w:t>1</w:t>
      </w:r>
      <w:r w:rsidRPr="00661CFA">
        <w:rPr>
          <w:rFonts w:ascii="Verdana" w:hAnsi="Verdana"/>
          <w:color w:val="000000"/>
          <w:sz w:val="20"/>
          <w:szCs w:val="20"/>
          <w:shd w:val="clear" w:color="auto" w:fill="FFFFFF"/>
          <w:lang w:val="it-IT"/>
        </w:rPr>
        <w:t>, Fidelia</w:t>
      </w:r>
      <w:r>
        <w:rPr>
          <w:rFonts w:ascii="Verdana" w:hAnsi="Verdana"/>
          <w:color w:val="000000"/>
          <w:sz w:val="20"/>
          <w:szCs w:val="20"/>
          <w:shd w:val="clear" w:color="auto" w:fill="FFFFFF"/>
          <w:lang w:val="it-IT"/>
        </w:rPr>
        <w:t xml:space="preserve"> Dake</w:t>
      </w:r>
      <w:r w:rsidRPr="00661CFA">
        <w:rPr>
          <w:rFonts w:ascii="Verdana" w:hAnsi="Verdana"/>
          <w:color w:val="000000"/>
          <w:sz w:val="20"/>
          <w:szCs w:val="20"/>
          <w:shd w:val="clear" w:color="auto" w:fill="FFFFFF"/>
          <w:vertAlign w:val="superscript"/>
          <w:lang w:val="it-IT"/>
        </w:rPr>
        <w:t>1</w:t>
      </w:r>
    </w:p>
    <w:p w14:paraId="1EFF9DC5" w14:textId="09645D0A" w:rsidR="00661CFA" w:rsidRDefault="00661CFA" w:rsidP="00D80D4C">
      <w:pPr>
        <w:rPr>
          <w:rFonts w:ascii="Verdana" w:hAnsi="Verdana"/>
          <w:color w:val="000000"/>
          <w:sz w:val="20"/>
          <w:szCs w:val="20"/>
          <w:shd w:val="clear" w:color="auto" w:fill="FFFFFF"/>
          <w:lang w:val="en-GB"/>
        </w:rPr>
      </w:pPr>
      <w:r w:rsidRPr="00661CFA">
        <w:rPr>
          <w:rFonts w:ascii="Verdana" w:hAnsi="Verdana"/>
          <w:color w:val="000000"/>
          <w:sz w:val="20"/>
          <w:szCs w:val="20"/>
          <w:shd w:val="clear" w:color="auto" w:fill="FFFFFF"/>
          <w:vertAlign w:val="superscript"/>
          <w:lang w:val="en-GB"/>
        </w:rPr>
        <w:t>1</w:t>
      </w:r>
      <w:r w:rsidRPr="00661CFA">
        <w:rPr>
          <w:rFonts w:ascii="Verdana" w:hAnsi="Verdana"/>
          <w:color w:val="000000"/>
          <w:sz w:val="20"/>
          <w:szCs w:val="20"/>
          <w:shd w:val="clear" w:color="auto" w:fill="FFFFFF"/>
          <w:lang w:val="en-GB"/>
        </w:rPr>
        <w:t>Regional Institute for Population Studies, University of Ghana, Accra, Ghana</w:t>
      </w:r>
    </w:p>
    <w:p w14:paraId="60CD5459" w14:textId="09A43C76" w:rsidR="00661CFA" w:rsidRPr="00661CFA" w:rsidRDefault="00661CFA" w:rsidP="00D80D4C">
      <w:pPr>
        <w:rPr>
          <w:rFonts w:ascii="Times New Roman" w:hAnsi="Times New Roman" w:cs="Times New Roman"/>
          <w:b/>
          <w:sz w:val="24"/>
          <w:szCs w:val="24"/>
          <w:lang w:val="en-GB"/>
        </w:rPr>
      </w:pPr>
      <w:r>
        <w:rPr>
          <w:rFonts w:ascii="Verdana" w:hAnsi="Verdana"/>
          <w:color w:val="000000"/>
          <w:sz w:val="20"/>
          <w:szCs w:val="20"/>
          <w:shd w:val="clear" w:color="auto" w:fill="FFFFFF"/>
          <w:lang w:val="en-GB"/>
        </w:rPr>
        <w:t>Internal Union for the Scientific Study of Populations (IUSSP) Conference, Cape Town, South Africa, 2017</w:t>
      </w:r>
    </w:p>
    <w:p w14:paraId="0F47A820" w14:textId="77777777" w:rsidR="00661CFA" w:rsidRDefault="00661CFA" w:rsidP="00D80D4C">
      <w:pPr>
        <w:rPr>
          <w:rFonts w:ascii="Times New Roman" w:hAnsi="Times New Roman" w:cs="Times New Roman"/>
          <w:b/>
          <w:sz w:val="24"/>
          <w:szCs w:val="24"/>
        </w:rPr>
      </w:pPr>
    </w:p>
    <w:p w14:paraId="5C00D03E" w14:textId="7CB03755" w:rsidR="00D80D4C" w:rsidRPr="000F25B3" w:rsidRDefault="00D80D4C" w:rsidP="00D80D4C">
      <w:pPr>
        <w:rPr>
          <w:rFonts w:ascii="Times New Roman" w:hAnsi="Times New Roman" w:cs="Times New Roman"/>
          <w:b/>
          <w:sz w:val="24"/>
          <w:szCs w:val="24"/>
        </w:rPr>
      </w:pPr>
      <w:r w:rsidRPr="000F25B3">
        <w:rPr>
          <w:rFonts w:ascii="Times New Roman" w:hAnsi="Times New Roman" w:cs="Times New Roman"/>
          <w:b/>
          <w:sz w:val="24"/>
          <w:szCs w:val="24"/>
        </w:rPr>
        <w:t xml:space="preserve">Introduction </w:t>
      </w:r>
    </w:p>
    <w:p w14:paraId="2641BB68" w14:textId="77777777" w:rsidR="00D80D4C" w:rsidRPr="000F25B3" w:rsidRDefault="00D80D4C" w:rsidP="00D80D4C">
      <w:pPr>
        <w:jc w:val="both"/>
        <w:rPr>
          <w:rFonts w:ascii="Times New Roman" w:hAnsi="Times New Roman" w:cs="Times New Roman"/>
          <w:sz w:val="24"/>
          <w:szCs w:val="24"/>
        </w:rPr>
      </w:pPr>
      <w:r w:rsidRPr="000F25B3">
        <w:rPr>
          <w:rFonts w:ascii="Times New Roman" w:hAnsi="Times New Roman" w:cs="Times New Roman"/>
          <w:sz w:val="24"/>
          <w:szCs w:val="24"/>
        </w:rPr>
        <w:t>Climate change has significant impact on food production in Africa due to over-reliance rain-fed agriculture</w:t>
      </w:r>
      <w:r w:rsidR="001A51DD">
        <w:rPr>
          <w:rFonts w:ascii="Times New Roman" w:hAnsi="Times New Roman" w:cs="Times New Roman"/>
          <w:sz w:val="24"/>
          <w:szCs w:val="24"/>
        </w:rPr>
        <w:t xml:space="preserve"> (</w:t>
      </w:r>
      <w:r w:rsidR="001A51DD" w:rsidRPr="00181E1A">
        <w:rPr>
          <w:rFonts w:ascii="Times New Roman" w:hAnsi="Times New Roman" w:cs="Times New Roman"/>
          <w:sz w:val="24"/>
          <w:szCs w:val="24"/>
          <w:shd w:val="clear" w:color="auto" w:fill="FFFFFF"/>
        </w:rPr>
        <w:t xml:space="preserve">McKune et al., 2015; </w:t>
      </w:r>
      <w:r w:rsidR="001A51DD" w:rsidRPr="00181E1A">
        <w:rPr>
          <w:rFonts w:ascii="Times New Roman" w:hAnsi="Times New Roman" w:cs="Times New Roman"/>
          <w:sz w:val="24"/>
          <w:szCs w:val="24"/>
        </w:rPr>
        <w:t>Lake et al., 2012</w:t>
      </w:r>
      <w:r w:rsidR="00BB7D10">
        <w:rPr>
          <w:rFonts w:ascii="Times New Roman" w:hAnsi="Times New Roman" w:cs="Times New Roman"/>
          <w:sz w:val="24"/>
          <w:szCs w:val="24"/>
        </w:rPr>
        <w:t xml:space="preserve">; </w:t>
      </w:r>
      <w:r w:rsidR="00BB7D10" w:rsidRPr="00181E1A">
        <w:rPr>
          <w:rFonts w:ascii="Times New Roman" w:hAnsi="Times New Roman" w:cs="Times New Roman"/>
          <w:sz w:val="24"/>
          <w:szCs w:val="24"/>
        </w:rPr>
        <w:t>Lam et al., 2012; World Bank 2007</w:t>
      </w:r>
      <w:r w:rsidR="001A51DD" w:rsidRPr="00181E1A">
        <w:rPr>
          <w:rFonts w:ascii="Times New Roman" w:hAnsi="Times New Roman" w:cs="Times New Roman"/>
          <w:sz w:val="24"/>
          <w:szCs w:val="24"/>
        </w:rPr>
        <w:t>)</w:t>
      </w:r>
      <w:r w:rsidRPr="000F25B3">
        <w:rPr>
          <w:rFonts w:ascii="Times New Roman" w:hAnsi="Times New Roman" w:cs="Times New Roman"/>
          <w:sz w:val="24"/>
          <w:szCs w:val="24"/>
        </w:rPr>
        <w:t xml:space="preserve">. This varies across </w:t>
      </w:r>
      <w:proofErr w:type="spellStart"/>
      <w:r w:rsidRPr="000F25B3">
        <w:rPr>
          <w:rFonts w:ascii="Times New Roman" w:hAnsi="Times New Roman" w:cs="Times New Roman"/>
          <w:sz w:val="24"/>
          <w:szCs w:val="24"/>
        </w:rPr>
        <w:t>agro</w:t>
      </w:r>
      <w:proofErr w:type="spellEnd"/>
      <w:r w:rsidRPr="000F25B3">
        <w:rPr>
          <w:rFonts w:ascii="Times New Roman" w:hAnsi="Times New Roman" w:cs="Times New Roman"/>
          <w:sz w:val="24"/>
          <w:szCs w:val="24"/>
        </w:rPr>
        <w:t>-ecological zones due to differences in climatic factors and type of crop produced</w:t>
      </w:r>
      <w:r w:rsidR="00BB7D10">
        <w:rPr>
          <w:rFonts w:ascii="Times New Roman" w:hAnsi="Times New Roman" w:cs="Times New Roman"/>
          <w:sz w:val="24"/>
          <w:szCs w:val="24"/>
        </w:rPr>
        <w:t xml:space="preserve"> </w:t>
      </w:r>
      <w:r w:rsidR="001A51DD" w:rsidRPr="00181E1A">
        <w:rPr>
          <w:rFonts w:ascii="Times New Roman" w:hAnsi="Times New Roman" w:cs="Times New Roman"/>
          <w:sz w:val="24"/>
          <w:szCs w:val="24"/>
        </w:rPr>
        <w:t>(FAO, 2008)</w:t>
      </w:r>
      <w:r w:rsidRPr="000F25B3">
        <w:rPr>
          <w:rFonts w:ascii="Times New Roman" w:hAnsi="Times New Roman" w:cs="Times New Roman"/>
          <w:sz w:val="24"/>
          <w:szCs w:val="24"/>
        </w:rPr>
        <w:t>. The poor crop yield has trigged mass migration of the working age population to urban areas, which threatens the food security of those left behind. Though migration is a documented adaptation strategy to climate change, there is limited scholarship on how it affects household food security</w:t>
      </w:r>
      <w:r w:rsidR="00BB7D10">
        <w:rPr>
          <w:rFonts w:ascii="Times New Roman" w:hAnsi="Times New Roman" w:cs="Times New Roman"/>
          <w:sz w:val="24"/>
          <w:szCs w:val="24"/>
        </w:rPr>
        <w:t xml:space="preserve"> (IPCC, 2014)</w:t>
      </w:r>
      <w:r w:rsidRPr="000F25B3">
        <w:rPr>
          <w:rFonts w:ascii="Times New Roman" w:hAnsi="Times New Roman" w:cs="Times New Roman"/>
          <w:sz w:val="24"/>
          <w:szCs w:val="24"/>
        </w:rPr>
        <w:t>. It is expected that migrants will send remittances to support the family left behind, and ultimately enhance their food security. Women who stay behind in their communities play a critical role in food production</w:t>
      </w:r>
      <w:r w:rsidR="00BB7D10">
        <w:rPr>
          <w:rFonts w:ascii="Times New Roman" w:hAnsi="Times New Roman" w:cs="Times New Roman"/>
          <w:sz w:val="24"/>
          <w:szCs w:val="24"/>
        </w:rPr>
        <w:t xml:space="preserve"> (</w:t>
      </w:r>
      <w:r w:rsidR="00BB7D10" w:rsidRPr="00181E1A">
        <w:rPr>
          <w:rFonts w:ascii="Times New Roman" w:hAnsi="Times New Roman" w:cs="Times New Roman"/>
        </w:rPr>
        <w:t>Danso et al., 2004</w:t>
      </w:r>
      <w:r w:rsidR="00BB7D10">
        <w:rPr>
          <w:rFonts w:ascii="Times New Roman" w:hAnsi="Times New Roman" w:cs="Times New Roman"/>
        </w:rPr>
        <w:t>)</w:t>
      </w:r>
      <w:r w:rsidRPr="000F25B3">
        <w:rPr>
          <w:rFonts w:ascii="Times New Roman" w:hAnsi="Times New Roman" w:cs="Times New Roman"/>
          <w:sz w:val="24"/>
          <w:szCs w:val="24"/>
        </w:rPr>
        <w:t xml:space="preserve">. </w:t>
      </w:r>
      <w:r w:rsidR="00BB7D10">
        <w:rPr>
          <w:rFonts w:ascii="Times New Roman" w:hAnsi="Times New Roman" w:cs="Times New Roman"/>
        </w:rPr>
        <w:t>Unlike men who mostly</w:t>
      </w:r>
      <w:r w:rsidR="00BB7D10" w:rsidRPr="00181E1A">
        <w:rPr>
          <w:rFonts w:ascii="Times New Roman" w:hAnsi="Times New Roman" w:cs="Times New Roman"/>
        </w:rPr>
        <w:t xml:space="preserve"> cultivate cash crops for income, women are mostly involved in subsistence farming to feed their families</w:t>
      </w:r>
      <w:r w:rsidR="00A53BB4">
        <w:rPr>
          <w:rFonts w:ascii="Times New Roman" w:hAnsi="Times New Roman" w:cs="Times New Roman"/>
        </w:rPr>
        <w:t xml:space="preserve"> (Boakye-Acheampong et al., 2012).</w:t>
      </w:r>
      <w:r w:rsidR="00BB7D10" w:rsidRPr="000F25B3">
        <w:rPr>
          <w:rFonts w:ascii="Times New Roman" w:hAnsi="Times New Roman" w:cs="Times New Roman"/>
          <w:sz w:val="24"/>
          <w:szCs w:val="24"/>
        </w:rPr>
        <w:t xml:space="preserve"> </w:t>
      </w:r>
      <w:r w:rsidRPr="000F25B3">
        <w:rPr>
          <w:rFonts w:ascii="Times New Roman" w:hAnsi="Times New Roman" w:cs="Times New Roman"/>
          <w:sz w:val="24"/>
          <w:szCs w:val="24"/>
        </w:rPr>
        <w:t>However, little is known about their contribution to household food utilization. This study therefore sought to investigate the effect of women involved in agriculture in maintaining dietary diversity of their household</w:t>
      </w:r>
      <w:r w:rsidR="001F058C" w:rsidRPr="000F25B3">
        <w:rPr>
          <w:rFonts w:ascii="Times New Roman" w:hAnsi="Times New Roman" w:cs="Times New Roman"/>
          <w:sz w:val="24"/>
          <w:szCs w:val="24"/>
        </w:rPr>
        <w:t>s</w:t>
      </w:r>
      <w:r w:rsidRPr="000F25B3">
        <w:rPr>
          <w:rFonts w:ascii="Times New Roman" w:hAnsi="Times New Roman" w:cs="Times New Roman"/>
          <w:sz w:val="24"/>
          <w:szCs w:val="24"/>
        </w:rPr>
        <w:t xml:space="preserve">. We also examined the role of migrants on household dietary diversity. It is expected that this study will contribute to policies aimed at enhancing household food security </w:t>
      </w:r>
      <w:r w:rsidR="00FD3092" w:rsidRPr="000F25B3">
        <w:rPr>
          <w:rFonts w:ascii="Times New Roman" w:hAnsi="Times New Roman" w:cs="Times New Roman"/>
          <w:sz w:val="24"/>
          <w:szCs w:val="24"/>
        </w:rPr>
        <w:t>amidst</w:t>
      </w:r>
      <w:r w:rsidRPr="000F25B3">
        <w:rPr>
          <w:rFonts w:ascii="Times New Roman" w:hAnsi="Times New Roman" w:cs="Times New Roman"/>
          <w:sz w:val="24"/>
          <w:szCs w:val="24"/>
        </w:rPr>
        <w:t xml:space="preserve"> changing climate. </w:t>
      </w:r>
    </w:p>
    <w:p w14:paraId="42BF594D" w14:textId="77777777" w:rsidR="00D80D4C" w:rsidRPr="000F25B3" w:rsidRDefault="00D80D4C" w:rsidP="00D80D4C">
      <w:pPr>
        <w:jc w:val="both"/>
        <w:rPr>
          <w:rFonts w:ascii="Times New Roman" w:hAnsi="Times New Roman" w:cs="Times New Roman"/>
          <w:b/>
          <w:sz w:val="24"/>
          <w:szCs w:val="24"/>
        </w:rPr>
      </w:pPr>
      <w:r w:rsidRPr="000F25B3">
        <w:rPr>
          <w:rFonts w:ascii="Times New Roman" w:hAnsi="Times New Roman" w:cs="Times New Roman"/>
          <w:b/>
          <w:sz w:val="24"/>
          <w:szCs w:val="24"/>
        </w:rPr>
        <w:t xml:space="preserve">Methodology </w:t>
      </w:r>
    </w:p>
    <w:p w14:paraId="41D1B49E" w14:textId="77777777" w:rsidR="00D80D4C" w:rsidRPr="00AD466E" w:rsidRDefault="00D80D4C" w:rsidP="00D80D4C">
      <w:pPr>
        <w:jc w:val="both"/>
        <w:rPr>
          <w:rFonts w:ascii="Times New Roman" w:hAnsi="Times New Roman" w:cs="Times New Roman"/>
          <w:i/>
          <w:sz w:val="24"/>
          <w:szCs w:val="24"/>
        </w:rPr>
      </w:pPr>
      <w:r w:rsidRPr="00AD466E">
        <w:rPr>
          <w:rFonts w:ascii="Times New Roman" w:hAnsi="Times New Roman" w:cs="Times New Roman"/>
          <w:i/>
          <w:sz w:val="24"/>
          <w:szCs w:val="24"/>
        </w:rPr>
        <w:t xml:space="preserve">Study communities </w:t>
      </w:r>
    </w:p>
    <w:p w14:paraId="250ADC7B" w14:textId="77777777" w:rsidR="00D80D4C" w:rsidRPr="000F25B3" w:rsidRDefault="00D80D4C" w:rsidP="00D80D4C">
      <w:pPr>
        <w:jc w:val="both"/>
        <w:rPr>
          <w:rFonts w:ascii="Times New Roman" w:hAnsi="Times New Roman" w:cs="Times New Roman"/>
          <w:sz w:val="24"/>
          <w:szCs w:val="24"/>
        </w:rPr>
      </w:pPr>
      <w:r w:rsidRPr="000F25B3">
        <w:rPr>
          <w:rFonts w:ascii="Times New Roman" w:hAnsi="Times New Roman" w:cs="Times New Roman"/>
          <w:sz w:val="24"/>
          <w:szCs w:val="24"/>
        </w:rPr>
        <w:t xml:space="preserve">The study was carried out in four communities- Amansie West, Mfantseman, Techiman and Tolon </w:t>
      </w:r>
      <w:r w:rsidR="001F058C" w:rsidRPr="000F25B3">
        <w:rPr>
          <w:rFonts w:ascii="Times New Roman" w:hAnsi="Times New Roman" w:cs="Times New Roman"/>
          <w:sz w:val="24"/>
          <w:szCs w:val="24"/>
        </w:rPr>
        <w:t>in the</w:t>
      </w:r>
      <w:r w:rsidRPr="000F25B3">
        <w:rPr>
          <w:rFonts w:ascii="Times New Roman" w:hAnsi="Times New Roman" w:cs="Times New Roman"/>
          <w:sz w:val="24"/>
          <w:szCs w:val="24"/>
        </w:rPr>
        <w:t xml:space="preserve"> Rainforest, the Coastal S</w:t>
      </w:r>
      <w:r w:rsidR="001F058C" w:rsidRPr="000F25B3">
        <w:rPr>
          <w:rFonts w:ascii="Times New Roman" w:hAnsi="Times New Roman" w:cs="Times New Roman"/>
          <w:sz w:val="24"/>
          <w:szCs w:val="24"/>
        </w:rPr>
        <w:t xml:space="preserve">avannah, </w:t>
      </w:r>
      <w:r w:rsidRPr="000F25B3">
        <w:rPr>
          <w:rFonts w:ascii="Times New Roman" w:hAnsi="Times New Roman" w:cs="Times New Roman"/>
          <w:sz w:val="24"/>
          <w:szCs w:val="24"/>
        </w:rPr>
        <w:t xml:space="preserve">Transition and Guinea Savannah agro-ecological zones </w:t>
      </w:r>
      <w:r w:rsidR="001F058C" w:rsidRPr="000F25B3">
        <w:rPr>
          <w:rFonts w:ascii="Times New Roman" w:hAnsi="Times New Roman" w:cs="Times New Roman"/>
          <w:sz w:val="24"/>
          <w:szCs w:val="24"/>
        </w:rPr>
        <w:t xml:space="preserve">respectively </w:t>
      </w:r>
      <w:r w:rsidRPr="000F25B3">
        <w:rPr>
          <w:rFonts w:ascii="Times New Roman" w:hAnsi="Times New Roman" w:cs="Times New Roman"/>
          <w:sz w:val="24"/>
          <w:szCs w:val="24"/>
        </w:rPr>
        <w:t>in Ghana. The rainfall and temperature conditions, the types of crops grown and the conditions surrounding agricultural productions vary significant across these zones, and therefore ha</w:t>
      </w:r>
      <w:r w:rsidR="001F058C" w:rsidRPr="000F25B3">
        <w:rPr>
          <w:rFonts w:ascii="Times New Roman" w:hAnsi="Times New Roman" w:cs="Times New Roman"/>
          <w:sz w:val="24"/>
          <w:szCs w:val="24"/>
        </w:rPr>
        <w:t>ve</w:t>
      </w:r>
      <w:r w:rsidRPr="000F25B3">
        <w:rPr>
          <w:rFonts w:ascii="Times New Roman" w:hAnsi="Times New Roman" w:cs="Times New Roman"/>
          <w:sz w:val="24"/>
          <w:szCs w:val="24"/>
        </w:rPr>
        <w:t xml:space="preserve"> the tendency of influencing the food availability and choices in these communities. </w:t>
      </w:r>
    </w:p>
    <w:p w14:paraId="2CB90E50" w14:textId="77777777" w:rsidR="00D80D4C" w:rsidRPr="00AD466E" w:rsidRDefault="00D80D4C" w:rsidP="00D80D4C">
      <w:pPr>
        <w:jc w:val="both"/>
        <w:rPr>
          <w:rFonts w:ascii="Times New Roman" w:hAnsi="Times New Roman" w:cs="Times New Roman"/>
          <w:i/>
          <w:sz w:val="24"/>
          <w:szCs w:val="24"/>
        </w:rPr>
      </w:pPr>
      <w:r w:rsidRPr="00AD466E">
        <w:rPr>
          <w:rFonts w:ascii="Times New Roman" w:hAnsi="Times New Roman" w:cs="Times New Roman"/>
          <w:i/>
          <w:sz w:val="24"/>
          <w:szCs w:val="24"/>
        </w:rPr>
        <w:t>Data</w:t>
      </w:r>
    </w:p>
    <w:p w14:paraId="5266CC4F" w14:textId="65735D7B" w:rsidR="00D80D4C" w:rsidRPr="000F25B3" w:rsidRDefault="00661CFA" w:rsidP="00D80D4C">
      <w:pPr>
        <w:jc w:val="both"/>
        <w:rPr>
          <w:rFonts w:ascii="Times New Roman" w:hAnsi="Times New Roman" w:cs="Times New Roman"/>
          <w:sz w:val="24"/>
          <w:szCs w:val="24"/>
        </w:rPr>
      </w:pPr>
      <w:r>
        <w:rPr>
          <w:rFonts w:ascii="Times New Roman" w:hAnsi="Times New Roman" w:cs="Times New Roman"/>
          <w:sz w:val="24"/>
          <w:szCs w:val="24"/>
        </w:rPr>
        <w:lastRenderedPageBreak/>
        <w:t>We used</w:t>
      </w:r>
      <w:r w:rsidR="00D80D4C" w:rsidRPr="000F25B3">
        <w:rPr>
          <w:rFonts w:ascii="Times New Roman" w:hAnsi="Times New Roman" w:cs="Times New Roman"/>
          <w:sz w:val="24"/>
          <w:szCs w:val="24"/>
        </w:rPr>
        <w:t xml:space="preserve"> data from </w:t>
      </w:r>
      <w:r w:rsidR="00FA67A1">
        <w:rPr>
          <w:rFonts w:ascii="Times New Roman" w:hAnsi="Times New Roman" w:cs="Times New Roman"/>
          <w:sz w:val="24"/>
          <w:szCs w:val="24"/>
        </w:rPr>
        <w:t xml:space="preserve">a cross-sectional survey from the </w:t>
      </w:r>
      <w:r w:rsidR="00D80D4C" w:rsidRPr="000F25B3">
        <w:rPr>
          <w:rFonts w:ascii="Times New Roman" w:hAnsi="Times New Roman" w:cs="Times New Roman"/>
          <w:sz w:val="24"/>
          <w:szCs w:val="24"/>
        </w:rPr>
        <w:t xml:space="preserve">Women, Climate Change and Food Security project conducted at Regional Institute for Population Studies (RIPS) between May and July, </w:t>
      </w:r>
      <w:r w:rsidR="00393306" w:rsidRPr="000F25B3">
        <w:rPr>
          <w:rFonts w:ascii="Times New Roman" w:hAnsi="Times New Roman" w:cs="Times New Roman"/>
          <w:sz w:val="24"/>
          <w:szCs w:val="24"/>
        </w:rPr>
        <w:t>2016</w:t>
      </w:r>
      <w:r w:rsidR="00D80D4C" w:rsidRPr="000F25B3">
        <w:rPr>
          <w:rFonts w:ascii="Times New Roman" w:hAnsi="Times New Roman" w:cs="Times New Roman"/>
          <w:sz w:val="24"/>
          <w:szCs w:val="24"/>
        </w:rPr>
        <w:t xml:space="preserve">. </w:t>
      </w:r>
    </w:p>
    <w:p w14:paraId="4CB8C3D9" w14:textId="77777777" w:rsidR="00D80D4C" w:rsidRPr="00AD466E" w:rsidRDefault="00D80D4C" w:rsidP="00D80D4C">
      <w:pPr>
        <w:jc w:val="both"/>
        <w:rPr>
          <w:rFonts w:ascii="Times New Roman" w:hAnsi="Times New Roman" w:cs="Times New Roman"/>
          <w:i/>
          <w:sz w:val="24"/>
          <w:szCs w:val="24"/>
        </w:rPr>
      </w:pPr>
      <w:r w:rsidRPr="00AD466E">
        <w:rPr>
          <w:rFonts w:ascii="Times New Roman" w:hAnsi="Times New Roman" w:cs="Times New Roman"/>
          <w:i/>
          <w:sz w:val="24"/>
          <w:szCs w:val="24"/>
        </w:rPr>
        <w:t xml:space="preserve">Measures </w:t>
      </w:r>
    </w:p>
    <w:p w14:paraId="673E2ACE" w14:textId="77777777" w:rsidR="00D80D4C" w:rsidRPr="000F25B3" w:rsidRDefault="00393306" w:rsidP="00D80D4C">
      <w:pPr>
        <w:jc w:val="both"/>
        <w:rPr>
          <w:rFonts w:ascii="Times New Roman" w:hAnsi="Times New Roman" w:cs="Times New Roman"/>
          <w:i/>
          <w:sz w:val="24"/>
          <w:szCs w:val="24"/>
        </w:rPr>
      </w:pPr>
      <w:r w:rsidRPr="000F25B3">
        <w:rPr>
          <w:rFonts w:ascii="Times New Roman" w:hAnsi="Times New Roman" w:cs="Times New Roman"/>
          <w:sz w:val="24"/>
          <w:szCs w:val="24"/>
        </w:rPr>
        <w:t>We computed</w:t>
      </w:r>
      <w:r w:rsidR="00D80D4C" w:rsidRPr="000F25B3">
        <w:rPr>
          <w:rFonts w:ascii="Times New Roman" w:hAnsi="Times New Roman" w:cs="Times New Roman"/>
          <w:sz w:val="24"/>
          <w:szCs w:val="24"/>
        </w:rPr>
        <w:t xml:space="preserve"> household dietary diversity (HDD) as proxy for nutritional adequacy of the household. The HDD measure has previously been used by the Food and Agriculture Organization (FAO, 2011), Codjoe, </w:t>
      </w:r>
      <w:proofErr w:type="spellStart"/>
      <w:r w:rsidR="00D80D4C" w:rsidRPr="000F25B3">
        <w:rPr>
          <w:rFonts w:ascii="Times New Roman" w:hAnsi="Times New Roman" w:cs="Times New Roman"/>
          <w:sz w:val="24"/>
          <w:szCs w:val="24"/>
        </w:rPr>
        <w:t>Okutu</w:t>
      </w:r>
      <w:proofErr w:type="spellEnd"/>
      <w:r w:rsidR="00D80D4C" w:rsidRPr="000F25B3">
        <w:rPr>
          <w:rFonts w:ascii="Times New Roman" w:hAnsi="Times New Roman" w:cs="Times New Roman"/>
          <w:sz w:val="24"/>
          <w:szCs w:val="24"/>
        </w:rPr>
        <w:t xml:space="preserve"> &amp; Mumuni, (2016) and also Kennedy et al., (2010). The score was computed from responses of </w:t>
      </w:r>
      <w:r w:rsidR="000F3410" w:rsidRPr="000F25B3">
        <w:rPr>
          <w:rFonts w:ascii="Times New Roman" w:hAnsi="Times New Roman" w:cs="Times New Roman"/>
          <w:sz w:val="24"/>
          <w:szCs w:val="24"/>
        </w:rPr>
        <w:t>household</w:t>
      </w:r>
      <w:r w:rsidR="00D80D4C" w:rsidRPr="000F25B3">
        <w:rPr>
          <w:rFonts w:ascii="Times New Roman" w:hAnsi="Times New Roman" w:cs="Times New Roman"/>
          <w:sz w:val="24"/>
          <w:szCs w:val="24"/>
        </w:rPr>
        <w:t xml:space="preserve"> heads on food consumed </w:t>
      </w:r>
      <w:r w:rsidRPr="000F25B3">
        <w:rPr>
          <w:rFonts w:ascii="Times New Roman" w:hAnsi="Times New Roman" w:cs="Times New Roman"/>
          <w:sz w:val="24"/>
          <w:szCs w:val="24"/>
        </w:rPr>
        <w:t xml:space="preserve">by household members </w:t>
      </w:r>
      <w:r w:rsidR="00D80D4C" w:rsidRPr="000F25B3">
        <w:rPr>
          <w:rFonts w:ascii="Times New Roman" w:hAnsi="Times New Roman" w:cs="Times New Roman"/>
          <w:sz w:val="24"/>
          <w:szCs w:val="24"/>
        </w:rPr>
        <w:t>both at home and outside for seven days preceding the survey</w:t>
      </w:r>
      <w:r w:rsidRPr="000F25B3">
        <w:rPr>
          <w:rFonts w:ascii="Times New Roman" w:hAnsi="Times New Roman" w:cs="Times New Roman"/>
          <w:sz w:val="24"/>
          <w:szCs w:val="24"/>
        </w:rPr>
        <w:t>,</w:t>
      </w:r>
      <w:r w:rsidR="00D80D4C" w:rsidRPr="000F25B3">
        <w:rPr>
          <w:rFonts w:ascii="Times New Roman" w:hAnsi="Times New Roman" w:cs="Times New Roman"/>
          <w:sz w:val="24"/>
          <w:szCs w:val="24"/>
        </w:rPr>
        <w:t xml:space="preserve"> in accordance with the Radimir/Cornell scale. We used ten food categories adopted from the FAO’s food category for West Africa (FAO, 2011), as there is no international consensus on which food categories to include in the HDD score. The score</w:t>
      </w:r>
      <w:r w:rsidR="00D40407" w:rsidRPr="000F25B3">
        <w:rPr>
          <w:rFonts w:ascii="Times New Roman" w:hAnsi="Times New Roman" w:cs="Times New Roman"/>
          <w:sz w:val="24"/>
          <w:szCs w:val="24"/>
        </w:rPr>
        <w:t>, which</w:t>
      </w:r>
      <w:r w:rsidR="00D80D4C" w:rsidRPr="000F25B3">
        <w:rPr>
          <w:rFonts w:ascii="Times New Roman" w:hAnsi="Times New Roman" w:cs="Times New Roman"/>
          <w:sz w:val="24"/>
          <w:szCs w:val="24"/>
        </w:rPr>
        <w:t xml:space="preserve"> was an accumulation of the frequency of food eaten from each category by a member of the </w:t>
      </w:r>
      <w:r w:rsidR="00D40407" w:rsidRPr="000F25B3">
        <w:rPr>
          <w:rFonts w:ascii="Times New Roman" w:hAnsi="Times New Roman" w:cs="Times New Roman"/>
          <w:sz w:val="24"/>
          <w:szCs w:val="24"/>
        </w:rPr>
        <w:t>household, yielded a range</w:t>
      </w:r>
      <w:r w:rsidR="00FA453B" w:rsidRPr="000F25B3">
        <w:rPr>
          <w:rFonts w:ascii="Times New Roman" w:hAnsi="Times New Roman" w:cs="Times New Roman"/>
          <w:sz w:val="24"/>
          <w:szCs w:val="24"/>
        </w:rPr>
        <w:t xml:space="preserve"> from 0 to 9</w:t>
      </w:r>
      <w:r w:rsidR="00D80D4C" w:rsidRPr="000F25B3">
        <w:rPr>
          <w:rFonts w:ascii="Times New Roman" w:hAnsi="Times New Roman" w:cs="Times New Roman"/>
          <w:sz w:val="24"/>
          <w:szCs w:val="24"/>
        </w:rPr>
        <w:t xml:space="preserve">. The household was explained as </w:t>
      </w:r>
      <w:r w:rsidR="00D80D4C" w:rsidRPr="000F25B3">
        <w:rPr>
          <w:rFonts w:ascii="Times New Roman" w:hAnsi="Times New Roman" w:cs="Times New Roman"/>
          <w:i/>
          <w:sz w:val="24"/>
          <w:szCs w:val="24"/>
        </w:rPr>
        <w:t>a group of people who eat from the same pot when food is prepared at home and who get money for street food from the same source.</w:t>
      </w:r>
    </w:p>
    <w:p w14:paraId="56FD0BE8" w14:textId="77777777" w:rsidR="00D80D4C" w:rsidRPr="000F25B3" w:rsidRDefault="00D80D4C" w:rsidP="00D80D4C">
      <w:pPr>
        <w:jc w:val="both"/>
        <w:rPr>
          <w:rFonts w:ascii="Times New Roman" w:hAnsi="Times New Roman" w:cs="Times New Roman"/>
          <w:i/>
          <w:sz w:val="24"/>
          <w:szCs w:val="24"/>
        </w:rPr>
      </w:pPr>
      <w:r w:rsidRPr="000F25B3">
        <w:rPr>
          <w:rFonts w:ascii="Times New Roman" w:hAnsi="Times New Roman" w:cs="Times New Roman"/>
          <w:i/>
          <w:sz w:val="24"/>
          <w:szCs w:val="24"/>
        </w:rPr>
        <w:t xml:space="preserve">Data analysis </w:t>
      </w:r>
    </w:p>
    <w:p w14:paraId="44BEB2C6" w14:textId="77777777" w:rsidR="00D80D4C" w:rsidRPr="000F25B3" w:rsidRDefault="00D80D4C" w:rsidP="00D80D4C">
      <w:pPr>
        <w:jc w:val="both"/>
        <w:rPr>
          <w:rFonts w:ascii="Times New Roman" w:hAnsi="Times New Roman" w:cs="Times New Roman"/>
          <w:sz w:val="24"/>
          <w:szCs w:val="24"/>
        </w:rPr>
      </w:pPr>
      <w:r w:rsidRPr="000F25B3">
        <w:rPr>
          <w:rFonts w:ascii="Times New Roman" w:hAnsi="Times New Roman" w:cs="Times New Roman"/>
          <w:sz w:val="24"/>
          <w:szCs w:val="24"/>
        </w:rPr>
        <w:t xml:space="preserve">At the univariate level, frequency of consumption was aggregated for each food category. A series of one-way analysis of variance (ANOVA) tests were done to examine which variables significantly explain the variance in HDD at the bivariate level for the categorical variables. Bivariate correlations were done between the continuous variables and the HDD score. Then a multiple linear regression model was done to examine the variables that significantly predict the HDD score.  </w:t>
      </w:r>
    </w:p>
    <w:p w14:paraId="62DD3A8E" w14:textId="77777777" w:rsidR="00D80D4C" w:rsidRPr="000F25B3" w:rsidRDefault="00D80D4C" w:rsidP="00D80D4C">
      <w:pPr>
        <w:jc w:val="both"/>
        <w:rPr>
          <w:rFonts w:ascii="Times New Roman" w:hAnsi="Times New Roman" w:cs="Times New Roman"/>
          <w:b/>
          <w:sz w:val="24"/>
          <w:szCs w:val="24"/>
        </w:rPr>
      </w:pPr>
      <w:r w:rsidRPr="000F25B3">
        <w:rPr>
          <w:rFonts w:ascii="Times New Roman" w:hAnsi="Times New Roman" w:cs="Times New Roman"/>
          <w:b/>
          <w:sz w:val="24"/>
          <w:szCs w:val="24"/>
        </w:rPr>
        <w:t xml:space="preserve">Results </w:t>
      </w:r>
    </w:p>
    <w:p w14:paraId="5C1C579D" w14:textId="77777777" w:rsidR="007D0D70" w:rsidRPr="000F25B3" w:rsidRDefault="007D0D70" w:rsidP="00D80D4C">
      <w:pPr>
        <w:jc w:val="both"/>
        <w:rPr>
          <w:rFonts w:ascii="Times New Roman" w:hAnsi="Times New Roman" w:cs="Times New Roman"/>
          <w:i/>
          <w:sz w:val="24"/>
          <w:szCs w:val="24"/>
        </w:rPr>
      </w:pPr>
      <w:r w:rsidRPr="000F25B3">
        <w:rPr>
          <w:rFonts w:ascii="Times New Roman" w:hAnsi="Times New Roman" w:cs="Times New Roman"/>
          <w:i/>
          <w:sz w:val="24"/>
          <w:szCs w:val="24"/>
        </w:rPr>
        <w:t xml:space="preserve">Univariate </w:t>
      </w:r>
    </w:p>
    <w:p w14:paraId="465A0FCE" w14:textId="77777777" w:rsidR="00D80D4C" w:rsidRPr="000F25B3" w:rsidRDefault="00D80D4C" w:rsidP="00D80D4C">
      <w:pPr>
        <w:jc w:val="both"/>
        <w:rPr>
          <w:rFonts w:ascii="Times New Roman" w:hAnsi="Times New Roman" w:cs="Times New Roman"/>
          <w:sz w:val="24"/>
          <w:szCs w:val="24"/>
        </w:rPr>
      </w:pPr>
      <w:r w:rsidRPr="000F25B3">
        <w:rPr>
          <w:rFonts w:ascii="Times New Roman" w:hAnsi="Times New Roman" w:cs="Times New Roman"/>
          <w:sz w:val="24"/>
          <w:szCs w:val="24"/>
        </w:rPr>
        <w:t xml:space="preserve">The HDD score has </w:t>
      </w:r>
      <w:r w:rsidR="00FA453B" w:rsidRPr="000F25B3">
        <w:rPr>
          <w:rFonts w:ascii="Times New Roman" w:hAnsi="Times New Roman" w:cs="Times New Roman"/>
          <w:sz w:val="24"/>
          <w:szCs w:val="24"/>
        </w:rPr>
        <w:t>a minimum of 0 and maximum of 9</w:t>
      </w:r>
      <w:r w:rsidRPr="000F25B3">
        <w:rPr>
          <w:rFonts w:ascii="Times New Roman" w:hAnsi="Times New Roman" w:cs="Times New Roman"/>
          <w:sz w:val="24"/>
          <w:szCs w:val="24"/>
        </w:rPr>
        <w:t>. It has a normal distribution with mean score of 4.86 and standard deviation of 1.63. The univariate analysis indicates that meat/egg/fish was the most frequently consumed food.</w:t>
      </w:r>
      <w:r w:rsidR="00963B86" w:rsidRPr="000F25B3">
        <w:rPr>
          <w:rFonts w:ascii="Times New Roman" w:hAnsi="Times New Roman" w:cs="Times New Roman"/>
          <w:sz w:val="24"/>
          <w:szCs w:val="24"/>
        </w:rPr>
        <w:t xml:space="preserve"> The food categories are cereals, tubers/roots crops, fruits, vegetables, fruits, fats/oils, meat/fish/egg</w:t>
      </w:r>
      <w:r w:rsidR="00BB1C99" w:rsidRPr="000F25B3">
        <w:rPr>
          <w:rFonts w:ascii="Times New Roman" w:hAnsi="Times New Roman" w:cs="Times New Roman"/>
          <w:sz w:val="24"/>
          <w:szCs w:val="24"/>
        </w:rPr>
        <w:t xml:space="preserve">, beans/peas/nuts, </w:t>
      </w:r>
      <w:r w:rsidR="00FA453B" w:rsidRPr="000F25B3">
        <w:rPr>
          <w:rFonts w:ascii="Times New Roman" w:hAnsi="Times New Roman" w:cs="Times New Roman"/>
          <w:sz w:val="24"/>
          <w:szCs w:val="24"/>
        </w:rPr>
        <w:t xml:space="preserve">milk products, and beverages. The most frequently consumed food category was the meat/egg/fish and the least consumed was milk products. These varied across agro-ecological zones. </w:t>
      </w:r>
    </w:p>
    <w:p w14:paraId="081D2FA6" w14:textId="77777777" w:rsidR="007D0D70" w:rsidRPr="000F25B3" w:rsidRDefault="007D0D70" w:rsidP="00D80D4C">
      <w:pPr>
        <w:autoSpaceDE w:val="0"/>
        <w:autoSpaceDN w:val="0"/>
        <w:adjustRightInd w:val="0"/>
        <w:spacing w:after="0" w:line="400" w:lineRule="atLeast"/>
        <w:rPr>
          <w:rFonts w:ascii="Times New Roman" w:hAnsi="Times New Roman" w:cs="Times New Roman"/>
          <w:i/>
          <w:sz w:val="24"/>
          <w:szCs w:val="24"/>
        </w:rPr>
      </w:pPr>
      <w:r w:rsidRPr="000F25B3">
        <w:rPr>
          <w:rFonts w:ascii="Times New Roman" w:hAnsi="Times New Roman" w:cs="Times New Roman"/>
          <w:i/>
          <w:sz w:val="24"/>
          <w:szCs w:val="24"/>
        </w:rPr>
        <w:t>Bivariate</w:t>
      </w:r>
    </w:p>
    <w:p w14:paraId="62B9B6AA" w14:textId="77777777" w:rsidR="007D0D70" w:rsidRPr="000F25B3" w:rsidRDefault="007D0D70" w:rsidP="007D0D70">
      <w:pPr>
        <w:autoSpaceDE w:val="0"/>
        <w:autoSpaceDN w:val="0"/>
        <w:adjustRightInd w:val="0"/>
        <w:spacing w:after="0" w:line="400" w:lineRule="atLeast"/>
        <w:jc w:val="both"/>
        <w:rPr>
          <w:rFonts w:ascii="Times New Roman" w:hAnsi="Times New Roman" w:cs="Times New Roman"/>
          <w:sz w:val="24"/>
          <w:szCs w:val="24"/>
        </w:rPr>
      </w:pPr>
      <w:r w:rsidRPr="000F25B3">
        <w:rPr>
          <w:rFonts w:ascii="Times New Roman" w:hAnsi="Times New Roman" w:cs="Times New Roman"/>
          <w:sz w:val="24"/>
          <w:szCs w:val="24"/>
        </w:rPr>
        <w:t xml:space="preserve">The result from the one-way analysis of variance showed that ecological zone, marital status, sex of household head, ethnicity, occupation and ethnicity and religion significantly explained the variance in HDD. The post hoc test indicated that dietary diversity for respondents in the Guinea </w:t>
      </w:r>
      <w:r w:rsidRPr="000F25B3">
        <w:rPr>
          <w:rFonts w:ascii="Times New Roman" w:hAnsi="Times New Roman" w:cs="Times New Roman"/>
          <w:sz w:val="24"/>
          <w:szCs w:val="24"/>
        </w:rPr>
        <w:lastRenderedPageBreak/>
        <w:t xml:space="preserve">Savannah is significantly higher (mean= </w:t>
      </w:r>
      <w:r w:rsidRPr="000F25B3">
        <w:rPr>
          <w:rFonts w:ascii="Times New Roman" w:hAnsi="Times New Roman" w:cs="Times New Roman"/>
          <w:color w:val="000000"/>
          <w:sz w:val="24"/>
          <w:szCs w:val="24"/>
        </w:rPr>
        <w:t xml:space="preserve">5.57, SD=1.98) </w:t>
      </w:r>
      <w:r w:rsidRPr="000F25B3">
        <w:rPr>
          <w:rFonts w:ascii="Times New Roman" w:hAnsi="Times New Roman" w:cs="Times New Roman"/>
          <w:sz w:val="24"/>
          <w:szCs w:val="24"/>
        </w:rPr>
        <w:t>than all the other ecological zones- Transition (mean=</w:t>
      </w:r>
      <w:r w:rsidRPr="000F25B3">
        <w:rPr>
          <w:rFonts w:ascii="Times New Roman" w:hAnsi="Times New Roman" w:cs="Times New Roman"/>
          <w:color w:val="000000"/>
          <w:sz w:val="24"/>
          <w:szCs w:val="24"/>
        </w:rPr>
        <w:t>5.05, SD=1.98), Coastal Savannah (mean=4.96, SD=1.62) and Rainforest (mean=4.86, SD=1.63)</w:t>
      </w:r>
      <w:r w:rsidRPr="000F25B3">
        <w:rPr>
          <w:rFonts w:ascii="Times New Roman" w:hAnsi="Times New Roman" w:cs="Times New Roman"/>
          <w:sz w:val="24"/>
          <w:szCs w:val="24"/>
        </w:rPr>
        <w:t>. With regards to religious affiliation, respondents in the other Christian category (comprising Jehovah Witnesses and Seventh Day Adventists) had significantly lower dietary diversity (mean=</w:t>
      </w:r>
      <w:r w:rsidRPr="000F25B3">
        <w:rPr>
          <w:rFonts w:ascii="Times New Roman" w:hAnsi="Times New Roman" w:cs="Times New Roman"/>
          <w:color w:val="000000"/>
          <w:sz w:val="24"/>
          <w:szCs w:val="24"/>
        </w:rPr>
        <w:t xml:space="preserve">4.33, SD=1.45) </w:t>
      </w:r>
      <w:r w:rsidRPr="000F25B3">
        <w:rPr>
          <w:rFonts w:ascii="Times New Roman" w:hAnsi="Times New Roman" w:cs="Times New Roman"/>
          <w:sz w:val="24"/>
          <w:szCs w:val="24"/>
        </w:rPr>
        <w:t>than the Catholics (mean=</w:t>
      </w:r>
      <w:r w:rsidRPr="000F25B3">
        <w:rPr>
          <w:rFonts w:ascii="Times New Roman" w:hAnsi="Times New Roman" w:cs="Times New Roman"/>
          <w:color w:val="000000"/>
          <w:sz w:val="24"/>
          <w:szCs w:val="24"/>
        </w:rPr>
        <w:t>5.19, SD=1.65)</w:t>
      </w:r>
      <w:r w:rsidRPr="000F25B3">
        <w:rPr>
          <w:rFonts w:ascii="Times New Roman" w:hAnsi="Times New Roman" w:cs="Times New Roman"/>
          <w:sz w:val="24"/>
          <w:szCs w:val="24"/>
        </w:rPr>
        <w:t>, the Protestants (mean=</w:t>
      </w:r>
      <w:r w:rsidRPr="000F25B3">
        <w:rPr>
          <w:rFonts w:ascii="Times New Roman" w:hAnsi="Times New Roman" w:cs="Times New Roman"/>
          <w:color w:val="000000"/>
          <w:sz w:val="24"/>
          <w:szCs w:val="24"/>
        </w:rPr>
        <w:t>5.12, SD=1.66)</w:t>
      </w:r>
      <w:r w:rsidRPr="000F25B3">
        <w:rPr>
          <w:rFonts w:ascii="Times New Roman" w:hAnsi="Times New Roman" w:cs="Times New Roman"/>
          <w:sz w:val="24"/>
          <w:szCs w:val="24"/>
        </w:rPr>
        <w:t>, the Pentecostals/Charismatics (mean=</w:t>
      </w:r>
      <w:r w:rsidRPr="000F25B3">
        <w:rPr>
          <w:rFonts w:ascii="Times New Roman" w:hAnsi="Times New Roman" w:cs="Times New Roman"/>
          <w:color w:val="000000"/>
          <w:sz w:val="24"/>
          <w:szCs w:val="24"/>
        </w:rPr>
        <w:t xml:space="preserve">5.39, SD=1.65) </w:t>
      </w:r>
      <w:r w:rsidRPr="000F25B3">
        <w:rPr>
          <w:rFonts w:ascii="Times New Roman" w:hAnsi="Times New Roman" w:cs="Times New Roman"/>
          <w:sz w:val="24"/>
          <w:szCs w:val="24"/>
        </w:rPr>
        <w:t>and Muslims (mean=</w:t>
      </w:r>
      <w:r w:rsidRPr="000F25B3">
        <w:rPr>
          <w:rFonts w:ascii="Times New Roman" w:hAnsi="Times New Roman" w:cs="Times New Roman"/>
          <w:color w:val="000000"/>
          <w:sz w:val="24"/>
          <w:szCs w:val="24"/>
        </w:rPr>
        <w:t>5.54, SD=2.05)</w:t>
      </w:r>
      <w:r w:rsidRPr="000F25B3">
        <w:rPr>
          <w:rFonts w:ascii="Times New Roman" w:hAnsi="Times New Roman" w:cs="Times New Roman"/>
          <w:sz w:val="24"/>
          <w:szCs w:val="24"/>
        </w:rPr>
        <w:t xml:space="preserve">. This is not unexpected as the other Christians have a number of dietary restrictions. Education level of the household head did not significantly explain the variance in HDD. With regards to ethnicity, </w:t>
      </w:r>
      <w:proofErr w:type="spellStart"/>
      <w:r w:rsidRPr="000F25B3">
        <w:rPr>
          <w:rFonts w:ascii="Times New Roman" w:hAnsi="Times New Roman" w:cs="Times New Roman"/>
          <w:sz w:val="24"/>
          <w:szCs w:val="24"/>
        </w:rPr>
        <w:t>Akans</w:t>
      </w:r>
      <w:proofErr w:type="spellEnd"/>
      <w:r w:rsidRPr="000F25B3">
        <w:rPr>
          <w:rFonts w:ascii="Times New Roman" w:hAnsi="Times New Roman" w:cs="Times New Roman"/>
          <w:sz w:val="24"/>
          <w:szCs w:val="24"/>
        </w:rPr>
        <w:t xml:space="preserve"> have significantly lower HDD (mean=</w:t>
      </w:r>
      <w:r w:rsidRPr="000F25B3">
        <w:rPr>
          <w:rFonts w:ascii="Times New Roman" w:hAnsi="Times New Roman" w:cs="Times New Roman"/>
          <w:color w:val="000000"/>
          <w:sz w:val="24"/>
          <w:szCs w:val="24"/>
        </w:rPr>
        <w:t xml:space="preserve">4.67, SD=1.67) </w:t>
      </w:r>
      <w:r w:rsidRPr="000F25B3">
        <w:rPr>
          <w:rFonts w:ascii="Times New Roman" w:hAnsi="Times New Roman" w:cs="Times New Roman"/>
          <w:sz w:val="24"/>
          <w:szCs w:val="24"/>
        </w:rPr>
        <w:t>than the Mole-Dagbani (mean=</w:t>
      </w:r>
      <w:r w:rsidRPr="000F25B3">
        <w:rPr>
          <w:rFonts w:ascii="Times New Roman" w:hAnsi="Times New Roman" w:cs="Times New Roman"/>
          <w:color w:val="000000"/>
          <w:sz w:val="24"/>
          <w:szCs w:val="24"/>
        </w:rPr>
        <w:t>5.57, SD=1.57)</w:t>
      </w:r>
      <w:r w:rsidRPr="000F25B3">
        <w:rPr>
          <w:rFonts w:ascii="Times New Roman" w:hAnsi="Times New Roman" w:cs="Times New Roman"/>
          <w:sz w:val="24"/>
          <w:szCs w:val="24"/>
        </w:rPr>
        <w:t>, the Nzema (mean=</w:t>
      </w:r>
      <w:r w:rsidRPr="000F25B3">
        <w:rPr>
          <w:rFonts w:ascii="Times New Roman" w:hAnsi="Times New Roman" w:cs="Times New Roman"/>
          <w:color w:val="000000"/>
          <w:sz w:val="24"/>
          <w:szCs w:val="24"/>
        </w:rPr>
        <w:t xml:space="preserve">1.26, SD=1.26) </w:t>
      </w:r>
      <w:r w:rsidRPr="000F25B3">
        <w:rPr>
          <w:rFonts w:ascii="Times New Roman" w:hAnsi="Times New Roman" w:cs="Times New Roman"/>
          <w:sz w:val="24"/>
          <w:szCs w:val="24"/>
        </w:rPr>
        <w:t>and other ethnic group which comprises the Ewe and Guan (mean=</w:t>
      </w:r>
      <w:r w:rsidRPr="000F25B3">
        <w:rPr>
          <w:rFonts w:ascii="Times New Roman" w:hAnsi="Times New Roman" w:cs="Times New Roman"/>
          <w:color w:val="000000"/>
          <w:sz w:val="24"/>
          <w:szCs w:val="24"/>
        </w:rPr>
        <w:t xml:space="preserve">5.26, SD=1.26). Again, female headed households have significantly higher HDD (mean=5.38, SD=1.81) than male headed households (mean=4.71, SD=1.78). This corroborates the literature that argues that females play integral roles in food production, distribution and processing. </w:t>
      </w:r>
    </w:p>
    <w:p w14:paraId="09A17CEA" w14:textId="77777777" w:rsidR="00D80D4C" w:rsidRPr="000F25B3" w:rsidRDefault="007D0D70" w:rsidP="00D80D4C">
      <w:pPr>
        <w:autoSpaceDE w:val="0"/>
        <w:autoSpaceDN w:val="0"/>
        <w:adjustRightInd w:val="0"/>
        <w:spacing w:after="0" w:line="400" w:lineRule="atLeast"/>
        <w:rPr>
          <w:rFonts w:ascii="Times New Roman" w:hAnsi="Times New Roman" w:cs="Times New Roman"/>
          <w:i/>
          <w:sz w:val="24"/>
          <w:szCs w:val="24"/>
        </w:rPr>
      </w:pPr>
      <w:r w:rsidRPr="000F25B3">
        <w:rPr>
          <w:rFonts w:ascii="Times New Roman" w:hAnsi="Times New Roman" w:cs="Times New Roman"/>
          <w:i/>
          <w:sz w:val="24"/>
          <w:szCs w:val="24"/>
        </w:rPr>
        <w:t xml:space="preserve"> </w:t>
      </w:r>
    </w:p>
    <w:p w14:paraId="1341D8BB" w14:textId="77777777" w:rsidR="00D80D4C" w:rsidRPr="000F25B3" w:rsidRDefault="00F135D0" w:rsidP="00D80D4C">
      <w:pPr>
        <w:autoSpaceDE w:val="0"/>
        <w:autoSpaceDN w:val="0"/>
        <w:adjustRightInd w:val="0"/>
        <w:spacing w:after="0" w:line="400" w:lineRule="atLeast"/>
        <w:rPr>
          <w:rFonts w:ascii="Times New Roman" w:hAnsi="Times New Roman" w:cs="Times New Roman"/>
          <w:i/>
          <w:sz w:val="24"/>
          <w:szCs w:val="24"/>
        </w:rPr>
      </w:pPr>
      <w:r w:rsidRPr="000F25B3">
        <w:rPr>
          <w:rFonts w:ascii="Times New Roman" w:hAnsi="Times New Roman" w:cs="Times New Roman"/>
          <w:i/>
          <w:sz w:val="24"/>
          <w:szCs w:val="24"/>
        </w:rPr>
        <w:t xml:space="preserve">Multivariate </w:t>
      </w:r>
    </w:p>
    <w:p w14:paraId="6024287E" w14:textId="77777777" w:rsidR="00D80D4C" w:rsidRPr="000F25B3" w:rsidRDefault="00D80D4C" w:rsidP="00D80D4C">
      <w:pPr>
        <w:autoSpaceDE w:val="0"/>
        <w:autoSpaceDN w:val="0"/>
        <w:adjustRightInd w:val="0"/>
        <w:spacing w:after="0" w:line="400" w:lineRule="atLeast"/>
        <w:jc w:val="both"/>
        <w:rPr>
          <w:rFonts w:ascii="Times New Roman" w:hAnsi="Times New Roman" w:cs="Times New Roman"/>
          <w:sz w:val="24"/>
          <w:szCs w:val="24"/>
        </w:rPr>
      </w:pPr>
      <w:r w:rsidRPr="000F25B3">
        <w:rPr>
          <w:rFonts w:ascii="Times New Roman" w:hAnsi="Times New Roman" w:cs="Times New Roman"/>
          <w:sz w:val="24"/>
          <w:szCs w:val="24"/>
        </w:rPr>
        <w:t xml:space="preserve">The multiple linear regression analysis further revealed that social network, ecological zone, occupation of household head, education of household head, wealth category, and ethnicity are significant predictors of HDD (Table 3). With regards to the agro-ecological zone, households in the Rainforest, Coastal Savannah, Transition zones respectively have 0.22, 0.29 and 0.12 less HDD than those in Guinea Savannah. A unit increase in a household’s social network increases the HDD by 0.06. In addition, households with heads involved in farming as their primary occupation have 0.03 lower food diversity than those involved in other occupations. This is due to the subsistence nature of farming in Ghana, where people virtually consume what they grow and do not have the capacity to purchase other food categories. Explaining this point further, the model revealed that rich households had 0.11 higher dietary diversity score than poor household. In households where the head had no education, the dietary diversity score was 0.08 lower than those with higher education; the more educated would want to eat from diverse food categories, due to the knowledge of nutrition. Contrary to what is expected, there was no significant difference between migrant and non-migrant households in terms of their dietary diversity. </w:t>
      </w:r>
    </w:p>
    <w:p w14:paraId="66324A34" w14:textId="77777777" w:rsidR="00D80D4C" w:rsidRPr="000F25B3" w:rsidRDefault="00D80D4C" w:rsidP="00D80D4C">
      <w:pPr>
        <w:autoSpaceDE w:val="0"/>
        <w:autoSpaceDN w:val="0"/>
        <w:adjustRightInd w:val="0"/>
        <w:spacing w:after="0" w:line="400" w:lineRule="atLeast"/>
        <w:rPr>
          <w:rFonts w:ascii="Times New Roman" w:hAnsi="Times New Roman" w:cs="Times New Roman"/>
          <w:b/>
          <w:sz w:val="24"/>
          <w:szCs w:val="24"/>
        </w:rPr>
      </w:pPr>
    </w:p>
    <w:p w14:paraId="3255A454" w14:textId="77777777" w:rsidR="00D80D4C" w:rsidRPr="000F25B3" w:rsidRDefault="00D80D4C" w:rsidP="00D80D4C">
      <w:pPr>
        <w:autoSpaceDE w:val="0"/>
        <w:autoSpaceDN w:val="0"/>
        <w:adjustRightInd w:val="0"/>
        <w:spacing w:after="0" w:line="400" w:lineRule="atLeast"/>
        <w:rPr>
          <w:rFonts w:ascii="Times New Roman" w:hAnsi="Times New Roman" w:cs="Times New Roman"/>
          <w:b/>
          <w:sz w:val="24"/>
          <w:szCs w:val="24"/>
        </w:rPr>
      </w:pPr>
      <w:r w:rsidRPr="000F25B3">
        <w:rPr>
          <w:rFonts w:ascii="Times New Roman" w:hAnsi="Times New Roman" w:cs="Times New Roman"/>
          <w:b/>
          <w:sz w:val="24"/>
          <w:szCs w:val="24"/>
        </w:rPr>
        <w:lastRenderedPageBreak/>
        <w:t xml:space="preserve">Table 3: Linear regression Model Showing the Relationship between women in Agriculture, Migration and HDD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890"/>
        <w:gridCol w:w="1350"/>
        <w:gridCol w:w="990"/>
      </w:tblGrid>
      <w:tr w:rsidR="00D80D4C" w:rsidRPr="000F25B3" w14:paraId="095E402C" w14:textId="77777777" w:rsidTr="00975EAD">
        <w:tc>
          <w:tcPr>
            <w:tcW w:w="2718" w:type="dxa"/>
            <w:tcBorders>
              <w:top w:val="single" w:sz="4" w:space="0" w:color="auto"/>
              <w:bottom w:val="single" w:sz="4" w:space="0" w:color="auto"/>
            </w:tcBorders>
          </w:tcPr>
          <w:p w14:paraId="1A8DF286" w14:textId="77777777" w:rsidR="00D80D4C" w:rsidRPr="000F25B3" w:rsidRDefault="00D80D4C" w:rsidP="00975EAD">
            <w:pPr>
              <w:autoSpaceDE w:val="0"/>
              <w:autoSpaceDN w:val="0"/>
              <w:adjustRightInd w:val="0"/>
              <w:rPr>
                <w:rFonts w:ascii="Times New Roman" w:hAnsi="Times New Roman" w:cs="Times New Roman"/>
                <w:b/>
                <w:sz w:val="24"/>
                <w:szCs w:val="24"/>
              </w:rPr>
            </w:pPr>
            <w:r w:rsidRPr="000F25B3">
              <w:rPr>
                <w:rFonts w:ascii="Times New Roman" w:hAnsi="Times New Roman" w:cs="Times New Roman"/>
                <w:b/>
                <w:sz w:val="24"/>
                <w:szCs w:val="24"/>
              </w:rPr>
              <w:t xml:space="preserve">Variables </w:t>
            </w:r>
          </w:p>
        </w:tc>
        <w:tc>
          <w:tcPr>
            <w:tcW w:w="1890" w:type="dxa"/>
            <w:tcBorders>
              <w:top w:val="single" w:sz="4" w:space="0" w:color="auto"/>
              <w:bottom w:val="single" w:sz="4" w:space="0" w:color="auto"/>
            </w:tcBorders>
          </w:tcPr>
          <w:p w14:paraId="529DC782" w14:textId="77777777" w:rsidR="00D80D4C" w:rsidRPr="000F25B3" w:rsidRDefault="00D80D4C" w:rsidP="00975EAD">
            <w:pPr>
              <w:autoSpaceDE w:val="0"/>
              <w:autoSpaceDN w:val="0"/>
              <w:adjustRightInd w:val="0"/>
              <w:rPr>
                <w:rFonts w:ascii="Times New Roman" w:hAnsi="Times New Roman" w:cs="Times New Roman"/>
                <w:b/>
                <w:sz w:val="24"/>
                <w:szCs w:val="24"/>
              </w:rPr>
            </w:pPr>
            <w:r w:rsidRPr="000F25B3">
              <w:rPr>
                <w:rFonts w:ascii="Times New Roman" w:hAnsi="Times New Roman" w:cs="Times New Roman"/>
                <w:b/>
                <w:sz w:val="24"/>
                <w:szCs w:val="24"/>
              </w:rPr>
              <w:t>Standardized coefficient of β</w:t>
            </w:r>
          </w:p>
        </w:tc>
        <w:tc>
          <w:tcPr>
            <w:tcW w:w="1350" w:type="dxa"/>
            <w:tcBorders>
              <w:top w:val="single" w:sz="4" w:space="0" w:color="auto"/>
              <w:bottom w:val="single" w:sz="4" w:space="0" w:color="auto"/>
            </w:tcBorders>
          </w:tcPr>
          <w:p w14:paraId="09FBB559" w14:textId="77777777" w:rsidR="00D80D4C" w:rsidRPr="000F25B3" w:rsidRDefault="00D80D4C" w:rsidP="00975EAD">
            <w:pPr>
              <w:autoSpaceDE w:val="0"/>
              <w:autoSpaceDN w:val="0"/>
              <w:adjustRightInd w:val="0"/>
              <w:rPr>
                <w:rFonts w:ascii="Times New Roman" w:hAnsi="Times New Roman" w:cs="Times New Roman"/>
                <w:b/>
                <w:sz w:val="24"/>
                <w:szCs w:val="24"/>
              </w:rPr>
            </w:pPr>
            <w:r w:rsidRPr="000F25B3">
              <w:rPr>
                <w:rFonts w:ascii="Times New Roman" w:hAnsi="Times New Roman" w:cs="Times New Roman"/>
                <w:b/>
                <w:sz w:val="24"/>
                <w:szCs w:val="24"/>
              </w:rPr>
              <w:t xml:space="preserve">Standard error </w:t>
            </w:r>
          </w:p>
        </w:tc>
        <w:tc>
          <w:tcPr>
            <w:tcW w:w="990" w:type="dxa"/>
            <w:tcBorders>
              <w:top w:val="single" w:sz="4" w:space="0" w:color="auto"/>
              <w:bottom w:val="single" w:sz="4" w:space="0" w:color="auto"/>
            </w:tcBorders>
          </w:tcPr>
          <w:p w14:paraId="1868D91F" w14:textId="77777777" w:rsidR="00D80D4C" w:rsidRPr="000F25B3" w:rsidRDefault="00D80D4C" w:rsidP="00975EAD">
            <w:pPr>
              <w:autoSpaceDE w:val="0"/>
              <w:autoSpaceDN w:val="0"/>
              <w:adjustRightInd w:val="0"/>
              <w:rPr>
                <w:rFonts w:ascii="Times New Roman" w:hAnsi="Times New Roman" w:cs="Times New Roman"/>
                <w:b/>
                <w:sz w:val="24"/>
                <w:szCs w:val="24"/>
              </w:rPr>
            </w:pPr>
            <w:r w:rsidRPr="000F25B3">
              <w:rPr>
                <w:rFonts w:ascii="Times New Roman" w:hAnsi="Times New Roman" w:cs="Times New Roman"/>
                <w:b/>
                <w:sz w:val="24"/>
                <w:szCs w:val="24"/>
              </w:rPr>
              <w:t xml:space="preserve">p-value </w:t>
            </w:r>
          </w:p>
        </w:tc>
      </w:tr>
      <w:tr w:rsidR="00D80D4C" w:rsidRPr="000F25B3" w14:paraId="4723D951" w14:textId="77777777" w:rsidTr="00975EAD">
        <w:tc>
          <w:tcPr>
            <w:tcW w:w="2718" w:type="dxa"/>
            <w:tcBorders>
              <w:top w:val="single" w:sz="4" w:space="0" w:color="auto"/>
            </w:tcBorders>
          </w:tcPr>
          <w:p w14:paraId="7FD09D84" w14:textId="77777777" w:rsidR="00D80D4C" w:rsidRPr="000F25B3" w:rsidRDefault="00D80D4C" w:rsidP="00975EAD">
            <w:pPr>
              <w:autoSpaceDE w:val="0"/>
              <w:autoSpaceDN w:val="0"/>
              <w:adjustRightInd w:val="0"/>
              <w:rPr>
                <w:rFonts w:ascii="Times New Roman" w:hAnsi="Times New Roman" w:cs="Times New Roman"/>
                <w:sz w:val="24"/>
                <w:szCs w:val="24"/>
              </w:rPr>
            </w:pPr>
            <w:r w:rsidRPr="000F25B3">
              <w:rPr>
                <w:rFonts w:ascii="Times New Roman" w:hAnsi="Times New Roman" w:cs="Times New Roman"/>
                <w:sz w:val="24"/>
                <w:szCs w:val="24"/>
              </w:rPr>
              <w:t>Intercept (α)</w:t>
            </w:r>
          </w:p>
        </w:tc>
        <w:tc>
          <w:tcPr>
            <w:tcW w:w="1890" w:type="dxa"/>
            <w:tcBorders>
              <w:top w:val="single" w:sz="4" w:space="0" w:color="auto"/>
            </w:tcBorders>
            <w:vAlign w:val="center"/>
          </w:tcPr>
          <w:p w14:paraId="0137C06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.078</w:t>
            </w:r>
          </w:p>
        </w:tc>
        <w:tc>
          <w:tcPr>
            <w:tcW w:w="1350" w:type="dxa"/>
            <w:tcBorders>
              <w:top w:val="single" w:sz="4" w:space="0" w:color="auto"/>
            </w:tcBorders>
            <w:vAlign w:val="center"/>
          </w:tcPr>
          <w:p w14:paraId="52DBDA3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.699</w:t>
            </w:r>
          </w:p>
        </w:tc>
        <w:tc>
          <w:tcPr>
            <w:tcW w:w="990" w:type="dxa"/>
            <w:tcBorders>
              <w:top w:val="single" w:sz="4" w:space="0" w:color="auto"/>
            </w:tcBorders>
            <w:vAlign w:val="center"/>
          </w:tcPr>
          <w:p w14:paraId="575085A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.000</w:t>
            </w:r>
          </w:p>
        </w:tc>
      </w:tr>
      <w:tr w:rsidR="00D80D4C" w:rsidRPr="000F25B3" w14:paraId="186BA57A" w14:textId="77777777" w:rsidTr="00975EAD">
        <w:tc>
          <w:tcPr>
            <w:tcW w:w="2718" w:type="dxa"/>
            <w:vAlign w:val="center"/>
          </w:tcPr>
          <w:p w14:paraId="4554D21D"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Social Network</w:t>
            </w:r>
          </w:p>
        </w:tc>
        <w:tc>
          <w:tcPr>
            <w:tcW w:w="1890" w:type="dxa"/>
            <w:vAlign w:val="center"/>
          </w:tcPr>
          <w:p w14:paraId="620D8CA2"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.055</w:t>
            </w:r>
          </w:p>
        </w:tc>
        <w:tc>
          <w:tcPr>
            <w:tcW w:w="1350" w:type="dxa"/>
            <w:vAlign w:val="center"/>
          </w:tcPr>
          <w:p w14:paraId="3CD9047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.096</w:t>
            </w:r>
          </w:p>
        </w:tc>
        <w:tc>
          <w:tcPr>
            <w:tcW w:w="990" w:type="dxa"/>
            <w:vAlign w:val="center"/>
          </w:tcPr>
          <w:p w14:paraId="6C8DD68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.054</w:t>
            </w:r>
          </w:p>
        </w:tc>
      </w:tr>
      <w:tr w:rsidR="00D80D4C" w:rsidRPr="000F25B3" w14:paraId="04369E4D" w14:textId="77777777" w:rsidTr="00975EAD">
        <w:tc>
          <w:tcPr>
            <w:tcW w:w="2718" w:type="dxa"/>
            <w:vAlign w:val="center"/>
          </w:tcPr>
          <w:p w14:paraId="74B80838"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Sex of household head </w:t>
            </w:r>
          </w:p>
        </w:tc>
        <w:tc>
          <w:tcPr>
            <w:tcW w:w="1890" w:type="dxa"/>
            <w:vAlign w:val="center"/>
          </w:tcPr>
          <w:p w14:paraId="53203072"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14EF790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4202E5C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56886A49" w14:textId="77777777" w:rsidTr="00975EAD">
        <w:tc>
          <w:tcPr>
            <w:tcW w:w="2718" w:type="dxa"/>
            <w:vAlign w:val="center"/>
          </w:tcPr>
          <w:p w14:paraId="3E63A59F"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Female</w:t>
            </w:r>
          </w:p>
        </w:tc>
        <w:tc>
          <w:tcPr>
            <w:tcW w:w="1890" w:type="dxa"/>
            <w:vAlign w:val="center"/>
          </w:tcPr>
          <w:p w14:paraId="0FD5A0B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-.231</w:t>
            </w:r>
          </w:p>
        </w:tc>
        <w:tc>
          <w:tcPr>
            <w:tcW w:w="1350" w:type="dxa"/>
            <w:vAlign w:val="center"/>
          </w:tcPr>
          <w:p w14:paraId="1182C80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.264</w:t>
            </w:r>
          </w:p>
        </w:tc>
        <w:tc>
          <w:tcPr>
            <w:tcW w:w="990" w:type="dxa"/>
            <w:vAlign w:val="center"/>
          </w:tcPr>
          <w:p w14:paraId="613F5AB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.437</w:t>
            </w:r>
          </w:p>
        </w:tc>
      </w:tr>
      <w:tr w:rsidR="00D80D4C" w:rsidRPr="000F25B3" w14:paraId="14E8959E" w14:textId="77777777" w:rsidTr="00975EAD">
        <w:tc>
          <w:tcPr>
            <w:tcW w:w="2718" w:type="dxa"/>
            <w:vAlign w:val="center"/>
          </w:tcPr>
          <w:p w14:paraId="4A624EC2"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Male (RC)</w:t>
            </w:r>
          </w:p>
        </w:tc>
        <w:tc>
          <w:tcPr>
            <w:tcW w:w="1890" w:type="dxa"/>
            <w:vAlign w:val="center"/>
          </w:tcPr>
          <w:p w14:paraId="387432F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5CD3A99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3F1E9FE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61E1CCCF" w14:textId="77777777" w:rsidTr="00975EAD">
        <w:tc>
          <w:tcPr>
            <w:tcW w:w="2718" w:type="dxa"/>
            <w:vAlign w:val="center"/>
          </w:tcPr>
          <w:p w14:paraId="39C0932F"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Ecological zone </w:t>
            </w:r>
          </w:p>
        </w:tc>
        <w:tc>
          <w:tcPr>
            <w:tcW w:w="1890" w:type="dxa"/>
            <w:vAlign w:val="center"/>
          </w:tcPr>
          <w:p w14:paraId="2BDB422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1586727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61E323D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663040DE" w14:textId="77777777" w:rsidTr="00975EAD">
        <w:tc>
          <w:tcPr>
            <w:tcW w:w="2718" w:type="dxa"/>
            <w:vAlign w:val="center"/>
          </w:tcPr>
          <w:p w14:paraId="2E7B10C5"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Rainforest </w:t>
            </w:r>
          </w:p>
        </w:tc>
        <w:tc>
          <w:tcPr>
            <w:tcW w:w="1890" w:type="dxa"/>
            <w:vAlign w:val="center"/>
          </w:tcPr>
          <w:p w14:paraId="423F1AC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-.219</w:t>
            </w:r>
          </w:p>
        </w:tc>
        <w:tc>
          <w:tcPr>
            <w:tcW w:w="1350" w:type="dxa"/>
            <w:vAlign w:val="center"/>
          </w:tcPr>
          <w:p w14:paraId="09F3FE0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.402</w:t>
            </w:r>
          </w:p>
        </w:tc>
        <w:tc>
          <w:tcPr>
            <w:tcW w:w="990" w:type="dxa"/>
            <w:vAlign w:val="center"/>
          </w:tcPr>
          <w:p w14:paraId="7064CD9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.017</w:t>
            </w:r>
          </w:p>
        </w:tc>
      </w:tr>
      <w:tr w:rsidR="00D80D4C" w:rsidRPr="000F25B3" w14:paraId="55C831AB" w14:textId="77777777" w:rsidTr="00975EAD">
        <w:tc>
          <w:tcPr>
            <w:tcW w:w="2718" w:type="dxa"/>
            <w:vAlign w:val="center"/>
          </w:tcPr>
          <w:p w14:paraId="64358034"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Coastal Savannah </w:t>
            </w:r>
          </w:p>
        </w:tc>
        <w:tc>
          <w:tcPr>
            <w:tcW w:w="1890" w:type="dxa"/>
            <w:vAlign w:val="center"/>
          </w:tcPr>
          <w:p w14:paraId="738438E2"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-.285</w:t>
            </w:r>
          </w:p>
        </w:tc>
        <w:tc>
          <w:tcPr>
            <w:tcW w:w="1350" w:type="dxa"/>
            <w:vAlign w:val="center"/>
          </w:tcPr>
          <w:p w14:paraId="328728D1"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.419</w:t>
            </w:r>
          </w:p>
        </w:tc>
        <w:tc>
          <w:tcPr>
            <w:tcW w:w="990" w:type="dxa"/>
            <w:vAlign w:val="center"/>
          </w:tcPr>
          <w:p w14:paraId="0635B75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.024</w:t>
            </w:r>
          </w:p>
        </w:tc>
      </w:tr>
      <w:tr w:rsidR="00D80D4C" w:rsidRPr="000F25B3" w14:paraId="11D8DDCE" w14:textId="77777777" w:rsidTr="00975EAD">
        <w:tc>
          <w:tcPr>
            <w:tcW w:w="2718" w:type="dxa"/>
            <w:vAlign w:val="center"/>
          </w:tcPr>
          <w:p w14:paraId="7C264083"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Transition</w:t>
            </w:r>
          </w:p>
        </w:tc>
        <w:tc>
          <w:tcPr>
            <w:tcW w:w="1890" w:type="dxa"/>
            <w:vAlign w:val="center"/>
          </w:tcPr>
          <w:p w14:paraId="6285E82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-.115</w:t>
            </w:r>
          </w:p>
        </w:tc>
        <w:tc>
          <w:tcPr>
            <w:tcW w:w="1350" w:type="dxa"/>
            <w:vAlign w:val="center"/>
          </w:tcPr>
          <w:p w14:paraId="46284F6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.409</w:t>
            </w:r>
          </w:p>
        </w:tc>
        <w:tc>
          <w:tcPr>
            <w:tcW w:w="990" w:type="dxa"/>
            <w:vAlign w:val="center"/>
          </w:tcPr>
          <w:p w14:paraId="137BDCF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.003</w:t>
            </w:r>
          </w:p>
        </w:tc>
      </w:tr>
      <w:tr w:rsidR="00D80D4C" w:rsidRPr="000F25B3" w14:paraId="063219A8" w14:textId="77777777" w:rsidTr="00975EAD">
        <w:tc>
          <w:tcPr>
            <w:tcW w:w="2718" w:type="dxa"/>
            <w:vAlign w:val="center"/>
          </w:tcPr>
          <w:p w14:paraId="47C1D4CB"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Guinea savannah (RC)</w:t>
            </w:r>
          </w:p>
        </w:tc>
        <w:tc>
          <w:tcPr>
            <w:tcW w:w="1890" w:type="dxa"/>
            <w:vAlign w:val="center"/>
          </w:tcPr>
          <w:p w14:paraId="720D48F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02B5D23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144DC2A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43C733F8" w14:textId="77777777" w:rsidTr="00975EAD">
        <w:tc>
          <w:tcPr>
            <w:tcW w:w="2718" w:type="dxa"/>
            <w:vAlign w:val="center"/>
          </w:tcPr>
          <w:p w14:paraId="4B0EEBFE"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Occupation </w:t>
            </w:r>
          </w:p>
        </w:tc>
        <w:tc>
          <w:tcPr>
            <w:tcW w:w="1890" w:type="dxa"/>
            <w:vAlign w:val="center"/>
          </w:tcPr>
          <w:p w14:paraId="16803E5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50E3C1D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4C8FCD6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0C3CF4C7" w14:textId="77777777" w:rsidTr="00975EAD">
        <w:tc>
          <w:tcPr>
            <w:tcW w:w="2718" w:type="dxa"/>
            <w:vAlign w:val="center"/>
          </w:tcPr>
          <w:p w14:paraId="4C21853D"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Farming </w:t>
            </w:r>
          </w:p>
        </w:tc>
        <w:tc>
          <w:tcPr>
            <w:tcW w:w="1890" w:type="dxa"/>
            <w:vAlign w:val="center"/>
          </w:tcPr>
          <w:p w14:paraId="3D014E5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-.029</w:t>
            </w:r>
          </w:p>
        </w:tc>
        <w:tc>
          <w:tcPr>
            <w:tcW w:w="1350" w:type="dxa"/>
            <w:vAlign w:val="center"/>
          </w:tcPr>
          <w:p w14:paraId="7626A5D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.227</w:t>
            </w:r>
          </w:p>
        </w:tc>
        <w:tc>
          <w:tcPr>
            <w:tcW w:w="990" w:type="dxa"/>
            <w:vAlign w:val="center"/>
          </w:tcPr>
          <w:p w14:paraId="43B4DAD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.009</w:t>
            </w:r>
          </w:p>
        </w:tc>
      </w:tr>
      <w:tr w:rsidR="00D80D4C" w:rsidRPr="000F25B3" w14:paraId="02415F3F" w14:textId="77777777" w:rsidTr="00975EAD">
        <w:tc>
          <w:tcPr>
            <w:tcW w:w="2718" w:type="dxa"/>
            <w:vAlign w:val="center"/>
          </w:tcPr>
          <w:p w14:paraId="19873B61"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Other occupation (RC)</w:t>
            </w:r>
          </w:p>
        </w:tc>
        <w:tc>
          <w:tcPr>
            <w:tcW w:w="1890" w:type="dxa"/>
            <w:vAlign w:val="center"/>
          </w:tcPr>
          <w:p w14:paraId="73FDBDD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6868FDD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1EDF941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0B57621A" w14:textId="77777777" w:rsidTr="00975EAD">
        <w:tc>
          <w:tcPr>
            <w:tcW w:w="2718" w:type="dxa"/>
            <w:vAlign w:val="center"/>
          </w:tcPr>
          <w:p w14:paraId="20EFB766"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Marital status </w:t>
            </w:r>
          </w:p>
        </w:tc>
        <w:tc>
          <w:tcPr>
            <w:tcW w:w="1890" w:type="dxa"/>
            <w:vAlign w:val="center"/>
          </w:tcPr>
          <w:p w14:paraId="275B90C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7ECE397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4880AC1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403694DD" w14:textId="77777777" w:rsidTr="00975EAD">
        <w:tc>
          <w:tcPr>
            <w:tcW w:w="2718" w:type="dxa"/>
            <w:vAlign w:val="center"/>
          </w:tcPr>
          <w:p w14:paraId="325B2E34"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In Union</w:t>
            </w:r>
          </w:p>
        </w:tc>
        <w:tc>
          <w:tcPr>
            <w:tcW w:w="1890" w:type="dxa"/>
            <w:vAlign w:val="center"/>
          </w:tcPr>
          <w:p w14:paraId="6F08418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.015</w:t>
            </w:r>
          </w:p>
        </w:tc>
        <w:tc>
          <w:tcPr>
            <w:tcW w:w="1350" w:type="dxa"/>
            <w:vAlign w:val="center"/>
          </w:tcPr>
          <w:p w14:paraId="2AC7B51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.257</w:t>
            </w:r>
          </w:p>
        </w:tc>
        <w:tc>
          <w:tcPr>
            <w:tcW w:w="990" w:type="dxa"/>
            <w:vAlign w:val="center"/>
          </w:tcPr>
          <w:p w14:paraId="4A79DD96"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.653</w:t>
            </w:r>
          </w:p>
        </w:tc>
      </w:tr>
      <w:tr w:rsidR="00D80D4C" w:rsidRPr="000F25B3" w14:paraId="7B1B6036" w14:textId="77777777" w:rsidTr="00975EAD">
        <w:tc>
          <w:tcPr>
            <w:tcW w:w="2718" w:type="dxa"/>
            <w:vAlign w:val="center"/>
          </w:tcPr>
          <w:p w14:paraId="08F9C62B"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Not in union (RC)</w:t>
            </w:r>
          </w:p>
        </w:tc>
        <w:tc>
          <w:tcPr>
            <w:tcW w:w="1890" w:type="dxa"/>
            <w:vAlign w:val="center"/>
          </w:tcPr>
          <w:p w14:paraId="713417F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76884F5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6658E37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3442DB79" w14:textId="77777777" w:rsidTr="00975EAD">
        <w:tc>
          <w:tcPr>
            <w:tcW w:w="2718" w:type="dxa"/>
            <w:vAlign w:val="center"/>
          </w:tcPr>
          <w:p w14:paraId="6446EDDA"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Religious affiliation </w:t>
            </w:r>
          </w:p>
        </w:tc>
        <w:tc>
          <w:tcPr>
            <w:tcW w:w="1890" w:type="dxa"/>
            <w:vAlign w:val="center"/>
          </w:tcPr>
          <w:p w14:paraId="101FB65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2BA1E70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7D294B8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1CF89695" w14:textId="77777777" w:rsidTr="00975EAD">
        <w:tc>
          <w:tcPr>
            <w:tcW w:w="2718" w:type="dxa"/>
            <w:vAlign w:val="center"/>
          </w:tcPr>
          <w:p w14:paraId="03EA869B"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No religion (RC)</w:t>
            </w:r>
          </w:p>
        </w:tc>
        <w:tc>
          <w:tcPr>
            <w:tcW w:w="1890" w:type="dxa"/>
            <w:vAlign w:val="center"/>
          </w:tcPr>
          <w:p w14:paraId="573A8D06"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7C40F92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63A3C63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7DBC7FA9" w14:textId="77777777" w:rsidTr="00975EAD">
        <w:tc>
          <w:tcPr>
            <w:tcW w:w="2718" w:type="dxa"/>
            <w:vAlign w:val="center"/>
          </w:tcPr>
          <w:p w14:paraId="07B5A11B"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Catholic</w:t>
            </w:r>
          </w:p>
        </w:tc>
        <w:tc>
          <w:tcPr>
            <w:tcW w:w="1890" w:type="dxa"/>
            <w:vAlign w:val="center"/>
          </w:tcPr>
          <w:p w14:paraId="5DF24D8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.055</w:t>
            </w:r>
          </w:p>
        </w:tc>
        <w:tc>
          <w:tcPr>
            <w:tcW w:w="1350" w:type="dxa"/>
            <w:vAlign w:val="center"/>
          </w:tcPr>
          <w:p w14:paraId="3394B07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.416</w:t>
            </w:r>
          </w:p>
        </w:tc>
        <w:tc>
          <w:tcPr>
            <w:tcW w:w="990" w:type="dxa"/>
            <w:vAlign w:val="center"/>
          </w:tcPr>
          <w:p w14:paraId="6A41EA0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.821</w:t>
            </w:r>
          </w:p>
        </w:tc>
      </w:tr>
      <w:tr w:rsidR="00D80D4C" w:rsidRPr="000F25B3" w14:paraId="19640C0A" w14:textId="77777777" w:rsidTr="00975EAD">
        <w:tc>
          <w:tcPr>
            <w:tcW w:w="2718" w:type="dxa"/>
            <w:vAlign w:val="center"/>
          </w:tcPr>
          <w:p w14:paraId="437A642A"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Protestant</w:t>
            </w:r>
          </w:p>
        </w:tc>
        <w:tc>
          <w:tcPr>
            <w:tcW w:w="1890" w:type="dxa"/>
            <w:vAlign w:val="center"/>
          </w:tcPr>
          <w:p w14:paraId="49617D2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.083</w:t>
            </w:r>
          </w:p>
        </w:tc>
        <w:tc>
          <w:tcPr>
            <w:tcW w:w="1350" w:type="dxa"/>
            <w:vAlign w:val="center"/>
          </w:tcPr>
          <w:p w14:paraId="3C0ABEC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.391</w:t>
            </w:r>
          </w:p>
        </w:tc>
        <w:tc>
          <w:tcPr>
            <w:tcW w:w="990" w:type="dxa"/>
            <w:vAlign w:val="center"/>
          </w:tcPr>
          <w:p w14:paraId="03456C9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.444</w:t>
            </w:r>
          </w:p>
        </w:tc>
      </w:tr>
      <w:tr w:rsidR="00D80D4C" w:rsidRPr="000F25B3" w14:paraId="0B52AC7C" w14:textId="77777777" w:rsidTr="00975EAD">
        <w:tc>
          <w:tcPr>
            <w:tcW w:w="2718" w:type="dxa"/>
            <w:vAlign w:val="center"/>
          </w:tcPr>
          <w:p w14:paraId="2E2EA90A"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Pent/ Charismatic </w:t>
            </w:r>
          </w:p>
        </w:tc>
        <w:tc>
          <w:tcPr>
            <w:tcW w:w="1890" w:type="dxa"/>
            <w:vAlign w:val="center"/>
          </w:tcPr>
          <w:p w14:paraId="4F17A11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-.085</w:t>
            </w:r>
          </w:p>
        </w:tc>
        <w:tc>
          <w:tcPr>
            <w:tcW w:w="1350" w:type="dxa"/>
            <w:vAlign w:val="center"/>
          </w:tcPr>
          <w:p w14:paraId="588C2C5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.383</w:t>
            </w:r>
          </w:p>
        </w:tc>
        <w:tc>
          <w:tcPr>
            <w:tcW w:w="990" w:type="dxa"/>
            <w:vAlign w:val="center"/>
          </w:tcPr>
          <w:p w14:paraId="148D49BE"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.300</w:t>
            </w:r>
          </w:p>
        </w:tc>
      </w:tr>
      <w:tr w:rsidR="00D80D4C" w:rsidRPr="000F25B3" w14:paraId="220D998E" w14:textId="77777777" w:rsidTr="00975EAD">
        <w:tc>
          <w:tcPr>
            <w:tcW w:w="2718" w:type="dxa"/>
            <w:vAlign w:val="center"/>
          </w:tcPr>
          <w:p w14:paraId="7DAFB5D5"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Other Christian </w:t>
            </w:r>
          </w:p>
        </w:tc>
        <w:tc>
          <w:tcPr>
            <w:tcW w:w="1890" w:type="dxa"/>
            <w:vAlign w:val="center"/>
          </w:tcPr>
          <w:p w14:paraId="58DFB3B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.035</w:t>
            </w:r>
          </w:p>
        </w:tc>
        <w:tc>
          <w:tcPr>
            <w:tcW w:w="1350" w:type="dxa"/>
            <w:vAlign w:val="center"/>
          </w:tcPr>
          <w:p w14:paraId="18FDB5A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.364</w:t>
            </w:r>
          </w:p>
        </w:tc>
        <w:tc>
          <w:tcPr>
            <w:tcW w:w="990" w:type="dxa"/>
            <w:vAlign w:val="center"/>
          </w:tcPr>
          <w:p w14:paraId="582F1A3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.306</w:t>
            </w:r>
          </w:p>
        </w:tc>
      </w:tr>
      <w:tr w:rsidR="00D80D4C" w:rsidRPr="000F25B3" w14:paraId="2602F089" w14:textId="77777777" w:rsidTr="00975EAD">
        <w:tc>
          <w:tcPr>
            <w:tcW w:w="2718" w:type="dxa"/>
            <w:vAlign w:val="center"/>
          </w:tcPr>
          <w:p w14:paraId="7EC8B3CD"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Islam</w:t>
            </w:r>
          </w:p>
        </w:tc>
        <w:tc>
          <w:tcPr>
            <w:tcW w:w="1890" w:type="dxa"/>
            <w:vAlign w:val="center"/>
          </w:tcPr>
          <w:p w14:paraId="74A6A9C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.033</w:t>
            </w:r>
          </w:p>
        </w:tc>
        <w:tc>
          <w:tcPr>
            <w:tcW w:w="1350" w:type="dxa"/>
            <w:vAlign w:val="center"/>
          </w:tcPr>
          <w:p w14:paraId="38CCC75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.473</w:t>
            </w:r>
          </w:p>
        </w:tc>
        <w:tc>
          <w:tcPr>
            <w:tcW w:w="990" w:type="dxa"/>
            <w:vAlign w:val="center"/>
          </w:tcPr>
          <w:p w14:paraId="2308DC94"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.770</w:t>
            </w:r>
          </w:p>
        </w:tc>
      </w:tr>
      <w:tr w:rsidR="00D80D4C" w:rsidRPr="000F25B3" w14:paraId="0EF97836" w14:textId="77777777" w:rsidTr="00975EAD">
        <w:tc>
          <w:tcPr>
            <w:tcW w:w="2718" w:type="dxa"/>
            <w:vAlign w:val="center"/>
          </w:tcPr>
          <w:p w14:paraId="59D27848"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Other religion </w:t>
            </w:r>
          </w:p>
        </w:tc>
        <w:tc>
          <w:tcPr>
            <w:tcW w:w="1890" w:type="dxa"/>
            <w:vAlign w:val="center"/>
          </w:tcPr>
          <w:p w14:paraId="7A5D4B0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-.215</w:t>
            </w:r>
          </w:p>
        </w:tc>
        <w:tc>
          <w:tcPr>
            <w:tcW w:w="1350" w:type="dxa"/>
            <w:vAlign w:val="center"/>
          </w:tcPr>
          <w:p w14:paraId="68153D5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.710</w:t>
            </w:r>
          </w:p>
        </w:tc>
        <w:tc>
          <w:tcPr>
            <w:tcW w:w="990" w:type="dxa"/>
            <w:vAlign w:val="center"/>
          </w:tcPr>
          <w:p w14:paraId="11DE0F31"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.469</w:t>
            </w:r>
          </w:p>
        </w:tc>
      </w:tr>
      <w:tr w:rsidR="00D80D4C" w:rsidRPr="000F25B3" w14:paraId="65FBB52F" w14:textId="77777777" w:rsidTr="00975EAD">
        <w:tc>
          <w:tcPr>
            <w:tcW w:w="2718" w:type="dxa"/>
            <w:vAlign w:val="center"/>
          </w:tcPr>
          <w:p w14:paraId="138565F1"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Educational level </w:t>
            </w:r>
          </w:p>
        </w:tc>
        <w:tc>
          <w:tcPr>
            <w:tcW w:w="1890" w:type="dxa"/>
            <w:vAlign w:val="center"/>
          </w:tcPr>
          <w:p w14:paraId="7FA49C7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6913CA90"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374ED2D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22D3119E" w14:textId="77777777" w:rsidTr="00975EAD">
        <w:tc>
          <w:tcPr>
            <w:tcW w:w="2718" w:type="dxa"/>
            <w:vAlign w:val="center"/>
          </w:tcPr>
          <w:p w14:paraId="0462AA90"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No education </w:t>
            </w:r>
          </w:p>
        </w:tc>
        <w:tc>
          <w:tcPr>
            <w:tcW w:w="1890" w:type="dxa"/>
            <w:vAlign w:val="center"/>
          </w:tcPr>
          <w:p w14:paraId="58360BA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-.081</w:t>
            </w:r>
          </w:p>
        </w:tc>
        <w:tc>
          <w:tcPr>
            <w:tcW w:w="1350" w:type="dxa"/>
            <w:vAlign w:val="center"/>
          </w:tcPr>
          <w:p w14:paraId="2C6A38D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.375</w:t>
            </w:r>
          </w:p>
        </w:tc>
        <w:tc>
          <w:tcPr>
            <w:tcW w:w="990" w:type="dxa"/>
            <w:vAlign w:val="center"/>
          </w:tcPr>
          <w:p w14:paraId="0212B5B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.036</w:t>
            </w:r>
          </w:p>
        </w:tc>
      </w:tr>
      <w:tr w:rsidR="00D80D4C" w:rsidRPr="000F25B3" w14:paraId="3319FBA9" w14:textId="77777777" w:rsidTr="00975EAD">
        <w:tc>
          <w:tcPr>
            <w:tcW w:w="2718" w:type="dxa"/>
            <w:vAlign w:val="center"/>
          </w:tcPr>
          <w:p w14:paraId="16579AD8"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Pre-School/ primary </w:t>
            </w:r>
          </w:p>
        </w:tc>
        <w:tc>
          <w:tcPr>
            <w:tcW w:w="1890" w:type="dxa"/>
            <w:vAlign w:val="center"/>
          </w:tcPr>
          <w:p w14:paraId="39DBFCA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-.069</w:t>
            </w:r>
          </w:p>
        </w:tc>
        <w:tc>
          <w:tcPr>
            <w:tcW w:w="1350" w:type="dxa"/>
            <w:vAlign w:val="center"/>
          </w:tcPr>
          <w:p w14:paraId="47795921"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.406</w:t>
            </w:r>
          </w:p>
        </w:tc>
        <w:tc>
          <w:tcPr>
            <w:tcW w:w="990" w:type="dxa"/>
            <w:vAlign w:val="center"/>
          </w:tcPr>
          <w:p w14:paraId="155D307E"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.320</w:t>
            </w:r>
          </w:p>
        </w:tc>
      </w:tr>
      <w:tr w:rsidR="00D80D4C" w:rsidRPr="000F25B3" w14:paraId="66AC5D3A" w14:textId="77777777" w:rsidTr="00975EAD">
        <w:tc>
          <w:tcPr>
            <w:tcW w:w="2718" w:type="dxa"/>
            <w:vAlign w:val="center"/>
          </w:tcPr>
          <w:p w14:paraId="06D84A7B"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Middle/ JHS</w:t>
            </w:r>
          </w:p>
        </w:tc>
        <w:tc>
          <w:tcPr>
            <w:tcW w:w="1890" w:type="dxa"/>
            <w:vAlign w:val="center"/>
          </w:tcPr>
          <w:p w14:paraId="32ADFA1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-.004</w:t>
            </w:r>
          </w:p>
        </w:tc>
        <w:tc>
          <w:tcPr>
            <w:tcW w:w="1350" w:type="dxa"/>
            <w:vAlign w:val="center"/>
          </w:tcPr>
          <w:p w14:paraId="57613BE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.373</w:t>
            </w:r>
          </w:p>
        </w:tc>
        <w:tc>
          <w:tcPr>
            <w:tcW w:w="990" w:type="dxa"/>
            <w:vAlign w:val="center"/>
          </w:tcPr>
          <w:p w14:paraId="4843A8B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.435</w:t>
            </w:r>
          </w:p>
        </w:tc>
      </w:tr>
      <w:tr w:rsidR="00D80D4C" w:rsidRPr="000F25B3" w14:paraId="49A1912C" w14:textId="77777777" w:rsidTr="00975EAD">
        <w:tc>
          <w:tcPr>
            <w:tcW w:w="2718" w:type="dxa"/>
            <w:vAlign w:val="center"/>
          </w:tcPr>
          <w:p w14:paraId="7D8177B9"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Higher (RC)</w:t>
            </w:r>
          </w:p>
        </w:tc>
        <w:tc>
          <w:tcPr>
            <w:tcW w:w="1890" w:type="dxa"/>
            <w:vAlign w:val="center"/>
          </w:tcPr>
          <w:p w14:paraId="6ADAE57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6AA32B8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10CAA82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1A5630DA" w14:textId="77777777" w:rsidTr="00975EAD">
        <w:tc>
          <w:tcPr>
            <w:tcW w:w="2718" w:type="dxa"/>
            <w:vAlign w:val="center"/>
          </w:tcPr>
          <w:p w14:paraId="564B16E1"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Migrant household </w:t>
            </w:r>
          </w:p>
        </w:tc>
        <w:tc>
          <w:tcPr>
            <w:tcW w:w="1890" w:type="dxa"/>
            <w:vAlign w:val="center"/>
          </w:tcPr>
          <w:p w14:paraId="19B9A409"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01D6AF23"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2409783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4DD71986" w14:textId="77777777" w:rsidTr="00975EAD">
        <w:tc>
          <w:tcPr>
            <w:tcW w:w="2718" w:type="dxa"/>
            <w:vAlign w:val="center"/>
          </w:tcPr>
          <w:p w14:paraId="779CD543"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Migrant </w:t>
            </w:r>
          </w:p>
        </w:tc>
        <w:tc>
          <w:tcPr>
            <w:tcW w:w="1890" w:type="dxa"/>
            <w:vAlign w:val="center"/>
          </w:tcPr>
          <w:p w14:paraId="56AE62C6"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.025</w:t>
            </w:r>
          </w:p>
        </w:tc>
        <w:tc>
          <w:tcPr>
            <w:tcW w:w="1350" w:type="dxa"/>
            <w:vAlign w:val="center"/>
          </w:tcPr>
          <w:p w14:paraId="7B103472"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.185</w:t>
            </w:r>
          </w:p>
        </w:tc>
        <w:tc>
          <w:tcPr>
            <w:tcW w:w="990" w:type="dxa"/>
            <w:vAlign w:val="center"/>
          </w:tcPr>
          <w:p w14:paraId="37B8F68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.915</w:t>
            </w:r>
          </w:p>
        </w:tc>
      </w:tr>
      <w:tr w:rsidR="00D80D4C" w:rsidRPr="000F25B3" w14:paraId="59438827" w14:textId="77777777" w:rsidTr="00975EAD">
        <w:tc>
          <w:tcPr>
            <w:tcW w:w="2718" w:type="dxa"/>
            <w:vAlign w:val="center"/>
          </w:tcPr>
          <w:p w14:paraId="4FFAFA27"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No migrant (RC)</w:t>
            </w:r>
          </w:p>
        </w:tc>
        <w:tc>
          <w:tcPr>
            <w:tcW w:w="1890" w:type="dxa"/>
            <w:vAlign w:val="center"/>
          </w:tcPr>
          <w:p w14:paraId="6A5B872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545CCCF7"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07300BD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2AEA2D31" w14:textId="77777777" w:rsidTr="00975EAD">
        <w:tc>
          <w:tcPr>
            <w:tcW w:w="2718" w:type="dxa"/>
            <w:vAlign w:val="center"/>
          </w:tcPr>
          <w:p w14:paraId="0ECB37D5"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Ethnicity </w:t>
            </w:r>
          </w:p>
        </w:tc>
        <w:tc>
          <w:tcPr>
            <w:tcW w:w="1890" w:type="dxa"/>
            <w:vAlign w:val="center"/>
          </w:tcPr>
          <w:p w14:paraId="25299CEE"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487612EE"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74C0FE56"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56A9F43C" w14:textId="77777777" w:rsidTr="00975EAD">
        <w:tc>
          <w:tcPr>
            <w:tcW w:w="2718" w:type="dxa"/>
            <w:vAlign w:val="center"/>
          </w:tcPr>
          <w:p w14:paraId="74D485B1"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Akan (RC)</w:t>
            </w:r>
          </w:p>
        </w:tc>
        <w:tc>
          <w:tcPr>
            <w:tcW w:w="1890" w:type="dxa"/>
            <w:vAlign w:val="center"/>
          </w:tcPr>
          <w:p w14:paraId="1819CFC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1350" w:type="dxa"/>
            <w:vAlign w:val="center"/>
          </w:tcPr>
          <w:p w14:paraId="31452EDB"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c>
          <w:tcPr>
            <w:tcW w:w="990" w:type="dxa"/>
            <w:vAlign w:val="center"/>
          </w:tcPr>
          <w:p w14:paraId="4623636C"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p>
        </w:tc>
      </w:tr>
      <w:tr w:rsidR="00D80D4C" w:rsidRPr="000F25B3" w14:paraId="2198AF61" w14:textId="77777777" w:rsidTr="00975EAD">
        <w:tc>
          <w:tcPr>
            <w:tcW w:w="2718" w:type="dxa"/>
            <w:vAlign w:val="center"/>
          </w:tcPr>
          <w:p w14:paraId="510B7F02"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Nzema</w:t>
            </w:r>
          </w:p>
        </w:tc>
        <w:tc>
          <w:tcPr>
            <w:tcW w:w="1890" w:type="dxa"/>
            <w:vAlign w:val="center"/>
          </w:tcPr>
          <w:p w14:paraId="41144811"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.212</w:t>
            </w:r>
          </w:p>
        </w:tc>
        <w:tc>
          <w:tcPr>
            <w:tcW w:w="1350" w:type="dxa"/>
            <w:vAlign w:val="center"/>
          </w:tcPr>
          <w:p w14:paraId="421D93EF"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.355</w:t>
            </w:r>
          </w:p>
        </w:tc>
        <w:tc>
          <w:tcPr>
            <w:tcW w:w="990" w:type="dxa"/>
            <w:vAlign w:val="center"/>
          </w:tcPr>
          <w:p w14:paraId="03C116EA"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.609</w:t>
            </w:r>
          </w:p>
        </w:tc>
      </w:tr>
      <w:tr w:rsidR="00D80D4C" w:rsidRPr="000F25B3" w14:paraId="11934072" w14:textId="77777777" w:rsidTr="00975EAD">
        <w:tc>
          <w:tcPr>
            <w:tcW w:w="2718" w:type="dxa"/>
            <w:vAlign w:val="center"/>
          </w:tcPr>
          <w:p w14:paraId="798CE1B2"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other</w:t>
            </w:r>
          </w:p>
        </w:tc>
        <w:tc>
          <w:tcPr>
            <w:tcW w:w="1890" w:type="dxa"/>
            <w:vAlign w:val="center"/>
          </w:tcPr>
          <w:p w14:paraId="2CBB521E"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-.022</w:t>
            </w:r>
          </w:p>
        </w:tc>
        <w:tc>
          <w:tcPr>
            <w:tcW w:w="1350" w:type="dxa"/>
            <w:vAlign w:val="center"/>
          </w:tcPr>
          <w:p w14:paraId="294A0478"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.256</w:t>
            </w:r>
          </w:p>
        </w:tc>
        <w:tc>
          <w:tcPr>
            <w:tcW w:w="990" w:type="dxa"/>
            <w:vAlign w:val="center"/>
          </w:tcPr>
          <w:p w14:paraId="179A3295"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.000</w:t>
            </w:r>
          </w:p>
        </w:tc>
      </w:tr>
      <w:tr w:rsidR="00D80D4C" w:rsidRPr="000F25B3" w14:paraId="4C8074FA" w14:textId="77777777" w:rsidTr="00975EAD">
        <w:tc>
          <w:tcPr>
            <w:tcW w:w="2718" w:type="dxa"/>
            <w:vAlign w:val="center"/>
          </w:tcPr>
          <w:p w14:paraId="591BFF5F"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Age of household head </w:t>
            </w:r>
          </w:p>
        </w:tc>
        <w:tc>
          <w:tcPr>
            <w:tcW w:w="1890" w:type="dxa"/>
            <w:vAlign w:val="center"/>
          </w:tcPr>
          <w:p w14:paraId="2220D4E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.078</w:t>
            </w:r>
          </w:p>
        </w:tc>
        <w:tc>
          <w:tcPr>
            <w:tcW w:w="1350" w:type="dxa"/>
            <w:vAlign w:val="center"/>
          </w:tcPr>
          <w:p w14:paraId="609553C6"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.001</w:t>
            </w:r>
          </w:p>
        </w:tc>
        <w:tc>
          <w:tcPr>
            <w:tcW w:w="990" w:type="dxa"/>
            <w:vAlign w:val="center"/>
          </w:tcPr>
          <w:p w14:paraId="5BBBBE4D" w14:textId="77777777" w:rsidR="00D80D4C" w:rsidRPr="000F25B3" w:rsidRDefault="00D80D4C" w:rsidP="00975EAD">
            <w:pPr>
              <w:autoSpaceDE w:val="0"/>
              <w:autoSpaceDN w:val="0"/>
              <w:adjustRightInd w:val="0"/>
              <w:ind w:left="60" w:right="60"/>
              <w:jc w:val="right"/>
              <w:rPr>
                <w:rFonts w:ascii="Times New Roman" w:hAnsi="Times New Roman" w:cs="Times New Roman"/>
                <w:color w:val="000000"/>
                <w:sz w:val="24"/>
                <w:szCs w:val="24"/>
              </w:rPr>
            </w:pPr>
            <w:r w:rsidRPr="000F25B3">
              <w:rPr>
                <w:rFonts w:ascii="Times New Roman" w:hAnsi="Times New Roman" w:cs="Times New Roman"/>
                <w:color w:val="000000"/>
                <w:sz w:val="24"/>
                <w:szCs w:val="24"/>
              </w:rPr>
              <w:t>.584</w:t>
            </w:r>
          </w:p>
        </w:tc>
      </w:tr>
      <w:tr w:rsidR="00D80D4C" w:rsidRPr="000F25B3" w14:paraId="39646F69" w14:textId="77777777" w:rsidTr="00975EAD">
        <w:tc>
          <w:tcPr>
            <w:tcW w:w="2718" w:type="dxa"/>
            <w:vAlign w:val="center"/>
          </w:tcPr>
          <w:p w14:paraId="77146EF6" w14:textId="77777777" w:rsidR="00D80D4C" w:rsidRPr="000F25B3" w:rsidRDefault="00D80D4C" w:rsidP="00975EAD">
            <w:pPr>
              <w:autoSpaceDE w:val="0"/>
              <w:autoSpaceDN w:val="0"/>
              <w:adjustRightInd w:val="0"/>
              <w:ind w:left="60" w:right="60"/>
              <w:rPr>
                <w:rFonts w:ascii="Times New Roman" w:hAnsi="Times New Roman" w:cs="Times New Roman"/>
                <w:b/>
                <w:color w:val="000000"/>
                <w:sz w:val="24"/>
                <w:szCs w:val="24"/>
              </w:rPr>
            </w:pPr>
            <w:r w:rsidRPr="000F25B3">
              <w:rPr>
                <w:rFonts w:ascii="Times New Roman" w:hAnsi="Times New Roman" w:cs="Times New Roman"/>
                <w:b/>
                <w:color w:val="000000"/>
                <w:sz w:val="24"/>
                <w:szCs w:val="24"/>
              </w:rPr>
              <w:t xml:space="preserve">Wealth category  </w:t>
            </w:r>
          </w:p>
        </w:tc>
        <w:tc>
          <w:tcPr>
            <w:tcW w:w="1890" w:type="dxa"/>
          </w:tcPr>
          <w:p w14:paraId="65F1D2E5"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1350" w:type="dxa"/>
          </w:tcPr>
          <w:p w14:paraId="09347B07"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990" w:type="dxa"/>
          </w:tcPr>
          <w:p w14:paraId="3D607B3C" w14:textId="77777777" w:rsidR="00D80D4C" w:rsidRPr="000F25B3" w:rsidRDefault="00D80D4C" w:rsidP="00975EAD">
            <w:pPr>
              <w:autoSpaceDE w:val="0"/>
              <w:autoSpaceDN w:val="0"/>
              <w:adjustRightInd w:val="0"/>
              <w:rPr>
                <w:rFonts w:ascii="Times New Roman" w:hAnsi="Times New Roman" w:cs="Times New Roman"/>
                <w:sz w:val="24"/>
                <w:szCs w:val="24"/>
              </w:rPr>
            </w:pPr>
          </w:p>
        </w:tc>
      </w:tr>
      <w:tr w:rsidR="00D80D4C" w:rsidRPr="000F25B3" w14:paraId="0C4148EA" w14:textId="77777777" w:rsidTr="00975EAD">
        <w:tc>
          <w:tcPr>
            <w:tcW w:w="2718" w:type="dxa"/>
            <w:vAlign w:val="center"/>
          </w:tcPr>
          <w:p w14:paraId="5D12D4FA"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 xml:space="preserve">Rich </w:t>
            </w:r>
          </w:p>
        </w:tc>
        <w:tc>
          <w:tcPr>
            <w:tcW w:w="1890" w:type="dxa"/>
          </w:tcPr>
          <w:p w14:paraId="36815FC0" w14:textId="77777777" w:rsidR="00D80D4C" w:rsidRPr="000F25B3" w:rsidRDefault="00D80D4C" w:rsidP="00975EAD">
            <w:pPr>
              <w:autoSpaceDE w:val="0"/>
              <w:autoSpaceDN w:val="0"/>
              <w:adjustRightInd w:val="0"/>
              <w:rPr>
                <w:rFonts w:ascii="Times New Roman" w:hAnsi="Times New Roman" w:cs="Times New Roman"/>
                <w:sz w:val="24"/>
                <w:szCs w:val="24"/>
              </w:rPr>
            </w:pPr>
            <w:r w:rsidRPr="000F25B3">
              <w:rPr>
                <w:rFonts w:ascii="Times New Roman" w:hAnsi="Times New Roman" w:cs="Times New Roman"/>
                <w:sz w:val="24"/>
                <w:szCs w:val="24"/>
              </w:rPr>
              <w:t>0.112</w:t>
            </w:r>
          </w:p>
        </w:tc>
        <w:tc>
          <w:tcPr>
            <w:tcW w:w="1350" w:type="dxa"/>
          </w:tcPr>
          <w:p w14:paraId="1C4315EE" w14:textId="77777777" w:rsidR="00D80D4C" w:rsidRPr="000F25B3" w:rsidRDefault="00D80D4C" w:rsidP="00975EAD">
            <w:pPr>
              <w:autoSpaceDE w:val="0"/>
              <w:autoSpaceDN w:val="0"/>
              <w:adjustRightInd w:val="0"/>
              <w:jc w:val="right"/>
              <w:rPr>
                <w:rFonts w:ascii="Times New Roman" w:hAnsi="Times New Roman" w:cs="Times New Roman"/>
                <w:sz w:val="24"/>
                <w:szCs w:val="24"/>
              </w:rPr>
            </w:pPr>
            <w:r w:rsidRPr="000F25B3">
              <w:rPr>
                <w:rFonts w:ascii="Times New Roman" w:hAnsi="Times New Roman" w:cs="Times New Roman"/>
                <w:sz w:val="24"/>
                <w:szCs w:val="24"/>
              </w:rPr>
              <w:t>0.241</w:t>
            </w:r>
          </w:p>
        </w:tc>
        <w:tc>
          <w:tcPr>
            <w:tcW w:w="990" w:type="dxa"/>
          </w:tcPr>
          <w:p w14:paraId="54AD0262" w14:textId="77777777" w:rsidR="00D80D4C" w:rsidRPr="000F25B3" w:rsidRDefault="00D80D4C" w:rsidP="00975EAD">
            <w:pPr>
              <w:autoSpaceDE w:val="0"/>
              <w:autoSpaceDN w:val="0"/>
              <w:adjustRightInd w:val="0"/>
              <w:rPr>
                <w:rFonts w:ascii="Times New Roman" w:hAnsi="Times New Roman" w:cs="Times New Roman"/>
                <w:sz w:val="24"/>
                <w:szCs w:val="24"/>
              </w:rPr>
            </w:pPr>
            <w:r w:rsidRPr="000F25B3">
              <w:rPr>
                <w:rFonts w:ascii="Times New Roman" w:hAnsi="Times New Roman" w:cs="Times New Roman"/>
                <w:sz w:val="24"/>
                <w:szCs w:val="24"/>
              </w:rPr>
              <w:t xml:space="preserve">     .001</w:t>
            </w:r>
          </w:p>
        </w:tc>
      </w:tr>
      <w:tr w:rsidR="00D80D4C" w:rsidRPr="000F25B3" w14:paraId="504574CA" w14:textId="77777777" w:rsidTr="00975EAD">
        <w:tc>
          <w:tcPr>
            <w:tcW w:w="2718" w:type="dxa"/>
            <w:vAlign w:val="center"/>
          </w:tcPr>
          <w:p w14:paraId="3F96EE48"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r w:rsidRPr="000F25B3">
              <w:rPr>
                <w:rFonts w:ascii="Times New Roman" w:hAnsi="Times New Roman" w:cs="Times New Roman"/>
                <w:color w:val="000000"/>
                <w:sz w:val="24"/>
                <w:szCs w:val="24"/>
              </w:rPr>
              <w:t>Poor (RC)</w:t>
            </w:r>
          </w:p>
        </w:tc>
        <w:tc>
          <w:tcPr>
            <w:tcW w:w="1890" w:type="dxa"/>
          </w:tcPr>
          <w:p w14:paraId="1C401F9E"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1350" w:type="dxa"/>
          </w:tcPr>
          <w:p w14:paraId="6309B39B"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990" w:type="dxa"/>
          </w:tcPr>
          <w:p w14:paraId="063C3EE4" w14:textId="77777777" w:rsidR="00D80D4C" w:rsidRPr="000F25B3" w:rsidRDefault="00D80D4C" w:rsidP="00975EAD">
            <w:pPr>
              <w:autoSpaceDE w:val="0"/>
              <w:autoSpaceDN w:val="0"/>
              <w:adjustRightInd w:val="0"/>
              <w:rPr>
                <w:rFonts w:ascii="Times New Roman" w:hAnsi="Times New Roman" w:cs="Times New Roman"/>
                <w:sz w:val="24"/>
                <w:szCs w:val="24"/>
              </w:rPr>
            </w:pPr>
          </w:p>
        </w:tc>
      </w:tr>
      <w:tr w:rsidR="00D80D4C" w:rsidRPr="000F25B3" w14:paraId="562898A2" w14:textId="77777777" w:rsidTr="00975EAD">
        <w:tc>
          <w:tcPr>
            <w:tcW w:w="2718" w:type="dxa"/>
            <w:vAlign w:val="center"/>
          </w:tcPr>
          <w:p w14:paraId="139E398F" w14:textId="77777777" w:rsidR="00D80D4C" w:rsidRPr="000F25B3" w:rsidRDefault="00D80D4C" w:rsidP="00975EAD">
            <w:pPr>
              <w:autoSpaceDE w:val="0"/>
              <w:autoSpaceDN w:val="0"/>
              <w:adjustRightInd w:val="0"/>
              <w:ind w:left="60" w:right="60"/>
              <w:rPr>
                <w:rFonts w:ascii="Times New Roman" w:hAnsi="Times New Roman" w:cs="Times New Roman"/>
                <w:color w:val="000000"/>
                <w:sz w:val="24"/>
                <w:szCs w:val="24"/>
              </w:rPr>
            </w:pPr>
          </w:p>
        </w:tc>
        <w:tc>
          <w:tcPr>
            <w:tcW w:w="1890" w:type="dxa"/>
          </w:tcPr>
          <w:p w14:paraId="3812E410"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1350" w:type="dxa"/>
          </w:tcPr>
          <w:p w14:paraId="47C40DBB" w14:textId="77777777" w:rsidR="00D80D4C" w:rsidRPr="000F25B3" w:rsidRDefault="00D80D4C" w:rsidP="00975EAD">
            <w:pPr>
              <w:autoSpaceDE w:val="0"/>
              <w:autoSpaceDN w:val="0"/>
              <w:adjustRightInd w:val="0"/>
              <w:rPr>
                <w:rFonts w:ascii="Times New Roman" w:hAnsi="Times New Roman" w:cs="Times New Roman"/>
                <w:sz w:val="24"/>
                <w:szCs w:val="24"/>
              </w:rPr>
            </w:pPr>
          </w:p>
        </w:tc>
        <w:tc>
          <w:tcPr>
            <w:tcW w:w="990" w:type="dxa"/>
          </w:tcPr>
          <w:p w14:paraId="474FA98E" w14:textId="77777777" w:rsidR="00D80D4C" w:rsidRPr="000F25B3" w:rsidRDefault="00D80D4C" w:rsidP="00975EAD">
            <w:pPr>
              <w:autoSpaceDE w:val="0"/>
              <w:autoSpaceDN w:val="0"/>
              <w:adjustRightInd w:val="0"/>
              <w:rPr>
                <w:rFonts w:ascii="Times New Roman" w:hAnsi="Times New Roman" w:cs="Times New Roman"/>
                <w:sz w:val="24"/>
                <w:szCs w:val="24"/>
              </w:rPr>
            </w:pPr>
          </w:p>
        </w:tc>
      </w:tr>
    </w:tbl>
    <w:p w14:paraId="6E7455D7" w14:textId="77777777" w:rsidR="00D80D4C" w:rsidRPr="000F25B3" w:rsidRDefault="000F25B3" w:rsidP="00D80D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Source: Women, Climate Change and Food Security Survey, 2016</w:t>
      </w:r>
    </w:p>
    <w:p w14:paraId="000E14E4" w14:textId="77777777" w:rsidR="005C4EE9" w:rsidRDefault="005C4EE9" w:rsidP="00D80D4C">
      <w:pPr>
        <w:jc w:val="both"/>
        <w:rPr>
          <w:rFonts w:ascii="Times New Roman" w:hAnsi="Times New Roman" w:cs="Times New Roman"/>
          <w:b/>
          <w:sz w:val="24"/>
          <w:szCs w:val="24"/>
        </w:rPr>
      </w:pPr>
    </w:p>
    <w:p w14:paraId="37442501" w14:textId="77777777" w:rsidR="00D80D4C" w:rsidRPr="000F25B3" w:rsidRDefault="00D80D4C" w:rsidP="00D80D4C">
      <w:pPr>
        <w:jc w:val="both"/>
        <w:rPr>
          <w:rFonts w:ascii="Times New Roman" w:hAnsi="Times New Roman" w:cs="Times New Roman"/>
          <w:b/>
          <w:sz w:val="24"/>
          <w:szCs w:val="24"/>
        </w:rPr>
      </w:pPr>
      <w:r w:rsidRPr="000F25B3">
        <w:rPr>
          <w:rFonts w:ascii="Times New Roman" w:hAnsi="Times New Roman" w:cs="Times New Roman"/>
          <w:b/>
          <w:sz w:val="24"/>
          <w:szCs w:val="24"/>
        </w:rPr>
        <w:t xml:space="preserve">Conclusion </w:t>
      </w:r>
    </w:p>
    <w:p w14:paraId="4C4C575A" w14:textId="77777777" w:rsidR="006C034F" w:rsidRPr="000F25B3" w:rsidRDefault="00D80D4C" w:rsidP="00AD466E">
      <w:pPr>
        <w:jc w:val="both"/>
        <w:rPr>
          <w:rFonts w:ascii="Times New Roman" w:hAnsi="Times New Roman" w:cs="Times New Roman"/>
          <w:sz w:val="24"/>
          <w:szCs w:val="24"/>
        </w:rPr>
      </w:pPr>
      <w:r w:rsidRPr="000F25B3">
        <w:rPr>
          <w:rFonts w:ascii="Times New Roman" w:hAnsi="Times New Roman" w:cs="Times New Roman"/>
          <w:sz w:val="24"/>
          <w:szCs w:val="24"/>
        </w:rPr>
        <w:t xml:space="preserve">The most frequently consumed </w:t>
      </w:r>
      <w:r w:rsidR="0045239B">
        <w:rPr>
          <w:rFonts w:ascii="Times New Roman" w:hAnsi="Times New Roman" w:cs="Times New Roman"/>
          <w:sz w:val="24"/>
          <w:szCs w:val="24"/>
        </w:rPr>
        <w:t xml:space="preserve">food category is meat/egg/fish. </w:t>
      </w:r>
      <w:r w:rsidRPr="000F25B3">
        <w:rPr>
          <w:rFonts w:ascii="Times New Roman" w:hAnsi="Times New Roman" w:cs="Times New Roman"/>
          <w:sz w:val="24"/>
          <w:szCs w:val="24"/>
        </w:rPr>
        <w:t xml:space="preserve">Milk products category was the least frequently consumed food category. The variables that significantly explain the variance in HDD are sex of household head, women in the household involved in agriculture, </w:t>
      </w:r>
      <w:r w:rsidR="00C056AA">
        <w:rPr>
          <w:rFonts w:ascii="Times New Roman" w:hAnsi="Times New Roman" w:cs="Times New Roman"/>
          <w:sz w:val="24"/>
          <w:szCs w:val="24"/>
        </w:rPr>
        <w:t xml:space="preserve">type of </w:t>
      </w:r>
      <w:proofErr w:type="spellStart"/>
      <w:r w:rsidRPr="000F25B3">
        <w:rPr>
          <w:rFonts w:ascii="Times New Roman" w:hAnsi="Times New Roman" w:cs="Times New Roman"/>
          <w:sz w:val="24"/>
          <w:szCs w:val="24"/>
        </w:rPr>
        <w:t>agro</w:t>
      </w:r>
      <w:proofErr w:type="spellEnd"/>
      <w:r w:rsidRPr="000F25B3">
        <w:rPr>
          <w:rFonts w:ascii="Times New Roman" w:hAnsi="Times New Roman" w:cs="Times New Roman"/>
          <w:sz w:val="24"/>
          <w:szCs w:val="24"/>
        </w:rPr>
        <w:t xml:space="preserve">-ecological zone, marital status and </w:t>
      </w:r>
      <w:r w:rsidR="00C056AA">
        <w:rPr>
          <w:rFonts w:ascii="Times New Roman" w:hAnsi="Times New Roman" w:cs="Times New Roman"/>
          <w:sz w:val="24"/>
          <w:szCs w:val="24"/>
        </w:rPr>
        <w:t xml:space="preserve">primary </w:t>
      </w:r>
      <w:r w:rsidRPr="000F25B3">
        <w:rPr>
          <w:rFonts w:ascii="Times New Roman" w:hAnsi="Times New Roman" w:cs="Times New Roman"/>
          <w:sz w:val="24"/>
          <w:szCs w:val="24"/>
        </w:rPr>
        <w:t xml:space="preserve">occupation of household head. Out of these variables, agro-ecological zones, marital status, household wealth, occupation of household head were significant predictors of the HDD. Household heads in marital union had higher dietary diversity than those not in any union. </w:t>
      </w:r>
      <w:r w:rsidR="00C056AA">
        <w:rPr>
          <w:rFonts w:ascii="Times New Roman" w:hAnsi="Times New Roman" w:cs="Times New Roman"/>
          <w:sz w:val="24"/>
          <w:szCs w:val="24"/>
        </w:rPr>
        <w:t xml:space="preserve">Households with migrants did not show higher HDD as hypothesized. As hypothesized, households with women engaged in agriculture had significantly higher HDD than those without. </w:t>
      </w:r>
      <w:r w:rsidR="009830DC">
        <w:rPr>
          <w:rFonts w:ascii="Times New Roman" w:hAnsi="Times New Roman" w:cs="Times New Roman"/>
          <w:sz w:val="24"/>
          <w:szCs w:val="24"/>
        </w:rPr>
        <w:t xml:space="preserve">Providing the enabling environment for women in agriculture is therefore key to enhancing household food security. </w:t>
      </w:r>
    </w:p>
    <w:sectPr w:rsidR="006C034F" w:rsidRPr="000F25B3" w:rsidSect="00690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D4C"/>
    <w:rsid w:val="00077229"/>
    <w:rsid w:val="000F25B3"/>
    <w:rsid w:val="000F3410"/>
    <w:rsid w:val="001A51DD"/>
    <w:rsid w:val="001F058C"/>
    <w:rsid w:val="002C3F88"/>
    <w:rsid w:val="00393306"/>
    <w:rsid w:val="0045239B"/>
    <w:rsid w:val="005C4EE9"/>
    <w:rsid w:val="00661CFA"/>
    <w:rsid w:val="006C034F"/>
    <w:rsid w:val="007D0D70"/>
    <w:rsid w:val="00963B86"/>
    <w:rsid w:val="009830DC"/>
    <w:rsid w:val="00A53BB4"/>
    <w:rsid w:val="00AD466E"/>
    <w:rsid w:val="00B908D4"/>
    <w:rsid w:val="00BB1C99"/>
    <w:rsid w:val="00BB7D10"/>
    <w:rsid w:val="00C052E1"/>
    <w:rsid w:val="00C056AA"/>
    <w:rsid w:val="00D40407"/>
    <w:rsid w:val="00D80D4C"/>
    <w:rsid w:val="00E67F08"/>
    <w:rsid w:val="00F135D0"/>
    <w:rsid w:val="00FA453B"/>
    <w:rsid w:val="00FA67A1"/>
    <w:rsid w:val="00FD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46E4"/>
  <w15:docId w15:val="{3FBC232F-54D9-4CE0-A354-ED6C38E8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Larbi</dc:creator>
  <cp:lastModifiedBy>Larbi, Reuben</cp:lastModifiedBy>
  <cp:revision>28</cp:revision>
  <dcterms:created xsi:type="dcterms:W3CDTF">2016-12-15T23:37:00Z</dcterms:created>
  <dcterms:modified xsi:type="dcterms:W3CDTF">2024-05-14T18:24:00Z</dcterms:modified>
</cp:coreProperties>
</file>